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21A17" w:rsidRPr="00121A1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121A17" w:rsidRDefault="000A03B2" w:rsidP="00DE264A">
            <w:pPr>
              <w:tabs>
                <w:tab w:val="left" w:pos="-108"/>
              </w:tabs>
              <w:ind w:left="-108"/>
              <w:jc w:val="left"/>
              <w:rPr>
                <w:rFonts w:cs="Arial"/>
                <w:b/>
                <w:bCs/>
                <w:i/>
                <w:iCs/>
                <w:sz w:val="12"/>
                <w:szCs w:val="12"/>
                <w:lang w:eastAsia="it-IT"/>
              </w:rPr>
            </w:pPr>
            <w:bookmarkStart w:id="0" w:name="_GoBack"/>
            <w:bookmarkEnd w:id="0"/>
            <w:r w:rsidRPr="00121A17">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21A17">
              <w:rPr>
                <w:rFonts w:ascii="AdvP6960" w:hAnsi="AdvP6960" w:cs="AdvP6960"/>
                <w:szCs w:val="18"/>
                <w:lang w:eastAsia="it-IT"/>
              </w:rPr>
              <w:t xml:space="preserve"> </w:t>
            </w:r>
            <w:r w:rsidRPr="00121A17">
              <w:rPr>
                <w:rFonts w:cs="Arial"/>
                <w:b/>
                <w:bCs/>
                <w:i/>
                <w:iCs/>
                <w:sz w:val="24"/>
                <w:szCs w:val="24"/>
                <w:lang w:eastAsia="it-IT"/>
              </w:rPr>
              <w:t>CHEMICAL ENGINEERING TRANSACTIONS</w:t>
            </w:r>
            <w:r w:rsidRPr="00121A17">
              <w:rPr>
                <w:sz w:val="24"/>
                <w:szCs w:val="24"/>
                <w:lang w:eastAsia="it-IT"/>
              </w:rPr>
              <w:t xml:space="preserve"> </w:t>
            </w:r>
            <w:r w:rsidRPr="00121A17">
              <w:rPr>
                <w:rFonts w:cs="Arial"/>
                <w:b/>
                <w:bCs/>
                <w:i/>
                <w:iCs/>
                <w:sz w:val="27"/>
                <w:szCs w:val="27"/>
                <w:lang w:eastAsia="it-IT"/>
              </w:rPr>
              <w:br/>
            </w:r>
          </w:p>
          <w:p w14:paraId="4B780582" w14:textId="1EEF6F50" w:rsidR="000A03B2" w:rsidRPr="00121A17" w:rsidRDefault="00A76EFC" w:rsidP="004C3D1D">
            <w:pPr>
              <w:tabs>
                <w:tab w:val="left" w:pos="-108"/>
              </w:tabs>
              <w:ind w:left="-108"/>
              <w:rPr>
                <w:rFonts w:cs="Arial"/>
                <w:b/>
                <w:bCs/>
                <w:i/>
                <w:iCs/>
                <w:sz w:val="22"/>
                <w:szCs w:val="22"/>
                <w:lang w:eastAsia="it-IT"/>
              </w:rPr>
            </w:pPr>
            <w:r w:rsidRPr="00121A17">
              <w:rPr>
                <w:rFonts w:cs="Arial"/>
                <w:b/>
                <w:bCs/>
                <w:i/>
                <w:iCs/>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121A17" w:rsidRDefault="000A03B2" w:rsidP="00CD5FE2">
            <w:pPr>
              <w:spacing w:line="140" w:lineRule="atLeast"/>
              <w:jc w:val="right"/>
              <w:rPr>
                <w:rFonts w:cs="Arial"/>
                <w:sz w:val="14"/>
                <w:szCs w:val="14"/>
              </w:rPr>
            </w:pPr>
            <w:r w:rsidRPr="00121A17">
              <w:rPr>
                <w:rFonts w:cs="Arial"/>
                <w:sz w:val="14"/>
                <w:szCs w:val="14"/>
              </w:rPr>
              <w:t>A publication of</w:t>
            </w:r>
          </w:p>
          <w:p w14:paraId="599E5441" w14:textId="77777777" w:rsidR="000A03B2" w:rsidRPr="00121A17" w:rsidRDefault="000A03B2" w:rsidP="00CD5FE2">
            <w:pPr>
              <w:jc w:val="right"/>
            </w:pPr>
            <w:r w:rsidRPr="00121A1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21A17" w:rsidRPr="00121A17" w14:paraId="380FA3CD" w14:textId="77777777" w:rsidTr="00DE264A">
        <w:trPr>
          <w:trHeight w:val="567"/>
          <w:jc w:val="center"/>
        </w:trPr>
        <w:tc>
          <w:tcPr>
            <w:tcW w:w="6946" w:type="dxa"/>
            <w:vMerge/>
            <w:tcBorders>
              <w:right w:val="single" w:sz="4" w:space="0" w:color="auto"/>
            </w:tcBorders>
          </w:tcPr>
          <w:p w14:paraId="39E5E4C1" w14:textId="77777777" w:rsidR="000A03B2" w:rsidRPr="00121A1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121A17" w:rsidRDefault="000A03B2" w:rsidP="00CD5FE2">
            <w:pPr>
              <w:spacing w:line="140" w:lineRule="atLeast"/>
              <w:jc w:val="right"/>
              <w:rPr>
                <w:rFonts w:cs="Arial"/>
                <w:sz w:val="14"/>
                <w:szCs w:val="14"/>
              </w:rPr>
            </w:pPr>
            <w:r w:rsidRPr="00121A17">
              <w:rPr>
                <w:rFonts w:cs="Arial"/>
                <w:sz w:val="14"/>
                <w:szCs w:val="14"/>
              </w:rPr>
              <w:t>The Italian Association</w:t>
            </w:r>
          </w:p>
          <w:p w14:paraId="7522B1D2" w14:textId="77777777" w:rsidR="000A03B2" w:rsidRPr="00121A17" w:rsidRDefault="000A03B2" w:rsidP="00CD5FE2">
            <w:pPr>
              <w:spacing w:line="140" w:lineRule="atLeast"/>
              <w:jc w:val="right"/>
              <w:rPr>
                <w:rFonts w:cs="Arial"/>
                <w:sz w:val="14"/>
                <w:szCs w:val="14"/>
              </w:rPr>
            </w:pPr>
            <w:r w:rsidRPr="00121A17">
              <w:rPr>
                <w:rFonts w:cs="Arial"/>
                <w:sz w:val="14"/>
                <w:szCs w:val="14"/>
              </w:rPr>
              <w:t>of Chemical Engineering</w:t>
            </w:r>
          </w:p>
          <w:p w14:paraId="4F0CC5DE" w14:textId="35204533" w:rsidR="000A03B2" w:rsidRPr="00121A17" w:rsidRDefault="005A3E9C" w:rsidP="00CD5FE2">
            <w:pPr>
              <w:spacing w:line="140" w:lineRule="atLeast"/>
              <w:jc w:val="right"/>
              <w:rPr>
                <w:rFonts w:cs="Arial"/>
                <w:sz w:val="14"/>
                <w:szCs w:val="14"/>
              </w:rPr>
            </w:pPr>
            <w:r w:rsidRPr="00121A17">
              <w:rPr>
                <w:rFonts w:cs="Arial"/>
                <w:sz w:val="13"/>
                <w:szCs w:val="13"/>
              </w:rPr>
              <w:t>Online at www.cetjournal.it</w:t>
            </w:r>
          </w:p>
        </w:tc>
      </w:tr>
      <w:tr w:rsidR="00121A17" w:rsidRPr="00121A17" w14:paraId="2D1B7169" w14:textId="77777777" w:rsidTr="00DE264A">
        <w:trPr>
          <w:trHeight w:val="68"/>
          <w:jc w:val="center"/>
        </w:trPr>
        <w:tc>
          <w:tcPr>
            <w:tcW w:w="8789" w:type="dxa"/>
            <w:gridSpan w:val="2"/>
          </w:tcPr>
          <w:p w14:paraId="4B0BB442" w14:textId="7D24D70F" w:rsidR="00300E56" w:rsidRPr="00121A17" w:rsidRDefault="00300E56" w:rsidP="00EC0E49">
            <w:pPr>
              <w:tabs>
                <w:tab w:val="left" w:pos="-108"/>
              </w:tabs>
              <w:spacing w:line="140" w:lineRule="atLeast"/>
              <w:ind w:left="-108"/>
              <w:jc w:val="left"/>
              <w:rPr>
                <w:rFonts w:ascii="Tahoma" w:hAnsi="Tahoma" w:cs="Tahoma"/>
                <w:iCs/>
                <w:sz w:val="14"/>
                <w:szCs w:val="14"/>
                <w:lang w:val="en-US" w:eastAsia="it-IT"/>
              </w:rPr>
            </w:pPr>
            <w:r w:rsidRPr="00121A17">
              <w:rPr>
                <w:rFonts w:ascii="Tahoma" w:hAnsi="Tahoma" w:cs="Tahoma"/>
                <w:iCs/>
                <w:sz w:val="14"/>
                <w:szCs w:val="14"/>
                <w:lang w:val="en-US" w:eastAsia="it-IT"/>
              </w:rPr>
              <w:t>Guest Editors:</w:t>
            </w:r>
            <w:r w:rsidR="00904C62" w:rsidRPr="00121A17">
              <w:rPr>
                <w:rFonts w:ascii="Tahoma" w:hAnsi="Tahoma" w:cs="Tahoma"/>
                <w:iCs/>
                <w:sz w:val="14"/>
                <w:szCs w:val="14"/>
                <w:lang w:val="en-US" w:eastAsia="it-IT"/>
              </w:rPr>
              <w:t xml:space="preserve"> </w:t>
            </w:r>
          </w:p>
          <w:p w14:paraId="1B0F1814" w14:textId="6CE52C7C" w:rsidR="000A03B2" w:rsidRPr="00121A17" w:rsidRDefault="0014464F" w:rsidP="00180860">
            <w:pPr>
              <w:tabs>
                <w:tab w:val="left" w:pos="-108"/>
              </w:tabs>
              <w:spacing w:line="140" w:lineRule="atLeast"/>
              <w:ind w:left="-108"/>
              <w:jc w:val="left"/>
            </w:pPr>
            <w:r w:rsidRPr="00121A17">
              <w:rPr>
                <w:rFonts w:ascii="Tahoma" w:hAnsi="Tahoma" w:cs="Tahoma"/>
                <w:iCs/>
                <w:sz w:val="14"/>
                <w:szCs w:val="14"/>
                <w:lang w:eastAsia="it-IT"/>
              </w:rPr>
              <w:t xml:space="preserve">Copyright © </w:t>
            </w:r>
            <w:r w:rsidR="00904C62" w:rsidRPr="00121A17">
              <w:rPr>
                <w:rFonts w:ascii="Tahoma" w:hAnsi="Tahoma" w:cs="Tahoma"/>
                <w:iCs/>
                <w:sz w:val="14"/>
                <w:szCs w:val="14"/>
                <w:lang w:eastAsia="it-IT"/>
              </w:rPr>
              <w:t xml:space="preserve"> AIDIC Servizi S.r.l.</w:t>
            </w:r>
            <w:r w:rsidR="00300E56" w:rsidRPr="00121A17">
              <w:rPr>
                <w:rFonts w:ascii="Tahoma" w:hAnsi="Tahoma" w:cs="Tahoma"/>
                <w:iCs/>
                <w:sz w:val="14"/>
                <w:szCs w:val="14"/>
                <w:lang w:eastAsia="it-IT"/>
              </w:rPr>
              <w:br/>
            </w:r>
            <w:r w:rsidR="00180860" w:rsidRPr="00121A17">
              <w:rPr>
                <w:rFonts w:ascii="Tahoma" w:hAnsi="Tahoma" w:cs="Tahoma"/>
                <w:b/>
                <w:iCs/>
                <w:sz w:val="14"/>
                <w:szCs w:val="14"/>
                <w:lang w:eastAsia="it-IT"/>
              </w:rPr>
              <w:t xml:space="preserve">ISBN </w:t>
            </w:r>
            <w:r w:rsidR="00180860" w:rsidRPr="00121A17">
              <w:rPr>
                <w:rFonts w:ascii="Tahoma" w:hAnsi="Tahoma" w:cs="Tahoma"/>
                <w:sz w:val="14"/>
                <w:szCs w:val="14"/>
                <w:lang w:val="en-US"/>
              </w:rPr>
              <w:t xml:space="preserve">978-88-95608-xx-x </w:t>
            </w:r>
            <w:r w:rsidR="00300E56" w:rsidRPr="00121A17">
              <w:rPr>
                <w:rFonts w:ascii="Tahoma" w:hAnsi="Tahoma" w:cs="Tahoma"/>
                <w:b/>
                <w:iCs/>
                <w:sz w:val="14"/>
                <w:szCs w:val="14"/>
                <w:lang w:eastAsia="it-IT"/>
              </w:rPr>
              <w:t>ISSN</w:t>
            </w:r>
            <w:r w:rsidR="00300E56" w:rsidRPr="00121A17">
              <w:rPr>
                <w:rFonts w:ascii="Tahoma" w:hAnsi="Tahoma" w:cs="Tahoma"/>
                <w:iCs/>
                <w:sz w:val="14"/>
                <w:szCs w:val="14"/>
                <w:lang w:eastAsia="it-IT"/>
              </w:rPr>
              <w:t xml:space="preserve"> 2283-9216</w:t>
            </w:r>
          </w:p>
        </w:tc>
      </w:tr>
    </w:tbl>
    <w:p w14:paraId="10DAA130" w14:textId="77777777" w:rsidR="000A03B2" w:rsidRPr="00121A17" w:rsidRDefault="000A03B2" w:rsidP="000A03B2">
      <w:pPr>
        <w:pStyle w:val="CETAuthors"/>
        <w:sectPr w:rsidR="000A03B2" w:rsidRPr="00121A17" w:rsidSect="00CD5FE2">
          <w:type w:val="continuous"/>
          <w:pgSz w:w="11906" w:h="16838" w:code="9"/>
          <w:pgMar w:top="1701" w:right="1418" w:bottom="1701" w:left="1701" w:header="1701" w:footer="0" w:gutter="0"/>
          <w:cols w:space="708"/>
          <w:titlePg/>
          <w:docGrid w:linePitch="360"/>
        </w:sectPr>
      </w:pPr>
    </w:p>
    <w:p w14:paraId="2E667253" w14:textId="405A04E8" w:rsidR="00E978D0" w:rsidRPr="00121A17" w:rsidRDefault="00067575" w:rsidP="00E978D0">
      <w:pPr>
        <w:pStyle w:val="CETTitle"/>
        <w:rPr>
          <w:lang w:val="en-US"/>
        </w:rPr>
      </w:pPr>
      <w:r w:rsidRPr="00121A17">
        <w:rPr>
          <w:lang w:val="en-US"/>
        </w:rPr>
        <w:t>Coffee Waste Biochar: A Widely Available and Low-cost Biomass for Producing Carbonaceous Water Treatment Adsorbents</w:t>
      </w:r>
    </w:p>
    <w:p w14:paraId="2B3CA35C" w14:textId="2C2A2601" w:rsidR="00E978D0" w:rsidRPr="00121A17" w:rsidRDefault="00717884" w:rsidP="00717884">
      <w:pPr>
        <w:pStyle w:val="CETAuthors"/>
      </w:pPr>
      <w:r w:rsidRPr="00121A17">
        <w:t>Yousuf M. Al-Awadhi,</w:t>
      </w:r>
      <w:r w:rsidRPr="00121A17">
        <w:rPr>
          <w:rFonts w:asciiTheme="minorBidi" w:hAnsiTheme="minorBidi" w:cstheme="minorBidi"/>
          <w:noProof w:val="0"/>
          <w:szCs w:val="24"/>
          <w:shd w:val="clear" w:color="auto" w:fill="FFFFFF"/>
          <w:lang w:val="en-US"/>
        </w:rPr>
        <w:t xml:space="preserve"> </w:t>
      </w:r>
      <w:r w:rsidR="00067575" w:rsidRPr="00121A17">
        <w:t>Snigdhendubala Pradhan</w:t>
      </w:r>
      <w:r w:rsidR="00600535" w:rsidRPr="00121A17">
        <w:t xml:space="preserve">, </w:t>
      </w:r>
      <w:r w:rsidR="00067575" w:rsidRPr="00121A17">
        <w:t>Gordon McKay, Tareq Al-Ansari</w:t>
      </w:r>
      <w:r w:rsidRPr="00121A17">
        <w:t xml:space="preserve">, </w:t>
      </w:r>
      <w:r w:rsidRPr="00121A17">
        <w:rPr>
          <w:rFonts w:asciiTheme="minorBidi" w:hAnsiTheme="minorBidi" w:cstheme="minorBidi"/>
          <w:noProof w:val="0"/>
          <w:szCs w:val="24"/>
          <w:shd w:val="clear" w:color="auto" w:fill="FFFFFF"/>
          <w:lang w:val="en-US"/>
        </w:rPr>
        <w:t>Hamish R. Mackey*</w:t>
      </w:r>
    </w:p>
    <w:p w14:paraId="299BEA2F" w14:textId="32F9B1C9" w:rsidR="00134C34" w:rsidRPr="00121A17" w:rsidRDefault="004B245F" w:rsidP="00E978D0">
      <w:pPr>
        <w:pStyle w:val="CETAddress"/>
      </w:pPr>
      <w:r w:rsidRPr="00121A17">
        <w:t>Division of Sustainable Development, College of Science and Engineering, Qatar Foundation, Doha, Qata</w:t>
      </w:r>
      <w:r w:rsidR="00134C34" w:rsidRPr="00121A17">
        <w:t xml:space="preserve">r </w:t>
      </w:r>
    </w:p>
    <w:p w14:paraId="245C9AFC" w14:textId="30270E72" w:rsidR="00134C34" w:rsidRPr="00121A17" w:rsidRDefault="00134C34" w:rsidP="00134C34">
      <w:pPr>
        <w:pStyle w:val="CETAddress"/>
      </w:pPr>
      <w:r w:rsidRPr="00121A17">
        <w:t>*Corresponding author: hmackey@hbku.edu.qa</w:t>
      </w:r>
    </w:p>
    <w:p w14:paraId="0127A28D" w14:textId="7E329EF7" w:rsidR="00E978D0" w:rsidRPr="00121A17" w:rsidRDefault="00E978D0" w:rsidP="004B245F">
      <w:pPr>
        <w:pStyle w:val="CETemail"/>
      </w:pPr>
    </w:p>
    <w:p w14:paraId="78B8F140" w14:textId="1377AA09" w:rsidR="004B245F" w:rsidRPr="00121A17" w:rsidRDefault="00AA345F" w:rsidP="00EF3E6C">
      <w:pPr>
        <w:pStyle w:val="CETBodytext"/>
        <w:rPr>
          <w:lang w:val="en-GB"/>
        </w:rPr>
      </w:pPr>
      <w:r w:rsidRPr="00121A17">
        <w:t xml:space="preserve">Coffee is one of the world’s most traded commodities grown in about 80 countries and widely consumed. Accordingly, a high quantity of spent coffee grounds (SCGs) produced from coffee beverage preparation is generated and disposed globally. The high availability and low cost of SCG allow its valorization to obtain a valuable product that could be used as an alternative adsorbent for water treatment applications. This study used dried SCG to produce biochar by pyrolyzing the biomass at three different temperatures: 300, 450, and 600 </w:t>
      </w:r>
      <w:bookmarkStart w:id="1" w:name="_Hlk94971351"/>
      <w:r w:rsidRPr="00121A17">
        <w:t>°C</w:t>
      </w:r>
      <w:bookmarkEnd w:id="1"/>
      <w:r w:rsidRPr="00121A17">
        <w:t>. Pyrolysis was conducted at a slow heating rate of 5 °C.min</w:t>
      </w:r>
      <w:r w:rsidRPr="00121A17">
        <w:rPr>
          <w:vertAlign w:val="superscript"/>
        </w:rPr>
        <w:t>-1</w:t>
      </w:r>
      <w:r w:rsidRPr="00121A17">
        <w:t xml:space="preserve"> for 30 min. SCG biomass and biochar were characterized for various properties that would describe the biomass changes during pyrolysis and the effectiveness of biochar for water treatment applications. The SCG biomass was acidic in nature with a pH of 5.54, whereas biochar was mildly alkaline with a pH of 7.5 to 10.6, increasing with pyrolysis temperature. The electrical conductivity of SCG biochar at 600 °C (2,278 µS.cm</w:t>
      </w:r>
      <w:r w:rsidRPr="00121A17">
        <w:rPr>
          <w:vertAlign w:val="superscript"/>
        </w:rPr>
        <w:t>-1</w:t>
      </w:r>
      <w:r w:rsidRPr="00121A17">
        <w:t>) was higher than that of biomass (550 µS.cm</w:t>
      </w:r>
      <w:r w:rsidRPr="00121A17">
        <w:rPr>
          <w:vertAlign w:val="superscript"/>
        </w:rPr>
        <w:t>-1</w:t>
      </w:r>
      <w:r w:rsidRPr="00121A17">
        <w:t xml:space="preserve">). This indicates SCG biochar could have promising ion-exchange capacity. SCG biochar produced at 450 °C has the most negative zeta potential of -57.33 mV, compared to the least negative measure of -30.73 mV for SCG biomass. A negative zeta potential </w:t>
      </w:r>
      <w:r w:rsidR="00DF7D20" w:rsidRPr="00121A17">
        <w:t>has</w:t>
      </w:r>
      <w:r w:rsidRPr="00121A17">
        <w:t xml:space="preserve"> a strong affinity for positively charged cations and this was confirmed through cation exchange capacity (CEC) measurements. The highest CEC was 29 cmol</w:t>
      </w:r>
      <w:r w:rsidR="003E74C4" w:rsidRPr="00121A17">
        <w:rPr>
          <w:vertAlign w:val="subscript"/>
        </w:rPr>
        <w:t>c</w:t>
      </w:r>
      <w:r w:rsidRPr="00121A17">
        <w:t>.kg</w:t>
      </w:r>
      <w:r w:rsidRPr="00121A17">
        <w:rPr>
          <w:vertAlign w:val="superscript"/>
        </w:rPr>
        <w:t>-1</w:t>
      </w:r>
      <w:r w:rsidRPr="00121A17">
        <w:t xml:space="preserve"> for 450 °C SCG biochar, a 58 % increase over that for the SCG biomass. SCG biochar contained 63 % to 88 % of C content for pyrolysis temperatures of 300 to 600 °C, respectively, whereas the SCG biomass had a C content of 43 %. With increasing temperature, the fixed carbon (FC) content of biochar increases and reached 69 % at 600 °C, while in biomass, the FC content was only 13 %. The large change in C content as SCG biomass is pyrolysed indicates large changes in structure</w:t>
      </w:r>
      <w:r w:rsidR="00EF3E6C" w:rsidRPr="00121A17">
        <w:t xml:space="preserve"> and therefore tunability</w:t>
      </w:r>
      <w:r w:rsidRPr="00121A17">
        <w:t xml:space="preserve">. SCG </w:t>
      </w:r>
      <w:r w:rsidR="008D62BE" w:rsidRPr="00121A17">
        <w:t>could</w:t>
      </w:r>
      <w:r w:rsidRPr="00121A17">
        <w:t xml:space="preserve"> be a promising carbonaceous adsorbent to remove organic and inorganic pollutants from polluted water.</w:t>
      </w:r>
    </w:p>
    <w:p w14:paraId="194E230C" w14:textId="0ABD6091" w:rsidR="00B7324C" w:rsidRPr="00121A17" w:rsidRDefault="00600535" w:rsidP="00FD625C">
      <w:pPr>
        <w:pStyle w:val="CETHeading1"/>
      </w:pPr>
      <w:r w:rsidRPr="00121A17">
        <w:t>Introduction</w:t>
      </w:r>
    </w:p>
    <w:p w14:paraId="42F9D037" w14:textId="7DC158B3" w:rsidR="00B7324C" w:rsidRPr="00121A17" w:rsidRDefault="00B7324C" w:rsidP="00EF3E6C">
      <w:pPr>
        <w:pStyle w:val="CETListbullets"/>
        <w:ind w:left="113" w:firstLine="0"/>
      </w:pPr>
      <w:r w:rsidRPr="00121A17">
        <w:t>Household, agricultural</w:t>
      </w:r>
      <w:r w:rsidR="00E952A3" w:rsidRPr="00121A17">
        <w:t>,</w:t>
      </w:r>
      <w:r w:rsidRPr="00121A17">
        <w:t xml:space="preserve"> and industrial activities produce wastewaters containing high levels of various types</w:t>
      </w:r>
      <w:r w:rsidR="00AE6AC7" w:rsidRPr="00121A17">
        <w:t xml:space="preserve"> </w:t>
      </w:r>
      <w:r w:rsidRPr="00121A17">
        <w:t>of contaminants that can negatively affect the natural environment if discharged untreated. Due to the continual growth in global population and urban concentration, there are increased stresses</w:t>
      </w:r>
      <w:r w:rsidR="00717884" w:rsidRPr="00121A17">
        <w:t xml:space="preserve"> on</w:t>
      </w:r>
      <w:r w:rsidRPr="00121A17">
        <w:t xml:space="preserve"> local water resources and environment promoting a need for greater levels of wastewater treatment and reuse. Different conventional methods are used to remove organics, inorganics, metals, heavy metals, and pathogens; unfortunately, most of the conventional techniques have large operational and initial expenses. Adsorption has been demonstrated as a highly effective and sustainable treatment process amongst various options </w:t>
      </w:r>
      <w:r w:rsidR="00F4747D" w:rsidRPr="00121A17">
        <w:fldChar w:fldCharType="begin"/>
      </w:r>
      <w:r w:rsidR="00F4747D" w:rsidRPr="00121A17">
        <w:instrText xml:space="preserve"> ADDIN ZOTERO_ITEM CSL_CITATION {"citationID":"US0U0rWT","properties":{"formattedCitation":"(Vlasopoulos et al., 2006)","plainCitation":"(Vlasopoulos et al., 2006)","noteIndex":0},"citationItems":[{"id":1544,"uris":["http://zotero.org/users/5733999/items/IUUKNW7B"],"uri":["http://zotero.org/users/5733999/items/IUUKNW7B"],"itemData":{"id":1544,"type":"article-journal","abstract":"This paper describes the implementation of life cycle assessment to investigate the environmental impact of 20 technologies suitable for treating extensive volumes of water produced during the oil and gas extraction processes. Data on the physical and operational attributes of technologies under consideration were assembled and their life cycle environmental impacts estimated over 15 year time period. The results were then incorporated in a decision support system which allows identification and prioritisation of potential technology combinations capable of producing water for nine designated industrial and agricultural end uses. In total, more than 618 technology combinations were investigated for their environmental impacts. The identification and prioritisation of technologies were done on the basis of their environmental and technical performance. This analysis showed that dissolved air flotation, absorbents, dual media filtration and reverse osmosis technologies offer relatively low environmental impact parts of systems for cleaning such process waters. Furthermore, the environmental assessment combined within the decision support system has revealed potentially valuable indirect downstream “benefits” from effects such as evaporative losses from wetlands in terms of the overall environmental impact of a treatment system.","container-title":"Science of The Total Environment","DOI":"10.1016/j.scitotenv.2006.03.007","ISSN":"0048-9697","issue":"1","journalAbbreviation":"Sci. Total Environ.","page":"58-70","title":"Life cycle assessment of wastewater treatment technologies treating petroleum process waters","volume":"367","author":[{"family":"Vlasopoulos","given":"N."},{"family":"Memon","given":"F. A."},{"family":"Butler","given":"D."},{"family":"Murphy","given":"R."}],"issued":{"date-parts":[["2006",8,15]]}}}],"schema":"https://github.com/citation-style-language/schema/raw/master/csl-citation.json"} </w:instrText>
      </w:r>
      <w:r w:rsidR="00F4747D" w:rsidRPr="00121A17">
        <w:fldChar w:fldCharType="separate"/>
      </w:r>
      <w:r w:rsidR="00F4747D" w:rsidRPr="00121A17">
        <w:rPr>
          <w:rFonts w:cs="Arial"/>
        </w:rPr>
        <w:t>(Vlasopoulos et al., 2006)</w:t>
      </w:r>
      <w:r w:rsidR="00F4747D" w:rsidRPr="00121A17">
        <w:fldChar w:fldCharType="end"/>
      </w:r>
      <w:r w:rsidRPr="00121A17">
        <w:t>. Low-cost carbonaceous adsorbents</w:t>
      </w:r>
      <w:r w:rsidR="00717884" w:rsidRPr="00121A17">
        <w:t>, in particular, are effective and</w:t>
      </w:r>
      <w:r w:rsidRPr="00121A17">
        <w:t xml:space="preserve"> can be produced from agricultural, industrial, forest</w:t>
      </w:r>
      <w:r w:rsidR="00045A8C" w:rsidRPr="00121A17">
        <w:t>,</w:t>
      </w:r>
      <w:r w:rsidRPr="00121A17">
        <w:t xml:space="preserve"> and food waste, providing resource recovery and valorization </w:t>
      </w:r>
      <w:r w:rsidR="00CE22F1" w:rsidRPr="00121A17">
        <w:fldChar w:fldCharType="begin"/>
      </w:r>
      <w:r w:rsidR="00CE22F1" w:rsidRPr="00121A17">
        <w:instrText xml:space="preserve"> ADDIN ZOTERO_ITEM CSL_CITATION {"citationID":"0xWJ3M4K","properties":{"formattedCitation":"(Huong et al., 2021)","plainCitation":"(Huong et al., 2021)","noteIndex":0},"citationItems":[{"id":3929,"uris":["http://zotero.org/users/5733999/items/SDHNQMNH"],"uri":["http://zotero.org/users/5733999/items/SDHNQMNH"],"itemData":{"id":3929,"type":"paper-conference","container-title":"Proceedings of the International Conference on Innovations for Sustainable and Responsible Mining","page":"305–325","publisher":"Springer","source":"Google Scholar","title":"Initial Results of Using Biochar Derived from Spent Coffee Grounds to Remove Pollutants from Livestock Wastewater in Vietnam","author":[{"family":"Huong","given":"Tran Thi Thu"},{"family":"Van Hoang","given":"Nguyen"},{"family":"Toan","given":"Vu Ngoc"},{"family":"Tong","given":"Nguyen Xuan"},{"family":"Quan","given":"Tran Anh"},{"family":"Thu","given":"Vu Kim"}],"issued":{"date-parts":[["2021"]]}}}],"schema":"https://github.com/citation-style-language/schema/raw/master/csl-citation.json"} </w:instrText>
      </w:r>
      <w:r w:rsidR="00CE22F1" w:rsidRPr="00121A17">
        <w:fldChar w:fldCharType="separate"/>
      </w:r>
      <w:r w:rsidR="00CE22F1" w:rsidRPr="00121A17">
        <w:rPr>
          <w:rFonts w:cs="Arial"/>
        </w:rPr>
        <w:t>(Huong et al., 2021)</w:t>
      </w:r>
      <w:r w:rsidR="00CE22F1" w:rsidRPr="00121A17">
        <w:fldChar w:fldCharType="end"/>
      </w:r>
      <w:r w:rsidRPr="00121A17">
        <w:t xml:space="preserve">. Biochar is a simple carbonaceous adsorbent formed through pyrolysis. It has received much attention as an adsorbent due to its desirable physicochemical properties, which provide high-rate adsorption. Biochar's adsorption </w:t>
      </w:r>
      <w:r w:rsidRPr="00121A17">
        <w:lastRenderedPageBreak/>
        <w:t xml:space="preserve">capacity for removing wastewater pollutants is due to the presence of various functional groups on the surface of biochar. As a result, the removal efficiency of pollutants from wastewater is because of the surface polarity of various carbon compounds </w:t>
      </w:r>
      <w:r w:rsidR="00CE22F1" w:rsidRPr="00121A17">
        <w:fldChar w:fldCharType="begin"/>
      </w:r>
      <w:r w:rsidR="00CE22F1" w:rsidRPr="00121A17">
        <w:instrText xml:space="preserve"> ADDIN ZOTERO_ITEM CSL_CITATION {"citationID":"5qxNiz3o","properties":{"formattedCitation":"(Huong et al., 2021)","plainCitation":"(Huong et al., 2021)","noteIndex":0},"citationItems":[{"id":3929,"uris":["http://zotero.org/users/5733999/items/SDHNQMNH"],"uri":["http://zotero.org/users/5733999/items/SDHNQMNH"],"itemData":{"id":3929,"type":"paper-conference","container-title":"Proceedings of the International Conference on Innovations for Sustainable and Responsible Mining","page":"305–325","publisher":"Springer","source":"Google Scholar","title":"Initial Results of Using Biochar Derived from Spent Coffee Grounds to Remove Pollutants from Livestock Wastewater in Vietnam","author":[{"family":"Huong","given":"Tran Thi Thu"},{"family":"Van Hoang","given":"Nguyen"},{"family":"Toan","given":"Vu Ngoc"},{"family":"Tong","given":"Nguyen Xuan"},{"family":"Quan","given":"Tran Anh"},{"family":"Thu","given":"Vu Kim"}],"issued":{"date-parts":[["2021"]]}}}],"schema":"https://github.com/citation-style-language/schema/raw/master/csl-citation.json"} </w:instrText>
      </w:r>
      <w:r w:rsidR="00CE22F1" w:rsidRPr="00121A17">
        <w:fldChar w:fldCharType="separate"/>
      </w:r>
      <w:r w:rsidR="00CE22F1" w:rsidRPr="00121A17">
        <w:rPr>
          <w:rFonts w:cs="Arial"/>
        </w:rPr>
        <w:t>(Huong et al., 2021)</w:t>
      </w:r>
      <w:r w:rsidR="00CE22F1" w:rsidRPr="00121A17">
        <w:fldChar w:fldCharType="end"/>
      </w:r>
      <w:r w:rsidRPr="00121A17">
        <w:t xml:space="preserve">. </w:t>
      </w:r>
    </w:p>
    <w:p w14:paraId="534E823C" w14:textId="77777777" w:rsidR="00B7324C" w:rsidRPr="00121A17" w:rsidRDefault="00B7324C" w:rsidP="00B7324C">
      <w:pPr>
        <w:pStyle w:val="CETListbullets"/>
      </w:pPr>
    </w:p>
    <w:p w14:paraId="463C28BF" w14:textId="572B9831" w:rsidR="00B7324C" w:rsidRPr="00121A17" w:rsidRDefault="00B7324C" w:rsidP="008445B6">
      <w:pPr>
        <w:pStyle w:val="CETListbullets"/>
        <w:ind w:left="113" w:firstLine="0"/>
      </w:pPr>
      <w:r w:rsidRPr="00121A17">
        <w:t xml:space="preserve">Coffee is one of the world’s most traded commodities with over 9.2 million tons produced in 2021 </w:t>
      </w:r>
      <w:r w:rsidR="00CE22F1" w:rsidRPr="00121A17">
        <w:fldChar w:fldCharType="begin"/>
      </w:r>
      <w:r w:rsidR="00CE22F1" w:rsidRPr="00121A17">
        <w:instrText xml:space="preserve"> ADDIN ZOTERO_ITEM CSL_CITATION {"citationID":"HC0VR0Il","properties":{"formattedCitation":"(Huong et al., 2021)","plainCitation":"(Huong et al., 2021)","noteIndex":0},"citationItems":[{"id":3929,"uris":["http://zotero.org/users/5733999/items/SDHNQMNH"],"uri":["http://zotero.org/users/5733999/items/SDHNQMNH"],"itemData":{"id":3929,"type":"paper-conference","container-title":"Proceedings of the International Conference on Innovations for Sustainable and Responsible Mining","page":"305–325","publisher":"Springer","source":"Google Scholar","title":"Initial Results of Using Biochar Derived from Spent Coffee Grounds to Remove Pollutants from Livestock Wastewater in Vietnam","author":[{"family":"Huong","given":"Tran Thi Thu"},{"family":"Van Hoang","given":"Nguyen"},{"family":"Toan","given":"Vu Ngoc"},{"family":"Tong","given":"Nguyen Xuan"},{"family":"Quan","given":"Tran Anh"},{"family":"Thu","given":"Vu Kim"}],"issued":{"date-parts":[["2021"]]}}}],"schema":"https://github.com/citation-style-language/schema/raw/master/csl-citation.json"} </w:instrText>
      </w:r>
      <w:r w:rsidR="00CE22F1" w:rsidRPr="00121A17">
        <w:fldChar w:fldCharType="separate"/>
      </w:r>
      <w:r w:rsidR="00CE22F1" w:rsidRPr="00121A17">
        <w:rPr>
          <w:rFonts w:cs="Arial"/>
        </w:rPr>
        <w:t>(Huong et al., 2021)</w:t>
      </w:r>
      <w:r w:rsidR="00CE22F1" w:rsidRPr="00121A17">
        <w:fldChar w:fldCharType="end"/>
      </w:r>
      <w:r w:rsidRPr="00121A17">
        <w:t>. To prepare the beverage from 1 ton of coffee beans, about 0.65 tons of coffee grounds are discarded</w:t>
      </w:r>
      <w:r w:rsidR="000E639F" w:rsidRPr="00121A17">
        <w:t xml:space="preserve">, in addition to roughly 0.5 tons of coffee husks </w:t>
      </w:r>
      <w:r w:rsidR="00F94C0A" w:rsidRPr="00121A17">
        <w:fldChar w:fldCharType="begin"/>
      </w:r>
      <w:r w:rsidR="008372A0" w:rsidRPr="00121A17">
        <w:instrText xml:space="preserve"> ADDIN ZOTERO_ITEM CSL_CITATION {"citationID":"lOIwQckc","properties":{"formattedCitation":"(Liza et al., 2021)","plainCitation":"(Liza et al., 2021)","noteIndex":0},"citationItems":[{"id":3988,"uris":["http://zotero.org/users/5733999/items/H3UT2EJL"],"uri":["http://zotero.org/users/5733999/items/H3UT2EJL"],"itemData":{"id":3988,"type":"article-journal","abstract":"The aim of this study was to determine the effect of activated carbon obtained from coffee husk (Coffea arabica L.) on the adsorption of turbidity, colour and metals (iron-manganese) present in aquifer waters, in order to contribute to the treatment of confined waters susceptible to contamination, in a natural way due to the geographical conditions of the soil. The variables evaluated were: activated carbon from coffee husk and adsorption of turbidity, colour and metals (iron-manganese). The adsorption capacity of the activated carbon of an agro-industrial waste was determined by applying different concentrations of the substance obtained experimentally on the water of the aquifer to be treated. The data were statistically analysed at two points in time; by means of the analysis of variance it was possible to show that the variations in the weight of the carbon, speed, volume and mixing time did not significantly influence the removal of pollutants; the removal percentage was determined, where the results obtained demonstrated the adsorbent effect of the activated carbon on turbidity, colour and metals (iron-manganese).","container-title":"Chemical Engineering Transactions","DOI":"10.3303/CET2189110","ISSN":"2283-9216","language":"en","page":"655-660","source":"www.cetjournal.it","title":"Study of Coffee Husk (coffea Arabica L.) Activated Carbon in the Treatment of Aquifer Water: Adsorption of Turbidity, Colour and Metals (iron-manganese)","title-short":"Study of Coffee Husk (coffea Arabica L.) Activated Carbon in the Treatment of Aquifer Water","volume":"89","author":[{"family":"Liza","given":"Y. F. A."},{"family":"Tapia","given":"Fabian Centurion"},{"family":"Espinoza","given":"Ronald F. Rodriguez"},{"family":"Urquiza","given":"Ronald Julca"},{"family":"Castaneda","given":"Ricardo R. Layza"},{"family":"Canta","given":"Juan J. Pinedo"},{"family":"Morales","given":"Luz K. Quintanilla"},{"family":"Burga","given":"Bany L. Quispe"}],"issued":{"date-parts":[["2021",12,15]]}}}],"schema":"https://github.com/citation-style-language/schema/raw/master/csl-citation.json"} </w:instrText>
      </w:r>
      <w:r w:rsidR="00F94C0A" w:rsidRPr="00121A17">
        <w:fldChar w:fldCharType="separate"/>
      </w:r>
      <w:r w:rsidR="008372A0" w:rsidRPr="00121A17">
        <w:rPr>
          <w:rFonts w:cs="Arial"/>
        </w:rPr>
        <w:t>(Liza et al., 2021)</w:t>
      </w:r>
      <w:r w:rsidR="00F94C0A" w:rsidRPr="00121A17">
        <w:fldChar w:fldCharType="end"/>
      </w:r>
      <w:r w:rsidRPr="00121A17">
        <w:t xml:space="preserve">. As a result, </w:t>
      </w:r>
      <w:r w:rsidR="000E639F" w:rsidRPr="00121A17">
        <w:t xml:space="preserve">there is a need to utilize the </w:t>
      </w:r>
      <w:r w:rsidR="002910DF" w:rsidRPr="00121A17">
        <w:t>by-products</w:t>
      </w:r>
      <w:r w:rsidR="000E639F" w:rsidRPr="00121A17">
        <w:t xml:space="preserve"> from the coffee beverage industry. While coffee husks are limited to areas of coffee cultivation, </w:t>
      </w:r>
      <w:r w:rsidRPr="00121A17">
        <w:t xml:space="preserve">spent coffee grounds (SCG) is a waste biomass source available globally and with a high potential for segregation and collection.  SCG is an excellent organic matter to produce biochar, as it </w:t>
      </w:r>
      <w:r w:rsidR="00EF3E6C" w:rsidRPr="00121A17">
        <w:t xml:space="preserve">is </w:t>
      </w:r>
      <w:r w:rsidRPr="00121A17">
        <w:t>composed of 10 to 13</w:t>
      </w:r>
      <w:r w:rsidR="000F2589" w:rsidRPr="00121A17">
        <w:t xml:space="preserve"> </w:t>
      </w:r>
      <w:r w:rsidRPr="00121A17">
        <w:t>% of cellulose, 32 to 42</w:t>
      </w:r>
      <w:r w:rsidR="000F2589" w:rsidRPr="00121A17">
        <w:t xml:space="preserve"> </w:t>
      </w:r>
      <w:r w:rsidRPr="00121A17">
        <w:t>% of hemicellulose, and up to 25</w:t>
      </w:r>
      <w:r w:rsidR="000F2589" w:rsidRPr="00121A17">
        <w:t xml:space="preserve"> </w:t>
      </w:r>
      <w:r w:rsidRPr="00121A17">
        <w:t>% of lignin. It also contains 10 to 18</w:t>
      </w:r>
      <w:r w:rsidR="000F2589" w:rsidRPr="00121A17">
        <w:t xml:space="preserve"> </w:t>
      </w:r>
      <w:r w:rsidRPr="00121A17">
        <w:t>% of protein, 2 to 24% lipids, 1 to 2</w:t>
      </w:r>
      <w:r w:rsidR="000F2589" w:rsidRPr="00121A17">
        <w:t xml:space="preserve"> </w:t>
      </w:r>
      <w:r w:rsidRPr="00121A17">
        <w:t>% of ash, 0 to 0.4</w:t>
      </w:r>
      <w:r w:rsidR="000F2589" w:rsidRPr="00121A17">
        <w:t xml:space="preserve"> </w:t>
      </w:r>
      <w:r w:rsidRPr="00121A17">
        <w:t>% of caffeine</w:t>
      </w:r>
      <w:r w:rsidR="000A42E6" w:rsidRPr="00121A17">
        <w:t>,</w:t>
      </w:r>
      <w:r w:rsidRPr="00121A17">
        <w:t xml:space="preserve"> and 1 to 3</w:t>
      </w:r>
      <w:r w:rsidR="000F2589" w:rsidRPr="00121A17">
        <w:t xml:space="preserve"> </w:t>
      </w:r>
      <w:r w:rsidRPr="00121A17">
        <w:t>% of chlorogenic acids</w:t>
      </w:r>
      <w:r w:rsidR="00CE22F1" w:rsidRPr="00121A17">
        <w:t xml:space="preserve"> </w:t>
      </w:r>
      <w:r w:rsidRPr="00121A17">
        <w:t xml:space="preserve">(Pereira et al., 2019). Coffee biochar has previously been found efficient to remove a maximum of 51.52 </w:t>
      </w:r>
      <w:r w:rsidR="00E14F94" w:rsidRPr="00121A17">
        <w:t>mg.g</w:t>
      </w:r>
      <w:r w:rsidRPr="00121A17">
        <w:rPr>
          <w:vertAlign w:val="superscript"/>
        </w:rPr>
        <w:t>-1</w:t>
      </w:r>
      <w:r w:rsidRPr="00121A17">
        <w:t xml:space="preserve"> NH</w:t>
      </w:r>
      <w:r w:rsidRPr="00121A17">
        <w:rPr>
          <w:vertAlign w:val="subscript"/>
        </w:rPr>
        <w:t>4</w:t>
      </w:r>
      <w:r w:rsidRPr="00121A17">
        <w:rPr>
          <w:vertAlign w:val="superscript"/>
        </w:rPr>
        <w:t>+</w:t>
      </w:r>
      <w:r w:rsidR="000A42E6" w:rsidRPr="00121A17">
        <w:t>,</w:t>
      </w:r>
      <w:r w:rsidRPr="00121A17">
        <w:t xml:space="preserve"> and 12.1 mg.g</w:t>
      </w:r>
      <w:r w:rsidRPr="00121A17">
        <w:rPr>
          <w:vertAlign w:val="superscript"/>
        </w:rPr>
        <w:t>-1</w:t>
      </w:r>
      <w:r w:rsidRPr="00121A17">
        <w:t xml:space="preserve"> of nitrate (NO</w:t>
      </w:r>
      <w:r w:rsidRPr="00121A17">
        <w:rPr>
          <w:vertAlign w:val="subscript"/>
        </w:rPr>
        <w:t>3</w:t>
      </w:r>
      <w:r w:rsidRPr="00121A17">
        <w:rPr>
          <w:vertAlign w:val="superscript"/>
        </w:rPr>
        <w:t>-</w:t>
      </w:r>
      <w:r w:rsidRPr="00121A17">
        <w:t xml:space="preserve">) </w:t>
      </w:r>
      <w:r w:rsidR="00747F98" w:rsidRPr="00121A17">
        <w:fldChar w:fldCharType="begin"/>
      </w:r>
      <w:r w:rsidR="00747F98" w:rsidRPr="00121A17">
        <w:instrText xml:space="preserve"> ADDIN ZOTERO_ITEM CSL_CITATION {"citationID":"HoKlRoUK","properties":{"formattedCitation":"(Konneh et al., 2021; Nguyen et al., 2021)","plainCitation":"(Konneh et al., 2021; Nguyen et al., 2021)","noteIndex":0},"citationItems":[{"id":3909,"uris":["http://zotero.org/users/5733999/items/N529TNXX"],"uri":["http://zotero.org/users/5733999/items/N529TNXX"],"itemData":{"id":3909,"type":"article-journal","abstract":"Enrichment of water bodies with nutrients from wastewater is one of the causes of eutrophication to aquatic ecosystems. This study investigated the use of biochar derived from rice husk, coconut husk, and coffee husk in adsorbing nitrates (NO3-N) and nitrites (NO2-N) from slaughterhouse wastewater. It also explored the desorption efficiencies of the adsorbed nutrients to ascertain the applicability of the enriched biochars as slow-release fertilizers. To characterize the physicochemical properties of the biochars, scanning electron microscopy (SEM) was used. Fourier transforms infrared spectroscopy (FTIR), elemental analysis (CHNO) Langmuir and Freundlich, and the isotherm models were employed to fit the experimental equilibrium adsorption data. It was observed that the Langmuir isotherm model has the best fit of NO3- N and NO2- N on all the biochars. And this was based on the coefficient of correlation values. Also, the coconut husk biochar has the highest adsorption capacities of NO3-N and NO2-N at 12.97 mg/g, and 0.244 mg/g, respectively, attributing to its high porosity as revealed by the SEM images. The adsorption capacities for the rice husk char were 12.315 and 0.233 mg/g, while that for coffee husk char were12.08 mg/g and 0.218 mg/g for NO3-N and NO2-N, respectively. The relatively higher amount of NO3-N adsorbed to that of NO2-N could be attributed to its higher initial concentration in the solution than nitrite concentration. The desorption efficiencies of nitrates were 22.4, 24.39, and 16.79 %, for rice husk char, coconut husk char and coffee husk char, respectively. For the rice husk char, coconut husk char and coffee husk char, the nitrites desorption efficiencies were 80.73, 91.39, and 83.62 %, respectively. These values are good indicators that the studied biochar can be enriched with NO3- N and NO2- N and used as slow-release fertilizers.","container-title":"Heliyon","DOI":"10.1016/j.heliyon.2021.e08458","ISSN":"2405-8440","issue":"11","journalAbbreviation":"Heliyon","language":"en","page":"e08458","source":"ScienceDirect","title":"Adsorption and desorption of nutrients from abattoir wastewater: modelling and comparison of rice, coconut and coffee husk biochar","title-short":"Adsorption and desorption of nutrients from abattoir wastewater","volume":"7","author":[{"family":"Konneh","given":"Morris"},{"family":"Wandera","given":"Simon M."},{"family":"Murunga","given":"Sylvia I."},{"family":"Raude","given":"James M."}],"issued":{"date-parts":[["2021",11,1]]}}},{"id":3888,"uris":["http://zotero.org/users/5733999/items/2C8MTSSX"],"uri":["http://zotero.org/users/5733999/items/2C8MTSSX"],"itemData":{"id":3888,"type":"article-journal","abstract":"Water sources are contaminated with nutrients such as nitrogen, which can cause eutrophication, resulting in degradation of the aquatic environment and severe effects on aquatic ecosystems. In this study, biochar derived from spent coffee grounds (CGB) was prepared and investigated for ammonium (NH4+) adsorption in water at different pH, NH4+ concentrations, and CGB dosage conditions. The most suitable conditions for NH4+ adsorption by CGB were found at pH of 7, initial NH4+ concentration of 40 mg L−1, and CGB dosage of 2 g L−1. Data of NH4+ adsorption was highly compatible with the Langmuir isotherm with an R2 of 0.976. Compared with biochars prepared from other agricultural by-products, CGB exhibited a high NH4+ adsorption capacity (Qmax = 51.52 mg g−1). Pseudo-second-order model fitted well the adsorption data. The use of spent coffee grounds to prepare NH4+ adsorbent biochar not only saves the cost of solid waste treatment but also creates materials to adsorb pollutants in the water and is a source of additional nutrients for crops or soil improvement.","container-title":"Case Studies in Chemical and Environmental Engineering","DOI":"10.1016/j.cscee.2021.100141","ISSN":"2666-0164","journalAbbreviation":"Case Studies in Chemical and Environmental Engineering","language":"en","page":"100141","source":"ScienceDirect","title":"Biochar derived from the spent coffee ground for ammonium adsorption from aqueous solution","volume":"4","author":[{"family":"Nguyen","given":"Van-Truc"},{"family":"Vo","given":"Thi-Dieu-Hien"},{"family":"Tran","given":"Thanh"},{"family":"Nguyen","given":"Thanh-Nho"},{"family":"Le","given":"Thi-Ngoc-Chau"},{"family":"Bui","given":"Xuan-Thanh"},{"family":"Bach","given":"Long-Giang"}],"issued":{"date-parts":[["2021",12,1]]}}}],"schema":"https://github.com/citation-style-language/schema/raw/master/csl-citation.json"} </w:instrText>
      </w:r>
      <w:r w:rsidR="00747F98" w:rsidRPr="00121A17">
        <w:fldChar w:fldCharType="separate"/>
      </w:r>
      <w:r w:rsidR="00747F98" w:rsidRPr="00121A17">
        <w:rPr>
          <w:rFonts w:cs="Arial"/>
        </w:rPr>
        <w:t>(Konneh et al., 2021; Nguyen et al., 2021)</w:t>
      </w:r>
      <w:r w:rsidR="00747F98" w:rsidRPr="00121A17">
        <w:fldChar w:fldCharType="end"/>
      </w:r>
      <w:r w:rsidRPr="00121A17">
        <w:t>.</w:t>
      </w:r>
      <w:r w:rsidR="00747F98" w:rsidRPr="00121A17">
        <w:t xml:space="preserve"> Kim et al. </w:t>
      </w:r>
      <w:r w:rsidR="00747F98" w:rsidRPr="00121A17">
        <w:fldChar w:fldCharType="begin"/>
      </w:r>
      <w:r w:rsidR="00747F98" w:rsidRPr="00121A17">
        <w:instrText xml:space="preserve"> ADDIN ZOTERO_ITEM CSL_CITATION {"citationID":"qn7n3nGW","properties":{"formattedCitation":"(2014)","plainCitation":"(2014)","noteIndex":0},"citationItems":[{"id":3935,"uris":["http://zotero.org/users/5733999/items/P45VZEVT"],"uri":["http://zotero.org/users/5733999/items/P45VZEVT"],"itemData":{"id":3935,"type":"article-journal","container-title":"Journal of environmental management","note":"publisher: Elsevier","page":"124–130","source":"Google Scholar","title":"The effectiveness of spent coffee grounds and its biochar on the amelioration of heavy metals-contaminated water and soil using chemical and biological assessments","volume":"146","author":[{"family":"Kim","given":"Min-Suk"},{"family":"Min","given":"Hyun-Gi"},{"family":"Koo","given":"Namin"},{"family":"Park","given":"Jeongsik"},{"family":"Lee","given":"Sang-Hwan"},{"family":"Bak","given":"Gwan-In"},{"family":"Kim","given":"Jeong-Gyu"}],"issued":{"date-parts":[["2014"]]}},"suppress-author":true}],"schema":"https://github.com/citation-style-language/schema/raw/master/csl-citation.json"} </w:instrText>
      </w:r>
      <w:r w:rsidR="00747F98" w:rsidRPr="00121A17">
        <w:fldChar w:fldCharType="separate"/>
      </w:r>
      <w:r w:rsidR="00747F98" w:rsidRPr="00121A17">
        <w:rPr>
          <w:rFonts w:cs="Arial"/>
        </w:rPr>
        <w:t>(2014)</w:t>
      </w:r>
      <w:r w:rsidR="00747F98" w:rsidRPr="00121A17">
        <w:fldChar w:fldCharType="end"/>
      </w:r>
      <w:r w:rsidRPr="00121A17">
        <w:t xml:space="preserve"> achieved a very high removal efficiency of 99</w:t>
      </w:r>
      <w:r w:rsidR="000F2589" w:rsidRPr="00121A17">
        <w:t xml:space="preserve"> </w:t>
      </w:r>
      <w:r w:rsidRPr="00121A17">
        <w:t>% for Cd, 88</w:t>
      </w:r>
      <w:r w:rsidR="000F2589" w:rsidRPr="00121A17">
        <w:t xml:space="preserve"> </w:t>
      </w:r>
      <w:r w:rsidRPr="00121A17">
        <w:t>% for Cu, &gt;99</w:t>
      </w:r>
      <w:r w:rsidR="000F2589" w:rsidRPr="00121A17">
        <w:t xml:space="preserve"> </w:t>
      </w:r>
      <w:r w:rsidRPr="00121A17">
        <w:t>% for Pb</w:t>
      </w:r>
      <w:r w:rsidR="000A42E6" w:rsidRPr="00121A17">
        <w:t>,</w:t>
      </w:r>
      <w:r w:rsidRPr="00121A17">
        <w:t xml:space="preserve"> and 99</w:t>
      </w:r>
      <w:r w:rsidR="000F2589" w:rsidRPr="00121A17">
        <w:t xml:space="preserve"> </w:t>
      </w:r>
      <w:r w:rsidRPr="00121A17">
        <w:t>% for Zn from acid mining drainage by using SCG biochar adsorbe</w:t>
      </w:r>
      <w:r w:rsidR="00111018" w:rsidRPr="00121A17">
        <w:t xml:space="preserve">nt produced at 400 °C for 16 h. </w:t>
      </w:r>
      <w:r w:rsidRPr="00121A17">
        <w:t>In another study</w:t>
      </w:r>
      <w:r w:rsidR="00C254DC" w:rsidRPr="00121A17">
        <w:t>,</w:t>
      </w:r>
      <w:r w:rsidRPr="00121A17">
        <w:t xml:space="preserve"> Oladipo et al. </w:t>
      </w:r>
      <w:r w:rsidR="00747F98" w:rsidRPr="00121A17">
        <w:fldChar w:fldCharType="begin"/>
      </w:r>
      <w:r w:rsidR="00B4524C" w:rsidRPr="00121A17">
        <w:instrText xml:space="preserve"> ADDIN ZOTERO_ITEM CSL_CITATION {"citationID":"sh4jZlJo","properties":{"formattedCitation":"(2016)","plainCitation":"(2016)","noteIndex":0},"citationItems":[{"id":3937,"uris":["http://zotero.org/users/5733999/items/5UXAN3JV"],"uri":["http://zotero.org/users/5733999/items/5UXAN3JV"],"itemData":{"id":3937,"type":"article-journal","container-title":"International journal of biological macromolecules","note":"publisher: Elsevier","page":"89–99","source":"Google Scholar","title":"Bifunctional composite from spent “Cyprus coffee” for tetracycline removal and phenol degradation: Solar-Fenton process and artificial neural network","title-short":"Bifunctional composite from spent “Cyprus coffee” for tetracycline removal and phenol degradation","volume":"90","author":[{"family":"Oladipo","given":"Akeem Adeyemi"},{"family":"Abureesh","given":"Mosab Ali"},{"family":"Gazi","given":"Mustafa"}],"issued":{"date-parts":[["2016"]]}},"suppress-author":true}],"schema":"https://github.com/citation-style-language/schema/raw/master/csl-citation.json"} </w:instrText>
      </w:r>
      <w:r w:rsidR="00747F98" w:rsidRPr="00121A17">
        <w:fldChar w:fldCharType="separate"/>
      </w:r>
      <w:r w:rsidR="00B4524C" w:rsidRPr="00121A17">
        <w:rPr>
          <w:rFonts w:cs="Arial"/>
        </w:rPr>
        <w:t>(2016)</w:t>
      </w:r>
      <w:r w:rsidR="00747F98" w:rsidRPr="00121A17">
        <w:fldChar w:fldCharType="end"/>
      </w:r>
      <w:r w:rsidRPr="00121A17">
        <w:t xml:space="preserve"> reported SCG biochar produced at 300 °C for 2 h adsorbed 184.5 mg.g</w:t>
      </w:r>
      <w:r w:rsidRPr="00121A17">
        <w:rPr>
          <w:vertAlign w:val="superscript"/>
        </w:rPr>
        <w:t>−1</w:t>
      </w:r>
      <w:r w:rsidRPr="00121A17">
        <w:t xml:space="preserve"> tetracycline compound while Fe</w:t>
      </w:r>
      <w:r w:rsidRPr="00121A17">
        <w:rPr>
          <w:vertAlign w:val="subscript"/>
        </w:rPr>
        <w:t>3</w:t>
      </w:r>
      <w:r w:rsidRPr="00121A17">
        <w:t>O</w:t>
      </w:r>
      <w:r w:rsidRPr="00121A17">
        <w:rPr>
          <w:vertAlign w:val="subscript"/>
        </w:rPr>
        <w:t>4</w:t>
      </w:r>
      <w:r w:rsidRPr="00121A17">
        <w:rPr>
          <w:vertAlign w:val="superscript"/>
        </w:rPr>
        <w:t>-</w:t>
      </w:r>
      <w:r w:rsidR="00B4524C" w:rsidRPr="00121A17">
        <w:rPr>
          <w:vertAlign w:val="superscript"/>
        </w:rPr>
        <w:t xml:space="preserve"> </w:t>
      </w:r>
      <w:r w:rsidRPr="00121A17">
        <w:t>coated SCG biochar adsorbed maximum 285.6 mg.g</w:t>
      </w:r>
      <w:r w:rsidRPr="00121A17">
        <w:rPr>
          <w:vertAlign w:val="superscript"/>
        </w:rPr>
        <w:t>−1</w:t>
      </w:r>
      <w:r w:rsidRPr="00121A17">
        <w:t xml:space="preserve"> of tetracycline compound. Nguyen et al. </w:t>
      </w:r>
      <w:r w:rsidR="00B4524C" w:rsidRPr="00121A17">
        <w:fldChar w:fldCharType="begin"/>
      </w:r>
      <w:r w:rsidR="00B4524C" w:rsidRPr="00121A17">
        <w:instrText xml:space="preserve"> ADDIN ZOTERO_ITEM CSL_CITATION {"citationID":"hNpmYkBZ","properties":{"formattedCitation":"(2021)","plainCitation":"(2021)","noteIndex":0},"citationItems":[{"id":3888,"uris":["http://zotero.org/users/5733999/items/2C8MTSSX"],"uri":["http://zotero.org/users/5733999/items/2C8MTSSX"],"itemData":{"id":3888,"type":"article-journal","abstract":"Water sources are contaminated with nutrients such as nitrogen, which can cause eutrophication, resulting in degradation of the aquatic environment and severe effects on aquatic ecosystems. In this study, biochar derived from spent coffee grounds (CGB) was prepared and investigated for ammonium (NH4+) adsorption in water at different pH, NH4+ concentrations, and CGB dosage conditions. The most suitable conditions for NH4+ adsorption by CGB were found at pH of 7, initial NH4+ concentration of 40 mg L−1, and CGB dosage of 2 g L−1. Data of NH4+ adsorption was highly compatible with the Langmuir isotherm with an R2 of 0.976. Compared with biochars prepared from other agricultural by-products, CGB exhibited a high NH4+ adsorption capacity (Qmax = 51.52 mg g−1). Pseudo-second-order model fitted well the adsorption data. The use of spent coffee grounds to prepare NH4+ adsorbent biochar not only saves the cost of solid waste treatment but also creates materials to adsorb pollutants in the water and is a source of additional nutrients for crops or soil improvement.","container-title":"Case Studies in Chemical and Environmental Engineering","DOI":"10.1016/j.cscee.2021.100141","ISSN":"2666-0164","journalAbbreviation":"Case Studies in Chemical and Environmental Engineering","language":"en","page":"100141","source":"ScienceDirect","title":"Biochar derived from the spent coffee ground for ammonium adsorption from aqueous solution","volume":"4","author":[{"family":"Nguyen","given":"Van-Truc"},{"family":"Vo","given":"Thi-Dieu-Hien"},{"family":"Tran","given":"Thanh"},{"family":"Nguyen","given":"Thanh-Nho"},{"family":"Le","given":"Thi-Ngoc-Chau"},{"family":"Bui","given":"Xuan-Thanh"},{"family":"Bach","given":"Long-Giang"}],"issued":{"date-parts":[["2021",12,1]]}},"suppress-author":true}],"schema":"https://github.com/citation-style-language/schema/raw/master/csl-citation.json"} </w:instrText>
      </w:r>
      <w:r w:rsidR="00B4524C" w:rsidRPr="00121A17">
        <w:fldChar w:fldCharType="separate"/>
      </w:r>
      <w:r w:rsidR="00B4524C" w:rsidRPr="00121A17">
        <w:rPr>
          <w:rFonts w:cs="Arial"/>
        </w:rPr>
        <w:t>(2021)</w:t>
      </w:r>
      <w:r w:rsidR="00B4524C" w:rsidRPr="00121A17">
        <w:fldChar w:fldCharType="end"/>
      </w:r>
      <w:r w:rsidRPr="00121A17">
        <w:t xml:space="preserve"> reported the alkaline modified SCG biochar at 500 °C for 2 h could be able to adsorb 113.6 mg</w:t>
      </w:r>
      <w:r w:rsidR="00E14F94" w:rsidRPr="00121A17">
        <w:t>.</w:t>
      </w:r>
      <w:r w:rsidRPr="00121A17">
        <w:t>g</w:t>
      </w:r>
      <w:r w:rsidRPr="00121A17">
        <w:rPr>
          <w:vertAlign w:val="superscript"/>
        </w:rPr>
        <w:t>−1</w:t>
      </w:r>
      <w:r w:rsidRPr="00121A17">
        <w:t xml:space="preserve"> tetracycline at a pH 7.45.</w:t>
      </w:r>
      <w:r w:rsidR="00EF3E6C" w:rsidRPr="00121A17">
        <w:t xml:space="preserve"> </w:t>
      </w:r>
      <w:r w:rsidR="00111018" w:rsidRPr="00121A17">
        <w:t xml:space="preserve">Untreated SCG has also been used as an adsorbent to reasonable effect. Lavecchia et al. </w:t>
      </w:r>
      <w:r w:rsidR="008372A0" w:rsidRPr="00121A17">
        <w:fldChar w:fldCharType="begin"/>
      </w:r>
      <w:r w:rsidR="008372A0" w:rsidRPr="00121A17">
        <w:instrText xml:space="preserve"> ADDIN ZOTERO_ITEM CSL_CITATION {"citationID":"uVCXqFeu","properties":{"formattedCitation":"(2016)","plainCitation":"(2016)","noteIndex":0},"citationItems":[{"id":3990,"uris":["http://zotero.org/users/5733999/items/JNKKRSFK"],"uri":["http://zotero.org/users/5733999/items/JNKKRSFK"],"itemData":{"id":3990,"type":"article-journal","container-title":"Chemical Engineering Transactions","page":"295–300","source":"Google Scholar","title":"Lead removal from water by adsorption on spent coffee grounds","volume":"47","author":[{"family":"Lavecchia","given":"Roberto"},{"family":"Medici","given":"Franco"},{"family":"Patterer","given":"S."},{"family":"Zuorro","given":"Antonio"}],"issued":{"date-parts":[["2016"]]}},"suppress-author":true}],"schema":"https://github.com/citation-style-language/schema/raw/master/csl-citation.json"} </w:instrText>
      </w:r>
      <w:r w:rsidR="008372A0" w:rsidRPr="00121A17">
        <w:fldChar w:fldCharType="separate"/>
      </w:r>
      <w:r w:rsidR="008372A0" w:rsidRPr="00121A17">
        <w:rPr>
          <w:rFonts w:cs="Arial"/>
        </w:rPr>
        <w:t>(2016)</w:t>
      </w:r>
      <w:r w:rsidR="008372A0" w:rsidRPr="00121A17">
        <w:fldChar w:fldCharType="end"/>
      </w:r>
      <w:r w:rsidR="00111018" w:rsidRPr="00121A17">
        <w:t xml:space="preserve"> studied the performance of SCG to remove lead, achieving a moderate equilibrium capacity of 2.46 mg.g</w:t>
      </w:r>
      <w:r w:rsidR="00111018" w:rsidRPr="00121A17">
        <w:rPr>
          <w:vertAlign w:val="superscript"/>
        </w:rPr>
        <w:t>-1</w:t>
      </w:r>
      <w:r w:rsidR="00111018" w:rsidRPr="00121A17">
        <w:t xml:space="preserve">, while Pradhan et al. </w:t>
      </w:r>
      <w:r w:rsidR="008372A0" w:rsidRPr="00121A17">
        <w:fldChar w:fldCharType="begin"/>
      </w:r>
      <w:r w:rsidR="000F10CA" w:rsidRPr="00121A17">
        <w:instrText xml:space="preserve"> ADDIN ZOTERO_ITEM CSL_CITATION {"citationID":"GaH1Quer","properties":{"formattedCitation":"(Pradhan et al., 2020)","plainCitation":"(Pradhan et al., 2020)","noteIndex":0},"citationItems":[{"id":3994,"uris":["http://zotero.org/users/5733999/items/LWFVBPNK"],"itemData":{"id":3994,"type":"article-journal","abstract":"Nature-based systems (NBS) are a cost-effective, energy efficient and aesthetically pleasing approach for greywater treatment, but they are space intensive. Vertical NBS overcome this issue but must utilize lightweight media to reduce their construction costs. This study evaluates four common plant growing media: perlite, coco coir, LECA and sand, and compares them with two new media derived from local waste materials: date seeds and spent coffee grounds (SCG). The media are characterized and tested for their removal of various greywater pollutants. Further tests are conducted comparing mixtures of perlite-coco coir and date seeds-SCG. SCG was found to be an excellent media for greywater treatment, providing a similar degree of treatment as the best traditional media, coco coir and providing improved drainage. Drainage was further improved by mixing SCG with date seeds, which performed better than any mixture of perlite and coco coir. Most pollutants showed a slight deterioration in treatment performance with this mixture, although the removal of suspended solids and chemical oxygen demand was improved. An increased bed height improved the treatment performance with SCG, while increased hydraulic loading resulted in decreased treatment performance for all media. This study demonstrates the potential of date seeds and SCG as locally recycled waste materials to realize treatment of greywater in vertical NBS.","container-title":"Chemosphere","DOI":"10.1016/j.chemosphere.2019.125564","ISSN":"0045-6535","journalAbbreviation":"Chemosphere","language":"en","page":"125564","source":"ScienceDirect","title":"Performance evaluation of various individual and mixed media for greywater treatment in vertical nature-based systems","volume":"245","author":[{"family":"Pradhan","given":"Snigdhendubala"},{"family":"Helal","given":"Mohamed I."},{"family":"Al-Ghamdi","given":"Sami G."},{"family":"Mackey","given":"Hamish R."}],"issued":{"date-parts":[["2020",4,1]]}},"label":"page"}],"schema":"https://github.com/citation-style-language/schema/raw/master/csl-citation.json"} </w:instrText>
      </w:r>
      <w:r w:rsidR="008372A0" w:rsidRPr="00121A17">
        <w:fldChar w:fldCharType="separate"/>
      </w:r>
      <w:r w:rsidR="000F10CA" w:rsidRPr="00121A17">
        <w:rPr>
          <w:rFonts w:cs="Arial"/>
        </w:rPr>
        <w:t>(2020)</w:t>
      </w:r>
      <w:r w:rsidR="008372A0" w:rsidRPr="00121A17">
        <w:fldChar w:fldCharType="end"/>
      </w:r>
      <w:r w:rsidR="004F412F" w:rsidRPr="00121A17">
        <w:t xml:space="preserve"> </w:t>
      </w:r>
      <w:r w:rsidR="00111018" w:rsidRPr="00121A17">
        <w:t>found SCG to be one of the most effective materials amongst various possible plant growth media for removal of organics from greywater.</w:t>
      </w:r>
    </w:p>
    <w:p w14:paraId="6BE6E2FD" w14:textId="77777777" w:rsidR="00B7324C" w:rsidRPr="00121A17" w:rsidRDefault="00B7324C" w:rsidP="00B7324C">
      <w:pPr>
        <w:pStyle w:val="CETListbullets"/>
      </w:pPr>
    </w:p>
    <w:p w14:paraId="1554AA9A" w14:textId="4A85F9DC" w:rsidR="00600535" w:rsidRPr="00121A17" w:rsidRDefault="00B7324C" w:rsidP="00712A4A">
      <w:pPr>
        <w:pStyle w:val="CETListbullets"/>
        <w:ind w:left="113" w:firstLine="0"/>
      </w:pPr>
      <w:r w:rsidRPr="00121A17">
        <w:t xml:space="preserve">However, there is a lack of detailed comparative study of various properties of SCG and SCG biochar produced at different pyrolysis temperatures towards the application of </w:t>
      </w:r>
      <w:r w:rsidR="00111018" w:rsidRPr="00121A17">
        <w:t xml:space="preserve">the </w:t>
      </w:r>
      <w:r w:rsidRPr="00121A17">
        <w:t xml:space="preserve">adsorbent to remove pollutants. Therefore, this study aims to compare different properties of SCG biomass and biochar </w:t>
      </w:r>
      <w:r w:rsidR="00111018" w:rsidRPr="00121A17">
        <w:t xml:space="preserve">produced at varying temperatures </w:t>
      </w:r>
      <w:r w:rsidRPr="00121A17">
        <w:t>to identify their characteristics and potential.</w:t>
      </w:r>
    </w:p>
    <w:p w14:paraId="06D17982" w14:textId="77777777" w:rsidR="00FD625C" w:rsidRPr="00121A17" w:rsidRDefault="00FD625C" w:rsidP="00FD625C">
      <w:pPr>
        <w:pStyle w:val="CETHeading1"/>
      </w:pPr>
      <w:r w:rsidRPr="00121A17">
        <w:t>Material and Method</w:t>
      </w:r>
    </w:p>
    <w:p w14:paraId="03CD09D3" w14:textId="77777777" w:rsidR="00FD625C" w:rsidRPr="00121A17" w:rsidRDefault="00FD625C" w:rsidP="00FD625C">
      <w:pPr>
        <w:pStyle w:val="CETheadingx"/>
      </w:pPr>
      <w:r w:rsidRPr="00121A17">
        <w:t>Collection of SCG biomass and biochar production</w:t>
      </w:r>
    </w:p>
    <w:p w14:paraId="2376C1F4" w14:textId="65FCDA78" w:rsidR="00FD625C" w:rsidRPr="00121A17" w:rsidRDefault="00FD625C" w:rsidP="00FD625C">
      <w:r w:rsidRPr="00121A17">
        <w:t xml:space="preserve">SCG was collected from a university canteen at Hamad Bin Khalifa University and </w:t>
      </w:r>
      <w:r w:rsidRPr="00121A17">
        <w:rPr>
          <w:rFonts w:eastAsia="TimesNewRomanPSMT"/>
        </w:rPr>
        <w:t xml:space="preserve">oven dried (Fisher Scientific Isotemp oven) at a temperature of 105 </w:t>
      </w:r>
      <w:r w:rsidRPr="00121A17">
        <w:t>°C for twenty-four hours. After drying</w:t>
      </w:r>
      <w:r w:rsidR="003E74C4" w:rsidRPr="00121A17">
        <w:t>,</w:t>
      </w:r>
      <w:r w:rsidRPr="00121A17">
        <w:t xml:space="preserve"> 50 g of SCG biomass was used to produce biochar by slow pyrolysis at three different temperatures: 300,</w:t>
      </w:r>
      <w:r w:rsidR="005B7C2E" w:rsidRPr="00121A17">
        <w:t xml:space="preserve"> </w:t>
      </w:r>
      <w:r w:rsidRPr="00121A17">
        <w:t>450</w:t>
      </w:r>
      <w:r w:rsidR="00063DD0" w:rsidRPr="00121A17">
        <w:t>,</w:t>
      </w:r>
      <w:r w:rsidRPr="00121A17">
        <w:t xml:space="preserve"> and 600 °C. A heating rate of 5 °C.min</w:t>
      </w:r>
      <w:r w:rsidRPr="00121A17">
        <w:rPr>
          <w:vertAlign w:val="superscript"/>
        </w:rPr>
        <w:t>-1</w:t>
      </w:r>
      <w:r w:rsidRPr="00121A17">
        <w:t xml:space="preserve"> was applied with a residence time at the set temperature of 30 min. After biochar production</w:t>
      </w:r>
      <w:r w:rsidR="00C254DC" w:rsidRPr="00121A17">
        <w:t>,</w:t>
      </w:r>
      <w:r w:rsidRPr="00121A17">
        <w:t xml:space="preserve"> the yield of biochar was determined by following the below </w:t>
      </w:r>
      <w:r w:rsidR="00C35479" w:rsidRPr="00121A17">
        <w:t>E</w:t>
      </w:r>
      <w:r w:rsidRPr="00121A17">
        <w:t>q</w:t>
      </w:r>
      <w:r w:rsidR="00C35479" w:rsidRPr="00121A17">
        <w:t xml:space="preserve"> (</w:t>
      </w:r>
      <w:r w:rsidRPr="00121A17">
        <w:t>1</w:t>
      </w:r>
      <w:r w:rsidR="00C35479" w:rsidRPr="00121A17">
        <w:t>)</w:t>
      </w:r>
      <w:r w:rsidRPr="00121A17">
        <w:t xml:space="preserve"> </w:t>
      </w:r>
      <w:r w:rsidRPr="00121A17">
        <w:fldChar w:fldCharType="begin"/>
      </w:r>
      <w:r w:rsidRPr="00121A17">
        <w:instrText xml:space="preserve"> ADDIN ZOTERO_ITEM CSL_CITATION {"citationID":"eZ8CXpx8","properties":{"formattedCitation":"(Abdelaal et al., 2021)","plainCitation":"(Abdelaal et al., 2021)","noteIndex":0},"citationItems":[{"id":3665,"uris":["http://zotero.org/users/5733999/items/2XPT6EA5"],"uri":["http://zotero.org/users/5733999/items/2XPT6EA5"],"itemData":{"id":3665,"type":"article-journal","abstract":"The citrus industry is considered one of the main contributors to agricultural waste. Peels are commonly used in the food industry or as feedstock in biorefining. In this study, the potential of waste orange peel biochar for agricultural applications in sandy soil was investigated. This will not only increase the percentage of agricultural waste recycling, but also lead to more sustainable agriculture with environmental benefits such as carbon sequestration. Biochar was produced through slow pyrolysis in the temperature range 300-600°C and at two holding durations (10 min and 60 min). Both factors had a significant impact on the physicochemical characteristics of biochar in the heating region 300-450°C. However, varying the holding time for pyrolysis temperatures beyond 450°C had a diminishing effect on biochar properties compared with the impact of increasing pyrolysis temperature. The study also looked at certain properties that are specific to agricultural application not previously reported for orange peel. Very high cation exchange capacities of 70 cmol kg-1 were achieved at 300°C, whereas water holding capacity was not strongly influenced by pyrolysis conditions. Preliminary planting tests indicate potential for improving agricultural sustainability in sandy soils. The technoeconomic analysis of biochar showed that the pyrolysis process can be profitable with sufficient plant capacity.","container-title":"Waste management &amp; research: the journal of the International Solid Wastes and Public Cleansing Association, ISWA","DOI":"10.1177/0734242X20978456","ISSN":"1096-3669","issue":"7","journalAbbreviation":"Waste Manag Res","language":"eng","note":"PMID: 33327900","page":"995-1004","source":"PubMed","title":"The impact of pyrolysis conditions on orange peel biochar physicochemical properties for sandy soil","volume":"39","author":[{"family":"Abdelaal","given":"Ali"},{"family":"Pradhan","given":"Snigdhendubala"},{"family":"AlNouss","given":"Ahmed"},{"family":"Tong","given":"Yongfeng"},{"family":"Al-Ansari","given":"Tareq"},{"family":"McKay","given":"Gordon"},{"family":"Mackey","given":"Hamish R."}],"issued":{"date-parts":[["2021",7]]}}}],"schema":"https://github.com/citation-style-language/schema/raw/master/csl-citation.json"} </w:instrText>
      </w:r>
      <w:r w:rsidRPr="00121A17">
        <w:fldChar w:fldCharType="separate"/>
      </w:r>
      <w:r w:rsidRPr="00121A17">
        <w:t>(Abdelaal et al., 2021)</w:t>
      </w:r>
      <w:r w:rsidRPr="00121A17">
        <w:fldChar w:fldCharType="end"/>
      </w:r>
      <w:r w:rsidR="007C334E" w:rsidRPr="00121A17">
        <w:t>.</w:t>
      </w:r>
      <w:r w:rsidRPr="00121A17">
        <w:t xml:space="preserve"> </w:t>
      </w:r>
    </w:p>
    <w:p w14:paraId="6781D8ED" w14:textId="77777777" w:rsidR="00BD6EB5" w:rsidRPr="00121A17" w:rsidRDefault="00BD6EB5" w:rsidP="00FD625C"/>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337"/>
      </w:tblGrid>
      <w:tr w:rsidR="00121A17" w:rsidRPr="00121A17" w14:paraId="45CF8E9C" w14:textId="77777777" w:rsidTr="00BD6EB5">
        <w:tc>
          <w:tcPr>
            <w:tcW w:w="4501" w:type="dxa"/>
          </w:tcPr>
          <w:p w14:paraId="62B82674" w14:textId="7619EBE0" w:rsidR="00BD6EB5" w:rsidRPr="00121A17" w:rsidRDefault="00BD6EB5" w:rsidP="00FD625C">
            <m:oMath>
              <m:r>
                <w:rPr>
                  <w:rFonts w:ascii="Cambria Math" w:hAnsi="Cambria Math"/>
                </w:rPr>
                <m:t>Yield</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biochar</m:t>
              </m:r>
            </m:oMath>
            <w:r w:rsidRPr="00121A17">
              <w:t>=</w:t>
            </w:r>
            <m:oMath>
              <m:f>
                <m:fPr>
                  <m:ctrlPr>
                    <w:rPr>
                      <w:rFonts w:ascii="Cambria Math" w:hAnsi="Cambria Math"/>
                    </w:rPr>
                  </m:ctrlPr>
                </m:fPr>
                <m:num>
                  <m:r>
                    <w:rPr>
                      <w:rFonts w:ascii="Cambria Math" w:hAnsi="Cambria Math"/>
                    </w:rPr>
                    <m:t>Weight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biochar</m:t>
                  </m:r>
                  <m:r>
                    <m:rPr>
                      <m:sty m:val="p"/>
                    </m:rPr>
                    <w:rPr>
                      <w:rFonts w:ascii="Cambria Math" w:hAnsi="Cambria Math"/>
                    </w:rPr>
                    <m:t xml:space="preserve"> (</m:t>
                  </m:r>
                  <m:r>
                    <w:rPr>
                      <w:rFonts w:ascii="Cambria Math" w:hAnsi="Cambria Math"/>
                    </w:rPr>
                    <m:t>g</m:t>
                  </m:r>
                  <m:r>
                    <m:rPr>
                      <m:sty m:val="p"/>
                    </m:rPr>
                    <w:rPr>
                      <w:rFonts w:ascii="Cambria Math" w:hAnsi="Cambria Math"/>
                    </w:rPr>
                    <m:t>)</m:t>
                  </m:r>
                </m:num>
                <m:den>
                  <m:r>
                    <w:rPr>
                      <w:rFonts w:ascii="Cambria Math" w:hAnsi="Cambria Math"/>
                    </w:rPr>
                    <m:t>Weight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biosolid</m:t>
                  </m:r>
                  <m:r>
                    <m:rPr>
                      <m:sty m:val="p"/>
                    </m:rPr>
                    <w:rPr>
                      <w:rFonts w:ascii="Cambria Math" w:hAnsi="Cambria Math"/>
                    </w:rPr>
                    <m:t xml:space="preserve"> (</m:t>
                  </m:r>
                  <m:r>
                    <w:rPr>
                      <w:rFonts w:ascii="Cambria Math" w:hAnsi="Cambria Math"/>
                    </w:rPr>
                    <m:t>g</m:t>
                  </m:r>
                  <m:r>
                    <m:rPr>
                      <m:sty m:val="p"/>
                    </m:rPr>
                    <w:rPr>
                      <w:rFonts w:ascii="Cambria Math" w:hAnsi="Cambria Math"/>
                    </w:rPr>
                    <m:t>)</m:t>
                  </m:r>
                </m:den>
              </m:f>
              <m:r>
                <m:rPr>
                  <m:sty m:val="p"/>
                </m:rPr>
                <w:rPr>
                  <w:rFonts w:ascii="Cambria Math" w:hAnsi="Cambria Math"/>
                </w:rPr>
                <m:t>×100</m:t>
              </m:r>
            </m:oMath>
            <w:r w:rsidRPr="00121A17">
              <w:rPr>
                <w:rFonts w:eastAsiaTheme="minorEastAsia"/>
              </w:rPr>
              <w:t xml:space="preserve">    </w:t>
            </w:r>
          </w:p>
        </w:tc>
        <w:tc>
          <w:tcPr>
            <w:tcW w:w="4502" w:type="dxa"/>
          </w:tcPr>
          <w:p w14:paraId="4DA81F8F" w14:textId="36C07B4D" w:rsidR="00BD6EB5" w:rsidRPr="00121A17" w:rsidRDefault="00BD6EB5" w:rsidP="00BD6EB5">
            <w:pPr>
              <w:jc w:val="right"/>
            </w:pPr>
            <w:r w:rsidRPr="00121A17">
              <w:t>(1)</w:t>
            </w:r>
          </w:p>
        </w:tc>
      </w:tr>
    </w:tbl>
    <w:p w14:paraId="31261FC9" w14:textId="77777777" w:rsidR="00FD625C" w:rsidRPr="00121A17" w:rsidRDefault="00FD625C" w:rsidP="00FD625C">
      <w:pPr>
        <w:pStyle w:val="CETheadingx"/>
      </w:pPr>
      <w:r w:rsidRPr="00121A17">
        <w:t>Physico-chemical characterization of SCG biomass and biochar</w:t>
      </w:r>
    </w:p>
    <w:p w14:paraId="52B3EF4C" w14:textId="33888986" w:rsidR="00FD625C" w:rsidRPr="00121A17" w:rsidRDefault="00FD625C" w:rsidP="000E639F">
      <w:pPr>
        <w:adjustRightInd w:val="0"/>
      </w:pPr>
      <w:r w:rsidRPr="00121A17">
        <w:t xml:space="preserve">The detailed characterization of various physicochemical properties of SCG and SCG biochar were determined by following various standard procedures reported by Abdelaal et al. </w:t>
      </w:r>
      <w:r w:rsidRPr="00121A17">
        <w:fldChar w:fldCharType="begin"/>
      </w:r>
      <w:r w:rsidR="0088797B" w:rsidRPr="00121A17">
        <w:instrText xml:space="preserve"> ADDIN ZOTERO_ITEM CSL_CITATION {"citationID":"LhkPUP24","properties":{"formattedCitation":"(2021)","plainCitation":"(2021)","noteIndex":0},"citationItems":[{"id":3665,"uris":["http://zotero.org/users/5733999/items/2XPT6EA5"],"uri":["http://zotero.org/users/5733999/items/2XPT6EA5"],"itemData":{"id":3665,"type":"article-journal","abstract":"The citrus industry is considered one of the main contributors to agricultural waste. Peels are commonly used in the food industry or as feedstock in biorefining. In this study, the potential of waste orange peel biochar for agricultural applications in sandy soil was investigated. This will not only increase the percentage of agricultural waste recycling, but also lead to more sustainable agriculture with environmental benefits such as carbon sequestration. Biochar was produced through slow pyrolysis in the temperature range 300-600°C and at two holding durations (10 min and 60 min). Both factors had a significant impact on the physicochemical characteristics of biochar in the heating region 300-450°C. However, varying the holding time for pyrolysis temperatures beyond 450°C had a diminishing effect on biochar properties compared with the impact of increasing pyrolysis temperature. The study also looked at certain properties that are specific to agricultural application not previously reported for orange peel. Very high cation exchange capacities of 70 cmol kg-1 were achieved at 300°C, whereas water holding capacity was not strongly influenced by pyrolysis conditions. Preliminary planting tests indicate potential for improving agricultural sustainability in sandy soils. The technoeconomic analysis of biochar showed that the pyrolysis process can be profitable with sufficient plant capacity.","container-title":"Waste management &amp; research: the journal of the International Solid Wastes and Public Cleansing Association, ISWA","DOI":"10.1177/0734242X20978456","ISSN":"1096-3669","issue":"7","journalAbbreviation":"Waste Manag Res","language":"eng","note":"PMID: 33327900","page":"995-1004","source":"PubMed","title":"The impact of pyrolysis conditions on orange peel biochar physicochemical properties for sandy soil","volume":"39","author":[{"family":"Abdelaal","given":"Ali"},{"family":"Pradhan","given":"Snigdhendubala"},{"family":"AlNouss","given":"Ahmed"},{"family":"Tong","given":"Yongfeng"},{"family":"Al-Ansari","given":"Tareq"},{"family":"McKay","given":"Gordon"},{"family":"Mackey","given":"Hamish R."}],"issued":{"date-parts":[["2021",7]]}},"suppress-author":true}],"schema":"https://github.com/citation-style-language/schema/raw/master/csl-citation.json"} </w:instrText>
      </w:r>
      <w:r w:rsidRPr="00121A17">
        <w:fldChar w:fldCharType="separate"/>
      </w:r>
      <w:r w:rsidR="0088797B" w:rsidRPr="00121A17">
        <w:rPr>
          <w:rFonts w:cs="Arial"/>
        </w:rPr>
        <w:t>(2021)</w:t>
      </w:r>
      <w:r w:rsidRPr="00121A17">
        <w:fldChar w:fldCharType="end"/>
      </w:r>
      <w:r w:rsidRPr="00121A17">
        <w:t>. The carbon (C), nitrogen (N)</w:t>
      </w:r>
      <w:r w:rsidR="000E639F" w:rsidRPr="00121A17">
        <w:t>, and</w:t>
      </w:r>
      <w:r w:rsidRPr="00121A17">
        <w:t xml:space="preserve"> hydrogen (H) content of SCG</w:t>
      </w:r>
      <w:r w:rsidR="00063DD0" w:rsidRPr="00121A17">
        <w:t>,</w:t>
      </w:r>
      <w:r w:rsidRPr="00121A17">
        <w:t xml:space="preserve"> </w:t>
      </w:r>
      <w:r w:rsidR="000E639F" w:rsidRPr="00121A17">
        <w:t>as well as</w:t>
      </w:r>
      <w:r w:rsidRPr="00121A17">
        <w:t xml:space="preserve"> SCG derived biochar was determined using a combustion-type elemental analyzer (EA 3000, Eurovector). Proximate analysis was conducted to measure volatile matter (VM), fixed carbon (FC)</w:t>
      </w:r>
      <w:r w:rsidR="00063DD0" w:rsidRPr="00121A17">
        <w:t>,</w:t>
      </w:r>
      <w:r w:rsidR="000E639F" w:rsidRPr="00121A17">
        <w:t xml:space="preserve"> and</w:t>
      </w:r>
      <w:r w:rsidRPr="00121A17">
        <w:t xml:space="preserve"> ash content of biomass and biochar follow</w:t>
      </w:r>
      <w:r w:rsidR="000E639F" w:rsidRPr="00121A17">
        <w:t>ing</w:t>
      </w:r>
      <w:r w:rsidRPr="00121A17">
        <w:t xml:space="preserve"> the American Society for Testing and Materials (ASTM) D7582-15 method </w:t>
      </w:r>
      <w:r w:rsidRPr="00121A17">
        <w:fldChar w:fldCharType="begin"/>
      </w:r>
      <w:r w:rsidR="0088797B" w:rsidRPr="00121A17">
        <w:instrText xml:space="preserve"> ADDIN ZOTERO_ITEM CSL_CITATION {"citationID":"PxOf3YIf","properties":{"formattedCitation":"(ASTM, 2013)","plainCitation":"(ASTM, 2013)","noteIndex":0},"citationItems":[{"id":344,"uris":["http://zotero.org/users/5733999/items/DFAVGLDI"],"uri":["http://zotero.org/users/5733999/items/DFAVGLDI"],"itemData":{"id":344,"type":"article-journal","title":"Standard test methods for proximate analysis of coal and coke by macro thermogravimetric analysis D 7582-15","author":[{"family":"ASTM","given":""}],"issued":{"date-parts":[["2013"]]}}}],"schema":"https://github.com/citation-style-language/schema/raw/master/csl-citation.json"} </w:instrText>
      </w:r>
      <w:r w:rsidRPr="00121A17">
        <w:fldChar w:fldCharType="separate"/>
      </w:r>
      <w:r w:rsidR="0088797B" w:rsidRPr="00121A17">
        <w:rPr>
          <w:rFonts w:cs="Arial"/>
        </w:rPr>
        <w:t>(ASTM, 2013)</w:t>
      </w:r>
      <w:r w:rsidRPr="00121A17">
        <w:fldChar w:fldCharType="end"/>
      </w:r>
      <w:r w:rsidRPr="00121A17">
        <w:t>.  Fixed carbon content was calculated by the following</w:t>
      </w:r>
      <w:r w:rsidR="00015713" w:rsidRPr="00121A17">
        <w:t xml:space="preserve"> E</w:t>
      </w:r>
      <w:r w:rsidRPr="00121A17">
        <w:t xml:space="preserve">q </w:t>
      </w:r>
      <w:r w:rsidR="00015713" w:rsidRPr="00121A17">
        <w:t>(</w:t>
      </w:r>
      <w:r w:rsidRPr="00121A17">
        <w:t>2</w:t>
      </w:r>
      <w:r w:rsidR="00015713" w:rsidRPr="00121A17">
        <w:t>).</w:t>
      </w:r>
    </w:p>
    <w:p w14:paraId="6FD0D19A" w14:textId="77777777" w:rsidR="00015713" w:rsidRPr="00121A17" w:rsidRDefault="00015713" w:rsidP="00FD625C">
      <w:pPr>
        <w:adjustRightInd w:val="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84"/>
      </w:tblGrid>
      <w:tr w:rsidR="00015713" w:rsidRPr="00121A17" w14:paraId="16F81A50" w14:textId="77777777" w:rsidTr="00015713">
        <w:tc>
          <w:tcPr>
            <w:tcW w:w="4501" w:type="dxa"/>
          </w:tcPr>
          <w:p w14:paraId="33119BF6" w14:textId="511842D6" w:rsidR="00015713" w:rsidRPr="00121A17" w:rsidRDefault="00015713" w:rsidP="00FD625C">
            <w:pPr>
              <w:adjustRightInd w:val="0"/>
            </w:pPr>
            <m:oMathPara>
              <m:oMath>
                <m:r>
                  <w:rPr>
                    <w:rFonts w:ascii="Cambria Math" w:hAnsi="Cambria Math"/>
                  </w:rPr>
                  <m:t xml:space="preserve">FC </m:t>
                </m:r>
                <m:d>
                  <m:dPr>
                    <m:ctrlPr>
                      <w:rPr>
                        <w:rFonts w:ascii="Cambria Math" w:hAnsi="Cambria Math"/>
                        <w:i/>
                      </w:rPr>
                    </m:ctrlPr>
                  </m:dPr>
                  <m:e>
                    <m:r>
                      <w:rPr>
                        <w:rFonts w:ascii="Cambria Math" w:hAnsi="Cambria Math"/>
                      </w:rPr>
                      <m:t>%</m:t>
                    </m:r>
                  </m:e>
                </m:d>
                <m:r>
                  <w:rPr>
                    <w:rFonts w:ascii="Cambria Math" w:hAnsi="Cambria Math"/>
                  </w:rPr>
                  <m:t xml:space="preserve">=100-[Ash </m:t>
                </m:r>
                <m:d>
                  <m:dPr>
                    <m:ctrlPr>
                      <w:rPr>
                        <w:rFonts w:ascii="Cambria Math" w:hAnsi="Cambria Math"/>
                        <w:i/>
                      </w:rPr>
                    </m:ctrlPr>
                  </m:dPr>
                  <m:e>
                    <m:r>
                      <w:rPr>
                        <w:rFonts w:ascii="Cambria Math" w:hAnsi="Cambria Math"/>
                      </w:rPr>
                      <m:t>%</m:t>
                    </m:r>
                  </m:e>
                </m:d>
                <m:r>
                  <w:rPr>
                    <w:rFonts w:ascii="Cambria Math" w:hAnsi="Cambria Math"/>
                  </w:rPr>
                  <m:t xml:space="preserve">+VM </m:t>
                </m:r>
                <m:d>
                  <m:dPr>
                    <m:ctrlPr>
                      <w:rPr>
                        <w:rFonts w:ascii="Cambria Math" w:hAnsi="Cambria Math"/>
                        <w:i/>
                      </w:rPr>
                    </m:ctrlPr>
                  </m:dPr>
                  <m:e>
                    <m:r>
                      <w:rPr>
                        <w:rFonts w:ascii="Cambria Math" w:hAnsi="Cambria Math"/>
                      </w:rPr>
                      <m:t>%</m:t>
                    </m:r>
                  </m:e>
                </m:d>
                <m:r>
                  <w:rPr>
                    <w:rFonts w:ascii="Cambria Math" w:hAnsi="Cambria Math"/>
                  </w:rPr>
                  <m:t xml:space="preserve">+MC </m:t>
                </m:r>
                <m:d>
                  <m:dPr>
                    <m:ctrlPr>
                      <w:rPr>
                        <w:rFonts w:ascii="Cambria Math" w:hAnsi="Cambria Math"/>
                        <w:i/>
                      </w:rPr>
                    </m:ctrlPr>
                  </m:dPr>
                  <m:e>
                    <m:r>
                      <w:rPr>
                        <w:rFonts w:ascii="Cambria Math" w:hAnsi="Cambria Math"/>
                      </w:rPr>
                      <m:t>%</m:t>
                    </m:r>
                  </m:e>
                </m:d>
                <m:r>
                  <w:rPr>
                    <w:rFonts w:ascii="Cambria Math" w:hAnsi="Cambria Math"/>
                  </w:rPr>
                  <m:t>]</m:t>
                </m:r>
              </m:oMath>
            </m:oMathPara>
          </w:p>
        </w:tc>
        <w:tc>
          <w:tcPr>
            <w:tcW w:w="4502" w:type="dxa"/>
          </w:tcPr>
          <w:p w14:paraId="4598EE3B" w14:textId="6D0B2001" w:rsidR="00015713" w:rsidRPr="00121A17" w:rsidRDefault="00015713" w:rsidP="00015713">
            <w:pPr>
              <w:adjustRightInd w:val="0"/>
              <w:jc w:val="right"/>
            </w:pPr>
            <w:r w:rsidRPr="00121A17">
              <w:t>(2)</w:t>
            </w:r>
          </w:p>
        </w:tc>
      </w:tr>
    </w:tbl>
    <w:p w14:paraId="5EAEB500" w14:textId="77777777" w:rsidR="00015713" w:rsidRPr="00121A17" w:rsidRDefault="00015713" w:rsidP="00FD625C">
      <w:pPr>
        <w:adjustRightInd w:val="0"/>
      </w:pPr>
    </w:p>
    <w:p w14:paraId="5A22128D" w14:textId="75E13AA4" w:rsidR="00FD625C" w:rsidRPr="00121A17" w:rsidRDefault="00FD625C" w:rsidP="00FD625C">
      <w:pPr>
        <w:adjustRightInd w:val="0"/>
      </w:pPr>
      <w:r w:rsidRPr="00121A17">
        <w:t xml:space="preserve">The oxygen (O) % was calculated by following </w:t>
      </w:r>
      <w:r w:rsidR="00D679AB" w:rsidRPr="00121A17">
        <w:t>Eq (3)</w:t>
      </w:r>
    </w:p>
    <w:p w14:paraId="5C93A854" w14:textId="77777777" w:rsidR="00D679AB" w:rsidRPr="00121A17" w:rsidRDefault="00D679AB" w:rsidP="00FD625C">
      <w:pPr>
        <w:adjustRightInd w:val="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84"/>
      </w:tblGrid>
      <w:tr w:rsidR="00D679AB" w:rsidRPr="00121A17" w14:paraId="615F365A" w14:textId="77777777" w:rsidTr="00D41CAB">
        <w:tc>
          <w:tcPr>
            <w:tcW w:w="4501" w:type="dxa"/>
          </w:tcPr>
          <w:p w14:paraId="19F1095A" w14:textId="4F6E5EB4" w:rsidR="00D679AB" w:rsidRPr="00121A17" w:rsidRDefault="00D679AB" w:rsidP="00D41CAB">
            <w:pPr>
              <w:adjustRightInd w:val="0"/>
            </w:pPr>
            <m:oMathPara>
              <m:oMath>
                <m:r>
                  <w:rPr>
                    <w:rFonts w:ascii="Cambria Math" w:hAnsi="Cambria Math"/>
                  </w:rPr>
                  <m:t xml:space="preserve">O </m:t>
                </m:r>
                <m:d>
                  <m:dPr>
                    <m:ctrlPr>
                      <w:rPr>
                        <w:rFonts w:ascii="Cambria Math" w:hAnsi="Cambria Math"/>
                        <w:i/>
                      </w:rPr>
                    </m:ctrlPr>
                  </m:dPr>
                  <m:e>
                    <m:r>
                      <w:rPr>
                        <w:rFonts w:ascii="Cambria Math" w:hAnsi="Cambria Math"/>
                      </w:rPr>
                      <m:t>%</m:t>
                    </m:r>
                  </m:e>
                </m:d>
                <m:r>
                  <w:rPr>
                    <w:rFonts w:ascii="Cambria Math" w:hAnsi="Cambria Math"/>
                  </w:rPr>
                  <m:t xml:space="preserve">=100-[C </m:t>
                </m:r>
                <m:d>
                  <m:dPr>
                    <m:ctrlPr>
                      <w:rPr>
                        <w:rFonts w:ascii="Cambria Math" w:hAnsi="Cambria Math"/>
                        <w:i/>
                      </w:rPr>
                    </m:ctrlPr>
                  </m:dPr>
                  <m:e>
                    <m:r>
                      <w:rPr>
                        <w:rFonts w:ascii="Cambria Math" w:hAnsi="Cambria Math"/>
                      </w:rPr>
                      <m:t>%</m:t>
                    </m:r>
                  </m:e>
                </m:d>
                <m:r>
                  <w:rPr>
                    <w:rFonts w:ascii="Cambria Math" w:hAnsi="Cambria Math"/>
                  </w:rPr>
                  <m:t xml:space="preserve">+H </m:t>
                </m:r>
                <m:d>
                  <m:dPr>
                    <m:ctrlPr>
                      <w:rPr>
                        <w:rFonts w:ascii="Cambria Math" w:hAnsi="Cambria Math"/>
                        <w:i/>
                      </w:rPr>
                    </m:ctrlPr>
                  </m:dPr>
                  <m:e>
                    <m:r>
                      <w:rPr>
                        <w:rFonts w:ascii="Cambria Math" w:hAnsi="Cambria Math"/>
                      </w:rPr>
                      <m:t>%</m:t>
                    </m:r>
                  </m:e>
                </m:d>
                <m:r>
                  <w:rPr>
                    <w:rFonts w:ascii="Cambria Math" w:hAnsi="Cambria Math"/>
                  </w:rPr>
                  <m:t xml:space="preserve">+N </m:t>
                </m:r>
                <m:d>
                  <m:dPr>
                    <m:ctrlPr>
                      <w:rPr>
                        <w:rFonts w:ascii="Cambria Math" w:hAnsi="Cambria Math"/>
                        <w:i/>
                      </w:rPr>
                    </m:ctrlPr>
                  </m:dPr>
                  <m:e>
                    <m:r>
                      <w:rPr>
                        <w:rFonts w:ascii="Cambria Math" w:hAnsi="Cambria Math"/>
                      </w:rPr>
                      <m:t>%</m:t>
                    </m:r>
                  </m:e>
                </m:d>
                <m:r>
                  <w:rPr>
                    <w:rFonts w:ascii="Cambria Math" w:hAnsi="Cambria Math"/>
                  </w:rPr>
                  <m:t xml:space="preserve">+Ash </m:t>
                </m:r>
                <m:d>
                  <m:dPr>
                    <m:ctrlPr>
                      <w:rPr>
                        <w:rFonts w:ascii="Cambria Math" w:hAnsi="Cambria Math"/>
                        <w:i/>
                      </w:rPr>
                    </m:ctrlPr>
                  </m:dPr>
                  <m:e>
                    <m:r>
                      <w:rPr>
                        <w:rFonts w:ascii="Cambria Math" w:hAnsi="Cambria Math"/>
                      </w:rPr>
                      <m:t>%</m:t>
                    </m:r>
                  </m:e>
                </m:d>
                <m:r>
                  <w:rPr>
                    <w:rFonts w:ascii="Cambria Math" w:hAnsi="Cambria Math"/>
                  </w:rPr>
                  <m:t>]</m:t>
                </m:r>
              </m:oMath>
            </m:oMathPara>
          </w:p>
        </w:tc>
        <w:tc>
          <w:tcPr>
            <w:tcW w:w="4502" w:type="dxa"/>
          </w:tcPr>
          <w:p w14:paraId="4F0080EF" w14:textId="4C66907D" w:rsidR="00D679AB" w:rsidRPr="00121A17" w:rsidRDefault="00D679AB" w:rsidP="00D41CAB">
            <w:pPr>
              <w:adjustRightInd w:val="0"/>
              <w:jc w:val="right"/>
            </w:pPr>
            <w:r w:rsidRPr="00121A17">
              <w:t>(</w:t>
            </w:r>
            <w:r w:rsidR="00495B7A" w:rsidRPr="00121A17">
              <w:t>3</w:t>
            </w:r>
            <w:r w:rsidRPr="00121A17">
              <w:t>)</w:t>
            </w:r>
          </w:p>
        </w:tc>
      </w:tr>
    </w:tbl>
    <w:p w14:paraId="682EA295" w14:textId="77777777" w:rsidR="00FD625C" w:rsidRPr="00121A17" w:rsidRDefault="00FD625C" w:rsidP="00FD625C">
      <w:pPr>
        <w:adjustRightInd w:val="0"/>
      </w:pPr>
    </w:p>
    <w:p w14:paraId="36ADC4CE" w14:textId="18109699" w:rsidR="00FD625C" w:rsidRPr="00121A17" w:rsidRDefault="00FD625C" w:rsidP="005B7C2E">
      <w:r w:rsidRPr="00121A17">
        <w:t>The pH and electrical conductivity of the extract (ECE) of biochar were measured by using a calibrated pH meter and conductivity meter (Orion Star A</w:t>
      </w:r>
      <w:r w:rsidR="005B7C2E" w:rsidRPr="00121A17">
        <w:t>121 and A329, Thermo Scientific</w:t>
      </w:r>
      <w:r w:rsidRPr="00121A17">
        <w:t xml:space="preserve">). Media and water were mixed at a ratio of 1:10 in a shaker for 1 h at 150 rpm before measuring pH and ECE </w:t>
      </w:r>
      <w:r w:rsidRPr="00121A17">
        <w:fldChar w:fldCharType="begin"/>
      </w:r>
      <w:r w:rsidRPr="00121A17">
        <w:instrText xml:space="preserve"> ADDIN ZOTERO_ITEM CSL_CITATION {"citationID":"86A6rMmW","properties":{"formattedCitation":"(Dai et al., 2013)","plainCitation":"(Dai et al., 2013)","noteIndex":0},"citationItems":[{"id":1151,"uris":["http://zotero.org/users/5733999/items/6HKN8UQ6"],"uri":["http://zotero.org/users/5733999/items/6HKN8UQ6"],"itemData":{"id":1151,"type":"article-journal","abstract":"Purpose\nBiochars have been considered as useful soil amendments due to their beneficial properties in improving soil fertility, carbon (C) sequestration, and soil decontamination. In our study, a series of biochars produced from different types of feedstocks at two pyrolysis temperatures (300 and 500 °C) were characterized to evaluate their different potentials as soil amendments.\n\nMaterials and methods\nTen types of feedstocks were used to prepare biochars at the pyrolysis temperatures of 300 and 500 °C, for 2 h. Chemical and physical analyses, X-ray diffraction (XRD), scanning electron microscopy (SEM), and Fourier Transform Infrared (FTIR) analyses were conducted to determine differences in biochar properties. Then, soil incubation studies were used to investigate the relationships between these biochar properties and their different ameliorant values in soil.\n\nResults and discussion\nThe pH, ash, total C, total potassium, total phosphorus, total base cation concentrations, surface areas, and total pore volumes of biochars produced at 500 °C were higher than at 300 °C, while the reverse applied for yields, total oxygen and total hydrogen, and average pore widths and particle sizes. Cluster analysis suggested that biochars derived from similar feedstock types belonged in the same category. The SEM, XRD, and FTIR analyses of typical biochars from the different categories suggested both variations and similarities in their characteristics. In addition, the results from soil incubation experiments were consistent with the conclusions made from biochar characteristics analysis.\n\nConclusions\nBiochars derived from swine manures, fruit peels, and leaves with high pH and macro-nutrients appeared appropriate to increase soil pH and soil nutrient availability; whereas, biochars from wetland plant residues with high C concentrations and Brunauer–Emmett–Teller were better for soil C sequestration and contaminant adsorption.","container-title":"Journal of Soils and Sediments","DOI":"10.1007/s11368-013-0698-y","journalAbbreviation":"J. Soil. Sediment.","page":"989–1000","source":"ResearchGate","title":"The potential feasibility for soil improvement, based on the properties of biochars pyrolyzed from different feedstocks","volume":"13","author":[{"family":"Dai","given":"Zhongmin"},{"family":"Meng","given":"Jun"},{"family":"Muhammad","given":"Niaz"},{"family":"Liu","given":"Xingmei"},{"family":"Wang","given":"Haizhen"},{"family":"He","given":"Yan"},{"family":"Brookes","given":"Philip"},{"family":"Xu","given":"Jianming"}],"issued":{"date-parts":[["2013",6,1]]}}}],"schema":"https://github.com/citation-style-language/schema/raw/master/csl-citation.json"} </w:instrText>
      </w:r>
      <w:r w:rsidRPr="00121A17">
        <w:fldChar w:fldCharType="separate"/>
      </w:r>
      <w:r w:rsidRPr="00121A17">
        <w:t>(Dai et al., 2013)</w:t>
      </w:r>
      <w:r w:rsidRPr="00121A17">
        <w:fldChar w:fldCharType="end"/>
      </w:r>
      <w:r w:rsidRPr="00121A17">
        <w:t xml:space="preserve">. The cation exchange </w:t>
      </w:r>
      <w:r w:rsidRPr="00121A17">
        <w:lastRenderedPageBreak/>
        <w:t>capacity (CEC) of biochar was determined by measuring the degree of ammonium exchange (NH</w:t>
      </w:r>
      <w:r w:rsidRPr="00121A17">
        <w:rPr>
          <w:vertAlign w:val="subscript"/>
        </w:rPr>
        <w:t>4</w:t>
      </w:r>
      <w:r w:rsidRPr="00121A17">
        <w:rPr>
          <w:vertAlign w:val="superscript"/>
        </w:rPr>
        <w:t>+</w:t>
      </w:r>
      <w:r w:rsidRPr="00121A17">
        <w:t xml:space="preserve">), following ASTM D7503-10 </w:t>
      </w:r>
      <w:r w:rsidRPr="00121A17">
        <w:fldChar w:fldCharType="begin"/>
      </w:r>
      <w:r w:rsidRPr="00121A17">
        <w:instrText xml:space="preserve"> ADDIN ZOTERO_ITEM CSL_CITATION {"citationID":"x3QDtZEO","properties":{"formattedCitation":"(2010)","plainCitation":"(2010)","noteIndex":0},"citationItems":[{"id":343,"uris":["http://zotero.org/users/5733999/items/UHJ6XI42"],"uri":["http://zotero.org/users/5733999/items/UHJ6XI42"],"itemData":{"id":343,"type":"article-journal","title":"Standard test method for measuring the exchange complex and cation exchange capacity of inorganic fine-grained soils D7503-10","author":[{"family":"ASTM","given":""}],"issued":{"date-parts":[["2010"]]}},"suppress-author":true}],"schema":"https://github.com/citation-style-language/schema/raw/master/csl-citation.json"} </w:instrText>
      </w:r>
      <w:r w:rsidRPr="00121A17">
        <w:fldChar w:fldCharType="separate"/>
      </w:r>
      <w:r w:rsidRPr="00121A17">
        <w:t>(2010)</w:t>
      </w:r>
      <w:r w:rsidRPr="00121A17">
        <w:fldChar w:fldCharType="end"/>
      </w:r>
      <w:r w:rsidRPr="00121A17">
        <w:t xml:space="preserve">. The concentration of ammonia was measured by segmented flow analyzer (Sans+, Skalar). </w:t>
      </w:r>
      <w:r w:rsidRPr="00121A17">
        <w:rPr>
          <w:rFonts w:eastAsia="TimesNewRomanPSMT"/>
        </w:rPr>
        <w:t xml:space="preserve">The ζ-potential of SCG biomass and biochar was measured by Zetasizer Nano-ZS (Malvern Panalytical) following the procedure reported by </w:t>
      </w:r>
      <w:r w:rsidR="00921C12" w:rsidRPr="00121A17">
        <w:t>Abdelaal</w:t>
      </w:r>
      <w:r w:rsidRPr="00121A17">
        <w:t xml:space="preserve"> et al. </w:t>
      </w:r>
      <w:r w:rsidRPr="00121A17">
        <w:fldChar w:fldCharType="begin"/>
      </w:r>
      <w:r w:rsidR="00921C12" w:rsidRPr="00121A17">
        <w:instrText xml:space="preserve"> ADDIN ZOTERO_ITEM CSL_CITATION {"citationID":"ZVyHtWea","properties":{"formattedCitation":"(2021)","plainCitation":"(2021)","noteIndex":0},"citationItems":[{"id":3665,"uris":["http://zotero.org/users/5733999/items/2XPT6EA5"],"uri":["http://zotero.org/users/5733999/items/2XPT6EA5"],"itemData":{"id":3665,"type":"article-journal","abstract":"The citrus industry is considered one of the main contributors to agricultural waste. Peels are commonly used in the food industry or as feedstock in biorefining. In this study, the potential of waste orange peel biochar for agricultural applications in sandy soil was investigated. This will not only increase the percentage of agricultural waste recycling, but also lead to more sustainable agriculture with environmental benefits such as carbon sequestration. Biochar was produced through slow pyrolysis in the temperature range 300-600°C and at two holding durations (10 min and 60 min). Both factors had a significant impact on the physicochemical characteristics of biochar in the heating region 300-450°C. However, varying the holding time for pyrolysis temperatures beyond 450°C had a diminishing effect on biochar properties compared with the impact of increasing pyrolysis temperature. The study also looked at certain properties that are specific to agricultural application not previously reported for orange peel. Very high cation exchange capacities of 70 cmol kg-1 were achieved at 300°C, whereas water holding capacity was not strongly influenced by pyrolysis conditions. Preliminary planting tests indicate potential for improving agricultural sustainability in sandy soils. The technoeconomic analysis of biochar showed that the pyrolysis process can be profitable with sufficient plant capacity.","container-title":"Waste management &amp; research: the journal of the International Solid Wastes and Public Cleansing Association, ISWA","DOI":"10.1177/0734242X20978456","ISSN":"1096-3669","issue":"7","journalAbbreviation":"Waste Manag Res","language":"eng","note":"PMID: 33327900","page":"995-1004","source":"PubMed","title":"The impact of pyrolysis conditions on orange peel biochar physicochemical properties for sandy soil","volume":"39","author":[{"family":"Abdelaal","given":"Ali"},{"family":"Pradhan","given":"Snigdhendubala"},{"family":"AlNouss","given":"Ahmed"},{"family":"Tong","given":"Yongfeng"},{"family":"Al-Ansari","given":"Tareq"},{"family":"McKay","given":"Gordon"},{"family":"Mackey","given":"Hamish R."}],"issued":{"date-parts":[["2021",7]]}},"suppress-author":true}],"schema":"https://github.com/citation-style-language/schema/raw/master/csl-citation.json"} </w:instrText>
      </w:r>
      <w:r w:rsidRPr="00121A17">
        <w:fldChar w:fldCharType="separate"/>
      </w:r>
      <w:r w:rsidR="00921C12" w:rsidRPr="00121A17">
        <w:rPr>
          <w:rFonts w:cs="Arial"/>
        </w:rPr>
        <w:t>(2021)</w:t>
      </w:r>
      <w:r w:rsidRPr="00121A17">
        <w:fldChar w:fldCharType="end"/>
      </w:r>
      <w:r w:rsidRPr="00121A17">
        <w:t xml:space="preserve">. The oil holding capacity of the biomass and biochar samples were measured by following the procedure reported by Nguyen </w:t>
      </w:r>
      <w:r w:rsidRPr="00121A17">
        <w:fldChar w:fldCharType="begin"/>
      </w:r>
      <w:r w:rsidR="0020489B" w:rsidRPr="00121A17">
        <w:instrText xml:space="preserve"> ADDIN ZOTERO_ITEM CSL_CITATION {"citationID":"wyePUF9J","properties":{"formattedCitation":"(2021)","plainCitation":"(2021)","noteIndex":0},"citationItems":[{"id":3888,"uris":["http://zotero.org/users/5733999/items/2C8MTSSX"],"uri":["http://zotero.org/users/5733999/items/2C8MTSSX"],"itemData":{"id":3888,"type":"article-journal","abstract":"Water sources are contaminated with nutrients such as nitrogen, which can cause eutrophication, resulting in degradation of the aquatic environment and severe effects on aquatic ecosystems. In this study, biochar derived from spent coffee grounds (CGB) was prepared and investigated for ammonium (NH4+) adsorption in water at different pH, NH4+ concentrations, and CGB dosage conditions. The most suitable conditions for NH4+ adsorption by CGB were found at pH of 7, initial NH4+ concentration of 40 mg L−1, and CGB dosage of 2 g L−1. Data of NH4+ adsorption was highly compatible with the Langmuir isotherm with an R2 of 0.976. Compared with biochars prepared from other agricultural by-products, CGB exhibited a high NH4+ adsorption capacity (Qmax = 51.52 mg g−1). Pseudo-second-order model fitted well the adsorption data. The use of spent coffee grounds to prepare NH4+ adsorbent biochar not only saves the cost of solid waste treatment but also creates materials to adsorb pollutants in the water and is a source of additional nutrients for crops or soil improvement.","container-title":"Case Studies in Chemical and Environmental Engineering","DOI":"10.1016/j.cscee.2021.100141","ISSN":"2666-0164","journalAbbreviation":"Case Studies in Chemical and Environmental Engineering","language":"en","page":"100141","source":"ScienceDirect","title":"Biochar derived from the spent coffee ground for ammonium adsorption from aqueous solution","volume":"4","author":[{"family":"Nguyen","given":"Van-Truc"},{"family":"Vo","given":"Thi-Dieu-Hien"},{"family":"Tran","given":"Thanh"},{"family":"Nguyen","given":"Thanh-Nho"},{"family":"Le","given":"Thi-Ngoc-Chau"},{"family":"Bui","given":"Xuan-Thanh"},{"family":"Bach","given":"Long-Giang"}],"issued":{"date-parts":[["2021",12,1]]}},"suppress-author":true}],"schema":"https://github.com/citation-style-language/schema/raw/master/csl-citation.json"} </w:instrText>
      </w:r>
      <w:r w:rsidRPr="00121A17">
        <w:fldChar w:fldCharType="separate"/>
      </w:r>
      <w:r w:rsidR="0020489B" w:rsidRPr="00121A17">
        <w:rPr>
          <w:rFonts w:cs="Arial"/>
        </w:rPr>
        <w:t>(2021)</w:t>
      </w:r>
      <w:r w:rsidRPr="00121A17">
        <w:fldChar w:fldCharType="end"/>
      </w:r>
      <w:r w:rsidRPr="00121A17">
        <w:t>. Nutrient content of the biomass and biochar samples were measured by inductively coupled plasma optical emission spectroscopy (ICP-OES) using an Agilent 5110 ICP-OES that enables synchronous radial and axial measurement. Before analysis, 500 mg of sample was digested with 8 mL nitric acid and 2 mL hydrogen peroxide with a microwave digestion system (Ethos UP, Milestone). After digestion</w:t>
      </w:r>
      <w:r w:rsidR="000E639F" w:rsidRPr="00121A17">
        <w:t>,</w:t>
      </w:r>
      <w:r w:rsidRPr="00121A17">
        <w:t xml:space="preserve"> samples were diluted with deionized water and filtered with 0.45 µm filter paper.</w:t>
      </w:r>
    </w:p>
    <w:p w14:paraId="0F540303" w14:textId="77777777" w:rsidR="00871296" w:rsidRPr="00121A17" w:rsidRDefault="00871296" w:rsidP="00871296">
      <w:pPr>
        <w:pStyle w:val="CETHeading1"/>
      </w:pPr>
      <w:r w:rsidRPr="00121A17">
        <w:t>Results and Discussion</w:t>
      </w:r>
    </w:p>
    <w:p w14:paraId="25043D58" w14:textId="77777777" w:rsidR="00871296" w:rsidRPr="00121A17" w:rsidRDefault="00871296" w:rsidP="00871296">
      <w:pPr>
        <w:pStyle w:val="CETheadingx"/>
      </w:pPr>
      <w:r w:rsidRPr="00121A17">
        <w:t>Impact of pyrolysis temperature on yield and bulk density of biochar</w:t>
      </w:r>
    </w:p>
    <w:p w14:paraId="2EB215BD" w14:textId="4E26C46A" w:rsidR="00871296" w:rsidRPr="00121A17" w:rsidRDefault="00871296" w:rsidP="009223A3">
      <w:r w:rsidRPr="00121A17">
        <w:t>Temperature is one of the most important factors that affect the process of biomass pyrolysis and biochar yield (Figure 1a). With increasing temperature</w:t>
      </w:r>
      <w:r w:rsidR="000E639F" w:rsidRPr="00121A17">
        <w:t xml:space="preserve"> the</w:t>
      </w:r>
      <w:r w:rsidRPr="00121A17">
        <w:t xml:space="preserve"> yield of biochar decreased. A reduction of 70</w:t>
      </w:r>
      <w:r w:rsidR="000F2589" w:rsidRPr="00121A17">
        <w:t xml:space="preserve"> </w:t>
      </w:r>
      <w:r w:rsidRPr="00121A17">
        <w:t xml:space="preserve">% in yield was noticed from 300 to 600 ˚C. This was due to greater primary decomposition of the biomass samples or through the secondary decomposition of the biochar itself, since more volatile materials were being forced out of the char at higher temperatures </w:t>
      </w:r>
      <w:r w:rsidRPr="00121A17">
        <w:fldChar w:fldCharType="begin"/>
      </w:r>
      <w:r w:rsidR="00BB706E" w:rsidRPr="00121A17">
        <w:instrText xml:space="preserve"> ADDIN ZOTERO_ITEM CSL_CITATION {"citationID":"uc9tEd88","properties":{"formattedCitation":"(Abdelaal et al., 2021)","plainCitation":"(Abdelaal et al., 2021)","noteIndex":0},"citationItems":[{"id":3665,"uris":["http://zotero.org/users/5733999/items/2XPT6EA5"],"uri":["http://zotero.org/users/5733999/items/2XPT6EA5"],"itemData":{"id":3665,"type":"article-journal","abstract":"The citrus industry is considered one of the main contributors to agricultural waste. Peels are commonly used in the food industry or as feedstock in biorefining. In this study, the potential of waste orange peel biochar for agricultural applications in sandy soil was investigated. This will not only increase the percentage of agricultural waste recycling, but also lead to more sustainable agriculture with environmental benefits such as carbon sequestration. Biochar was produced through slow pyrolysis in the temperature range 300-600°C and at two holding durations (10 min and 60 min). Both factors had a significant impact on the physicochemical characteristics of biochar in the heating region 300-450°C. However, varying the holding time for pyrolysis temperatures beyond 450°C had a diminishing effect on biochar properties compared with the impact of increasing pyrolysis temperature. The study also looked at certain properties that are specific to agricultural application not previously reported for orange peel. Very high cation exchange capacities of 70 cmol kg-1 were achieved at 300°C, whereas water holding capacity was not strongly influenced by pyrolysis conditions. Preliminary planting tests indicate potential for improving agricultural sustainability in sandy soils. The technoeconomic analysis of biochar showed that the pyrolysis process can be profitable with sufficient plant capacity.","container-title":"Waste management &amp; research: the journal of the International Solid Wastes and Public Cleansing Association, ISWA","DOI":"10.1177/0734242X20978456","ISSN":"1096-3669","issue":"7","journalAbbreviation":"Waste Manag Res","language":"eng","note":"PMID: 33327900","page":"995-1004","source":"PubMed","title":"The impact of pyrolysis conditions on orange peel biochar physicochemical properties for sandy soil","volume":"39","author":[{"family":"Abdelaal","given":"Ali"},{"family":"Pradhan","given":"Snigdhendubala"},{"family":"AlNouss","given":"Ahmed"},{"family":"Tong","given":"Yongfeng"},{"family":"Al-Ansari","given":"Tareq"},{"family":"McKay","given":"Gordon"},{"family":"Mackey","given":"Hamish R."}],"issued":{"date-parts":[["2021",7]]}}}],"schema":"https://github.com/citation-style-language/schema/raw/master/csl-citation.json"} </w:instrText>
      </w:r>
      <w:r w:rsidRPr="00121A17">
        <w:fldChar w:fldCharType="separate"/>
      </w:r>
      <w:r w:rsidR="00BB706E" w:rsidRPr="00121A17">
        <w:rPr>
          <w:rFonts w:cs="Arial"/>
        </w:rPr>
        <w:t>(Abdelaal et al., 2021)</w:t>
      </w:r>
      <w:r w:rsidRPr="00121A17">
        <w:fldChar w:fldCharType="end"/>
      </w:r>
      <w:r w:rsidRPr="00121A17">
        <w:t>. Conversion of biochar at 300 ˚C reduced the bulk density of the material by 62</w:t>
      </w:r>
      <w:r w:rsidR="000F2589" w:rsidRPr="00121A17">
        <w:t xml:space="preserve"> </w:t>
      </w:r>
      <w:r w:rsidRPr="00121A17">
        <w:t xml:space="preserve">% compared to the SCG biomass, with only a minor reduction at the higher temperatures. This indicates any form of pyrolysis is highly influential on the physical form of the material and decomposition of </w:t>
      </w:r>
      <w:r w:rsidR="000E639F" w:rsidRPr="00121A17">
        <w:t xml:space="preserve">SCG </w:t>
      </w:r>
      <w:r w:rsidRPr="00121A17">
        <w:t xml:space="preserve">biomass (Figure 1b). Bulk density is an indicator of porosity, which plays a major role in absorption of pollutants, </w:t>
      </w:r>
      <w:r w:rsidR="009223A3" w:rsidRPr="00121A17">
        <w:t xml:space="preserve">as well as aeration of the packed media, </w:t>
      </w:r>
      <w:r w:rsidRPr="00121A17">
        <w:t>microbial movement and colonization</w:t>
      </w:r>
      <w:r w:rsidR="009223A3" w:rsidRPr="00121A17">
        <w:t>. All these factors</w:t>
      </w:r>
      <w:r w:rsidRPr="00121A17">
        <w:t xml:space="preserve"> </w:t>
      </w:r>
      <w:r w:rsidR="009223A3" w:rsidRPr="00121A17">
        <w:t>influence</w:t>
      </w:r>
      <w:r w:rsidRPr="00121A17">
        <w:t xml:space="preserve"> bioremediation</w:t>
      </w:r>
      <w:r w:rsidR="009223A3" w:rsidRPr="00121A17">
        <w:t xml:space="preserve"> potential for biofilter applications</w:t>
      </w:r>
      <w:r w:rsidRPr="00121A17">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948"/>
      </w:tblGrid>
      <w:tr w:rsidR="00121A17" w:rsidRPr="00121A17" w14:paraId="54116728" w14:textId="77777777" w:rsidTr="00845678">
        <w:tc>
          <w:tcPr>
            <w:tcW w:w="4961" w:type="dxa"/>
          </w:tcPr>
          <w:p w14:paraId="0C4D62F9" w14:textId="77777777" w:rsidR="00871296" w:rsidRPr="00121A17" w:rsidRDefault="00871296" w:rsidP="00FE51E1">
            <w:pPr>
              <w:rPr>
                <w:rFonts w:asciiTheme="majorBidi" w:hAnsiTheme="majorBidi" w:cstheme="majorBidi"/>
                <w:sz w:val="24"/>
                <w:szCs w:val="24"/>
              </w:rPr>
            </w:pPr>
            <w:r w:rsidRPr="00121A17">
              <w:rPr>
                <w:noProof/>
                <w:lang w:val="it-IT" w:eastAsia="it-IT"/>
              </w:rPr>
              <w:drawing>
                <wp:inline distT="0" distB="0" distL="0" distR="0" wp14:anchorId="3FC321FB" wp14:editId="07695169">
                  <wp:extent cx="2825309" cy="1496569"/>
                  <wp:effectExtent l="0" t="0" r="0" b="8890"/>
                  <wp:docPr id="8" name="Picture 8"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 histogram&#10;&#10;Description automatically generated"/>
                          <pic:cNvPicPr/>
                        </pic:nvPicPr>
                        <pic:blipFill>
                          <a:blip r:embed="rId10"/>
                          <a:stretch>
                            <a:fillRect/>
                          </a:stretch>
                        </pic:blipFill>
                        <pic:spPr>
                          <a:xfrm>
                            <a:off x="0" y="0"/>
                            <a:ext cx="2845331" cy="1507175"/>
                          </a:xfrm>
                          <a:prstGeom prst="rect">
                            <a:avLst/>
                          </a:prstGeom>
                        </pic:spPr>
                      </pic:pic>
                    </a:graphicData>
                  </a:graphic>
                </wp:inline>
              </w:drawing>
            </w:r>
          </w:p>
        </w:tc>
        <w:tc>
          <w:tcPr>
            <w:tcW w:w="4042" w:type="dxa"/>
          </w:tcPr>
          <w:p w14:paraId="0FDAB2FE" w14:textId="18E97C64" w:rsidR="00871296" w:rsidRPr="00121A17" w:rsidRDefault="009B6A41" w:rsidP="00FE51E1">
            <w:pPr>
              <w:rPr>
                <w:rFonts w:asciiTheme="majorBidi" w:hAnsiTheme="majorBidi" w:cstheme="majorBidi"/>
                <w:sz w:val="24"/>
                <w:szCs w:val="24"/>
              </w:rPr>
            </w:pPr>
            <w:r w:rsidRPr="00121A17">
              <w:rPr>
                <w:rFonts w:asciiTheme="majorBidi" w:hAnsiTheme="majorBidi" w:cstheme="majorBidi"/>
                <w:noProof/>
                <w:sz w:val="24"/>
                <w:szCs w:val="24"/>
                <w:lang w:val="it-IT" w:eastAsia="it-IT"/>
              </w:rPr>
              <w:drawing>
                <wp:inline distT="0" distB="0" distL="0" distR="0" wp14:anchorId="4276CF47" wp14:editId="4147558C">
                  <wp:extent cx="2277517" cy="1485433"/>
                  <wp:effectExtent l="0" t="0" r="889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401" cy="1497750"/>
                          </a:xfrm>
                          <a:prstGeom prst="rect">
                            <a:avLst/>
                          </a:prstGeom>
                          <a:noFill/>
                        </pic:spPr>
                      </pic:pic>
                    </a:graphicData>
                  </a:graphic>
                </wp:inline>
              </w:drawing>
            </w:r>
          </w:p>
        </w:tc>
      </w:tr>
    </w:tbl>
    <w:p w14:paraId="6B46CE81" w14:textId="6FFFFBAD" w:rsidR="00871296" w:rsidRPr="00121A17" w:rsidRDefault="00871296" w:rsidP="00F670F9">
      <w:pPr>
        <w:pStyle w:val="CETCaption"/>
      </w:pPr>
      <w:r w:rsidRPr="00121A17">
        <w:t xml:space="preserve">Figure 1: Impact of pyrolysis temperature on (a) yield and (b) bulk density of biochar. </w:t>
      </w:r>
      <w:r w:rsidRPr="00121A17">
        <w:rPr>
          <w:iCs/>
        </w:rPr>
        <w:t>BM: biomass; BC: biochar</w:t>
      </w:r>
    </w:p>
    <w:p w14:paraId="166D1FFB" w14:textId="77777777" w:rsidR="00871296" w:rsidRPr="00121A17" w:rsidRDefault="00871296" w:rsidP="00871296">
      <w:pPr>
        <w:pStyle w:val="CETheadingx"/>
      </w:pPr>
      <w:r w:rsidRPr="00121A17">
        <w:t xml:space="preserve">Impact of pyrolysis temperature on elemental and proximate analysis </w:t>
      </w:r>
    </w:p>
    <w:p w14:paraId="606C3A19" w14:textId="5769026D" w:rsidR="00873977" w:rsidRPr="00121A17" w:rsidRDefault="00871296" w:rsidP="00A66E4A">
      <w:r w:rsidRPr="00121A17">
        <w:t xml:space="preserve">Pyrolysis of SCG biomass to biochar at 300 °C increased </w:t>
      </w:r>
      <w:r w:rsidR="00D53EA0" w:rsidRPr="00121A17">
        <w:t>C from 45</w:t>
      </w:r>
      <w:r w:rsidR="000F2589" w:rsidRPr="00121A17">
        <w:t xml:space="preserve"> </w:t>
      </w:r>
      <w:r w:rsidR="00D53EA0" w:rsidRPr="00121A17">
        <w:t>% to 67</w:t>
      </w:r>
      <w:r w:rsidR="000F2589" w:rsidRPr="00121A17">
        <w:t xml:space="preserve"> </w:t>
      </w:r>
      <w:r w:rsidRPr="00121A17">
        <w:t xml:space="preserve">% and </w:t>
      </w:r>
      <w:r w:rsidR="00D53EA0" w:rsidRPr="00121A17">
        <w:t xml:space="preserve">N </w:t>
      </w:r>
      <w:r w:rsidRPr="00121A17">
        <w:t>from 1.77</w:t>
      </w:r>
      <w:r w:rsidR="000F2589" w:rsidRPr="00121A17">
        <w:t xml:space="preserve"> </w:t>
      </w:r>
      <w:r w:rsidRPr="00121A17">
        <w:t xml:space="preserve">% N </w:t>
      </w:r>
      <w:r w:rsidR="00D53EA0" w:rsidRPr="00121A17">
        <w:t>to</w:t>
      </w:r>
      <w:r w:rsidRPr="00121A17">
        <w:t xml:space="preserve"> </w:t>
      </w:r>
      <w:r w:rsidR="00D53EA0" w:rsidRPr="00121A17">
        <w:t>1.83</w:t>
      </w:r>
      <w:r w:rsidR="000F2589" w:rsidRPr="00121A17">
        <w:t xml:space="preserve"> </w:t>
      </w:r>
      <w:r w:rsidRPr="00121A17">
        <w:t>%. O reduced from 46</w:t>
      </w:r>
      <w:r w:rsidR="000F2589" w:rsidRPr="00121A17">
        <w:t xml:space="preserve"> </w:t>
      </w:r>
      <w:r w:rsidRPr="00121A17">
        <w:t xml:space="preserve">% </w:t>
      </w:r>
      <w:r w:rsidR="00D53EA0" w:rsidRPr="00121A17">
        <w:t>to 23</w:t>
      </w:r>
      <w:r w:rsidR="000F2589" w:rsidRPr="00121A17">
        <w:t xml:space="preserve"> </w:t>
      </w:r>
      <w:r w:rsidR="00C254DC" w:rsidRPr="00121A17">
        <w:t>%</w:t>
      </w:r>
      <w:r w:rsidR="00D53EA0" w:rsidRPr="00121A17">
        <w:t xml:space="preserve"> </w:t>
      </w:r>
      <w:r w:rsidRPr="00121A17">
        <w:t xml:space="preserve">and H </w:t>
      </w:r>
      <w:r w:rsidR="00D53EA0" w:rsidRPr="00121A17">
        <w:t>from 6</w:t>
      </w:r>
      <w:r w:rsidR="000F2589" w:rsidRPr="00121A17">
        <w:t xml:space="preserve"> </w:t>
      </w:r>
      <w:r w:rsidR="00D53EA0" w:rsidRPr="00121A17">
        <w:t>% to 5</w:t>
      </w:r>
      <w:r w:rsidR="000F2589" w:rsidRPr="00121A17">
        <w:t xml:space="preserve"> </w:t>
      </w:r>
      <w:r w:rsidR="00D53EA0" w:rsidRPr="00121A17">
        <w:t>%</w:t>
      </w:r>
      <w:r w:rsidR="009223A3" w:rsidRPr="00121A17">
        <w:t>,</w:t>
      </w:r>
      <w:r w:rsidR="00D53EA0" w:rsidRPr="00121A17">
        <w:t xml:space="preserve"> </w:t>
      </w:r>
      <w:r w:rsidRPr="00121A17">
        <w:t>signifying loss of certain oxygen rich functional groups and compounds. An increase of 67</w:t>
      </w:r>
      <w:r w:rsidR="00807EA6" w:rsidRPr="00121A17">
        <w:t xml:space="preserve"> </w:t>
      </w:r>
      <w:r w:rsidRPr="00121A17">
        <w:t>% to 78</w:t>
      </w:r>
      <w:r w:rsidR="00807EA6" w:rsidRPr="00121A17">
        <w:t xml:space="preserve"> </w:t>
      </w:r>
      <w:r w:rsidRPr="00121A17">
        <w:t>% of C, 2</w:t>
      </w:r>
      <w:r w:rsidR="000F2589" w:rsidRPr="00121A17">
        <w:t xml:space="preserve"> </w:t>
      </w:r>
      <w:r w:rsidRPr="00121A17">
        <w:t>% to 3</w:t>
      </w:r>
      <w:r w:rsidR="000F2589" w:rsidRPr="00121A17">
        <w:t xml:space="preserve"> </w:t>
      </w:r>
      <w:r w:rsidRPr="00121A17">
        <w:t>% of N</w:t>
      </w:r>
      <w:r w:rsidR="00394719" w:rsidRPr="00121A17">
        <w:t>,</w:t>
      </w:r>
      <w:r w:rsidRPr="00121A17">
        <w:t xml:space="preserve"> a reduction of 5</w:t>
      </w:r>
      <w:r w:rsidR="000F2589" w:rsidRPr="00121A17">
        <w:t xml:space="preserve"> </w:t>
      </w:r>
      <w:r w:rsidRPr="00121A17">
        <w:t>% to 2</w:t>
      </w:r>
      <w:r w:rsidR="000F2589" w:rsidRPr="00121A17">
        <w:t xml:space="preserve"> </w:t>
      </w:r>
      <w:r w:rsidRPr="00121A17">
        <w:t>% of H</w:t>
      </w:r>
      <w:r w:rsidR="002134AC" w:rsidRPr="00121A17">
        <w:t>,</w:t>
      </w:r>
      <w:r w:rsidRPr="00121A17">
        <w:t xml:space="preserve"> and 23</w:t>
      </w:r>
      <w:r w:rsidR="002134AC" w:rsidRPr="00121A17">
        <w:t xml:space="preserve"> %</w:t>
      </w:r>
      <w:r w:rsidRPr="00121A17">
        <w:t xml:space="preserve"> to 10</w:t>
      </w:r>
      <w:r w:rsidR="000F2589" w:rsidRPr="00121A17">
        <w:t xml:space="preserve"> </w:t>
      </w:r>
      <w:r w:rsidRPr="00121A17">
        <w:t>% of O</w:t>
      </w:r>
      <w:r w:rsidR="009223A3" w:rsidRPr="00121A17">
        <w:t>,</w:t>
      </w:r>
      <w:r w:rsidRPr="00121A17">
        <w:t xml:space="preserve"> was observed when comparing the composition of the biochar produced at the pyrolysis temperature of 300 °C and 600 °C (Fig</w:t>
      </w:r>
      <w:r w:rsidR="00A66E4A" w:rsidRPr="00121A17">
        <w:t>ure</w:t>
      </w:r>
      <w:r w:rsidRPr="00121A17">
        <w:t xml:space="preserve"> 2a). </w:t>
      </w:r>
      <w:r w:rsidR="00D53EA0" w:rsidRPr="00121A17">
        <w:t>T</w:t>
      </w:r>
      <w:r w:rsidRPr="00121A17">
        <w:t>he biochar production from SCG biomass</w:t>
      </w:r>
      <w:r w:rsidR="009223A3" w:rsidRPr="00121A17">
        <w:t xml:space="preserve"> at 300 </w:t>
      </w:r>
      <w:r w:rsidR="009223A3" w:rsidRPr="00121A17">
        <w:rPr>
          <w:rFonts w:cs="Arial"/>
        </w:rPr>
        <w:t>°</w:t>
      </w:r>
      <w:r w:rsidR="009223A3" w:rsidRPr="00121A17">
        <w:t>C</w:t>
      </w:r>
      <w:r w:rsidRPr="00121A17">
        <w:t xml:space="preserve"> increased FC by 35</w:t>
      </w:r>
      <w:r w:rsidR="000F2589" w:rsidRPr="00121A17">
        <w:t xml:space="preserve"> </w:t>
      </w:r>
      <w:r w:rsidRPr="00121A17">
        <w:t>%, ash by 1</w:t>
      </w:r>
      <w:r w:rsidR="000F2589" w:rsidRPr="00121A17">
        <w:t xml:space="preserve"> </w:t>
      </w:r>
      <w:r w:rsidRPr="00121A17">
        <w:t>% ash</w:t>
      </w:r>
      <w:r w:rsidR="006C460F" w:rsidRPr="00121A17">
        <w:t>,</w:t>
      </w:r>
      <w:r w:rsidRPr="00121A17">
        <w:t xml:space="preserve"> and VM by 29</w:t>
      </w:r>
      <w:r w:rsidR="000F2589" w:rsidRPr="00121A17">
        <w:t xml:space="preserve"> </w:t>
      </w:r>
      <w:r w:rsidRPr="00121A17">
        <w:t>%. The increase in pyrolysis temperature from 300 to 450 °C cause</w:t>
      </w:r>
      <w:r w:rsidR="00D53EA0" w:rsidRPr="00121A17">
        <w:t>d</w:t>
      </w:r>
      <w:r w:rsidRPr="00121A17">
        <w:t xml:space="preserve"> a further increase in FC of 21</w:t>
      </w:r>
      <w:r w:rsidR="000F2589" w:rsidRPr="00121A17">
        <w:t xml:space="preserve"> </w:t>
      </w:r>
      <w:r w:rsidRPr="00121A17">
        <w:t>% FC, ash of 5</w:t>
      </w:r>
      <w:r w:rsidR="000F2589" w:rsidRPr="00121A17">
        <w:t xml:space="preserve"> </w:t>
      </w:r>
      <w:r w:rsidRPr="00121A17">
        <w:t>%, and reduction of VM by 25</w:t>
      </w:r>
      <w:r w:rsidR="000F2589" w:rsidRPr="00121A17">
        <w:t xml:space="preserve"> </w:t>
      </w:r>
      <w:r w:rsidRPr="00121A17">
        <w:t>% (Fig</w:t>
      </w:r>
      <w:r w:rsidR="000128ED" w:rsidRPr="00121A17">
        <w:t xml:space="preserve">ure </w:t>
      </w:r>
      <w:r w:rsidRPr="00121A17">
        <w:t xml:space="preserve">2c). Wang et al. </w:t>
      </w:r>
      <w:r w:rsidRPr="00121A17">
        <w:fldChar w:fldCharType="begin"/>
      </w:r>
      <w:r w:rsidRPr="00121A17">
        <w:instrText xml:space="preserve"> ADDIN ZOTERO_ITEM CSL_CITATION {"citationID":"RerDWmFG","properties":{"formattedCitation":"(2020)","plainCitation":"(2020)","noteIndex":0},"citationItems":[{"id":3906,"uris":["http://zotero.org/users/5733999/items/Y3F4AKIX"],"uri":["http://zotero.org/users/5733999/items/Y3F4AKIX"],"itemData":{"id":3906,"type":"article-journal","abstract":"In the past decade, researchers have carried out a massive amount of research on the application of biochar for contaminants removal from aqueous solutions. As an emerging sorbent with great potential, biochar has shown significant advantages such as the broad sources of feedstocks, easy preparation process, and favorable surface and structural properties. This review provides an overview of recent advances in biochar application in water and wastewater treatment, including a brief discussion of the involved sorption mechanisms of contaminants removal, as well as the biochar modification methods. Furthermore, environmental concerns of biochar that need to be paid attention to and future research directions are put forward to promote the further application of biochar in practical water and wastewater treatment.","container-title":"PeerJ","DOI":"10.7717/peerj.9164","ISSN":"2167-8359","journalAbbreviation":"PeerJ","note":"PMID: 32477836\nPMCID: PMC7243815","page":"e9164","source":"PubMed Central","title":"Recent advances in biochar application for water and wastewater treatment: a review","title-short":"Recent advances in biochar application for water and wastewater treatment","volume":"8","author":[{"family":"Wang","given":"Xiaoqing"},{"family":"Guo","given":"Zizhang"},{"family":"Hu","given":"Zhen"},{"family":"Zhang","given":"Jian"}],"issued":{"date-parts":[["2020",5,19]]}},"suppress-author":true}],"schema":"https://github.com/citation-style-language/schema/raw/master/csl-citation.json"} </w:instrText>
      </w:r>
      <w:r w:rsidRPr="00121A17">
        <w:fldChar w:fldCharType="separate"/>
      </w:r>
      <w:r w:rsidRPr="00121A17">
        <w:t>(2020)</w:t>
      </w:r>
      <w:r w:rsidRPr="00121A17">
        <w:fldChar w:fldCharType="end"/>
      </w:r>
      <w:r w:rsidRPr="00121A17">
        <w:t xml:space="preserve"> reported biochar produced from various feedstocks </w:t>
      </w:r>
      <w:r w:rsidR="00A66E4A" w:rsidRPr="00121A17">
        <w:t xml:space="preserve">such </w:t>
      </w:r>
      <w:r w:rsidRPr="00121A17">
        <w:t>as bamboo, lotus stalk, orange peel, peanut shell, potato stem</w:t>
      </w:r>
      <w:r w:rsidR="00034881" w:rsidRPr="00121A17">
        <w:t xml:space="preserve">, </w:t>
      </w:r>
      <w:r w:rsidRPr="00121A17">
        <w:t>leaf</w:t>
      </w:r>
      <w:r w:rsidR="00034881" w:rsidRPr="00121A17">
        <w:t>,</w:t>
      </w:r>
      <w:r w:rsidRPr="00121A17">
        <w:t xml:space="preserve"> etc. by pyrolysis with a temperature range of 300 to 900 °C</w:t>
      </w:r>
      <w:r w:rsidR="00A66E4A" w:rsidRPr="00121A17">
        <w:t>. These materials were capable of removing</w:t>
      </w:r>
      <w:r w:rsidRPr="00121A17">
        <w:t xml:space="preserve"> 15 to 325 mg.g</w:t>
      </w:r>
      <w:r w:rsidRPr="00121A17">
        <w:rPr>
          <w:vertAlign w:val="superscript"/>
        </w:rPr>
        <w:t>-1</w:t>
      </w:r>
      <w:r w:rsidRPr="00121A17">
        <w:t xml:space="preserve"> of heavy metals, 130 to 1218 mg.g</w:t>
      </w:r>
      <w:r w:rsidRPr="00121A17">
        <w:rPr>
          <w:vertAlign w:val="superscript"/>
        </w:rPr>
        <w:t>-1</w:t>
      </w:r>
      <w:r w:rsidRPr="00121A17">
        <w:t xml:space="preserve"> of dyes, 82 to 1066 mg.g</w:t>
      </w:r>
      <w:r w:rsidRPr="00121A17">
        <w:rPr>
          <w:vertAlign w:val="superscript"/>
        </w:rPr>
        <w:t>-1</w:t>
      </w:r>
      <w:r w:rsidRPr="00121A17">
        <w:t xml:space="preserve"> </w:t>
      </w:r>
      <w:r w:rsidR="00A66E4A" w:rsidRPr="00121A17">
        <w:t xml:space="preserve">of </w:t>
      </w:r>
      <w:r w:rsidRPr="00121A17">
        <w:t>phenol</w:t>
      </w:r>
      <w:r w:rsidR="00A66E4A" w:rsidRPr="00121A17">
        <w:t>ic</w:t>
      </w:r>
      <w:r w:rsidRPr="00121A17">
        <w:t xml:space="preserve"> compounds</w:t>
      </w:r>
      <w:r w:rsidR="00A66E4A" w:rsidRPr="00121A17">
        <w:t xml:space="preserve"> and</w:t>
      </w:r>
      <w:r w:rsidRPr="00121A17">
        <w:t xml:space="preserve"> PAHs, 243 to 1158 mg.g</w:t>
      </w:r>
      <w:r w:rsidRPr="00121A17">
        <w:rPr>
          <w:vertAlign w:val="superscript"/>
        </w:rPr>
        <w:t>-1</w:t>
      </w:r>
      <w:r w:rsidRPr="00121A17">
        <w:t xml:space="preserve"> </w:t>
      </w:r>
      <w:r w:rsidR="00A66E4A" w:rsidRPr="00121A17">
        <w:t xml:space="preserve">of </w:t>
      </w:r>
      <w:r w:rsidRPr="00121A17">
        <w:t xml:space="preserve">pesticides, </w:t>
      </w:r>
      <w:r w:rsidR="00D53EA0" w:rsidRPr="00121A17">
        <w:t xml:space="preserve">and </w:t>
      </w:r>
      <w:r w:rsidRPr="00121A17">
        <w:t>8.4 to 11.5 mg.g</w:t>
      </w:r>
      <w:r w:rsidRPr="00121A17">
        <w:rPr>
          <w:vertAlign w:val="superscript"/>
        </w:rPr>
        <w:t>-1</w:t>
      </w:r>
      <w:r w:rsidRPr="00121A17">
        <w:t xml:space="preserve"> of antibiotics</w:t>
      </w:r>
      <w:r w:rsidR="00D53EA0" w:rsidRPr="00121A17">
        <w:t>. These adsorbents had</w:t>
      </w:r>
      <w:r w:rsidRPr="00121A17">
        <w:t xml:space="preserve"> C</w:t>
      </w:r>
      <w:r w:rsidR="00D53EA0" w:rsidRPr="00121A17">
        <w:t xml:space="preserve"> contents from 58 to 85</w:t>
      </w:r>
      <w:r w:rsidR="000F2589" w:rsidRPr="00121A17">
        <w:t xml:space="preserve"> </w:t>
      </w:r>
      <w:r w:rsidR="00D53EA0" w:rsidRPr="00121A17">
        <w:t>%, where higher C content was generally beneficial.</w:t>
      </w:r>
      <w:r w:rsidRPr="00121A17">
        <w:t xml:space="preserve"> Therefore, the higher C and FC value of SCG biochar produced at these temperatures could </w:t>
      </w:r>
      <w:r w:rsidR="00D53EA0" w:rsidRPr="00121A17">
        <w:t>create</w:t>
      </w:r>
      <w:r w:rsidRPr="00121A17">
        <w:t xml:space="preserve"> a </w:t>
      </w:r>
      <w:r w:rsidR="00D53EA0" w:rsidRPr="00121A17">
        <w:t>more</w:t>
      </w:r>
      <w:r w:rsidRPr="00121A17">
        <w:t xml:space="preserve"> efficient carbonaceous adsorbent to treat wastewater. </w:t>
      </w:r>
      <w:r w:rsidR="00873977" w:rsidRPr="00121A17">
        <w:t xml:space="preserve">The increasing ash content at higher temperatures indicates the increasing mineral content, such as potassium, calcium, magnesium, and phosphorus in the biochar. </w:t>
      </w:r>
    </w:p>
    <w:p w14:paraId="2960FB6A" w14:textId="77777777" w:rsidR="00873977" w:rsidRPr="00121A17" w:rsidRDefault="00873977" w:rsidP="00873977"/>
    <w:p w14:paraId="7370900F" w14:textId="3FF32DB4" w:rsidR="00871296" w:rsidRPr="00121A17" w:rsidRDefault="00871296" w:rsidP="007C334E">
      <w:pPr>
        <w:rPr>
          <w:rFonts w:cs="Arial"/>
          <w:szCs w:val="18"/>
        </w:rPr>
      </w:pPr>
      <w:r w:rsidRPr="00121A17">
        <w:t xml:space="preserve">A </w:t>
      </w:r>
      <w:r w:rsidR="009223A3" w:rsidRPr="00121A17">
        <w:t xml:space="preserve">van Krevelen </w:t>
      </w:r>
      <w:r w:rsidRPr="00121A17">
        <w:t xml:space="preserve">plot was constructed with reference to atomic ratios of H/C and O/C </w:t>
      </w:r>
      <w:r w:rsidR="009223A3" w:rsidRPr="00121A17">
        <w:t xml:space="preserve">to show the changes as </w:t>
      </w:r>
      <w:r w:rsidRPr="00121A17">
        <w:t xml:space="preserve">SCG biomass </w:t>
      </w:r>
      <w:r w:rsidR="009223A3" w:rsidRPr="00121A17">
        <w:t xml:space="preserve">is transformed </w:t>
      </w:r>
      <w:r w:rsidRPr="00121A17">
        <w:t>to biochar (Fig</w:t>
      </w:r>
      <w:r w:rsidR="00B740FE" w:rsidRPr="00121A17">
        <w:t>ure</w:t>
      </w:r>
      <w:r w:rsidRPr="00121A17">
        <w:t xml:space="preserve"> 2c). The O</w:t>
      </w:r>
      <w:r w:rsidR="0084551B" w:rsidRPr="00121A17">
        <w:t>/</w:t>
      </w:r>
      <w:r w:rsidRPr="00121A17">
        <w:t>C ratio varies with temperature and give</w:t>
      </w:r>
      <w:r w:rsidR="00D53EA0" w:rsidRPr="00121A17">
        <w:t>s</w:t>
      </w:r>
      <w:r w:rsidRPr="00121A17">
        <w:t xml:space="preserve"> a reliable indicator of biochar stability</w:t>
      </w:r>
      <w:r w:rsidR="00F86738" w:rsidRPr="00121A17">
        <w:t xml:space="preserve"> </w:t>
      </w:r>
      <w:r w:rsidR="00F86738" w:rsidRPr="00121A17">
        <w:fldChar w:fldCharType="begin"/>
      </w:r>
      <w:r w:rsidR="00F86738" w:rsidRPr="00121A17">
        <w:instrText xml:space="preserve"> ADDIN ZOTERO_ITEM CSL_CITATION {"citationID":"YkqE4gAq","properties":{"formattedCitation":"(Rangabhashiyam and Balasubramanian, 2019)","plainCitation":"(Rangabhashiyam and Balasubramanian, 2019)","noteIndex":0},"citationItems":[{"id":539,"uris":["http://zotero.org/users/5733999/items/HNKN4BAB"],"uri":["http://zotero.org/users/5733999/items/HNKN4BAB"],"itemData":{"id":539,"type":"article-journal","abstract":"The organic and inorganic pollutants in water stream are due to the various industrial activities, consequent to the higher level environmental contamination. Considering the high toxicity and persistent property of wastewater pollutants, sequestration before discharge into water bodies becomes an important obligation. The conventional treatment methods are mostly associated with the drawbacks of energy intensive conditions and require high investment. Biochar produced through thermal decomposition of lignocellulosic biomass in the limited oxygen conditions offer as the sustainable potential adsorbent towards wastewater pollutants removal. The current review discusses on the utilization of various lignocellulosic biomass precursor for the production of biochar. The significant parameter influence and mechanistic aspects of the biochar production using pyrolysis were critically analyzed. The recent research on biochar modifications through different physical and chemical methods to enhance biochar adsorption property was reported. The new trend of the potential application of biochar in the adsorption of heavy metals, dyes and the underlying mechanisms are comprehensively reviewed. Further explorations are required in the directions of sustainable biochar development, continuous adsorption process, industry scale applications and spent biochar management.","container-title":"Industrial Crops and Products","DOI":"10.1016/j.indcrop.2018.11.041","ISSN":"0926-6690","journalAbbreviation":"Industrial Crops and Products","language":"en","page":"405-423","source":"ScienceDirect","title":"The potential of lignocellulosic biomass precursors for biochar production: Performance, mechanism and wastewater application—A review","title-short":"The potential of lignocellulosic biomass precursors for biochar production","volume":"128","author":[{"family":"Rangabhashiyam","given":"S."},{"family":"Balasubramanian","given":"P."}],"issued":{"date-parts":[["2019",2,1]]}}}],"schema":"https://github.com/citation-style-language/schema/raw/master/csl-citation.json"} </w:instrText>
      </w:r>
      <w:r w:rsidR="00F86738" w:rsidRPr="00121A17">
        <w:fldChar w:fldCharType="separate"/>
      </w:r>
      <w:r w:rsidR="00F86738" w:rsidRPr="00121A17">
        <w:t>(Rangabhashiyam and Balasubramanian, 2019)</w:t>
      </w:r>
      <w:r w:rsidR="00F86738" w:rsidRPr="00121A17">
        <w:fldChar w:fldCharType="end"/>
      </w:r>
      <w:r w:rsidRPr="00121A17">
        <w:t>.</w:t>
      </w:r>
      <w:r w:rsidR="00D53EA0" w:rsidRPr="00121A17">
        <w:t xml:space="preserve"> T</w:t>
      </w:r>
      <w:r w:rsidRPr="00121A17">
        <w:t xml:space="preserve">he H/C ratio of all biochars displayed a </w:t>
      </w:r>
      <w:r w:rsidR="00D53EA0" w:rsidRPr="00121A17">
        <w:t xml:space="preserve">decreasing </w:t>
      </w:r>
      <w:r w:rsidRPr="00121A17">
        <w:t xml:space="preserve">trend with increasing temperature. The </w:t>
      </w:r>
      <w:r w:rsidR="00D53EA0" w:rsidRPr="00121A17">
        <w:t>reduction of the H/C ratio indicates a</w:t>
      </w:r>
      <w:r w:rsidR="00657D1B" w:rsidRPr="00121A17">
        <w:t xml:space="preserve">n increase </w:t>
      </w:r>
      <w:r w:rsidR="00657D1B" w:rsidRPr="00121A17">
        <w:lastRenderedPageBreak/>
        <w:t xml:space="preserve">of </w:t>
      </w:r>
      <w:r w:rsidRPr="00121A17">
        <w:t xml:space="preserve">condensed aromatic structure of biochars, implying that the release of volatile matter and pore development </w:t>
      </w:r>
      <w:r w:rsidR="00873977" w:rsidRPr="00121A17">
        <w:t>a</w:t>
      </w:r>
      <w:r w:rsidRPr="00121A17">
        <w:t xml:space="preserve">re enhanced and the stability is </w:t>
      </w:r>
      <w:r w:rsidR="00873977" w:rsidRPr="00121A17">
        <w:t>improved</w:t>
      </w:r>
      <w:r w:rsidR="00B740FE" w:rsidRPr="00121A17">
        <w:t xml:space="preserve"> </w:t>
      </w:r>
      <w:r w:rsidRPr="00121A17">
        <w:fldChar w:fldCharType="begin"/>
      </w:r>
      <w:r w:rsidR="009E7278" w:rsidRPr="00121A17">
        <w:instrText xml:space="preserve"> ADDIN ZOTERO_ITEM CSL_CITATION {"citationID":"N3k1dpMb","properties":{"formattedCitation":"(Rangabhashiyam and Balasubramanian, 2019)","plainCitation":"(Rangabhashiyam and Balasubramanian, 2019)","noteIndex":0},"citationItems":[{"id":539,"uris":["http://zotero.org/users/5733999/items/HNKN4BAB"],"uri":["http://zotero.org/users/5733999/items/HNKN4BAB"],"itemData":{"id":539,"type":"article-journal","abstract":"The organic and inorganic pollutants in water stream are due to the various industrial activities, consequent to the higher level environmental contamination. Considering the high toxicity and persistent property of wastewater pollutants, sequestration before discharge into water bodies becomes an important obligation. The conventional treatment methods are mostly associated with the drawbacks of energy intensive conditions and require high investment. Biochar produced through thermal decomposition of lignocellulosic biomass in the limited oxygen conditions offer as the sustainable potential adsorbent towards wastewater pollutants removal. The current review discusses on the utilization of various lignocellulosic biomass precursor for the production of biochar. The significant parameter influence and mechanistic aspects of the biochar production using pyrolysis were critically analyzed. The recent research on biochar modifications through different physical and chemical methods to enhance biochar adsorption property was reported. The new trend of the potential application of biochar in the adsorption of heavy metals, dyes and the underlying mechanisms are comprehensively reviewed. Further explorations are required in the directions of sustainable biochar development, continuous adsorption process, industry scale applications and spent biochar management.","container-title":"Industrial Crops and Products","DOI":"10.1016/j.indcrop.2018.11.041","ISSN":"0926-6690","journalAbbreviation":"Industrial Crops and Products","language":"en","page":"405-423","source":"ScienceDirect","title":"The potential of lignocellulosic biomass precursors for biochar production: Performance, mechanism and wastewater application—A review","title-short":"The potential of lignocellulosic biomass precursors for biochar production","volume":"128","author":[{"family":"Rangabhashiyam","given":"S."},{"family":"Balasubramanian","given":"P."}],"issued":{"date-parts":[["2019",2,1]]}}}],"schema":"https://github.com/citation-style-language/schema/raw/master/csl-citation.json"} </w:instrText>
      </w:r>
      <w:r w:rsidRPr="00121A17">
        <w:fldChar w:fldCharType="separate"/>
      </w:r>
      <w:r w:rsidRPr="00121A17">
        <w:t>(Rangabhashiyam and Balasubramanian, 2019)</w:t>
      </w:r>
      <w:r w:rsidRPr="00121A17">
        <w:fldChar w:fldCharType="end"/>
      </w:r>
      <w:r w:rsidRPr="00121A17">
        <w:t>. The lower atomic ratio of H/C and O/C at the higher pyrolysis temperature is attributed to demethanation, decarboxylation, decarbonylation, dehydration</w:t>
      </w:r>
      <w:r w:rsidR="00394719" w:rsidRPr="00121A17">
        <w:t>,</w:t>
      </w:r>
      <w:r w:rsidRPr="00121A17">
        <w:t xml:space="preserve"> and </w:t>
      </w:r>
      <w:r w:rsidR="00873977" w:rsidRPr="00121A17">
        <w:t>depolymerisation, leading to a decrease in functional groups like hydroxyl, amino</w:t>
      </w:r>
      <w:r w:rsidR="009223A3" w:rsidRPr="00121A17">
        <w:t>,</w:t>
      </w:r>
      <w:r w:rsidR="00873977" w:rsidRPr="00121A17">
        <w:t xml:space="preserve"> and carboxylic groups, respectively. The low value of the atomic ratio O/C at the higher temperature corresponds to biochar with more aromatic and lesser hydrophilic surfaces because of the loss of polar functional groups and </w:t>
      </w:r>
      <w:r w:rsidR="009223A3" w:rsidRPr="00121A17">
        <w:t>increased</w:t>
      </w:r>
      <w:r w:rsidR="00873977" w:rsidRPr="00121A17">
        <w:t xml:space="preserve"> carbonization.</w:t>
      </w:r>
      <w:r w:rsidR="002364E8" w:rsidRPr="00121A17">
        <w:t xml:space="preserve"> </w:t>
      </w:r>
      <w:r w:rsidR="00BD0E35" w:rsidRPr="00121A17">
        <w:rPr>
          <w:rFonts w:cs="Arial"/>
          <w:szCs w:val="18"/>
          <w:shd w:val="clear" w:color="auto" w:fill="FFFFFF"/>
        </w:rPr>
        <w:t>As the pyrolysis temperature increased the ECE also increased</w:t>
      </w:r>
      <w:r w:rsidR="007C334E" w:rsidRPr="00121A17">
        <w:rPr>
          <w:rFonts w:cs="Arial"/>
          <w:szCs w:val="18"/>
          <w:shd w:val="clear" w:color="auto" w:fill="FFFFFF"/>
        </w:rPr>
        <w:t xml:space="preserve"> due to the concentration of </w:t>
      </w:r>
      <w:r w:rsidR="00BD0E35" w:rsidRPr="00121A17">
        <w:rPr>
          <w:rFonts w:cs="Arial"/>
          <w:szCs w:val="18"/>
          <w:shd w:val="clear" w:color="auto" w:fill="FFFFFF"/>
        </w:rPr>
        <w:t>minerals in the remaining carbonaceous material. The initial drop in ECE may have been due to a loss of hydroxyl and acidic functional group</w:t>
      </w:r>
      <w:r w:rsidR="007C334E" w:rsidRPr="00121A17">
        <w:rPr>
          <w:rFonts w:cs="Arial"/>
          <w:szCs w:val="18"/>
          <w:shd w:val="clear" w:color="auto" w:fill="FFFFFF"/>
        </w:rPr>
        <w:t xml:space="preserve">s that act in an ion exchange </w:t>
      </w:r>
      <w:r w:rsidR="002364E8" w:rsidRPr="00121A17">
        <w:rPr>
          <w:rFonts w:cs="Arial"/>
          <w:szCs w:val="18"/>
        </w:rPr>
        <w:t>(Figure 2d).</w:t>
      </w:r>
      <w:r w:rsidR="00467F89" w:rsidRPr="00121A17">
        <w:rPr>
          <w:rFonts w:cs="Arial"/>
          <w:szCs w:val="18"/>
        </w:rPr>
        <w:t xml:space="preserve"> </w:t>
      </w:r>
    </w:p>
    <w:p w14:paraId="4D5E5A2F" w14:textId="77777777" w:rsidR="00873977" w:rsidRPr="00121A17" w:rsidRDefault="00873977" w:rsidP="00873977"/>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4653"/>
      </w:tblGrid>
      <w:tr w:rsidR="00121A17" w:rsidRPr="00121A17" w14:paraId="224ED95C" w14:textId="77777777" w:rsidTr="00D6063E">
        <w:tc>
          <w:tcPr>
            <w:tcW w:w="4045" w:type="dxa"/>
          </w:tcPr>
          <w:p w14:paraId="0CBDDBEA" w14:textId="06C12810" w:rsidR="00871296" w:rsidRPr="00121A17" w:rsidRDefault="007A13E1" w:rsidP="00FE51E1">
            <w:r w:rsidRPr="00121A17">
              <w:rPr>
                <w:noProof/>
                <w:lang w:val="it-IT" w:eastAsia="it-IT"/>
              </w:rPr>
              <w:drawing>
                <wp:inline distT="0" distB="0" distL="0" distR="0" wp14:anchorId="5F74609E" wp14:editId="48C7BC22">
                  <wp:extent cx="2580992" cy="155100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8662" cy="1567635"/>
                          </a:xfrm>
                          <a:prstGeom prst="rect">
                            <a:avLst/>
                          </a:prstGeom>
                          <a:noFill/>
                        </pic:spPr>
                      </pic:pic>
                    </a:graphicData>
                  </a:graphic>
                </wp:inline>
              </w:drawing>
            </w:r>
          </w:p>
        </w:tc>
        <w:tc>
          <w:tcPr>
            <w:tcW w:w="4732" w:type="dxa"/>
          </w:tcPr>
          <w:p w14:paraId="6AAA4CBD" w14:textId="5B11140E" w:rsidR="00871296" w:rsidRPr="00121A17" w:rsidRDefault="007A13E1" w:rsidP="007A13E1">
            <w:pPr>
              <w:jc w:val="center"/>
            </w:pPr>
            <w:r w:rsidRPr="00121A17">
              <w:rPr>
                <w:noProof/>
                <w:lang w:val="it-IT" w:eastAsia="it-IT"/>
              </w:rPr>
              <w:drawing>
                <wp:inline distT="0" distB="0" distL="0" distR="0" wp14:anchorId="47971B8C" wp14:editId="71E90386">
                  <wp:extent cx="2936215" cy="1406324"/>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258" cy="1418319"/>
                          </a:xfrm>
                          <a:prstGeom prst="rect">
                            <a:avLst/>
                          </a:prstGeom>
                          <a:noFill/>
                        </pic:spPr>
                      </pic:pic>
                    </a:graphicData>
                  </a:graphic>
                </wp:inline>
              </w:drawing>
            </w:r>
          </w:p>
        </w:tc>
      </w:tr>
      <w:tr w:rsidR="00121A17" w:rsidRPr="00121A17" w14:paraId="73198AC5" w14:textId="77777777" w:rsidTr="00D6063E">
        <w:tc>
          <w:tcPr>
            <w:tcW w:w="4045" w:type="dxa"/>
          </w:tcPr>
          <w:p w14:paraId="291CEE3D" w14:textId="29B2EED6" w:rsidR="00D6063E" w:rsidRPr="00121A17" w:rsidRDefault="00D6063E" w:rsidP="00FE51E1">
            <w:pPr>
              <w:jc w:val="center"/>
              <w:rPr>
                <w:noProof/>
              </w:rPr>
            </w:pPr>
            <w:r w:rsidRPr="00121A17">
              <w:rPr>
                <w:noProof/>
                <w:lang w:val="it-IT" w:eastAsia="it-IT"/>
              </w:rPr>
              <w:drawing>
                <wp:inline distT="0" distB="0" distL="0" distR="0" wp14:anchorId="133C2AD7" wp14:editId="137AF99E">
                  <wp:extent cx="2592730" cy="153301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5000" cy="1552093"/>
                          </a:xfrm>
                          <a:prstGeom prst="rect">
                            <a:avLst/>
                          </a:prstGeom>
                          <a:noFill/>
                        </pic:spPr>
                      </pic:pic>
                    </a:graphicData>
                  </a:graphic>
                </wp:inline>
              </w:drawing>
            </w:r>
          </w:p>
        </w:tc>
        <w:tc>
          <w:tcPr>
            <w:tcW w:w="4732" w:type="dxa"/>
          </w:tcPr>
          <w:p w14:paraId="45F56B13" w14:textId="22E75284" w:rsidR="00D6063E" w:rsidRPr="00121A17" w:rsidRDefault="00050B81" w:rsidP="00050B81">
            <w:pPr>
              <w:rPr>
                <w:noProof/>
              </w:rPr>
            </w:pPr>
            <w:r w:rsidRPr="00121A17">
              <w:rPr>
                <w:noProof/>
                <w:lang w:val="it-IT" w:eastAsia="it-IT"/>
              </w:rPr>
              <w:drawing>
                <wp:inline distT="0" distB="0" distL="0" distR="0" wp14:anchorId="674A926F" wp14:editId="2FF965F5">
                  <wp:extent cx="2487639" cy="1328737"/>
                  <wp:effectExtent l="0" t="0" r="825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599" cy="1338330"/>
                          </a:xfrm>
                          <a:prstGeom prst="rect">
                            <a:avLst/>
                          </a:prstGeom>
                          <a:noFill/>
                        </pic:spPr>
                      </pic:pic>
                    </a:graphicData>
                  </a:graphic>
                </wp:inline>
              </w:drawing>
            </w:r>
          </w:p>
        </w:tc>
      </w:tr>
    </w:tbl>
    <w:p w14:paraId="78AEC94B" w14:textId="50F41B0D" w:rsidR="00871296" w:rsidRPr="00121A17" w:rsidRDefault="00871296" w:rsidP="00B740FE">
      <w:pPr>
        <w:pStyle w:val="CETCaption"/>
        <w:rPr>
          <w:iCs/>
        </w:rPr>
      </w:pPr>
      <w:r w:rsidRPr="00121A17">
        <w:t>Fig</w:t>
      </w:r>
      <w:r w:rsidR="00B740FE" w:rsidRPr="00121A17">
        <w:t xml:space="preserve">ure </w:t>
      </w:r>
      <w:r w:rsidRPr="00121A17">
        <w:t>2</w:t>
      </w:r>
      <w:r w:rsidR="00B740FE" w:rsidRPr="00121A17">
        <w:t>:</w:t>
      </w:r>
      <w:r w:rsidRPr="00121A17">
        <w:t xml:space="preserve"> (a) Elemental analysis, (b) proximate analysis</w:t>
      </w:r>
      <w:r w:rsidR="003C24E6" w:rsidRPr="00121A17">
        <w:t>,</w:t>
      </w:r>
      <w:r w:rsidRPr="00121A17">
        <w:t xml:space="preserve"> (c) </w:t>
      </w:r>
      <w:r w:rsidR="00873977" w:rsidRPr="00121A17">
        <w:t xml:space="preserve">van Krevelen plot of </w:t>
      </w:r>
      <w:r w:rsidRPr="00121A17">
        <w:t>the correlation between H/C to O/C ratio</w:t>
      </w:r>
      <w:r w:rsidR="003C24E6" w:rsidRPr="00121A17">
        <w:t>, and</w:t>
      </w:r>
      <w:r w:rsidRPr="00121A17">
        <w:t xml:space="preserve"> </w:t>
      </w:r>
      <w:r w:rsidR="00CE3269" w:rsidRPr="00121A17">
        <w:t xml:space="preserve">(d) </w:t>
      </w:r>
      <w:r w:rsidR="003C24E6" w:rsidRPr="00121A17">
        <w:t xml:space="preserve">ECE </w:t>
      </w:r>
      <w:r w:rsidRPr="00121A17">
        <w:t xml:space="preserve">of SCG biochar and biomass. </w:t>
      </w:r>
      <w:r w:rsidRPr="00121A17">
        <w:rPr>
          <w:iCs/>
        </w:rPr>
        <w:t>BM: biomass; BC: biochar</w:t>
      </w:r>
    </w:p>
    <w:p w14:paraId="646D4153" w14:textId="77777777" w:rsidR="00871296" w:rsidRPr="00121A17" w:rsidRDefault="00871296" w:rsidP="00871296">
      <w:pPr>
        <w:pStyle w:val="CETheadingx"/>
      </w:pPr>
      <w:r w:rsidRPr="00121A17">
        <w:t xml:space="preserve">Impact of pyrolysis temperature on chemical properties </w:t>
      </w:r>
    </w:p>
    <w:p w14:paraId="0446922D" w14:textId="5E357896" w:rsidR="00B740FE" w:rsidRPr="00121A17" w:rsidRDefault="00871296" w:rsidP="00DF7D20">
      <w:r w:rsidRPr="00121A17">
        <w:t xml:space="preserve">The SCG biochar </w:t>
      </w:r>
      <w:r w:rsidR="00657D1B" w:rsidRPr="00121A17">
        <w:t xml:space="preserve">formed </w:t>
      </w:r>
      <w:r w:rsidRPr="00121A17">
        <w:t xml:space="preserve">at </w:t>
      </w:r>
      <w:r w:rsidR="00657D1B" w:rsidRPr="00121A17">
        <w:t xml:space="preserve">all </w:t>
      </w:r>
      <w:r w:rsidRPr="00121A17">
        <w:t xml:space="preserve">three </w:t>
      </w:r>
      <w:r w:rsidR="00657D1B" w:rsidRPr="00121A17">
        <w:t xml:space="preserve">pyrolysis </w:t>
      </w:r>
      <w:r w:rsidRPr="00121A17">
        <w:t xml:space="preserve">temperatures </w:t>
      </w:r>
      <w:r w:rsidR="00657D1B" w:rsidRPr="00121A17">
        <w:t xml:space="preserve">was </w:t>
      </w:r>
      <w:r w:rsidRPr="00121A17">
        <w:t>alkaline in nature while the native SCG biomass was acidic (Fig</w:t>
      </w:r>
      <w:r w:rsidR="00B740FE" w:rsidRPr="00121A17">
        <w:t>ure</w:t>
      </w:r>
      <w:r w:rsidRPr="00121A17">
        <w:t xml:space="preserve"> 3a). The pH plays a critical role in controlling the charge on the adsorbent surface, the magnitude of adsorbate ionization and dissociation of different functional groups on the adsorbent </w:t>
      </w:r>
      <w:bookmarkStart w:id="2" w:name="bbib0027"/>
      <w:r w:rsidRPr="00121A17">
        <w:fldChar w:fldCharType="begin"/>
      </w:r>
      <w:r w:rsidRPr="00121A17">
        <w:instrText xml:space="preserve"> ADDIN ZOTERO_ITEM CSL_CITATION {"citationID":"C4G8YW8K","properties":{"formattedCitation":"(Konneh et al., 2021)","plainCitation":"(Konneh et al., 2021)","noteIndex":0},"citationItems":[{"id":3909,"uris":["http://zotero.org/users/5733999/items/N529TNXX"],"uri":["http://zotero.org/users/5733999/items/N529TNXX"],"itemData":{"id":3909,"type":"article-journal","abstract":"Enrichment of water bodies with nutrients from wastewater is one of the causes of eutrophication to aquatic ecosystems. This study investigated the use of biochar derived from rice husk, coconut husk, and coffee husk in adsorbing nitrates (NO3-N) and nitrites (NO2-N) from slaughterhouse wastewater. It also explored the desorption efficiencies of the adsorbed nutrients to ascertain the applicability of the enriched biochars as slow-release fertilizers. To characterize the physicochemical properties of the biochars, scanning electron microscopy (SEM) was used. Fourier transforms infrared spectroscopy (FTIR), elemental analysis (CHNO) Langmuir and Freundlich, and the isotherm models were employed to fit the experimental equilibrium adsorption data. It was observed that the Langmuir isotherm model has the best fit of NO3- N and NO2- N on all the biochars. And this was based on the coefficient of correlation values. Also, the coconut husk biochar has the highest adsorption capacities of NO3-N and NO2-N at 12.97 mg/g, and 0.244 mg/g, respectively, attributing to its high porosity as revealed by the SEM images. The adsorption capacities for the rice husk char were 12.315 and 0.233 mg/g, while that for coffee husk char were12.08 mg/g and 0.218 mg/g for NO3-N and NO2-N, respectively. The relatively higher amount of NO3-N adsorbed to that of NO2-N could be attributed to its higher initial concentration in the solution than nitrite concentration. The desorption efficiencies of nitrates were 22.4, 24.39, and 16.79 %, for rice husk char, coconut husk char and coffee husk char, respectively. For the rice husk char, coconut husk char and coffee husk char, the nitrites desorption efficiencies were 80.73, 91.39, and 83.62 %, respectively. These values are good indicators that the studied biochar can be enriched with NO3- N and NO2- N and used as slow-release fertilizers.","container-title":"Heliyon","DOI":"10.1016/j.heliyon.2021.e08458","ISSN":"2405-8440","issue":"11","journalAbbreviation":"Heliyon","language":"en","page":"e08458","source":"ScienceDirect","title":"Adsorption and desorption of nutrients from abattoir wastewater: modelling and comparison of rice, coconut and coffee husk biochar","title-short":"Adsorption and desorption of nutrients from abattoir wastewater","volume":"7","author":[{"family":"Konneh","given":"Morris"},{"family":"Wandera","given":"Simon M."},{"family":"Murunga","given":"Sylvia I."},{"family":"Raude","given":"James M."}],"issued":{"date-parts":[["2021",11,1]]}}}],"schema":"https://github.com/citation-style-language/schema/raw/master/csl-citation.json"} </w:instrText>
      </w:r>
      <w:r w:rsidRPr="00121A17">
        <w:fldChar w:fldCharType="separate"/>
      </w:r>
      <w:r w:rsidRPr="00121A17">
        <w:t>(Konneh et al., 2021)</w:t>
      </w:r>
      <w:r w:rsidRPr="00121A17">
        <w:fldChar w:fldCharType="end"/>
      </w:r>
      <w:bookmarkEnd w:id="2"/>
      <w:r w:rsidRPr="00121A17">
        <w:t xml:space="preserve">. The </w:t>
      </w:r>
      <w:r w:rsidR="00C65CA4" w:rsidRPr="00121A17">
        <w:t xml:space="preserve">alkaline </w:t>
      </w:r>
      <w:r w:rsidRPr="00121A17">
        <w:t xml:space="preserve">biochar </w:t>
      </w:r>
      <w:r w:rsidR="00C65CA4" w:rsidRPr="00121A17">
        <w:t>maintain</w:t>
      </w:r>
      <w:r w:rsidR="00DF7D20" w:rsidRPr="00121A17">
        <w:t>s</w:t>
      </w:r>
      <w:r w:rsidR="00C65CA4" w:rsidRPr="00121A17">
        <w:t xml:space="preserve"> negatively charged surface sites across a wide range of acidic and neutral </w:t>
      </w:r>
      <w:r w:rsidRPr="00121A17">
        <w:t xml:space="preserve">aqueous </w:t>
      </w:r>
      <w:r w:rsidR="00C65CA4" w:rsidRPr="00121A17">
        <w:t>conditions making it particularly effective for cation removal</w:t>
      </w:r>
      <w:r w:rsidRPr="00121A17">
        <w:t xml:space="preserve">. Meiirkhanuly et al. </w:t>
      </w:r>
      <w:r w:rsidRPr="00121A17">
        <w:fldChar w:fldCharType="begin"/>
      </w:r>
      <w:r w:rsidRPr="00121A17">
        <w:instrText xml:space="preserve"> ADDIN ZOTERO_ITEM CSL_CITATION {"citationID":"d16nypgJ","properties":{"formattedCitation":"(2019)","plainCitation":"(2019)","noteIndex":0},"citationItems":[{"id":3912,"uris":["http://zotero.org/users/5733999/items/BURAQ6RF"],"uri":["http://zotero.org/users/5733999/items/BURAQ6RF"],"itemData":{"id":3912,"type":"article-journal","container-title":"Water","issue":"9","note":"publisher: Multidisciplinary Digital Publishing Institute","page":"1802","source":"Google Scholar","title":"The-proof-of-concept of biochar floating cover influence on water pH","volume":"11","author":[{"family":"Meiirkhanuly","given":"Zhanibek"},{"family":"Koziel","given":"Jacek A."},{"family":"Bia\\lowiec","given":"Andrzej"},{"family":"Banik","given":"Chumki"},{"family":"Brown","given":"Robert C."}],"issued":{"date-parts":[["2019"]]}},"suppress-author":true}],"schema":"https://github.com/citation-style-language/schema/raw/master/csl-citation.json"} </w:instrText>
      </w:r>
      <w:r w:rsidRPr="00121A17">
        <w:fldChar w:fldCharType="separate"/>
      </w:r>
      <w:r w:rsidRPr="00121A17">
        <w:t>(2019)</w:t>
      </w:r>
      <w:r w:rsidRPr="00121A17">
        <w:fldChar w:fldCharType="end"/>
      </w:r>
      <w:r w:rsidRPr="00121A17">
        <w:t xml:space="preserve"> reported the biochar produced from maple wood, food waste, bark, pine wood chip</w:t>
      </w:r>
      <w:r w:rsidR="00AD0AE8" w:rsidRPr="00121A17">
        <w:t>,</w:t>
      </w:r>
      <w:r w:rsidRPr="00121A17">
        <w:t xml:space="preserve"> etc. with a pH ranges from 6.7 to 10.6 has a good adsorption capacity of NH</w:t>
      </w:r>
      <w:r w:rsidRPr="00121A17">
        <w:rPr>
          <w:vertAlign w:val="subscript"/>
        </w:rPr>
        <w:t>4</w:t>
      </w:r>
      <w:r w:rsidRPr="00121A17">
        <w:rPr>
          <w:vertAlign w:val="superscript"/>
        </w:rPr>
        <w:t>+</w:t>
      </w:r>
      <w:r w:rsidRPr="00121A17">
        <w:t xml:space="preserve"> (solution pH of 3.7 to 8.13), phenols (solution pH  of 2 to 12), and heavy metals (solution pH of 6.7 to 9.93). </w:t>
      </w:r>
      <w:r w:rsidR="00C65CA4" w:rsidRPr="00121A17">
        <w:t>In contrast, the acidic SCG biomass contain</w:t>
      </w:r>
      <w:r w:rsidR="00DF7D20" w:rsidRPr="00121A17">
        <w:t>s</w:t>
      </w:r>
      <w:r w:rsidR="00C65CA4" w:rsidRPr="00121A17">
        <w:t xml:space="preserve"> a majority of positively charged surface groups and may be more effective for anion removal. At 300 </w:t>
      </w:r>
      <w:r w:rsidR="00C65CA4" w:rsidRPr="00121A17">
        <w:rPr>
          <w:rFonts w:cs="Arial"/>
        </w:rPr>
        <w:t>°</w:t>
      </w:r>
      <w:r w:rsidR="00C65CA4" w:rsidRPr="00121A17">
        <w:t>C, the biochar produced was relatively neutral and may show all round capabilities</w:t>
      </w:r>
      <w:r w:rsidR="007C334E" w:rsidRPr="00121A17">
        <w:t>, which also correlated with its lower ECE</w:t>
      </w:r>
      <w:r w:rsidR="00C65CA4" w:rsidRPr="00121A17">
        <w:t>.</w:t>
      </w:r>
      <w:r w:rsidR="00346F26" w:rsidRPr="00121A17">
        <w:t xml:space="preserve"> </w:t>
      </w:r>
    </w:p>
    <w:p w14:paraId="1040510A" w14:textId="77777777" w:rsidR="00873977" w:rsidRPr="00121A17" w:rsidRDefault="00873977" w:rsidP="00871296"/>
    <w:p w14:paraId="36596BCF" w14:textId="25AA7221" w:rsidR="00871296" w:rsidRPr="00121A17" w:rsidRDefault="00871296" w:rsidP="00692D0A">
      <w:r w:rsidRPr="00121A17">
        <w:t xml:space="preserve">CEC is an important property of biochar indicating the capacity of a biochar to adsorb organic and inorganic pollutants with positive charge </w:t>
      </w:r>
      <w:r w:rsidRPr="00121A17">
        <w:fldChar w:fldCharType="begin"/>
      </w:r>
      <w:r w:rsidR="0020489B" w:rsidRPr="00121A17">
        <w:instrText xml:space="preserve"> ADDIN ZOTERO_ITEM CSL_CITATION {"citationID":"DhQdpTH7","properties":{"formattedCitation":"(Nguyen et al., 2021)","plainCitation":"(Nguyen et al., 2021)","noteIndex":0},"citationItems":[{"id":3888,"uris":["http://zotero.org/users/5733999/items/2C8MTSSX"],"uri":["http://zotero.org/users/5733999/items/2C8MTSSX"],"itemData":{"id":3888,"type":"article-journal","abstract":"Water sources are contaminated with nutrients such as nitrogen, which can cause eutrophication, resulting in degradation of the aquatic environment and severe effects on aquatic ecosystems. In this study, biochar derived from spent coffee grounds (CGB) was prepared and investigated for ammonium (NH4+) adsorption in water at different pH, NH4+ concentrations, and CGB dosage conditions. The most suitable conditions for NH4+ adsorption by CGB were found at pH of 7, initial NH4+ concentration of 40 mg L−1, and CGB dosage of 2 g L−1. Data of NH4+ adsorption was highly compatible with the Langmuir isotherm with an R2 of 0.976. Compared with biochars prepared from other agricultural by-products, CGB exhibited a high NH4+ adsorption capacity (Qmax = 51.52 mg g−1). Pseudo-second-order model fitted well the adsorption data. The use of spent coffee grounds to prepare NH4+ adsorbent biochar not only saves the cost of solid waste treatment but also creates materials to adsorb pollutants in the water and is a source of additional nutrients for crops or soil improvement.","container-title":"Case Studies in Chemical and Environmental Engineering","DOI":"10.1016/j.cscee.2021.100141","ISSN":"2666-0164","journalAbbreviation":"Case Studies in Chemical and Environmental Engineering","language":"en","page":"100141","source":"ScienceDirect","title":"Biochar derived from the spent coffee ground for ammonium adsorption from aqueous solution","volume":"4","author":[{"family":"Nguyen","given":"Van-Truc"},{"family":"Vo","given":"Thi-Dieu-Hien"},{"family":"Tran","given":"Thanh"},{"family":"Nguyen","given":"Thanh-Nho"},{"family":"Le","given":"Thi-Ngoc-Chau"},{"family":"Bui","given":"Xuan-Thanh"},{"family":"Bach","given":"Long-Giang"}],"issued":{"date-parts":[["2021",12,1]]}}}],"schema":"https://github.com/citation-style-language/schema/raw/master/csl-citation.json"} </w:instrText>
      </w:r>
      <w:r w:rsidRPr="00121A17">
        <w:fldChar w:fldCharType="separate"/>
      </w:r>
      <w:r w:rsidR="0020489B" w:rsidRPr="00121A17">
        <w:rPr>
          <w:rFonts w:cs="Arial"/>
        </w:rPr>
        <w:t>(Nguyen et al., 2021)</w:t>
      </w:r>
      <w:r w:rsidRPr="00121A17">
        <w:fldChar w:fldCharType="end"/>
      </w:r>
      <w:r w:rsidRPr="00121A17">
        <w:t xml:space="preserve">. Biochar produced at 300 °C </w:t>
      </w:r>
      <w:r w:rsidR="00807EA6" w:rsidRPr="00121A17">
        <w:t>had a</w:t>
      </w:r>
      <w:r w:rsidRPr="00121A17">
        <w:t xml:space="preserve"> CEC value </w:t>
      </w:r>
      <w:r w:rsidR="00807EA6" w:rsidRPr="00121A17">
        <w:t xml:space="preserve">similar to </w:t>
      </w:r>
      <w:r w:rsidRPr="00121A17">
        <w:t>SCG biomass</w:t>
      </w:r>
      <w:r w:rsidR="00C65CA4" w:rsidRPr="00121A17">
        <w:t>, concomitant with the relatively neutral biochar pH</w:t>
      </w:r>
      <w:r w:rsidR="00807EA6" w:rsidRPr="00121A17">
        <w:t>. In contrast</w:t>
      </w:r>
      <w:r w:rsidR="00C65CA4" w:rsidRPr="00121A17">
        <w:t>,</w:t>
      </w:r>
      <w:r w:rsidRPr="00121A17">
        <w:t xml:space="preserve"> biochar at 450 °C had the highest CEC of the tested conditions (Figure 3</w:t>
      </w:r>
      <w:r w:rsidR="002364E8" w:rsidRPr="00121A17">
        <w:t>b</w:t>
      </w:r>
      <w:r w:rsidRPr="00121A17">
        <w:t>). In another study, biochar produced at 450 °C from chicken manure, eucalyptus sawdust, coffee husk</w:t>
      </w:r>
      <w:r w:rsidR="00C67DFA" w:rsidRPr="00121A17">
        <w:t>,</w:t>
      </w:r>
      <w:r w:rsidRPr="00121A17">
        <w:t xml:space="preserve"> and sugarcane bagasse showed maximum CEC which reduced at higher temperature </w:t>
      </w:r>
      <w:r w:rsidRPr="00121A17">
        <w:fldChar w:fldCharType="begin"/>
      </w:r>
      <w:r w:rsidRPr="00121A17">
        <w:instrText xml:space="preserve"> ADDIN ZOTERO_ITEM CSL_CITATION {"citationID":"K014TCM6","properties":{"formattedCitation":"(Domingues et al., 2020)","plainCitation":"(Domingues et al., 2020)","noteIndex":0},"citationItems":[{"id":3915,"uris":["http://zotero.org/users/5733999/items/RP4FWRZ4"],"uri":["http://zotero.org/users/5733999/items/RP4FWRZ4"],"itemData":{"id":3915,"type":"article-journal","abstract":"The addition of alkaline and high-cation exchange capacity (CEC) biochars is a suitable strategy to increase the CEC of weathered soils. The aim of this study was to evaluate the effect of biochar from different feedstocks and pyrolysis temperatures on the CEC of two contrasting Oxisols. Biochars produced from chicken manure (CM), eucalyptus sawdust (ES), coffee husk (CH) and sugarcane bagasse (SB),plus a control (without biochar), at 350, 450, and 750 °C were mixed with the soils at 2; 5; 10 and 20% (w/w) and incubated for 9 months. Feedstock, pyrolysis temperature and addition rate of biochar were key factors controlling the alteration of soil CEC. The CH biochar pyrolyzed at 350 °C was the most effective matrix at increasing soil CEC. In a rate-dependent way, ES and SB biochars increased C contents of both soils without improving soil CEC. The efficiency of high-ash biochars in enhancing soil CEC in both Oxisols was limited by the alkalization caused by high rates of CH and CM biochars. The increase in CEC is soil-dependent and modulated by high-ash biochar CEC and application rate, as well as by the original soil CEC.","container-title":"Agronomy","DOI":"10.3390/agronomy10060824","journalAbbreviation":"Agronomy","page":"824","source":"ResearchGate","title":"Enhancing Cation Exchange Capacity of Weathered Soils Using Biochar: Feedstock, Pyrolysis Conditions and Addition Rate","title-short":"Enhancing Cation Exchange Capacity of Weathered Soils Using Biochar","volume":"10","author":[{"family":"Domingues","given":"Rimena"},{"family":"Sánchez-Monedero","given":"Miguel"},{"family":"Spokas","given":"Kurt"},{"family":"Melo","given":"Leônidas"},{"family":"Trugilho","given":"Paulo"},{"family":"Valenciano","given":"Murilo"},{"family":"Silva","given":"Carlos"}],"issued":{"date-parts":[["2020",6,11]]}}}],"schema":"https://github.com/citation-style-language/schema/raw/master/csl-citation.json"} </w:instrText>
      </w:r>
      <w:r w:rsidRPr="00121A17">
        <w:fldChar w:fldCharType="separate"/>
      </w:r>
      <w:r w:rsidRPr="00121A17">
        <w:t>(Domingues et al., 2020)</w:t>
      </w:r>
      <w:r w:rsidRPr="00121A17">
        <w:fldChar w:fldCharType="end"/>
      </w:r>
      <w:r w:rsidRPr="00121A17">
        <w:t>. The highest ζ-potential was also recorded in this study for 450 °C, though 600 °C was very similar (Figure 3</w:t>
      </w:r>
      <w:r w:rsidR="002364E8" w:rsidRPr="00121A17">
        <w:t>c</w:t>
      </w:r>
      <w:r w:rsidRPr="00121A17">
        <w:t xml:space="preserve">). Higher ζ-potential of biochar is found efficient for adsorbed maximum removal of heavy metals </w:t>
      </w:r>
      <w:r w:rsidRPr="00121A17">
        <w:fldChar w:fldCharType="begin"/>
      </w:r>
      <w:r w:rsidRPr="00121A17">
        <w:instrText xml:space="preserve"> ADDIN ZOTERO_ITEM CSL_CITATION {"citationID":"g9sCaUnZ","properties":{"formattedCitation":"(Samsuri et al., 2014)","plainCitation":"(Samsuri et al., 2014)","noteIndex":0},"citationItems":[{"id":3919,"uris":["http://zotero.org/users/5733999/items/WAL63HCW"],"uri":["http://zotero.org/users/5733999/items/WAL63HCW"],"itemData":{"id":3919,"type":"article-journal","abstract":"The objectives of this study were to determine the selected physicochemical properties of two biochars, one commercially produced from rice husks and the other from oil palm empty fruit bunches, and to evaluate their adsorption capacities for Zn, Cu, and Pb using a batch equilibrium method. The results showed that there was no signiﬁcant difference between the carbon content of biochars formed from empty fruit bunches (EFBB) and rice husks (RHB). However, the EFBB did present higher quantities of O, H, S, N, and K, compared to the RHB. Although the EFBB had a much lower surface area than the RHB, the former adsorbed much more Zn, Cu, and Pb than the RHB. The higher adsorption capacity of the EFBB over the RHB was a result of the EFBB having higher amounts of oxygen-containing functional groups, a higher molar ratio of O/C, and a higher polarity index [(O ? N)/C]. This suggests that the biochar’s chemical properties were more important than its surface area in the adsorption of Zn, Cu, and Pb.","container-title":"International Journal of Environmental Science and Technology","DOI":"10.1007/s13762-013-0291-3","ISSN":"1735-1472, 1735-2630","issue":"4","journalAbbreviation":"Int. J. Environ. Sci. Technol.","language":"en","page":"967-976","source":"DOI.org (Crossref)","title":"Characterization of biochars produced from oil palm and rice husks and their adsorption capacities for heavy metals","volume":"11","author":[{"family":"Samsuri","given":"A. W."},{"family":"Sadegh-Zadeh","given":"F."},{"family":"Seh-Bardan","given":"B. J."}],"issued":{"date-parts":[["2014",5]]}}}],"schema":"https://github.com/citation-style-language/schema/raw/master/csl-citation.json"} </w:instrText>
      </w:r>
      <w:r w:rsidRPr="00121A17">
        <w:fldChar w:fldCharType="separate"/>
      </w:r>
      <w:r w:rsidRPr="00121A17">
        <w:t>(Samsuri et al., 2014)</w:t>
      </w:r>
      <w:r w:rsidRPr="00121A17">
        <w:fldChar w:fldCharType="end"/>
      </w:r>
      <w:r w:rsidRPr="00121A17">
        <w:t xml:space="preserve">. Biochar produced at 450 °C also showed higher oil holding capacity which </w:t>
      </w:r>
      <w:r w:rsidR="00346F26" w:rsidRPr="00121A17">
        <w:t xml:space="preserve">indicates potential as an </w:t>
      </w:r>
      <w:r w:rsidRPr="00121A17">
        <w:t>adsorbent to remove oil products from various industrial wastewater (Figure 3</w:t>
      </w:r>
      <w:r w:rsidR="002364E8" w:rsidRPr="00121A17">
        <w:t>d</w:t>
      </w:r>
      <w:r w:rsidRPr="00121A17">
        <w:t xml:space="preserve">). </w:t>
      </w:r>
      <w:r w:rsidR="00692D0A" w:rsidRPr="00121A17">
        <w:t>O</w:t>
      </w:r>
      <w:r w:rsidRPr="00121A17">
        <w:t xml:space="preserve">il pollution is a major issue </w:t>
      </w:r>
      <w:r w:rsidR="00692D0A" w:rsidRPr="00121A17">
        <w:t xml:space="preserve">due to large quantities of </w:t>
      </w:r>
      <w:r w:rsidRPr="00121A17">
        <w:t xml:space="preserve">crude oil and petroleum product </w:t>
      </w:r>
      <w:r w:rsidR="00692D0A" w:rsidRPr="00121A17">
        <w:t xml:space="preserve">discharges </w:t>
      </w:r>
      <w:r w:rsidRPr="00121A17">
        <w:t>to waterbodies</w:t>
      </w:r>
      <w:r w:rsidR="00692D0A" w:rsidRPr="00121A17">
        <w:t xml:space="preserve"> via spills and stormwater runoff</w:t>
      </w:r>
      <w:r w:rsidRPr="00121A17">
        <w:t xml:space="preserve"> </w:t>
      </w:r>
      <w:r w:rsidRPr="00121A17">
        <w:fldChar w:fldCharType="begin"/>
      </w:r>
      <w:r w:rsidRPr="00121A17">
        <w:instrText xml:space="preserve"> ADDIN ZOTERO_ITEM CSL_CITATION {"citationID":"kTIMGdWw","properties":{"formattedCitation":"(Kponee et al., 2015)","plainCitation":"(Kponee et al., 2015)","noteIndex":0},"citationItems":[{"id":3920,"uris":["http://zotero.org/users/5733999/items/MPD7IB68"],"uri":["http://zotero.org/users/5733999/items/MPD7IB68"],"itemData":{"id":3920,"type":"article-journal","abstract":"The oil-rich Niger Delta suffers from extensive petroleum contamination. A pilot study was conducted in the region of Ogoniland where one community, Ogale, has drinking water wells highly contaminated with a refined oil product. In a 2011 study, the United Nations Environment Programme (UNEP) sampled Ogale drinking water wells and detected numerous petroleum hydrocarbons, including benzene at concentrations as much as 1800 times higher than the USEPA drinking water standard. UNEP recommended immediate provision of clean drinking water, medical surveillance, and a prospective cohort study. Although the Nigerian government has provided emergency drinking water, other UNEP recommendations have not been implemented. We aimed to (i) follow up on UNEP recommendations by investigating health symptoms associated with exposure to contaminated water; and (ii) assess the adequacy and utilization of the government-supplied emergency drinking water.","container-title":"Environmental Health","DOI":"10.1186/s12940-015-0073-0","ISSN":"1476-069X","issue":"1","journalAbbreviation":"Environmental Health","page":"86","source":"BioMed Central","title":"Petroleum contaminated water and health symptoms: a cross-sectional pilot study in a rural Nigerian community","title-short":"Petroleum contaminated water and health symptoms","volume":"14","author":[{"family":"Kponee","given":"Kalé Zainab"},{"family":"Chiger","given":"Andrea"},{"family":"Kakulu","given":"Iyenemi Ibimina"},{"family":"Vorhees","given":"Donna"},{"family":"Heiger-Bernays","given":"Wendy"}],"issued":{"date-parts":[["2015",11,6]]}}}],"schema":"https://github.com/citation-style-language/schema/raw/master/csl-citation.json"} </w:instrText>
      </w:r>
      <w:r w:rsidRPr="00121A17">
        <w:fldChar w:fldCharType="separate"/>
      </w:r>
      <w:r w:rsidRPr="00121A17">
        <w:t>(Kponee et al., 2015)</w:t>
      </w:r>
      <w:r w:rsidRPr="00121A17">
        <w:fldChar w:fldCharType="end"/>
      </w:r>
      <w:r w:rsidRPr="00121A17">
        <w:t xml:space="preserve">. Based on these results, 450 °C biochar </w:t>
      </w:r>
      <w:r w:rsidRPr="00121A17">
        <w:lastRenderedPageBreak/>
        <w:t>has the most promise as a water treatment material due to its better suitability for dissolved inorganic salts, positive cations and hydrocarbons.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259"/>
      </w:tblGrid>
      <w:tr w:rsidR="00121A17" w:rsidRPr="00121A17" w14:paraId="0CFFDBDE" w14:textId="77777777" w:rsidTr="00213568">
        <w:tc>
          <w:tcPr>
            <w:tcW w:w="4440" w:type="dxa"/>
          </w:tcPr>
          <w:p w14:paraId="327B01E0" w14:textId="33C21B6B" w:rsidR="00871296" w:rsidRPr="00121A17" w:rsidRDefault="00D94D15" w:rsidP="00FE51E1">
            <w:r w:rsidRPr="00121A17">
              <w:rPr>
                <w:noProof/>
                <w:lang w:val="it-IT" w:eastAsia="it-IT"/>
              </w:rPr>
              <w:drawing>
                <wp:inline distT="0" distB="0" distL="0" distR="0" wp14:anchorId="24ED4E61" wp14:editId="6CBBA871">
                  <wp:extent cx="2495550" cy="13535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1239" cy="1362023"/>
                          </a:xfrm>
                          <a:prstGeom prst="rect">
                            <a:avLst/>
                          </a:prstGeom>
                          <a:noFill/>
                        </pic:spPr>
                      </pic:pic>
                    </a:graphicData>
                  </a:graphic>
                </wp:inline>
              </w:drawing>
            </w:r>
          </w:p>
        </w:tc>
        <w:tc>
          <w:tcPr>
            <w:tcW w:w="4337" w:type="dxa"/>
          </w:tcPr>
          <w:p w14:paraId="3403B33C" w14:textId="1B5494E4" w:rsidR="00871296" w:rsidRPr="00121A17" w:rsidRDefault="00D94D15" w:rsidP="0045316E">
            <w:pPr>
              <w:jc w:val="left"/>
            </w:pPr>
            <w:r w:rsidRPr="00121A17">
              <w:rPr>
                <w:noProof/>
                <w:lang w:val="it-IT" w:eastAsia="it-IT"/>
              </w:rPr>
              <w:drawing>
                <wp:inline distT="0" distB="0" distL="0" distR="0" wp14:anchorId="52237424" wp14:editId="26A84AD3">
                  <wp:extent cx="2390775" cy="13356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9045" cy="1345894"/>
                          </a:xfrm>
                          <a:prstGeom prst="rect">
                            <a:avLst/>
                          </a:prstGeom>
                          <a:noFill/>
                        </pic:spPr>
                      </pic:pic>
                    </a:graphicData>
                  </a:graphic>
                </wp:inline>
              </w:drawing>
            </w:r>
          </w:p>
        </w:tc>
      </w:tr>
      <w:tr w:rsidR="00121A17" w:rsidRPr="00121A17" w14:paraId="276D5548" w14:textId="77777777" w:rsidTr="00213568">
        <w:tc>
          <w:tcPr>
            <w:tcW w:w="4440" w:type="dxa"/>
          </w:tcPr>
          <w:p w14:paraId="4EA289AC" w14:textId="2403985D" w:rsidR="00871296" w:rsidRPr="00121A17" w:rsidRDefault="00D94D15" w:rsidP="00FE51E1">
            <w:r w:rsidRPr="00121A17">
              <w:rPr>
                <w:noProof/>
                <w:lang w:val="it-IT" w:eastAsia="it-IT"/>
              </w:rPr>
              <w:drawing>
                <wp:inline distT="0" distB="0" distL="0" distR="0" wp14:anchorId="173CB9C8" wp14:editId="5AA90B64">
                  <wp:extent cx="2738437" cy="13746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7150" cy="1384075"/>
                          </a:xfrm>
                          <a:prstGeom prst="rect">
                            <a:avLst/>
                          </a:prstGeom>
                          <a:noFill/>
                        </pic:spPr>
                      </pic:pic>
                    </a:graphicData>
                  </a:graphic>
                </wp:inline>
              </w:drawing>
            </w:r>
          </w:p>
        </w:tc>
        <w:tc>
          <w:tcPr>
            <w:tcW w:w="4337" w:type="dxa"/>
          </w:tcPr>
          <w:p w14:paraId="4C8863E6" w14:textId="14634455" w:rsidR="00871296" w:rsidRPr="00121A17" w:rsidRDefault="0045316E" w:rsidP="0045316E">
            <w:r w:rsidRPr="00121A17">
              <w:rPr>
                <w:noProof/>
                <w:lang w:val="it-IT" w:eastAsia="it-IT"/>
              </w:rPr>
              <w:drawing>
                <wp:inline distT="0" distB="0" distL="0" distR="0" wp14:anchorId="1A4D08FC" wp14:editId="03C945A9">
                  <wp:extent cx="2545361" cy="1290637"/>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067" cy="1305700"/>
                          </a:xfrm>
                          <a:prstGeom prst="rect">
                            <a:avLst/>
                          </a:prstGeom>
                          <a:noFill/>
                        </pic:spPr>
                      </pic:pic>
                    </a:graphicData>
                  </a:graphic>
                </wp:inline>
              </w:drawing>
            </w:r>
          </w:p>
        </w:tc>
      </w:tr>
    </w:tbl>
    <w:p w14:paraId="73DDBF9F" w14:textId="75014BB6" w:rsidR="00871296" w:rsidRPr="00121A17" w:rsidRDefault="00871296" w:rsidP="00871296">
      <w:pPr>
        <w:pStyle w:val="CETCaption"/>
      </w:pPr>
      <w:r w:rsidRPr="00121A17">
        <w:t>Figure 3: (a) pH, (b) CEC, (</w:t>
      </w:r>
      <w:r w:rsidR="003C24E6" w:rsidRPr="00121A17">
        <w:t>c</w:t>
      </w:r>
      <w:r w:rsidRPr="00121A17">
        <w:t>) ζ- potential</w:t>
      </w:r>
      <w:r w:rsidR="00394719" w:rsidRPr="00121A17">
        <w:t>,</w:t>
      </w:r>
      <w:r w:rsidRPr="00121A17">
        <w:t xml:space="preserve"> and (</w:t>
      </w:r>
      <w:r w:rsidR="003C24E6" w:rsidRPr="00121A17">
        <w:t>d</w:t>
      </w:r>
      <w:r w:rsidRPr="00121A17">
        <w:t xml:space="preserve">) oil holding capacity of SCG biochar and biomass. </w:t>
      </w:r>
      <w:r w:rsidRPr="00121A17">
        <w:rPr>
          <w:iCs/>
        </w:rPr>
        <w:t>BM: biomass; BC: biochar</w:t>
      </w:r>
    </w:p>
    <w:p w14:paraId="1ABB44D4" w14:textId="208C2C49" w:rsidR="00871296" w:rsidRPr="00121A17" w:rsidRDefault="00871296" w:rsidP="00871296">
      <w:pPr>
        <w:pStyle w:val="CETheadingx"/>
      </w:pPr>
      <w:r w:rsidRPr="00121A17">
        <w:t>Impact of pyrolysis temperature on metals</w:t>
      </w:r>
      <w:r w:rsidR="00692D0A" w:rsidRPr="00121A17">
        <w:t xml:space="preserve"> and salts</w:t>
      </w:r>
      <w:r w:rsidRPr="00121A17">
        <w:t xml:space="preserve"> </w:t>
      </w:r>
    </w:p>
    <w:p w14:paraId="1D4C3735" w14:textId="0F06FF6D" w:rsidR="00871296" w:rsidRPr="00121A17" w:rsidRDefault="00871296" w:rsidP="00692D0A">
      <w:r w:rsidRPr="00121A17">
        <w:t xml:space="preserve">Pyrolysis temperature strongly influenced the metal </w:t>
      </w:r>
      <w:r w:rsidR="00692D0A" w:rsidRPr="00121A17">
        <w:t xml:space="preserve">and salt </w:t>
      </w:r>
      <w:r w:rsidRPr="00121A17">
        <w:t xml:space="preserve">concentration present in biochar (Table 1). With increasing temperature, the metal </w:t>
      </w:r>
      <w:r w:rsidR="00692D0A" w:rsidRPr="00121A17">
        <w:t xml:space="preserve">and salt </w:t>
      </w:r>
      <w:r w:rsidRPr="00121A17">
        <w:t>concentration</w:t>
      </w:r>
      <w:r w:rsidR="00692D0A" w:rsidRPr="00121A17">
        <w:t>s</w:t>
      </w:r>
      <w:r w:rsidRPr="00121A17">
        <w:t xml:space="preserve"> increased. </w:t>
      </w:r>
      <w:r w:rsidR="00692D0A" w:rsidRPr="00121A17">
        <w:t>The</w:t>
      </w:r>
      <w:r w:rsidRPr="00121A17">
        <w:t xml:space="preserve"> </w:t>
      </w:r>
      <w:r w:rsidR="00692D0A" w:rsidRPr="00121A17">
        <w:t xml:space="preserve">most notable changes </w:t>
      </w:r>
      <w:r w:rsidRPr="00121A17">
        <w:t>w</w:t>
      </w:r>
      <w:r w:rsidR="00692D0A" w:rsidRPr="00121A17">
        <w:t xml:space="preserve">ere observed for </w:t>
      </w:r>
      <w:r w:rsidRPr="00121A17">
        <w:t xml:space="preserve">potassium, manganese, and iron </w:t>
      </w:r>
      <w:r w:rsidR="00346F26" w:rsidRPr="00121A17">
        <w:t>concentration</w:t>
      </w:r>
      <w:r w:rsidRPr="00121A17">
        <w:t xml:space="preserve"> between </w:t>
      </w:r>
      <w:r w:rsidR="00692D0A" w:rsidRPr="00121A17">
        <w:t>3</w:t>
      </w:r>
      <w:r w:rsidR="003F58FE" w:rsidRPr="00121A17">
        <w:t>0</w:t>
      </w:r>
      <w:r w:rsidRPr="00121A17">
        <w:t xml:space="preserve">0 and </w:t>
      </w:r>
      <w:r w:rsidR="00692D0A" w:rsidRPr="00121A17">
        <w:t>45</w:t>
      </w:r>
      <w:r w:rsidRPr="00121A17">
        <w:t>0 °C. While this is not preferential i</w:t>
      </w:r>
      <w:r w:rsidR="00346F26" w:rsidRPr="00121A17">
        <w:t>n</w:t>
      </w:r>
      <w:r w:rsidRPr="00121A17">
        <w:t xml:space="preserve"> most water treatment systems, it may be beneficial for nature based treatment systems that must support plant growth </w:t>
      </w:r>
      <w:r w:rsidRPr="00121A17">
        <w:fldChar w:fldCharType="begin"/>
      </w:r>
      <w:r w:rsidRPr="00121A17">
        <w:instrText xml:space="preserve"> ADDIN ZOTERO_ITEM CSL_CITATION {"citationID":"zYj9loOE","properties":{"formattedCitation":"(Pradhan et al., 2018)","plainCitation":"(Pradhan et al., 2018)","noteIndex":0},"citationItems":[{"id":501,"uris":["http://zotero.org/users/5733999/items/H37VRVND"],"uri":["http://zotero.org/users/5733999/items/H37VRVND"],"itemData":{"id":501,"type":"article-journal","container-title":"Science of the Total Environment","page":"330-344","source":"Google Scholar","title":"Greywater recycling in buildings using living walls and green roofs: A review of the applicability and challenges","title-short":"Greywater recycling in buildings using living walls and green roofs","volume":"652","author":[{"family":"Pradhan","given":"Snigdhendubala"},{"family":"Al-Ghamdi","given":"Sami G."},{"family":"Mackey","given":"Hamish R."}],"issued":{"date-parts":[["2018"]]}}}],"schema":"https://github.com/citation-style-language/schema/raw/master/csl-citation.json"} </w:instrText>
      </w:r>
      <w:r w:rsidRPr="00121A17">
        <w:fldChar w:fldCharType="separate"/>
      </w:r>
      <w:r w:rsidRPr="00121A17">
        <w:t>(Pradhan et al., 2018)</w:t>
      </w:r>
      <w:r w:rsidRPr="00121A17">
        <w:fldChar w:fldCharType="end"/>
      </w:r>
      <w:r w:rsidRPr="00121A17">
        <w:t>. A small variation was noticed for copper and zinc concentration between biomass and biochar, which suggest</w:t>
      </w:r>
      <w:r w:rsidR="00692D0A" w:rsidRPr="00121A17">
        <w:t>s</w:t>
      </w:r>
      <w:r w:rsidRPr="00121A17">
        <w:t xml:space="preserve"> </w:t>
      </w:r>
      <w:r w:rsidR="00692D0A" w:rsidRPr="00121A17">
        <w:t xml:space="preserve">a reduced </w:t>
      </w:r>
      <w:r w:rsidRPr="00121A17">
        <w:t xml:space="preserve">chance of leaching from biochar during the wastewater treatment process. </w:t>
      </w:r>
    </w:p>
    <w:p w14:paraId="54D3A82B" w14:textId="77777777" w:rsidR="00871296" w:rsidRPr="00121A17" w:rsidRDefault="00871296" w:rsidP="00AE06DB">
      <w:pPr>
        <w:pStyle w:val="CETTabletitle"/>
      </w:pPr>
      <w:r w:rsidRPr="00121A17">
        <w:t>Table 1: Analysis of various metals present in SCG biomass and biochar</w:t>
      </w:r>
    </w:p>
    <w:p w14:paraId="56E7570E" w14:textId="77777777" w:rsidR="00871296" w:rsidRPr="00121A17" w:rsidRDefault="00871296" w:rsidP="00F05CD6"/>
    <w:tbl>
      <w:tblPr>
        <w:tblStyle w:val="Tabellasemplice-2"/>
        <w:tblW w:w="9240" w:type="dxa"/>
        <w:tblLook w:val="0600" w:firstRow="0" w:lastRow="0" w:firstColumn="0" w:lastColumn="0" w:noHBand="1" w:noVBand="1"/>
      </w:tblPr>
      <w:tblGrid>
        <w:gridCol w:w="1648"/>
        <w:gridCol w:w="1804"/>
        <w:gridCol w:w="1674"/>
        <w:gridCol w:w="2258"/>
        <w:gridCol w:w="1856"/>
      </w:tblGrid>
      <w:tr w:rsidR="00121A17" w:rsidRPr="00121A17" w14:paraId="146C1630" w14:textId="77777777" w:rsidTr="00FE51E1">
        <w:trPr>
          <w:trHeight w:val="224"/>
        </w:trPr>
        <w:tc>
          <w:tcPr>
            <w:tcW w:w="1648" w:type="dxa"/>
            <w:tcBorders>
              <w:bottom w:val="single" w:sz="4" w:space="0" w:color="auto"/>
            </w:tcBorders>
            <w:hideMark/>
          </w:tcPr>
          <w:p w14:paraId="0403A156" w14:textId="77777777" w:rsidR="00871296" w:rsidRPr="00121A17" w:rsidRDefault="00871296" w:rsidP="00F05CD6"/>
        </w:tc>
        <w:tc>
          <w:tcPr>
            <w:tcW w:w="1804" w:type="dxa"/>
            <w:tcBorders>
              <w:bottom w:val="single" w:sz="4" w:space="0" w:color="auto"/>
            </w:tcBorders>
            <w:hideMark/>
          </w:tcPr>
          <w:p w14:paraId="1A510D47" w14:textId="77777777" w:rsidR="00871296" w:rsidRPr="00121A17" w:rsidRDefault="00871296" w:rsidP="00F05CD6">
            <w:r w:rsidRPr="00121A17">
              <w:t>BM</w:t>
            </w:r>
          </w:p>
        </w:tc>
        <w:tc>
          <w:tcPr>
            <w:tcW w:w="1674" w:type="dxa"/>
            <w:tcBorders>
              <w:bottom w:val="single" w:sz="4" w:space="0" w:color="auto"/>
            </w:tcBorders>
            <w:hideMark/>
          </w:tcPr>
          <w:p w14:paraId="327716A4" w14:textId="2FD7A098" w:rsidR="00871296" w:rsidRPr="00121A17" w:rsidRDefault="00871296" w:rsidP="007C334E">
            <w:r w:rsidRPr="00121A17">
              <w:t>BC 3</w:t>
            </w:r>
            <w:r w:rsidR="007C334E" w:rsidRPr="00121A17">
              <w:t>0</w:t>
            </w:r>
            <w:r w:rsidRPr="00121A17">
              <w:t>0 °C</w:t>
            </w:r>
          </w:p>
        </w:tc>
        <w:tc>
          <w:tcPr>
            <w:tcW w:w="2258" w:type="dxa"/>
            <w:tcBorders>
              <w:bottom w:val="single" w:sz="4" w:space="0" w:color="auto"/>
            </w:tcBorders>
            <w:hideMark/>
          </w:tcPr>
          <w:p w14:paraId="1DAC4DBF" w14:textId="77777777" w:rsidR="00871296" w:rsidRPr="00121A17" w:rsidRDefault="00871296" w:rsidP="00F05CD6">
            <w:r w:rsidRPr="00121A17">
              <w:t>BC 450 °C</w:t>
            </w:r>
          </w:p>
        </w:tc>
        <w:tc>
          <w:tcPr>
            <w:tcW w:w="1856" w:type="dxa"/>
            <w:tcBorders>
              <w:bottom w:val="single" w:sz="4" w:space="0" w:color="auto"/>
            </w:tcBorders>
            <w:hideMark/>
          </w:tcPr>
          <w:p w14:paraId="762F6CC1" w14:textId="77777777" w:rsidR="00871296" w:rsidRPr="00121A17" w:rsidRDefault="00871296" w:rsidP="00F05CD6">
            <w:r w:rsidRPr="00121A17">
              <w:t>BC 600 °C</w:t>
            </w:r>
          </w:p>
        </w:tc>
      </w:tr>
      <w:tr w:rsidR="00121A17" w:rsidRPr="00121A17" w14:paraId="780265AE" w14:textId="77777777" w:rsidTr="00FE51E1">
        <w:trPr>
          <w:trHeight w:val="224"/>
        </w:trPr>
        <w:tc>
          <w:tcPr>
            <w:tcW w:w="1648" w:type="dxa"/>
            <w:tcBorders>
              <w:top w:val="single" w:sz="4" w:space="0" w:color="auto"/>
            </w:tcBorders>
            <w:hideMark/>
          </w:tcPr>
          <w:p w14:paraId="119BDC79" w14:textId="77777777" w:rsidR="00871296" w:rsidRPr="00121A17" w:rsidRDefault="00871296" w:rsidP="00F05CD6">
            <w:r w:rsidRPr="00121A17">
              <w:t>K (mg/g)</w:t>
            </w:r>
          </w:p>
        </w:tc>
        <w:tc>
          <w:tcPr>
            <w:tcW w:w="1804" w:type="dxa"/>
            <w:tcBorders>
              <w:top w:val="single" w:sz="4" w:space="0" w:color="auto"/>
            </w:tcBorders>
            <w:hideMark/>
          </w:tcPr>
          <w:p w14:paraId="2365C7CE" w14:textId="77777777" w:rsidR="00871296" w:rsidRPr="00121A17" w:rsidRDefault="00871296" w:rsidP="00F05CD6">
            <w:r w:rsidRPr="00121A17">
              <w:t>0.345±0.016</w:t>
            </w:r>
          </w:p>
        </w:tc>
        <w:tc>
          <w:tcPr>
            <w:tcW w:w="1674" w:type="dxa"/>
            <w:tcBorders>
              <w:top w:val="single" w:sz="4" w:space="0" w:color="auto"/>
            </w:tcBorders>
            <w:hideMark/>
          </w:tcPr>
          <w:p w14:paraId="12AEE602" w14:textId="77777777" w:rsidR="00871296" w:rsidRPr="00121A17" w:rsidRDefault="00871296" w:rsidP="00F05CD6">
            <w:r w:rsidRPr="00121A17">
              <w:t>0.464±0.029</w:t>
            </w:r>
          </w:p>
        </w:tc>
        <w:tc>
          <w:tcPr>
            <w:tcW w:w="2258" w:type="dxa"/>
            <w:tcBorders>
              <w:top w:val="single" w:sz="4" w:space="0" w:color="auto"/>
            </w:tcBorders>
            <w:hideMark/>
          </w:tcPr>
          <w:p w14:paraId="5ABA88BB" w14:textId="77777777" w:rsidR="00871296" w:rsidRPr="00121A17" w:rsidRDefault="00871296" w:rsidP="00F05CD6">
            <w:r w:rsidRPr="00121A17">
              <w:t>0.646±0.046</w:t>
            </w:r>
          </w:p>
        </w:tc>
        <w:tc>
          <w:tcPr>
            <w:tcW w:w="1856" w:type="dxa"/>
            <w:tcBorders>
              <w:top w:val="single" w:sz="4" w:space="0" w:color="auto"/>
            </w:tcBorders>
            <w:hideMark/>
          </w:tcPr>
          <w:p w14:paraId="411C5C01" w14:textId="77777777" w:rsidR="00871296" w:rsidRPr="00121A17" w:rsidRDefault="00871296" w:rsidP="00F05CD6">
            <w:r w:rsidRPr="00121A17">
              <w:t>0.791±0.008</w:t>
            </w:r>
          </w:p>
        </w:tc>
      </w:tr>
      <w:tr w:rsidR="00121A17" w:rsidRPr="00121A17" w14:paraId="35916342" w14:textId="77777777" w:rsidTr="00FE51E1">
        <w:trPr>
          <w:trHeight w:val="224"/>
        </w:trPr>
        <w:tc>
          <w:tcPr>
            <w:tcW w:w="1648" w:type="dxa"/>
            <w:hideMark/>
          </w:tcPr>
          <w:p w14:paraId="0F03C3D1" w14:textId="77777777" w:rsidR="00871296" w:rsidRPr="00121A17" w:rsidRDefault="00871296" w:rsidP="00F05CD6">
            <w:r w:rsidRPr="00121A17">
              <w:t>Fe (mg/g)</w:t>
            </w:r>
          </w:p>
        </w:tc>
        <w:tc>
          <w:tcPr>
            <w:tcW w:w="1804" w:type="dxa"/>
            <w:hideMark/>
          </w:tcPr>
          <w:p w14:paraId="1E7BE94B" w14:textId="77777777" w:rsidR="00871296" w:rsidRPr="00121A17" w:rsidRDefault="00871296" w:rsidP="00F05CD6">
            <w:r w:rsidRPr="00121A17">
              <w:t>0.25±0.002</w:t>
            </w:r>
          </w:p>
        </w:tc>
        <w:tc>
          <w:tcPr>
            <w:tcW w:w="1674" w:type="dxa"/>
            <w:hideMark/>
          </w:tcPr>
          <w:p w14:paraId="12B196D9" w14:textId="77777777" w:rsidR="00871296" w:rsidRPr="00121A17" w:rsidRDefault="00871296" w:rsidP="00F05CD6">
            <w:r w:rsidRPr="00121A17">
              <w:t>0.38±0.02</w:t>
            </w:r>
          </w:p>
        </w:tc>
        <w:tc>
          <w:tcPr>
            <w:tcW w:w="2258" w:type="dxa"/>
            <w:hideMark/>
          </w:tcPr>
          <w:p w14:paraId="41F4C9F0" w14:textId="77777777" w:rsidR="00871296" w:rsidRPr="00121A17" w:rsidRDefault="00871296" w:rsidP="00F05CD6">
            <w:r w:rsidRPr="00121A17">
              <w:t>1.05±0.07</w:t>
            </w:r>
          </w:p>
        </w:tc>
        <w:tc>
          <w:tcPr>
            <w:tcW w:w="1856" w:type="dxa"/>
            <w:hideMark/>
          </w:tcPr>
          <w:p w14:paraId="66F3E47C" w14:textId="77777777" w:rsidR="00871296" w:rsidRPr="00121A17" w:rsidRDefault="00871296" w:rsidP="00F05CD6">
            <w:r w:rsidRPr="00121A17">
              <w:t>1.08±0.02</w:t>
            </w:r>
          </w:p>
        </w:tc>
      </w:tr>
      <w:tr w:rsidR="00121A17" w:rsidRPr="00121A17" w14:paraId="444E4324" w14:textId="77777777" w:rsidTr="00FE51E1">
        <w:trPr>
          <w:trHeight w:val="224"/>
        </w:trPr>
        <w:tc>
          <w:tcPr>
            <w:tcW w:w="1648" w:type="dxa"/>
            <w:hideMark/>
          </w:tcPr>
          <w:p w14:paraId="25999845" w14:textId="77777777" w:rsidR="00871296" w:rsidRPr="00121A17" w:rsidRDefault="00871296" w:rsidP="00F05CD6">
            <w:r w:rsidRPr="00121A17">
              <w:t>Mn (mg/g)</w:t>
            </w:r>
          </w:p>
        </w:tc>
        <w:tc>
          <w:tcPr>
            <w:tcW w:w="1804" w:type="dxa"/>
            <w:hideMark/>
          </w:tcPr>
          <w:p w14:paraId="107358E0" w14:textId="77777777" w:rsidR="00871296" w:rsidRPr="00121A17" w:rsidRDefault="00871296" w:rsidP="00F05CD6">
            <w:r w:rsidRPr="00121A17">
              <w:t>0.010±0.001</w:t>
            </w:r>
          </w:p>
        </w:tc>
        <w:tc>
          <w:tcPr>
            <w:tcW w:w="1674" w:type="dxa"/>
            <w:hideMark/>
          </w:tcPr>
          <w:p w14:paraId="342539A1" w14:textId="77777777" w:rsidR="00871296" w:rsidRPr="00121A17" w:rsidRDefault="00871296" w:rsidP="00F05CD6">
            <w:r w:rsidRPr="00121A17">
              <w:t>0.018±0.002</w:t>
            </w:r>
          </w:p>
        </w:tc>
        <w:tc>
          <w:tcPr>
            <w:tcW w:w="2258" w:type="dxa"/>
            <w:hideMark/>
          </w:tcPr>
          <w:p w14:paraId="1320AE6E" w14:textId="77777777" w:rsidR="00871296" w:rsidRPr="00121A17" w:rsidRDefault="00871296" w:rsidP="00F05CD6">
            <w:r w:rsidRPr="00121A17">
              <w:t>0.031±0.001</w:t>
            </w:r>
          </w:p>
        </w:tc>
        <w:tc>
          <w:tcPr>
            <w:tcW w:w="1856" w:type="dxa"/>
            <w:hideMark/>
          </w:tcPr>
          <w:p w14:paraId="67D07CBD" w14:textId="77777777" w:rsidR="00871296" w:rsidRPr="00121A17" w:rsidRDefault="00871296" w:rsidP="00F05CD6">
            <w:r w:rsidRPr="00121A17">
              <w:t>0.035±0.002</w:t>
            </w:r>
          </w:p>
        </w:tc>
      </w:tr>
      <w:tr w:rsidR="00121A17" w:rsidRPr="00121A17" w14:paraId="056122AF" w14:textId="77777777" w:rsidTr="00FE51E1">
        <w:trPr>
          <w:trHeight w:val="224"/>
        </w:trPr>
        <w:tc>
          <w:tcPr>
            <w:tcW w:w="1648" w:type="dxa"/>
            <w:hideMark/>
          </w:tcPr>
          <w:p w14:paraId="097285D0" w14:textId="77777777" w:rsidR="00871296" w:rsidRPr="00121A17" w:rsidRDefault="00871296" w:rsidP="00F05CD6">
            <w:r w:rsidRPr="00121A17">
              <w:t>Zn (mg/g)</w:t>
            </w:r>
          </w:p>
        </w:tc>
        <w:tc>
          <w:tcPr>
            <w:tcW w:w="1804" w:type="dxa"/>
            <w:hideMark/>
          </w:tcPr>
          <w:p w14:paraId="098425DA" w14:textId="77777777" w:rsidR="00871296" w:rsidRPr="00121A17" w:rsidRDefault="00871296" w:rsidP="00F05CD6">
            <w:r w:rsidRPr="00121A17">
              <w:t>0.01±0.003</w:t>
            </w:r>
          </w:p>
        </w:tc>
        <w:tc>
          <w:tcPr>
            <w:tcW w:w="1674" w:type="dxa"/>
            <w:hideMark/>
          </w:tcPr>
          <w:p w14:paraId="2DACD2E5" w14:textId="77777777" w:rsidR="00871296" w:rsidRPr="00121A17" w:rsidRDefault="00871296" w:rsidP="00F05CD6">
            <w:r w:rsidRPr="00121A17">
              <w:t>0.015±0.002</w:t>
            </w:r>
          </w:p>
        </w:tc>
        <w:tc>
          <w:tcPr>
            <w:tcW w:w="2258" w:type="dxa"/>
            <w:hideMark/>
          </w:tcPr>
          <w:p w14:paraId="5A236598" w14:textId="77777777" w:rsidR="00871296" w:rsidRPr="00121A17" w:rsidRDefault="00871296" w:rsidP="00F05CD6">
            <w:r w:rsidRPr="00121A17">
              <w:t>0.02±0.002</w:t>
            </w:r>
          </w:p>
        </w:tc>
        <w:tc>
          <w:tcPr>
            <w:tcW w:w="1856" w:type="dxa"/>
            <w:hideMark/>
          </w:tcPr>
          <w:p w14:paraId="1AFD6039" w14:textId="77777777" w:rsidR="00871296" w:rsidRPr="00121A17" w:rsidRDefault="00871296" w:rsidP="00F05CD6">
            <w:r w:rsidRPr="00121A17">
              <w:t>0.014±0.004</w:t>
            </w:r>
          </w:p>
        </w:tc>
      </w:tr>
      <w:tr w:rsidR="00121A17" w:rsidRPr="00121A17" w14:paraId="19698462" w14:textId="77777777" w:rsidTr="00FE51E1">
        <w:trPr>
          <w:trHeight w:val="224"/>
        </w:trPr>
        <w:tc>
          <w:tcPr>
            <w:tcW w:w="1648" w:type="dxa"/>
            <w:hideMark/>
          </w:tcPr>
          <w:p w14:paraId="7A7C3AFC" w14:textId="77777777" w:rsidR="00871296" w:rsidRPr="00121A17" w:rsidRDefault="00871296" w:rsidP="00F05CD6">
            <w:r w:rsidRPr="00121A17">
              <w:t>Al (mg/g)</w:t>
            </w:r>
          </w:p>
        </w:tc>
        <w:tc>
          <w:tcPr>
            <w:tcW w:w="1804" w:type="dxa"/>
            <w:hideMark/>
          </w:tcPr>
          <w:p w14:paraId="0AEFC438" w14:textId="77777777" w:rsidR="00871296" w:rsidRPr="00121A17" w:rsidRDefault="00871296" w:rsidP="00F05CD6">
            <w:r w:rsidRPr="00121A17">
              <w:t>0.023±0.0009</w:t>
            </w:r>
          </w:p>
        </w:tc>
        <w:tc>
          <w:tcPr>
            <w:tcW w:w="1674" w:type="dxa"/>
            <w:hideMark/>
          </w:tcPr>
          <w:p w14:paraId="2B4756C3" w14:textId="77777777" w:rsidR="00871296" w:rsidRPr="00121A17" w:rsidRDefault="00871296" w:rsidP="00F05CD6">
            <w:r w:rsidRPr="00121A17">
              <w:t>0.020±0.003</w:t>
            </w:r>
          </w:p>
        </w:tc>
        <w:tc>
          <w:tcPr>
            <w:tcW w:w="2258" w:type="dxa"/>
            <w:hideMark/>
          </w:tcPr>
          <w:p w14:paraId="6AD83614" w14:textId="77777777" w:rsidR="00871296" w:rsidRPr="00121A17" w:rsidRDefault="00871296" w:rsidP="00F05CD6">
            <w:r w:rsidRPr="00121A17">
              <w:t>0.017±0.014</w:t>
            </w:r>
          </w:p>
        </w:tc>
        <w:tc>
          <w:tcPr>
            <w:tcW w:w="1856" w:type="dxa"/>
            <w:hideMark/>
          </w:tcPr>
          <w:p w14:paraId="039F82CC" w14:textId="77777777" w:rsidR="00871296" w:rsidRPr="00121A17" w:rsidRDefault="00871296" w:rsidP="00F05CD6">
            <w:r w:rsidRPr="00121A17">
              <w:t>0.116±0.007</w:t>
            </w:r>
          </w:p>
        </w:tc>
      </w:tr>
      <w:tr w:rsidR="00121A17" w:rsidRPr="00121A17" w14:paraId="5AF7AFE1" w14:textId="77777777" w:rsidTr="00FE51E1">
        <w:trPr>
          <w:trHeight w:val="224"/>
        </w:trPr>
        <w:tc>
          <w:tcPr>
            <w:tcW w:w="1648" w:type="dxa"/>
            <w:hideMark/>
          </w:tcPr>
          <w:p w14:paraId="000866E4" w14:textId="77777777" w:rsidR="00871296" w:rsidRPr="00121A17" w:rsidRDefault="00871296" w:rsidP="00F05CD6">
            <w:r w:rsidRPr="00121A17">
              <w:t>Cu (mg/g)</w:t>
            </w:r>
          </w:p>
        </w:tc>
        <w:tc>
          <w:tcPr>
            <w:tcW w:w="1804" w:type="dxa"/>
            <w:hideMark/>
          </w:tcPr>
          <w:p w14:paraId="5D5FF0A6" w14:textId="77777777" w:rsidR="00871296" w:rsidRPr="00121A17" w:rsidRDefault="00871296" w:rsidP="00F05CD6">
            <w:r w:rsidRPr="00121A17">
              <w:t>0.009±0.002</w:t>
            </w:r>
          </w:p>
        </w:tc>
        <w:tc>
          <w:tcPr>
            <w:tcW w:w="1674" w:type="dxa"/>
            <w:hideMark/>
          </w:tcPr>
          <w:p w14:paraId="449FF682" w14:textId="77777777" w:rsidR="00871296" w:rsidRPr="00121A17" w:rsidRDefault="00871296" w:rsidP="00F05CD6">
            <w:r w:rsidRPr="00121A17">
              <w:t>0.010±0.002</w:t>
            </w:r>
          </w:p>
        </w:tc>
        <w:tc>
          <w:tcPr>
            <w:tcW w:w="2258" w:type="dxa"/>
            <w:hideMark/>
          </w:tcPr>
          <w:p w14:paraId="47C0B769" w14:textId="77777777" w:rsidR="00871296" w:rsidRPr="00121A17" w:rsidRDefault="00871296" w:rsidP="00F05CD6">
            <w:r w:rsidRPr="00121A17">
              <w:t>0.015±0.0009</w:t>
            </w:r>
          </w:p>
        </w:tc>
        <w:tc>
          <w:tcPr>
            <w:tcW w:w="1856" w:type="dxa"/>
            <w:hideMark/>
          </w:tcPr>
          <w:p w14:paraId="47491D59" w14:textId="77777777" w:rsidR="00871296" w:rsidRPr="00121A17" w:rsidRDefault="00871296" w:rsidP="00F05CD6">
            <w:r w:rsidRPr="00121A17">
              <w:t>0.017±0.0009</w:t>
            </w:r>
          </w:p>
        </w:tc>
      </w:tr>
    </w:tbl>
    <w:p w14:paraId="6B232EB1" w14:textId="77777777" w:rsidR="00871296" w:rsidRPr="00121A17" w:rsidRDefault="00871296" w:rsidP="00F05CD6">
      <w:r w:rsidRPr="00121A17">
        <w:t>K: potassium; Fe: iron; Mn: manganese; Zn: zinc; Al: aluminium; Cu: cupper</w:t>
      </w:r>
    </w:p>
    <w:p w14:paraId="39AFA4CD" w14:textId="77777777" w:rsidR="00072CBF" w:rsidRPr="00121A17" w:rsidRDefault="00072CBF" w:rsidP="00072CBF">
      <w:pPr>
        <w:pStyle w:val="CETHeading1"/>
      </w:pPr>
      <w:r w:rsidRPr="00121A17">
        <w:t>Conclusion</w:t>
      </w:r>
    </w:p>
    <w:p w14:paraId="4366CA50" w14:textId="72B60268" w:rsidR="00072CBF" w:rsidRPr="00121A17" w:rsidRDefault="00072CBF" w:rsidP="00DF7D20">
      <w:r w:rsidRPr="00121A17">
        <w:t>Biochar has received a lot of attention due to its unique structure and </w:t>
      </w:r>
      <w:hyperlink r:id="rId20" w:tgtFrame="_blank" w:history="1">
        <w:r w:rsidRPr="00121A17">
          <w:t>properties</w:t>
        </w:r>
      </w:hyperlink>
      <w:r w:rsidRPr="00121A17">
        <w:t xml:space="preserve">, coupled with its cost-effectiveness and environmentally friendly attributes. This study characterized biochar produced from SCG biomass at three different temperatures </w:t>
      </w:r>
      <w:r w:rsidR="00346F26" w:rsidRPr="00121A17">
        <w:t>and analysed its potential of use</w:t>
      </w:r>
      <w:r w:rsidRPr="00121A17">
        <w:t xml:space="preserve"> as an adsorbent. The high availability and low cost of SCG allow its valorization to obtain a carbonaceous adsorbent that can be applied for water and wastewater treatment. </w:t>
      </w:r>
      <w:r w:rsidR="00346F26" w:rsidRPr="00121A17">
        <w:t>Desirable</w:t>
      </w:r>
      <w:r w:rsidRPr="00121A17">
        <w:t xml:space="preserve"> adsorbent properties of biochar </w:t>
      </w:r>
      <w:r w:rsidR="00346F26" w:rsidRPr="00121A17">
        <w:t>demonstrate the potential for</w:t>
      </w:r>
      <w:r w:rsidRPr="00121A17">
        <w:t xml:space="preserve"> slow pyrolysis </w:t>
      </w:r>
      <w:r w:rsidR="00346F26" w:rsidRPr="00121A17">
        <w:t xml:space="preserve">as </w:t>
      </w:r>
      <w:r w:rsidRPr="00121A17">
        <w:t>a sustainable approach in waste valorization. The high C</w:t>
      </w:r>
      <w:r w:rsidR="00346F26" w:rsidRPr="00121A17">
        <w:t xml:space="preserve"> content</w:t>
      </w:r>
      <w:r w:rsidRPr="00121A17">
        <w:t xml:space="preserve">, </w:t>
      </w:r>
      <w:r w:rsidR="00346F26" w:rsidRPr="00121A17">
        <w:t xml:space="preserve">optimal </w:t>
      </w:r>
      <w:r w:rsidRPr="00121A17">
        <w:t>CEC</w:t>
      </w:r>
      <w:r w:rsidR="00232FD1" w:rsidRPr="00121A17">
        <w:t>,</w:t>
      </w:r>
      <w:r w:rsidRPr="00121A17">
        <w:t xml:space="preserve"> and ζ-potential in biochar produced at 450 °C signifies a suitable carbonaceous adsorbent to treat water and wastewater. At the same time, the biochar produced at 600 °C also showed comparable properties with biochar at 450 °C. Based on the outcomes, this study </w:t>
      </w:r>
      <w:r w:rsidR="00DF7D20" w:rsidRPr="00121A17">
        <w:t>plans to</w:t>
      </w:r>
      <w:r w:rsidRPr="00121A17">
        <w:t xml:space="preserve"> evaluate biochars produced at 450 and 600 °C on wastewater treatment performance in the future in comparison with SCG biomass.</w:t>
      </w:r>
    </w:p>
    <w:p w14:paraId="295995E0" w14:textId="77777777" w:rsidR="00072CBF" w:rsidRPr="00121A17" w:rsidRDefault="00072CBF" w:rsidP="00072CBF">
      <w:pPr>
        <w:pStyle w:val="CETHeading1"/>
      </w:pPr>
      <w:r w:rsidRPr="00121A17">
        <w:lastRenderedPageBreak/>
        <w:t>Acknowledgement</w:t>
      </w:r>
    </w:p>
    <w:p w14:paraId="1FFABBE5" w14:textId="3569F45C" w:rsidR="00072CBF" w:rsidRPr="00121A17" w:rsidRDefault="00072CBF" w:rsidP="00072CBF">
      <w:pPr>
        <w:pStyle w:val="CETBodytextItalic"/>
      </w:pPr>
      <w:r w:rsidRPr="00121A17">
        <w:t>The authors would like to acknowledge the Qatar National Research Fund for supporting this research on materials suitable for nature-based greywater treatment through the National Priorities Research Program (grant NPRP12S-0226-190160).</w:t>
      </w:r>
    </w:p>
    <w:p w14:paraId="40E8EE1E" w14:textId="517FBD73" w:rsidR="00072CBF" w:rsidRPr="00121A17" w:rsidRDefault="00072CBF" w:rsidP="00D616D1">
      <w:pPr>
        <w:pStyle w:val="CETHeading1"/>
      </w:pPr>
      <w:r w:rsidRPr="00121A17">
        <w:t>Reference</w:t>
      </w:r>
    </w:p>
    <w:p w14:paraId="4B10B329" w14:textId="78ECD38B" w:rsidR="00BF38F2" w:rsidRPr="00121A17" w:rsidRDefault="00BF38F2" w:rsidP="00DE1BB0">
      <w:pPr>
        <w:pStyle w:val="Bibliografia"/>
        <w:ind w:left="0" w:firstLine="0"/>
        <w:rPr>
          <w:rFonts w:cs="Arial"/>
        </w:rPr>
      </w:pPr>
      <w:r w:rsidRPr="00121A17">
        <w:rPr>
          <w:b/>
          <w:bCs/>
        </w:rPr>
        <w:fldChar w:fldCharType="begin"/>
      </w:r>
      <w:r w:rsidRPr="00121A17">
        <w:rPr>
          <w:b/>
          <w:bCs/>
        </w:rPr>
        <w:instrText xml:space="preserve"> ADDIN ZOTERO_BIBL {"uncited":[],"omitted":[],"custom":[]} CSL_BIBLIOGRAPHY </w:instrText>
      </w:r>
      <w:r w:rsidRPr="00121A17">
        <w:rPr>
          <w:b/>
          <w:bCs/>
        </w:rPr>
        <w:fldChar w:fldCharType="separate"/>
      </w:r>
      <w:r w:rsidRPr="00121A17">
        <w:rPr>
          <w:rFonts w:cs="Arial"/>
        </w:rPr>
        <w:t xml:space="preserve">Abdelaal, A., Pradhan, S., AlNouss, A., Tong, Y., Al-Ansari, T., McKay, G., Mackey, H.R., 2021. The impact of </w:t>
      </w:r>
      <w:r w:rsidR="00DE1BB0" w:rsidRPr="00121A17">
        <w:rPr>
          <w:rFonts w:cs="Arial"/>
        </w:rPr>
        <w:tab/>
      </w:r>
      <w:r w:rsidRPr="00121A17">
        <w:rPr>
          <w:rFonts w:cs="Arial"/>
        </w:rPr>
        <w:t xml:space="preserve">pyrolysis conditions on orange peel biochar physicochemical properties for sandy soil. </w:t>
      </w:r>
      <w:r w:rsidRPr="00121A17">
        <w:rPr>
          <w:rFonts w:cs="Arial"/>
          <w:szCs w:val="18"/>
          <w:shd w:val="clear" w:color="auto" w:fill="FFFFFF"/>
        </w:rPr>
        <w:t xml:space="preserve">Waste </w:t>
      </w:r>
      <w:r w:rsidR="00DE1BB0" w:rsidRPr="00121A17">
        <w:rPr>
          <w:rFonts w:cs="Arial"/>
          <w:szCs w:val="18"/>
          <w:shd w:val="clear" w:color="auto" w:fill="FFFFFF"/>
        </w:rPr>
        <w:tab/>
      </w:r>
      <w:r w:rsidRPr="00121A17">
        <w:rPr>
          <w:rFonts w:cs="Arial"/>
          <w:szCs w:val="18"/>
          <w:shd w:val="clear" w:color="auto" w:fill="FFFFFF"/>
        </w:rPr>
        <w:t>Management Research,</w:t>
      </w:r>
      <w:r w:rsidRPr="00121A17">
        <w:rPr>
          <w:rFonts w:cs="Arial"/>
        </w:rPr>
        <w:t xml:space="preserve"> 39, 995–1004. doi:10.1177/0734242X20978456</w:t>
      </w:r>
    </w:p>
    <w:p w14:paraId="5AB60489" w14:textId="307C611A" w:rsidR="00BF38F2" w:rsidRPr="00121A17" w:rsidRDefault="00BF38F2" w:rsidP="00DE1BB0">
      <w:pPr>
        <w:pStyle w:val="Bibliografia"/>
        <w:ind w:left="0" w:firstLine="0"/>
        <w:rPr>
          <w:rFonts w:cs="Arial"/>
        </w:rPr>
      </w:pPr>
      <w:r w:rsidRPr="00121A17">
        <w:rPr>
          <w:rFonts w:cs="Arial"/>
        </w:rPr>
        <w:t xml:space="preserve">ASTM, 2013. Standard test methods for proximate analysis of coal and coke by macro thermogravimetric </w:t>
      </w:r>
      <w:r w:rsidR="00DE1BB0" w:rsidRPr="00121A17">
        <w:rPr>
          <w:rFonts w:cs="Arial"/>
        </w:rPr>
        <w:tab/>
      </w:r>
      <w:r w:rsidRPr="00121A17">
        <w:rPr>
          <w:rFonts w:cs="Arial"/>
        </w:rPr>
        <w:t>analysis D 7582-15.</w:t>
      </w:r>
    </w:p>
    <w:p w14:paraId="13D8D10A" w14:textId="2EA5E19C" w:rsidR="00BF38F2" w:rsidRPr="00121A17" w:rsidRDefault="00BF38F2" w:rsidP="00DE1BB0">
      <w:pPr>
        <w:pStyle w:val="Bibliografia"/>
        <w:ind w:left="0" w:firstLine="0"/>
        <w:rPr>
          <w:rFonts w:cs="Arial"/>
        </w:rPr>
      </w:pPr>
      <w:r w:rsidRPr="00121A17">
        <w:rPr>
          <w:rFonts w:cs="Arial"/>
        </w:rPr>
        <w:t xml:space="preserve">ASTM, 2010. Standard test method for measuring the exchange complex and cation exchange capacity of </w:t>
      </w:r>
      <w:r w:rsidR="00DE1BB0" w:rsidRPr="00121A17">
        <w:rPr>
          <w:rFonts w:cs="Arial"/>
        </w:rPr>
        <w:tab/>
      </w:r>
      <w:r w:rsidRPr="00121A17">
        <w:rPr>
          <w:rFonts w:cs="Arial"/>
        </w:rPr>
        <w:t>inorganic fine-grained soils D7503-10.</w:t>
      </w:r>
    </w:p>
    <w:p w14:paraId="7FD83B3B" w14:textId="4EF5461D" w:rsidR="00BF38F2" w:rsidRPr="00121A17" w:rsidRDefault="00BF38F2" w:rsidP="00DE1BB0">
      <w:pPr>
        <w:pStyle w:val="Bibliografia"/>
        <w:ind w:left="0" w:firstLine="0"/>
        <w:rPr>
          <w:rFonts w:cs="Arial"/>
        </w:rPr>
      </w:pPr>
      <w:r w:rsidRPr="00121A17">
        <w:rPr>
          <w:rFonts w:cs="Arial"/>
        </w:rPr>
        <w:t xml:space="preserve">Dai, Z., Meng, J., Muhammad, N., Liu, X., Wang, H., He, Y., Brookes, P., Xu, J., 2013. The potential feasibility </w:t>
      </w:r>
      <w:r w:rsidR="00DE1BB0" w:rsidRPr="00121A17">
        <w:rPr>
          <w:rFonts w:cs="Arial"/>
        </w:rPr>
        <w:tab/>
      </w:r>
      <w:r w:rsidRPr="00121A17">
        <w:rPr>
          <w:rFonts w:cs="Arial"/>
        </w:rPr>
        <w:t xml:space="preserve">for soil improvement, based on the properties of biochars pyrolyzed from different feedstocks. </w:t>
      </w:r>
      <w:r w:rsidRPr="00121A17">
        <w:rPr>
          <w:rFonts w:cs="Arial"/>
          <w:szCs w:val="18"/>
          <w:shd w:val="clear" w:color="auto" w:fill="FFFFFF"/>
        </w:rPr>
        <w:t xml:space="preserve">Journal </w:t>
      </w:r>
      <w:r w:rsidR="00DE1BB0" w:rsidRPr="00121A17">
        <w:rPr>
          <w:rFonts w:cs="Arial"/>
          <w:szCs w:val="18"/>
          <w:shd w:val="clear" w:color="auto" w:fill="FFFFFF"/>
        </w:rPr>
        <w:tab/>
      </w:r>
      <w:r w:rsidRPr="00121A17">
        <w:rPr>
          <w:rFonts w:cs="Arial"/>
          <w:szCs w:val="18"/>
          <w:shd w:val="clear" w:color="auto" w:fill="FFFFFF"/>
        </w:rPr>
        <w:t>of Soils and Sediments</w:t>
      </w:r>
      <w:r w:rsidRPr="00121A17">
        <w:rPr>
          <w:rFonts w:cs="Arial"/>
        </w:rPr>
        <w:t>, 13, 989–1000. doi:10.1007/s11368-013-0698-y</w:t>
      </w:r>
    </w:p>
    <w:p w14:paraId="25653508" w14:textId="4C4D25EF" w:rsidR="00BF38F2" w:rsidRPr="00121A17" w:rsidRDefault="00BF38F2" w:rsidP="00DE1BB0">
      <w:pPr>
        <w:pStyle w:val="Bibliografia"/>
        <w:ind w:left="0" w:firstLine="0"/>
        <w:rPr>
          <w:rFonts w:cs="Arial"/>
        </w:rPr>
      </w:pPr>
      <w:r w:rsidRPr="00121A17">
        <w:rPr>
          <w:rFonts w:cs="Arial"/>
        </w:rPr>
        <w:t xml:space="preserve">Domingues, R., Sánchez-Monedero, M., Spokas, K., Melo, L., Trugilho, P., Valenciano, M., Silva, C., 2020. </w:t>
      </w:r>
      <w:r w:rsidR="00DE1BB0" w:rsidRPr="00121A17">
        <w:rPr>
          <w:rFonts w:cs="Arial"/>
        </w:rPr>
        <w:tab/>
      </w:r>
      <w:r w:rsidRPr="00121A17">
        <w:rPr>
          <w:rFonts w:cs="Arial"/>
        </w:rPr>
        <w:t xml:space="preserve">Enhancing Cation Exchange Capacity of Weathered Soils Using Biochar: Feedstock, Pyrolysis </w:t>
      </w:r>
      <w:r w:rsidR="00DE1BB0" w:rsidRPr="00121A17">
        <w:rPr>
          <w:rFonts w:cs="Arial"/>
        </w:rPr>
        <w:tab/>
      </w:r>
      <w:r w:rsidRPr="00121A17">
        <w:rPr>
          <w:rFonts w:cs="Arial"/>
        </w:rPr>
        <w:t>Conditions and Addition Rate. Agronomy 10, 824. doi:10.3390/agronomy10060824</w:t>
      </w:r>
    </w:p>
    <w:p w14:paraId="36B02B47" w14:textId="5A1BEDC5" w:rsidR="00BF38F2" w:rsidRPr="00121A17" w:rsidRDefault="00BF38F2" w:rsidP="00DE1BB0">
      <w:pPr>
        <w:pStyle w:val="Bibliografia"/>
        <w:ind w:left="0" w:firstLine="0"/>
        <w:rPr>
          <w:rFonts w:cs="Arial"/>
        </w:rPr>
      </w:pPr>
      <w:r w:rsidRPr="00121A17">
        <w:rPr>
          <w:rFonts w:cs="Arial"/>
        </w:rPr>
        <w:t xml:space="preserve">Huong, T.T.T., Van Hoang, N., Toan, V.N., Tong, N.X., Quan, T.A., Thu, V.K., 2021. Initial Results of Using </w:t>
      </w:r>
      <w:r w:rsidR="00DE1BB0" w:rsidRPr="00121A17">
        <w:rPr>
          <w:rFonts w:cs="Arial"/>
        </w:rPr>
        <w:tab/>
      </w:r>
      <w:r w:rsidRPr="00121A17">
        <w:rPr>
          <w:rFonts w:cs="Arial"/>
        </w:rPr>
        <w:t xml:space="preserve">Biochar Derived from Spent Coffee Grounds to Remove Pollutants from Livestock Wastewater in </w:t>
      </w:r>
      <w:r w:rsidR="00DE1BB0" w:rsidRPr="00121A17">
        <w:rPr>
          <w:rFonts w:cs="Arial"/>
        </w:rPr>
        <w:tab/>
      </w:r>
      <w:r w:rsidRPr="00121A17">
        <w:rPr>
          <w:rFonts w:cs="Arial"/>
        </w:rPr>
        <w:t xml:space="preserve">Vietnam, in: Proceedings of the International Conference on Innovations for Sustainable and </w:t>
      </w:r>
      <w:r w:rsidR="00DE1BB0" w:rsidRPr="00121A17">
        <w:rPr>
          <w:rFonts w:cs="Arial"/>
        </w:rPr>
        <w:tab/>
      </w:r>
      <w:r w:rsidRPr="00121A17">
        <w:rPr>
          <w:rFonts w:cs="Arial"/>
        </w:rPr>
        <w:t>Responsible Mining. Springer, 305–325.</w:t>
      </w:r>
    </w:p>
    <w:p w14:paraId="1F79258D" w14:textId="74308312" w:rsidR="00BF38F2" w:rsidRPr="00121A17" w:rsidRDefault="00BF38F2" w:rsidP="00DE1BB0">
      <w:pPr>
        <w:pStyle w:val="Bibliografia"/>
        <w:ind w:left="0" w:firstLine="0"/>
        <w:rPr>
          <w:rFonts w:cs="Arial"/>
        </w:rPr>
      </w:pPr>
      <w:r w:rsidRPr="00121A17">
        <w:rPr>
          <w:rFonts w:cs="Arial"/>
        </w:rPr>
        <w:t xml:space="preserve">Kim, M.-S., Min, H.-G., Koo, N., Park, J., Lee, S.-H., Bak, G.-I., Kim, J.-G., 2014. The effectiveness of spent </w:t>
      </w:r>
      <w:r w:rsidR="00DE1BB0" w:rsidRPr="00121A17">
        <w:rPr>
          <w:rFonts w:cs="Arial"/>
        </w:rPr>
        <w:tab/>
      </w:r>
      <w:r w:rsidRPr="00121A17">
        <w:rPr>
          <w:rFonts w:cs="Arial"/>
        </w:rPr>
        <w:t xml:space="preserve">coffee grounds and its biochar on the amelioration of heavy metals-contaminated water and soil using </w:t>
      </w:r>
      <w:r w:rsidR="00DE1BB0" w:rsidRPr="00121A17">
        <w:rPr>
          <w:rFonts w:cs="Arial"/>
        </w:rPr>
        <w:tab/>
      </w:r>
      <w:r w:rsidRPr="00121A17">
        <w:rPr>
          <w:rFonts w:cs="Arial"/>
        </w:rPr>
        <w:t>chemical and biological assessments. Journal of environmental management, 146, 124–130.</w:t>
      </w:r>
    </w:p>
    <w:p w14:paraId="05A25523" w14:textId="0C16CFC6" w:rsidR="00BF38F2" w:rsidRPr="00121A17" w:rsidRDefault="00BF38F2" w:rsidP="00DE1BB0">
      <w:pPr>
        <w:pStyle w:val="Bibliografia"/>
        <w:ind w:left="0" w:firstLine="0"/>
        <w:rPr>
          <w:rFonts w:cs="Arial"/>
        </w:rPr>
      </w:pPr>
      <w:r w:rsidRPr="00121A17">
        <w:rPr>
          <w:rFonts w:cs="Arial"/>
        </w:rPr>
        <w:t xml:space="preserve">Konneh, M., Wandera, S.M., Murunga, S.I., Raude, J.M., 2021. Adsorption and desorption of nutrients from </w:t>
      </w:r>
      <w:r w:rsidR="00DE1BB0" w:rsidRPr="00121A17">
        <w:rPr>
          <w:rFonts w:cs="Arial"/>
        </w:rPr>
        <w:tab/>
      </w:r>
      <w:r w:rsidRPr="00121A17">
        <w:rPr>
          <w:rFonts w:cs="Arial"/>
        </w:rPr>
        <w:t xml:space="preserve">abattoir wastewater: modelling and comparison of rice, coconut and coffee husk biochar. Heliyon, 7, </w:t>
      </w:r>
      <w:r w:rsidR="00DE1BB0" w:rsidRPr="00121A17">
        <w:rPr>
          <w:rFonts w:cs="Arial"/>
        </w:rPr>
        <w:tab/>
      </w:r>
      <w:r w:rsidRPr="00121A17">
        <w:rPr>
          <w:rFonts w:cs="Arial"/>
        </w:rPr>
        <w:t>11, e08458. doi:10.1016/j.heliyon.2021.e08458</w:t>
      </w:r>
    </w:p>
    <w:p w14:paraId="3FA8DB0F" w14:textId="0A508635" w:rsidR="00BF38F2" w:rsidRPr="00121A17" w:rsidRDefault="00BF38F2" w:rsidP="00DE1BB0">
      <w:pPr>
        <w:pStyle w:val="Bibliografia"/>
        <w:ind w:left="0" w:firstLine="0"/>
        <w:rPr>
          <w:rFonts w:cs="Arial"/>
        </w:rPr>
      </w:pPr>
      <w:r w:rsidRPr="00121A17">
        <w:rPr>
          <w:rFonts w:cs="Arial"/>
        </w:rPr>
        <w:t xml:space="preserve">Kponee, K.Z., Chiger, A., Kakulu, I.I., Vorhees, D., Heiger-Bernays, W., 2015. Petroleum contaminated water </w:t>
      </w:r>
      <w:r w:rsidR="00DE1BB0" w:rsidRPr="00121A17">
        <w:rPr>
          <w:rFonts w:cs="Arial"/>
        </w:rPr>
        <w:tab/>
      </w:r>
      <w:r w:rsidRPr="00121A17">
        <w:rPr>
          <w:rFonts w:cs="Arial"/>
        </w:rPr>
        <w:t xml:space="preserve">and health symptoms: a cross-sectional pilot study in a rural Nigerian community. Environmental </w:t>
      </w:r>
      <w:r w:rsidR="00DE1BB0" w:rsidRPr="00121A17">
        <w:rPr>
          <w:rFonts w:cs="Arial"/>
        </w:rPr>
        <w:tab/>
      </w:r>
      <w:r w:rsidRPr="00121A17">
        <w:rPr>
          <w:rFonts w:cs="Arial"/>
        </w:rPr>
        <w:t>Health, 14, 86. doi:10.1186/s12940-015-0073-0</w:t>
      </w:r>
    </w:p>
    <w:p w14:paraId="4BE8A2E5" w14:textId="4E394504" w:rsidR="00BF38F2" w:rsidRPr="00121A17" w:rsidRDefault="00BF38F2" w:rsidP="00DE1BB0">
      <w:pPr>
        <w:pStyle w:val="Bibliografia"/>
        <w:ind w:left="0" w:firstLine="0"/>
        <w:rPr>
          <w:rFonts w:cs="Arial"/>
        </w:rPr>
      </w:pPr>
      <w:r w:rsidRPr="00121A17">
        <w:rPr>
          <w:rFonts w:cs="Arial"/>
        </w:rPr>
        <w:t xml:space="preserve">Lavecchia, R., Medici, F., Patterer, S., Zuorro, A., 2016. Lead removal from water by adsorption on spent coffee </w:t>
      </w:r>
      <w:r w:rsidR="00DE1BB0" w:rsidRPr="00121A17">
        <w:rPr>
          <w:rFonts w:cs="Arial"/>
        </w:rPr>
        <w:tab/>
      </w:r>
      <w:r w:rsidRPr="00121A17">
        <w:rPr>
          <w:rFonts w:cs="Arial"/>
        </w:rPr>
        <w:t xml:space="preserve">grounds. </w:t>
      </w:r>
      <w:r w:rsidRPr="00121A17">
        <w:rPr>
          <w:rFonts w:cs="Arial"/>
          <w:shd w:val="clear" w:color="auto" w:fill="FFFFFF"/>
        </w:rPr>
        <w:t>Chemical engineering transactions,</w:t>
      </w:r>
      <w:r w:rsidRPr="00121A17">
        <w:rPr>
          <w:rFonts w:cs="Arial"/>
        </w:rPr>
        <w:t xml:space="preserve"> 47, 295–300.</w:t>
      </w:r>
    </w:p>
    <w:p w14:paraId="36BDF9DE" w14:textId="3E819C26" w:rsidR="00BF38F2" w:rsidRPr="00121A17" w:rsidRDefault="00BF38F2" w:rsidP="00DE1BB0">
      <w:pPr>
        <w:pStyle w:val="Bibliografia"/>
        <w:ind w:left="0" w:firstLine="0"/>
        <w:rPr>
          <w:rFonts w:cs="Arial"/>
        </w:rPr>
      </w:pPr>
      <w:r w:rsidRPr="00121A17">
        <w:rPr>
          <w:rFonts w:cs="Arial"/>
        </w:rPr>
        <w:t xml:space="preserve">Liza, Y.F.A., Tapia, F.C., Espinoza, R.F.R., Urquiza, R.J., Castaneda, R.R.L., Canta, J.J.P., Morales, L.K.Q., </w:t>
      </w:r>
      <w:r w:rsidR="00DE1BB0" w:rsidRPr="00121A17">
        <w:rPr>
          <w:rFonts w:cs="Arial"/>
        </w:rPr>
        <w:tab/>
      </w:r>
      <w:r w:rsidRPr="00121A17">
        <w:rPr>
          <w:rFonts w:cs="Arial"/>
        </w:rPr>
        <w:t xml:space="preserve">Burga, B.L.Q., 2021. Study of Coffee Husk (coffea Arabica L.) Activated Carbon in the Treatment of </w:t>
      </w:r>
      <w:r w:rsidR="00DE1BB0" w:rsidRPr="00121A17">
        <w:rPr>
          <w:rFonts w:cs="Arial"/>
        </w:rPr>
        <w:tab/>
      </w:r>
      <w:r w:rsidRPr="00121A17">
        <w:rPr>
          <w:rFonts w:cs="Arial"/>
        </w:rPr>
        <w:t xml:space="preserve">Aquifer Water: Adsorption of Turbidity, Colour and Metals (iron-manganese). </w:t>
      </w:r>
      <w:r w:rsidRPr="00121A17">
        <w:rPr>
          <w:rFonts w:cs="Arial"/>
          <w:shd w:val="clear" w:color="auto" w:fill="FFFFFF"/>
        </w:rPr>
        <w:t xml:space="preserve">Chemical engineering </w:t>
      </w:r>
      <w:r w:rsidR="00DE1BB0" w:rsidRPr="00121A17">
        <w:rPr>
          <w:rFonts w:cs="Arial"/>
          <w:shd w:val="clear" w:color="auto" w:fill="FFFFFF"/>
        </w:rPr>
        <w:tab/>
      </w:r>
      <w:r w:rsidRPr="00121A17">
        <w:rPr>
          <w:rFonts w:cs="Arial"/>
          <w:shd w:val="clear" w:color="auto" w:fill="FFFFFF"/>
        </w:rPr>
        <w:t>transactions,</w:t>
      </w:r>
      <w:r w:rsidRPr="00121A17">
        <w:rPr>
          <w:rFonts w:cs="Arial"/>
        </w:rPr>
        <w:t xml:space="preserve"> 89, 655–660. doi:10.3303/CET2189110</w:t>
      </w:r>
    </w:p>
    <w:p w14:paraId="312788D9" w14:textId="0D5021D8" w:rsidR="00BF38F2" w:rsidRPr="00121A17" w:rsidRDefault="00BF38F2" w:rsidP="00DE1BB0">
      <w:pPr>
        <w:pStyle w:val="Bibliografia"/>
        <w:ind w:left="0" w:firstLine="0"/>
        <w:rPr>
          <w:rFonts w:cs="Arial"/>
        </w:rPr>
      </w:pPr>
      <w:r w:rsidRPr="00121A17">
        <w:rPr>
          <w:rFonts w:cs="Arial"/>
        </w:rPr>
        <w:t xml:space="preserve">Meiirkhanuly, Z., Koziel, J.A., Bia\lowiec, A., Banik, C., Brown, R.C., 2019. The-proof-of-concept of biochar </w:t>
      </w:r>
      <w:r w:rsidR="00DE1BB0" w:rsidRPr="00121A17">
        <w:rPr>
          <w:rFonts w:cs="Arial"/>
        </w:rPr>
        <w:tab/>
      </w:r>
      <w:r w:rsidRPr="00121A17">
        <w:rPr>
          <w:rFonts w:cs="Arial"/>
        </w:rPr>
        <w:t>floating cover influence on water pH. Water, 11, 1802.</w:t>
      </w:r>
    </w:p>
    <w:p w14:paraId="54B9C672" w14:textId="65F5B03D" w:rsidR="00BF38F2" w:rsidRPr="00121A17" w:rsidRDefault="00BF38F2" w:rsidP="00DE1BB0">
      <w:pPr>
        <w:pStyle w:val="Bibliografia"/>
        <w:ind w:left="0" w:firstLine="0"/>
        <w:rPr>
          <w:rFonts w:cs="Arial"/>
        </w:rPr>
      </w:pPr>
      <w:r w:rsidRPr="00121A17">
        <w:rPr>
          <w:rFonts w:cs="Arial"/>
        </w:rPr>
        <w:t xml:space="preserve">Nguyen, V.-T., Vo, T.-D.-H., Tran, T., Nguyen, T.-N., Le, T.-N.-C., Bui, X.-T., Bach, L.-G., 2021. Biochar derived </w:t>
      </w:r>
      <w:r w:rsidR="00DE1BB0" w:rsidRPr="00121A17">
        <w:rPr>
          <w:rFonts w:cs="Arial"/>
        </w:rPr>
        <w:tab/>
      </w:r>
      <w:r w:rsidRPr="00121A17">
        <w:rPr>
          <w:rFonts w:cs="Arial"/>
        </w:rPr>
        <w:t xml:space="preserve">from the spent coffee ground for ammonium adsorption from aqueous solution. Case Studies in </w:t>
      </w:r>
      <w:r w:rsidR="00DE1BB0" w:rsidRPr="00121A17">
        <w:rPr>
          <w:rFonts w:cs="Arial"/>
        </w:rPr>
        <w:tab/>
      </w:r>
      <w:r w:rsidRPr="00121A17">
        <w:rPr>
          <w:rFonts w:cs="Arial"/>
        </w:rPr>
        <w:t>Chemical and Environmental Engineering 4, 100141. doi:10.1016/j.cscee.2021.100141</w:t>
      </w:r>
    </w:p>
    <w:p w14:paraId="75FEE68B" w14:textId="0C7B2DEB" w:rsidR="00BF38F2" w:rsidRPr="00121A17" w:rsidRDefault="00BF38F2" w:rsidP="00DE1BB0">
      <w:pPr>
        <w:pStyle w:val="Bibliografia"/>
        <w:ind w:left="0" w:firstLine="0"/>
        <w:rPr>
          <w:rFonts w:cs="Arial"/>
        </w:rPr>
      </w:pPr>
      <w:r w:rsidRPr="00121A17">
        <w:rPr>
          <w:rFonts w:cs="Arial"/>
        </w:rPr>
        <w:t xml:space="preserve">Oladipo, A.A., Abureesh, M.A., Gazi, M., 2016. Bifunctional composite from spent “Cyprus coffee” for </w:t>
      </w:r>
      <w:r w:rsidR="00DE1BB0" w:rsidRPr="00121A17">
        <w:rPr>
          <w:rFonts w:cs="Arial"/>
        </w:rPr>
        <w:tab/>
      </w:r>
      <w:r w:rsidRPr="00121A17">
        <w:rPr>
          <w:rFonts w:cs="Arial"/>
        </w:rPr>
        <w:t xml:space="preserve">tetracycline removal and phenol degradation: Solar-Fenton process and artificial neural network. </w:t>
      </w:r>
      <w:r w:rsidR="00DE1BB0" w:rsidRPr="00121A17">
        <w:rPr>
          <w:rFonts w:cs="Arial"/>
        </w:rPr>
        <w:tab/>
      </w:r>
      <w:r w:rsidRPr="00121A17">
        <w:rPr>
          <w:rFonts w:cs="Arial"/>
          <w:szCs w:val="18"/>
          <w:shd w:val="clear" w:color="auto" w:fill="FFFFFF"/>
        </w:rPr>
        <w:t>International journal of biological macromolecules,</w:t>
      </w:r>
      <w:r w:rsidRPr="00121A17">
        <w:rPr>
          <w:rFonts w:cs="Arial"/>
        </w:rPr>
        <w:t xml:space="preserve"> 90, 89–99.</w:t>
      </w:r>
    </w:p>
    <w:p w14:paraId="4EDF4840" w14:textId="6C9D5A19" w:rsidR="00BF38F2" w:rsidRPr="00121A17" w:rsidRDefault="00BF38F2" w:rsidP="00DE1BB0">
      <w:pPr>
        <w:pStyle w:val="Bibliografia"/>
        <w:ind w:left="0" w:firstLine="0"/>
        <w:rPr>
          <w:rFonts w:cs="Arial"/>
        </w:rPr>
      </w:pPr>
      <w:r w:rsidRPr="00121A17">
        <w:rPr>
          <w:rFonts w:cs="Arial"/>
        </w:rPr>
        <w:t xml:space="preserve">Pradhan, S., Al-Ghamdi, S.G., Mackey, H.R., 2018. Greywater recycling in buildings using living walls and green </w:t>
      </w:r>
      <w:r w:rsidR="00DE1BB0" w:rsidRPr="00121A17">
        <w:rPr>
          <w:rFonts w:cs="Arial"/>
        </w:rPr>
        <w:tab/>
      </w:r>
      <w:r w:rsidRPr="00121A17">
        <w:rPr>
          <w:rFonts w:cs="Arial"/>
        </w:rPr>
        <w:t>roofs: A review of the applicability and challenges. Science of Total Environment 652, 330–344.</w:t>
      </w:r>
    </w:p>
    <w:p w14:paraId="66E38C80" w14:textId="03FDE0DC" w:rsidR="00BF38F2" w:rsidRPr="00121A17" w:rsidRDefault="00BF38F2" w:rsidP="00DE1BB0">
      <w:pPr>
        <w:pStyle w:val="Bibliografia"/>
        <w:ind w:left="0" w:firstLine="0"/>
        <w:rPr>
          <w:rFonts w:cs="Arial"/>
        </w:rPr>
      </w:pPr>
      <w:r w:rsidRPr="00121A17">
        <w:rPr>
          <w:rFonts w:cs="Arial"/>
        </w:rPr>
        <w:t xml:space="preserve">Pradhan, S., Helal, M.I., Al-Ghamdi, S.G., Mackey, H.R., 2020. Performance evaluation of various individual </w:t>
      </w:r>
      <w:r w:rsidR="00DE1BB0" w:rsidRPr="00121A17">
        <w:rPr>
          <w:rFonts w:cs="Arial"/>
        </w:rPr>
        <w:tab/>
      </w:r>
      <w:r w:rsidRPr="00121A17">
        <w:rPr>
          <w:rFonts w:cs="Arial"/>
        </w:rPr>
        <w:t xml:space="preserve">and mixed media for greywater treatment in vertical nature-based systems. Chemosphere 245, </w:t>
      </w:r>
      <w:r w:rsidR="00DE1BB0" w:rsidRPr="00121A17">
        <w:rPr>
          <w:rFonts w:cs="Arial"/>
        </w:rPr>
        <w:tab/>
      </w:r>
      <w:r w:rsidRPr="00121A17">
        <w:rPr>
          <w:rFonts w:cs="Arial"/>
        </w:rPr>
        <w:t>125564. doi:10.1016/j.chemosphere. 2019.125564</w:t>
      </w:r>
    </w:p>
    <w:p w14:paraId="4291EEC1" w14:textId="71882835" w:rsidR="00BF38F2" w:rsidRPr="00121A17" w:rsidRDefault="00BF38F2" w:rsidP="00DE1BB0">
      <w:pPr>
        <w:pStyle w:val="Bibliografia"/>
        <w:ind w:left="0" w:firstLine="0"/>
        <w:rPr>
          <w:rFonts w:cs="Arial"/>
        </w:rPr>
      </w:pPr>
      <w:r w:rsidRPr="00121A17">
        <w:rPr>
          <w:rFonts w:cs="Arial"/>
        </w:rPr>
        <w:t xml:space="preserve">Rangabhashiyam, S., Balasubramanian, P., 2019. The potential of lignocellulosic biomass precursors for </w:t>
      </w:r>
      <w:r w:rsidR="00DE1BB0" w:rsidRPr="00121A17">
        <w:rPr>
          <w:rFonts w:cs="Arial"/>
        </w:rPr>
        <w:tab/>
      </w:r>
      <w:r w:rsidRPr="00121A17">
        <w:rPr>
          <w:rFonts w:cs="Arial"/>
        </w:rPr>
        <w:t xml:space="preserve">biochar production: Performance, mechanism and wastewater application—A review. Industrial Crops </w:t>
      </w:r>
      <w:r w:rsidR="00DE1BB0" w:rsidRPr="00121A17">
        <w:rPr>
          <w:rFonts w:cs="Arial"/>
        </w:rPr>
        <w:tab/>
      </w:r>
      <w:r w:rsidRPr="00121A17">
        <w:rPr>
          <w:rFonts w:cs="Arial"/>
        </w:rPr>
        <w:t>Production, 128, 405–423. doi:10.1016/j.indcrop.2018.11.041</w:t>
      </w:r>
    </w:p>
    <w:p w14:paraId="73813D4C" w14:textId="0F0C0DF6" w:rsidR="00BF38F2" w:rsidRPr="00121A17" w:rsidRDefault="00BF38F2" w:rsidP="00DE1BB0">
      <w:pPr>
        <w:pStyle w:val="Bibliografia"/>
        <w:ind w:left="0" w:firstLine="0"/>
        <w:rPr>
          <w:rFonts w:cs="Arial"/>
        </w:rPr>
      </w:pPr>
      <w:r w:rsidRPr="00121A17">
        <w:rPr>
          <w:rFonts w:cs="Arial"/>
        </w:rPr>
        <w:t xml:space="preserve">Samsuri, A.W., Sadegh-Zadeh, F., Seh-Bardan, B.J., 2014. Characterization of biochars produced from oil palm </w:t>
      </w:r>
      <w:r w:rsidR="00DE1BB0" w:rsidRPr="00121A17">
        <w:rPr>
          <w:rFonts w:cs="Arial"/>
        </w:rPr>
        <w:tab/>
      </w:r>
      <w:r w:rsidRPr="00121A17">
        <w:rPr>
          <w:rFonts w:cs="Arial"/>
        </w:rPr>
        <w:t xml:space="preserve">and rice husks and their adsorption capacities for heavy metals. International Journal of Environmental </w:t>
      </w:r>
      <w:r w:rsidR="00DE1BB0" w:rsidRPr="00121A17">
        <w:rPr>
          <w:rFonts w:cs="Arial"/>
        </w:rPr>
        <w:tab/>
      </w:r>
      <w:r w:rsidRPr="00121A17">
        <w:rPr>
          <w:rFonts w:cs="Arial"/>
        </w:rPr>
        <w:t>Science and Technology 11, 967–976. doi:10.1007/s13762-013-0291-3</w:t>
      </w:r>
    </w:p>
    <w:p w14:paraId="40198EFC" w14:textId="7606C1D6" w:rsidR="00BF38F2" w:rsidRPr="00121A17" w:rsidRDefault="00BF38F2" w:rsidP="00DE1BB0">
      <w:pPr>
        <w:pStyle w:val="Bibliografia"/>
        <w:ind w:left="0" w:firstLine="0"/>
        <w:rPr>
          <w:rFonts w:cs="Arial"/>
        </w:rPr>
      </w:pPr>
      <w:r w:rsidRPr="00121A17">
        <w:rPr>
          <w:rFonts w:cs="Arial"/>
        </w:rPr>
        <w:t xml:space="preserve">Vlasopoulos, N., Memon, F.A., Butler, D., Murphy, R., 2006. Life cycle assessment of wastewater treatment </w:t>
      </w:r>
      <w:r w:rsidR="00DE1BB0" w:rsidRPr="00121A17">
        <w:rPr>
          <w:rFonts w:cs="Arial"/>
        </w:rPr>
        <w:tab/>
      </w:r>
      <w:r w:rsidRPr="00121A17">
        <w:rPr>
          <w:rFonts w:cs="Arial"/>
        </w:rPr>
        <w:t xml:space="preserve">technologies treating petroleum process waters. Science of Total Environment 367, 58–70. </w:t>
      </w:r>
      <w:r w:rsidR="00DE1BB0" w:rsidRPr="00121A17">
        <w:rPr>
          <w:rFonts w:cs="Arial"/>
        </w:rPr>
        <w:tab/>
      </w:r>
      <w:r w:rsidRPr="00121A17">
        <w:rPr>
          <w:rFonts w:cs="Arial"/>
        </w:rPr>
        <w:t>doi:10.1016/j.scitotenv.2006.03.007</w:t>
      </w:r>
    </w:p>
    <w:p w14:paraId="2F8F357C" w14:textId="7C47195D" w:rsidR="00BF38F2" w:rsidRPr="00121A17" w:rsidRDefault="00BF38F2" w:rsidP="00BF38F2">
      <w:pPr>
        <w:pStyle w:val="Bibliografia"/>
        <w:ind w:left="0" w:firstLine="0"/>
        <w:rPr>
          <w:rFonts w:cs="Arial"/>
        </w:rPr>
      </w:pPr>
      <w:r w:rsidRPr="00121A17">
        <w:rPr>
          <w:rFonts w:cs="Arial"/>
        </w:rPr>
        <w:t xml:space="preserve">Wang, X., Guo, Z., Hu, Z., Zhang, J., 2020. Recent advances in biochar application for water and wastewater </w:t>
      </w:r>
      <w:r w:rsidR="00DE1BB0" w:rsidRPr="00121A17">
        <w:rPr>
          <w:rFonts w:cs="Arial"/>
        </w:rPr>
        <w:tab/>
      </w:r>
      <w:r w:rsidRPr="00121A17">
        <w:rPr>
          <w:rFonts w:cs="Arial"/>
        </w:rPr>
        <w:t>treatment: a review. Peer Journal 8. e9164. doi:10.7717/peerj.9164</w:t>
      </w:r>
    </w:p>
    <w:p w14:paraId="2C93D76B" w14:textId="2403AB05" w:rsidR="00EE5058" w:rsidRPr="00121A17" w:rsidRDefault="00BF38F2" w:rsidP="00DE1BB0">
      <w:pPr>
        <w:pStyle w:val="CETBodytext"/>
      </w:pPr>
      <w:r w:rsidRPr="00121A17">
        <w:rPr>
          <w:b/>
          <w:bCs/>
        </w:rPr>
        <w:fldChar w:fldCharType="end"/>
      </w:r>
    </w:p>
    <w:sectPr w:rsidR="00EE5058" w:rsidRPr="00121A17" w:rsidSect="0077098D">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4698" w16cex:dateUtc="2022-03-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C8413" w16cid:durableId="25DE46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EC69" w14:textId="77777777" w:rsidR="003A3161" w:rsidRDefault="003A3161" w:rsidP="004F5E36">
      <w:r>
        <w:separator/>
      </w:r>
    </w:p>
  </w:endnote>
  <w:endnote w:type="continuationSeparator" w:id="0">
    <w:p w14:paraId="2B8C63A5" w14:textId="77777777" w:rsidR="003A3161" w:rsidRDefault="003A31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E66E" w14:textId="77777777" w:rsidR="003A3161" w:rsidRDefault="003A3161" w:rsidP="004F5E36">
      <w:r>
        <w:separator/>
      </w:r>
    </w:p>
  </w:footnote>
  <w:footnote w:type="continuationSeparator" w:id="0">
    <w:p w14:paraId="5CB90642" w14:textId="77777777" w:rsidR="003A3161" w:rsidRDefault="003A316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8ED"/>
    <w:rsid w:val="00013D5A"/>
    <w:rsid w:val="00015713"/>
    <w:rsid w:val="0003148D"/>
    <w:rsid w:val="00034881"/>
    <w:rsid w:val="00045A8C"/>
    <w:rsid w:val="00050B81"/>
    <w:rsid w:val="00051566"/>
    <w:rsid w:val="00062A9A"/>
    <w:rsid w:val="00063DD0"/>
    <w:rsid w:val="00065058"/>
    <w:rsid w:val="00067575"/>
    <w:rsid w:val="00072CBF"/>
    <w:rsid w:val="00086C39"/>
    <w:rsid w:val="00092728"/>
    <w:rsid w:val="000A03B2"/>
    <w:rsid w:val="000A42E6"/>
    <w:rsid w:val="000C3446"/>
    <w:rsid w:val="000C4470"/>
    <w:rsid w:val="000C47A3"/>
    <w:rsid w:val="000C7FEA"/>
    <w:rsid w:val="000D34BE"/>
    <w:rsid w:val="000E102F"/>
    <w:rsid w:val="000E36F1"/>
    <w:rsid w:val="000E3A73"/>
    <w:rsid w:val="000E414A"/>
    <w:rsid w:val="000E639F"/>
    <w:rsid w:val="000F093C"/>
    <w:rsid w:val="000F10CA"/>
    <w:rsid w:val="000F2589"/>
    <w:rsid w:val="000F787B"/>
    <w:rsid w:val="00111018"/>
    <w:rsid w:val="0011124C"/>
    <w:rsid w:val="0011258A"/>
    <w:rsid w:val="0012091F"/>
    <w:rsid w:val="00121A17"/>
    <w:rsid w:val="00126BC2"/>
    <w:rsid w:val="001308B6"/>
    <w:rsid w:val="0013121F"/>
    <w:rsid w:val="00131FE6"/>
    <w:rsid w:val="0013263F"/>
    <w:rsid w:val="00134C34"/>
    <w:rsid w:val="00134DE4"/>
    <w:rsid w:val="0014034D"/>
    <w:rsid w:val="0014464F"/>
    <w:rsid w:val="0014648F"/>
    <w:rsid w:val="00150E59"/>
    <w:rsid w:val="00152DE3"/>
    <w:rsid w:val="00164CF9"/>
    <w:rsid w:val="001721AD"/>
    <w:rsid w:val="00180265"/>
    <w:rsid w:val="00180860"/>
    <w:rsid w:val="00184AD6"/>
    <w:rsid w:val="00197A03"/>
    <w:rsid w:val="001A5B78"/>
    <w:rsid w:val="001B0349"/>
    <w:rsid w:val="001B65C1"/>
    <w:rsid w:val="001C4142"/>
    <w:rsid w:val="001C684B"/>
    <w:rsid w:val="001D53FC"/>
    <w:rsid w:val="001D6913"/>
    <w:rsid w:val="001E1C30"/>
    <w:rsid w:val="001F42A5"/>
    <w:rsid w:val="001F7B9D"/>
    <w:rsid w:val="0020489B"/>
    <w:rsid w:val="00205688"/>
    <w:rsid w:val="00212B6C"/>
    <w:rsid w:val="002134AC"/>
    <w:rsid w:val="00213568"/>
    <w:rsid w:val="00214C64"/>
    <w:rsid w:val="002224B4"/>
    <w:rsid w:val="00227B0C"/>
    <w:rsid w:val="00232FD1"/>
    <w:rsid w:val="002364E8"/>
    <w:rsid w:val="00242E5A"/>
    <w:rsid w:val="002447EF"/>
    <w:rsid w:val="00251550"/>
    <w:rsid w:val="00263B05"/>
    <w:rsid w:val="0027221A"/>
    <w:rsid w:val="00275B61"/>
    <w:rsid w:val="00282656"/>
    <w:rsid w:val="002910DF"/>
    <w:rsid w:val="00295EFD"/>
    <w:rsid w:val="00296B83"/>
    <w:rsid w:val="002B0A2C"/>
    <w:rsid w:val="002B78CE"/>
    <w:rsid w:val="002C2FB6"/>
    <w:rsid w:val="002E777B"/>
    <w:rsid w:val="003009B7"/>
    <w:rsid w:val="00300E56"/>
    <w:rsid w:val="0030469C"/>
    <w:rsid w:val="00305050"/>
    <w:rsid w:val="0031440C"/>
    <w:rsid w:val="00321CA6"/>
    <w:rsid w:val="00323A0F"/>
    <w:rsid w:val="00334C09"/>
    <w:rsid w:val="00335A9F"/>
    <w:rsid w:val="00346F26"/>
    <w:rsid w:val="00370911"/>
    <w:rsid w:val="003723D4"/>
    <w:rsid w:val="00383F4B"/>
    <w:rsid w:val="00384CC8"/>
    <w:rsid w:val="003871FD"/>
    <w:rsid w:val="00394719"/>
    <w:rsid w:val="00397D27"/>
    <w:rsid w:val="003A1E30"/>
    <w:rsid w:val="003A2138"/>
    <w:rsid w:val="003A3161"/>
    <w:rsid w:val="003A7D1C"/>
    <w:rsid w:val="003B304B"/>
    <w:rsid w:val="003B3146"/>
    <w:rsid w:val="003B6A6A"/>
    <w:rsid w:val="003C24E6"/>
    <w:rsid w:val="003D4298"/>
    <w:rsid w:val="003E74C4"/>
    <w:rsid w:val="003F015E"/>
    <w:rsid w:val="003F58FE"/>
    <w:rsid w:val="003F68BA"/>
    <w:rsid w:val="00400414"/>
    <w:rsid w:val="0041446B"/>
    <w:rsid w:val="004144A8"/>
    <w:rsid w:val="00420184"/>
    <w:rsid w:val="0044329C"/>
    <w:rsid w:val="0045316E"/>
    <w:rsid w:val="004577FE"/>
    <w:rsid w:val="00457B9C"/>
    <w:rsid w:val="0046164A"/>
    <w:rsid w:val="004628D2"/>
    <w:rsid w:val="00462DCD"/>
    <w:rsid w:val="004648AD"/>
    <w:rsid w:val="00467F89"/>
    <w:rsid w:val="004703A9"/>
    <w:rsid w:val="004736D2"/>
    <w:rsid w:val="004760DE"/>
    <w:rsid w:val="0049238F"/>
    <w:rsid w:val="004925CF"/>
    <w:rsid w:val="00495B7A"/>
    <w:rsid w:val="004A004E"/>
    <w:rsid w:val="004A24CF"/>
    <w:rsid w:val="004A7B0F"/>
    <w:rsid w:val="004B245F"/>
    <w:rsid w:val="004B30D7"/>
    <w:rsid w:val="004C1949"/>
    <w:rsid w:val="004C3D1D"/>
    <w:rsid w:val="004C7913"/>
    <w:rsid w:val="004D1264"/>
    <w:rsid w:val="004E2FD9"/>
    <w:rsid w:val="004E3610"/>
    <w:rsid w:val="004E4DD6"/>
    <w:rsid w:val="004F412F"/>
    <w:rsid w:val="004F5E36"/>
    <w:rsid w:val="004F640A"/>
    <w:rsid w:val="00507B47"/>
    <w:rsid w:val="00507CC9"/>
    <w:rsid w:val="00510867"/>
    <w:rsid w:val="005119A5"/>
    <w:rsid w:val="00516D93"/>
    <w:rsid w:val="005278B7"/>
    <w:rsid w:val="00532016"/>
    <w:rsid w:val="005346C8"/>
    <w:rsid w:val="00535C56"/>
    <w:rsid w:val="00543E7D"/>
    <w:rsid w:val="00547A68"/>
    <w:rsid w:val="005531C9"/>
    <w:rsid w:val="005766BA"/>
    <w:rsid w:val="00580523"/>
    <w:rsid w:val="00581273"/>
    <w:rsid w:val="00584CD8"/>
    <w:rsid w:val="005944FA"/>
    <w:rsid w:val="00597373"/>
    <w:rsid w:val="005A3E9C"/>
    <w:rsid w:val="005B2110"/>
    <w:rsid w:val="005B61E6"/>
    <w:rsid w:val="005B7C2E"/>
    <w:rsid w:val="005C77E1"/>
    <w:rsid w:val="005D6104"/>
    <w:rsid w:val="005D6A2F"/>
    <w:rsid w:val="005E1A82"/>
    <w:rsid w:val="005E794C"/>
    <w:rsid w:val="005F0A28"/>
    <w:rsid w:val="005F0E5E"/>
    <w:rsid w:val="00600535"/>
    <w:rsid w:val="00610CD6"/>
    <w:rsid w:val="00620C11"/>
    <w:rsid w:val="00620DEE"/>
    <w:rsid w:val="00621F92"/>
    <w:rsid w:val="00625639"/>
    <w:rsid w:val="00631B33"/>
    <w:rsid w:val="0064184D"/>
    <w:rsid w:val="00657D1B"/>
    <w:rsid w:val="00660E3E"/>
    <w:rsid w:val="006614C9"/>
    <w:rsid w:val="00662E74"/>
    <w:rsid w:val="00680C23"/>
    <w:rsid w:val="00690DE9"/>
    <w:rsid w:val="00692D0A"/>
    <w:rsid w:val="00692F82"/>
    <w:rsid w:val="00693766"/>
    <w:rsid w:val="00695BFB"/>
    <w:rsid w:val="006A3281"/>
    <w:rsid w:val="006B1573"/>
    <w:rsid w:val="006B21BE"/>
    <w:rsid w:val="006B4888"/>
    <w:rsid w:val="006C2E45"/>
    <w:rsid w:val="006C359C"/>
    <w:rsid w:val="006C460F"/>
    <w:rsid w:val="006C5579"/>
    <w:rsid w:val="006E737D"/>
    <w:rsid w:val="00705C2A"/>
    <w:rsid w:val="0070689B"/>
    <w:rsid w:val="00712A4A"/>
    <w:rsid w:val="00717884"/>
    <w:rsid w:val="00720A24"/>
    <w:rsid w:val="0072123B"/>
    <w:rsid w:val="00732386"/>
    <w:rsid w:val="007447F3"/>
    <w:rsid w:val="0074665D"/>
    <w:rsid w:val="00746AFC"/>
    <w:rsid w:val="00747F98"/>
    <w:rsid w:val="0075499F"/>
    <w:rsid w:val="00760B95"/>
    <w:rsid w:val="007661C8"/>
    <w:rsid w:val="0077098D"/>
    <w:rsid w:val="00783C1E"/>
    <w:rsid w:val="007A13E1"/>
    <w:rsid w:val="007A3718"/>
    <w:rsid w:val="007A7BBA"/>
    <w:rsid w:val="007B0C50"/>
    <w:rsid w:val="007C1A43"/>
    <w:rsid w:val="007C334E"/>
    <w:rsid w:val="007E2A56"/>
    <w:rsid w:val="008046B8"/>
    <w:rsid w:val="00804743"/>
    <w:rsid w:val="00807EA6"/>
    <w:rsid w:val="00813288"/>
    <w:rsid w:val="008168FC"/>
    <w:rsid w:val="00830996"/>
    <w:rsid w:val="008345F1"/>
    <w:rsid w:val="008372A0"/>
    <w:rsid w:val="008445B6"/>
    <w:rsid w:val="0084551B"/>
    <w:rsid w:val="00845678"/>
    <w:rsid w:val="00865B07"/>
    <w:rsid w:val="008667EA"/>
    <w:rsid w:val="00871296"/>
    <w:rsid w:val="008736A8"/>
    <w:rsid w:val="00873977"/>
    <w:rsid w:val="00873D70"/>
    <w:rsid w:val="0087637F"/>
    <w:rsid w:val="0088797B"/>
    <w:rsid w:val="00892AD5"/>
    <w:rsid w:val="00895DC3"/>
    <w:rsid w:val="008A1512"/>
    <w:rsid w:val="008D433B"/>
    <w:rsid w:val="008D5888"/>
    <w:rsid w:val="008D62BE"/>
    <w:rsid w:val="008E566E"/>
    <w:rsid w:val="008E71F5"/>
    <w:rsid w:val="008F31E2"/>
    <w:rsid w:val="0090161A"/>
    <w:rsid w:val="00901D79"/>
    <w:rsid w:val="00901EB6"/>
    <w:rsid w:val="0090319D"/>
    <w:rsid w:val="009031B6"/>
    <w:rsid w:val="00904C62"/>
    <w:rsid w:val="00921C12"/>
    <w:rsid w:val="009223A3"/>
    <w:rsid w:val="00924DAC"/>
    <w:rsid w:val="00927058"/>
    <w:rsid w:val="00930C67"/>
    <w:rsid w:val="009450CE"/>
    <w:rsid w:val="00947179"/>
    <w:rsid w:val="0095164B"/>
    <w:rsid w:val="00954090"/>
    <w:rsid w:val="009573E7"/>
    <w:rsid w:val="00963E05"/>
    <w:rsid w:val="00967D54"/>
    <w:rsid w:val="00975A93"/>
    <w:rsid w:val="00982AA6"/>
    <w:rsid w:val="00986C8F"/>
    <w:rsid w:val="00996483"/>
    <w:rsid w:val="00996F5A"/>
    <w:rsid w:val="009A5EF4"/>
    <w:rsid w:val="009B041A"/>
    <w:rsid w:val="009B6A41"/>
    <w:rsid w:val="009C7C86"/>
    <w:rsid w:val="009D2FF7"/>
    <w:rsid w:val="009D5CB7"/>
    <w:rsid w:val="009D7600"/>
    <w:rsid w:val="009E7278"/>
    <w:rsid w:val="009E7884"/>
    <w:rsid w:val="009E788A"/>
    <w:rsid w:val="009E7D10"/>
    <w:rsid w:val="009F0E08"/>
    <w:rsid w:val="009F7F64"/>
    <w:rsid w:val="00A1763D"/>
    <w:rsid w:val="00A17CEC"/>
    <w:rsid w:val="00A20AE9"/>
    <w:rsid w:val="00A27EF0"/>
    <w:rsid w:val="00A34567"/>
    <w:rsid w:val="00A37FB6"/>
    <w:rsid w:val="00A50B20"/>
    <w:rsid w:val="00A51390"/>
    <w:rsid w:val="00A60D13"/>
    <w:rsid w:val="00A66E4A"/>
    <w:rsid w:val="00A723D3"/>
    <w:rsid w:val="00A72745"/>
    <w:rsid w:val="00A76EFC"/>
    <w:rsid w:val="00A87563"/>
    <w:rsid w:val="00A91010"/>
    <w:rsid w:val="00A97F29"/>
    <w:rsid w:val="00AA345F"/>
    <w:rsid w:val="00AA3921"/>
    <w:rsid w:val="00AA702E"/>
    <w:rsid w:val="00AB0964"/>
    <w:rsid w:val="00AB5011"/>
    <w:rsid w:val="00AC7368"/>
    <w:rsid w:val="00AD0AE8"/>
    <w:rsid w:val="00AD16B9"/>
    <w:rsid w:val="00AD77A8"/>
    <w:rsid w:val="00AE06DB"/>
    <w:rsid w:val="00AE377D"/>
    <w:rsid w:val="00AE6AC7"/>
    <w:rsid w:val="00B160BD"/>
    <w:rsid w:val="00B17FBD"/>
    <w:rsid w:val="00B23334"/>
    <w:rsid w:val="00B252E7"/>
    <w:rsid w:val="00B25450"/>
    <w:rsid w:val="00B315A6"/>
    <w:rsid w:val="00B31813"/>
    <w:rsid w:val="00B33365"/>
    <w:rsid w:val="00B428DA"/>
    <w:rsid w:val="00B4524C"/>
    <w:rsid w:val="00B54C84"/>
    <w:rsid w:val="00B57B36"/>
    <w:rsid w:val="00B7324C"/>
    <w:rsid w:val="00B740FE"/>
    <w:rsid w:val="00B8620D"/>
    <w:rsid w:val="00B8686D"/>
    <w:rsid w:val="00B86DCD"/>
    <w:rsid w:val="00BB1891"/>
    <w:rsid w:val="00BB706E"/>
    <w:rsid w:val="00BC30C9"/>
    <w:rsid w:val="00BC35E9"/>
    <w:rsid w:val="00BD0E35"/>
    <w:rsid w:val="00BD6EB5"/>
    <w:rsid w:val="00BE3E58"/>
    <w:rsid w:val="00BF2E07"/>
    <w:rsid w:val="00BF38F2"/>
    <w:rsid w:val="00C01616"/>
    <w:rsid w:val="00C0162B"/>
    <w:rsid w:val="00C2107E"/>
    <w:rsid w:val="00C22366"/>
    <w:rsid w:val="00C254DC"/>
    <w:rsid w:val="00C345B1"/>
    <w:rsid w:val="00C35479"/>
    <w:rsid w:val="00C40142"/>
    <w:rsid w:val="00C57182"/>
    <w:rsid w:val="00C57863"/>
    <w:rsid w:val="00C655FD"/>
    <w:rsid w:val="00C65CA4"/>
    <w:rsid w:val="00C67DFA"/>
    <w:rsid w:val="00C71FB5"/>
    <w:rsid w:val="00C80BC8"/>
    <w:rsid w:val="00C870A8"/>
    <w:rsid w:val="00C900FE"/>
    <w:rsid w:val="00C931D2"/>
    <w:rsid w:val="00C94434"/>
    <w:rsid w:val="00CA0D75"/>
    <w:rsid w:val="00CA1C95"/>
    <w:rsid w:val="00CA5A9C"/>
    <w:rsid w:val="00CD26C3"/>
    <w:rsid w:val="00CD355A"/>
    <w:rsid w:val="00CD5FE2"/>
    <w:rsid w:val="00CE22F1"/>
    <w:rsid w:val="00CE3269"/>
    <w:rsid w:val="00CE7C68"/>
    <w:rsid w:val="00CF5EFD"/>
    <w:rsid w:val="00D00D87"/>
    <w:rsid w:val="00D01D38"/>
    <w:rsid w:val="00D02B4C"/>
    <w:rsid w:val="00D040C4"/>
    <w:rsid w:val="00D1457E"/>
    <w:rsid w:val="00D23329"/>
    <w:rsid w:val="00D400DD"/>
    <w:rsid w:val="00D53EA0"/>
    <w:rsid w:val="00D557BB"/>
    <w:rsid w:val="00D57C84"/>
    <w:rsid w:val="00D6057D"/>
    <w:rsid w:val="00D6063E"/>
    <w:rsid w:val="00D616D1"/>
    <w:rsid w:val="00D679AB"/>
    <w:rsid w:val="00D67C4D"/>
    <w:rsid w:val="00D84576"/>
    <w:rsid w:val="00D94D15"/>
    <w:rsid w:val="00D95D2F"/>
    <w:rsid w:val="00DA1399"/>
    <w:rsid w:val="00DA1FD5"/>
    <w:rsid w:val="00DA24C6"/>
    <w:rsid w:val="00DA4D7B"/>
    <w:rsid w:val="00DA65A9"/>
    <w:rsid w:val="00DB0B35"/>
    <w:rsid w:val="00DB38EA"/>
    <w:rsid w:val="00DE1BB0"/>
    <w:rsid w:val="00DE264A"/>
    <w:rsid w:val="00DE6F64"/>
    <w:rsid w:val="00DF7D20"/>
    <w:rsid w:val="00E02D18"/>
    <w:rsid w:val="00E041E7"/>
    <w:rsid w:val="00E14F94"/>
    <w:rsid w:val="00E20D07"/>
    <w:rsid w:val="00E23CA1"/>
    <w:rsid w:val="00E3543D"/>
    <w:rsid w:val="00E359D9"/>
    <w:rsid w:val="00E409A8"/>
    <w:rsid w:val="00E44467"/>
    <w:rsid w:val="00E50C12"/>
    <w:rsid w:val="00E65B91"/>
    <w:rsid w:val="00E7209D"/>
    <w:rsid w:val="00E77223"/>
    <w:rsid w:val="00E80505"/>
    <w:rsid w:val="00E81C4D"/>
    <w:rsid w:val="00E8528B"/>
    <w:rsid w:val="00E85B94"/>
    <w:rsid w:val="00E85E0A"/>
    <w:rsid w:val="00E87293"/>
    <w:rsid w:val="00E952A3"/>
    <w:rsid w:val="00E978D0"/>
    <w:rsid w:val="00EA214D"/>
    <w:rsid w:val="00EA4613"/>
    <w:rsid w:val="00EA7F91"/>
    <w:rsid w:val="00EB1523"/>
    <w:rsid w:val="00EC0E49"/>
    <w:rsid w:val="00EC6199"/>
    <w:rsid w:val="00EE0131"/>
    <w:rsid w:val="00EE5058"/>
    <w:rsid w:val="00EF2394"/>
    <w:rsid w:val="00EF3E6C"/>
    <w:rsid w:val="00EF5BE7"/>
    <w:rsid w:val="00F05CD6"/>
    <w:rsid w:val="00F2333B"/>
    <w:rsid w:val="00F30C64"/>
    <w:rsid w:val="00F32CDB"/>
    <w:rsid w:val="00F45DD3"/>
    <w:rsid w:val="00F4747D"/>
    <w:rsid w:val="00F63A70"/>
    <w:rsid w:val="00F6673F"/>
    <w:rsid w:val="00F670F9"/>
    <w:rsid w:val="00F84A50"/>
    <w:rsid w:val="00F86738"/>
    <w:rsid w:val="00F94C0A"/>
    <w:rsid w:val="00F96382"/>
    <w:rsid w:val="00FA21D0"/>
    <w:rsid w:val="00FA3B8A"/>
    <w:rsid w:val="00FA5F5F"/>
    <w:rsid w:val="00FB730C"/>
    <w:rsid w:val="00FC2695"/>
    <w:rsid w:val="00FC3E03"/>
    <w:rsid w:val="00FC3FC1"/>
    <w:rsid w:val="00FD625C"/>
    <w:rsid w:val="00FE39B9"/>
    <w:rsid w:val="00FE480D"/>
    <w:rsid w:val="00FE5FC6"/>
    <w:rsid w:val="00FE67FD"/>
    <w:rsid w:val="00FF6D2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CE002AD-EAFC-42AD-A2DF-2629A681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title-text">
    <w:name w:val="title-text"/>
    <w:basedOn w:val="Carpredefinitoparagrafo"/>
    <w:rsid w:val="00067575"/>
  </w:style>
  <w:style w:type="paragraph" w:styleId="Paragrafoelenco">
    <w:name w:val="List Paragraph"/>
    <w:basedOn w:val="Normale"/>
    <w:uiPriority w:val="34"/>
    <w:rsid w:val="00B7324C"/>
    <w:pPr>
      <w:ind w:left="720"/>
      <w:contextualSpacing/>
    </w:pPr>
  </w:style>
  <w:style w:type="table" w:styleId="Tabellasemplice-2">
    <w:name w:val="Plain Table 2"/>
    <w:basedOn w:val="Tabellanormale"/>
    <w:uiPriority w:val="42"/>
    <w:rsid w:val="00871296"/>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stosegnaposto">
    <w:name w:val="Placeholder Text"/>
    <w:basedOn w:val="Carpredefinitoparagrafo"/>
    <w:uiPriority w:val="99"/>
    <w:semiHidden/>
    <w:rsid w:val="00015713"/>
    <w:rPr>
      <w:color w:val="808080"/>
    </w:rPr>
  </w:style>
  <w:style w:type="character" w:customStyle="1" w:styleId="UnresolvedMention1">
    <w:name w:val="Unresolved Mention1"/>
    <w:basedOn w:val="Carpredefinitoparagrafo"/>
    <w:uiPriority w:val="99"/>
    <w:semiHidden/>
    <w:unhideWhenUsed/>
    <w:rsid w:val="00F8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39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ciencedirect.com/topics/mathematics/sigma-proper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E583B-9E08-41FC-9248-FB3B48F9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12266</Words>
  <Characters>69920</Characters>
  <Application>Microsoft Office Word</Application>
  <DocSecurity>0</DocSecurity>
  <Lines>582</Lines>
  <Paragraphs>164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2022-03-21T08:20:00Z</dcterms:created>
  <dcterms:modified xsi:type="dcterms:W3CDTF">2022-03-21T08:20:00Z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id="cQnXlkN5"/&gt;&lt;style id="http://www.zotero.org/styles/accident-analysis-and-prevention" hasBibliography="1" bibliographyStyleHasBeenSet="1"/&gt;&lt;prefs&gt;&lt;pref name="fieldType" value="Field"/&gt;&lt;pref name="sto</vt:lpwstr>
  </property>
  <property fmtid="{D5CDD505-2E9C-101B-9397-08002B2CF9AE}" pid="3" name="ZOTERO_PREF_2">
    <vt:lpwstr>reReferences" value="true"/&gt;&lt;/prefs&gt;&lt;/data&gt;</vt:lpwstr>
  </property>
</Properties>
</file>