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14:paraId="67E6909F" w14:textId="77777777" w:rsidTr="00DE264A">
        <w:trPr>
          <w:trHeight w:val="852"/>
          <w:jc w:val="center"/>
        </w:trPr>
        <w:tc>
          <w:tcPr>
            <w:tcW w:w="6946" w:type="dxa"/>
            <w:vMerge w:val="restart"/>
            <w:tcBorders>
              <w:right w:val="single" w:sz="4" w:space="0" w:color="auto"/>
            </w:tcBorders>
          </w:tcPr>
          <w:p w14:paraId="32CAFFBF" w14:textId="77777777" w:rsidR="000A03B2" w:rsidRPr="0030469C" w:rsidRDefault="00874838"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 xml:space="preserve"> </w:t>
            </w:r>
            <w:r w:rsidR="000A03B2">
              <w:rPr>
                <w:rFonts w:ascii="AdvP6960" w:hAnsi="AdvP6960" w:cs="AdvP6960"/>
                <w:noProof/>
                <w:color w:val="241F20"/>
                <w:szCs w:val="18"/>
                <w:lang w:val="it-IT" w:eastAsia="it-IT"/>
              </w:rPr>
              <w:drawing>
                <wp:inline distT="0" distB="0" distL="0" distR="0" wp14:anchorId="5322E719" wp14:editId="7D0890A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C0335A">
              <w:rPr>
                <w:rFonts w:ascii="AdvP6960" w:hAnsi="AdvP6960" w:cs="AdvP6960"/>
                <w:color w:val="241F20"/>
                <w:szCs w:val="18"/>
                <w:lang w:eastAsia="it-IT"/>
              </w:rPr>
              <w:t xml:space="preserve"> </w:t>
            </w:r>
            <w:r w:rsidR="000A03B2" w:rsidRPr="000E414A">
              <w:rPr>
                <w:rFonts w:cs="Arial"/>
                <w:b/>
                <w:bCs/>
                <w:i/>
                <w:iCs/>
                <w:color w:val="000066"/>
                <w:sz w:val="24"/>
                <w:szCs w:val="24"/>
                <w:lang w:eastAsia="it-IT"/>
              </w:rPr>
              <w:t>CHEMICAL ENGINEERING</w:t>
            </w:r>
            <w:r w:rsidR="000A03B2" w:rsidRPr="000E414A">
              <w:rPr>
                <w:rFonts w:cs="Arial"/>
                <w:b/>
                <w:bCs/>
                <w:i/>
                <w:iCs/>
                <w:color w:val="0033FF"/>
                <w:sz w:val="24"/>
                <w:szCs w:val="24"/>
                <w:lang w:eastAsia="it-IT"/>
              </w:rPr>
              <w:t xml:space="preserve"> </w:t>
            </w:r>
            <w:r w:rsidR="000A03B2" w:rsidRPr="00291C20">
              <w:rPr>
                <w:rFonts w:cs="Arial"/>
                <w:b/>
                <w:bCs/>
                <w:i/>
                <w:iCs/>
                <w:color w:val="000066"/>
                <w:sz w:val="24"/>
                <w:szCs w:val="24"/>
                <w:lang w:eastAsia="it-IT"/>
              </w:rPr>
              <w:t xml:space="preserve">TRANSACTIONS </w:t>
            </w:r>
            <w:r w:rsidR="000A03B2" w:rsidRPr="00C0335A">
              <w:rPr>
                <w:rFonts w:cs="Arial"/>
                <w:b/>
                <w:bCs/>
                <w:i/>
                <w:iCs/>
                <w:color w:val="000066"/>
                <w:sz w:val="27"/>
                <w:szCs w:val="27"/>
                <w:lang w:eastAsia="it-IT"/>
              </w:rPr>
              <w:br/>
            </w:r>
          </w:p>
          <w:p w14:paraId="30C2193B" w14:textId="6BDB00BE" w:rsidR="000A03B2" w:rsidRPr="000A03B2" w:rsidRDefault="00A76EFC" w:rsidP="004A038B">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r w:rsidR="004A038B">
              <w:rPr>
                <w:rFonts w:cs="Arial"/>
                <w:b/>
                <w:bCs/>
                <w:i/>
                <w:iCs/>
                <w:color w:val="000066"/>
                <w:sz w:val="22"/>
                <w:szCs w:val="22"/>
                <w:lang w:eastAsia="it-IT"/>
              </w:rPr>
              <w:t>9</w:t>
            </w:r>
            <w:r w:rsidR="004A038B" w:rsidRPr="004A038B">
              <w:rPr>
                <w:rFonts w:cs="Arial"/>
                <w:b/>
                <w:bCs/>
                <w:i/>
                <w:iCs/>
                <w:color w:val="000066"/>
                <w:sz w:val="22"/>
                <w:szCs w:val="22"/>
                <w:lang w:eastAsia="it-IT"/>
              </w:rPr>
              <w:t>2</w:t>
            </w:r>
            <w:r w:rsidR="00D17E94" w:rsidRPr="004A038B">
              <w:rPr>
                <w:rFonts w:cs="Arial"/>
                <w:b/>
                <w:bCs/>
                <w:i/>
                <w:iCs/>
                <w:color w:val="000066"/>
                <w:sz w:val="22"/>
                <w:szCs w:val="22"/>
                <w:lang w:eastAsia="it-IT"/>
              </w:rPr>
              <w:t>, 202</w:t>
            </w:r>
            <w:r w:rsidR="004A038B" w:rsidRPr="004A038B">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214EB3EB" w14:textId="77777777" w:rsidR="000A03B2" w:rsidRDefault="000A03B2" w:rsidP="00CD5FE2">
            <w:pPr>
              <w:spacing w:line="140" w:lineRule="atLeast"/>
              <w:jc w:val="right"/>
              <w:rPr>
                <w:rFonts w:cs="Arial"/>
                <w:sz w:val="14"/>
                <w:szCs w:val="14"/>
              </w:rPr>
            </w:pPr>
            <w:r w:rsidRPr="00C0335A">
              <w:rPr>
                <w:rFonts w:cs="Arial"/>
                <w:sz w:val="14"/>
                <w:szCs w:val="14"/>
              </w:rPr>
              <w:t>A publication of</w:t>
            </w:r>
          </w:p>
          <w:p w14:paraId="6358FCC9" w14:textId="77777777" w:rsidR="000A03B2" w:rsidRDefault="000A03B2" w:rsidP="00CD5FE2">
            <w:pPr>
              <w:jc w:val="right"/>
            </w:pPr>
            <w:r>
              <w:rPr>
                <w:noProof/>
                <w:lang w:val="it-IT" w:eastAsia="it-IT"/>
              </w:rPr>
              <w:drawing>
                <wp:inline distT="0" distB="0" distL="0" distR="0" wp14:anchorId="4CA2706C" wp14:editId="0EBFAE9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14:paraId="67958CFC" w14:textId="77777777" w:rsidTr="00DE264A">
        <w:trPr>
          <w:trHeight w:val="567"/>
          <w:jc w:val="center"/>
        </w:trPr>
        <w:tc>
          <w:tcPr>
            <w:tcW w:w="6946" w:type="dxa"/>
            <w:vMerge/>
            <w:tcBorders>
              <w:right w:val="single" w:sz="4" w:space="0" w:color="auto"/>
            </w:tcBorders>
          </w:tcPr>
          <w:p w14:paraId="1347094B" w14:textId="77777777" w:rsidR="000A03B2" w:rsidRDefault="000A03B2" w:rsidP="00CD5FE2">
            <w:pPr>
              <w:tabs>
                <w:tab w:val="left" w:pos="-108"/>
              </w:tabs>
            </w:pPr>
          </w:p>
        </w:tc>
        <w:tc>
          <w:tcPr>
            <w:tcW w:w="1843" w:type="dxa"/>
            <w:tcBorders>
              <w:left w:val="single" w:sz="4" w:space="0" w:color="auto"/>
              <w:bottom w:val="nil"/>
              <w:right w:val="single" w:sz="4" w:space="0" w:color="auto"/>
            </w:tcBorders>
          </w:tcPr>
          <w:p w14:paraId="4CA5B319" w14:textId="77777777" w:rsidR="004A038B" w:rsidRPr="00B57B36" w:rsidRDefault="004A038B" w:rsidP="004A038B">
            <w:pPr>
              <w:spacing w:line="140" w:lineRule="atLeast"/>
              <w:jc w:val="right"/>
              <w:rPr>
                <w:rFonts w:cs="Arial"/>
                <w:sz w:val="14"/>
                <w:szCs w:val="14"/>
              </w:rPr>
            </w:pPr>
            <w:r w:rsidRPr="00B57B36">
              <w:rPr>
                <w:rFonts w:cs="Arial"/>
                <w:sz w:val="14"/>
                <w:szCs w:val="14"/>
              </w:rPr>
              <w:t>The Italian Association</w:t>
            </w:r>
          </w:p>
          <w:p w14:paraId="0BD4AD90" w14:textId="77777777" w:rsidR="004A038B" w:rsidRPr="00B57B36" w:rsidRDefault="004A038B" w:rsidP="004A038B">
            <w:pPr>
              <w:spacing w:line="140" w:lineRule="atLeast"/>
              <w:jc w:val="right"/>
              <w:rPr>
                <w:rFonts w:cs="Arial"/>
                <w:sz w:val="14"/>
                <w:szCs w:val="14"/>
              </w:rPr>
            </w:pPr>
            <w:r w:rsidRPr="00B57B36">
              <w:rPr>
                <w:rFonts w:cs="Arial"/>
                <w:sz w:val="14"/>
                <w:szCs w:val="14"/>
              </w:rPr>
              <w:t>of Chemical Engineering</w:t>
            </w:r>
          </w:p>
          <w:p w14:paraId="6D1F5F3D" w14:textId="79131ADE" w:rsidR="000A03B2" w:rsidRPr="00996483" w:rsidRDefault="004A038B" w:rsidP="004A038B">
            <w:pPr>
              <w:spacing w:line="140" w:lineRule="atLeast"/>
              <w:jc w:val="right"/>
              <w:rPr>
                <w:rFonts w:cs="Arial"/>
                <w:sz w:val="14"/>
                <w:szCs w:val="14"/>
                <w:lang w:val="en-US"/>
              </w:rPr>
            </w:pPr>
            <w:r w:rsidRPr="000D0268">
              <w:rPr>
                <w:rFonts w:cs="Arial"/>
                <w:sz w:val="13"/>
                <w:szCs w:val="13"/>
              </w:rPr>
              <w:t>Online at www.cetjournal.it</w:t>
            </w:r>
          </w:p>
        </w:tc>
      </w:tr>
      <w:tr w:rsidR="000A03B2" w:rsidRPr="00C9618D" w14:paraId="79D94B15" w14:textId="77777777" w:rsidTr="00DE264A">
        <w:trPr>
          <w:trHeight w:val="68"/>
          <w:jc w:val="center"/>
        </w:trPr>
        <w:tc>
          <w:tcPr>
            <w:tcW w:w="8789" w:type="dxa"/>
            <w:gridSpan w:val="2"/>
          </w:tcPr>
          <w:p w14:paraId="471F2250" w14:textId="77777777" w:rsidR="004A038B" w:rsidRPr="008057D9" w:rsidRDefault="004A038B" w:rsidP="004A038B">
            <w:pPr>
              <w:tabs>
                <w:tab w:val="left" w:pos="-108"/>
              </w:tabs>
              <w:spacing w:line="140" w:lineRule="atLeast"/>
              <w:ind w:left="-108"/>
              <w:jc w:val="left"/>
              <w:rPr>
                <w:rFonts w:ascii="Tahoma" w:hAnsi="Tahoma" w:cs="Tahoma"/>
                <w:iCs/>
                <w:color w:val="333333"/>
                <w:sz w:val="14"/>
                <w:szCs w:val="14"/>
                <w:lang w:val="it-IT" w:eastAsia="it-IT"/>
              </w:rPr>
            </w:pPr>
            <w:r w:rsidRPr="008057D9">
              <w:rPr>
                <w:rFonts w:ascii="Tahoma" w:hAnsi="Tahoma" w:cs="Tahoma"/>
                <w:iCs/>
                <w:color w:val="333333"/>
                <w:sz w:val="14"/>
                <w:szCs w:val="14"/>
                <w:lang w:val="it-IT" w:eastAsia="it-IT"/>
              </w:rPr>
              <w:t xml:space="preserve">Guest Editors: </w:t>
            </w:r>
            <w:r w:rsidRPr="0044071E">
              <w:rPr>
                <w:rFonts w:ascii="Tahoma" w:hAnsi="Tahoma" w:cs="Tahoma"/>
                <w:color w:val="000000"/>
                <w:sz w:val="14"/>
                <w:szCs w:val="14"/>
                <w:shd w:val="clear" w:color="auto" w:fill="FFFFFF"/>
                <w:lang w:val="it-IT"/>
              </w:rPr>
              <w:t>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3578E440" w14:textId="1074358D" w:rsidR="000A03B2" w:rsidRPr="00F06D99" w:rsidRDefault="004A038B" w:rsidP="004A038B">
            <w:pPr>
              <w:tabs>
                <w:tab w:val="left" w:pos="-108"/>
              </w:tabs>
              <w:spacing w:line="140" w:lineRule="atLeast"/>
              <w:ind w:left="-108"/>
              <w:jc w:val="left"/>
              <w:rPr>
                <w:lang w:val="en-US"/>
              </w:rPr>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0224AAF" w14:textId="77777777" w:rsidR="000A03B2" w:rsidRPr="00F06D99" w:rsidRDefault="000A03B2" w:rsidP="000A03B2">
      <w:pPr>
        <w:pStyle w:val="CETAuthors"/>
        <w:rPr>
          <w:lang w:val="en-US"/>
        </w:rPr>
        <w:sectPr w:rsidR="000A03B2" w:rsidRPr="00F06D99" w:rsidSect="00CD5FE2">
          <w:type w:val="continuous"/>
          <w:pgSz w:w="11906" w:h="16838" w:code="9"/>
          <w:pgMar w:top="1701" w:right="1418" w:bottom="1701" w:left="1701" w:header="1701" w:footer="0" w:gutter="0"/>
          <w:cols w:space="708"/>
          <w:titlePg/>
          <w:docGrid w:linePitch="360"/>
        </w:sectPr>
      </w:pPr>
    </w:p>
    <w:p w14:paraId="2817FE80" w14:textId="61361DFA" w:rsidR="003B6981" w:rsidRPr="003B6981" w:rsidRDefault="003B6981" w:rsidP="003B6981">
      <w:pPr>
        <w:jc w:val="center"/>
        <w:rPr>
          <w:sz w:val="32"/>
        </w:rPr>
      </w:pPr>
      <w:r w:rsidRPr="003B6981">
        <w:rPr>
          <w:sz w:val="32"/>
        </w:rPr>
        <w:t>Hydrothermal carbonization of sludge residues via Carborem C700 industrial scale continuous operating plant</w:t>
      </w:r>
    </w:p>
    <w:p w14:paraId="3C90AE47" w14:textId="77777777" w:rsidR="002617CB" w:rsidRPr="002617CB" w:rsidRDefault="002617CB" w:rsidP="00E978D0">
      <w:pPr>
        <w:pStyle w:val="CETAuthors"/>
        <w:rPr>
          <w:lang w:val="en-US"/>
        </w:rPr>
      </w:pPr>
    </w:p>
    <w:p w14:paraId="03395D04" w14:textId="3B2C2E66" w:rsidR="00E978D0" w:rsidRPr="00DF1E87" w:rsidRDefault="003B6981" w:rsidP="00E978D0">
      <w:pPr>
        <w:pStyle w:val="CETAuthors"/>
        <w:rPr>
          <w:lang w:val="it-IT"/>
        </w:rPr>
      </w:pPr>
      <w:r>
        <w:rPr>
          <w:lang w:val="it-IT"/>
        </w:rPr>
        <w:t>Michela Lucian</w:t>
      </w:r>
      <w:r w:rsidR="0020386F">
        <w:rPr>
          <w:lang w:val="it-IT"/>
        </w:rPr>
        <w:t>*</w:t>
      </w:r>
      <w:r>
        <w:rPr>
          <w:vertAlign w:val="superscript"/>
          <w:lang w:val="it-IT"/>
        </w:rPr>
        <w:t>a</w:t>
      </w:r>
      <w:r w:rsidDel="003B6981">
        <w:rPr>
          <w:vertAlign w:val="superscript"/>
          <w:lang w:val="it-IT"/>
        </w:rPr>
        <w:t xml:space="preserve"> </w:t>
      </w:r>
      <w:r w:rsidR="002617CB">
        <w:rPr>
          <w:lang w:val="it-IT"/>
        </w:rPr>
        <w:t xml:space="preserve">, </w:t>
      </w:r>
      <w:r w:rsidR="00DF1E87" w:rsidRPr="00DF1E87">
        <w:rPr>
          <w:lang w:val="it-IT"/>
        </w:rPr>
        <w:t>Fabio</w:t>
      </w:r>
      <w:r w:rsidR="00E978D0" w:rsidRPr="00DF1E87">
        <w:rPr>
          <w:lang w:val="it-IT"/>
        </w:rPr>
        <w:t xml:space="preserve"> </w:t>
      </w:r>
      <w:r w:rsidR="00340714" w:rsidRPr="00DF1E87">
        <w:rPr>
          <w:lang w:val="it-IT"/>
        </w:rPr>
        <w:t>Merzari</w:t>
      </w:r>
      <w:r>
        <w:rPr>
          <w:vertAlign w:val="superscript"/>
          <w:lang w:val="it-IT"/>
        </w:rPr>
        <w:t>a</w:t>
      </w:r>
      <w:r w:rsidR="00E978D0" w:rsidRPr="00DF1E87">
        <w:rPr>
          <w:lang w:val="it-IT"/>
        </w:rPr>
        <w:t>,</w:t>
      </w:r>
      <w:r w:rsidR="00DF1E87" w:rsidRPr="00DF1E87">
        <w:rPr>
          <w:lang w:val="it-IT"/>
        </w:rPr>
        <w:t xml:space="preserve"> </w:t>
      </w:r>
      <w:r w:rsidR="002617CB">
        <w:rPr>
          <w:lang w:val="it-IT"/>
        </w:rPr>
        <w:t xml:space="preserve">Antonio </w:t>
      </w:r>
      <w:r w:rsidR="00340714">
        <w:rPr>
          <w:lang w:val="it-IT"/>
        </w:rPr>
        <w:t>Messineo</w:t>
      </w:r>
      <w:r>
        <w:rPr>
          <w:vertAlign w:val="superscript"/>
          <w:lang w:val="it-IT"/>
        </w:rPr>
        <w:t>b</w:t>
      </w:r>
      <w:r w:rsidR="00340714">
        <w:rPr>
          <w:vertAlign w:val="superscript"/>
          <w:lang w:val="it-IT"/>
        </w:rPr>
        <w:t xml:space="preserve"> </w:t>
      </w:r>
      <w:r w:rsidR="002617CB">
        <w:rPr>
          <w:lang w:val="it-IT"/>
        </w:rPr>
        <w:t xml:space="preserve">and </w:t>
      </w:r>
      <w:r>
        <w:rPr>
          <w:lang w:val="it-IT"/>
        </w:rPr>
        <w:t>Maurizio Volpe</w:t>
      </w:r>
      <w:r>
        <w:rPr>
          <w:vertAlign w:val="superscript"/>
          <w:lang w:val="it-IT"/>
        </w:rPr>
        <w:t>a</w:t>
      </w:r>
      <w:r w:rsidR="004A0CA1">
        <w:rPr>
          <w:vertAlign w:val="superscript"/>
          <w:lang w:val="it-IT"/>
        </w:rPr>
        <w:t>,</w:t>
      </w:r>
      <w:r>
        <w:rPr>
          <w:vertAlign w:val="superscript"/>
          <w:lang w:val="it-IT"/>
        </w:rPr>
        <w:t>b</w:t>
      </w:r>
    </w:p>
    <w:p w14:paraId="42A10808" w14:textId="77777777" w:rsidR="003B6981" w:rsidRPr="00C654A0" w:rsidRDefault="003B6981" w:rsidP="003B6981">
      <w:pPr>
        <w:pStyle w:val="CETAddress"/>
        <w:spacing w:line="240" w:lineRule="auto"/>
        <w:rPr>
          <w:lang w:val="it-IT"/>
        </w:rPr>
      </w:pPr>
      <w:r>
        <w:rPr>
          <w:vertAlign w:val="superscript"/>
          <w:lang w:val="it-IT"/>
        </w:rPr>
        <w:t>a</w:t>
      </w:r>
      <w:r w:rsidRPr="00C654A0">
        <w:rPr>
          <w:lang w:val="it-IT"/>
        </w:rPr>
        <w:t>CARBOREM, piazza Manifattura 1</w:t>
      </w:r>
      <w:r>
        <w:rPr>
          <w:lang w:val="it-IT"/>
        </w:rPr>
        <w:t xml:space="preserve"> – 38068 R</w:t>
      </w:r>
      <w:r w:rsidRPr="00C654A0">
        <w:rPr>
          <w:lang w:val="it-IT"/>
        </w:rPr>
        <w:t>overeto (TN), Italy</w:t>
      </w:r>
    </w:p>
    <w:p w14:paraId="325D0749" w14:textId="2BE10C6F" w:rsidR="00340714" w:rsidRPr="003B6981" w:rsidRDefault="003B6981" w:rsidP="00340714">
      <w:pPr>
        <w:pStyle w:val="CETemail"/>
        <w:spacing w:after="0" w:line="240" w:lineRule="auto"/>
        <w:rPr>
          <w:color w:val="0000FF"/>
          <w:u w:val="single"/>
          <w:lang w:val="it-IT"/>
        </w:rPr>
      </w:pPr>
      <w:r w:rsidRPr="003B6981">
        <w:rPr>
          <w:vertAlign w:val="superscript"/>
          <w:lang w:val="it-IT"/>
        </w:rPr>
        <w:t>b</w:t>
      </w:r>
      <w:r w:rsidRPr="003B6981">
        <w:rPr>
          <w:lang w:val="it-IT"/>
        </w:rPr>
        <w:t>Università di</w:t>
      </w:r>
      <w:r w:rsidR="00340714" w:rsidRPr="003B6981">
        <w:rPr>
          <w:lang w:val="it-IT"/>
        </w:rPr>
        <w:t xml:space="preserve"> Enna, KORE</w:t>
      </w:r>
      <w:r w:rsidRPr="003B6981">
        <w:rPr>
          <w:lang w:val="it-IT"/>
        </w:rPr>
        <w:t>, Facoltà di Ingegneria e Architettura</w:t>
      </w:r>
      <w:r w:rsidR="00340714" w:rsidRPr="003B6981">
        <w:rPr>
          <w:lang w:val="it-IT"/>
        </w:rPr>
        <w:t>, viale delle Olimpiadi snc</w:t>
      </w:r>
      <w:r w:rsidR="00626F33">
        <w:rPr>
          <w:lang w:val="it-IT"/>
        </w:rPr>
        <w:t>,</w:t>
      </w:r>
      <w:r w:rsidR="00340714" w:rsidRPr="003B6981">
        <w:rPr>
          <w:lang w:val="it-IT"/>
        </w:rPr>
        <w:t xml:space="preserve"> 94100 Enna, Italy</w:t>
      </w:r>
    </w:p>
    <w:p w14:paraId="7ED7FB98" w14:textId="7EE25F40" w:rsidR="002617CB" w:rsidRPr="005D6DB6" w:rsidRDefault="0020386F" w:rsidP="002617CB">
      <w:pPr>
        <w:pStyle w:val="CETemail"/>
        <w:spacing w:line="240" w:lineRule="auto"/>
      </w:pPr>
      <w:r w:rsidRPr="0020386F">
        <w:t>michela.lucian@carborem</w:t>
      </w:r>
      <w:r>
        <w:t>.com</w:t>
      </w:r>
    </w:p>
    <w:p w14:paraId="28B9F941" w14:textId="1FA4FCBE" w:rsidR="003160F1" w:rsidRPr="009378F0" w:rsidRDefault="003B6981" w:rsidP="003160F1">
      <w:pPr>
        <w:pStyle w:val="CETBodytext"/>
        <w:rPr>
          <w:lang w:val="en-GB"/>
        </w:rPr>
      </w:pPr>
      <w:r w:rsidRPr="003B6981">
        <w:rPr>
          <w:lang w:val="en-GB"/>
        </w:rPr>
        <w:t>This study</w:t>
      </w:r>
      <w:r>
        <w:rPr>
          <w:lang w:val="en-GB"/>
        </w:rPr>
        <w:t xml:space="preserve"> describes the main features of a novel </w:t>
      </w:r>
      <w:r w:rsidR="006D5197">
        <w:rPr>
          <w:lang w:val="en-GB"/>
        </w:rPr>
        <w:t>industrial-scale</w:t>
      </w:r>
      <w:r>
        <w:rPr>
          <w:lang w:val="en-GB"/>
        </w:rPr>
        <w:t xml:space="preserve"> continuous operating hydrothermal carbonization (HTC) </w:t>
      </w:r>
      <w:r w:rsidR="008C2170">
        <w:rPr>
          <w:lang w:val="en-GB"/>
        </w:rPr>
        <w:t xml:space="preserve">developed by Carborem srl </w:t>
      </w:r>
      <w:r>
        <w:rPr>
          <w:lang w:val="en-GB"/>
        </w:rPr>
        <w:t xml:space="preserve">named C700. </w:t>
      </w:r>
      <w:r w:rsidRPr="003B6981">
        <w:rPr>
          <w:lang w:val="en-GB"/>
        </w:rPr>
        <w:t xml:space="preserve">The C700 </w:t>
      </w:r>
      <w:r w:rsidR="006D5197">
        <w:rPr>
          <w:lang w:val="en-GB"/>
        </w:rPr>
        <w:t>industrial-scale</w:t>
      </w:r>
      <w:r w:rsidRPr="003B6981">
        <w:rPr>
          <w:lang w:val="en-GB"/>
        </w:rPr>
        <w:t xml:space="preserve"> HTC plant is a </w:t>
      </w:r>
      <w:r w:rsidR="006D5197">
        <w:rPr>
          <w:lang w:val="en-GB"/>
        </w:rPr>
        <w:t>highly</w:t>
      </w:r>
      <w:r w:rsidR="006D5197" w:rsidRPr="003B6981">
        <w:rPr>
          <w:lang w:val="en-GB"/>
        </w:rPr>
        <w:t xml:space="preserve"> </w:t>
      </w:r>
      <w:r w:rsidRPr="003B6981">
        <w:rPr>
          <w:lang w:val="en-GB"/>
        </w:rPr>
        <w:t xml:space="preserve">compact, modular and containerized system capable of treating </w:t>
      </w:r>
      <w:r w:rsidR="002B2ECE">
        <w:rPr>
          <w:lang w:val="en-GB"/>
        </w:rPr>
        <w:t>more than</w:t>
      </w:r>
      <w:r w:rsidRPr="003B6981">
        <w:rPr>
          <w:lang w:val="en-GB"/>
        </w:rPr>
        <w:t xml:space="preserve"> 5 kton per year of sludge. </w:t>
      </w:r>
      <w:r w:rsidR="008C2170">
        <w:rPr>
          <w:lang w:val="en-GB"/>
        </w:rPr>
        <w:t>The r</w:t>
      </w:r>
      <w:r w:rsidRPr="003B6981">
        <w:rPr>
          <w:lang w:val="en-GB"/>
        </w:rPr>
        <w:t xml:space="preserve">esults of HTC </w:t>
      </w:r>
      <w:r w:rsidR="008C2170">
        <w:rPr>
          <w:lang w:val="en-GB"/>
        </w:rPr>
        <w:t xml:space="preserve">operated with </w:t>
      </w:r>
      <w:r w:rsidR="00B00BBE">
        <w:rPr>
          <w:lang w:val="en-GB"/>
        </w:rPr>
        <w:t>C700</w:t>
      </w:r>
      <w:r w:rsidR="008C2170">
        <w:rPr>
          <w:lang w:val="en-GB"/>
        </w:rPr>
        <w:t xml:space="preserve"> plant at 190 °C and 1 h of residence time </w:t>
      </w:r>
      <w:r w:rsidRPr="003B6981">
        <w:rPr>
          <w:lang w:val="en-GB"/>
        </w:rPr>
        <w:t>of three different</w:t>
      </w:r>
      <w:r w:rsidR="0020386F">
        <w:rPr>
          <w:lang w:val="en-GB"/>
        </w:rPr>
        <w:t xml:space="preserve"> high moisture content residues (</w:t>
      </w:r>
      <w:r w:rsidR="0020386F" w:rsidRPr="003B6981">
        <w:rPr>
          <w:lang w:val="en-GB"/>
        </w:rPr>
        <w:t>sewage sludge</w:t>
      </w:r>
      <w:r w:rsidR="0020386F">
        <w:rPr>
          <w:lang w:val="en-GB"/>
        </w:rPr>
        <w:t>, agro-industrial sludge</w:t>
      </w:r>
      <w:r w:rsidR="006D5197">
        <w:rPr>
          <w:lang w:val="en-GB"/>
        </w:rPr>
        <w:t>,</w:t>
      </w:r>
      <w:r w:rsidR="0020386F">
        <w:rPr>
          <w:lang w:val="en-GB"/>
        </w:rPr>
        <w:t xml:space="preserve"> and organic fraction of municipal solid waste digestate) </w:t>
      </w:r>
      <w:r w:rsidR="008C2170">
        <w:rPr>
          <w:lang w:val="en-GB"/>
        </w:rPr>
        <w:t xml:space="preserve">demonstrate </w:t>
      </w:r>
      <w:r w:rsidR="008C2170" w:rsidRPr="008C2170">
        <w:rPr>
          <w:lang w:val="en-GB"/>
        </w:rPr>
        <w:t>the efficiency and versatility of the process</w:t>
      </w:r>
      <w:r w:rsidR="00740F31">
        <w:rPr>
          <w:lang w:val="en-GB"/>
        </w:rPr>
        <w:t xml:space="preserve">. </w:t>
      </w:r>
      <w:r w:rsidR="0020386F">
        <w:rPr>
          <w:lang w:val="en-GB"/>
        </w:rPr>
        <w:t>C700 system is</w:t>
      </w:r>
      <w:r w:rsidR="008C2170">
        <w:rPr>
          <w:lang w:val="en-GB"/>
        </w:rPr>
        <w:t xml:space="preserve"> capable of </w:t>
      </w:r>
      <w:r w:rsidRPr="003B6981">
        <w:rPr>
          <w:lang w:val="en-GB"/>
        </w:rPr>
        <w:t>promot</w:t>
      </w:r>
      <w:r w:rsidR="008C2170">
        <w:rPr>
          <w:lang w:val="en-GB"/>
        </w:rPr>
        <w:t>ing</w:t>
      </w:r>
      <w:r w:rsidRPr="003B6981">
        <w:rPr>
          <w:lang w:val="en-GB"/>
        </w:rPr>
        <w:t xml:space="preserve"> dewaterability of sludge residues, producing solid residues </w:t>
      </w:r>
      <w:r w:rsidR="00AC3B73">
        <w:rPr>
          <w:lang w:val="en-GB"/>
        </w:rPr>
        <w:t>(hydrochars) upon centrifugation o</w:t>
      </w:r>
      <w:r w:rsidR="0020386F">
        <w:rPr>
          <w:lang w:val="en-GB"/>
        </w:rPr>
        <w:t>f</w:t>
      </w:r>
      <w:r w:rsidR="00AC3B73">
        <w:rPr>
          <w:lang w:val="en-GB"/>
        </w:rPr>
        <w:t xml:space="preserve"> HTC slurries </w:t>
      </w:r>
      <w:r w:rsidRPr="003B6981">
        <w:rPr>
          <w:lang w:val="en-GB"/>
        </w:rPr>
        <w:t xml:space="preserve">with improved </w:t>
      </w:r>
      <w:r w:rsidR="00AC3B73">
        <w:rPr>
          <w:lang w:val="en-GB"/>
        </w:rPr>
        <w:t>phosphorus content</w:t>
      </w:r>
      <w:r w:rsidRPr="003B6981">
        <w:rPr>
          <w:lang w:val="en-GB"/>
        </w:rPr>
        <w:t xml:space="preserve">. </w:t>
      </w:r>
      <w:r w:rsidR="0020386F">
        <w:rPr>
          <w:lang w:val="en-GB"/>
        </w:rPr>
        <w:t>Results show that</w:t>
      </w:r>
      <w:r w:rsidR="002B2ECE">
        <w:rPr>
          <w:lang w:val="en-GB"/>
        </w:rPr>
        <w:t xml:space="preserve"> </w:t>
      </w:r>
      <w:r w:rsidR="00F83931">
        <w:rPr>
          <w:lang w:val="en-GB"/>
        </w:rPr>
        <w:t xml:space="preserve">the </w:t>
      </w:r>
      <w:r w:rsidR="002B2ECE">
        <w:rPr>
          <w:lang w:val="en-GB"/>
        </w:rPr>
        <w:t>sys</w:t>
      </w:r>
      <w:r w:rsidR="00AC3B73">
        <w:rPr>
          <w:lang w:val="en-GB"/>
        </w:rPr>
        <w:t xml:space="preserve">tem </w:t>
      </w:r>
      <w:r w:rsidR="00F83931">
        <w:rPr>
          <w:lang w:val="en-GB"/>
        </w:rPr>
        <w:t>allows</w:t>
      </w:r>
      <w:r w:rsidR="00AC3B73">
        <w:rPr>
          <w:lang w:val="en-GB"/>
        </w:rPr>
        <w:t xml:space="preserve"> concentrating</w:t>
      </w:r>
      <w:r w:rsidR="00944EAC">
        <w:rPr>
          <w:lang w:val="en-GB"/>
        </w:rPr>
        <w:t xml:space="preserve"> P</w:t>
      </w:r>
      <w:r w:rsidR="00AC3B73">
        <w:rPr>
          <w:lang w:val="en-GB"/>
        </w:rPr>
        <w:t xml:space="preserve"> </w:t>
      </w:r>
      <w:r w:rsidR="0020386F">
        <w:rPr>
          <w:lang w:val="en-GB"/>
        </w:rPr>
        <w:t xml:space="preserve">into the solid residue </w:t>
      </w:r>
      <w:r w:rsidR="00AC3B73">
        <w:rPr>
          <w:lang w:val="en-GB"/>
        </w:rPr>
        <w:t>up to 3.6 wt% on a dry basis and le</w:t>
      </w:r>
      <w:r w:rsidR="0020386F">
        <w:rPr>
          <w:lang w:val="en-GB"/>
        </w:rPr>
        <w:t>a</w:t>
      </w:r>
      <w:r w:rsidR="00AC3B73">
        <w:rPr>
          <w:lang w:val="en-GB"/>
        </w:rPr>
        <w:t>d</w:t>
      </w:r>
      <w:r w:rsidR="00F83931">
        <w:rPr>
          <w:lang w:val="en-GB"/>
        </w:rPr>
        <w:t>s</w:t>
      </w:r>
      <w:r w:rsidR="00AC3B73">
        <w:rPr>
          <w:lang w:val="en-GB"/>
        </w:rPr>
        <w:t xml:space="preserve"> to hydrochars with a total solid content, upon centrifugation of 34.6</w:t>
      </w:r>
      <w:r w:rsidR="004A038B">
        <w:rPr>
          <w:lang w:val="en-GB"/>
        </w:rPr>
        <w:t>,</w:t>
      </w:r>
      <w:r w:rsidR="00AC3B73">
        <w:rPr>
          <w:lang w:val="en-GB"/>
        </w:rPr>
        <w:t xml:space="preserve"> 38.6 and 41.0 wt% for </w:t>
      </w:r>
      <w:r w:rsidR="00AC3B73" w:rsidRPr="003B6981">
        <w:rPr>
          <w:lang w:val="en-GB"/>
        </w:rPr>
        <w:t xml:space="preserve">sewage </w:t>
      </w:r>
      <w:r w:rsidR="00F83931">
        <w:rPr>
          <w:lang w:val="en-GB"/>
        </w:rPr>
        <w:t>and</w:t>
      </w:r>
      <w:r w:rsidR="00AC3B73">
        <w:rPr>
          <w:lang w:val="en-GB"/>
        </w:rPr>
        <w:t xml:space="preserve"> agro-industrial sludge and organic fraction of municipal solid waste digestate</w:t>
      </w:r>
      <w:r w:rsidR="00B00BBE">
        <w:rPr>
          <w:lang w:val="en-GB"/>
        </w:rPr>
        <w:t xml:space="preserve">, </w:t>
      </w:r>
      <w:r w:rsidR="00AC3B73">
        <w:rPr>
          <w:lang w:val="en-GB"/>
        </w:rPr>
        <w:t>respectively.</w:t>
      </w:r>
      <w:r w:rsidR="00AC3B73" w:rsidRPr="003B6981">
        <w:rPr>
          <w:lang w:val="en-GB"/>
        </w:rPr>
        <w:t xml:space="preserve"> </w:t>
      </w:r>
      <w:r w:rsidR="008C2170">
        <w:rPr>
          <w:lang w:val="en-GB"/>
        </w:rPr>
        <w:t>Moreover</w:t>
      </w:r>
      <w:r w:rsidR="00B00BBE">
        <w:rPr>
          <w:lang w:val="en-GB"/>
        </w:rPr>
        <w:t>,</w:t>
      </w:r>
      <w:r w:rsidR="008C2170">
        <w:rPr>
          <w:lang w:val="en-GB"/>
        </w:rPr>
        <w:t xml:space="preserve"> w</w:t>
      </w:r>
      <w:r w:rsidRPr="003B6981">
        <w:rPr>
          <w:lang w:val="en-GB"/>
        </w:rPr>
        <w:t>hile hydrochars show good potential as soil fertilizers</w:t>
      </w:r>
      <w:r w:rsidR="00626F33">
        <w:rPr>
          <w:lang w:val="en-GB"/>
        </w:rPr>
        <w:t>,</w:t>
      </w:r>
      <w:r w:rsidRPr="003B6981">
        <w:rPr>
          <w:lang w:val="en-GB"/>
        </w:rPr>
        <w:t xml:space="preserve"> </w:t>
      </w:r>
      <w:r w:rsidR="00944EAC">
        <w:rPr>
          <w:lang w:val="en-GB"/>
        </w:rPr>
        <w:t xml:space="preserve">when excess heavy metals like copper and zinc are removed, </w:t>
      </w:r>
      <w:r w:rsidRPr="003B6981">
        <w:rPr>
          <w:lang w:val="en-GB"/>
        </w:rPr>
        <w:t>recirculation of the</w:t>
      </w:r>
      <w:r w:rsidR="0020386F">
        <w:rPr>
          <w:lang w:val="en-GB"/>
        </w:rPr>
        <w:t xml:space="preserve"> high carbon content</w:t>
      </w:r>
      <w:r w:rsidRPr="003B6981">
        <w:rPr>
          <w:lang w:val="en-GB"/>
        </w:rPr>
        <w:t xml:space="preserve"> liquid residue to the anaerobic digestion system </w:t>
      </w:r>
      <w:r w:rsidR="0020386F">
        <w:rPr>
          <w:lang w:val="en-GB"/>
        </w:rPr>
        <w:t>offer</w:t>
      </w:r>
      <w:r w:rsidR="00270FFD">
        <w:rPr>
          <w:lang w:val="en-GB"/>
        </w:rPr>
        <w:t>s</w:t>
      </w:r>
      <w:r w:rsidRPr="003B6981">
        <w:rPr>
          <w:lang w:val="en-GB"/>
        </w:rPr>
        <w:t xml:space="preserve"> the opportunity to </w:t>
      </w:r>
      <w:r w:rsidRPr="00824777">
        <w:rPr>
          <w:lang w:val="en-GB"/>
        </w:rPr>
        <w:t>enhance bio</w:t>
      </w:r>
      <w:r w:rsidR="00270FFD" w:rsidRPr="00824777">
        <w:rPr>
          <w:lang w:val="en-GB"/>
        </w:rPr>
        <w:t xml:space="preserve">gas </w:t>
      </w:r>
      <w:r w:rsidRPr="003B6981">
        <w:rPr>
          <w:lang w:val="en-GB"/>
        </w:rPr>
        <w:t>production</w:t>
      </w:r>
      <w:r w:rsidR="0020386F">
        <w:rPr>
          <w:lang w:val="en-GB"/>
        </w:rPr>
        <w:t xml:space="preserve"> in the waste management plant</w:t>
      </w:r>
      <w:r w:rsidRPr="003B6981">
        <w:rPr>
          <w:lang w:val="en-GB"/>
        </w:rPr>
        <w:t xml:space="preserve"> thus lowering the total external energy demand of the process.</w:t>
      </w:r>
      <w:r w:rsidR="00C654A0" w:rsidRPr="00C654A0">
        <w:rPr>
          <w:lang w:val="en-GB"/>
        </w:rPr>
        <w:t xml:space="preserve"> </w:t>
      </w:r>
    </w:p>
    <w:p w14:paraId="019BEC76" w14:textId="77777777" w:rsidR="00E978D0" w:rsidRPr="006F0319" w:rsidRDefault="00AD51B6" w:rsidP="006F0319">
      <w:pPr>
        <w:pStyle w:val="CETHeading1"/>
      </w:pPr>
      <w:r>
        <w:t>Introduction</w:t>
      </w:r>
    </w:p>
    <w:p w14:paraId="35CE9A56" w14:textId="7ADE69D0" w:rsidR="00D12279" w:rsidRPr="007B2506" w:rsidRDefault="00D12279" w:rsidP="007872DA">
      <w:pPr>
        <w:pStyle w:val="CETBodytext"/>
      </w:pPr>
      <w:bookmarkStart w:id="0" w:name="_Hlk503802003"/>
      <w:r>
        <w:t xml:space="preserve">Due to the growing attention to </w:t>
      </w:r>
      <w:r w:rsidR="00B94DCC">
        <w:t xml:space="preserve">the </w:t>
      </w:r>
      <w:r>
        <w:t>environmental risks associated with the use of digested sludge in agriculture practices and the corresponding more stringent legislations, sludge managements operation are facing increasing costs for sludge treatment</w:t>
      </w:r>
      <w:r w:rsidR="00B94DCC">
        <w:t>s</w:t>
      </w:r>
      <w:r>
        <w:t xml:space="preserve"> and disposal</w:t>
      </w:r>
      <w:r w:rsidR="00A34D6C">
        <w:t xml:space="preserve"> </w:t>
      </w:r>
      <w:r w:rsidR="002F5FA3">
        <w:fldChar w:fldCharType="begin" w:fldLock="1"/>
      </w:r>
      <w:r w:rsidR="002F5FA3">
        <w:instrText>ADDIN CSL_CITATION {"citationItems":[{"id":"ITEM-1","itemData":{"DOI":"10.1016/j.rser.2019.04.011","ISSN":"18790690","abstract":"Hydrothermal carbonization is an important thermochemical conversion process that can be used as an energy-efficient alternative to enhance the dewaterability of sewage sludge and meanwhile to convert sewage sludge into high value-added products, such as clean biofuel, organic fertilizer and precursors of functional materials. This paper presents an overview of the latest development of hydrothermal carbonization in the field of sewage sludge treatment, with a particular focus on critical hydrothermal parameters, physicochemical characteristics of products streams, current understanding on hydrochar formation mechanisms, sewage sludge dewaterability improvement and techno-economic advantages. Recent advances have shown that hydrothermal carbonization of sewage sludge is an exothermal process, which is governed by temperature to a large extent. Both polymerizations of highly reactive intermediates derived from degradation of biopolymers in sewage sludge and solid-solid conversion of their undissolved fractions are regarded as the major mechanisms of hydrochar formation. The high ash content of hydrochar is probably the limiting factor for its potential applications in energy and functional materials. The chemistry in hydrothermal carbonization of sewage sludge, closely related to the process parameters and the chemical composition of sewage sludge, offers huge potential to influence the products distribution and characteristics and the process energetics as desired, which provides a promising opportunity to construct a high-efficiency industrial chain for energy and resources recovery from sewage sludge by a controlled hydrothermal process. This review identifies the current challenges and knowledge gaps, and provides new perspectives for future research efforts targeting at sustainable treatment of sewage sludge by hydrothermal carbonization.","author":[{"dropping-particle":"","family":"Wang","given":"Liping","non-dropping-particle":"","parse-names":false,"suffix":""},{"dropping-particle":"","family":"Chang","given":"Yuzhi","non-dropping-particle":"","parse-names":false,"suffix":""},{"dropping-particle":"","family":"Li","given":"Aimin","non-dropping-particle":"","parse-names":false,"suffix":""}],"container-title":"Renewable and Sustainable Energy Reviews","id":"ITEM-1","issue":"April","issued":{"date-parts":[["2019"]]},"page":"423-440","title":"Hydrothermal carbonization for energy-efficient processing of sewage sludge: A review","type":"article-journal","volume":"108"},"uris":["http://www.mendeley.com/documents/?uuid=53001be0-7d13-4e63-b8eb-b1a1f40a7c8b"]}],"mendeley":{"formattedCitation":"(Wang et al., 2019)","plainTextFormattedCitation":"(Wang et al., 2019)","previouslyFormattedCitation":"(Wang et al., 2019)"},"properties":{"noteIndex":0},"schema":"https://github.com/citation-style-language/schema/raw/master/csl-citation.json"}</w:instrText>
      </w:r>
      <w:r w:rsidR="002F5FA3">
        <w:fldChar w:fldCharType="separate"/>
      </w:r>
      <w:r w:rsidR="002F5FA3" w:rsidRPr="002F5FA3">
        <w:rPr>
          <w:noProof/>
        </w:rPr>
        <w:t>(Wang et al., 2019)</w:t>
      </w:r>
      <w:r w:rsidR="002F5FA3">
        <w:fldChar w:fldCharType="end"/>
      </w:r>
      <w:r>
        <w:t xml:space="preserve">. </w:t>
      </w:r>
      <w:r w:rsidR="00B94DCC">
        <w:t>Moreover,</w:t>
      </w:r>
      <w:r w:rsidR="002B2ECE">
        <w:t xml:space="preserve"> the global </w:t>
      </w:r>
      <w:r w:rsidR="002B2ECE" w:rsidRPr="002B2ECE">
        <w:t>inc</w:t>
      </w:r>
      <w:r w:rsidR="002B2ECE">
        <w:t xml:space="preserve">rease in anthropogenic pressure </w:t>
      </w:r>
      <w:r w:rsidR="002B2ECE" w:rsidRPr="002B2ECE">
        <w:t>causing a rapid increase in sludge production</w:t>
      </w:r>
      <w:r w:rsidR="002B2ECE">
        <w:t xml:space="preserve"> is pushing the development of new strategies and technologies, </w:t>
      </w:r>
      <w:r w:rsidR="002A0775" w:rsidRPr="002A0775">
        <w:t>in full agreement with a circular economy approach</w:t>
      </w:r>
      <w:r w:rsidR="002F5FA3">
        <w:t>, for the reduction</w:t>
      </w:r>
      <w:r w:rsidR="002A0775">
        <w:t xml:space="preserve"> and the safe treatment of such residues. </w:t>
      </w:r>
      <w:r>
        <w:t>Between the new technologies for the treatments of such as high moisture residues as sewage</w:t>
      </w:r>
      <w:r w:rsidR="0065658E">
        <w:t xml:space="preserve"> sludge </w:t>
      </w:r>
      <w:r w:rsidR="0065658E">
        <w:fldChar w:fldCharType="begin" w:fldLock="1"/>
      </w:r>
      <w:r w:rsidR="006D5197">
        <w:instrText>ADDIN CSL_CITATION {"citationItems":[{"id":"ITEM-1","itemData":{"DOI":"10.3303/CET2080034","ISBN":"9788895608785","ISSN":"22839216","abstract":"Hydrothermal carbonization (HTC) of sewage sludge has been investigated in this study to demonstrate its capability to segregate phosphorous element and produce a solid energy dense material, i.e. hydrochar, which could find application as solid bio-fuel and/or soil amendment. In this study, centrifuged anaerobically digested sewage sludge (total solid content: 21 wt.%) from Trento North (Italy) waste water treatment plant was hydrothermally carbonized at 190 and 210 °C at 1 and 3 h of residence time. Hydrochars, recovered via filtration, were leached using 4 M HCl solution at room temperature to transfer phosphorous (P) and inorganic elements into the aqueous solution. Recovery of P was achieved via phosphate salt precipitation by alkalinisation, up to pH 9, of the acidic leachate using a 5 M NaOH solution. Sewage sludge and the corresponding hydrochars, before and after acid leaching, were characterized in terms of energy properties (HHV) by calorimetric analysis, P and inorganic elements content via ICP-OES. Results showed that HTC promotes segregation of P element in the hydrochar (up to 90 wt.% of the initial content on a dry basis at 190 °C, 1 h). The study demonstrated that P can be effectively recovered via precipitation via acidic leaching and subsequent alkalization with total recovery yields higher than 70 wt.%. The hydrochar residues, after leaching, showed inorganic elements content and energy properties compatible with their possible use as soil amendment in agriculture and/or as solid biofuel.","author":[{"dropping-particle":"","family":"Volpe","given":"Maurizio","non-dropping-particle":"","parse-names":false,"suffix":""},{"dropping-particle":"","family":"Fiori","given":"Luca","non-dropping-particle":"","parse-names":false,"suffix":""},{"dropping-particle":"","family":"Merzari","given":"Fabio","non-dropping-particle":"","parse-names":false,"suffix":""},{"dropping-particle":"","family":"Messineo","given":"Antonio","non-dropping-particle":"","parse-names":false,"suffix":""},{"dropping-particle":"","family":"Andreottola","given":"Gianni","non-dropping-particle":"","parse-names":false,"suffix":""}],"container-title":"Chemical Engineering Transactions","id":"ITEM-1","issue":"April","issued":{"date-parts":[["2020"]]},"page":"199-204","title":"Hydrothermal carbonization as an efficient tool for sewage sludge valorization and phosphorous recovery","type":"article-journal","volume":"80"},"uris":["http://www.mendeley.com/documents/?uuid=51c7dabd-3f98-4acd-9fbc-3309f0f4f0f0"]},{"id":"ITEM-2","itemData":{"DOI":"10.3390/en13112890","ISSN":"19961073","abstract":"Conventional activated sludge systems, still widely used to treat wastewater, produce large amounts of solid waste that is commonly landfilled or incinerated. This study addresses the potential use of Hydrothermal Carbonization (HTC) to valorize sewage sludge residues examining the properties of hydrochars depending on HTC process conditions and sewage sludge withdrawal point. With increasing HTC severity (process residence time and temperature), solid yield, total Chemical Oxygen Demand (COD) and solid pH decrease while ash content increases. Hydrochars produced from primary (thickened) and secondary (digested and dewatered) sludge show peculiar distinct properties. Hydrochars produced from thickened sludge show good fuel properties in terms of Higher Heating Value (HHV) and reduced ash content. However, relatively high volatile matter and O:C and H:C ratios result in thermal reactivity significantly higher than typical coals. Both series of carbonized secondary sludges show neutral pH, low COD, enhanced phosphorous content and low heavy metals concentration: as a whole, they show properties compatible with their use as soil amendments.","author":[{"dropping-particle":"","family":"Merzari","given":"Fabio","non-dropping-particle":"","parse-names":false,"suffix":""},{"dropping-particle":"","family":"Goldfarb","given":"Jillian","non-dropping-particle":"","parse-names":false,"suffix":""},{"dropping-particle":"","family":"Andreottola","given":"Gianni","non-dropping-particle":"","parse-names":false,"suffix":""},{"dropping-particle":"","family":"Mimmo","given":"Tanja","non-dropping-particle":"","parse-names":false,"suffix":""},{"dropping-particle":"","family":"Volpe","given":"Maurizio","non-dropping-particle":"","parse-names":false,"suffix":""},{"dropping-particle":"","family":"Fiori","given":"Luca","non-dropping-particle":"","parse-names":false,"suffix":""}],"container-title":"Energies","id":"ITEM-2","issue":"11","issued":{"date-parts":[["2020"]]},"title":"Hydrothermal carbonization as a strategy for sewage sludge management: Influence of process withdrawal point on hydrochar properties","type":"article-journal","volume":"13"},"uris":["http://www.mendeley.com/documents/?uuid=a29ee4ca-72a3-46d8-a8b5-66808838f999"]}],"mendeley":{"formattedCitation":"(Merzari et al., 2020; Volpe et al., 2020)","plainTextFormattedCitation":"(Merzari et al., 2020; Volpe et al., 2020)","previouslyFormattedCitation":"(Merzari et al., 2020; Volpe et al., 2020)"},"properties":{"noteIndex":0},"schema":"https://github.com/citation-style-language/schema/raw/master/csl-citation.json"}</w:instrText>
      </w:r>
      <w:r w:rsidR="0065658E">
        <w:fldChar w:fldCharType="separate"/>
      </w:r>
      <w:r w:rsidR="006D5197" w:rsidRPr="006D5197">
        <w:rPr>
          <w:noProof/>
        </w:rPr>
        <w:t>(Merzari et al., 2020; Volpe et al., 2020)</w:t>
      </w:r>
      <w:r w:rsidR="0065658E">
        <w:fldChar w:fldCharType="end"/>
      </w:r>
      <w:r w:rsidRPr="00803596">
        <w:t xml:space="preserve">, organic </w:t>
      </w:r>
      <w:r w:rsidR="0065658E" w:rsidRPr="00803596">
        <w:t xml:space="preserve">fraction of municipal solid waste </w:t>
      </w:r>
      <w:r w:rsidR="0065658E">
        <w:fldChar w:fldCharType="begin" w:fldLock="1"/>
      </w:r>
      <w:r w:rsidR="006D5197">
        <w:instrText>ADDIN CSL_CITATION {"citationItems":[{"id":"ITEM-1","itemData":{"ISBN":"9788361506515","abstract":"State-of-the-art biogas plant has a substantial land requirement for the storage of digestate, typically 8 ha/MW of installed power, which introduces significant costs. Digestate is a nutrient-rich substance produced by anaerobic digestion, it contains organic and inorganic compounds as well as micro-organisms. The European Nitrates Directive (91/676/EEC) gives the regulations concerning wider implementation of digestate. Due to a significant amount of organic matter in the digestate, it can be utilized as a solid biofuel, a soil amendment or a substrate for activated carbon production. Nonetheless, digestate requires the improvement of physical properties especially decreasing moisture content. HTC (Hydrothermal Carbonization) of the digestate is the pretreatment method that has a significant potential for improving physical and chemical properties of wet material. HTC is a pretreatment process which can change digestate into potentially more hydrophobic product with higher energy potential. In the study, two kinds of digestate were examined as a potential feedstock for preparing hydrochar applied as a porous material and a solid biofuel. First digestate sample was a clean digestate from a typical biogas plant, performing anaerobic digestion of typical agricultural residues, such as a cow dung, corn stover with small addition of alcohol fermentation residues. Second one was a digestate from wet fraction of municipal solid waste, after separation at the MSW sorting plant. HTC was performed in the autoclave, at 200°C process temperature, 4.5 hours residence time, under the saturation pressure of water. The proximate and ultimate analysis (including A, M, CHNS contents, HHV) of hydrochars were carried out. Additionally, the pore (pore size distribution, volume distribution) and structural properties using scanning electron microscope were studied. The thermal behavior under pyrolysis and combustion conditions was studied using thermal analysis connected with GC-MS (for gaseous products analysis).","author":[{"dropping-particle":"","family":"Pawlak-Kruczek","given":"Halina","non-dropping-particle":"","parse-names":false,"suffix":""},{"dropping-particle":"","family":"Sieradzka","given":"Małgorzata","non-dropping-particle":"","parse-names":false,"suffix":""},{"dropping-particle":"","family":"Mlonka-Mędrala","given":"Agata","non-dropping-particle":"","parse-names":false,"suffix":""},{"dropping-particle":"","family":"Baranowski","given":"Marcin","non-dropping-particle":"","parse-names":false,"suffix":""},{"dropping-particle":"","family":"Serafin-Tkaczuk","given":"Monika","non-dropping-particle":"","parse-names":false,"suffix":""},{"dropping-particle":"","family":"Magdziarz","given":"Aneta","non-dropping-particle":"","parse-names":false,"suffix":""},{"dropping-particle":"","family":"Niedźwiecki","given":"Łukasz","non-dropping-particle":"","parse-names":false,"suffix":""}],"container-title":"ECOS 2019 - Proceedings of the 32nd International Conference on Efficiency, Cost, Optimization, Simulation and Environmental Impact of Energy Systems","id":"ITEM-1","issued":{"date-parts":[["2019"]]},"title":"Structural and energetic properties of hydrochars obtained from agricultural and municipal solid waste digestates","type":"paper-conference"},"uris":["http://www.mendeley.com/documents/?uuid=5800eda8-496d-4c2f-a2dd-d4b2b48be969"]}],"mendeley":{"formattedCitation":"(Pawlak-Kruczek et al., 2019)","plainTextFormattedCitation":"(Pawlak-Kruczek et al., 2019)","previouslyFormattedCitation":"(Lucian et al., 2018)"},"properties":{"noteIndex":0},"schema":"https://github.com/citation-style-language/schema/raw/master/csl-citation.json"}</w:instrText>
      </w:r>
      <w:r w:rsidR="0065658E">
        <w:fldChar w:fldCharType="separate"/>
      </w:r>
      <w:r w:rsidR="006D5197" w:rsidRPr="006D5197">
        <w:rPr>
          <w:noProof/>
        </w:rPr>
        <w:t>(Pawlak-Kruczek et al., 2019)</w:t>
      </w:r>
      <w:r w:rsidR="0065658E">
        <w:fldChar w:fldCharType="end"/>
      </w:r>
      <w:r w:rsidR="0065658E">
        <w:t xml:space="preserve">, </w:t>
      </w:r>
      <w:r w:rsidR="00BD5954">
        <w:t xml:space="preserve">agro-waste </w:t>
      </w:r>
      <w:r w:rsidR="00BD5954">
        <w:fldChar w:fldCharType="begin" w:fldLock="1"/>
      </w:r>
      <w:r w:rsidR="00803596">
        <w:instrText>ADDIN CSL_CITATION {"citationItems":[{"id":"ITEM-1","itemData":{"DOI":"10.1016/j.biortech.2021.124765","ISSN":"0960-8524","author":[{"dropping-particle":"","family":"Lin","given":"Jui-chun","non-dropping-particle":"","parse-names":false,"suffix":""},{"dropping-particle":"","family":"Mariuzza","given":"Dylan","non-dropping-particle":"","parse-names":false,"suffix":""},{"dropping-particle":"","family":"Volpe","given":"Maurizio","non-dropping-particle":"","parse-names":false,"suffix":""},{"dropping-particle":"","family":"Fiori","given":"Luca","non-dropping-particle":"","parse-names":false,"suffix":""},{"dropping-particle":"","family":"Ceylan","given":"Selim","non-dropping-particle":"","parse-names":false,"suffix":""},{"dropping-particle":"","family":"Goldfarb","given":"L","non-dropping-particle":"","parse-names":false,"suffix":""}],"container-title":"Bioresource Technology","id":"ITEM-1","issue":"December 2020","issued":{"date-parts":[["2021"]]},"page":"124765","publisher":"Elsevier Ltd","title":"Integrated thermochemical conversion process for valorizing mixed agricultural and dairy waste to nutrient-enriched biochars and biofuels","type":"article-journal","volume":"328"},"uris":["http://www.mendeley.com/documents/?uuid=af8fe385-9593-4b4c-94cf-7a2d81e30b7d"]}],"mendeley":{"formattedCitation":"(Lin et al., 2021)","plainTextFormattedCitation":"(Lin et al., 2021)","previouslyFormattedCitation":"(Lin et al., 2021)"},"properties":{"noteIndex":0},"schema":"https://github.com/citation-style-language/schema/raw/master/csl-citation.json"}</w:instrText>
      </w:r>
      <w:r w:rsidR="00BD5954">
        <w:fldChar w:fldCharType="separate"/>
      </w:r>
      <w:r w:rsidR="00803596" w:rsidRPr="00803596">
        <w:rPr>
          <w:noProof/>
        </w:rPr>
        <w:t>(Lin et al., 2021)</w:t>
      </w:r>
      <w:r w:rsidR="00BD5954">
        <w:fldChar w:fldCharType="end"/>
      </w:r>
      <w:r w:rsidR="00BD5954">
        <w:t xml:space="preserve"> and </w:t>
      </w:r>
      <w:r>
        <w:t xml:space="preserve">agro-industrial </w:t>
      </w:r>
      <w:r w:rsidR="0065658E">
        <w:t>residues</w:t>
      </w:r>
      <w:r w:rsidR="006A2B78">
        <w:t xml:space="preserve"> </w:t>
      </w:r>
      <w:r w:rsidR="00BD5954">
        <w:fldChar w:fldCharType="begin" w:fldLock="1"/>
      </w:r>
      <w:r w:rsidR="00803596">
        <w:instrText>ADDIN CSL_CITATION {"citationItems":[{"id":"ITEM-1","itemData":{"DOI":"10.1016/j.jaap.2014.11.004","ISBN":"0165-2370","ISSN":"01652370","abstract":"Abstract This work focuses in the application of the hydrothermal carbonization (HTC) technology as a possible moist agro-industrial waste management treatment. Through this technique, olive mill, canned artichoke and orange wastes (OMW, CAW and OJW, respectively) were carbonized in a lab-scale high pressure reactor at different temperatures (200-250 °C) and durations (2, 4, 8 and 24 h) in order to obtain useful bioenergy feedstocks. The effect of the residence time and temperature on the properties of the bio-char obtained was studied through different characterization techniques. Material and energy balances were also performed to determine the potential energy saving of hydrothermal carbonization versus dry thermal treatments like torrefaction (TF). It is found that the moisture content of HTC-hydro-chars decreases as the temperature and duration increase, which implies that wet biomass can be upgraded and, at the same time, dewatered through HTC. The best results are found for the OMW, whose moisture content decreases from over 70% to less than 30% for the experiments carried out under the more severe conditions. Consequently, it is be possible to reach energy savings over 50% by using HTC instead of TF technologies. Regarding the hydro-char properties, the hydrothermal carbonization of the three organic wastes treated leaded to hydro-chars that present carbon contents and heating values closed to those of brown coal and great energy densifications, depending on the type of waste. Accordingly, it can be concluded that it is feasible to manage moist agro-industrial wastes via HTC, which is ostensibly more efficient than TF in terms of energy consumption.","author":[{"dropping-particle":"","family":"Benavente","given":"Verónica","non-dropping-particle":"","parse-names":false,"suffix":""},{"dropping-particle":"","family":"Calabuig","given":"Emilio","non-dropping-particle":"","parse-names":false,"suffix":""},{"dropping-particle":"","family":"Fullana","given":"Andres","non-dropping-particle":"","parse-names":false,"suffix":""}],"container-title":"Journal of Analytical and Applied Pyrolysis","id":"ITEM-1","issued":{"date-parts":[["2015"]]},"page":"89-98","publisher":"Elsevier B.V.","title":"Upgrading of moist agro-industrial wastes by hydrothermal carbonization","type":"article-journal","volume":"113"},"uris":["http://www.mendeley.com/documents/?uuid=c4370186-159d-47e8-9444-c97518a3be99"]}],"mendeley":{"formattedCitation":"(Benavente et al., 2015)","plainTextFormattedCitation":"(Benavente et al., 2015)","previouslyFormattedCitation":"(Benavente et al., 2015)"},"properties":{"noteIndex":0},"schema":"https://github.com/citation-style-language/schema/raw/master/csl-citation.json"}</w:instrText>
      </w:r>
      <w:r w:rsidR="00BD5954">
        <w:fldChar w:fldCharType="separate"/>
      </w:r>
      <w:r w:rsidR="00803596" w:rsidRPr="00803596">
        <w:rPr>
          <w:noProof/>
        </w:rPr>
        <w:t>(Benavente et al., 2015)</w:t>
      </w:r>
      <w:r w:rsidR="00BD5954">
        <w:fldChar w:fldCharType="end"/>
      </w:r>
      <w:r>
        <w:t xml:space="preserve">, hydrothermal carbonization (HTC) demonstrated to be one of the most promising. </w:t>
      </w:r>
      <w:r w:rsidR="005A2C48">
        <w:t xml:space="preserve">HTC is a wet thermochemical process carried out </w:t>
      </w:r>
      <w:r w:rsidR="002A0775">
        <w:t>at</w:t>
      </w:r>
      <w:r w:rsidR="005A2C48">
        <w:t xml:space="preserve"> sub-critical water condition</w:t>
      </w:r>
      <w:r w:rsidR="00F83931">
        <w:t>s</w:t>
      </w:r>
      <w:r w:rsidR="005A2C48">
        <w:t xml:space="preserve"> where high moisture organic residue</w:t>
      </w:r>
      <w:r w:rsidR="00C31E30">
        <w:t>s</w:t>
      </w:r>
      <w:r w:rsidR="005A2C48">
        <w:t xml:space="preserve"> are treated at temperatures between 180-250 °C and corresponding saturated water pressure of 10-50 bars. </w:t>
      </w:r>
      <w:r>
        <w:t xml:space="preserve"> </w:t>
      </w:r>
      <w:r w:rsidR="005A2C48">
        <w:t>During HTC</w:t>
      </w:r>
      <w:r w:rsidR="002A0775">
        <w:t>,</w:t>
      </w:r>
      <w:r w:rsidR="005A2C48">
        <w:t xml:space="preserve"> water acts as a catalyst promoting hydrolyzation, dehydration</w:t>
      </w:r>
      <w:r w:rsidR="006D5197">
        <w:t>,</w:t>
      </w:r>
      <w:r w:rsidR="005A2C48">
        <w:t xml:space="preserve"> and decarboxylation reactions</w:t>
      </w:r>
      <w:r w:rsidR="00BD5954">
        <w:t xml:space="preserve"> </w:t>
      </w:r>
      <w:r w:rsidR="00BD5954">
        <w:fldChar w:fldCharType="begin" w:fldLock="1"/>
      </w:r>
      <w:r w:rsidR="00803596">
        <w:instrText>ADDIN CSL_CITATION {"citationItems":[{"id":"ITEM-1","itemData":{"DOI":"10.1016/j.supflu.2014.09.038","ISSN":"08968446","author":[{"dropping-particle":"","family":"Kruse","given":"Andrea","non-dropping-particle":"","parse-names":false,"suffix":""},{"dropping-particle":"","family":"Dahmen","given":"Nicolaus","non-dropping-particle":"","parse-names":false,"suffix":""}],"container-title":"The Journal of Supercritical Fluids","id":"ITEM-1","issued":{"date-parts":[["2015"]]},"page":"36-45","title":"Water - A magic solvent for biomass conversion","type":"article-journal","volume":"96"},"uris":["http://www.mendeley.com/documents/?uuid=326bbf60-16e1-4859-8097-c485680e46a8"]}],"mendeley":{"formattedCitation":"(Kruse and Dahmen, 2015)","plainTextFormattedCitation":"(Kruse and Dahmen, 2015)","previouslyFormattedCitation":"(Kruse and Dahmen, 2015)"},"properties":{"noteIndex":0},"schema":"https://github.com/citation-style-language/schema/raw/master/csl-citation.json"}</w:instrText>
      </w:r>
      <w:r w:rsidR="00BD5954">
        <w:fldChar w:fldCharType="separate"/>
      </w:r>
      <w:r w:rsidR="00803596" w:rsidRPr="00803596">
        <w:rPr>
          <w:noProof/>
        </w:rPr>
        <w:t>(Kruse and Dahmen, 2015)</w:t>
      </w:r>
      <w:r w:rsidR="00BD5954">
        <w:fldChar w:fldCharType="end"/>
      </w:r>
      <w:r w:rsidR="005A2C48">
        <w:t xml:space="preserve"> leading to a solid residue </w:t>
      </w:r>
      <w:r w:rsidR="006A2B78">
        <w:t>showing</w:t>
      </w:r>
      <w:r w:rsidR="005A2C48">
        <w:t xml:space="preserve"> an enhanced degree of carbonization</w:t>
      </w:r>
      <w:r w:rsidR="004311C6">
        <w:t xml:space="preserve"> </w:t>
      </w:r>
      <w:r w:rsidR="004311C6">
        <w:fldChar w:fldCharType="begin" w:fldLock="1"/>
      </w:r>
      <w:r w:rsidR="00803596">
        <w:instrText>ADDIN CSL_CITATION {"citationItems":[{"id":"ITEM-1","itemData":{"DOI":"10.5071/25thEUBCE2017-3DO.3.4","abstract":"Efficient digestate management from anaerobic digestion (AD) is one of the most important priorities for medium term bioenergy and bioproducts field development. Carbonized solid digestate results to be a sterilized and easily transportable value-added product: the so-called biochar. In this study, two digestate carbonization processes have been tested in lab and pilot-scale at different process conditions: slow pyrolysis carbonization and hydrothermal carbonization (HTC). The digestate came from an AD plant located in Italy, fed mainly with barley silage and, in smaller quantities, wheat and herbaceous silage and poultry manure. The digestate had a moisture content of 72.6 % w.b. w/w. The slow pyrolysis was carried out, with the feedstock dried at 75 °C for 48h, in a 1.5 kg h -1 plant, with a heating rate of about 7 °C min -1 to reach the maximum process temperature of 500 °C, which was maintained for 1 h. HTC, instead, is a technology capable of directly exploiting the digestate high water content. HTC experiments were carried out in a 27 ml micro-reactor, testing different temperatures and residence times (200-250 °C and 0.5-3 h, respectively). Yields and characteristics of the products were analyzed and discussed. Some char properties were also compared to European and International biochar standards.","author":[{"dropping-particle":"","family":"Miliotti","given":"Edoardo","non-dropping-particle":"","parse-names":false,"suffix":""},{"dropping-particle":"","family":"Casini","given":"David","non-dropping-particle":"","parse-names":false,"suffix":""},{"dropping-particle":"","family":"Lotti","given":"Giulia","non-dropping-particle":"","parse-names":false,"suffix":""},{"dropping-particle":"","family":"Bettucci","given":"Lorenzo","non-dropping-particle":"","parse-names":false,"suffix":""},{"dropping-particle":"","family":"Pennazzi","given":"Silvia","non-dropping-particle":"","parse-names":false,"suffix":""},{"dropping-particle":"","family":"Rizzo","given":"Andrea Maria","non-dropping-particle":"","parse-names":false,"suffix":""},{"dropping-particle":"","family":"Chiaramonti","given":"David","non-dropping-particle":"","parse-names":false,"suffix":""}],"container-title":"25th European Biomass Conference and Exhibition","id":"ITEM-1","issue":"June","issued":{"date-parts":[["2017"]]},"page":"1063 - 1069","title":"Valorization of solid residues from anaerobic digestion through thermal and hydrothermal carbonization process","type":"article-journal"},"uris":["http://www.mendeley.com/documents/?uuid=35f1f0df-8f4f-4a32-be97-5055ad4d68d5"]}],"mendeley":{"formattedCitation":"(Miliotti et al., 2017)","plainTextFormattedCitation":"(Miliotti et al., 2017)","previouslyFormattedCitation":"(Miliotti et al., 2017)"},"properties":{"noteIndex":0},"schema":"https://github.com/citation-style-language/schema/raw/master/csl-citation.json"}</w:instrText>
      </w:r>
      <w:r w:rsidR="004311C6">
        <w:fldChar w:fldCharType="separate"/>
      </w:r>
      <w:r w:rsidR="00803596" w:rsidRPr="00803596">
        <w:rPr>
          <w:noProof/>
        </w:rPr>
        <w:t>(Miliotti et al., 2017)</w:t>
      </w:r>
      <w:r w:rsidR="004311C6">
        <w:fldChar w:fldCharType="end"/>
      </w:r>
      <w:r w:rsidR="006A2B78">
        <w:t>, high energy density</w:t>
      </w:r>
      <w:r w:rsidR="00DA0CCA">
        <w:t xml:space="preserve">, </w:t>
      </w:r>
      <w:r w:rsidR="005A2C48">
        <w:t xml:space="preserve">hydrophobicity </w:t>
      </w:r>
      <w:r w:rsidR="00A34D6C">
        <w:fldChar w:fldCharType="begin" w:fldLock="1"/>
      </w:r>
      <w:r w:rsidR="00803596">
        <w:instrText>ADDIN CSL_CITATION {"citationItems":[{"id":"ITEM-1","itemData":{"DOI":"https://doi.org/10.1016/j.rser.2020.109761","ISSN":"1364-0321","abstract":"The energy demand of the world is expected to reach 739 quadrillions BTU in 2040, which therefore demand for exploring more alternative source of renewable energy. Waste biomass though vast in reserve for generating renewable energy has its own downside. High moisture, fibrous nature, high bulk volume, hydrophilic nature and low calorific value are some of the inferior quality of waste biomass which creates bottleneck for easy renewable energy generation. Pre-treatment of biomass to overcome these challenges has created a new research interest. Among the treatment options available, the hydrothermal carbonization (HTC) method, which can process wet waste has become the most preferred choice among researchers recently. The HTC eliminates energy-intensive pre-drying process needed for other treatment methods such as pyrolysis, dry torrefaction and incineration. Through this article, we attempt to provide a detailed review of how renewable biomass can be effectively used to produce renewable energy by improving their inherent inferior characteristics. The review also highlights bottlenecks that constrain the deployment of renewable energy using HTC methods. The scope of further research direction is well identified in this review. The paper also present recent advancements which are filling the knowledge gap of HTC technology that were there earlier. Critical analysis of microwave assisted HTC and conventional heated HTC is also presented in this review. The analysis in this paper reveals that biomass is a valuable resource, and should be explored to take advantage of its renewable energy generation potential. The HTC method of biomass upgradation improves transport, storage and fuel characteristics by improving grindability, pellets durability, hydrophobicity, energy density, combustion behaviour and calorific value, and also helps in improving the environmental performance of solid fuel produced. Despite the fact that the technology is in the early stage of development and there still exist knowledge gap and shortcomings, the vast literature reviewed suggests that it has a potential of being future technology. Therefore, it needs further investigation which should fill existing shortcoming of the technology.","author":[{"dropping-particle":"","family":"Sharma","given":"Hari Bhakta","non-dropping-particle":"","parse-names":false,"suffix":""},{"dropping-particle":"","family":"Sarmah","given":"Ajit K","non-dropping-particle":"","parse-names":false,"suffix":""},{"dropping-particle":"","family":"Dubey","given":"Brajesh","non-dropping-particle":"","parse-names":false,"suffix":""}],"container-title":"Renewable and Sustainable Energy Reviews","id":"ITEM-1","issued":{"date-parts":[["2020"]]},"page":"109761","title":"Hydrothermal carbonization of renewable waste biomass for solid biofuel production: A discussion on process mechanism, the influence of process parameters, environmental performance and fuel properties of hydrochar","type":"article-journal","volume":"123"},"uris":["http://www.mendeley.com/documents/?uuid=e0da30e6-409e-4eda-8bec-b28b35d6662c"]}],"mendeley":{"formattedCitation":"(Sharma et al., 2020)","plainTextFormattedCitation":"(Sharma et al., 2020)","previouslyFormattedCitation":"(Sharma et al., 2020)"},"properties":{"noteIndex":0},"schema":"https://github.com/citation-style-language/schema/raw/master/csl-citation.json"}</w:instrText>
      </w:r>
      <w:r w:rsidR="00A34D6C">
        <w:fldChar w:fldCharType="separate"/>
      </w:r>
      <w:r w:rsidR="00803596" w:rsidRPr="00803596">
        <w:rPr>
          <w:noProof/>
        </w:rPr>
        <w:t>(Sharma et al., 2020)</w:t>
      </w:r>
      <w:r w:rsidR="00A34D6C">
        <w:fldChar w:fldCharType="end"/>
      </w:r>
      <w:r w:rsidR="00A34D6C">
        <w:t xml:space="preserve"> </w:t>
      </w:r>
      <w:r w:rsidR="00DA0CCA">
        <w:t xml:space="preserve">and adsorption properties toward organic water contaminants </w:t>
      </w:r>
      <w:r w:rsidR="00DA0CCA">
        <w:fldChar w:fldCharType="begin" w:fldLock="1"/>
      </w:r>
      <w:r w:rsidR="006D5197">
        <w:instrText>ADDIN CSL_CITATION {"citationItems":[{"id":"ITEM-1","itemData":{"DOI":"10.3390/en13184686","ISSN":"19961073","abstract":"With the increasing needs of clean water supplies, the use of biomass wastes and residues for environmental remediation is essential for environmental sustainability. In this study, the residues from winery and citrus juice industries, namely grape skin and orange peel, respectively, were first converted to hydrochars by hydrothermal carbonization (HTC) and then a cationic dye (methylene blue) adsorption was studied on hydrochars. Hydrochars from both feedstocks were produced at three different temperatures (180, 220, and 250 ◦C) and a fixed residence time (1 h) to evaluate the hydrochar’s performance on the dye adsorption. The hydrochars were characterized in terms of their pH, pH at point of zero charge (pHPZC), surface functionalities, and surface area. A batch adsorption study of the dye was carried out with variable adsorbate concentration, pH, and temperature. Two adsorption isotherms namely Langmuir and Freundlich models were fitted at 4, 20, and 36 ◦C. The thermodynamic properties of adsorption (Gibbs free energy (∆G), enthalpy (∆H) and entropy (∆S)) were evaluated from the isotherms fittings. Results showed that the dye adsorption on both hydrochars was significant and followed Langmuir isotherm. The maximum adsorption capacity on citrus waste hydrochar was higher than the winery waste hydrochar at any corresponding HTC temperature. Although hydrochars showed the lowest surface area (46.16 ± 0.11 and 34.08 ± 1.23 m2/g for citrus and winery wastes, respectively) at 180 ◦C, their adsorption was the highest, owing to their maximum density of total oxygen functional groups (23.24 ± 0.22 and 32.69 ± 1.39 µmol/m2 for citrus and winery wastes, respectively), which decreased with the increase in HTC temperature. This research shows a sustainable route for the production of highly effective adsorbent materials at lower HTC temperatures from citrus and winery wastes.","author":[{"dropping-particle":"","family":"Saha","given":"Nepu","non-dropping-particle":"","parse-names":false,"suffix":""},{"dropping-particle":"","family":"Volpe","given":"Maurizio","non-dropping-particle":"","parse-names":false,"suffix":""},{"dropping-particle":"","family":"Fiori","given":"Luca","non-dropping-particle":"","parse-names":false,"suffix":""},{"dropping-particle":"","family":"Volpe","given":"Roberto","non-dropping-particle":"","parse-names":false,"suffix":""},{"dropping-particle":"","family":"Messineo","given":"Antonio","non-dropping-particle":"","parse-names":false,"suffix":""},{"dropping-particle":"","family":"Reza","given":"M. Toufiq","non-dropping-particle":"","parse-names":false,"suffix":""}],"container-title":"Energies","id":"ITEM-1","issue":"18","issued":{"date-parts":[["2020"]]},"page":"1-16","title":"Cationic dye adsorption on hydrochars of winery and citrus juice industries residues: Performance, mechanism, and thermodynamics","type":"article-journal","volume":"13"},"uris":["http://www.mendeley.com/documents/?uuid=ea3e2c89-c7de-4d22-b1a0-a2959494309f"]}],"mendeley":{"formattedCitation":"(Saha et al., 2020)","plainTextFormattedCitation":"(Saha et al., 2020)","previouslyFormattedCitation":"(Saha et al., 2020)"},"properties":{"noteIndex":0},"schema":"https://github.com/citation-style-language/schema/raw/master/csl-citation.json"}</w:instrText>
      </w:r>
      <w:r w:rsidR="00DA0CCA">
        <w:fldChar w:fldCharType="separate"/>
      </w:r>
      <w:r w:rsidR="00DA0CCA" w:rsidRPr="00DA0CCA">
        <w:rPr>
          <w:noProof/>
        </w:rPr>
        <w:t>(Saha et al., 2020)</w:t>
      </w:r>
      <w:r w:rsidR="00DA0CCA">
        <w:fldChar w:fldCharType="end"/>
      </w:r>
      <w:r w:rsidR="00DA0CCA">
        <w:t>. HTC process produces also a considerable amount of</w:t>
      </w:r>
      <w:r w:rsidR="005A2C48">
        <w:t xml:space="preserve"> a</w:t>
      </w:r>
      <w:r w:rsidR="0065658E">
        <w:t>n</w:t>
      </w:r>
      <w:r w:rsidR="005A2C48">
        <w:t xml:space="preserve"> aqueous liquid </w:t>
      </w:r>
      <w:r w:rsidR="005A2C48" w:rsidRPr="00824777">
        <w:t>residue</w:t>
      </w:r>
      <w:r w:rsidR="002A0775" w:rsidRPr="00824777">
        <w:t>,</w:t>
      </w:r>
      <w:r w:rsidR="005A2C48" w:rsidRPr="00824777">
        <w:t xml:space="preserve"> with increased organic carbon </w:t>
      </w:r>
      <w:r w:rsidR="002A0775" w:rsidRPr="00824777">
        <w:t xml:space="preserve">content, </w:t>
      </w:r>
      <w:r w:rsidR="005A2C48" w:rsidRPr="00824777">
        <w:t>suitable for</w:t>
      </w:r>
      <w:r w:rsidR="00270FFD" w:rsidRPr="00824777">
        <w:t xml:space="preserve"> </w:t>
      </w:r>
      <w:r w:rsidR="00E01416">
        <w:t xml:space="preserve">biogas </w:t>
      </w:r>
      <w:r w:rsidR="00BD5954" w:rsidRPr="00824777">
        <w:t>production when recircul</w:t>
      </w:r>
      <w:r w:rsidR="00BD5954">
        <w:t xml:space="preserve">ated in an anaerobic digestion plant </w:t>
      </w:r>
      <w:r w:rsidR="006A2B78">
        <w:fldChar w:fldCharType="begin" w:fldLock="1"/>
      </w:r>
      <w:r w:rsidR="00803596">
        <w:instrText>ADDIN CSL_CITATION {"citationItems":[{"id":"ITEM-1","itemData":{"DOI":"10.1016/j.jenvman.2018.10.031","ISSN":"10958630","abstract":"The mesophilic anaerobic co-digestion of the liquid fraction from hydrothermal carbonization (LFHTC) of dewatered waste activated sludge with primary sewage sludge (PSS) has been studied. Mixtures of different composition (25, 50 and 75% of LFHTC on a chemical oxygen demand (COD) basis), as well as the individual substrates, have been tested using two inocula (flocculent (FS) and granular (GS) sludges). Methane production decreased as the LFHTC/PSS ratio increased, which can be related to the presence of recalcitrant compounds in the LFHTC, such as alkenes, phenolics, and other oxygen- and nitrogen-bearing aromatics hard-to-degrade through anaerobic digestion. Methane yield reached 248 ± 11 mL CH4 STP/g CODadded with the GS inoculum and 25% LFHTC. A 74 and a 30% increase of methane production was achieved in the 25% LFHTC runs respect to the obtained in the similar experiments with 100% LFHTC, using the FS and GS inocula, respectively. In those late runs, the COD was reduced more than 86%, with a negligible concentration of total volatile fatty acids. With both inocula, total Kjeldahl nitrogen hydrolysis increased as the LFHTC to PSS mixture ratio decreased, reaching values higher than 79% at the end of the experiments. Methane yield values fitted well the first-order, Cone and Weibull kinetic models for both inocula. Significant differences in the kinetic constant values, ranging from 0.100 to 0.168 d−1 and 0.059–0.068 d−1, were found with the FS and GS inocula, respectively. The results obtained support the potential integration of HTC of dewatered waste activated sludge in wastewater treatment plants.","author":[{"dropping-particle":"","family":"Villamil","given":"John A.","non-dropping-particle":"","parse-names":false,"suffix":""},{"dropping-particle":"","family":"Mohedano","given":"Angel F.","non-dropping-particle":"","parse-names":false,"suffix":""},{"dropping-particle":"","family":"Rodriguez","given":"Juan J.","non-dropping-particle":"","parse-names":false,"suffix":""},{"dropping-particle":"","family":"la Rubia","given":"M. A.","non-dropping-particle":"De","parse-names":false,"suffix":""}],"container-title":"Journal of Environmental Management","id":"ITEM-1","issue":"November 2018","issued":{"date-parts":[["2019"]]},"page":"726-733","publisher":"Elsevier","title":"Anaerobic co-digestion of the aqueous phase from hydrothermally treated waste activated sludge with primary sewage sludge. A kinetic study","type":"article-journal","volume":"231"},"uris":["http://www.mendeley.com/documents/?uuid=1a6d3e0d-3e85-4fb7-a02f-0d4de1fbe6fb"]}],"mendeley":{"formattedCitation":"(Villamil et al., 2019)","plainTextFormattedCitation":"(Villamil et al., 2019)","previouslyFormattedCitation":"(Villamil et al., 2019)"},"properties":{"noteIndex":0},"schema":"https://github.com/citation-style-language/schema/raw/master/csl-citation.json"}</w:instrText>
      </w:r>
      <w:r w:rsidR="006A2B78">
        <w:fldChar w:fldCharType="separate"/>
      </w:r>
      <w:r w:rsidR="00803596" w:rsidRPr="007B2506">
        <w:rPr>
          <w:noProof/>
        </w:rPr>
        <w:t>(Villamil et al., 2019)</w:t>
      </w:r>
      <w:r w:rsidR="006A2B78">
        <w:fldChar w:fldCharType="end"/>
      </w:r>
      <w:r w:rsidR="006A2B78" w:rsidRPr="007B2506">
        <w:t>.</w:t>
      </w:r>
    </w:p>
    <w:p w14:paraId="16A24EAE" w14:textId="28E5B4D4" w:rsidR="004311C6" w:rsidRDefault="004311C6" w:rsidP="007872DA">
      <w:pPr>
        <w:pStyle w:val="CETBodytext"/>
      </w:pPr>
      <w:r>
        <w:t>Despite the high and growi</w:t>
      </w:r>
      <w:r w:rsidR="00B800A7">
        <w:t xml:space="preserve">ng attention for HTC technology and its recognized efficiency and economic viability for upgrading wet waste biomass effluents </w:t>
      </w:r>
      <w:r w:rsidR="00B800A7">
        <w:fldChar w:fldCharType="begin" w:fldLock="1"/>
      </w:r>
      <w:r w:rsidR="00D35FEF">
        <w:instrText>ADDIN CSL_CITATION {"citationItems":[{"id":"ITEM-1","itemData":{"DOI":"10.1016/j.biombioe.2020.105593","ISSN":"18732909","abstract":"Carbonization of anaerobic digestion digestate from an Italian plant fed with local feedstock was investigated by slow pyrolysis (SP) and hydrothermal carbonization (HTC); the properties of pyrochar and hydrochar were compared and framed into the International guidelines for soil improvers/amendments in agriculture. Experiments were carried out in newly designed thermochemical conversion systems, with the aim of generating the original data necessary for future scale-up and for evaluating the characteristics of the product versus existing biochar market standards. SP was carried out in a paddle pyrolysis reactor at 500 °C for 1 h, while several HTC experiments were performed in a custom-made test bench, investigating the influence of temperature (200–250 °C) and time (0.5–3 h) on hydrochar properties. Both processes were run in batch mode. SP showed lower char yield (33.1%w/w db), while the maximum hydrochar yield was obtained at 200°C-0.5 h (72.6%w/w db). Most char properties fall within the thresholds set by biochar standards. The Carbon content was slightly higher for pyrochar (64.3%w/w db) than hydrochar (62.9%w/w db at 250°C-3 h). The specific area was rather low for both chars; however, pyrochar area (23.10 m2 g−1), was one order of magnitude higher than hydrochar. The ash content of pyrochar was nearly twice the hydrochar, while O/C and H/C ratio of the former were lower. The HTC aqueous phase was also characterized in terms of inorganics concentration and organic composition. In average, the concentration of the former increased with reaction severity: more than 50 compounds were identified and 20 quantified. Acetic acid was the most abundant (up to 3.26 g l−1).","author":[{"dropping-particle":"","family":"Miliotti","given":"Edoardo","non-dropping-particle":"","parse-names":false,"suffix":""},{"dropping-particle":"","family":"Casini","given":"David","non-dropping-particle":"","parse-names":false,"suffix":""},{"dropping-particle":"","family":"Rosi","given":"Luca","non-dropping-particle":"","parse-names":false,"suffix":""},{"dropping-particle":"","family":"Lotti","given":"Giulia","non-dropping-particle":"","parse-names":false,"suffix":""},{"dropping-particle":"","family":"Rizzo","given":"Andrea Maria","non-dropping-particle":"","parse-names":false,"suffix":""},{"dropping-particle":"","family":"Chiaramonti","given":"David","non-dropping-particle":"","parse-names":false,"suffix":""}],"container-title":"Biomass and Bioenergy","id":"ITEM-1","issue":"November 2019","issued":{"date-parts":[["2020"]]},"page":"105593","publisher":"Elsevier Ltd","title":"Lab-scale pyrolysis and hydrothermal carbonization of biomass digestate: Characterization of solid products and compliance with biochar standards","type":"article-journal","volume":"139"},"uris":["http://www.mendeley.com/documents/?uuid=994a804d-fe2e-4566-9cfb-c8122ffb6a5b"]}],"mendeley":{"formattedCitation":"(Miliotti et al., 2020)","plainTextFormattedCitation":"(Miliotti et al., 2020)","previouslyFormattedCitation":"(Miliotti et al., 2020)"},"properties":{"noteIndex":0},"schema":"https://github.com/citation-style-language/schema/raw/master/csl-citation.json"}</w:instrText>
      </w:r>
      <w:r w:rsidR="00B800A7">
        <w:fldChar w:fldCharType="separate"/>
      </w:r>
      <w:r w:rsidR="00D84997" w:rsidRPr="00D84997">
        <w:rPr>
          <w:noProof/>
        </w:rPr>
        <w:t>(Miliotti et al., 2020)</w:t>
      </w:r>
      <w:r w:rsidR="00B800A7">
        <w:fldChar w:fldCharType="end"/>
      </w:r>
      <w:r w:rsidR="00B800A7">
        <w:t xml:space="preserve">, </w:t>
      </w:r>
      <w:r>
        <w:t xml:space="preserve"> just few studies have focused on up-scaling of the process </w:t>
      </w:r>
      <w:r w:rsidR="00E21C08">
        <w:fldChar w:fldCharType="begin" w:fldLock="1"/>
      </w:r>
      <w:r w:rsidR="00E21C08">
        <w:instrText>ADDIN CSL_CITATION {"citationItems":[{"id":"ITEM-1","itemData":{"DOI":"10.1002/9781118622179.ch9","ISBN":"9781119975397","author":[{"dropping-particle":"","family":"Kruse","given":"Andrea","non-dropping-particle":"","parse-names":false,"suffix":""},{"dropping-particle":"","family":"Baris","given":"Daniela","non-dropping-particle":"","parse-names":false,"suffix":""},{"dropping-particle":"","family":"Tröger","given":"Nicole","non-dropping-particle":"","parse-names":false,"suffix":""},{"dropping-particle":"","family":"Wieczorek","given":"Peter","non-dropping-particle":"","parse-names":false,"suffix":""}],"container-title":"Sustainable Carbon Materials from Hydrothermal Processes","id":"ITEM-1","issued":{"date-parts":[["2013"]]},"page":"341-353","title":"Scale-Up in Hydrothermal Carbonization","type":"chapter"},"uris":["http://www.mendeley.com/documents/?uuid=dcf90712-4fdb-458e-abae-223356f6576f"]},{"id":"ITEM-2","itemData":{"author":[{"dropping-particle":"","family":"Child","given":"Michael","non-dropping-particle":"","parse-names":false,"suffix":""}],"id":"ITEM-2","issue":"June","issued":{"date-parts":[["2014"]]},"publisher":"Lappeenranta – Lahti University of Technology LU","title":"INDUSTRIAL-SCALE HYDROTHERMAL CARBONIZATION OF WASTE SLUDGE MATERIALS FOR FUEL PRODUCTION","type":"thesis"},"uris":["http://www.mendeley.com/documents/?uuid=1cdb29c6-cc74-43a0-9fed-b2e1f97a94e8"]}],"mendeley":{"formattedCitation":"(Child, 2014; Kruse et al., 2013)","plainTextFormattedCitation":"(Child, 2014; Kruse et al., 2013)","previouslyFormattedCitation":"(Child, 2014; Kruse et al., 2013)"},"properties":{"noteIndex":0},"schema":"https://github.com/citation-style-language/schema/raw/master/csl-citation.json"}</w:instrText>
      </w:r>
      <w:r w:rsidR="00E21C08">
        <w:fldChar w:fldCharType="separate"/>
      </w:r>
      <w:r w:rsidR="00E21C08" w:rsidRPr="00E21C08">
        <w:rPr>
          <w:noProof/>
        </w:rPr>
        <w:t>(Child, 2014; Kruse et al., 2013)</w:t>
      </w:r>
      <w:r w:rsidR="00E21C08">
        <w:fldChar w:fldCharType="end"/>
      </w:r>
      <w:r w:rsidR="00E21C08">
        <w:t xml:space="preserve"> </w:t>
      </w:r>
      <w:r>
        <w:t>and even less are the reported industrial scale applications</w:t>
      </w:r>
      <w:r w:rsidR="00C86D29">
        <w:t xml:space="preserve"> for forestry residues </w:t>
      </w:r>
      <w:r w:rsidR="00C86D29">
        <w:fldChar w:fldCharType="begin" w:fldLock="1"/>
      </w:r>
      <w:r w:rsidR="00C86D29">
        <w:instrText>ADDIN CSL_CITATION {"citationItems":[{"id":"ITEM-1","itemData":{"DOI":"10.1016/j.cattod.2014.09.024","ISSN":"09205861","author":[{"dropping-particle":"","family":"Hitzl","given":"Martin","non-dropping-particle":"","parse-names":false,"suffix":""},{"dropping-particle":"","family":"Corma","given":"Avelino","non-dropping-particle":"","parse-names":false,"suffix":""},{"dropping-particle":"","family":"Pomares","given":"Fernando","non-dropping-particle":"","parse-names":false,"suffix":""},{"dropping-particle":"","family":"Renz","given":"Michael","non-dropping-particle":"","parse-names":false,"suffix":""}],"container-title":"Catalysis Today","id":"ITEM-1","issued":{"date-parts":[["2015"]]},"page":"154-159","title":"The hydrothermal carbonization (HTC) plant as a decentral biorefinery for wet biomass","type":"article-journal","volume":"257"},"uris":["http://www.mendeley.com/documents/?uuid=853e2b27-2c41-4005-83bb-13d1f1d5efdf"]}],"mendeley":{"formattedCitation":"(Hitzl et al., 2015)","plainTextFormattedCitation":"(Hitzl et al., 2015)","previouslyFormattedCitation":"(Hitzl et al., 2015)"},"properties":{"noteIndex":0},"schema":"https://github.com/citation-style-language/schema/raw/master/csl-citation.json"}</w:instrText>
      </w:r>
      <w:r w:rsidR="00C86D29">
        <w:fldChar w:fldCharType="separate"/>
      </w:r>
      <w:r w:rsidR="00C86D29" w:rsidRPr="00C86D29">
        <w:rPr>
          <w:noProof/>
        </w:rPr>
        <w:t>(Hitzl et al., 2015)</w:t>
      </w:r>
      <w:r w:rsidR="00C86D29">
        <w:fldChar w:fldCharType="end"/>
      </w:r>
      <w:r w:rsidR="00C86D29">
        <w:t xml:space="preserve"> and agro-industrial digested sludge</w:t>
      </w:r>
      <w:r w:rsidR="00F80A12">
        <w:t xml:space="preserve"> </w:t>
      </w:r>
      <w:r w:rsidR="00E21C08">
        <w:fldChar w:fldCharType="begin" w:fldLock="1"/>
      </w:r>
      <w:r w:rsidR="001B38C4">
        <w:instrText>ADDIN CSL_CITATION {"citationItems":[{"id":"ITEM-1","itemData":{"DOI":"10.3390/su13169343","ISSN":"20711050","abstract":"Hydrothermal carbonization (HTC) provides an attractive alternative method for the treatment of high-moisture waste and, in particular, digested sludge. HTC could reduce the costs and environmental risks associated with sludge handling and management. Although it is recognized that the dewaterability of hydrochars produced from digested sludge, even at mild temperatures (180–190◦C), is highly improved with respect to the starting material, the filterability of HTC slurries for the recovery of the solid material (hydrochar) still represents a challenge. This study presents the results of an investigation into the filterability of agro-industrial digested sludge HTC slurries produced by a C-700 Carborem™ HTC industrial-scale plant. The filterability of HTC slurries, produced at 190◦C for 1 h, with the use of acid solutions of hydrochloric acid, sulfuric acid or citric acids, was investigated by using a semi-industrial filter press. The use of sulfuric acid or citric acid solutions, in particular, significantly improved the filterability of HTC slurries, reducing the time of filtration and residual moisture content. The acid treatment also promoted the migration of heavy metals and phosphorus (P) in the HTC filtrate solution. This study demonstrates that P can be recovered via the precipitation of struvite in high yields, recovering up to 85 wt% by mass of its initial P content.","author":[{"dropping-particle":"","family":"Lucian","given":"Michela","non-dropping-particle":"","parse-names":false,"suffix":""},{"dropping-particle":"","family":"Merzari","given":"Fabio","non-dropping-particle":"","parse-names":false,"suffix":""},{"dropping-particle":"","family":"Gubert","given":"Michele","non-dropping-particle":"","parse-names":false,"suffix":""},{"dropping-particle":"","family":"Messineo","given":"Antonio","non-dropping-particle":"","parse-names":false,"suffix":""},{"dropping-particle":"","family":"Volpe","given":"Maurizio","non-dropping-particle":"","parse-names":false,"suffix":""}],"container-title":"Sustainability","id":"ITEM-1","issue":"16","issued":{"date-parts":[["2021"]]},"page":"9343","title":"Industrial-Scale Hydrothermal Carbonization of Agro-Industrial Digested Sludge: Filterability Enhancement and Phosphorus Recovery","type":"article-journal","volume":"13"},"uris":["http://www.mendeley.com/documents/?uuid=d564ba13-1cba-49e5-9132-ca0e44174202"]}],"mendeley":{"formattedCitation":"(Lucian et al., 2021)","plainTextFormattedCitation":"(Lucian et al., 2021)","previouslyFormattedCitation":"(Lucian et al., 2021)"},"properties":{"noteIndex":0},"schema":"https://github.com/citation-style-language/schema/raw/master/csl-citation.json"}</w:instrText>
      </w:r>
      <w:r w:rsidR="00E21C08">
        <w:fldChar w:fldCharType="separate"/>
      </w:r>
      <w:r w:rsidR="00C86D29" w:rsidRPr="00C86D29">
        <w:rPr>
          <w:noProof/>
        </w:rPr>
        <w:t>(Lucian et al., 2021)</w:t>
      </w:r>
      <w:r w:rsidR="00E21C08">
        <w:fldChar w:fldCharType="end"/>
      </w:r>
      <w:r>
        <w:t>.</w:t>
      </w:r>
    </w:p>
    <w:p w14:paraId="47FB5E9A" w14:textId="68F96037" w:rsidR="0094245A" w:rsidRDefault="00F80A12" w:rsidP="007872DA">
      <w:pPr>
        <w:pStyle w:val="CETBodytext"/>
        <w:rPr>
          <w:color w:val="FF0000"/>
        </w:rPr>
      </w:pPr>
      <w:r>
        <w:lastRenderedPageBreak/>
        <w:t xml:space="preserve">The aim of the present </w:t>
      </w:r>
      <w:r w:rsidR="00C83AE6" w:rsidRPr="00F80A12">
        <w:t xml:space="preserve">study </w:t>
      </w:r>
      <w:r w:rsidR="007872DA" w:rsidRPr="00F80A12">
        <w:t>is to</w:t>
      </w:r>
      <w:r>
        <w:t xml:space="preserve"> report the main features of a novel continuous operating HTC industrial scale developed by Carborem srl named </w:t>
      </w:r>
      <w:r w:rsidR="00B00BBE">
        <w:t>C700</w:t>
      </w:r>
      <w:r>
        <w:t xml:space="preserve"> capable of treating up to 5 kton/year</w:t>
      </w:r>
      <w:r w:rsidR="00F00F2B">
        <w:t xml:space="preserve"> (corresponding to 0.7 ton/h)</w:t>
      </w:r>
      <w:r>
        <w:t xml:space="preserve"> of biomass waste effluents with a solid content ranging between </w:t>
      </w:r>
      <w:r w:rsidR="00B94DCC">
        <w:t>2</w:t>
      </w:r>
      <w:r>
        <w:t>-10 wt% at temperature as high as 2</w:t>
      </w:r>
      <w:r w:rsidR="00C31E30">
        <w:t>2</w:t>
      </w:r>
      <w:r>
        <w:t xml:space="preserve">0 °C and pressure up to 25 bars. Main properties of HTC solid and liquid residues produced by </w:t>
      </w:r>
      <w:r w:rsidR="00B00BBE">
        <w:t>C700</w:t>
      </w:r>
      <w:r>
        <w:t xml:space="preserve"> </w:t>
      </w:r>
      <w:r w:rsidR="007872DA" w:rsidRPr="00F80A12">
        <w:t xml:space="preserve">demonstrate </w:t>
      </w:r>
      <w:r w:rsidR="00B94DCC">
        <w:t>its</w:t>
      </w:r>
      <w:r>
        <w:t xml:space="preserve"> high performance and versatility</w:t>
      </w:r>
      <w:r w:rsidR="007872DA" w:rsidRPr="00F80A12">
        <w:rPr>
          <w:rFonts w:cs="Arial"/>
          <w:color w:val="191919"/>
          <w:shd w:val="clear" w:color="auto" w:fill="FFFFFF"/>
        </w:rPr>
        <w:t xml:space="preserve"> </w:t>
      </w:r>
      <w:r>
        <w:rPr>
          <w:rFonts w:cs="Arial"/>
          <w:color w:val="191919"/>
          <w:shd w:val="clear" w:color="auto" w:fill="FFFFFF"/>
        </w:rPr>
        <w:t>enhancing dewatering properties of hydrochars</w:t>
      </w:r>
      <w:r w:rsidR="00F83931">
        <w:rPr>
          <w:rFonts w:cs="Arial"/>
          <w:color w:val="191919"/>
          <w:shd w:val="clear" w:color="auto" w:fill="FFFFFF"/>
        </w:rPr>
        <w:t>. HTC</w:t>
      </w:r>
      <w:r w:rsidR="000E7CA4">
        <w:rPr>
          <w:rFonts w:cs="Arial"/>
          <w:color w:val="191919"/>
          <w:shd w:val="clear" w:color="auto" w:fill="FFFFFF"/>
        </w:rPr>
        <w:t xml:space="preserve"> thus reduc</w:t>
      </w:r>
      <w:r w:rsidR="00F83931">
        <w:rPr>
          <w:rFonts w:cs="Arial"/>
          <w:color w:val="191919"/>
          <w:shd w:val="clear" w:color="auto" w:fill="FFFFFF"/>
        </w:rPr>
        <w:t>es</w:t>
      </w:r>
      <w:r w:rsidR="000E7CA4">
        <w:rPr>
          <w:rFonts w:cs="Arial"/>
          <w:color w:val="191919"/>
          <w:shd w:val="clear" w:color="auto" w:fill="FFFFFF"/>
        </w:rPr>
        <w:t xml:space="preserve"> the volumes of waste to dispose</w:t>
      </w:r>
      <w:r>
        <w:rPr>
          <w:rFonts w:cs="Arial"/>
          <w:color w:val="191919"/>
          <w:shd w:val="clear" w:color="auto" w:fill="FFFFFF"/>
        </w:rPr>
        <w:t xml:space="preserve"> </w:t>
      </w:r>
      <w:r w:rsidR="000E7CA4">
        <w:rPr>
          <w:rFonts w:cs="Arial"/>
          <w:color w:val="191919"/>
          <w:shd w:val="clear" w:color="auto" w:fill="FFFFFF"/>
        </w:rPr>
        <w:t xml:space="preserve">while also </w:t>
      </w:r>
      <w:r>
        <w:rPr>
          <w:rFonts w:cs="Arial"/>
          <w:color w:val="191919"/>
          <w:shd w:val="clear" w:color="auto" w:fill="FFFFFF"/>
        </w:rPr>
        <w:t xml:space="preserve">offering the opportunity </w:t>
      </w:r>
      <w:r w:rsidR="001B319A">
        <w:rPr>
          <w:rFonts w:cs="Arial"/>
          <w:color w:val="191919"/>
          <w:shd w:val="clear" w:color="auto" w:fill="FFFFFF"/>
        </w:rPr>
        <w:t xml:space="preserve">of producing </w:t>
      </w:r>
      <w:r w:rsidR="000E7CA4">
        <w:rPr>
          <w:rFonts w:cs="Arial"/>
          <w:color w:val="191919"/>
          <w:shd w:val="clear" w:color="auto" w:fill="FFFFFF"/>
        </w:rPr>
        <w:t>a valuable product</w:t>
      </w:r>
      <w:r w:rsidR="001B319A">
        <w:rPr>
          <w:rFonts w:cs="Arial"/>
          <w:color w:val="191919"/>
          <w:shd w:val="clear" w:color="auto" w:fill="FFFFFF"/>
        </w:rPr>
        <w:t xml:space="preserve"> such </w:t>
      </w:r>
      <w:r w:rsidR="007872DA" w:rsidRPr="00F80A12">
        <w:rPr>
          <w:rFonts w:cs="Arial"/>
          <w:color w:val="191919"/>
          <w:shd w:val="clear" w:color="auto" w:fill="FFFFFF"/>
        </w:rPr>
        <w:t xml:space="preserve">as </w:t>
      </w:r>
      <w:r w:rsidR="00B94DCC">
        <w:rPr>
          <w:rFonts w:cs="Arial"/>
          <w:color w:val="191919"/>
          <w:shd w:val="clear" w:color="auto" w:fill="FFFFFF"/>
        </w:rPr>
        <w:t>an</w:t>
      </w:r>
      <w:r w:rsidR="007872DA" w:rsidRPr="00F80A12">
        <w:rPr>
          <w:rFonts w:cs="Arial"/>
          <w:color w:val="191919"/>
          <w:shd w:val="clear" w:color="auto" w:fill="FFFFFF"/>
        </w:rPr>
        <w:t xml:space="preserve"> organic fertilizer</w:t>
      </w:r>
      <w:r w:rsidR="001B319A">
        <w:rPr>
          <w:rFonts w:cs="Arial"/>
          <w:color w:val="191919"/>
          <w:shd w:val="clear" w:color="auto" w:fill="FFFFFF"/>
        </w:rPr>
        <w:t xml:space="preserve"> with high P content.</w:t>
      </w:r>
      <w:r w:rsidR="007872DA">
        <w:rPr>
          <w:color w:val="FF0000"/>
        </w:rPr>
        <w:t xml:space="preserve"> </w:t>
      </w:r>
      <w:bookmarkEnd w:id="0"/>
    </w:p>
    <w:p w14:paraId="1001A04D" w14:textId="3526B6B1" w:rsidR="00AD51B6" w:rsidRDefault="00AD51B6" w:rsidP="0094245A">
      <w:pPr>
        <w:pStyle w:val="CETHeading1"/>
      </w:pPr>
      <w:r w:rsidRPr="00AD51B6">
        <w:t>Materials and methods</w:t>
      </w:r>
    </w:p>
    <w:p w14:paraId="32C2D27B" w14:textId="4ACFEFC9" w:rsidR="008D7B34" w:rsidRPr="006F0319" w:rsidRDefault="008D7B34" w:rsidP="008D7B34">
      <w:pPr>
        <w:pStyle w:val="CETheadingx"/>
      </w:pPr>
      <w:r>
        <w:t>Material</w:t>
      </w:r>
      <w:r w:rsidR="001B319A">
        <w:t>s</w:t>
      </w:r>
    </w:p>
    <w:p w14:paraId="6DAA210D" w14:textId="77CC1A92" w:rsidR="008D7B34" w:rsidRDefault="001B319A" w:rsidP="00B66802">
      <w:pPr>
        <w:pStyle w:val="CETBodytext"/>
        <w:spacing w:line="276" w:lineRule="auto"/>
        <w:rPr>
          <w:lang w:val="en-GB"/>
        </w:rPr>
      </w:pPr>
      <w:r>
        <w:t>Three different waste effluent</w:t>
      </w:r>
      <w:r w:rsidR="008B5A82">
        <w:t>s</w:t>
      </w:r>
      <w:r>
        <w:t xml:space="preserve"> were treated in the continuous HTC plant: sewage</w:t>
      </w:r>
      <w:r w:rsidR="009E0706">
        <w:t xml:space="preserve"> </w:t>
      </w:r>
      <w:r>
        <w:t>sludge</w:t>
      </w:r>
      <w:r w:rsidR="009E0706">
        <w:t xml:space="preserve"> digestate</w:t>
      </w:r>
      <w:r w:rsidR="009533C5">
        <w:t xml:space="preserve"> (SSD)</w:t>
      </w:r>
      <w:r>
        <w:t xml:space="preserve">, organic fraction of municipal solid waste </w:t>
      </w:r>
      <w:r w:rsidR="00BB4E0B">
        <w:t>digestate</w:t>
      </w:r>
      <w:r w:rsidR="009533C5">
        <w:t xml:space="preserve"> (OFD)</w:t>
      </w:r>
      <w:r>
        <w:t xml:space="preserve"> and agro-industrial digestate</w:t>
      </w:r>
      <w:r w:rsidR="009533C5">
        <w:t xml:space="preserve"> (</w:t>
      </w:r>
      <w:r w:rsidR="006E1D34">
        <w:t>AWD</w:t>
      </w:r>
      <w:r w:rsidR="009533C5">
        <w:t>)</w:t>
      </w:r>
      <w:r>
        <w:t xml:space="preserve">.  </w:t>
      </w:r>
      <w:r w:rsidR="00BB4E0B">
        <w:rPr>
          <w:lang w:val="en-GB"/>
        </w:rPr>
        <w:t xml:space="preserve">All the substrates investigated in this study were treated as soon as received at the waste management plant for at least a 48 h in continuously operating mode.  </w:t>
      </w:r>
      <w:r w:rsidR="008B5A82">
        <w:rPr>
          <w:lang w:val="en-GB"/>
        </w:rPr>
        <w:t xml:space="preserve">The produced HTC residues (slurries) were collected </w:t>
      </w:r>
      <w:r w:rsidR="008B5A82" w:rsidRPr="009E0706">
        <w:rPr>
          <w:lang w:val="en-GB"/>
        </w:rPr>
        <w:t xml:space="preserve">in a </w:t>
      </w:r>
      <w:r w:rsidR="008B5A82" w:rsidRPr="0018663B">
        <w:rPr>
          <w:lang w:val="en-GB"/>
        </w:rPr>
        <w:t>1</w:t>
      </w:r>
      <w:r w:rsidR="009533C5" w:rsidRPr="0018663B">
        <w:rPr>
          <w:lang w:val="en-GB"/>
        </w:rPr>
        <w:t>1.3</w:t>
      </w:r>
      <w:r w:rsidR="008B5A82" w:rsidRPr="0018663B">
        <w:rPr>
          <w:lang w:val="en-GB"/>
        </w:rPr>
        <w:t xml:space="preserve"> m</w:t>
      </w:r>
      <w:r w:rsidR="008B5A82" w:rsidRPr="0018663B">
        <w:rPr>
          <w:vertAlign w:val="superscript"/>
          <w:lang w:val="en-GB"/>
        </w:rPr>
        <w:t>3</w:t>
      </w:r>
      <w:r w:rsidR="008B5A82">
        <w:rPr>
          <w:lang w:val="en-GB"/>
        </w:rPr>
        <w:t xml:space="preserve"> tank before centrifugation and/or analytical characterization. </w:t>
      </w:r>
      <w:r w:rsidR="0021735A">
        <w:rPr>
          <w:lang w:val="en-GB"/>
        </w:rPr>
        <w:t>A portion of each feedst</w:t>
      </w:r>
      <w:r w:rsidR="00BB4E0B">
        <w:rPr>
          <w:lang w:val="en-GB"/>
        </w:rPr>
        <w:t>ock and corresponding slurry were</w:t>
      </w:r>
      <w:r w:rsidR="0021735A">
        <w:rPr>
          <w:lang w:val="en-GB"/>
        </w:rPr>
        <w:t xml:space="preserve"> carefully sampled</w:t>
      </w:r>
      <w:r w:rsidR="00BB4E0B">
        <w:rPr>
          <w:lang w:val="en-GB"/>
        </w:rPr>
        <w:t xml:space="preserve"> and stored in sealed plastic containers kept at 4 °C before</w:t>
      </w:r>
      <w:r w:rsidR="0021735A">
        <w:rPr>
          <w:lang w:val="en-GB"/>
        </w:rPr>
        <w:t xml:space="preserve"> analytical characterizations</w:t>
      </w:r>
      <w:r w:rsidR="0059304A">
        <w:rPr>
          <w:lang w:val="en-GB"/>
        </w:rPr>
        <w:t xml:space="preserve">. </w:t>
      </w:r>
    </w:p>
    <w:p w14:paraId="5B3AE34A" w14:textId="71C47EE5" w:rsidR="000515F8" w:rsidRPr="006F0319" w:rsidRDefault="000515F8" w:rsidP="000515F8">
      <w:pPr>
        <w:pStyle w:val="CETheadingx"/>
      </w:pPr>
      <w:r>
        <w:t xml:space="preserve">Feedstock and </w:t>
      </w:r>
      <w:r w:rsidR="0021735A">
        <w:t>HTC residues</w:t>
      </w:r>
      <w:r>
        <w:t xml:space="preserve"> analytical characterization</w:t>
      </w:r>
    </w:p>
    <w:p w14:paraId="6579DB84" w14:textId="6C244CA5" w:rsidR="008B5A82" w:rsidRDefault="0021735A" w:rsidP="0021735A">
      <w:pPr>
        <w:pStyle w:val="MDPI31text"/>
        <w:ind w:firstLine="0"/>
        <w:rPr>
          <w:rFonts w:ascii="Arial" w:hAnsi="Arial"/>
          <w:snapToGrid/>
          <w:color w:val="auto"/>
          <w:sz w:val="18"/>
          <w:szCs w:val="20"/>
          <w:lang w:val="en-GB" w:eastAsia="en-US" w:bidi="ar-SA"/>
        </w:rPr>
      </w:pPr>
      <w:r w:rsidRPr="0021735A">
        <w:rPr>
          <w:rFonts w:ascii="Arial" w:hAnsi="Arial"/>
          <w:snapToGrid/>
          <w:color w:val="auto"/>
          <w:sz w:val="18"/>
          <w:szCs w:val="20"/>
          <w:lang w:val="en-GB" w:eastAsia="en-US" w:bidi="ar-SA"/>
        </w:rPr>
        <w:t xml:space="preserve">The total solid content </w:t>
      </w:r>
      <w:r w:rsidR="00EE6502">
        <w:rPr>
          <w:rFonts w:ascii="Arial" w:hAnsi="Arial"/>
          <w:snapToGrid/>
          <w:color w:val="auto"/>
          <w:sz w:val="18"/>
          <w:szCs w:val="20"/>
          <w:lang w:val="en-GB" w:eastAsia="en-US" w:bidi="ar-SA"/>
        </w:rPr>
        <w:t>of the feedstock and corresponding slurries were</w:t>
      </w:r>
      <w:r w:rsidRPr="0021735A">
        <w:rPr>
          <w:rFonts w:ascii="Arial" w:hAnsi="Arial"/>
          <w:snapToGrid/>
          <w:color w:val="auto"/>
          <w:sz w:val="18"/>
          <w:szCs w:val="20"/>
          <w:lang w:val="en-GB" w:eastAsia="en-US" w:bidi="ar-SA"/>
        </w:rPr>
        <w:t xml:space="preserve"> measured by the moisture analyzer DAB 100-3 60. The total nitrogen </w:t>
      </w:r>
      <w:r w:rsidR="002A0573">
        <w:rPr>
          <w:rFonts w:ascii="Arial" w:hAnsi="Arial"/>
          <w:snapToGrid/>
          <w:color w:val="auto"/>
          <w:sz w:val="18"/>
          <w:szCs w:val="20"/>
          <w:lang w:val="en-GB" w:eastAsia="en-US" w:bidi="ar-SA"/>
        </w:rPr>
        <w:t>was</w:t>
      </w:r>
      <w:r w:rsidRPr="0021735A">
        <w:rPr>
          <w:rFonts w:ascii="Arial" w:hAnsi="Arial"/>
          <w:snapToGrid/>
          <w:color w:val="auto"/>
          <w:sz w:val="18"/>
          <w:szCs w:val="20"/>
          <w:lang w:val="en-GB" w:eastAsia="en-US" w:bidi="ar-SA"/>
        </w:rPr>
        <w:t xml:space="preserve"> determined following the CNR IRSA 6 Q64 Vol.3 1985 method. The pH of hydrochar</w:t>
      </w:r>
      <w:r w:rsidR="00EE6502">
        <w:rPr>
          <w:rFonts w:ascii="Arial" w:hAnsi="Arial"/>
          <w:snapToGrid/>
          <w:color w:val="auto"/>
          <w:sz w:val="18"/>
          <w:szCs w:val="20"/>
          <w:lang w:val="en-GB" w:eastAsia="en-US" w:bidi="ar-SA"/>
        </w:rPr>
        <w:t>s</w:t>
      </w:r>
      <w:r w:rsidRPr="0021735A">
        <w:rPr>
          <w:rFonts w:ascii="Arial" w:hAnsi="Arial"/>
          <w:snapToGrid/>
          <w:color w:val="auto"/>
          <w:sz w:val="18"/>
          <w:szCs w:val="20"/>
          <w:lang w:val="en-GB" w:eastAsia="en-US" w:bidi="ar-SA"/>
        </w:rPr>
        <w:t xml:space="preserve"> was measured according to the CNR IRSA 1 Q 64 Vol 3 1985 + APAT CNR IRSA 2060 Man 29 2003 method, while the pH value of the liquid/slurry samples was measured with a portable LLG-pH meter 5. The total chemical oxygen demand (COD) of the HTC liquids </w:t>
      </w:r>
      <w:r w:rsidR="0033329A" w:rsidRPr="0021735A">
        <w:rPr>
          <w:rFonts w:ascii="Arial" w:hAnsi="Arial"/>
          <w:snapToGrid/>
          <w:color w:val="auto"/>
          <w:sz w:val="18"/>
          <w:szCs w:val="20"/>
          <w:lang w:val="en-GB" w:eastAsia="en-US" w:bidi="ar-SA"/>
        </w:rPr>
        <w:t>w</w:t>
      </w:r>
      <w:r w:rsidR="0033329A">
        <w:rPr>
          <w:rFonts w:ascii="Arial" w:hAnsi="Arial"/>
          <w:snapToGrid/>
          <w:color w:val="auto"/>
          <w:sz w:val="18"/>
          <w:szCs w:val="20"/>
          <w:lang w:val="en-GB" w:eastAsia="en-US" w:bidi="ar-SA"/>
        </w:rPr>
        <w:t>as</w:t>
      </w:r>
      <w:r w:rsidR="0033329A" w:rsidRPr="0021735A">
        <w:rPr>
          <w:rFonts w:ascii="Arial" w:hAnsi="Arial"/>
          <w:snapToGrid/>
          <w:color w:val="auto"/>
          <w:sz w:val="18"/>
          <w:szCs w:val="20"/>
          <w:lang w:val="en-GB" w:eastAsia="en-US" w:bidi="ar-SA"/>
        </w:rPr>
        <w:t xml:space="preserve"> </w:t>
      </w:r>
      <w:r w:rsidRPr="0021735A">
        <w:rPr>
          <w:rFonts w:ascii="Arial" w:hAnsi="Arial"/>
          <w:snapToGrid/>
          <w:color w:val="auto"/>
          <w:sz w:val="18"/>
          <w:szCs w:val="20"/>
          <w:lang w:val="en-GB" w:eastAsia="en-US" w:bidi="ar-SA"/>
        </w:rPr>
        <w:t xml:space="preserve">determined following the ISO 15705:2002 standard method. </w:t>
      </w:r>
      <w:r w:rsidR="008B5A82" w:rsidRPr="0021735A">
        <w:rPr>
          <w:rFonts w:ascii="Arial" w:hAnsi="Arial"/>
          <w:snapToGrid/>
          <w:color w:val="auto"/>
          <w:sz w:val="18"/>
          <w:szCs w:val="20"/>
          <w:lang w:val="en-GB" w:eastAsia="en-US" w:bidi="ar-SA"/>
        </w:rPr>
        <w:t xml:space="preserve">The heavy </w:t>
      </w:r>
      <w:r w:rsidR="00515ED6">
        <w:rPr>
          <w:rFonts w:ascii="Arial" w:hAnsi="Arial"/>
          <w:snapToGrid/>
          <w:color w:val="auto"/>
          <w:sz w:val="18"/>
          <w:szCs w:val="20"/>
          <w:lang w:val="en-GB" w:eastAsia="en-US" w:bidi="ar-SA"/>
        </w:rPr>
        <w:t xml:space="preserve">metal (Cd, Hg, Ni, Pb, Cu, Zn) and </w:t>
      </w:r>
      <w:r w:rsidR="008B5A82" w:rsidRPr="0021735A">
        <w:rPr>
          <w:rFonts w:ascii="Arial" w:hAnsi="Arial"/>
          <w:snapToGrid/>
          <w:color w:val="auto"/>
          <w:sz w:val="18"/>
          <w:szCs w:val="20"/>
          <w:lang w:val="en-GB" w:eastAsia="en-US" w:bidi="ar-SA"/>
        </w:rPr>
        <w:t>phosphorus concentrations of all samples (raw</w:t>
      </w:r>
      <w:r w:rsidR="007B2506">
        <w:rPr>
          <w:rFonts w:ascii="Arial" w:hAnsi="Arial"/>
          <w:snapToGrid/>
          <w:color w:val="auto"/>
          <w:sz w:val="18"/>
          <w:szCs w:val="20"/>
          <w:lang w:val="en-GB" w:eastAsia="en-US" w:bidi="ar-SA"/>
        </w:rPr>
        <w:t xml:space="preserve"> materials</w:t>
      </w:r>
      <w:r w:rsidR="008B5A82" w:rsidRPr="0021735A">
        <w:rPr>
          <w:rFonts w:ascii="Arial" w:hAnsi="Arial"/>
          <w:snapToGrid/>
          <w:color w:val="auto"/>
          <w:sz w:val="18"/>
          <w:szCs w:val="20"/>
          <w:lang w:val="en-GB" w:eastAsia="en-US" w:bidi="ar-SA"/>
        </w:rPr>
        <w:t xml:space="preserve"> </w:t>
      </w:r>
      <w:r w:rsidR="007B2506">
        <w:rPr>
          <w:rFonts w:ascii="Arial" w:hAnsi="Arial"/>
          <w:snapToGrid/>
          <w:color w:val="auto"/>
          <w:sz w:val="18"/>
          <w:szCs w:val="20"/>
          <w:lang w:val="en-GB" w:eastAsia="en-US" w:bidi="ar-SA"/>
        </w:rPr>
        <w:t xml:space="preserve">and </w:t>
      </w:r>
      <w:r w:rsidR="008B5A82" w:rsidRPr="0021735A">
        <w:rPr>
          <w:rFonts w:ascii="Arial" w:hAnsi="Arial"/>
          <w:snapToGrid/>
          <w:color w:val="auto"/>
          <w:sz w:val="18"/>
          <w:szCs w:val="20"/>
          <w:lang w:val="en-GB" w:eastAsia="en-US" w:bidi="ar-SA"/>
        </w:rPr>
        <w:t xml:space="preserve">HTC </w:t>
      </w:r>
      <w:r w:rsidR="007B2506">
        <w:rPr>
          <w:rFonts w:ascii="Arial" w:hAnsi="Arial"/>
          <w:snapToGrid/>
          <w:color w:val="auto"/>
          <w:sz w:val="18"/>
          <w:szCs w:val="20"/>
          <w:lang w:val="en-GB" w:eastAsia="en-US" w:bidi="ar-SA"/>
        </w:rPr>
        <w:t>residues</w:t>
      </w:r>
      <w:r w:rsidR="008B5A82" w:rsidRPr="0021735A">
        <w:rPr>
          <w:rFonts w:ascii="Arial" w:hAnsi="Arial"/>
          <w:snapToGrid/>
          <w:color w:val="auto"/>
          <w:sz w:val="18"/>
          <w:szCs w:val="20"/>
          <w:lang w:val="en-GB" w:eastAsia="en-US" w:bidi="ar-SA"/>
        </w:rPr>
        <w:t>) were evaluated by means of an ICP 8300 DV Optima Perkin Elmer spectrometer equipped with a high-performance SCD detector using EPA 6010D: 2018 + EPA 3051A: 2007 standard methods. Leaching of the samples was carried out via microwave-</w:t>
      </w:r>
      <w:r w:rsidR="006E76DC">
        <w:rPr>
          <w:rFonts w:ascii="Arial" w:hAnsi="Arial"/>
          <w:snapToGrid/>
          <w:color w:val="auto"/>
          <w:sz w:val="18"/>
          <w:szCs w:val="20"/>
          <w:lang w:val="en-GB" w:eastAsia="en-US" w:bidi="ar-SA"/>
        </w:rPr>
        <w:t xml:space="preserve">assisted digestion using a 10 </w:t>
      </w:r>
      <w:r w:rsidR="008B5A82" w:rsidRPr="0021735A">
        <w:rPr>
          <w:rFonts w:ascii="Arial" w:hAnsi="Arial"/>
          <w:snapToGrid/>
          <w:color w:val="auto"/>
          <w:sz w:val="18"/>
          <w:szCs w:val="20"/>
          <w:lang w:val="en-GB" w:eastAsia="en-US" w:bidi="ar-SA"/>
        </w:rPr>
        <w:t xml:space="preserve">wt% nitric and hydrochloric solution in water at a temperature of 175 °C. All analyses were performed at least in duplicate, </w:t>
      </w:r>
      <w:r w:rsidR="00643F6B" w:rsidRPr="00C01F38">
        <w:rPr>
          <w:rFonts w:ascii="Arial" w:hAnsi="Arial"/>
          <w:snapToGrid/>
          <w:color w:val="auto"/>
          <w:sz w:val="18"/>
          <w:szCs w:val="20"/>
          <w:lang w:val="en-GB" w:eastAsia="en-US" w:bidi="ar-SA"/>
        </w:rPr>
        <w:t>obtaining a maximum deviation less than 5%</w:t>
      </w:r>
      <w:r w:rsidR="008B5A82" w:rsidRPr="0021735A">
        <w:rPr>
          <w:rFonts w:ascii="Arial" w:hAnsi="Arial"/>
          <w:snapToGrid/>
          <w:color w:val="auto"/>
          <w:sz w:val="18"/>
          <w:szCs w:val="20"/>
          <w:lang w:val="en-GB" w:eastAsia="en-US" w:bidi="ar-SA"/>
        </w:rPr>
        <w:t xml:space="preserve">. Total organic carbon (TOC) determination of the samples was carried out by a TOC analyzer (model PRIMACS SNC-100) following the UNI EN 15936:2012 standard method. </w:t>
      </w:r>
    </w:p>
    <w:p w14:paraId="4228B8DD" w14:textId="2F48D0CD" w:rsidR="006550D5" w:rsidRDefault="006550D5" w:rsidP="0021735A">
      <w:pPr>
        <w:pStyle w:val="MDPI31text"/>
        <w:ind w:firstLine="0"/>
        <w:rPr>
          <w:rFonts w:ascii="Arial" w:hAnsi="Arial"/>
          <w:snapToGrid/>
          <w:color w:val="auto"/>
          <w:sz w:val="18"/>
          <w:szCs w:val="20"/>
          <w:lang w:val="en-GB" w:eastAsia="en-US" w:bidi="ar-SA"/>
        </w:rPr>
      </w:pPr>
    </w:p>
    <w:p w14:paraId="00014F05" w14:textId="37DF48AC" w:rsidR="006550D5" w:rsidRPr="000942D1" w:rsidRDefault="00B00BBE" w:rsidP="006550D5">
      <w:pPr>
        <w:pStyle w:val="CETheadingx"/>
      </w:pPr>
      <w:r>
        <w:t>C700</w:t>
      </w:r>
      <w:r w:rsidR="006550D5" w:rsidRPr="000942D1">
        <w:t xml:space="preserve"> Continuous operating Industrial plant: main design features and operation</w:t>
      </w:r>
    </w:p>
    <w:p w14:paraId="448D3D64" w14:textId="241303BB" w:rsidR="003C07B3" w:rsidRDefault="0049480E" w:rsidP="003C07B3">
      <w:pPr>
        <w:pStyle w:val="MDPI31text"/>
        <w:rPr>
          <w:rFonts w:ascii="Arial" w:hAnsi="Arial"/>
          <w:snapToGrid/>
          <w:color w:val="auto"/>
          <w:sz w:val="18"/>
          <w:szCs w:val="20"/>
          <w:lang w:val="en-GB" w:eastAsia="en-US" w:bidi="ar-SA"/>
        </w:rPr>
      </w:pPr>
      <w:r w:rsidRPr="003C07B3">
        <w:rPr>
          <w:rFonts w:ascii="Arial" w:hAnsi="Arial"/>
          <w:snapToGrid/>
          <w:color w:val="auto"/>
          <w:sz w:val="18"/>
          <w:szCs w:val="20"/>
          <w:lang w:val="en-GB" w:eastAsia="en-US" w:bidi="ar-SA"/>
        </w:rPr>
        <w:t>Figure 1</w:t>
      </w:r>
      <w:r w:rsidR="00EE6502" w:rsidRPr="003C07B3">
        <w:rPr>
          <w:rFonts w:ascii="Arial" w:hAnsi="Arial"/>
          <w:snapToGrid/>
          <w:color w:val="auto"/>
          <w:sz w:val="18"/>
          <w:szCs w:val="20"/>
          <w:lang w:val="en-GB" w:eastAsia="en-US" w:bidi="ar-SA"/>
        </w:rPr>
        <w:t xml:space="preserve"> reports a schematic representation of the </w:t>
      </w:r>
      <w:r w:rsidR="00B00BBE">
        <w:rPr>
          <w:rFonts w:ascii="Arial" w:hAnsi="Arial"/>
          <w:snapToGrid/>
          <w:color w:val="auto"/>
          <w:sz w:val="18"/>
          <w:szCs w:val="20"/>
          <w:lang w:val="en-GB" w:eastAsia="en-US" w:bidi="ar-SA"/>
        </w:rPr>
        <w:t>C700</w:t>
      </w:r>
      <w:r w:rsidR="00EE6502" w:rsidRPr="003C07B3">
        <w:rPr>
          <w:rFonts w:ascii="Arial" w:hAnsi="Arial"/>
          <w:snapToGrid/>
          <w:color w:val="auto"/>
          <w:sz w:val="18"/>
          <w:szCs w:val="20"/>
          <w:lang w:val="en-GB" w:eastAsia="en-US" w:bidi="ar-SA"/>
        </w:rPr>
        <w:t xml:space="preserve"> HTC plant. The digestate collected from a storage tank </w:t>
      </w:r>
      <w:r w:rsidR="000942D1" w:rsidRPr="003C07B3">
        <w:rPr>
          <w:rFonts w:ascii="Arial" w:hAnsi="Arial"/>
          <w:snapToGrid/>
          <w:color w:val="auto"/>
          <w:sz w:val="18"/>
          <w:szCs w:val="20"/>
          <w:lang w:val="en-GB" w:eastAsia="en-US" w:bidi="ar-SA"/>
        </w:rPr>
        <w:t xml:space="preserve">is </w:t>
      </w:r>
      <w:r w:rsidR="00EE6502" w:rsidRPr="003C07B3">
        <w:rPr>
          <w:rFonts w:ascii="Arial" w:hAnsi="Arial"/>
          <w:snapToGrid/>
          <w:color w:val="auto"/>
          <w:sz w:val="18"/>
          <w:szCs w:val="20"/>
          <w:lang w:val="en-GB" w:eastAsia="en-US" w:bidi="ar-SA"/>
        </w:rPr>
        <w:t>fed into the system via a pump soon after a first mechanical removal of coarse material.</w:t>
      </w:r>
      <w:r w:rsidR="000942D1" w:rsidRPr="003C07B3">
        <w:rPr>
          <w:rFonts w:ascii="Arial" w:hAnsi="Arial"/>
          <w:snapToGrid/>
          <w:color w:val="auto"/>
          <w:sz w:val="18"/>
          <w:szCs w:val="20"/>
          <w:lang w:val="en-GB" w:eastAsia="en-US" w:bidi="ar-SA"/>
        </w:rPr>
        <w:t xml:space="preserve"> </w:t>
      </w:r>
      <w:r w:rsidR="00643F6B" w:rsidRPr="00C01F38">
        <w:rPr>
          <w:rFonts w:ascii="Arial" w:hAnsi="Arial"/>
          <w:snapToGrid/>
          <w:color w:val="auto"/>
          <w:sz w:val="18"/>
          <w:szCs w:val="20"/>
          <w:lang w:val="en-GB" w:eastAsia="en-US" w:bidi="ar-SA"/>
        </w:rPr>
        <w:t xml:space="preserve">The raw digestate is preheated through a heat exchanger that exchanges with the hot </w:t>
      </w:r>
      <w:r w:rsidR="000942D1" w:rsidRPr="003C07B3">
        <w:rPr>
          <w:rFonts w:ascii="Arial" w:hAnsi="Arial"/>
          <w:snapToGrid/>
          <w:color w:val="auto"/>
          <w:sz w:val="18"/>
          <w:szCs w:val="20"/>
          <w:lang w:val="en-GB" w:eastAsia="en-US" w:bidi="ar-SA"/>
        </w:rPr>
        <w:t xml:space="preserve"> HTC slurry coming from the reactor.</w:t>
      </w:r>
      <w:r w:rsidR="001B38C4" w:rsidRPr="003C07B3">
        <w:rPr>
          <w:rFonts w:ascii="Arial" w:hAnsi="Arial"/>
          <w:snapToGrid/>
          <w:color w:val="auto"/>
          <w:sz w:val="18"/>
          <w:szCs w:val="20"/>
          <w:lang w:val="en-GB" w:eastAsia="en-US" w:bidi="ar-SA"/>
        </w:rPr>
        <w:t xml:space="preserve"> The preheated feedstock</w:t>
      </w:r>
      <w:r w:rsidR="00626F33">
        <w:rPr>
          <w:rFonts w:ascii="Arial" w:hAnsi="Arial"/>
          <w:snapToGrid/>
          <w:color w:val="auto"/>
          <w:sz w:val="18"/>
          <w:szCs w:val="20"/>
          <w:lang w:val="en-GB" w:eastAsia="en-US" w:bidi="ar-SA"/>
        </w:rPr>
        <w:t>,</w:t>
      </w:r>
      <w:r w:rsidR="001B38C4" w:rsidRPr="003C07B3">
        <w:rPr>
          <w:rFonts w:ascii="Arial" w:hAnsi="Arial"/>
          <w:snapToGrid/>
          <w:color w:val="auto"/>
          <w:sz w:val="18"/>
          <w:szCs w:val="20"/>
          <w:lang w:val="en-GB" w:eastAsia="en-US" w:bidi="ar-SA"/>
        </w:rPr>
        <w:t xml:space="preserve"> continuously fed into the reactor</w:t>
      </w:r>
      <w:r w:rsidR="00626F33">
        <w:rPr>
          <w:rFonts w:ascii="Arial" w:hAnsi="Arial"/>
          <w:snapToGrid/>
          <w:color w:val="auto"/>
          <w:sz w:val="18"/>
          <w:szCs w:val="20"/>
          <w:lang w:val="en-GB" w:eastAsia="en-US" w:bidi="ar-SA"/>
        </w:rPr>
        <w:t>,</w:t>
      </w:r>
      <w:r w:rsidR="001B38C4" w:rsidRPr="003C07B3">
        <w:rPr>
          <w:rFonts w:ascii="Arial" w:hAnsi="Arial"/>
          <w:snapToGrid/>
          <w:color w:val="auto"/>
          <w:sz w:val="18"/>
          <w:szCs w:val="20"/>
          <w:lang w:val="en-GB" w:eastAsia="en-US" w:bidi="ar-SA"/>
        </w:rPr>
        <w:t xml:space="preserve"> is </w:t>
      </w:r>
      <w:r w:rsidR="007B2506">
        <w:rPr>
          <w:rFonts w:ascii="Arial" w:hAnsi="Arial"/>
          <w:snapToGrid/>
          <w:color w:val="auto"/>
          <w:sz w:val="18"/>
          <w:szCs w:val="20"/>
          <w:lang w:val="en-GB" w:eastAsia="en-US" w:bidi="ar-SA"/>
        </w:rPr>
        <w:t>warmed</w:t>
      </w:r>
      <w:r w:rsidR="001B38C4" w:rsidRPr="003C07B3">
        <w:rPr>
          <w:rFonts w:ascii="Arial" w:hAnsi="Arial"/>
          <w:snapToGrid/>
          <w:color w:val="auto"/>
          <w:sz w:val="18"/>
          <w:szCs w:val="20"/>
          <w:lang w:val="en-GB" w:eastAsia="en-US" w:bidi="ar-SA"/>
        </w:rPr>
        <w:t xml:space="preserve"> up to reaction temperature by means of hot diathermic oil flowing through the outer jacket of the reactor.  </w:t>
      </w:r>
      <w:r w:rsidR="003C07B3" w:rsidRPr="003C07B3">
        <w:rPr>
          <w:rFonts w:ascii="Arial" w:hAnsi="Arial"/>
          <w:snapToGrid/>
          <w:color w:val="auto"/>
          <w:sz w:val="18"/>
          <w:szCs w:val="20"/>
          <w:lang w:val="en-GB" w:eastAsia="en-US" w:bidi="ar-SA"/>
        </w:rPr>
        <w:t>The valve on the HTC slurry pipe regulates the flow rate leaving the reactor, while maintaining the pressure into the HTC reactor</w:t>
      </w:r>
      <w:r w:rsidR="003C07B3">
        <w:rPr>
          <w:rFonts w:ascii="Arial" w:hAnsi="Arial"/>
          <w:snapToGrid/>
          <w:color w:val="auto"/>
          <w:sz w:val="18"/>
          <w:szCs w:val="20"/>
          <w:lang w:val="en-GB" w:eastAsia="en-US" w:bidi="ar-SA"/>
        </w:rPr>
        <w:t>.</w:t>
      </w:r>
      <w:r w:rsidR="002C2194">
        <w:rPr>
          <w:rFonts w:ascii="Arial" w:hAnsi="Arial"/>
          <w:snapToGrid/>
          <w:color w:val="auto"/>
          <w:sz w:val="18"/>
          <w:szCs w:val="20"/>
          <w:lang w:val="en-GB" w:eastAsia="en-US" w:bidi="ar-SA"/>
        </w:rPr>
        <w:t xml:space="preserve"> The produce</w:t>
      </w:r>
      <w:r w:rsidR="0033329A">
        <w:rPr>
          <w:rFonts w:ascii="Arial" w:hAnsi="Arial"/>
          <w:snapToGrid/>
          <w:color w:val="auto"/>
          <w:sz w:val="18"/>
          <w:szCs w:val="20"/>
          <w:lang w:val="en-GB" w:eastAsia="en-US" w:bidi="ar-SA"/>
        </w:rPr>
        <w:t>d</w:t>
      </w:r>
      <w:r w:rsidR="002C2194">
        <w:rPr>
          <w:rFonts w:ascii="Arial" w:hAnsi="Arial"/>
          <w:snapToGrid/>
          <w:color w:val="auto"/>
          <w:sz w:val="18"/>
          <w:szCs w:val="20"/>
          <w:lang w:val="en-GB" w:eastAsia="en-US" w:bidi="ar-SA"/>
        </w:rPr>
        <w:t xml:space="preserve"> liquid solid mixture, called HTC slurry (SL), is sent into a centrifuge that separate</w:t>
      </w:r>
      <w:r w:rsidR="00DC5C22">
        <w:rPr>
          <w:rFonts w:ascii="Arial" w:hAnsi="Arial"/>
          <w:snapToGrid/>
          <w:color w:val="auto"/>
          <w:sz w:val="18"/>
          <w:szCs w:val="20"/>
          <w:lang w:val="en-GB" w:eastAsia="en-US" w:bidi="ar-SA"/>
        </w:rPr>
        <w:t>s</w:t>
      </w:r>
      <w:r w:rsidR="002C2194">
        <w:rPr>
          <w:rFonts w:ascii="Arial" w:hAnsi="Arial"/>
          <w:snapToGrid/>
          <w:color w:val="auto"/>
          <w:sz w:val="18"/>
          <w:szCs w:val="20"/>
          <w:lang w:val="en-GB" w:eastAsia="en-US" w:bidi="ar-SA"/>
        </w:rPr>
        <w:t xml:space="preserve"> a liquid aqueous phase rich in carbon that is reci</w:t>
      </w:r>
      <w:r w:rsidR="007D534B">
        <w:rPr>
          <w:rFonts w:ascii="Arial" w:hAnsi="Arial"/>
          <w:snapToGrid/>
          <w:color w:val="auto"/>
          <w:sz w:val="18"/>
          <w:szCs w:val="20"/>
          <w:lang w:val="en-GB" w:eastAsia="en-US" w:bidi="ar-SA"/>
        </w:rPr>
        <w:t>r</w:t>
      </w:r>
      <w:r w:rsidR="002C2194">
        <w:rPr>
          <w:rFonts w:ascii="Arial" w:hAnsi="Arial"/>
          <w:snapToGrid/>
          <w:color w:val="auto"/>
          <w:sz w:val="18"/>
          <w:szCs w:val="20"/>
          <w:lang w:val="en-GB" w:eastAsia="en-US" w:bidi="ar-SA"/>
        </w:rPr>
        <w:t>culate</w:t>
      </w:r>
      <w:r w:rsidR="00DC5C22">
        <w:rPr>
          <w:rFonts w:ascii="Arial" w:hAnsi="Arial"/>
          <w:snapToGrid/>
          <w:color w:val="auto"/>
          <w:sz w:val="18"/>
          <w:szCs w:val="20"/>
          <w:lang w:val="en-GB" w:eastAsia="en-US" w:bidi="ar-SA"/>
        </w:rPr>
        <w:t>d</w:t>
      </w:r>
      <w:r w:rsidR="002C2194">
        <w:rPr>
          <w:rFonts w:ascii="Arial" w:hAnsi="Arial"/>
          <w:snapToGrid/>
          <w:color w:val="auto"/>
          <w:sz w:val="18"/>
          <w:szCs w:val="20"/>
          <w:lang w:val="en-GB" w:eastAsia="en-US" w:bidi="ar-SA"/>
        </w:rPr>
        <w:t xml:space="preserve"> to the anaerobic digestion system of the plant, and a residue high in solid content (about 40 wt%) named hydrochar (HC). </w:t>
      </w:r>
    </w:p>
    <w:p w14:paraId="30412DC6" w14:textId="5FF7919E" w:rsidR="003C07B3" w:rsidRPr="003C07B3" w:rsidRDefault="001554F9" w:rsidP="003C07B3">
      <w:pPr>
        <w:pStyle w:val="MDPI31text"/>
        <w:rPr>
          <w:rFonts w:ascii="Arial" w:hAnsi="Arial"/>
          <w:snapToGrid/>
          <w:color w:val="auto"/>
          <w:sz w:val="18"/>
          <w:szCs w:val="20"/>
          <w:lang w:val="en-GB" w:eastAsia="en-US" w:bidi="ar-SA"/>
        </w:rPr>
      </w:pPr>
      <w:r>
        <w:rPr>
          <w:rFonts w:ascii="Arial" w:hAnsi="Arial"/>
          <w:snapToGrid/>
          <w:color w:val="auto"/>
          <w:sz w:val="18"/>
          <w:szCs w:val="20"/>
          <w:lang w:val="en-GB" w:eastAsia="en-US" w:bidi="ar-SA"/>
        </w:rPr>
        <w:t xml:space="preserve">C700 </w:t>
      </w:r>
      <w:r w:rsidR="003C07B3" w:rsidRPr="003C07B3">
        <w:rPr>
          <w:rFonts w:ascii="Arial" w:hAnsi="Arial"/>
          <w:snapToGrid/>
          <w:color w:val="auto"/>
          <w:sz w:val="18"/>
          <w:szCs w:val="20"/>
          <w:lang w:val="en-GB" w:eastAsia="en-US" w:bidi="ar-SA"/>
        </w:rPr>
        <w:t xml:space="preserve">plant is composed of a feedstock storage tank </w:t>
      </w:r>
      <w:r>
        <w:rPr>
          <w:rFonts w:ascii="Arial" w:hAnsi="Arial"/>
          <w:snapToGrid/>
          <w:color w:val="auto"/>
          <w:sz w:val="18"/>
          <w:szCs w:val="20"/>
          <w:lang w:val="en-GB" w:eastAsia="en-US" w:bidi="ar-SA"/>
        </w:rPr>
        <w:t>of about 10</w:t>
      </w:r>
      <w:r w:rsidR="00DC5C22">
        <w:rPr>
          <w:rFonts w:ascii="Arial" w:hAnsi="Arial"/>
          <w:snapToGrid/>
          <w:color w:val="auto"/>
          <w:sz w:val="18"/>
          <w:szCs w:val="20"/>
          <w:lang w:val="en-GB" w:eastAsia="en-US" w:bidi="ar-SA"/>
        </w:rPr>
        <w:t>.</w:t>
      </w:r>
      <w:r w:rsidR="00196E8A">
        <w:rPr>
          <w:rFonts w:ascii="Arial" w:hAnsi="Arial"/>
          <w:snapToGrid/>
          <w:color w:val="auto"/>
          <w:sz w:val="18"/>
          <w:szCs w:val="20"/>
          <w:lang w:val="en-GB" w:eastAsia="en-US" w:bidi="ar-SA"/>
        </w:rPr>
        <w:t>0</w:t>
      </w:r>
      <w:r w:rsidR="00196E8A" w:rsidRPr="00AD7183">
        <w:rPr>
          <w:rFonts w:ascii="Arial" w:hAnsi="Arial"/>
          <w:snapToGrid/>
          <w:color w:val="auto"/>
          <w:sz w:val="18"/>
          <w:szCs w:val="20"/>
          <w:lang w:val="en-GB" w:eastAsia="en-US" w:bidi="ar-SA"/>
        </w:rPr>
        <w:t xml:space="preserve"> </w:t>
      </w:r>
      <w:r w:rsidRPr="00AD7183">
        <w:rPr>
          <w:rFonts w:ascii="Arial" w:hAnsi="Arial"/>
          <w:snapToGrid/>
          <w:color w:val="auto"/>
          <w:sz w:val="18"/>
          <w:szCs w:val="20"/>
          <w:lang w:val="en-GB" w:eastAsia="en-US" w:bidi="ar-SA"/>
        </w:rPr>
        <w:t>m</w:t>
      </w:r>
      <w:r w:rsidRPr="00196E8A">
        <w:rPr>
          <w:rFonts w:ascii="Arial" w:hAnsi="Arial"/>
          <w:snapToGrid/>
          <w:color w:val="auto"/>
          <w:sz w:val="18"/>
          <w:szCs w:val="20"/>
          <w:vertAlign w:val="superscript"/>
          <w:lang w:val="en-GB" w:eastAsia="en-US" w:bidi="ar-SA"/>
        </w:rPr>
        <w:t>3</w:t>
      </w:r>
      <w:r w:rsidR="003C07B3" w:rsidRPr="003C07B3">
        <w:rPr>
          <w:rFonts w:ascii="Arial" w:hAnsi="Arial"/>
          <w:snapToGrid/>
          <w:color w:val="auto"/>
          <w:sz w:val="18"/>
          <w:szCs w:val="20"/>
          <w:lang w:val="en-GB" w:eastAsia="en-US" w:bidi="ar-SA"/>
        </w:rPr>
        <w:t xml:space="preserve">, a </w:t>
      </w:r>
      <w:r w:rsidR="003C07B3" w:rsidRPr="00AD7183">
        <w:rPr>
          <w:rFonts w:ascii="Arial" w:hAnsi="Arial"/>
          <w:snapToGrid/>
          <w:color w:val="auto"/>
          <w:sz w:val="18"/>
          <w:szCs w:val="20"/>
          <w:lang w:val="en-GB" w:eastAsia="en-US" w:bidi="ar-SA"/>
        </w:rPr>
        <w:t>1</w:t>
      </w:r>
      <w:r w:rsidR="007668F1" w:rsidRPr="00AD7183">
        <w:rPr>
          <w:rFonts w:ascii="Arial" w:hAnsi="Arial"/>
          <w:snapToGrid/>
          <w:color w:val="auto"/>
          <w:sz w:val="18"/>
          <w:szCs w:val="20"/>
          <w:lang w:val="en-GB" w:eastAsia="en-US" w:bidi="ar-SA"/>
        </w:rPr>
        <w:t>1.3</w:t>
      </w:r>
      <w:r w:rsidR="003C07B3" w:rsidRPr="00AD7183">
        <w:rPr>
          <w:rFonts w:ascii="Arial" w:hAnsi="Arial"/>
          <w:snapToGrid/>
          <w:color w:val="auto"/>
          <w:sz w:val="18"/>
          <w:szCs w:val="20"/>
          <w:lang w:val="en-GB" w:eastAsia="en-US" w:bidi="ar-SA"/>
        </w:rPr>
        <w:t xml:space="preserve"> m</w:t>
      </w:r>
      <w:r w:rsidR="003C07B3" w:rsidRPr="00196E8A">
        <w:rPr>
          <w:rFonts w:ascii="Arial" w:hAnsi="Arial"/>
          <w:snapToGrid/>
          <w:color w:val="auto"/>
          <w:sz w:val="18"/>
          <w:szCs w:val="20"/>
          <w:vertAlign w:val="superscript"/>
          <w:lang w:val="en-GB" w:eastAsia="en-US" w:bidi="ar-SA"/>
        </w:rPr>
        <w:t>3</w:t>
      </w:r>
      <w:r w:rsidR="003C07B3" w:rsidRPr="003C07B3">
        <w:rPr>
          <w:rFonts w:ascii="Arial" w:hAnsi="Arial"/>
          <w:snapToGrid/>
          <w:color w:val="auto"/>
          <w:sz w:val="18"/>
          <w:szCs w:val="20"/>
          <w:lang w:val="en-GB" w:eastAsia="en-US" w:bidi="ar-SA"/>
        </w:rPr>
        <w:t xml:space="preserve"> HTC slurry storage tank, </w:t>
      </w:r>
      <w:r>
        <w:rPr>
          <w:rFonts w:ascii="Arial" w:hAnsi="Arial"/>
          <w:snapToGrid/>
          <w:color w:val="auto"/>
          <w:sz w:val="18"/>
          <w:szCs w:val="20"/>
          <w:lang w:val="en-GB" w:eastAsia="en-US" w:bidi="ar-SA"/>
        </w:rPr>
        <w:t>a</w:t>
      </w:r>
      <w:r w:rsidRPr="003C07B3">
        <w:rPr>
          <w:rFonts w:ascii="Arial" w:hAnsi="Arial"/>
          <w:snapToGrid/>
          <w:color w:val="auto"/>
          <w:sz w:val="18"/>
          <w:szCs w:val="20"/>
          <w:lang w:val="en-GB" w:eastAsia="en-US" w:bidi="ar-SA"/>
        </w:rPr>
        <w:t xml:space="preserve"> </w:t>
      </w:r>
      <w:r w:rsidR="003C07B3" w:rsidRPr="003C07B3">
        <w:rPr>
          <w:rFonts w:ascii="Arial" w:hAnsi="Arial"/>
          <w:snapToGrid/>
          <w:color w:val="auto"/>
          <w:sz w:val="18"/>
          <w:szCs w:val="20"/>
          <w:lang w:val="en-GB" w:eastAsia="en-US" w:bidi="ar-SA"/>
        </w:rPr>
        <w:t xml:space="preserve">diathermic oil boiler </w:t>
      </w:r>
      <w:r w:rsidRPr="003C07B3">
        <w:rPr>
          <w:rFonts w:ascii="Arial" w:hAnsi="Arial"/>
          <w:snapToGrid/>
          <w:color w:val="auto"/>
          <w:sz w:val="18"/>
          <w:szCs w:val="20"/>
          <w:lang w:val="en-GB" w:eastAsia="en-US" w:bidi="ar-SA"/>
        </w:rPr>
        <w:t xml:space="preserve">fed </w:t>
      </w:r>
      <w:r w:rsidR="00196E8A">
        <w:rPr>
          <w:rFonts w:ascii="Arial" w:hAnsi="Arial"/>
          <w:snapToGrid/>
          <w:color w:val="auto"/>
          <w:sz w:val="18"/>
          <w:szCs w:val="20"/>
          <w:lang w:val="en-GB" w:eastAsia="en-US" w:bidi="ar-SA"/>
        </w:rPr>
        <w:t xml:space="preserve">with </w:t>
      </w:r>
      <w:r w:rsidR="00196E8A" w:rsidRPr="00196E8A">
        <w:rPr>
          <w:rFonts w:ascii="Arial" w:hAnsi="Arial"/>
          <w:snapToGrid/>
          <w:color w:val="auto"/>
          <w:sz w:val="18"/>
          <w:szCs w:val="20"/>
          <w:lang w:val="en-GB" w:eastAsia="en-US" w:bidi="ar-SA"/>
        </w:rPr>
        <w:t>provided by the municipal network</w:t>
      </w:r>
      <w:r w:rsidRPr="003C07B3">
        <w:rPr>
          <w:rFonts w:ascii="Arial" w:hAnsi="Arial"/>
          <w:snapToGrid/>
          <w:color w:val="auto"/>
          <w:sz w:val="18"/>
          <w:szCs w:val="20"/>
          <w:lang w:val="en-GB" w:eastAsia="en-US" w:bidi="ar-SA"/>
        </w:rPr>
        <w:t xml:space="preserve"> and / or </w:t>
      </w:r>
      <w:r w:rsidR="00626F33" w:rsidRPr="003C07B3">
        <w:rPr>
          <w:rFonts w:ascii="Arial" w:hAnsi="Arial"/>
          <w:snapToGrid/>
          <w:color w:val="auto"/>
          <w:sz w:val="18"/>
          <w:szCs w:val="20"/>
          <w:lang w:val="en-GB" w:eastAsia="en-US" w:bidi="ar-SA"/>
        </w:rPr>
        <w:t>bio</w:t>
      </w:r>
      <w:r w:rsidR="00626F33">
        <w:rPr>
          <w:rFonts w:ascii="Arial" w:hAnsi="Arial"/>
          <w:snapToGrid/>
          <w:color w:val="auto"/>
          <w:sz w:val="18"/>
          <w:szCs w:val="20"/>
          <w:lang w:val="en-GB" w:eastAsia="en-US" w:bidi="ar-SA"/>
        </w:rPr>
        <w:t>gas</w:t>
      </w:r>
      <w:r w:rsidR="00626F33" w:rsidRPr="003C07B3">
        <w:rPr>
          <w:rFonts w:ascii="Arial" w:hAnsi="Arial"/>
          <w:snapToGrid/>
          <w:color w:val="auto"/>
          <w:sz w:val="18"/>
          <w:szCs w:val="20"/>
          <w:lang w:val="en-GB" w:eastAsia="en-US" w:bidi="ar-SA"/>
        </w:rPr>
        <w:t xml:space="preserve"> </w:t>
      </w:r>
      <w:r w:rsidRPr="003C07B3">
        <w:rPr>
          <w:rFonts w:ascii="Arial" w:hAnsi="Arial"/>
          <w:snapToGrid/>
          <w:color w:val="auto"/>
          <w:sz w:val="18"/>
          <w:szCs w:val="20"/>
          <w:lang w:val="en-GB" w:eastAsia="en-US" w:bidi="ar-SA"/>
        </w:rPr>
        <w:t>produced by the anaerobic digester of the waste management plant</w:t>
      </w:r>
      <w:r>
        <w:rPr>
          <w:rFonts w:ascii="Arial" w:hAnsi="Arial"/>
          <w:snapToGrid/>
          <w:color w:val="auto"/>
          <w:sz w:val="18"/>
          <w:szCs w:val="20"/>
          <w:lang w:val="en-GB" w:eastAsia="en-US" w:bidi="ar-SA"/>
        </w:rPr>
        <w:t xml:space="preserve">, and </w:t>
      </w:r>
      <w:r w:rsidR="003C07B3" w:rsidRPr="003C07B3">
        <w:rPr>
          <w:rFonts w:ascii="Arial" w:hAnsi="Arial"/>
          <w:snapToGrid/>
          <w:color w:val="auto"/>
          <w:sz w:val="18"/>
          <w:szCs w:val="20"/>
          <w:lang w:val="en-GB" w:eastAsia="en-US" w:bidi="ar-SA"/>
        </w:rPr>
        <w:t xml:space="preserve">the reactor system </w:t>
      </w:r>
      <w:r w:rsidR="002C2194">
        <w:rPr>
          <w:rFonts w:ascii="Arial" w:hAnsi="Arial"/>
          <w:snapToGrid/>
          <w:color w:val="auto"/>
          <w:sz w:val="18"/>
          <w:szCs w:val="20"/>
          <w:lang w:val="en-GB" w:eastAsia="en-US" w:bidi="ar-SA"/>
        </w:rPr>
        <w:t xml:space="preserve">located into a </w:t>
      </w:r>
      <w:r w:rsidR="003C07B3" w:rsidRPr="003C07B3">
        <w:rPr>
          <w:rFonts w:ascii="Arial" w:hAnsi="Arial"/>
          <w:snapToGrid/>
          <w:color w:val="auto"/>
          <w:sz w:val="18"/>
          <w:szCs w:val="20"/>
          <w:lang w:val="en-GB" w:eastAsia="en-US" w:bidi="ar-SA"/>
        </w:rPr>
        <w:t>container (Figure 2a</w:t>
      </w:r>
      <w:r w:rsidR="002C2194">
        <w:rPr>
          <w:rFonts w:ascii="Arial" w:hAnsi="Arial"/>
          <w:snapToGrid/>
          <w:color w:val="auto"/>
          <w:sz w:val="18"/>
          <w:szCs w:val="20"/>
          <w:lang w:val="en-GB" w:eastAsia="en-US" w:bidi="ar-SA"/>
        </w:rPr>
        <w:t>-b</w:t>
      </w:r>
      <w:r w:rsidR="003C07B3" w:rsidRPr="003C07B3">
        <w:rPr>
          <w:rFonts w:ascii="Arial" w:hAnsi="Arial"/>
          <w:snapToGrid/>
          <w:color w:val="auto"/>
          <w:sz w:val="18"/>
          <w:szCs w:val="20"/>
          <w:lang w:val="en-GB" w:eastAsia="en-US" w:bidi="ar-SA"/>
        </w:rPr>
        <w:t xml:space="preserve">). The </w:t>
      </w:r>
      <w:r w:rsidR="002C2194">
        <w:rPr>
          <w:rFonts w:ascii="Arial" w:hAnsi="Arial"/>
          <w:snapToGrid/>
          <w:color w:val="auto"/>
          <w:sz w:val="18"/>
          <w:szCs w:val="20"/>
          <w:lang w:val="en-GB" w:eastAsia="en-US" w:bidi="ar-SA"/>
        </w:rPr>
        <w:t xml:space="preserve">diathermic oil </w:t>
      </w:r>
      <w:r w:rsidR="003C07B3" w:rsidRPr="003C07B3">
        <w:rPr>
          <w:rFonts w:ascii="Arial" w:hAnsi="Arial"/>
          <w:snapToGrid/>
          <w:color w:val="auto"/>
          <w:sz w:val="18"/>
          <w:szCs w:val="20"/>
          <w:lang w:val="en-GB" w:eastAsia="en-US" w:bidi="ar-SA"/>
        </w:rPr>
        <w:t>boi</w:t>
      </w:r>
      <w:r w:rsidR="007B2506">
        <w:rPr>
          <w:rFonts w:ascii="Arial" w:hAnsi="Arial"/>
          <w:snapToGrid/>
          <w:color w:val="auto"/>
          <w:sz w:val="18"/>
          <w:szCs w:val="20"/>
          <w:lang w:val="en-GB" w:eastAsia="en-US" w:bidi="ar-SA"/>
        </w:rPr>
        <w:t>ler, when continuously operated</w:t>
      </w:r>
      <w:r w:rsidR="003C07B3" w:rsidRPr="003C07B3">
        <w:rPr>
          <w:rFonts w:ascii="Arial" w:hAnsi="Arial"/>
          <w:snapToGrid/>
          <w:color w:val="auto"/>
          <w:sz w:val="18"/>
          <w:szCs w:val="20"/>
          <w:lang w:val="en-GB" w:eastAsia="en-US" w:bidi="ar-SA"/>
        </w:rPr>
        <w:t xml:space="preserve"> at 190 °C with a residence time of 1 h, </w:t>
      </w:r>
      <w:r w:rsidR="0033329A">
        <w:rPr>
          <w:rFonts w:ascii="Arial" w:hAnsi="Arial"/>
          <w:snapToGrid/>
          <w:color w:val="auto"/>
          <w:sz w:val="18"/>
          <w:szCs w:val="20"/>
          <w:lang w:val="en-GB" w:eastAsia="en-US" w:bidi="ar-SA"/>
        </w:rPr>
        <w:t>consumes about</w:t>
      </w:r>
      <w:r w:rsidR="00196E8A">
        <w:rPr>
          <w:rFonts w:ascii="Arial" w:hAnsi="Arial"/>
          <w:snapToGrid/>
          <w:color w:val="auto"/>
          <w:sz w:val="18"/>
          <w:szCs w:val="20"/>
          <w:lang w:val="en-GB" w:eastAsia="en-US" w:bidi="ar-SA"/>
        </w:rPr>
        <w:t xml:space="preserve"> </w:t>
      </w:r>
      <w:r w:rsidR="007668F1" w:rsidRPr="003C07B3">
        <w:rPr>
          <w:rFonts w:ascii="Arial" w:hAnsi="Arial"/>
          <w:snapToGrid/>
          <w:color w:val="auto"/>
          <w:sz w:val="18"/>
          <w:szCs w:val="20"/>
          <w:lang w:val="en-GB" w:eastAsia="en-US" w:bidi="ar-SA"/>
        </w:rPr>
        <w:t>8.5 ±0.3 Nm</w:t>
      </w:r>
      <w:r w:rsidR="007668F1" w:rsidRPr="003C07B3">
        <w:rPr>
          <w:rFonts w:ascii="Arial" w:hAnsi="Arial"/>
          <w:snapToGrid/>
          <w:color w:val="auto"/>
          <w:sz w:val="18"/>
          <w:szCs w:val="20"/>
          <w:vertAlign w:val="superscript"/>
          <w:lang w:val="en-GB" w:eastAsia="en-US" w:bidi="ar-SA"/>
        </w:rPr>
        <w:t>3</w:t>
      </w:r>
      <w:r w:rsidR="007668F1" w:rsidRPr="003C07B3">
        <w:rPr>
          <w:rFonts w:ascii="Arial" w:hAnsi="Arial"/>
          <w:snapToGrid/>
          <w:color w:val="auto"/>
          <w:sz w:val="18"/>
          <w:szCs w:val="20"/>
          <w:lang w:val="en-GB" w:eastAsia="en-US" w:bidi="ar-SA"/>
        </w:rPr>
        <w:t xml:space="preserve"> of methane </w:t>
      </w:r>
      <w:r w:rsidR="003C07B3" w:rsidRPr="003C07B3">
        <w:rPr>
          <w:rFonts w:ascii="Arial" w:hAnsi="Arial"/>
          <w:snapToGrid/>
          <w:color w:val="auto"/>
          <w:sz w:val="18"/>
          <w:szCs w:val="20"/>
          <w:lang w:val="en-GB" w:eastAsia="en-US" w:bidi="ar-SA"/>
        </w:rPr>
        <w:t>per ton of digested sludge treated</w:t>
      </w:r>
      <w:r w:rsidR="0033329A">
        <w:rPr>
          <w:rFonts w:ascii="Arial" w:hAnsi="Arial"/>
          <w:snapToGrid/>
          <w:color w:val="auto"/>
          <w:sz w:val="18"/>
          <w:szCs w:val="20"/>
          <w:lang w:val="en-GB" w:eastAsia="en-US" w:bidi="ar-SA"/>
        </w:rPr>
        <w:t xml:space="preserve"> while the overall electricity consumption, for the same amount of treated sludge, is about </w:t>
      </w:r>
      <w:r w:rsidR="0033329A" w:rsidRPr="003C07B3">
        <w:rPr>
          <w:rFonts w:ascii="Arial" w:hAnsi="Arial"/>
          <w:snapToGrid/>
          <w:color w:val="auto"/>
          <w:sz w:val="18"/>
          <w:szCs w:val="20"/>
          <w:lang w:val="en-GB" w:eastAsia="en-US" w:bidi="ar-SA"/>
        </w:rPr>
        <w:t>4.6 ±0.1 kWh</w:t>
      </w:r>
      <w:r w:rsidR="003C07B3" w:rsidRPr="003C07B3">
        <w:rPr>
          <w:rFonts w:ascii="Arial" w:hAnsi="Arial"/>
          <w:snapToGrid/>
          <w:color w:val="auto"/>
          <w:sz w:val="18"/>
          <w:szCs w:val="20"/>
          <w:lang w:val="en-GB" w:eastAsia="en-US" w:bidi="ar-SA"/>
        </w:rPr>
        <w:t xml:space="preserve">.  Figure </w:t>
      </w:r>
      <w:r w:rsidR="002C2194" w:rsidRPr="003C07B3">
        <w:rPr>
          <w:rFonts w:ascii="Arial" w:hAnsi="Arial"/>
          <w:snapToGrid/>
          <w:color w:val="auto"/>
          <w:sz w:val="18"/>
          <w:szCs w:val="20"/>
          <w:lang w:val="en-GB" w:eastAsia="en-US" w:bidi="ar-SA"/>
        </w:rPr>
        <w:t>2</w:t>
      </w:r>
      <w:r w:rsidR="002C2194">
        <w:rPr>
          <w:rFonts w:ascii="Arial" w:hAnsi="Arial"/>
          <w:snapToGrid/>
          <w:color w:val="auto"/>
          <w:sz w:val="18"/>
          <w:szCs w:val="20"/>
          <w:lang w:val="en-GB" w:eastAsia="en-US" w:bidi="ar-SA"/>
        </w:rPr>
        <w:t>b</w:t>
      </w:r>
      <w:r w:rsidR="002C2194" w:rsidRPr="003C07B3">
        <w:rPr>
          <w:rFonts w:ascii="Arial" w:hAnsi="Arial"/>
          <w:snapToGrid/>
          <w:color w:val="auto"/>
          <w:sz w:val="18"/>
          <w:szCs w:val="20"/>
          <w:lang w:val="en-GB" w:eastAsia="en-US" w:bidi="ar-SA"/>
        </w:rPr>
        <w:t xml:space="preserve"> </w:t>
      </w:r>
      <w:r w:rsidR="003C07B3" w:rsidRPr="003C07B3">
        <w:rPr>
          <w:rFonts w:ascii="Arial" w:hAnsi="Arial"/>
          <w:snapToGrid/>
          <w:color w:val="auto"/>
          <w:sz w:val="18"/>
          <w:szCs w:val="20"/>
          <w:lang w:val="en-GB" w:eastAsia="en-US" w:bidi="ar-SA"/>
        </w:rPr>
        <w:t xml:space="preserve">shows the 0.7 ton/h jacketed </w:t>
      </w:r>
      <w:r w:rsidR="00B00BBE">
        <w:rPr>
          <w:rFonts w:ascii="Arial" w:hAnsi="Arial"/>
          <w:snapToGrid/>
          <w:color w:val="auto"/>
          <w:sz w:val="18"/>
          <w:szCs w:val="20"/>
          <w:lang w:val="en-GB" w:eastAsia="en-US" w:bidi="ar-SA"/>
        </w:rPr>
        <w:t>C700</w:t>
      </w:r>
      <w:r w:rsidR="003C07B3" w:rsidRPr="003C07B3">
        <w:rPr>
          <w:rFonts w:ascii="Arial" w:hAnsi="Arial"/>
          <w:snapToGrid/>
          <w:color w:val="auto"/>
          <w:sz w:val="18"/>
          <w:szCs w:val="20"/>
          <w:lang w:val="en-GB" w:eastAsia="en-US" w:bidi="ar-SA"/>
        </w:rPr>
        <w:t xml:space="preserve"> HTC reactor.    </w:t>
      </w:r>
    </w:p>
    <w:p w14:paraId="24A02F3E" w14:textId="77777777" w:rsidR="003C07B3" w:rsidRPr="003C07B3" w:rsidRDefault="003C07B3" w:rsidP="003C07B3">
      <w:pPr>
        <w:pStyle w:val="MDPI31text"/>
        <w:rPr>
          <w:rFonts w:ascii="Arial" w:hAnsi="Arial"/>
          <w:snapToGrid/>
          <w:color w:val="auto"/>
          <w:sz w:val="18"/>
          <w:szCs w:val="20"/>
          <w:lang w:val="en-GB" w:eastAsia="en-US" w:bidi="ar-SA"/>
        </w:rPr>
      </w:pPr>
    </w:p>
    <w:p w14:paraId="29F5AC8A" w14:textId="3B87E759" w:rsidR="0049480E" w:rsidRPr="00EE6502" w:rsidRDefault="001B38C4" w:rsidP="006550D5">
      <w:pPr>
        <w:pStyle w:val="MDPI31text"/>
        <w:ind w:firstLine="0"/>
      </w:pPr>
      <w:r>
        <w:rPr>
          <w:lang w:val="en-GB"/>
        </w:rPr>
        <w:t xml:space="preserve"> </w:t>
      </w:r>
    </w:p>
    <w:p w14:paraId="2E019E8E" w14:textId="546D8B2A" w:rsidR="00EE6502" w:rsidRDefault="00684E10" w:rsidP="00664370">
      <w:pPr>
        <w:pStyle w:val="MDPI31text"/>
        <w:ind w:firstLine="0"/>
        <w:jc w:val="center"/>
        <w:rPr>
          <w:lang w:val="en-GB"/>
        </w:rPr>
      </w:pPr>
      <w:r>
        <w:rPr>
          <w:noProof/>
          <w:snapToGrid/>
          <w:lang w:val="it-IT" w:eastAsia="it-IT" w:bidi="ar-SA"/>
        </w:rPr>
        <w:lastRenderedPageBreak/>
        <w:drawing>
          <wp:inline distT="0" distB="0" distL="0" distR="0" wp14:anchorId="30F22840" wp14:editId="61A0C4C8">
            <wp:extent cx="4240264" cy="2241850"/>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7184" cy="2277231"/>
                    </a:xfrm>
                    <a:prstGeom prst="rect">
                      <a:avLst/>
                    </a:prstGeom>
                    <a:noFill/>
                  </pic:spPr>
                </pic:pic>
              </a:graphicData>
            </a:graphic>
          </wp:inline>
        </w:drawing>
      </w:r>
    </w:p>
    <w:p w14:paraId="03BABEB9" w14:textId="25C7EBB2" w:rsidR="001B38C4" w:rsidRDefault="001B38C4" w:rsidP="004B3ACA">
      <w:pPr>
        <w:pStyle w:val="CETBodytext"/>
        <w:jc w:val="center"/>
        <w:rPr>
          <w:i/>
          <w:lang w:val="en-GB"/>
        </w:rPr>
      </w:pPr>
      <w:r w:rsidRPr="00FE2861">
        <w:rPr>
          <w:i/>
          <w:lang w:val="en-GB"/>
        </w:rPr>
        <w:t xml:space="preserve">Figure </w:t>
      </w:r>
      <w:r>
        <w:rPr>
          <w:i/>
          <w:lang w:val="en-GB"/>
        </w:rPr>
        <w:t>1</w:t>
      </w:r>
      <w:r w:rsidRPr="00FE2861">
        <w:rPr>
          <w:i/>
          <w:lang w:val="en-GB"/>
        </w:rPr>
        <w:t xml:space="preserve">: </w:t>
      </w:r>
      <w:r>
        <w:rPr>
          <w:i/>
          <w:lang w:val="en-GB"/>
        </w:rPr>
        <w:t xml:space="preserve">Schematic representation of the continuously operating </w:t>
      </w:r>
      <w:r w:rsidR="00B00BBE">
        <w:rPr>
          <w:i/>
          <w:lang w:val="en-GB"/>
        </w:rPr>
        <w:t>C700</w:t>
      </w:r>
      <w:r>
        <w:rPr>
          <w:i/>
          <w:lang w:val="en-GB"/>
        </w:rPr>
        <w:t xml:space="preserve"> HTC plant</w:t>
      </w:r>
      <w:r w:rsidR="006E1D34">
        <w:rPr>
          <w:i/>
          <w:lang w:val="en-GB"/>
        </w:rPr>
        <w:t>.</w:t>
      </w:r>
    </w:p>
    <w:p w14:paraId="6238A59F" w14:textId="3236B861" w:rsidR="001B38C4" w:rsidRDefault="001B38C4" w:rsidP="001B38C4">
      <w:pPr>
        <w:pStyle w:val="CETBodytext"/>
        <w:jc w:val="left"/>
        <w:rPr>
          <w:i/>
          <w:lang w:val="en-GB"/>
        </w:rPr>
      </w:pPr>
    </w:p>
    <w:p w14:paraId="0CED3945" w14:textId="77777777" w:rsidR="001B38C4" w:rsidRDefault="001B38C4" w:rsidP="001B38C4">
      <w:pPr>
        <w:pStyle w:val="MDPI31text"/>
        <w:ind w:firstLine="0"/>
        <w:jc w:val="center"/>
        <w:rPr>
          <w:lang w:val="en-GB"/>
        </w:rPr>
      </w:pPr>
    </w:p>
    <w:p w14:paraId="50D064AB" w14:textId="66BC8468" w:rsidR="0049480E" w:rsidRDefault="0058781D" w:rsidP="00EB2608">
      <w:pPr>
        <w:pStyle w:val="MDPI31text"/>
        <w:ind w:firstLine="0"/>
        <w:jc w:val="center"/>
        <w:rPr>
          <w:rFonts w:ascii="Arial" w:hAnsi="Arial"/>
          <w:snapToGrid/>
          <w:color w:val="auto"/>
          <w:sz w:val="18"/>
          <w:szCs w:val="20"/>
          <w:lang w:val="en-GB" w:eastAsia="en-US" w:bidi="ar-SA"/>
        </w:rPr>
      </w:pPr>
      <w:r>
        <w:rPr>
          <w:noProof/>
          <w:lang w:val="it-IT" w:eastAsia="it-IT" w:bidi="ar-SA"/>
        </w:rPr>
        <w:drawing>
          <wp:inline distT="0" distB="0" distL="0" distR="0" wp14:anchorId="693065DE" wp14:editId="5EA5091B">
            <wp:extent cx="2141317" cy="20065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928"/>
                    <a:stretch/>
                  </pic:blipFill>
                  <pic:spPr bwMode="auto">
                    <a:xfrm>
                      <a:off x="0" y="0"/>
                      <a:ext cx="2147849" cy="2012641"/>
                    </a:xfrm>
                    <a:prstGeom prst="rect">
                      <a:avLst/>
                    </a:prstGeom>
                    <a:noFill/>
                    <a:ln>
                      <a:noFill/>
                    </a:ln>
                    <a:extLst>
                      <a:ext uri="{53640926-AAD7-44D8-BBD7-CCE9431645EC}">
                        <a14:shadowObscured xmlns:a14="http://schemas.microsoft.com/office/drawing/2010/main"/>
                      </a:ext>
                    </a:extLst>
                  </pic:spPr>
                </pic:pic>
              </a:graphicData>
            </a:graphic>
          </wp:inline>
        </w:drawing>
      </w:r>
      <w:r w:rsidR="00EB2608">
        <w:rPr>
          <w:rFonts w:ascii="Arial" w:hAnsi="Arial"/>
          <w:noProof/>
          <w:snapToGrid/>
          <w:color w:val="auto"/>
          <w:sz w:val="18"/>
          <w:szCs w:val="20"/>
          <w:lang w:val="it-IT" w:eastAsia="it-IT" w:bidi="ar-SA"/>
        </w:rPr>
        <w:drawing>
          <wp:inline distT="0" distB="0" distL="0" distR="0" wp14:anchorId="0BDF8383" wp14:editId="6E67E8BE">
            <wp:extent cx="1077707" cy="200827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2.jpg"/>
                    <pic:cNvPicPr/>
                  </pic:nvPicPr>
                  <pic:blipFill rotWithShape="1">
                    <a:blip r:embed="rId12" cstate="print">
                      <a:extLst>
                        <a:ext uri="{28A0092B-C50C-407E-A947-70E740481C1C}">
                          <a14:useLocalDpi xmlns:a14="http://schemas.microsoft.com/office/drawing/2010/main" val="0"/>
                        </a:ext>
                      </a:extLst>
                    </a:blip>
                    <a:srcRect l="64066"/>
                    <a:stretch/>
                  </pic:blipFill>
                  <pic:spPr bwMode="auto">
                    <a:xfrm>
                      <a:off x="0" y="0"/>
                      <a:ext cx="1080151" cy="2012832"/>
                    </a:xfrm>
                    <a:prstGeom prst="rect">
                      <a:avLst/>
                    </a:prstGeom>
                    <a:ln>
                      <a:noFill/>
                    </a:ln>
                    <a:extLst>
                      <a:ext uri="{53640926-AAD7-44D8-BBD7-CCE9431645EC}">
                        <a14:shadowObscured xmlns:a14="http://schemas.microsoft.com/office/drawing/2010/main"/>
                      </a:ext>
                    </a:extLst>
                  </pic:spPr>
                </pic:pic>
              </a:graphicData>
            </a:graphic>
          </wp:inline>
        </w:drawing>
      </w:r>
    </w:p>
    <w:p w14:paraId="26FE8482" w14:textId="77777777" w:rsidR="00EB2608" w:rsidRDefault="00EB2608" w:rsidP="00EB2608">
      <w:pPr>
        <w:pStyle w:val="CETBodytext"/>
        <w:jc w:val="left"/>
        <w:rPr>
          <w:i/>
          <w:lang w:val="en-GB"/>
        </w:rPr>
      </w:pPr>
    </w:p>
    <w:p w14:paraId="4ACCD183" w14:textId="6D5633AA" w:rsidR="00EB2608" w:rsidRDefault="00EB2608" w:rsidP="0018663B">
      <w:pPr>
        <w:pStyle w:val="CETBodytext"/>
        <w:jc w:val="center"/>
        <w:rPr>
          <w:i/>
          <w:lang w:val="en-GB"/>
        </w:rPr>
      </w:pPr>
      <w:r w:rsidRPr="00FE2861">
        <w:rPr>
          <w:i/>
          <w:lang w:val="en-GB"/>
        </w:rPr>
        <w:t xml:space="preserve">Figure </w:t>
      </w:r>
      <w:r>
        <w:rPr>
          <w:i/>
          <w:lang w:val="en-GB"/>
        </w:rPr>
        <w:t>2</w:t>
      </w:r>
      <w:r w:rsidRPr="00FE2861">
        <w:rPr>
          <w:i/>
          <w:lang w:val="en-GB"/>
        </w:rPr>
        <w:t xml:space="preserve">: </w:t>
      </w:r>
      <w:r>
        <w:rPr>
          <w:i/>
          <w:lang w:val="en-GB"/>
        </w:rPr>
        <w:t xml:space="preserve">(a) </w:t>
      </w:r>
      <w:r w:rsidR="00B00BBE">
        <w:rPr>
          <w:i/>
          <w:lang w:val="en-GB"/>
        </w:rPr>
        <w:t>C700</w:t>
      </w:r>
      <w:r>
        <w:rPr>
          <w:i/>
          <w:lang w:val="en-GB"/>
        </w:rPr>
        <w:t xml:space="preserve"> plant container; (b) </w:t>
      </w:r>
      <w:r w:rsidR="00B00BBE">
        <w:rPr>
          <w:i/>
          <w:lang w:val="en-GB"/>
        </w:rPr>
        <w:t>C700</w:t>
      </w:r>
      <w:r>
        <w:rPr>
          <w:i/>
          <w:lang w:val="en-GB"/>
        </w:rPr>
        <w:t xml:space="preserve"> </w:t>
      </w:r>
      <w:r w:rsidRPr="000F141C">
        <w:rPr>
          <w:i/>
          <w:lang w:val="en-GB"/>
        </w:rPr>
        <w:t>HTC jacketed reactor vessel</w:t>
      </w:r>
      <w:r>
        <w:rPr>
          <w:i/>
          <w:lang w:val="en-GB"/>
        </w:rPr>
        <w:t xml:space="preserve"> </w:t>
      </w:r>
    </w:p>
    <w:p w14:paraId="595E5DEB" w14:textId="1445D365" w:rsidR="00A83D86" w:rsidRDefault="00A83D86" w:rsidP="00EB2608">
      <w:pPr>
        <w:pStyle w:val="CETBodytext"/>
        <w:jc w:val="left"/>
        <w:rPr>
          <w:i/>
          <w:lang w:val="en-GB"/>
        </w:rPr>
      </w:pPr>
    </w:p>
    <w:p w14:paraId="0AB7DE03" w14:textId="0882E817" w:rsidR="00EB2608" w:rsidRDefault="00A83D86" w:rsidP="009533C5">
      <w:pPr>
        <w:pStyle w:val="CETBodytext"/>
        <w:rPr>
          <w:lang w:val="en-GB"/>
        </w:rPr>
      </w:pPr>
      <w:r>
        <w:rPr>
          <w:lang w:val="en-GB"/>
        </w:rPr>
        <w:t xml:space="preserve">The customized reaction system </w:t>
      </w:r>
      <w:r w:rsidRPr="00860C0B">
        <w:rPr>
          <w:lang w:val="en-GB"/>
        </w:rPr>
        <w:t xml:space="preserve">container, </w:t>
      </w:r>
      <w:r w:rsidRPr="0018663B">
        <w:rPr>
          <w:lang w:val="en-GB"/>
        </w:rPr>
        <w:t>8.0 m</w:t>
      </w:r>
      <w:r w:rsidRPr="00860C0B">
        <w:rPr>
          <w:lang w:val="en-GB"/>
        </w:rPr>
        <w:t xml:space="preserve"> long, </w:t>
      </w:r>
      <w:r w:rsidR="00860C0B" w:rsidRPr="0018663B">
        <w:rPr>
          <w:lang w:val="en-GB"/>
        </w:rPr>
        <w:t>2</w:t>
      </w:r>
      <w:r w:rsidRPr="0018663B">
        <w:rPr>
          <w:lang w:val="en-GB"/>
        </w:rPr>
        <w:t>.0 m</w:t>
      </w:r>
      <w:r w:rsidRPr="00860C0B">
        <w:rPr>
          <w:lang w:val="en-GB"/>
        </w:rPr>
        <w:t xml:space="preserve"> large and a maximum height of </w:t>
      </w:r>
      <w:r w:rsidRPr="0018663B">
        <w:rPr>
          <w:lang w:val="en-GB"/>
        </w:rPr>
        <w:t>3.5 m</w:t>
      </w:r>
      <w:r w:rsidR="00DC5C22">
        <w:rPr>
          <w:lang w:val="en-GB"/>
        </w:rPr>
        <w:t xml:space="preserve"> houses</w:t>
      </w:r>
      <w:r>
        <w:rPr>
          <w:lang w:val="en-GB"/>
        </w:rPr>
        <w:t xml:space="preserve"> the reactor vessel, the pumping and heating exchanging system </w:t>
      </w:r>
      <w:r w:rsidR="00860C0B">
        <w:rPr>
          <w:lang w:val="en-GB"/>
        </w:rPr>
        <w:t xml:space="preserve">and </w:t>
      </w:r>
      <w:r>
        <w:rPr>
          <w:lang w:val="en-GB"/>
        </w:rPr>
        <w:t xml:space="preserve">the </w:t>
      </w:r>
      <w:r w:rsidR="0045629F">
        <w:rPr>
          <w:lang w:val="en-GB"/>
        </w:rPr>
        <w:t>PLC control system</w:t>
      </w:r>
      <w:r w:rsidR="002A0573">
        <w:rPr>
          <w:lang w:val="en-GB"/>
        </w:rPr>
        <w:t xml:space="preserve">. The PLC </w:t>
      </w:r>
      <w:r w:rsidR="0045629F">
        <w:rPr>
          <w:lang w:val="en-GB"/>
        </w:rPr>
        <w:t>can be also operated remotely</w:t>
      </w:r>
      <w:r w:rsidR="0033329A">
        <w:rPr>
          <w:lang w:val="en-GB"/>
        </w:rPr>
        <w:t>. A dedicated</w:t>
      </w:r>
      <w:r w:rsidR="0045629F" w:rsidRPr="0045629F">
        <w:rPr>
          <w:lang w:val="en-GB"/>
        </w:rPr>
        <w:t xml:space="preserve"> software</w:t>
      </w:r>
      <w:r w:rsidR="0033329A">
        <w:rPr>
          <w:lang w:val="en-GB"/>
        </w:rPr>
        <w:t>,</w:t>
      </w:r>
      <w:r w:rsidR="0045629F" w:rsidRPr="0045629F">
        <w:rPr>
          <w:lang w:val="en-GB"/>
        </w:rPr>
        <w:t xml:space="preserve"> developed for the plant</w:t>
      </w:r>
      <w:r w:rsidR="002A0573">
        <w:rPr>
          <w:lang w:val="en-GB"/>
        </w:rPr>
        <w:t>,</w:t>
      </w:r>
      <w:r w:rsidR="0045629F" w:rsidRPr="0045629F">
        <w:rPr>
          <w:lang w:val="en-GB"/>
        </w:rPr>
        <w:t xml:space="preserve"> allows real-time monitoring and recording of all process parameters</w:t>
      </w:r>
      <w:r w:rsidR="00F407F5">
        <w:rPr>
          <w:lang w:val="en-GB"/>
        </w:rPr>
        <w:t xml:space="preserve"> and data regarding energy consumption and productivity</w:t>
      </w:r>
      <w:r w:rsidR="0045629F">
        <w:rPr>
          <w:lang w:val="en-GB"/>
        </w:rPr>
        <w:t xml:space="preserve">. </w:t>
      </w:r>
      <w:r w:rsidR="002A0573">
        <w:rPr>
          <w:lang w:val="en-GB"/>
        </w:rPr>
        <w:t>T</w:t>
      </w:r>
      <w:r w:rsidR="00860C0B">
        <w:rPr>
          <w:lang w:val="en-GB"/>
        </w:rPr>
        <w:t xml:space="preserve">he diathermic oil boiler </w:t>
      </w:r>
      <w:r w:rsidR="00215E35">
        <w:rPr>
          <w:lang w:val="en-GB"/>
        </w:rPr>
        <w:t xml:space="preserve">and </w:t>
      </w:r>
      <w:r w:rsidR="00684E10">
        <w:rPr>
          <w:lang w:val="en-GB"/>
        </w:rPr>
        <w:t>its</w:t>
      </w:r>
      <w:r w:rsidR="00215E35">
        <w:rPr>
          <w:lang w:val="en-GB"/>
        </w:rPr>
        <w:t xml:space="preserve"> piping</w:t>
      </w:r>
      <w:r w:rsidR="002A0573">
        <w:rPr>
          <w:lang w:val="en-GB"/>
        </w:rPr>
        <w:t xml:space="preserve"> </w:t>
      </w:r>
      <w:r w:rsidR="00BC34D2">
        <w:rPr>
          <w:lang w:val="en-GB"/>
        </w:rPr>
        <w:t>are</w:t>
      </w:r>
      <w:r w:rsidR="00BC34D2">
        <w:rPr>
          <w:lang w:val="en-GB"/>
        </w:rPr>
        <w:t xml:space="preserve"> </w:t>
      </w:r>
      <w:r w:rsidR="002A0573">
        <w:rPr>
          <w:lang w:val="en-GB"/>
        </w:rPr>
        <w:t>located in a separate cabinet close to the reactor container</w:t>
      </w:r>
      <w:r w:rsidR="00DC5C22">
        <w:rPr>
          <w:lang w:val="en-GB"/>
        </w:rPr>
        <w:t>.</w:t>
      </w:r>
    </w:p>
    <w:p w14:paraId="46084DE9" w14:textId="77777777" w:rsidR="00EB2608" w:rsidRPr="0021735A" w:rsidRDefault="00EB2608" w:rsidP="00EB2608">
      <w:pPr>
        <w:pStyle w:val="MDPI31text"/>
        <w:ind w:firstLine="0"/>
        <w:jc w:val="center"/>
        <w:rPr>
          <w:rFonts w:ascii="Arial" w:hAnsi="Arial"/>
          <w:snapToGrid/>
          <w:color w:val="auto"/>
          <w:sz w:val="18"/>
          <w:szCs w:val="20"/>
          <w:lang w:val="en-GB" w:eastAsia="en-US" w:bidi="ar-SA"/>
        </w:rPr>
      </w:pPr>
      <w:bookmarkStart w:id="1" w:name="_GoBack"/>
    </w:p>
    <w:bookmarkEnd w:id="1"/>
    <w:p w14:paraId="296F5283" w14:textId="07424296" w:rsidR="00AD51B6" w:rsidRPr="009533C5" w:rsidRDefault="00B00BBE" w:rsidP="00AD51B6">
      <w:pPr>
        <w:pStyle w:val="CETheadingx"/>
      </w:pPr>
      <w:r>
        <w:t>C700</w:t>
      </w:r>
      <w:r w:rsidR="006550D5" w:rsidRPr="009533C5">
        <w:t xml:space="preserve"> </w:t>
      </w:r>
      <w:r w:rsidR="00885010" w:rsidRPr="009533C5">
        <w:t>HTC experiments</w:t>
      </w:r>
      <w:r w:rsidR="009533C5" w:rsidRPr="009533C5">
        <w:t xml:space="preserve"> and slurries recovery</w:t>
      </w:r>
    </w:p>
    <w:p w14:paraId="3B3F47D4" w14:textId="485445DB" w:rsidR="00531AF4" w:rsidRDefault="009533C5" w:rsidP="009533C5">
      <w:pPr>
        <w:pStyle w:val="MDPI31text"/>
        <w:rPr>
          <w:rFonts w:ascii="Arial" w:hAnsi="Arial"/>
          <w:snapToGrid/>
          <w:color w:val="auto"/>
          <w:sz w:val="18"/>
          <w:szCs w:val="20"/>
          <w:lang w:val="en-GB" w:eastAsia="en-US" w:bidi="ar-SA"/>
        </w:rPr>
      </w:pPr>
      <w:r w:rsidRPr="009533C5">
        <w:rPr>
          <w:rFonts w:ascii="Arial" w:hAnsi="Arial"/>
          <w:snapToGrid/>
          <w:color w:val="auto"/>
          <w:sz w:val="18"/>
          <w:szCs w:val="20"/>
          <w:lang w:val="en-GB" w:eastAsia="en-US" w:bidi="ar-SA"/>
        </w:rPr>
        <w:t>In this study SSD, OFD and A</w:t>
      </w:r>
      <w:r w:rsidR="00B91835">
        <w:rPr>
          <w:rFonts w:ascii="Arial" w:hAnsi="Arial"/>
          <w:snapToGrid/>
          <w:color w:val="auto"/>
          <w:sz w:val="18"/>
          <w:szCs w:val="20"/>
          <w:lang w:val="en-GB" w:eastAsia="en-US" w:bidi="ar-SA"/>
        </w:rPr>
        <w:t>W</w:t>
      </w:r>
      <w:r w:rsidRPr="009533C5">
        <w:rPr>
          <w:rFonts w:ascii="Arial" w:hAnsi="Arial"/>
          <w:snapToGrid/>
          <w:color w:val="auto"/>
          <w:sz w:val="18"/>
          <w:szCs w:val="20"/>
          <w:lang w:val="en-GB" w:eastAsia="en-US" w:bidi="ar-SA"/>
        </w:rPr>
        <w:t xml:space="preserve">D </w:t>
      </w:r>
      <w:r w:rsidR="00B91835">
        <w:rPr>
          <w:rFonts w:ascii="Arial" w:hAnsi="Arial"/>
          <w:snapToGrid/>
          <w:color w:val="auto"/>
          <w:sz w:val="18"/>
          <w:szCs w:val="20"/>
          <w:lang w:val="en-GB" w:eastAsia="en-US" w:bidi="ar-SA"/>
        </w:rPr>
        <w:t xml:space="preserve">feedstock </w:t>
      </w:r>
      <w:r w:rsidR="00842B95">
        <w:rPr>
          <w:rFonts w:ascii="Arial" w:hAnsi="Arial"/>
          <w:snapToGrid/>
          <w:color w:val="auto"/>
          <w:sz w:val="18"/>
          <w:szCs w:val="20"/>
          <w:lang w:val="en-GB" w:eastAsia="en-US" w:bidi="ar-SA"/>
        </w:rPr>
        <w:t xml:space="preserve">were </w:t>
      </w:r>
      <w:r w:rsidRPr="009533C5">
        <w:rPr>
          <w:rFonts w:ascii="Arial" w:hAnsi="Arial"/>
          <w:snapToGrid/>
          <w:color w:val="auto"/>
          <w:sz w:val="18"/>
          <w:szCs w:val="20"/>
          <w:lang w:val="en-GB" w:eastAsia="en-US" w:bidi="ar-SA"/>
        </w:rPr>
        <w:t xml:space="preserve">carbonized at 190 °C and 1 hour using </w:t>
      </w:r>
      <w:r w:rsidR="00B00BBE">
        <w:rPr>
          <w:rFonts w:ascii="Arial" w:hAnsi="Arial"/>
          <w:snapToGrid/>
          <w:color w:val="auto"/>
          <w:sz w:val="18"/>
          <w:szCs w:val="20"/>
          <w:lang w:val="en-GB" w:eastAsia="en-US" w:bidi="ar-SA"/>
        </w:rPr>
        <w:t>C700</w:t>
      </w:r>
      <w:r w:rsidRPr="009533C5">
        <w:rPr>
          <w:rFonts w:ascii="Arial" w:hAnsi="Arial"/>
          <w:snapToGrid/>
          <w:color w:val="auto"/>
          <w:sz w:val="18"/>
          <w:szCs w:val="20"/>
          <w:lang w:val="en-GB" w:eastAsia="en-US" w:bidi="ar-SA"/>
        </w:rPr>
        <w:t xml:space="preserve"> plant operating in a continuous mode</w:t>
      </w:r>
      <w:r w:rsidR="00842B95">
        <w:rPr>
          <w:rFonts w:ascii="Arial" w:hAnsi="Arial"/>
          <w:snapToGrid/>
          <w:color w:val="auto"/>
          <w:sz w:val="18"/>
          <w:szCs w:val="20"/>
          <w:lang w:val="en-GB" w:eastAsia="en-US" w:bidi="ar-SA"/>
        </w:rPr>
        <w:t xml:space="preserve"> at 0.7 ton/h reaction </w:t>
      </w:r>
      <w:r w:rsidR="00B91835">
        <w:rPr>
          <w:rFonts w:ascii="Arial" w:hAnsi="Arial"/>
          <w:snapToGrid/>
          <w:color w:val="auto"/>
          <w:sz w:val="18"/>
          <w:szCs w:val="20"/>
          <w:lang w:val="en-GB" w:eastAsia="en-US" w:bidi="ar-SA"/>
        </w:rPr>
        <w:t>rate. The produced HTC slurries (SL)</w:t>
      </w:r>
      <w:r w:rsidR="00842B95">
        <w:rPr>
          <w:rFonts w:ascii="Arial" w:hAnsi="Arial"/>
          <w:snapToGrid/>
          <w:color w:val="auto"/>
          <w:sz w:val="18"/>
          <w:szCs w:val="20"/>
          <w:lang w:val="en-GB" w:eastAsia="en-US" w:bidi="ar-SA"/>
        </w:rPr>
        <w:t xml:space="preserve"> </w:t>
      </w:r>
      <w:r w:rsidR="00B91835">
        <w:rPr>
          <w:rFonts w:ascii="Arial" w:hAnsi="Arial"/>
          <w:snapToGrid/>
          <w:color w:val="auto"/>
          <w:sz w:val="18"/>
          <w:szCs w:val="20"/>
          <w:lang w:val="en-GB" w:eastAsia="en-US" w:bidi="ar-SA"/>
        </w:rPr>
        <w:t>were</w:t>
      </w:r>
      <w:r w:rsidR="00B91835" w:rsidRPr="009533C5">
        <w:rPr>
          <w:rFonts w:ascii="Arial" w:hAnsi="Arial"/>
          <w:snapToGrid/>
          <w:color w:val="auto"/>
          <w:sz w:val="18"/>
          <w:szCs w:val="20"/>
          <w:lang w:val="en-GB" w:eastAsia="en-US" w:bidi="ar-SA"/>
        </w:rPr>
        <w:t xml:space="preserve"> centrifuged at 2800 rpm by </w:t>
      </w:r>
      <w:r w:rsidR="00C01F38">
        <w:rPr>
          <w:rFonts w:ascii="Arial" w:hAnsi="Arial"/>
          <w:snapToGrid/>
          <w:color w:val="auto"/>
          <w:sz w:val="18"/>
          <w:szCs w:val="20"/>
          <w:lang w:val="en-GB" w:eastAsia="en-US" w:bidi="ar-SA"/>
        </w:rPr>
        <w:t xml:space="preserve">a </w:t>
      </w:r>
      <w:r w:rsidR="00B91835" w:rsidRPr="009533C5">
        <w:rPr>
          <w:rFonts w:ascii="Arial" w:hAnsi="Arial"/>
          <w:snapToGrid/>
          <w:color w:val="auto"/>
          <w:sz w:val="18"/>
          <w:szCs w:val="20"/>
          <w:lang w:val="en-GB" w:eastAsia="en-US" w:bidi="ar-SA"/>
        </w:rPr>
        <w:t xml:space="preserve">CBB Decanter model CD 50 SIV industrial centrifuge (Figure 3) </w:t>
      </w:r>
      <w:r w:rsidR="00B91835" w:rsidRPr="0058781D">
        <w:rPr>
          <w:rFonts w:ascii="Arial" w:hAnsi="Arial"/>
          <w:snapToGrid/>
          <w:color w:val="auto"/>
          <w:sz w:val="18"/>
          <w:szCs w:val="20"/>
          <w:lang w:val="en-GB" w:eastAsia="en-US" w:bidi="ar-SA"/>
        </w:rPr>
        <w:t xml:space="preserve">working at a flow of 7 </w:t>
      </w:r>
      <w:r w:rsidR="00E01416" w:rsidRPr="00E01416">
        <w:rPr>
          <w:rFonts w:ascii="Arial" w:hAnsi="Arial"/>
          <w:snapToGrid/>
          <w:color w:val="auto"/>
          <w:sz w:val="18"/>
          <w:szCs w:val="20"/>
          <w:lang w:val="en-GB" w:eastAsia="en-US" w:bidi="ar-SA"/>
        </w:rPr>
        <w:t>t</w:t>
      </w:r>
      <w:r w:rsidR="00196E8A">
        <w:rPr>
          <w:rFonts w:ascii="Arial" w:hAnsi="Arial"/>
          <w:snapToGrid/>
          <w:color w:val="auto"/>
          <w:sz w:val="18"/>
          <w:szCs w:val="20"/>
          <w:lang w:val="en-GB" w:eastAsia="en-US" w:bidi="ar-SA"/>
        </w:rPr>
        <w:t>on</w:t>
      </w:r>
      <w:r w:rsidR="00B91835" w:rsidRPr="0058781D">
        <w:rPr>
          <w:rFonts w:ascii="Arial" w:hAnsi="Arial"/>
          <w:snapToGrid/>
          <w:color w:val="auto"/>
          <w:sz w:val="18"/>
          <w:szCs w:val="20"/>
          <w:lang w:val="en-GB" w:eastAsia="en-US" w:bidi="ar-SA"/>
        </w:rPr>
        <w:t>/h of SL</w:t>
      </w:r>
      <w:r w:rsidR="00D816F3" w:rsidRPr="0018663B">
        <w:rPr>
          <w:rFonts w:ascii="Arial" w:hAnsi="Arial"/>
          <w:snapToGrid/>
          <w:color w:val="auto"/>
          <w:sz w:val="18"/>
          <w:szCs w:val="20"/>
          <w:lang w:val="en-GB" w:eastAsia="en-US" w:bidi="ar-SA"/>
        </w:rPr>
        <w:t>.</w:t>
      </w:r>
      <w:r w:rsidR="00B91835" w:rsidRPr="0058781D">
        <w:rPr>
          <w:rFonts w:ascii="Arial" w:hAnsi="Arial"/>
          <w:snapToGrid/>
          <w:color w:val="auto"/>
          <w:sz w:val="18"/>
          <w:szCs w:val="20"/>
          <w:lang w:val="en-GB" w:eastAsia="en-US" w:bidi="ar-SA"/>
        </w:rPr>
        <w:t xml:space="preserve"> The </w:t>
      </w:r>
      <w:r w:rsidR="005C2E19">
        <w:rPr>
          <w:rFonts w:ascii="Arial" w:hAnsi="Arial"/>
          <w:snapToGrid/>
          <w:color w:val="auto"/>
          <w:sz w:val="18"/>
          <w:szCs w:val="20"/>
          <w:lang w:val="en-GB" w:eastAsia="en-US" w:bidi="ar-SA"/>
        </w:rPr>
        <w:t xml:space="preserve">HTC slurry materials were named </w:t>
      </w:r>
      <w:r w:rsidR="005C2E19" w:rsidRPr="0058781D">
        <w:rPr>
          <w:rFonts w:ascii="Arial" w:hAnsi="Arial"/>
          <w:snapToGrid/>
          <w:color w:val="auto"/>
          <w:sz w:val="18"/>
          <w:szCs w:val="20"/>
          <w:lang w:val="en-GB" w:eastAsia="en-US" w:bidi="ar-SA"/>
        </w:rPr>
        <w:t>SSD-</w:t>
      </w:r>
      <w:r w:rsidR="005C2E19">
        <w:rPr>
          <w:rFonts w:ascii="Arial" w:hAnsi="Arial"/>
          <w:snapToGrid/>
          <w:color w:val="auto"/>
          <w:sz w:val="18"/>
          <w:szCs w:val="20"/>
          <w:lang w:val="en-GB" w:eastAsia="en-US" w:bidi="ar-SA"/>
        </w:rPr>
        <w:t>SL</w:t>
      </w:r>
      <w:r w:rsidR="005C2E19" w:rsidRPr="0058781D">
        <w:rPr>
          <w:rFonts w:ascii="Arial" w:hAnsi="Arial"/>
          <w:snapToGrid/>
          <w:color w:val="auto"/>
          <w:sz w:val="18"/>
          <w:szCs w:val="20"/>
          <w:lang w:val="en-GB" w:eastAsia="en-US" w:bidi="ar-SA"/>
        </w:rPr>
        <w:t>, OFD-</w:t>
      </w:r>
      <w:r w:rsidR="005C2E19">
        <w:rPr>
          <w:rFonts w:ascii="Arial" w:hAnsi="Arial"/>
          <w:snapToGrid/>
          <w:color w:val="auto"/>
          <w:sz w:val="18"/>
          <w:szCs w:val="20"/>
          <w:lang w:val="en-GB" w:eastAsia="en-US" w:bidi="ar-SA"/>
        </w:rPr>
        <w:t>SL</w:t>
      </w:r>
      <w:r w:rsidR="005C2E19" w:rsidRPr="0058781D">
        <w:rPr>
          <w:rFonts w:ascii="Arial" w:hAnsi="Arial"/>
          <w:snapToGrid/>
          <w:color w:val="auto"/>
          <w:sz w:val="18"/>
          <w:szCs w:val="20"/>
          <w:lang w:val="en-GB" w:eastAsia="en-US" w:bidi="ar-SA"/>
        </w:rPr>
        <w:t xml:space="preserve"> and AID-</w:t>
      </w:r>
      <w:r w:rsidR="005C2E19">
        <w:rPr>
          <w:rFonts w:ascii="Arial" w:hAnsi="Arial"/>
          <w:snapToGrid/>
          <w:color w:val="auto"/>
          <w:sz w:val="18"/>
          <w:szCs w:val="20"/>
          <w:lang w:val="en-GB" w:eastAsia="en-US" w:bidi="ar-SA"/>
        </w:rPr>
        <w:t xml:space="preserve">SL while </w:t>
      </w:r>
      <w:r w:rsidR="00B91835" w:rsidRPr="0058781D">
        <w:rPr>
          <w:rFonts w:ascii="Arial" w:hAnsi="Arial"/>
          <w:snapToGrid/>
          <w:color w:val="auto"/>
          <w:sz w:val="18"/>
          <w:szCs w:val="20"/>
          <w:lang w:val="en-GB" w:eastAsia="en-US" w:bidi="ar-SA"/>
        </w:rPr>
        <w:t>centrifuged materials (hydrochars) were named SSD-HC, OFD-HC and AID-HC respectively.</w:t>
      </w:r>
      <w:r w:rsidR="00B91835">
        <w:rPr>
          <w:rFonts w:ascii="Arial" w:hAnsi="Arial"/>
          <w:snapToGrid/>
          <w:color w:val="auto"/>
          <w:sz w:val="18"/>
          <w:szCs w:val="20"/>
          <w:lang w:val="en-GB" w:eastAsia="en-US" w:bidi="ar-SA"/>
        </w:rPr>
        <w:t xml:space="preserve"> A sample of at least 5 kg of each hydrochar was</w:t>
      </w:r>
      <w:r w:rsidR="00B91835" w:rsidRPr="009533C5">
        <w:rPr>
          <w:rFonts w:ascii="Arial" w:hAnsi="Arial"/>
          <w:snapToGrid/>
          <w:color w:val="auto"/>
          <w:sz w:val="18"/>
          <w:szCs w:val="20"/>
          <w:lang w:val="en-GB" w:eastAsia="en-US" w:bidi="ar-SA"/>
        </w:rPr>
        <w:t xml:space="preserve"> stored in </w:t>
      </w:r>
      <w:r w:rsidR="00B91835">
        <w:rPr>
          <w:rFonts w:ascii="Arial" w:hAnsi="Arial"/>
          <w:snapToGrid/>
          <w:color w:val="auto"/>
          <w:sz w:val="18"/>
          <w:szCs w:val="20"/>
          <w:lang w:val="en-GB" w:eastAsia="en-US" w:bidi="ar-SA"/>
        </w:rPr>
        <w:t>sealed</w:t>
      </w:r>
      <w:r w:rsidR="00B91835" w:rsidRPr="009533C5">
        <w:rPr>
          <w:rFonts w:ascii="Arial" w:hAnsi="Arial"/>
          <w:snapToGrid/>
          <w:color w:val="auto"/>
          <w:sz w:val="18"/>
          <w:szCs w:val="20"/>
          <w:lang w:val="en-GB" w:eastAsia="en-US" w:bidi="ar-SA"/>
        </w:rPr>
        <w:t xml:space="preserve"> plastic containers and kept at 4 °C before further treatments and </w:t>
      </w:r>
      <w:r w:rsidR="00A5542F">
        <w:rPr>
          <w:rFonts w:ascii="Arial" w:hAnsi="Arial"/>
          <w:snapToGrid/>
          <w:color w:val="auto"/>
          <w:sz w:val="18"/>
          <w:szCs w:val="20"/>
          <w:lang w:val="en-GB" w:eastAsia="en-US" w:bidi="ar-SA"/>
        </w:rPr>
        <w:t>characterization.</w:t>
      </w:r>
    </w:p>
    <w:p w14:paraId="66B811D6" w14:textId="210E74F4" w:rsidR="00531AF4" w:rsidRPr="00A5542F" w:rsidRDefault="00531AF4" w:rsidP="00531AF4">
      <w:pPr>
        <w:pStyle w:val="MDPI31text"/>
        <w:rPr>
          <w:rFonts w:ascii="Arial" w:hAnsi="Arial"/>
          <w:snapToGrid/>
          <w:color w:val="auto"/>
          <w:sz w:val="18"/>
          <w:szCs w:val="20"/>
          <w:lang w:val="en-GB" w:eastAsia="en-US" w:bidi="ar-SA"/>
        </w:rPr>
      </w:pPr>
      <w:r w:rsidRPr="00A5542F">
        <w:rPr>
          <w:rFonts w:ascii="Arial" w:hAnsi="Arial"/>
          <w:snapToGrid/>
          <w:color w:val="auto"/>
          <w:sz w:val="18"/>
          <w:szCs w:val="20"/>
          <w:lang w:val="en-GB" w:eastAsia="en-US" w:bidi="ar-SA"/>
        </w:rPr>
        <w:t xml:space="preserve">During the HTC process, a </w:t>
      </w:r>
      <w:r w:rsidR="00C01F38">
        <w:rPr>
          <w:rFonts w:ascii="Arial" w:hAnsi="Arial"/>
          <w:snapToGrid/>
          <w:color w:val="auto"/>
          <w:sz w:val="18"/>
          <w:szCs w:val="20"/>
          <w:lang w:val="en-GB" w:eastAsia="en-US" w:bidi="ar-SA"/>
        </w:rPr>
        <w:t>portion</w:t>
      </w:r>
      <w:r w:rsidR="00C01F38" w:rsidRPr="00A5542F">
        <w:rPr>
          <w:rFonts w:ascii="Arial" w:hAnsi="Arial"/>
          <w:snapToGrid/>
          <w:color w:val="auto"/>
          <w:sz w:val="18"/>
          <w:szCs w:val="20"/>
          <w:lang w:val="en-GB" w:eastAsia="en-US" w:bidi="ar-SA"/>
        </w:rPr>
        <w:t xml:space="preserve"> </w:t>
      </w:r>
      <w:r w:rsidRPr="00A5542F">
        <w:rPr>
          <w:rFonts w:ascii="Arial" w:hAnsi="Arial"/>
          <w:snapToGrid/>
          <w:color w:val="auto"/>
          <w:sz w:val="18"/>
          <w:szCs w:val="20"/>
          <w:lang w:val="en-GB" w:eastAsia="en-US" w:bidi="ar-SA"/>
        </w:rPr>
        <w:t xml:space="preserve">of the solid fraction </w:t>
      </w:r>
      <w:r w:rsidR="0058781D">
        <w:rPr>
          <w:rFonts w:ascii="Arial" w:hAnsi="Arial"/>
          <w:snapToGrid/>
          <w:color w:val="auto"/>
          <w:sz w:val="18"/>
          <w:szCs w:val="20"/>
          <w:lang w:val="en-GB" w:eastAsia="en-US" w:bidi="ar-SA"/>
        </w:rPr>
        <w:t>o</w:t>
      </w:r>
      <w:r w:rsidRPr="00A5542F">
        <w:rPr>
          <w:rFonts w:ascii="Arial" w:hAnsi="Arial"/>
          <w:snapToGrid/>
          <w:color w:val="auto"/>
          <w:sz w:val="18"/>
          <w:szCs w:val="20"/>
          <w:lang w:val="en-GB" w:eastAsia="en-US" w:bidi="ar-SA"/>
        </w:rPr>
        <w:t>f the starting biomass is converted into a gas that is mainly composed of CO</w:t>
      </w:r>
      <w:r w:rsidRPr="00A5542F">
        <w:rPr>
          <w:rFonts w:ascii="Arial" w:hAnsi="Arial"/>
          <w:snapToGrid/>
          <w:color w:val="auto"/>
          <w:sz w:val="18"/>
          <w:szCs w:val="20"/>
          <w:vertAlign w:val="subscript"/>
          <w:lang w:val="en-GB" w:eastAsia="en-US" w:bidi="ar-SA"/>
        </w:rPr>
        <w:t>2</w:t>
      </w:r>
      <w:r w:rsidRPr="00A5542F">
        <w:rPr>
          <w:rFonts w:ascii="Arial" w:hAnsi="Arial"/>
          <w:snapToGrid/>
          <w:color w:val="auto"/>
          <w:sz w:val="18"/>
          <w:szCs w:val="20"/>
          <w:lang w:val="en-GB" w:eastAsia="en-US" w:bidi="ar-SA"/>
        </w:rPr>
        <w:t xml:space="preserve"> and </w:t>
      </w:r>
      <w:r w:rsidR="006E1D34">
        <w:rPr>
          <w:rFonts w:ascii="Arial" w:hAnsi="Arial"/>
          <w:snapToGrid/>
          <w:color w:val="auto"/>
          <w:sz w:val="18"/>
          <w:szCs w:val="20"/>
          <w:lang w:val="en-GB" w:eastAsia="en-US" w:bidi="ar-SA"/>
        </w:rPr>
        <w:t xml:space="preserve">a </w:t>
      </w:r>
      <w:r w:rsidRPr="00A5542F">
        <w:rPr>
          <w:rFonts w:ascii="Arial" w:hAnsi="Arial"/>
          <w:snapToGrid/>
          <w:color w:val="auto"/>
          <w:sz w:val="18"/>
          <w:szCs w:val="20"/>
          <w:lang w:val="en-GB" w:eastAsia="en-US" w:bidi="ar-SA"/>
        </w:rPr>
        <w:t>liquid</w:t>
      </w:r>
      <w:r w:rsidR="006E1D34">
        <w:rPr>
          <w:rFonts w:ascii="Arial" w:hAnsi="Arial"/>
          <w:snapToGrid/>
          <w:color w:val="auto"/>
          <w:sz w:val="18"/>
          <w:szCs w:val="20"/>
          <w:lang w:val="en-GB" w:eastAsia="en-US" w:bidi="ar-SA"/>
        </w:rPr>
        <w:t xml:space="preserve"> aqueous</w:t>
      </w:r>
      <w:r w:rsidRPr="00A5542F">
        <w:rPr>
          <w:rFonts w:ascii="Arial" w:hAnsi="Arial"/>
          <w:snapToGrid/>
          <w:color w:val="auto"/>
          <w:sz w:val="18"/>
          <w:szCs w:val="20"/>
          <w:lang w:val="en-GB" w:eastAsia="en-US" w:bidi="ar-SA"/>
        </w:rPr>
        <w:t xml:space="preserve"> phase. As a consequence, the amount of total solid (TS) found in the HTC slurries</w:t>
      </w:r>
      <w:r w:rsidR="00A5542F">
        <w:rPr>
          <w:rFonts w:ascii="Arial" w:hAnsi="Arial"/>
          <w:snapToGrid/>
          <w:color w:val="auto"/>
          <w:sz w:val="18"/>
          <w:szCs w:val="20"/>
          <w:lang w:val="en-GB" w:eastAsia="en-US" w:bidi="ar-SA"/>
        </w:rPr>
        <w:t>, before centrifugation,</w:t>
      </w:r>
      <w:r w:rsidRPr="00A5542F">
        <w:rPr>
          <w:rFonts w:ascii="Arial" w:hAnsi="Arial"/>
          <w:snapToGrid/>
          <w:color w:val="auto"/>
          <w:sz w:val="18"/>
          <w:szCs w:val="20"/>
          <w:lang w:val="en-GB" w:eastAsia="en-US" w:bidi="ar-SA"/>
        </w:rPr>
        <w:t xml:space="preserve"> was lower than solid in the starting sludge. Eq</w:t>
      </w:r>
      <w:r w:rsidR="005A1654">
        <w:rPr>
          <w:rFonts w:ascii="Arial" w:hAnsi="Arial"/>
          <w:snapToGrid/>
          <w:color w:val="auto"/>
          <w:sz w:val="18"/>
          <w:szCs w:val="20"/>
          <w:lang w:val="en-GB" w:eastAsia="en-US" w:bidi="ar-SA"/>
        </w:rPr>
        <w:t>.</w:t>
      </w:r>
      <w:r w:rsidRPr="00A5542F">
        <w:rPr>
          <w:rFonts w:ascii="Arial" w:hAnsi="Arial"/>
          <w:snapToGrid/>
          <w:color w:val="auto"/>
          <w:sz w:val="18"/>
          <w:szCs w:val="20"/>
          <w:lang w:val="en-GB" w:eastAsia="en-US" w:bidi="ar-SA"/>
        </w:rPr>
        <w:t xml:space="preserve"> (1) </w:t>
      </w:r>
      <w:r w:rsidR="0091103B">
        <w:rPr>
          <w:rFonts w:ascii="Arial" w:hAnsi="Arial"/>
          <w:snapToGrid/>
          <w:color w:val="auto"/>
          <w:sz w:val="18"/>
          <w:szCs w:val="20"/>
          <w:lang w:val="en-GB" w:eastAsia="en-US" w:bidi="ar-SA"/>
        </w:rPr>
        <w:t>and (2) are</w:t>
      </w:r>
      <w:r w:rsidRPr="00A5542F">
        <w:rPr>
          <w:rFonts w:ascii="Arial" w:hAnsi="Arial"/>
          <w:snapToGrid/>
          <w:color w:val="auto"/>
          <w:sz w:val="18"/>
          <w:szCs w:val="20"/>
          <w:lang w:val="en-GB" w:eastAsia="en-US" w:bidi="ar-SA"/>
        </w:rPr>
        <w:t xml:space="preserve"> used to compute the solid </w:t>
      </w:r>
      <w:r w:rsidR="0091103B" w:rsidRPr="00A5542F">
        <w:rPr>
          <w:rFonts w:ascii="Arial" w:hAnsi="Arial"/>
          <w:snapToGrid/>
          <w:color w:val="auto"/>
          <w:sz w:val="18"/>
          <w:szCs w:val="20"/>
          <w:lang w:val="en-GB" w:eastAsia="en-US" w:bidi="ar-SA"/>
        </w:rPr>
        <w:t>(MY</w:t>
      </w:r>
      <w:r w:rsidR="0091103B" w:rsidRPr="00A5542F">
        <w:rPr>
          <w:rFonts w:ascii="Arial" w:hAnsi="Arial"/>
          <w:snapToGrid/>
          <w:color w:val="auto"/>
          <w:sz w:val="18"/>
          <w:szCs w:val="20"/>
          <w:vertAlign w:val="subscript"/>
          <w:lang w:val="en-GB" w:eastAsia="en-US" w:bidi="ar-SA"/>
        </w:rPr>
        <w:t>S</w:t>
      </w:r>
      <w:r w:rsidR="0091103B" w:rsidRPr="00A5542F">
        <w:rPr>
          <w:rFonts w:ascii="Arial" w:hAnsi="Arial"/>
          <w:snapToGrid/>
          <w:color w:val="auto"/>
          <w:sz w:val="18"/>
          <w:szCs w:val="20"/>
          <w:lang w:val="en-GB" w:eastAsia="en-US" w:bidi="ar-SA"/>
        </w:rPr>
        <w:t xml:space="preserve">) </w:t>
      </w:r>
      <w:r w:rsidR="0091103B">
        <w:rPr>
          <w:rFonts w:ascii="Arial" w:hAnsi="Arial"/>
          <w:snapToGrid/>
          <w:color w:val="auto"/>
          <w:sz w:val="18"/>
          <w:szCs w:val="20"/>
          <w:lang w:val="en-GB" w:eastAsia="en-US" w:bidi="ar-SA"/>
        </w:rPr>
        <w:t xml:space="preserve">and the </w:t>
      </w:r>
      <w:r w:rsidR="005A1654">
        <w:rPr>
          <w:rFonts w:ascii="Arial" w:hAnsi="Arial"/>
          <w:snapToGrid/>
          <w:color w:val="auto"/>
          <w:sz w:val="18"/>
          <w:szCs w:val="20"/>
          <w:lang w:val="en-GB" w:eastAsia="en-US" w:bidi="ar-SA"/>
        </w:rPr>
        <w:t>liquid</w:t>
      </w:r>
      <w:r w:rsidR="0091103B">
        <w:rPr>
          <w:rFonts w:ascii="Arial" w:hAnsi="Arial"/>
          <w:snapToGrid/>
          <w:color w:val="auto"/>
          <w:sz w:val="18"/>
          <w:szCs w:val="20"/>
          <w:lang w:val="en-GB" w:eastAsia="en-US" w:bidi="ar-SA"/>
        </w:rPr>
        <w:t xml:space="preserve"> (MY</w:t>
      </w:r>
      <w:r w:rsidR="005A1654">
        <w:rPr>
          <w:rFonts w:ascii="Arial" w:hAnsi="Arial"/>
          <w:snapToGrid/>
          <w:color w:val="auto"/>
          <w:sz w:val="18"/>
          <w:szCs w:val="20"/>
          <w:vertAlign w:val="subscript"/>
          <w:lang w:val="en-GB" w:eastAsia="en-US" w:bidi="ar-SA"/>
        </w:rPr>
        <w:t>l</w:t>
      </w:r>
      <w:r w:rsidR="0091103B">
        <w:rPr>
          <w:rFonts w:ascii="Arial" w:hAnsi="Arial"/>
          <w:snapToGrid/>
          <w:color w:val="auto"/>
          <w:sz w:val="18"/>
          <w:szCs w:val="20"/>
          <w:lang w:val="en-GB" w:eastAsia="en-US" w:bidi="ar-SA"/>
        </w:rPr>
        <w:t xml:space="preserve">) </w:t>
      </w:r>
      <w:r w:rsidRPr="00A5542F">
        <w:rPr>
          <w:rFonts w:ascii="Arial" w:hAnsi="Arial"/>
          <w:snapToGrid/>
          <w:color w:val="auto"/>
          <w:sz w:val="18"/>
          <w:szCs w:val="20"/>
          <w:lang w:val="en-GB" w:eastAsia="en-US" w:bidi="ar-SA"/>
        </w:rPr>
        <w:t xml:space="preserve">mass yields </w:t>
      </w:r>
      <w:r w:rsidR="0091103B">
        <w:rPr>
          <w:rFonts w:ascii="Arial" w:hAnsi="Arial"/>
          <w:snapToGrid/>
          <w:color w:val="auto"/>
          <w:sz w:val="18"/>
          <w:szCs w:val="20"/>
          <w:lang w:val="en-GB" w:eastAsia="en-US" w:bidi="ar-SA"/>
        </w:rPr>
        <w:t>obtained during</w:t>
      </w:r>
      <w:r w:rsidRPr="00A5542F">
        <w:rPr>
          <w:rFonts w:ascii="Arial" w:hAnsi="Arial"/>
          <w:snapToGrid/>
          <w:color w:val="auto"/>
          <w:sz w:val="18"/>
          <w:szCs w:val="20"/>
          <w:lang w:val="en-GB" w:eastAsia="en-US" w:bidi="ar-SA"/>
        </w:rPr>
        <w:t xml:space="preserve"> HTC:</w:t>
      </w:r>
    </w:p>
    <w:p w14:paraId="1615970C" w14:textId="77777777" w:rsidR="00531AF4" w:rsidRDefault="00531AF4" w:rsidP="00531AF4">
      <w:pPr>
        <w:pStyle w:val="CETBodytext"/>
      </w:pPr>
    </w:p>
    <w:tbl>
      <w:tblPr>
        <w:tblW w:w="5000" w:type="pct"/>
        <w:tblLook w:val="04A0" w:firstRow="1" w:lastRow="0" w:firstColumn="1" w:lastColumn="0" w:noHBand="0" w:noVBand="1"/>
      </w:tblPr>
      <w:tblGrid>
        <w:gridCol w:w="7983"/>
        <w:gridCol w:w="804"/>
      </w:tblGrid>
      <w:tr w:rsidR="0091103B" w:rsidRPr="00AD3C4A" w14:paraId="43F2D396" w14:textId="77777777" w:rsidTr="0091103B">
        <w:tc>
          <w:tcPr>
            <w:tcW w:w="7983" w:type="dxa"/>
            <w:shd w:val="clear" w:color="auto" w:fill="auto"/>
            <w:vAlign w:val="center"/>
          </w:tcPr>
          <w:p w14:paraId="55505BBC" w14:textId="366DC2E8" w:rsidR="0091103B" w:rsidRPr="00215E35" w:rsidRDefault="0091103B" w:rsidP="006E1D34">
            <w:pPr>
              <w:pStyle w:val="CETEquation"/>
            </w:pPr>
            <m:oMathPara>
              <m:oMathParaPr>
                <m:jc m:val="left"/>
              </m:oMathParaPr>
              <m:oMath>
                <m:r>
                  <w:rPr>
                    <w:rFonts w:ascii="Cambria Math" w:hAnsi="Cambria Math"/>
                  </w:rPr>
                  <w:lastRenderedPageBreak/>
                  <m:t>MYs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i"/>
                          </m:rPr>
                          <w:rPr>
                            <w:rFonts w:ascii="Cambria Math" w:hAnsi="Cambria Math"/>
                          </w:rPr>
                          <m:t>M</m:t>
                        </m:r>
                      </m:e>
                      <m:sub>
                        <m:r>
                          <m:rPr>
                            <m:sty m:val="bi"/>
                          </m:rPr>
                          <w:rPr>
                            <w:rFonts w:ascii="Cambria Math" w:hAnsi="Cambria Math"/>
                          </w:rPr>
                          <m:t>S</m:t>
                        </m:r>
                        <m:r>
                          <m:rPr>
                            <m:sty m:val="p"/>
                          </m:rPr>
                          <w:rPr>
                            <w:rFonts w:ascii="Cambria Math" w:hAnsi="Cambria Math"/>
                          </w:rPr>
                          <m:t>-</m:t>
                        </m:r>
                        <m:r>
                          <m:rPr>
                            <m:sty m:val="bi"/>
                          </m:rPr>
                          <w:rPr>
                            <w:rFonts w:ascii="Cambria Math" w:hAnsi="Cambria Math"/>
                          </w:rPr>
                          <m:t>SL</m:t>
                        </m:r>
                        <m:r>
                          <m:rPr>
                            <m:sty m:val="p"/>
                          </m:rPr>
                          <w:rPr>
                            <w:rFonts w:ascii="Cambria Math" w:hAnsi="Cambria Math"/>
                          </w:rPr>
                          <m:t xml:space="preserve"> </m:t>
                        </m:r>
                      </m:sub>
                    </m:sSub>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S</m:t>
                        </m:r>
                        <m:r>
                          <m:rPr>
                            <m:sty m:val="p"/>
                          </m:rPr>
                          <w:rPr>
                            <w:rFonts w:ascii="Cambria Math" w:hAnsi="Cambria Math"/>
                          </w:rPr>
                          <m:t>-</m:t>
                        </m:r>
                        <m:r>
                          <m:rPr>
                            <m:sty m:val="bi"/>
                          </m:rPr>
                          <w:rPr>
                            <w:rFonts w:ascii="Cambria Math" w:hAnsi="Cambria Math"/>
                          </w:rPr>
                          <m:t>DS</m:t>
                        </m:r>
                        <m:r>
                          <m:rPr>
                            <m:sty m:val="p"/>
                          </m:rPr>
                          <w:rPr>
                            <w:rFonts w:ascii="Cambria Math" w:hAnsi="Cambria Math"/>
                          </w:rPr>
                          <m:t xml:space="preserve"> </m:t>
                        </m:r>
                      </m:sub>
                    </m:sSub>
                  </m:den>
                </m:f>
                <m:r>
                  <m:rPr>
                    <m:sty m:val="p"/>
                  </m:rPr>
                  <w:rPr>
                    <w:rFonts w:ascii="Cambria Math" w:hAnsi="Cambria Math"/>
                  </w:rPr>
                  <m:t xml:space="preserve"> ∙100 </m:t>
                </m:r>
              </m:oMath>
            </m:oMathPara>
          </w:p>
        </w:tc>
        <w:tc>
          <w:tcPr>
            <w:tcW w:w="804" w:type="dxa"/>
            <w:shd w:val="clear" w:color="auto" w:fill="auto"/>
            <w:vAlign w:val="center"/>
          </w:tcPr>
          <w:p w14:paraId="06DC13DE" w14:textId="4B7724CA" w:rsidR="0091103B" w:rsidRPr="0091103B" w:rsidRDefault="0091103B" w:rsidP="0091103B">
            <w:pPr>
              <w:pStyle w:val="CETBodytext"/>
              <w:rPr>
                <w:lang w:val="en-GB"/>
              </w:rPr>
            </w:pPr>
            <w:r w:rsidRPr="0018663B">
              <w:rPr>
                <w:lang w:val="en-GB"/>
              </w:rPr>
              <w:t>(1)</w:t>
            </w:r>
          </w:p>
        </w:tc>
      </w:tr>
      <w:tr w:rsidR="0091103B" w:rsidRPr="00AD3C4A" w14:paraId="54B40644" w14:textId="77777777" w:rsidTr="0091103B">
        <w:tc>
          <w:tcPr>
            <w:tcW w:w="7983" w:type="dxa"/>
            <w:shd w:val="clear" w:color="auto" w:fill="auto"/>
            <w:vAlign w:val="center"/>
          </w:tcPr>
          <w:p w14:paraId="373E73FE" w14:textId="2BDB205D" w:rsidR="0091103B" w:rsidRPr="00215E35" w:rsidRDefault="0091103B" w:rsidP="006E1D34">
            <w:pPr>
              <w:pStyle w:val="CETEquation"/>
              <w:rPr>
                <w:rFonts w:ascii="Cambria Math" w:hAnsi="Cambria Math"/>
                <w:oMath/>
              </w:rPr>
            </w:pPr>
            <m:oMathPara>
              <m:oMathParaPr>
                <m:jc m:val="left"/>
              </m:oMathParaPr>
              <m:oMath>
                <m:r>
                  <w:rPr>
                    <w:rFonts w:ascii="Cambria Math" w:hAnsi="Cambria Math"/>
                  </w:rPr>
                  <m:t>MYl</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i"/>
                          </m:rPr>
                          <w:rPr>
                            <w:rFonts w:ascii="Cambria Math" w:hAnsi="Cambria Math"/>
                          </w:rPr>
                          <m:t>M</m:t>
                        </m:r>
                      </m:e>
                      <m:sub>
                        <m:r>
                          <m:rPr>
                            <m:sty m:val="bi"/>
                          </m:rPr>
                          <w:rPr>
                            <w:rFonts w:ascii="Cambria Math" w:hAnsi="Cambria Math"/>
                          </w:rPr>
                          <m:t>l</m:t>
                        </m:r>
                        <m:r>
                          <m:rPr>
                            <m:sty m:val="p"/>
                          </m:rPr>
                          <w:rPr>
                            <w:rFonts w:ascii="Cambria Math" w:hAnsi="Cambria Math"/>
                          </w:rPr>
                          <m:t>-</m:t>
                        </m:r>
                        <m:r>
                          <m:rPr>
                            <m:sty m:val="bi"/>
                          </m:rPr>
                          <w:rPr>
                            <w:rFonts w:ascii="Cambria Math" w:hAnsi="Cambria Math"/>
                          </w:rPr>
                          <m:t>SL</m:t>
                        </m:r>
                        <m:r>
                          <m:rPr>
                            <m:sty m:val="p"/>
                          </m:rPr>
                          <w:rPr>
                            <w:rFonts w:ascii="Cambria Math" w:hAnsi="Cambria Math"/>
                          </w:rPr>
                          <m:t xml:space="preserve"> </m:t>
                        </m:r>
                        <m:r>
                          <m:rPr>
                            <m:sty m:val="bi"/>
                          </m:rPr>
                          <w:rPr>
                            <w:rFonts w:ascii="Cambria Math" w:hAnsi="Cambria Math"/>
                          </w:rPr>
                          <m:t>db</m:t>
                        </m:r>
                      </m:sub>
                    </m:sSub>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S</m:t>
                        </m:r>
                        <m:r>
                          <m:rPr>
                            <m:sty m:val="p"/>
                          </m:rPr>
                          <w:rPr>
                            <w:rFonts w:ascii="Cambria Math" w:hAnsi="Cambria Math"/>
                          </w:rPr>
                          <m:t>-</m:t>
                        </m:r>
                        <m:r>
                          <m:rPr>
                            <m:sty m:val="bi"/>
                          </m:rPr>
                          <w:rPr>
                            <w:rFonts w:ascii="Cambria Math" w:hAnsi="Cambria Math"/>
                          </w:rPr>
                          <m:t>DS</m:t>
                        </m:r>
                        <m:r>
                          <m:rPr>
                            <m:sty m:val="p"/>
                          </m:rPr>
                          <w:rPr>
                            <w:rFonts w:ascii="Cambria Math" w:hAnsi="Cambria Math"/>
                          </w:rPr>
                          <m:t xml:space="preserve"> </m:t>
                        </m:r>
                        <m:r>
                          <m:rPr>
                            <m:sty m:val="bi"/>
                          </m:rPr>
                          <w:rPr>
                            <w:rFonts w:ascii="Cambria Math" w:hAnsi="Cambria Math"/>
                          </w:rPr>
                          <m:t>db</m:t>
                        </m:r>
                      </m:sub>
                    </m:sSub>
                  </m:den>
                </m:f>
                <m:r>
                  <m:rPr>
                    <m:sty m:val="p"/>
                  </m:rPr>
                  <w:rPr>
                    <w:rFonts w:ascii="Cambria Math" w:hAnsi="Cambria Math"/>
                  </w:rPr>
                  <m:t xml:space="preserve"> ∙100 </m:t>
                </m:r>
              </m:oMath>
            </m:oMathPara>
          </w:p>
        </w:tc>
        <w:tc>
          <w:tcPr>
            <w:tcW w:w="804" w:type="dxa"/>
            <w:shd w:val="clear" w:color="auto" w:fill="auto"/>
            <w:vAlign w:val="center"/>
          </w:tcPr>
          <w:p w14:paraId="71F4BAED" w14:textId="589F07CE" w:rsidR="0091103B" w:rsidRPr="00AD3C4A" w:rsidRDefault="0091103B" w:rsidP="0091103B">
            <w:pPr>
              <w:pStyle w:val="CETEquation"/>
            </w:pPr>
            <w:r w:rsidRPr="00AD3C4A">
              <w:t>(</w:t>
            </w:r>
            <w:r>
              <w:t>2</w:t>
            </w:r>
            <w:r w:rsidRPr="00AD3C4A">
              <w:t>)</w:t>
            </w:r>
          </w:p>
        </w:tc>
      </w:tr>
    </w:tbl>
    <w:p w14:paraId="76DF3C0E" w14:textId="4AA4E7C4" w:rsidR="00531AF4" w:rsidRPr="0018663B" w:rsidRDefault="00531AF4" w:rsidP="00531AF4">
      <w:pPr>
        <w:pStyle w:val="MDPI31text"/>
        <w:rPr>
          <w:rFonts w:ascii="Arial" w:hAnsi="Arial"/>
          <w:snapToGrid/>
          <w:color w:val="auto"/>
          <w:sz w:val="18"/>
          <w:szCs w:val="20"/>
          <w:lang w:val="en-GB" w:eastAsia="en-US" w:bidi="ar-SA"/>
        </w:rPr>
      </w:pPr>
      <w:r w:rsidRPr="0018663B">
        <w:rPr>
          <w:rFonts w:ascii="Arial" w:hAnsi="Arial"/>
          <w:snapToGrid/>
          <w:color w:val="auto"/>
          <w:sz w:val="18"/>
          <w:szCs w:val="20"/>
          <w:lang w:val="en-GB" w:eastAsia="en-US" w:bidi="ar-SA"/>
        </w:rPr>
        <w:t>where M</w:t>
      </w:r>
      <w:r w:rsidR="00A5542F" w:rsidRPr="0018663B">
        <w:rPr>
          <w:rFonts w:ascii="Arial" w:hAnsi="Arial"/>
          <w:snapToGrid/>
          <w:color w:val="auto"/>
          <w:sz w:val="18"/>
          <w:szCs w:val="20"/>
          <w:vertAlign w:val="subscript"/>
          <w:lang w:val="en-GB" w:eastAsia="en-US" w:bidi="ar-SA"/>
        </w:rPr>
        <w:t>S-</w:t>
      </w:r>
      <w:r w:rsidR="006E1D34">
        <w:rPr>
          <w:rFonts w:ascii="Arial" w:hAnsi="Arial"/>
          <w:snapToGrid/>
          <w:color w:val="auto"/>
          <w:sz w:val="18"/>
          <w:szCs w:val="20"/>
          <w:vertAlign w:val="subscript"/>
          <w:lang w:val="en-GB" w:eastAsia="en-US" w:bidi="ar-SA"/>
        </w:rPr>
        <w:t>SL</w:t>
      </w:r>
      <w:r w:rsidRPr="0018663B">
        <w:rPr>
          <w:rFonts w:ascii="Arial" w:hAnsi="Arial"/>
          <w:snapToGrid/>
          <w:color w:val="auto"/>
          <w:sz w:val="18"/>
          <w:szCs w:val="20"/>
          <w:lang w:val="en-GB" w:eastAsia="en-US" w:bidi="ar-SA"/>
        </w:rPr>
        <w:t xml:space="preserve"> </w:t>
      </w:r>
      <w:r w:rsidR="0091103B" w:rsidRPr="0018663B">
        <w:rPr>
          <w:rFonts w:ascii="Arial" w:hAnsi="Arial"/>
          <w:snapToGrid/>
          <w:color w:val="auto"/>
          <w:sz w:val="18"/>
          <w:szCs w:val="20"/>
          <w:lang w:val="en-GB" w:eastAsia="en-US" w:bidi="ar-SA"/>
        </w:rPr>
        <w:t>and M</w:t>
      </w:r>
      <w:r w:rsidR="0091103B" w:rsidRPr="0018663B">
        <w:rPr>
          <w:rFonts w:ascii="Arial" w:hAnsi="Arial"/>
          <w:snapToGrid/>
          <w:color w:val="auto"/>
          <w:sz w:val="18"/>
          <w:szCs w:val="20"/>
          <w:vertAlign w:val="subscript"/>
          <w:lang w:val="en-GB" w:eastAsia="en-US" w:bidi="ar-SA"/>
        </w:rPr>
        <w:t>l-</w:t>
      </w:r>
      <w:r w:rsidR="006E1D34">
        <w:rPr>
          <w:rFonts w:ascii="Arial" w:hAnsi="Arial"/>
          <w:snapToGrid/>
          <w:color w:val="auto"/>
          <w:sz w:val="18"/>
          <w:szCs w:val="20"/>
          <w:vertAlign w:val="subscript"/>
          <w:lang w:val="en-GB" w:eastAsia="en-US" w:bidi="ar-SA"/>
        </w:rPr>
        <w:t>SL</w:t>
      </w:r>
      <w:r w:rsidR="0091103B" w:rsidRPr="0018663B">
        <w:rPr>
          <w:rFonts w:ascii="Arial" w:hAnsi="Arial"/>
          <w:snapToGrid/>
          <w:color w:val="auto"/>
          <w:sz w:val="18"/>
          <w:szCs w:val="20"/>
          <w:lang w:val="en-GB" w:eastAsia="en-US" w:bidi="ar-SA"/>
        </w:rPr>
        <w:t xml:space="preserve"> are</w:t>
      </w:r>
      <w:r w:rsidRPr="0018663B">
        <w:rPr>
          <w:rFonts w:ascii="Arial" w:hAnsi="Arial"/>
          <w:snapToGrid/>
          <w:color w:val="auto"/>
          <w:sz w:val="18"/>
          <w:szCs w:val="20"/>
          <w:lang w:val="en-GB" w:eastAsia="en-US" w:bidi="ar-SA"/>
        </w:rPr>
        <w:t xml:space="preserve"> the </w:t>
      </w:r>
      <w:r w:rsidR="0091103B" w:rsidRPr="0018663B">
        <w:rPr>
          <w:rFonts w:ascii="Arial" w:hAnsi="Arial"/>
          <w:snapToGrid/>
          <w:color w:val="auto"/>
          <w:sz w:val="18"/>
          <w:szCs w:val="20"/>
          <w:lang w:val="en-GB" w:eastAsia="en-US" w:bidi="ar-SA"/>
        </w:rPr>
        <w:t xml:space="preserve">dry basis masses </w:t>
      </w:r>
      <w:r w:rsidR="00A5542F" w:rsidRPr="0018663B">
        <w:rPr>
          <w:rFonts w:ascii="Arial" w:hAnsi="Arial"/>
          <w:snapToGrid/>
          <w:color w:val="auto"/>
          <w:sz w:val="18"/>
          <w:szCs w:val="20"/>
          <w:lang w:val="en-GB" w:eastAsia="en-US" w:bidi="ar-SA"/>
        </w:rPr>
        <w:t xml:space="preserve">of the solid </w:t>
      </w:r>
      <w:r w:rsidR="0091103B" w:rsidRPr="0018663B">
        <w:rPr>
          <w:rFonts w:ascii="Arial" w:hAnsi="Arial"/>
          <w:snapToGrid/>
          <w:color w:val="auto"/>
          <w:sz w:val="18"/>
          <w:szCs w:val="20"/>
          <w:lang w:val="en-GB" w:eastAsia="en-US" w:bidi="ar-SA"/>
        </w:rPr>
        <w:t xml:space="preserve">and liquid phase </w:t>
      </w:r>
      <w:r w:rsidR="006E1D34">
        <w:rPr>
          <w:rFonts w:ascii="Arial" w:hAnsi="Arial"/>
          <w:snapToGrid/>
          <w:color w:val="auto"/>
          <w:sz w:val="18"/>
          <w:szCs w:val="20"/>
          <w:lang w:val="en-GB" w:eastAsia="en-US" w:bidi="ar-SA"/>
        </w:rPr>
        <w:t xml:space="preserve">in the slurries </w:t>
      </w:r>
      <w:r w:rsidR="0091103B" w:rsidRPr="0018663B">
        <w:rPr>
          <w:rFonts w:ascii="Arial" w:hAnsi="Arial"/>
          <w:snapToGrid/>
          <w:color w:val="auto"/>
          <w:sz w:val="18"/>
          <w:szCs w:val="20"/>
          <w:lang w:val="en-GB" w:eastAsia="en-US" w:bidi="ar-SA"/>
        </w:rPr>
        <w:t>obtained during</w:t>
      </w:r>
      <w:r w:rsidR="00A5542F" w:rsidRPr="0018663B">
        <w:rPr>
          <w:rFonts w:ascii="Arial" w:hAnsi="Arial"/>
          <w:snapToGrid/>
          <w:color w:val="auto"/>
          <w:sz w:val="18"/>
          <w:szCs w:val="20"/>
          <w:lang w:val="en-GB" w:eastAsia="en-US" w:bidi="ar-SA"/>
        </w:rPr>
        <w:t xml:space="preserve"> the HTC</w:t>
      </w:r>
      <w:r w:rsidR="0091103B" w:rsidRPr="0018663B">
        <w:rPr>
          <w:rFonts w:ascii="Arial" w:hAnsi="Arial"/>
          <w:snapToGrid/>
          <w:color w:val="auto"/>
          <w:sz w:val="18"/>
          <w:szCs w:val="20"/>
          <w:lang w:val="en-GB" w:eastAsia="en-US" w:bidi="ar-SA"/>
        </w:rPr>
        <w:t xml:space="preserve"> process respectively and </w:t>
      </w:r>
      <w:r w:rsidR="00A5542F" w:rsidRPr="0018663B">
        <w:rPr>
          <w:rFonts w:ascii="Arial" w:hAnsi="Arial"/>
          <w:snapToGrid/>
          <w:color w:val="auto"/>
          <w:sz w:val="18"/>
          <w:szCs w:val="20"/>
          <w:lang w:val="en-GB" w:eastAsia="en-US" w:bidi="ar-SA"/>
        </w:rPr>
        <w:t>the M</w:t>
      </w:r>
      <w:r w:rsidR="00A5542F" w:rsidRPr="0018663B">
        <w:rPr>
          <w:rFonts w:ascii="Arial" w:hAnsi="Arial"/>
          <w:snapToGrid/>
          <w:color w:val="auto"/>
          <w:sz w:val="18"/>
          <w:szCs w:val="20"/>
          <w:vertAlign w:val="subscript"/>
          <w:lang w:val="en-GB" w:eastAsia="en-US" w:bidi="ar-SA"/>
        </w:rPr>
        <w:t>S-DS</w:t>
      </w:r>
      <w:r w:rsidR="00A5542F" w:rsidRPr="0018663B">
        <w:rPr>
          <w:rFonts w:ascii="Arial" w:hAnsi="Arial"/>
          <w:snapToGrid/>
          <w:color w:val="auto"/>
          <w:sz w:val="18"/>
          <w:szCs w:val="20"/>
          <w:lang w:val="en-GB" w:eastAsia="en-US" w:bidi="ar-SA"/>
        </w:rPr>
        <w:t xml:space="preserve"> is the mass of the solid in the digestate on a dry basis.</w:t>
      </w:r>
    </w:p>
    <w:p w14:paraId="2FAA7B23" w14:textId="2D4C665E" w:rsidR="0091103B" w:rsidRPr="0018663B" w:rsidRDefault="0091103B" w:rsidP="00531AF4">
      <w:pPr>
        <w:pStyle w:val="MDPI31text"/>
        <w:rPr>
          <w:rFonts w:ascii="Arial" w:hAnsi="Arial"/>
          <w:snapToGrid/>
          <w:color w:val="auto"/>
          <w:sz w:val="18"/>
          <w:szCs w:val="20"/>
          <w:lang w:val="en-GB" w:eastAsia="en-US" w:bidi="ar-SA"/>
        </w:rPr>
      </w:pPr>
      <w:r w:rsidRPr="0018663B">
        <w:rPr>
          <w:rFonts w:ascii="Arial" w:hAnsi="Arial"/>
          <w:snapToGrid/>
          <w:color w:val="auto"/>
          <w:sz w:val="18"/>
          <w:szCs w:val="20"/>
          <w:lang w:val="en-GB" w:eastAsia="en-US" w:bidi="ar-SA"/>
        </w:rPr>
        <w:t>The mass yield of the gas phase M</w:t>
      </w:r>
      <w:r w:rsidR="005A1654" w:rsidRPr="0018663B">
        <w:rPr>
          <w:rFonts w:ascii="Arial" w:hAnsi="Arial"/>
          <w:snapToGrid/>
          <w:color w:val="auto"/>
          <w:sz w:val="18"/>
          <w:szCs w:val="20"/>
          <w:vertAlign w:val="subscript"/>
          <w:lang w:val="en-GB" w:eastAsia="en-US" w:bidi="ar-SA"/>
        </w:rPr>
        <w:t>g</w:t>
      </w:r>
      <w:r w:rsidRPr="0018663B">
        <w:rPr>
          <w:rFonts w:ascii="Arial" w:hAnsi="Arial"/>
          <w:snapToGrid/>
          <w:color w:val="auto"/>
          <w:sz w:val="18"/>
          <w:szCs w:val="20"/>
          <w:vertAlign w:val="subscript"/>
          <w:lang w:val="en-GB" w:eastAsia="en-US" w:bidi="ar-SA"/>
        </w:rPr>
        <w:t>-HC</w:t>
      </w:r>
      <w:r w:rsidRPr="0018663B">
        <w:rPr>
          <w:rFonts w:ascii="Arial" w:hAnsi="Arial"/>
          <w:snapToGrid/>
          <w:color w:val="auto"/>
          <w:sz w:val="18"/>
          <w:szCs w:val="20"/>
          <w:lang w:val="en-GB" w:eastAsia="en-US" w:bidi="ar-SA"/>
        </w:rPr>
        <w:t xml:space="preserve"> is computed by</w:t>
      </w:r>
      <w:r w:rsidR="00C01F38">
        <w:rPr>
          <w:rFonts w:ascii="Arial" w:hAnsi="Arial"/>
          <w:snapToGrid/>
          <w:color w:val="auto"/>
          <w:sz w:val="18"/>
          <w:szCs w:val="20"/>
          <w:lang w:val="en-GB" w:eastAsia="en-US" w:bidi="ar-SA"/>
        </w:rPr>
        <w:t xml:space="preserve"> the</w:t>
      </w:r>
      <w:r w:rsidRPr="0018663B">
        <w:rPr>
          <w:rFonts w:ascii="Arial" w:hAnsi="Arial"/>
          <w:snapToGrid/>
          <w:color w:val="auto"/>
          <w:sz w:val="18"/>
          <w:szCs w:val="20"/>
          <w:lang w:val="en-GB" w:eastAsia="en-US" w:bidi="ar-SA"/>
        </w:rPr>
        <w:t xml:space="preserve"> difference</w:t>
      </w:r>
      <w:r w:rsidR="0018663B">
        <w:rPr>
          <w:rFonts w:ascii="Arial" w:hAnsi="Arial"/>
          <w:snapToGrid/>
          <w:color w:val="auto"/>
          <w:sz w:val="18"/>
          <w:szCs w:val="20"/>
          <w:lang w:val="en-GB" w:eastAsia="en-US" w:bidi="ar-SA"/>
        </w:rPr>
        <w:t>:</w:t>
      </w:r>
      <w:r w:rsidRPr="0018663B">
        <w:rPr>
          <w:rFonts w:ascii="Arial" w:hAnsi="Arial"/>
          <w:snapToGrid/>
          <w:color w:val="auto"/>
          <w:sz w:val="18"/>
          <w:szCs w:val="20"/>
          <w:lang w:val="en-GB" w:eastAsia="en-US" w:bidi="ar-SA"/>
        </w:rPr>
        <w:t xml:space="preserve">  </w:t>
      </w:r>
    </w:p>
    <w:tbl>
      <w:tblPr>
        <w:tblW w:w="5000" w:type="pct"/>
        <w:tblLook w:val="04A0" w:firstRow="1" w:lastRow="0" w:firstColumn="1" w:lastColumn="0" w:noHBand="0" w:noVBand="1"/>
      </w:tblPr>
      <w:tblGrid>
        <w:gridCol w:w="7983"/>
        <w:gridCol w:w="804"/>
      </w:tblGrid>
      <w:tr w:rsidR="00AC3B73" w:rsidRPr="00AD3C4A" w14:paraId="2FD0D600" w14:textId="77777777" w:rsidTr="00D070DF">
        <w:tc>
          <w:tcPr>
            <w:tcW w:w="7983" w:type="dxa"/>
            <w:shd w:val="clear" w:color="auto" w:fill="auto"/>
            <w:vAlign w:val="center"/>
          </w:tcPr>
          <w:p w14:paraId="1E3DF773" w14:textId="7D0458EC" w:rsidR="00AC3B73" w:rsidRPr="0091103B" w:rsidRDefault="00BC1818" w:rsidP="00BC1818">
            <w:pPr>
              <w:pStyle w:val="CETEquation"/>
              <w:rPr>
                <w:rFonts w:ascii="Cambria Math" w:hAnsi="Cambria Math" w:cs="Arial"/>
                <w:oMath/>
              </w:rPr>
            </w:pPr>
            <m:oMathPara>
              <m:oMathParaPr>
                <m:jc m:val="left"/>
              </m:oMathParaPr>
              <m:oMath>
                <m:r>
                  <w:rPr>
                    <w:rFonts w:ascii="Cambria Math" w:hAnsi="Cambria Math" w:cs="Arial"/>
                  </w:rPr>
                  <m:t>MYg</m:t>
                </m:r>
                <m:d>
                  <m:dPr>
                    <m:ctrlPr>
                      <w:rPr>
                        <w:rFonts w:ascii="Cambria Math" w:hAnsi="Cambria Math" w:cs="Arial"/>
                        <w:i/>
                      </w:rPr>
                    </m:ctrlPr>
                  </m:dPr>
                  <m:e>
                    <m:r>
                      <w:rPr>
                        <w:rFonts w:ascii="Cambria Math" w:hAnsi="Cambria Math" w:cs="Arial"/>
                      </w:rPr>
                      <m:t>%</m:t>
                    </m:r>
                  </m:e>
                </m:d>
                <m:r>
                  <w:rPr>
                    <w:rFonts w:ascii="Cambria Math" w:hAnsi="Cambria Math" w:cs="Arial"/>
                  </w:rPr>
                  <m:t xml:space="preserve">=100-MYl-MYs </m:t>
                </m:r>
              </m:oMath>
            </m:oMathPara>
          </w:p>
        </w:tc>
        <w:tc>
          <w:tcPr>
            <w:tcW w:w="804" w:type="dxa"/>
            <w:shd w:val="clear" w:color="auto" w:fill="auto"/>
            <w:vAlign w:val="center"/>
          </w:tcPr>
          <w:p w14:paraId="4A4ABA10" w14:textId="30BD953E" w:rsidR="00AC3B73" w:rsidRPr="00AD3C4A" w:rsidRDefault="00AC3B73" w:rsidP="00BC1818">
            <w:pPr>
              <w:pStyle w:val="CETEquation"/>
            </w:pPr>
            <w:r w:rsidRPr="00AD3C4A">
              <w:t>(</w:t>
            </w:r>
            <w:r w:rsidR="00BC1818">
              <w:t>3</w:t>
            </w:r>
            <w:r w:rsidRPr="00AD3C4A">
              <w:t>)</w:t>
            </w:r>
          </w:p>
        </w:tc>
      </w:tr>
    </w:tbl>
    <w:p w14:paraId="2F384F10" w14:textId="77777777" w:rsidR="00AC3B73" w:rsidRDefault="00AC3B73" w:rsidP="00531AF4">
      <w:pPr>
        <w:pStyle w:val="MDPI31text"/>
      </w:pPr>
    </w:p>
    <w:p w14:paraId="675C1D38" w14:textId="01E10D1C" w:rsidR="00531AF4" w:rsidRDefault="0018663B" w:rsidP="000F141C">
      <w:pPr>
        <w:pStyle w:val="MDPI31text"/>
        <w:jc w:val="center"/>
      </w:pPr>
      <w:r>
        <w:rPr>
          <w:noProof/>
          <w:snapToGrid/>
          <w:lang w:val="it-IT" w:eastAsia="it-IT" w:bidi="ar-SA"/>
        </w:rPr>
        <w:drawing>
          <wp:inline distT="0" distB="0" distL="0" distR="0" wp14:anchorId="31C0A1A5" wp14:editId="2B5F17FF">
            <wp:extent cx="3298220" cy="182683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0519_12194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8682" cy="1832634"/>
                    </a:xfrm>
                    <a:prstGeom prst="rect">
                      <a:avLst/>
                    </a:prstGeom>
                  </pic:spPr>
                </pic:pic>
              </a:graphicData>
            </a:graphic>
          </wp:inline>
        </w:drawing>
      </w:r>
    </w:p>
    <w:p w14:paraId="73FC3874" w14:textId="2E0EA2E4" w:rsidR="00842B95" w:rsidRDefault="00842B95" w:rsidP="009533C5">
      <w:pPr>
        <w:pStyle w:val="MDPI31text"/>
        <w:rPr>
          <w:rFonts w:ascii="Arial" w:hAnsi="Arial"/>
          <w:snapToGrid/>
          <w:color w:val="auto"/>
          <w:sz w:val="18"/>
          <w:szCs w:val="20"/>
          <w:lang w:val="en-GB" w:eastAsia="en-US" w:bidi="ar-SA"/>
        </w:rPr>
      </w:pPr>
    </w:p>
    <w:p w14:paraId="17A422F8" w14:textId="63F2996E" w:rsidR="00842B95" w:rsidRDefault="00842B95" w:rsidP="00842B95">
      <w:pPr>
        <w:pStyle w:val="MDPI31text"/>
        <w:jc w:val="center"/>
        <w:rPr>
          <w:rFonts w:ascii="Arial" w:hAnsi="Arial"/>
          <w:snapToGrid/>
          <w:color w:val="auto"/>
          <w:sz w:val="18"/>
          <w:szCs w:val="20"/>
          <w:lang w:val="en-GB" w:eastAsia="en-US" w:bidi="ar-SA"/>
        </w:rPr>
      </w:pPr>
      <w:r w:rsidRPr="00FE2861">
        <w:rPr>
          <w:i/>
          <w:lang w:val="en-GB"/>
        </w:rPr>
        <w:t>Fi</w:t>
      </w:r>
      <w:r w:rsidRPr="0018663B">
        <w:rPr>
          <w:rFonts w:ascii="Arial" w:hAnsi="Arial"/>
          <w:snapToGrid/>
          <w:color w:val="auto"/>
          <w:sz w:val="18"/>
          <w:szCs w:val="20"/>
          <w:lang w:val="en-GB" w:eastAsia="en-US" w:bidi="ar-SA"/>
        </w:rPr>
        <w:t xml:space="preserve">gure </w:t>
      </w:r>
      <w:r w:rsidR="00BB5DC9" w:rsidRPr="0018663B">
        <w:rPr>
          <w:rFonts w:ascii="Arial" w:hAnsi="Arial"/>
          <w:snapToGrid/>
          <w:color w:val="auto"/>
          <w:sz w:val="18"/>
          <w:szCs w:val="20"/>
          <w:lang w:val="en-GB" w:eastAsia="en-US" w:bidi="ar-SA"/>
        </w:rPr>
        <w:t>3</w:t>
      </w:r>
      <w:r w:rsidRPr="0018663B">
        <w:rPr>
          <w:rFonts w:ascii="Arial" w:hAnsi="Arial"/>
          <w:snapToGrid/>
          <w:color w:val="auto"/>
          <w:sz w:val="18"/>
          <w:szCs w:val="20"/>
          <w:lang w:val="en-GB" w:eastAsia="en-US" w:bidi="ar-SA"/>
        </w:rPr>
        <w:t xml:space="preserve">: </w:t>
      </w:r>
      <w:r w:rsidR="00BB5DC9" w:rsidRPr="0018663B">
        <w:rPr>
          <w:rFonts w:ascii="Arial" w:hAnsi="Arial"/>
          <w:snapToGrid/>
          <w:color w:val="auto"/>
          <w:sz w:val="18"/>
          <w:szCs w:val="20"/>
          <w:lang w:val="en-GB" w:eastAsia="en-US" w:bidi="ar-SA"/>
        </w:rPr>
        <w:t>industrial centrifuge at Mezzocorona waste management plant for HTC slurry treatment</w:t>
      </w:r>
    </w:p>
    <w:p w14:paraId="79323369" w14:textId="77777777" w:rsidR="000C047B" w:rsidRDefault="000C047B" w:rsidP="000C047B">
      <w:pPr>
        <w:pStyle w:val="CETHeading1"/>
        <w:tabs>
          <w:tab w:val="clear" w:pos="360"/>
          <w:tab w:val="right" w:pos="7100"/>
        </w:tabs>
        <w:jc w:val="both"/>
        <w:rPr>
          <w:lang w:val="en-GB"/>
        </w:rPr>
      </w:pPr>
      <w:r>
        <w:rPr>
          <w:lang w:val="en-GB"/>
        </w:rPr>
        <w:t>Results and discussion</w:t>
      </w:r>
    </w:p>
    <w:p w14:paraId="6B46E766" w14:textId="4024418E" w:rsidR="004C7A46" w:rsidRPr="006F0319" w:rsidRDefault="004C7A46" w:rsidP="004C7A46">
      <w:pPr>
        <w:pStyle w:val="CETheadingx"/>
      </w:pPr>
      <w:r>
        <w:t>Feedstock properties and characterization</w:t>
      </w:r>
    </w:p>
    <w:p w14:paraId="25E1B8DE" w14:textId="7EF75B2B" w:rsidR="002E6A1A" w:rsidRPr="002E6A1A" w:rsidRDefault="00604880" w:rsidP="004C7A46">
      <w:pPr>
        <w:pStyle w:val="CETBodytext"/>
      </w:pPr>
      <w:r w:rsidRPr="002E6A1A">
        <w:t xml:space="preserve">Table 1 </w:t>
      </w:r>
      <w:r w:rsidR="002E6A1A" w:rsidRPr="002E6A1A">
        <w:t>show</w:t>
      </w:r>
      <w:r w:rsidR="00844E5A">
        <w:t>s</w:t>
      </w:r>
      <w:r w:rsidR="002E6A1A" w:rsidRPr="002E6A1A">
        <w:t xml:space="preserve"> the properties in terms of</w:t>
      </w:r>
      <w:r w:rsidR="008B1DC8">
        <w:t xml:space="preserve"> pH</w:t>
      </w:r>
      <w:r w:rsidR="00A5542F">
        <w:t>,</w:t>
      </w:r>
      <w:r w:rsidR="002E6A1A" w:rsidRPr="002E6A1A">
        <w:t xml:space="preserve"> </w:t>
      </w:r>
      <w:r w:rsidR="00C9546D">
        <w:t>total solids (</w:t>
      </w:r>
      <w:r w:rsidR="002E6A1A" w:rsidRPr="002E6A1A">
        <w:t>TS</w:t>
      </w:r>
      <w:r w:rsidR="00C9546D">
        <w:t>)</w:t>
      </w:r>
      <w:r w:rsidR="002E6A1A" w:rsidRPr="002E6A1A">
        <w:t>,</w:t>
      </w:r>
      <w:r w:rsidR="00C9546D">
        <w:t xml:space="preserve"> total organic carbon (TOC), total nitrogen (</w:t>
      </w:r>
      <w:r w:rsidR="00DA436C">
        <w:t>TKN</w:t>
      </w:r>
      <w:r w:rsidR="00C9546D">
        <w:t>)</w:t>
      </w:r>
      <w:r w:rsidR="002E6A1A" w:rsidRPr="002E6A1A">
        <w:t>,</w:t>
      </w:r>
      <w:r w:rsidR="00DA436C">
        <w:t xml:space="preserve"> </w:t>
      </w:r>
      <w:r w:rsidR="00B00BBE">
        <w:t>phosphorus</w:t>
      </w:r>
      <w:r w:rsidR="00C9546D">
        <w:t xml:space="preserve"> (</w:t>
      </w:r>
      <w:r w:rsidR="00DA436C">
        <w:t>P</w:t>
      </w:r>
      <w:r w:rsidR="00C9546D">
        <w:t xml:space="preserve">) </w:t>
      </w:r>
      <w:r w:rsidR="00B44965">
        <w:t>and heavy metals concentration</w:t>
      </w:r>
      <w:r w:rsidR="00C9546D">
        <w:t xml:space="preserve"> of the feedstock </w:t>
      </w:r>
      <w:r w:rsidR="00844E5A">
        <w:t>before HTC. SSD and AWD raw materials show similar characteristics in terms of pH, TOC and P content except for the TS, the OFD sample shows a significantly higher pH, TS and TOC but a considerably lower</w:t>
      </w:r>
      <w:r w:rsidR="005E5D93">
        <w:t>, as expected,</w:t>
      </w:r>
      <w:r w:rsidR="00844E5A">
        <w:t xml:space="preserve"> P and heavy metals content.</w:t>
      </w:r>
    </w:p>
    <w:p w14:paraId="3224364C" w14:textId="787C9704" w:rsidR="002E6A1A" w:rsidRPr="009378F0" w:rsidRDefault="002E6A1A" w:rsidP="002E6A1A">
      <w:pPr>
        <w:pStyle w:val="CET-table-title"/>
        <w:rPr>
          <w:lang w:val="en-GB"/>
        </w:rPr>
      </w:pPr>
      <w:r w:rsidRPr="009378F0">
        <w:rPr>
          <w:lang w:val="en-GB"/>
        </w:rPr>
        <w:t xml:space="preserve">Table 1:  </w:t>
      </w:r>
      <w:r w:rsidR="002650DB">
        <w:rPr>
          <w:lang w:val="en-GB"/>
        </w:rPr>
        <w:t xml:space="preserve">Raw </w:t>
      </w:r>
      <w:r w:rsidR="008B1DC8">
        <w:rPr>
          <w:lang w:val="en-GB"/>
        </w:rPr>
        <w:t xml:space="preserve">materials </w:t>
      </w:r>
      <w:r w:rsidR="00DA436C">
        <w:rPr>
          <w:lang w:val="en-GB"/>
        </w:rPr>
        <w:t xml:space="preserve">properties, </w:t>
      </w:r>
      <w:r w:rsidR="008B1DC8">
        <w:rPr>
          <w:lang w:val="en-GB"/>
        </w:rPr>
        <w:t>pH, total solids</w:t>
      </w:r>
      <w:r w:rsidR="00C9546D">
        <w:rPr>
          <w:lang w:val="en-GB"/>
        </w:rPr>
        <w:t xml:space="preserve"> TS</w:t>
      </w:r>
      <w:r w:rsidR="008B1DC8">
        <w:rPr>
          <w:lang w:val="en-GB"/>
        </w:rPr>
        <w:t>, total organic carbon</w:t>
      </w:r>
      <w:r w:rsidR="00C9546D">
        <w:rPr>
          <w:lang w:val="en-GB"/>
        </w:rPr>
        <w:t xml:space="preserve"> TOC</w:t>
      </w:r>
      <w:r w:rsidR="008B1DC8">
        <w:rPr>
          <w:lang w:val="en-GB"/>
        </w:rPr>
        <w:t>, total nitrogen</w:t>
      </w:r>
      <w:r w:rsidR="00C9546D">
        <w:rPr>
          <w:lang w:val="en-GB"/>
        </w:rPr>
        <w:t xml:space="preserve"> TKN</w:t>
      </w:r>
      <w:r w:rsidR="008B1DC8">
        <w:rPr>
          <w:lang w:val="en-GB"/>
        </w:rPr>
        <w:t xml:space="preserve">, </w:t>
      </w:r>
      <w:r w:rsidR="00B00BBE">
        <w:rPr>
          <w:lang w:val="en-GB"/>
        </w:rPr>
        <w:t>phosphorus</w:t>
      </w:r>
      <w:r w:rsidR="00C9546D">
        <w:rPr>
          <w:lang w:val="en-GB"/>
        </w:rPr>
        <w:t xml:space="preserve"> P,</w:t>
      </w:r>
      <w:r w:rsidR="00DA436C">
        <w:rPr>
          <w:lang w:val="en-GB"/>
        </w:rPr>
        <w:t xml:space="preserve"> and heavy metal concentrations</w:t>
      </w:r>
      <w:r w:rsidR="008B1DC8">
        <w:rPr>
          <w:lang w:val="en-GB"/>
        </w:rPr>
        <w:t xml:space="preserve"> (all val</w:t>
      </w:r>
      <w:r w:rsidR="00C9546D">
        <w:rPr>
          <w:lang w:val="en-GB"/>
        </w:rPr>
        <w:t>ues are determined on dry basis)</w:t>
      </w:r>
    </w:p>
    <w:tbl>
      <w:tblPr>
        <w:tblW w:w="839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709"/>
        <w:gridCol w:w="709"/>
        <w:gridCol w:w="709"/>
        <w:gridCol w:w="709"/>
        <w:gridCol w:w="651"/>
        <w:gridCol w:w="651"/>
        <w:gridCol w:w="709"/>
        <w:gridCol w:w="709"/>
        <w:gridCol w:w="709"/>
        <w:gridCol w:w="709"/>
        <w:gridCol w:w="709"/>
      </w:tblGrid>
      <w:tr w:rsidR="002650DB" w:rsidRPr="009378F0" w14:paraId="1638D026" w14:textId="77777777" w:rsidTr="002650DB">
        <w:tc>
          <w:tcPr>
            <w:tcW w:w="709" w:type="dxa"/>
            <w:tcBorders>
              <w:top w:val="single" w:sz="12" w:space="0" w:color="008000"/>
              <w:bottom w:val="single" w:sz="6" w:space="0" w:color="008000"/>
            </w:tcBorders>
            <w:shd w:val="clear" w:color="auto" w:fill="FFFFFF"/>
          </w:tcPr>
          <w:p w14:paraId="3243CAE4" w14:textId="0A9615D4" w:rsidR="002650DB" w:rsidRPr="009378F0" w:rsidRDefault="002650DB" w:rsidP="002650DB">
            <w:pPr>
              <w:pStyle w:val="CETBodytext"/>
              <w:rPr>
                <w:lang w:val="en-GB"/>
              </w:rPr>
            </w:pPr>
            <w:r>
              <w:rPr>
                <w:b/>
              </w:rPr>
              <w:t>Sample</w:t>
            </w:r>
          </w:p>
        </w:tc>
        <w:tc>
          <w:tcPr>
            <w:tcW w:w="709" w:type="dxa"/>
            <w:tcBorders>
              <w:top w:val="single" w:sz="12" w:space="0" w:color="008000"/>
              <w:bottom w:val="single" w:sz="6" w:space="0" w:color="008000"/>
            </w:tcBorders>
            <w:shd w:val="clear" w:color="auto" w:fill="FFFFFF"/>
          </w:tcPr>
          <w:p w14:paraId="4FD54A9E" w14:textId="5A1A953A" w:rsidR="002650DB" w:rsidRDefault="002650DB" w:rsidP="002650DB">
            <w:pPr>
              <w:pStyle w:val="CETBodytext"/>
              <w:ind w:right="-1"/>
              <w:jc w:val="center"/>
              <w:rPr>
                <w:b/>
              </w:rPr>
            </w:pPr>
            <w:r>
              <w:rPr>
                <w:b/>
              </w:rPr>
              <w:t>pH</w:t>
            </w:r>
            <w:r w:rsidR="00A5542F">
              <w:rPr>
                <w:b/>
              </w:rPr>
              <w:t xml:space="preserve"> (U.pH)</w:t>
            </w:r>
          </w:p>
        </w:tc>
        <w:tc>
          <w:tcPr>
            <w:tcW w:w="709" w:type="dxa"/>
            <w:tcBorders>
              <w:top w:val="single" w:sz="12" w:space="0" w:color="008000"/>
              <w:bottom w:val="single" w:sz="6" w:space="0" w:color="008000"/>
            </w:tcBorders>
            <w:shd w:val="clear" w:color="auto" w:fill="FFFFFF"/>
          </w:tcPr>
          <w:p w14:paraId="7AA72776" w14:textId="568E0D03" w:rsidR="002650DB" w:rsidRDefault="002650DB" w:rsidP="002650DB">
            <w:pPr>
              <w:pStyle w:val="CETBodytext"/>
              <w:ind w:right="-1"/>
              <w:jc w:val="center"/>
              <w:rPr>
                <w:b/>
              </w:rPr>
            </w:pPr>
            <w:r>
              <w:rPr>
                <w:b/>
              </w:rPr>
              <w:t>TS (wt%)</w:t>
            </w:r>
          </w:p>
        </w:tc>
        <w:tc>
          <w:tcPr>
            <w:tcW w:w="709" w:type="dxa"/>
            <w:tcBorders>
              <w:top w:val="single" w:sz="12" w:space="0" w:color="008000"/>
              <w:bottom w:val="single" w:sz="6" w:space="0" w:color="008000"/>
            </w:tcBorders>
            <w:shd w:val="clear" w:color="auto" w:fill="FFFFFF"/>
          </w:tcPr>
          <w:p w14:paraId="6BD0D113" w14:textId="7384B36B" w:rsidR="002650DB" w:rsidRDefault="002650DB" w:rsidP="002650DB">
            <w:pPr>
              <w:pStyle w:val="CETBodytext"/>
              <w:ind w:right="-1"/>
              <w:jc w:val="center"/>
              <w:rPr>
                <w:b/>
              </w:rPr>
            </w:pPr>
            <w:r>
              <w:rPr>
                <w:b/>
              </w:rPr>
              <w:t>TOC</w:t>
            </w:r>
            <w:r w:rsidR="00B44965">
              <w:rPr>
                <w:b/>
              </w:rPr>
              <w:t xml:space="preserve"> (wt%)</w:t>
            </w:r>
          </w:p>
        </w:tc>
        <w:tc>
          <w:tcPr>
            <w:tcW w:w="709" w:type="dxa"/>
            <w:tcBorders>
              <w:top w:val="single" w:sz="12" w:space="0" w:color="008000"/>
              <w:bottom w:val="single" w:sz="6" w:space="0" w:color="008000"/>
            </w:tcBorders>
            <w:shd w:val="clear" w:color="auto" w:fill="FFFFFF"/>
          </w:tcPr>
          <w:p w14:paraId="6DCB5907" w14:textId="7C355B7A" w:rsidR="002650DB" w:rsidRDefault="002650DB" w:rsidP="002650DB">
            <w:pPr>
              <w:pStyle w:val="CETBodytext"/>
              <w:ind w:right="-1"/>
              <w:jc w:val="center"/>
              <w:rPr>
                <w:rFonts w:cs="Arial"/>
                <w:szCs w:val="18"/>
                <w:lang w:val="en-GB"/>
              </w:rPr>
            </w:pPr>
            <w:r>
              <w:rPr>
                <w:b/>
              </w:rPr>
              <w:t>TKN</w:t>
            </w:r>
            <w:r w:rsidR="00B44965">
              <w:rPr>
                <w:b/>
              </w:rPr>
              <w:t xml:space="preserve"> (wt%)</w:t>
            </w:r>
          </w:p>
        </w:tc>
        <w:tc>
          <w:tcPr>
            <w:tcW w:w="651" w:type="dxa"/>
            <w:tcBorders>
              <w:top w:val="single" w:sz="12" w:space="0" w:color="008000"/>
              <w:bottom w:val="single" w:sz="6" w:space="0" w:color="008000"/>
            </w:tcBorders>
            <w:shd w:val="clear" w:color="auto" w:fill="FFFFFF"/>
          </w:tcPr>
          <w:p w14:paraId="3A0D55F2" w14:textId="3FAC7581" w:rsidR="002650DB" w:rsidRDefault="002650DB" w:rsidP="008B1DC8">
            <w:pPr>
              <w:pStyle w:val="CETBodytext"/>
              <w:ind w:right="-1"/>
              <w:jc w:val="center"/>
              <w:rPr>
                <w:b/>
              </w:rPr>
            </w:pPr>
            <w:r>
              <w:rPr>
                <w:b/>
              </w:rPr>
              <w:t>P</w:t>
            </w:r>
            <w:r w:rsidR="008B1DC8">
              <w:rPr>
                <w:b/>
              </w:rPr>
              <w:t xml:space="preserve">  (wt%)</w:t>
            </w:r>
          </w:p>
        </w:tc>
        <w:tc>
          <w:tcPr>
            <w:tcW w:w="651" w:type="dxa"/>
            <w:tcBorders>
              <w:top w:val="single" w:sz="12" w:space="0" w:color="008000"/>
              <w:bottom w:val="single" w:sz="6" w:space="0" w:color="008000"/>
            </w:tcBorders>
            <w:shd w:val="clear" w:color="auto" w:fill="FFFFFF"/>
          </w:tcPr>
          <w:p w14:paraId="2D235755" w14:textId="1EA7AC95" w:rsidR="002650DB" w:rsidRDefault="002650DB" w:rsidP="002650DB">
            <w:pPr>
              <w:pStyle w:val="CETBodytext"/>
              <w:ind w:right="-1"/>
              <w:jc w:val="center"/>
              <w:rPr>
                <w:rFonts w:cs="Arial"/>
                <w:szCs w:val="18"/>
                <w:lang w:val="en-GB"/>
              </w:rPr>
            </w:pPr>
            <w:r>
              <w:rPr>
                <w:b/>
              </w:rPr>
              <w:t>Cd</w:t>
            </w:r>
            <w:r w:rsidR="008B1DC8">
              <w:rPr>
                <w:b/>
              </w:rPr>
              <w:t xml:space="preserve"> (ppm)</w:t>
            </w:r>
          </w:p>
        </w:tc>
        <w:tc>
          <w:tcPr>
            <w:tcW w:w="709" w:type="dxa"/>
            <w:tcBorders>
              <w:top w:val="single" w:sz="12" w:space="0" w:color="008000"/>
              <w:bottom w:val="single" w:sz="6" w:space="0" w:color="008000"/>
            </w:tcBorders>
            <w:shd w:val="clear" w:color="auto" w:fill="FFFFFF"/>
          </w:tcPr>
          <w:p w14:paraId="1A5D1088" w14:textId="02D0B91E" w:rsidR="002650DB" w:rsidRDefault="002650DB" w:rsidP="002650DB">
            <w:pPr>
              <w:pStyle w:val="CETBodytext"/>
              <w:ind w:right="-1"/>
              <w:jc w:val="center"/>
              <w:rPr>
                <w:b/>
              </w:rPr>
            </w:pPr>
            <w:r>
              <w:rPr>
                <w:b/>
              </w:rPr>
              <w:t>Cu</w:t>
            </w:r>
            <w:r w:rsidR="008B1DC8">
              <w:rPr>
                <w:b/>
              </w:rPr>
              <w:t xml:space="preserve"> (ppm)</w:t>
            </w:r>
          </w:p>
        </w:tc>
        <w:tc>
          <w:tcPr>
            <w:tcW w:w="709" w:type="dxa"/>
            <w:tcBorders>
              <w:top w:val="single" w:sz="12" w:space="0" w:color="008000"/>
              <w:bottom w:val="single" w:sz="6" w:space="0" w:color="008000"/>
            </w:tcBorders>
            <w:shd w:val="clear" w:color="auto" w:fill="FFFFFF"/>
          </w:tcPr>
          <w:p w14:paraId="7F4FDEF6" w14:textId="50C43C00" w:rsidR="002650DB" w:rsidRDefault="002650DB" w:rsidP="002650DB">
            <w:pPr>
              <w:pStyle w:val="CETBodytext"/>
              <w:ind w:right="-1"/>
              <w:jc w:val="center"/>
              <w:rPr>
                <w:b/>
              </w:rPr>
            </w:pPr>
            <w:r>
              <w:rPr>
                <w:b/>
              </w:rPr>
              <w:t>Hg</w:t>
            </w:r>
            <w:r w:rsidR="008B1DC8">
              <w:rPr>
                <w:b/>
              </w:rPr>
              <w:t xml:space="preserve"> (ppm)</w:t>
            </w:r>
          </w:p>
        </w:tc>
        <w:tc>
          <w:tcPr>
            <w:tcW w:w="709" w:type="dxa"/>
            <w:tcBorders>
              <w:top w:val="single" w:sz="12" w:space="0" w:color="008000"/>
              <w:bottom w:val="single" w:sz="6" w:space="0" w:color="008000"/>
            </w:tcBorders>
            <w:shd w:val="clear" w:color="auto" w:fill="FFFFFF"/>
          </w:tcPr>
          <w:p w14:paraId="36296DFE" w14:textId="66B1CC29" w:rsidR="002650DB" w:rsidRDefault="002650DB" w:rsidP="002650DB">
            <w:pPr>
              <w:pStyle w:val="CETBodytext"/>
              <w:ind w:right="-1"/>
              <w:jc w:val="center"/>
              <w:rPr>
                <w:b/>
              </w:rPr>
            </w:pPr>
            <w:r>
              <w:rPr>
                <w:b/>
              </w:rPr>
              <w:t>Ni</w:t>
            </w:r>
            <w:r w:rsidR="008B1DC8">
              <w:rPr>
                <w:b/>
              </w:rPr>
              <w:t xml:space="preserve"> (ppm)</w:t>
            </w:r>
          </w:p>
        </w:tc>
        <w:tc>
          <w:tcPr>
            <w:tcW w:w="709" w:type="dxa"/>
            <w:tcBorders>
              <w:top w:val="single" w:sz="12" w:space="0" w:color="008000"/>
              <w:bottom w:val="single" w:sz="6" w:space="0" w:color="008000"/>
            </w:tcBorders>
            <w:shd w:val="clear" w:color="auto" w:fill="FFFFFF"/>
          </w:tcPr>
          <w:p w14:paraId="0C6D4758" w14:textId="60DAD7B6" w:rsidR="002650DB" w:rsidRDefault="002650DB" w:rsidP="002650DB">
            <w:pPr>
              <w:pStyle w:val="CETBodytext"/>
              <w:ind w:right="-1"/>
              <w:jc w:val="center"/>
              <w:rPr>
                <w:b/>
              </w:rPr>
            </w:pPr>
            <w:r>
              <w:rPr>
                <w:b/>
              </w:rPr>
              <w:t>Pb</w:t>
            </w:r>
            <w:r w:rsidR="008B1DC8">
              <w:rPr>
                <w:b/>
              </w:rPr>
              <w:t xml:space="preserve"> (ppm)</w:t>
            </w:r>
          </w:p>
        </w:tc>
        <w:tc>
          <w:tcPr>
            <w:tcW w:w="709" w:type="dxa"/>
            <w:tcBorders>
              <w:top w:val="single" w:sz="12" w:space="0" w:color="008000"/>
              <w:bottom w:val="single" w:sz="6" w:space="0" w:color="008000"/>
            </w:tcBorders>
            <w:shd w:val="clear" w:color="auto" w:fill="FFFFFF"/>
          </w:tcPr>
          <w:p w14:paraId="336C3DD2" w14:textId="746AE979" w:rsidR="002650DB" w:rsidRDefault="002650DB" w:rsidP="002650DB">
            <w:pPr>
              <w:pStyle w:val="CETBodytext"/>
              <w:ind w:right="-1"/>
              <w:jc w:val="center"/>
              <w:rPr>
                <w:b/>
              </w:rPr>
            </w:pPr>
            <w:r>
              <w:rPr>
                <w:b/>
              </w:rPr>
              <w:t>Zn</w:t>
            </w:r>
            <w:r w:rsidR="008B1DC8">
              <w:rPr>
                <w:b/>
              </w:rPr>
              <w:t xml:space="preserve"> (ppm)</w:t>
            </w:r>
          </w:p>
        </w:tc>
      </w:tr>
      <w:tr w:rsidR="002650DB" w:rsidRPr="009378F0" w14:paraId="4B8E50BA" w14:textId="77777777" w:rsidTr="00B91835">
        <w:tc>
          <w:tcPr>
            <w:tcW w:w="709" w:type="dxa"/>
            <w:tcBorders>
              <w:bottom w:val="single" w:sz="4" w:space="0" w:color="00B050"/>
            </w:tcBorders>
            <w:shd w:val="clear" w:color="auto" w:fill="FFFFFF"/>
          </w:tcPr>
          <w:p w14:paraId="1C960458" w14:textId="5E74F769" w:rsidR="002650DB" w:rsidRPr="009378F0" w:rsidRDefault="002650DB" w:rsidP="00DA436C">
            <w:pPr>
              <w:pStyle w:val="CETBodytext"/>
              <w:ind w:right="-1"/>
              <w:jc w:val="left"/>
              <w:rPr>
                <w:rFonts w:cs="Arial"/>
                <w:szCs w:val="18"/>
                <w:lang w:val="en-GB"/>
              </w:rPr>
            </w:pPr>
            <w:r>
              <w:t>SSD</w:t>
            </w:r>
          </w:p>
        </w:tc>
        <w:tc>
          <w:tcPr>
            <w:tcW w:w="709" w:type="dxa"/>
            <w:tcBorders>
              <w:bottom w:val="single" w:sz="4" w:space="0" w:color="00B050"/>
            </w:tcBorders>
            <w:shd w:val="clear" w:color="auto" w:fill="FFFFFF"/>
          </w:tcPr>
          <w:p w14:paraId="1ACC19F7" w14:textId="4A73631A" w:rsidR="002650DB" w:rsidRDefault="002650DB" w:rsidP="002650DB">
            <w:pPr>
              <w:pStyle w:val="CETBodytext"/>
              <w:ind w:right="-1"/>
              <w:jc w:val="center"/>
            </w:pPr>
            <w:r>
              <w:t>7.</w:t>
            </w:r>
            <w:r w:rsidR="00B44965">
              <w:t>5</w:t>
            </w:r>
          </w:p>
          <w:p w14:paraId="41136899" w14:textId="132F5B3E" w:rsidR="002650DB" w:rsidRDefault="002650DB" w:rsidP="002650DB">
            <w:pPr>
              <w:pStyle w:val="CETBodytext"/>
              <w:ind w:right="-1"/>
              <w:jc w:val="center"/>
            </w:pPr>
            <w:r>
              <w:t>(</w:t>
            </w:r>
            <w:r>
              <w:rPr>
                <w:rFonts w:cs="Arial"/>
              </w:rPr>
              <w:t>±</w:t>
            </w:r>
            <w:r>
              <w:t>0.1)</w:t>
            </w:r>
          </w:p>
        </w:tc>
        <w:tc>
          <w:tcPr>
            <w:tcW w:w="709" w:type="dxa"/>
            <w:tcBorders>
              <w:bottom w:val="single" w:sz="4" w:space="0" w:color="00B050"/>
            </w:tcBorders>
            <w:shd w:val="clear" w:color="auto" w:fill="FFFFFF"/>
          </w:tcPr>
          <w:p w14:paraId="34D77689" w14:textId="7385600F" w:rsidR="002650DB" w:rsidRDefault="00DA436C" w:rsidP="002650DB">
            <w:pPr>
              <w:pStyle w:val="CETBodytext"/>
              <w:ind w:right="-1"/>
              <w:jc w:val="center"/>
            </w:pPr>
            <w:r>
              <w:t>1</w:t>
            </w:r>
            <w:r w:rsidR="002650DB" w:rsidRPr="0080620F">
              <w:t>.</w:t>
            </w:r>
            <w:r>
              <w:t>5</w:t>
            </w:r>
          </w:p>
          <w:p w14:paraId="50184338" w14:textId="37E3AFAE" w:rsidR="002650DB" w:rsidRDefault="002650DB" w:rsidP="002650DB">
            <w:pPr>
              <w:pStyle w:val="CETBodytext"/>
              <w:ind w:right="-1"/>
              <w:jc w:val="center"/>
            </w:pPr>
            <w:r>
              <w:t>(</w:t>
            </w:r>
            <w:r>
              <w:rPr>
                <w:rFonts w:cs="Arial"/>
              </w:rPr>
              <w:t>±</w:t>
            </w:r>
            <w:r>
              <w:t>0.1)</w:t>
            </w:r>
          </w:p>
        </w:tc>
        <w:tc>
          <w:tcPr>
            <w:tcW w:w="709" w:type="dxa"/>
            <w:tcBorders>
              <w:bottom w:val="single" w:sz="4" w:space="0" w:color="00B050"/>
            </w:tcBorders>
            <w:shd w:val="clear" w:color="auto" w:fill="FFFFFF"/>
          </w:tcPr>
          <w:p w14:paraId="09443741" w14:textId="573C0C28" w:rsidR="002650DB" w:rsidRDefault="002650DB" w:rsidP="008B1DC8">
            <w:pPr>
              <w:pStyle w:val="CETBodytext"/>
              <w:ind w:right="-1"/>
              <w:jc w:val="center"/>
            </w:pPr>
            <w:r>
              <w:t>22.1</w:t>
            </w:r>
            <w:r w:rsidR="00DA436C">
              <w:t xml:space="preserve"> (</w:t>
            </w:r>
            <w:r w:rsidR="00DA436C">
              <w:rPr>
                <w:rFonts w:cs="Arial"/>
              </w:rPr>
              <w:t>±</w:t>
            </w:r>
            <w:r w:rsidR="00DA436C">
              <w:t>0.</w:t>
            </w:r>
            <w:r w:rsidR="008B1DC8">
              <w:t>3</w:t>
            </w:r>
            <w:r w:rsidR="00DA436C">
              <w:t>)</w:t>
            </w:r>
          </w:p>
        </w:tc>
        <w:tc>
          <w:tcPr>
            <w:tcW w:w="709" w:type="dxa"/>
            <w:tcBorders>
              <w:bottom w:val="single" w:sz="4" w:space="0" w:color="00B050"/>
            </w:tcBorders>
            <w:shd w:val="clear" w:color="auto" w:fill="FFFFFF"/>
          </w:tcPr>
          <w:p w14:paraId="423162D5" w14:textId="08072405" w:rsidR="002650DB" w:rsidRPr="009378F0" w:rsidRDefault="002650DB" w:rsidP="008B1DC8">
            <w:pPr>
              <w:pStyle w:val="CETBodytext"/>
              <w:ind w:right="-1"/>
              <w:jc w:val="center"/>
              <w:rPr>
                <w:rFonts w:cs="Arial"/>
                <w:szCs w:val="18"/>
                <w:lang w:val="en-GB"/>
              </w:rPr>
            </w:pPr>
            <w:r>
              <w:t>4.3</w:t>
            </w:r>
            <w:r w:rsidR="00DA436C">
              <w:t xml:space="preserve"> (</w:t>
            </w:r>
            <w:r w:rsidR="00DA436C">
              <w:rPr>
                <w:rFonts w:cs="Arial"/>
              </w:rPr>
              <w:t>±</w:t>
            </w:r>
            <w:r w:rsidR="00DA436C">
              <w:t>0.</w:t>
            </w:r>
            <w:r w:rsidR="008B1DC8">
              <w:t>2</w:t>
            </w:r>
            <w:r w:rsidR="00DA436C">
              <w:t>)</w:t>
            </w:r>
          </w:p>
        </w:tc>
        <w:tc>
          <w:tcPr>
            <w:tcW w:w="651" w:type="dxa"/>
            <w:tcBorders>
              <w:bottom w:val="single" w:sz="4" w:space="0" w:color="00B050"/>
            </w:tcBorders>
            <w:shd w:val="clear" w:color="auto" w:fill="FFFFFF"/>
          </w:tcPr>
          <w:p w14:paraId="1A632800" w14:textId="7D35DF4E" w:rsidR="002650DB" w:rsidRPr="0080620F" w:rsidRDefault="002650DB" w:rsidP="002650DB">
            <w:pPr>
              <w:pStyle w:val="CETBodytext"/>
              <w:ind w:right="-1"/>
              <w:jc w:val="center"/>
            </w:pPr>
            <w:r>
              <w:t>2</w:t>
            </w:r>
            <w:r w:rsidRPr="0080620F">
              <w:t>.</w:t>
            </w:r>
            <w:r>
              <w:t>7</w:t>
            </w:r>
            <w:r w:rsidR="00DA436C">
              <w:t xml:space="preserve"> (</w:t>
            </w:r>
            <w:r w:rsidR="00DA436C">
              <w:rPr>
                <w:rFonts w:cs="Arial"/>
              </w:rPr>
              <w:t>±</w:t>
            </w:r>
            <w:r w:rsidR="00DA436C">
              <w:t>0.1)</w:t>
            </w:r>
          </w:p>
        </w:tc>
        <w:tc>
          <w:tcPr>
            <w:tcW w:w="651" w:type="dxa"/>
            <w:tcBorders>
              <w:bottom w:val="single" w:sz="4" w:space="0" w:color="00B050"/>
            </w:tcBorders>
            <w:shd w:val="clear" w:color="auto" w:fill="FFFFFF"/>
          </w:tcPr>
          <w:p w14:paraId="7BA96E6D" w14:textId="14D7B37C" w:rsidR="002650DB" w:rsidRDefault="002650DB" w:rsidP="002650DB">
            <w:pPr>
              <w:pStyle w:val="CETBodytext"/>
              <w:ind w:right="-1"/>
              <w:jc w:val="center"/>
              <w:rPr>
                <w:rFonts w:cs="Arial"/>
                <w:szCs w:val="18"/>
                <w:lang w:val="en-GB"/>
              </w:rPr>
            </w:pPr>
            <w:r w:rsidRPr="0080620F">
              <w:t>2.</w:t>
            </w:r>
            <w:r>
              <w:t>24</w:t>
            </w:r>
            <w:r w:rsidR="00DA436C">
              <w:t xml:space="preserve"> (</w:t>
            </w:r>
            <w:r w:rsidR="00DA436C">
              <w:rPr>
                <w:rFonts w:cs="Arial"/>
              </w:rPr>
              <w:t>±</w:t>
            </w:r>
            <w:r w:rsidR="00DA436C">
              <w:t>0.1)</w:t>
            </w:r>
          </w:p>
        </w:tc>
        <w:tc>
          <w:tcPr>
            <w:tcW w:w="709" w:type="dxa"/>
            <w:tcBorders>
              <w:bottom w:val="single" w:sz="4" w:space="0" w:color="00B050"/>
            </w:tcBorders>
            <w:shd w:val="clear" w:color="auto" w:fill="FFFFFF"/>
          </w:tcPr>
          <w:p w14:paraId="774963DD" w14:textId="34D89FFD" w:rsidR="002650DB" w:rsidRPr="0080620F" w:rsidRDefault="002650DB" w:rsidP="008B1DC8">
            <w:pPr>
              <w:pStyle w:val="CETBodytext"/>
              <w:ind w:right="-1"/>
              <w:jc w:val="center"/>
            </w:pPr>
            <w:r>
              <w:t>257</w:t>
            </w:r>
            <w:r w:rsidR="00DA436C">
              <w:t xml:space="preserve"> (</w:t>
            </w:r>
            <w:r w:rsidR="00DA436C">
              <w:rPr>
                <w:rFonts w:cs="Arial"/>
              </w:rPr>
              <w:t>±</w:t>
            </w:r>
            <w:r w:rsidR="00B44965">
              <w:t>4</w:t>
            </w:r>
            <w:r w:rsidR="008B1DC8">
              <w:t>.0</w:t>
            </w:r>
            <w:r w:rsidR="00DA436C">
              <w:t>)</w:t>
            </w:r>
          </w:p>
        </w:tc>
        <w:tc>
          <w:tcPr>
            <w:tcW w:w="709" w:type="dxa"/>
            <w:tcBorders>
              <w:bottom w:val="single" w:sz="4" w:space="0" w:color="00B050"/>
            </w:tcBorders>
            <w:shd w:val="clear" w:color="auto" w:fill="FFFFFF"/>
          </w:tcPr>
          <w:p w14:paraId="55890D18" w14:textId="152DB267" w:rsidR="002650DB" w:rsidRPr="0080620F" w:rsidRDefault="002650DB" w:rsidP="008B1DC8">
            <w:pPr>
              <w:pStyle w:val="CETBodytext"/>
              <w:ind w:right="-1"/>
              <w:jc w:val="center"/>
            </w:pPr>
            <w:r>
              <w:t>0.36</w:t>
            </w:r>
            <w:r w:rsidR="00DA436C">
              <w:t xml:space="preserve"> (</w:t>
            </w:r>
            <w:r w:rsidR="00DA436C">
              <w:rPr>
                <w:rFonts w:cs="Arial"/>
              </w:rPr>
              <w:t>±</w:t>
            </w:r>
            <w:r w:rsidR="00DA436C">
              <w:t>0.</w:t>
            </w:r>
            <w:r w:rsidR="008B1DC8">
              <w:t>02</w:t>
            </w:r>
            <w:r w:rsidR="00DA436C">
              <w:t>)</w:t>
            </w:r>
          </w:p>
        </w:tc>
        <w:tc>
          <w:tcPr>
            <w:tcW w:w="709" w:type="dxa"/>
            <w:tcBorders>
              <w:bottom w:val="single" w:sz="4" w:space="0" w:color="00B050"/>
            </w:tcBorders>
            <w:shd w:val="clear" w:color="auto" w:fill="FFFFFF"/>
          </w:tcPr>
          <w:p w14:paraId="05C83CA5" w14:textId="1F185C49" w:rsidR="002650DB" w:rsidRPr="0080620F" w:rsidRDefault="002650DB" w:rsidP="008B1DC8">
            <w:pPr>
              <w:pStyle w:val="CETBodytext"/>
              <w:ind w:right="-1"/>
              <w:jc w:val="center"/>
            </w:pPr>
            <w:r>
              <w:t>44</w:t>
            </w:r>
            <w:r w:rsidR="008B1DC8">
              <w:t>.0</w:t>
            </w:r>
            <w:r w:rsidR="00DA436C">
              <w:t xml:space="preserve"> (</w:t>
            </w:r>
            <w:r w:rsidR="00DA436C">
              <w:rPr>
                <w:rFonts w:cs="Arial"/>
              </w:rPr>
              <w:t>±</w:t>
            </w:r>
            <w:r w:rsidR="008B1DC8">
              <w:t>2</w:t>
            </w:r>
            <w:r w:rsidR="00DA436C">
              <w:t>.</w:t>
            </w:r>
            <w:r w:rsidR="008B1DC8">
              <w:t>0</w:t>
            </w:r>
            <w:r w:rsidR="00DA436C">
              <w:t>)</w:t>
            </w:r>
          </w:p>
        </w:tc>
        <w:tc>
          <w:tcPr>
            <w:tcW w:w="709" w:type="dxa"/>
            <w:tcBorders>
              <w:bottom w:val="single" w:sz="4" w:space="0" w:color="00B050"/>
            </w:tcBorders>
            <w:shd w:val="clear" w:color="auto" w:fill="FFFFFF"/>
          </w:tcPr>
          <w:p w14:paraId="324FAA05" w14:textId="4A58A42B" w:rsidR="002650DB" w:rsidRPr="0080620F" w:rsidRDefault="002650DB" w:rsidP="002650DB">
            <w:pPr>
              <w:pStyle w:val="CETBodytext"/>
              <w:ind w:right="-1"/>
              <w:jc w:val="center"/>
            </w:pPr>
            <w:r>
              <w:t>28.1</w:t>
            </w:r>
            <w:r w:rsidR="00DA436C">
              <w:t xml:space="preserve"> (</w:t>
            </w:r>
            <w:r w:rsidR="00DA436C">
              <w:rPr>
                <w:rFonts w:cs="Arial"/>
              </w:rPr>
              <w:t>±</w:t>
            </w:r>
            <w:r w:rsidR="00DA436C">
              <w:t>0.1)</w:t>
            </w:r>
          </w:p>
        </w:tc>
        <w:tc>
          <w:tcPr>
            <w:tcW w:w="709" w:type="dxa"/>
            <w:tcBorders>
              <w:bottom w:val="single" w:sz="4" w:space="0" w:color="00B050"/>
            </w:tcBorders>
            <w:shd w:val="clear" w:color="auto" w:fill="FFFFFF"/>
          </w:tcPr>
          <w:p w14:paraId="586E08E7" w14:textId="4FEB2DC8" w:rsidR="002650DB" w:rsidRPr="0080620F" w:rsidRDefault="002650DB" w:rsidP="005E5D93">
            <w:pPr>
              <w:pStyle w:val="CETBodytext"/>
              <w:ind w:right="-1"/>
              <w:jc w:val="center"/>
            </w:pPr>
            <w:r>
              <w:t>810</w:t>
            </w:r>
            <w:r w:rsidR="00DA436C">
              <w:t xml:space="preserve"> (</w:t>
            </w:r>
            <w:r w:rsidR="00DA436C">
              <w:rPr>
                <w:rFonts w:cs="Arial"/>
              </w:rPr>
              <w:t>±</w:t>
            </w:r>
            <w:r w:rsidR="005E5D93">
              <w:t>4</w:t>
            </w:r>
            <w:r w:rsidR="00DA436C">
              <w:t>.</w:t>
            </w:r>
            <w:r w:rsidR="00B44965">
              <w:t>0</w:t>
            </w:r>
            <w:r w:rsidR="00DA436C">
              <w:t>)</w:t>
            </w:r>
          </w:p>
        </w:tc>
      </w:tr>
      <w:tr w:rsidR="00DA436C" w:rsidRPr="009378F0" w14:paraId="47FD845A" w14:textId="77777777" w:rsidTr="00B91835">
        <w:tc>
          <w:tcPr>
            <w:tcW w:w="709" w:type="dxa"/>
            <w:tcBorders>
              <w:top w:val="single" w:sz="4" w:space="0" w:color="00B050"/>
              <w:bottom w:val="single" w:sz="4" w:space="0" w:color="00B050"/>
            </w:tcBorders>
            <w:shd w:val="clear" w:color="auto" w:fill="FFFFFF"/>
          </w:tcPr>
          <w:p w14:paraId="1D69241B" w14:textId="4B96E245" w:rsidR="00DA436C" w:rsidRDefault="00DA436C" w:rsidP="00DA436C">
            <w:pPr>
              <w:pStyle w:val="CETBodytext"/>
              <w:ind w:right="-1"/>
            </w:pPr>
            <w:r>
              <w:t>OFD</w:t>
            </w:r>
          </w:p>
        </w:tc>
        <w:tc>
          <w:tcPr>
            <w:tcW w:w="709" w:type="dxa"/>
            <w:tcBorders>
              <w:top w:val="single" w:sz="4" w:space="0" w:color="00B050"/>
              <w:bottom w:val="single" w:sz="4" w:space="0" w:color="00B050"/>
            </w:tcBorders>
            <w:shd w:val="clear" w:color="auto" w:fill="FFFFFF"/>
          </w:tcPr>
          <w:p w14:paraId="44D0D104" w14:textId="054EC36D" w:rsidR="00DA436C" w:rsidRDefault="00DA436C" w:rsidP="00DA436C">
            <w:pPr>
              <w:pStyle w:val="CETBodytext"/>
              <w:ind w:right="-1"/>
              <w:jc w:val="center"/>
            </w:pPr>
            <w:r>
              <w:t>8.5</w:t>
            </w:r>
          </w:p>
          <w:p w14:paraId="659AE018" w14:textId="32EB8735" w:rsidR="00DA436C" w:rsidRDefault="00DA436C" w:rsidP="00CC507A">
            <w:pPr>
              <w:pStyle w:val="CETBodytext"/>
              <w:ind w:right="-1"/>
              <w:jc w:val="center"/>
            </w:pPr>
            <w:r>
              <w:t>(</w:t>
            </w:r>
            <w:r>
              <w:rPr>
                <w:rFonts w:cs="Arial"/>
              </w:rPr>
              <w:t>±</w:t>
            </w:r>
            <w:r>
              <w:t>0.</w:t>
            </w:r>
            <w:r w:rsidR="00CC507A">
              <w:t>1</w:t>
            </w:r>
            <w:r>
              <w:t>)</w:t>
            </w:r>
          </w:p>
        </w:tc>
        <w:tc>
          <w:tcPr>
            <w:tcW w:w="709" w:type="dxa"/>
            <w:tcBorders>
              <w:top w:val="single" w:sz="4" w:space="0" w:color="00B050"/>
              <w:bottom w:val="single" w:sz="4" w:space="0" w:color="00B050"/>
            </w:tcBorders>
            <w:shd w:val="clear" w:color="auto" w:fill="FFFFFF"/>
          </w:tcPr>
          <w:p w14:paraId="4F56EB51" w14:textId="421B09A5" w:rsidR="00DA436C" w:rsidRDefault="00DA436C" w:rsidP="00DA436C">
            <w:pPr>
              <w:pStyle w:val="CETBodytext"/>
              <w:ind w:right="-1"/>
              <w:jc w:val="center"/>
            </w:pPr>
            <w:r>
              <w:t>7.8</w:t>
            </w:r>
          </w:p>
          <w:p w14:paraId="0193F315" w14:textId="5EBA6A50" w:rsidR="00DA436C" w:rsidRPr="0080620F" w:rsidRDefault="00DA436C" w:rsidP="0018663B">
            <w:pPr>
              <w:pStyle w:val="CETBodytext"/>
              <w:ind w:right="-1"/>
              <w:jc w:val="center"/>
            </w:pPr>
            <w:r>
              <w:t>(</w:t>
            </w:r>
            <w:r>
              <w:rPr>
                <w:rFonts w:cs="Arial"/>
              </w:rPr>
              <w:t>±</w:t>
            </w:r>
            <w:r>
              <w:t>0.</w:t>
            </w:r>
            <w:r w:rsidR="0018663B">
              <w:t>2</w:t>
            </w:r>
            <w:r>
              <w:t>)</w:t>
            </w:r>
          </w:p>
        </w:tc>
        <w:tc>
          <w:tcPr>
            <w:tcW w:w="709" w:type="dxa"/>
            <w:tcBorders>
              <w:top w:val="single" w:sz="4" w:space="0" w:color="00B050"/>
              <w:bottom w:val="single" w:sz="4" w:space="0" w:color="00B050"/>
            </w:tcBorders>
            <w:shd w:val="clear" w:color="auto" w:fill="FFFFFF"/>
          </w:tcPr>
          <w:p w14:paraId="23E1117F" w14:textId="410FA5CA" w:rsidR="00DA436C" w:rsidRDefault="00DA436C" w:rsidP="00CC507A">
            <w:pPr>
              <w:pStyle w:val="CETBodytext"/>
              <w:ind w:right="-1"/>
              <w:jc w:val="center"/>
            </w:pPr>
            <w:r>
              <w:t>38.5 (</w:t>
            </w:r>
            <w:r>
              <w:rPr>
                <w:rFonts w:cs="Arial"/>
              </w:rPr>
              <w:t>±</w:t>
            </w:r>
            <w:r>
              <w:t>0.</w:t>
            </w:r>
            <w:r w:rsidR="003B7527">
              <w:t>6</w:t>
            </w:r>
            <w:r>
              <w:t>)</w:t>
            </w:r>
          </w:p>
        </w:tc>
        <w:tc>
          <w:tcPr>
            <w:tcW w:w="709" w:type="dxa"/>
            <w:tcBorders>
              <w:top w:val="single" w:sz="4" w:space="0" w:color="00B050"/>
              <w:bottom w:val="single" w:sz="4" w:space="0" w:color="00B050"/>
            </w:tcBorders>
            <w:shd w:val="clear" w:color="auto" w:fill="FFFFFF"/>
          </w:tcPr>
          <w:p w14:paraId="0C68F6B4" w14:textId="088FF0CB" w:rsidR="00DA436C" w:rsidRDefault="0018663B" w:rsidP="0018663B">
            <w:pPr>
              <w:pStyle w:val="CETBodytext"/>
              <w:ind w:right="-1"/>
              <w:jc w:val="center"/>
            </w:pPr>
            <w:r w:rsidRPr="000F141C">
              <w:t>5.1</w:t>
            </w:r>
            <w:r w:rsidR="00DA436C" w:rsidRPr="000F141C">
              <w:t xml:space="preserve"> (</w:t>
            </w:r>
            <w:r w:rsidR="00DA436C" w:rsidRPr="000F141C">
              <w:rPr>
                <w:rFonts w:cs="Arial"/>
              </w:rPr>
              <w:t>±</w:t>
            </w:r>
            <w:r w:rsidR="00DA436C" w:rsidRPr="000F141C">
              <w:t>0.</w:t>
            </w:r>
            <w:r w:rsidRPr="000F141C">
              <w:t>2</w:t>
            </w:r>
            <w:r w:rsidR="00DA436C" w:rsidRPr="000F141C">
              <w:t>)</w:t>
            </w:r>
          </w:p>
        </w:tc>
        <w:tc>
          <w:tcPr>
            <w:tcW w:w="651" w:type="dxa"/>
            <w:tcBorders>
              <w:top w:val="single" w:sz="4" w:space="0" w:color="00B050"/>
              <w:bottom w:val="single" w:sz="4" w:space="0" w:color="00B050"/>
            </w:tcBorders>
            <w:shd w:val="clear" w:color="auto" w:fill="FFFFFF"/>
          </w:tcPr>
          <w:p w14:paraId="31CD13E5" w14:textId="5D197F6A" w:rsidR="00DA436C" w:rsidRPr="0080620F" w:rsidRDefault="00DA436C" w:rsidP="00CC507A">
            <w:pPr>
              <w:pStyle w:val="CETBodytext"/>
              <w:ind w:right="-1"/>
              <w:jc w:val="center"/>
            </w:pPr>
            <w:r>
              <w:t>0.</w:t>
            </w:r>
            <w:r w:rsidR="00CC507A">
              <w:t>07</w:t>
            </w:r>
            <w:r>
              <w:t xml:space="preserve"> (</w:t>
            </w:r>
            <w:r>
              <w:rPr>
                <w:rFonts w:cs="Arial"/>
              </w:rPr>
              <w:t>±</w:t>
            </w:r>
            <w:r>
              <w:t>0.</w:t>
            </w:r>
            <w:r w:rsidR="00B44965">
              <w:t>0</w:t>
            </w:r>
            <w:r>
              <w:t>1)</w:t>
            </w:r>
          </w:p>
        </w:tc>
        <w:tc>
          <w:tcPr>
            <w:tcW w:w="651" w:type="dxa"/>
            <w:tcBorders>
              <w:top w:val="single" w:sz="4" w:space="0" w:color="00B050"/>
              <w:bottom w:val="single" w:sz="4" w:space="0" w:color="00B050"/>
            </w:tcBorders>
            <w:shd w:val="clear" w:color="auto" w:fill="FFFFFF"/>
          </w:tcPr>
          <w:p w14:paraId="238118BD" w14:textId="59AFC310" w:rsidR="00DA436C" w:rsidRPr="0080620F" w:rsidRDefault="00DA436C" w:rsidP="00DA436C">
            <w:pPr>
              <w:pStyle w:val="CETBodytext"/>
              <w:ind w:right="-1"/>
              <w:jc w:val="center"/>
            </w:pPr>
            <w:r>
              <w:t>0.26 (</w:t>
            </w:r>
            <w:r>
              <w:rPr>
                <w:rFonts w:cs="Arial"/>
              </w:rPr>
              <w:t>±</w:t>
            </w:r>
            <w:r>
              <w:t>0.1)</w:t>
            </w:r>
          </w:p>
        </w:tc>
        <w:tc>
          <w:tcPr>
            <w:tcW w:w="709" w:type="dxa"/>
            <w:tcBorders>
              <w:top w:val="single" w:sz="4" w:space="0" w:color="00B050"/>
              <w:bottom w:val="single" w:sz="4" w:space="0" w:color="00B050"/>
            </w:tcBorders>
            <w:shd w:val="clear" w:color="auto" w:fill="FFFFFF"/>
          </w:tcPr>
          <w:p w14:paraId="2A9ED301" w14:textId="4F736EEE" w:rsidR="00DA436C" w:rsidRDefault="00DA436C" w:rsidP="00DA436C">
            <w:pPr>
              <w:pStyle w:val="CETBodytext"/>
              <w:ind w:right="-1"/>
              <w:jc w:val="center"/>
            </w:pPr>
            <w:r>
              <w:t>4</w:t>
            </w:r>
            <w:r w:rsidR="00B44965">
              <w:t>.0</w:t>
            </w:r>
            <w:r>
              <w:t xml:space="preserve"> </w:t>
            </w:r>
            <w:r w:rsidR="00B44965">
              <w:t xml:space="preserve">  </w:t>
            </w:r>
            <w:r>
              <w:t>(</w:t>
            </w:r>
            <w:r>
              <w:rPr>
                <w:rFonts w:cs="Arial"/>
              </w:rPr>
              <w:t>±</w:t>
            </w:r>
            <w:r>
              <w:t>0.1)</w:t>
            </w:r>
          </w:p>
        </w:tc>
        <w:tc>
          <w:tcPr>
            <w:tcW w:w="709" w:type="dxa"/>
            <w:tcBorders>
              <w:top w:val="single" w:sz="4" w:space="0" w:color="00B050"/>
              <w:bottom w:val="single" w:sz="4" w:space="0" w:color="00B050"/>
            </w:tcBorders>
            <w:shd w:val="clear" w:color="auto" w:fill="FFFFFF"/>
          </w:tcPr>
          <w:p w14:paraId="2A11A25F" w14:textId="0C482DD2" w:rsidR="00DA436C" w:rsidRDefault="00DA436C" w:rsidP="005E5D93">
            <w:pPr>
              <w:pStyle w:val="CETBodytext"/>
              <w:ind w:right="-1"/>
              <w:jc w:val="center"/>
            </w:pPr>
            <w:r>
              <w:t>&lt; 0.20</w:t>
            </w:r>
            <w:r w:rsidR="00CC507A">
              <w:t xml:space="preserve"> (</w:t>
            </w:r>
            <w:r w:rsidR="00CC507A">
              <w:rPr>
                <w:rFonts w:cs="Arial"/>
              </w:rPr>
              <w:t>±</w:t>
            </w:r>
            <w:r w:rsidR="00CC507A">
              <w:t>0.0)</w:t>
            </w:r>
          </w:p>
        </w:tc>
        <w:tc>
          <w:tcPr>
            <w:tcW w:w="709" w:type="dxa"/>
            <w:tcBorders>
              <w:top w:val="single" w:sz="4" w:space="0" w:color="00B050"/>
              <w:bottom w:val="single" w:sz="4" w:space="0" w:color="00B050"/>
            </w:tcBorders>
            <w:shd w:val="clear" w:color="auto" w:fill="FFFFFF"/>
          </w:tcPr>
          <w:p w14:paraId="018EDFE8" w14:textId="65AEAEEB" w:rsidR="00DA436C" w:rsidRDefault="00B44965" w:rsidP="00DA436C">
            <w:pPr>
              <w:pStyle w:val="CETBodytext"/>
              <w:ind w:right="-1"/>
              <w:jc w:val="center"/>
            </w:pPr>
            <w:r>
              <w:t>3.2</w:t>
            </w:r>
            <w:r w:rsidR="00DA436C">
              <w:t xml:space="preserve"> (</w:t>
            </w:r>
            <w:r w:rsidR="00DA436C">
              <w:rPr>
                <w:rFonts w:cs="Arial"/>
              </w:rPr>
              <w:t>±</w:t>
            </w:r>
            <w:r w:rsidR="00DA436C">
              <w:t>0.1)</w:t>
            </w:r>
          </w:p>
        </w:tc>
        <w:tc>
          <w:tcPr>
            <w:tcW w:w="709" w:type="dxa"/>
            <w:tcBorders>
              <w:top w:val="single" w:sz="4" w:space="0" w:color="00B050"/>
              <w:bottom w:val="single" w:sz="4" w:space="0" w:color="00B050"/>
            </w:tcBorders>
            <w:shd w:val="clear" w:color="auto" w:fill="FFFFFF"/>
          </w:tcPr>
          <w:p w14:paraId="61308AC1" w14:textId="27686A61" w:rsidR="00DA436C" w:rsidRPr="0080620F" w:rsidRDefault="00DA436C" w:rsidP="00B44965">
            <w:pPr>
              <w:pStyle w:val="CETBodytext"/>
              <w:ind w:right="-1"/>
              <w:jc w:val="center"/>
            </w:pPr>
            <w:r>
              <w:t>0.2 (</w:t>
            </w:r>
            <w:r>
              <w:rPr>
                <w:rFonts w:cs="Arial"/>
              </w:rPr>
              <w:t>±</w:t>
            </w:r>
            <w:r>
              <w:t>0.</w:t>
            </w:r>
            <w:r w:rsidR="00B44965">
              <w:t>05</w:t>
            </w:r>
            <w:r>
              <w:t>)</w:t>
            </w:r>
          </w:p>
        </w:tc>
        <w:tc>
          <w:tcPr>
            <w:tcW w:w="709" w:type="dxa"/>
            <w:tcBorders>
              <w:top w:val="single" w:sz="4" w:space="0" w:color="00B050"/>
              <w:bottom w:val="single" w:sz="4" w:space="0" w:color="00B050"/>
            </w:tcBorders>
            <w:shd w:val="clear" w:color="auto" w:fill="FFFFFF"/>
          </w:tcPr>
          <w:p w14:paraId="1E47EA8A" w14:textId="7DB35298" w:rsidR="00DA436C" w:rsidRPr="0080620F" w:rsidRDefault="00DA436C" w:rsidP="008B1DC8">
            <w:pPr>
              <w:pStyle w:val="CETBodytext"/>
              <w:ind w:right="-1"/>
              <w:jc w:val="center"/>
            </w:pPr>
            <w:r>
              <w:t>71</w:t>
            </w:r>
            <w:r w:rsidR="00B44965">
              <w:t>.0</w:t>
            </w:r>
            <w:r>
              <w:t xml:space="preserve"> (</w:t>
            </w:r>
            <w:r>
              <w:rPr>
                <w:rFonts w:cs="Arial"/>
              </w:rPr>
              <w:t>±</w:t>
            </w:r>
            <w:r w:rsidR="008B1DC8">
              <w:t>1</w:t>
            </w:r>
            <w:r>
              <w:t>.</w:t>
            </w:r>
            <w:r w:rsidR="008B1DC8">
              <w:t>0</w:t>
            </w:r>
            <w:r>
              <w:t>)</w:t>
            </w:r>
          </w:p>
        </w:tc>
      </w:tr>
      <w:tr w:rsidR="00DA436C" w:rsidRPr="009378F0" w14:paraId="1E3DF3E8" w14:textId="77777777" w:rsidTr="00B91835">
        <w:tc>
          <w:tcPr>
            <w:tcW w:w="709" w:type="dxa"/>
            <w:tcBorders>
              <w:top w:val="single" w:sz="4" w:space="0" w:color="00B050"/>
            </w:tcBorders>
            <w:shd w:val="clear" w:color="auto" w:fill="FFFFFF"/>
          </w:tcPr>
          <w:p w14:paraId="1EA82D6D" w14:textId="354FBEE5" w:rsidR="00DA436C" w:rsidRDefault="00DA436C" w:rsidP="00DA436C">
            <w:pPr>
              <w:pStyle w:val="CETBodytext"/>
              <w:ind w:right="-1"/>
            </w:pPr>
            <w:r>
              <w:t>AWD</w:t>
            </w:r>
          </w:p>
        </w:tc>
        <w:tc>
          <w:tcPr>
            <w:tcW w:w="709" w:type="dxa"/>
            <w:tcBorders>
              <w:top w:val="single" w:sz="4" w:space="0" w:color="00B050"/>
            </w:tcBorders>
            <w:shd w:val="clear" w:color="auto" w:fill="FFFFFF"/>
          </w:tcPr>
          <w:p w14:paraId="3006F3D1" w14:textId="77777777" w:rsidR="00DA436C" w:rsidRDefault="00DA436C" w:rsidP="00DA436C">
            <w:pPr>
              <w:pStyle w:val="CETBodytext"/>
              <w:ind w:right="-1"/>
              <w:jc w:val="center"/>
            </w:pPr>
            <w:r>
              <w:t>7.0</w:t>
            </w:r>
          </w:p>
          <w:p w14:paraId="34E361C6" w14:textId="17E0611B" w:rsidR="00DA436C" w:rsidRDefault="00DA436C" w:rsidP="00CC507A">
            <w:pPr>
              <w:pStyle w:val="CETBodytext"/>
              <w:ind w:right="-1"/>
              <w:jc w:val="center"/>
            </w:pPr>
            <w:r>
              <w:t>(</w:t>
            </w:r>
            <w:r>
              <w:rPr>
                <w:rFonts w:cs="Arial"/>
              </w:rPr>
              <w:t>±</w:t>
            </w:r>
            <w:r>
              <w:t>0.</w:t>
            </w:r>
            <w:r w:rsidR="00CC507A">
              <w:t>1</w:t>
            </w:r>
            <w:r>
              <w:t>)</w:t>
            </w:r>
          </w:p>
        </w:tc>
        <w:tc>
          <w:tcPr>
            <w:tcW w:w="709" w:type="dxa"/>
            <w:tcBorders>
              <w:top w:val="single" w:sz="4" w:space="0" w:color="00B050"/>
            </w:tcBorders>
            <w:shd w:val="clear" w:color="auto" w:fill="FFFFFF"/>
          </w:tcPr>
          <w:p w14:paraId="4C1D34D2" w14:textId="197AA537" w:rsidR="00DA436C" w:rsidRDefault="00B44965" w:rsidP="00DA436C">
            <w:pPr>
              <w:pStyle w:val="CETBodytext"/>
              <w:ind w:right="-1"/>
              <w:jc w:val="center"/>
            </w:pPr>
            <w:r>
              <w:t>5</w:t>
            </w:r>
            <w:r w:rsidR="00DA436C" w:rsidRPr="0080620F">
              <w:t>.</w:t>
            </w:r>
            <w:r>
              <w:t>1</w:t>
            </w:r>
          </w:p>
          <w:p w14:paraId="122AC518" w14:textId="15155B23" w:rsidR="00DA436C" w:rsidRPr="0080620F" w:rsidRDefault="00DA436C" w:rsidP="0018663B">
            <w:pPr>
              <w:pStyle w:val="CETBodytext"/>
              <w:ind w:right="-1"/>
              <w:jc w:val="center"/>
            </w:pPr>
            <w:r>
              <w:t>(</w:t>
            </w:r>
            <w:r>
              <w:rPr>
                <w:rFonts w:cs="Arial"/>
              </w:rPr>
              <w:t>±</w:t>
            </w:r>
            <w:r>
              <w:t>0.</w:t>
            </w:r>
            <w:r w:rsidR="0018663B">
              <w:t>1</w:t>
            </w:r>
            <w:r>
              <w:t>)</w:t>
            </w:r>
          </w:p>
        </w:tc>
        <w:tc>
          <w:tcPr>
            <w:tcW w:w="709" w:type="dxa"/>
            <w:tcBorders>
              <w:top w:val="single" w:sz="4" w:space="0" w:color="00B050"/>
            </w:tcBorders>
            <w:shd w:val="clear" w:color="auto" w:fill="FFFFFF"/>
          </w:tcPr>
          <w:p w14:paraId="0DD7ED3C" w14:textId="1CCC73E2" w:rsidR="00DA436C" w:rsidRDefault="00DA436C" w:rsidP="008B1DC8">
            <w:pPr>
              <w:pStyle w:val="CETBodytext"/>
              <w:ind w:right="-1"/>
              <w:jc w:val="center"/>
            </w:pPr>
            <w:r>
              <w:t>2</w:t>
            </w:r>
            <w:r w:rsidR="00B44965">
              <w:t>6</w:t>
            </w:r>
            <w:r>
              <w:t>.</w:t>
            </w:r>
            <w:r w:rsidR="00B44965">
              <w:t>0</w:t>
            </w:r>
            <w:r>
              <w:t xml:space="preserve"> (</w:t>
            </w:r>
            <w:r>
              <w:rPr>
                <w:rFonts w:cs="Arial"/>
              </w:rPr>
              <w:t>±</w:t>
            </w:r>
            <w:r w:rsidR="003B7527">
              <w:t>0</w:t>
            </w:r>
            <w:r>
              <w:t>.</w:t>
            </w:r>
            <w:r w:rsidR="003B7527">
              <w:t>4</w:t>
            </w:r>
            <w:r>
              <w:t>)</w:t>
            </w:r>
          </w:p>
        </w:tc>
        <w:tc>
          <w:tcPr>
            <w:tcW w:w="709" w:type="dxa"/>
            <w:tcBorders>
              <w:top w:val="single" w:sz="4" w:space="0" w:color="00B050"/>
            </w:tcBorders>
            <w:shd w:val="clear" w:color="auto" w:fill="FFFFFF"/>
          </w:tcPr>
          <w:p w14:paraId="2FB4BD29" w14:textId="1D3B55EE" w:rsidR="00DA436C" w:rsidRDefault="00B44965" w:rsidP="00B44965">
            <w:pPr>
              <w:pStyle w:val="CETBodytext"/>
              <w:ind w:right="-1"/>
              <w:jc w:val="center"/>
            </w:pPr>
            <w:r>
              <w:t>3</w:t>
            </w:r>
            <w:r w:rsidR="00DA436C">
              <w:t>.</w:t>
            </w:r>
            <w:r>
              <w:t>6</w:t>
            </w:r>
            <w:r w:rsidR="00DA436C">
              <w:t xml:space="preserve"> (</w:t>
            </w:r>
            <w:r w:rsidR="00DA436C">
              <w:rPr>
                <w:rFonts w:cs="Arial"/>
              </w:rPr>
              <w:t>±</w:t>
            </w:r>
            <w:r w:rsidR="00DA436C">
              <w:t>0.1)</w:t>
            </w:r>
          </w:p>
        </w:tc>
        <w:tc>
          <w:tcPr>
            <w:tcW w:w="651" w:type="dxa"/>
            <w:tcBorders>
              <w:top w:val="single" w:sz="4" w:space="0" w:color="00B050"/>
            </w:tcBorders>
            <w:shd w:val="clear" w:color="auto" w:fill="FFFFFF"/>
          </w:tcPr>
          <w:p w14:paraId="43C9A7BC" w14:textId="5800D6AD" w:rsidR="00DA436C" w:rsidRPr="0080620F" w:rsidRDefault="00DA436C" w:rsidP="00B44965">
            <w:pPr>
              <w:pStyle w:val="CETBodytext"/>
              <w:ind w:right="-1"/>
              <w:jc w:val="center"/>
            </w:pPr>
            <w:r>
              <w:t>2</w:t>
            </w:r>
            <w:r w:rsidRPr="0080620F">
              <w:t>.</w:t>
            </w:r>
            <w:r w:rsidR="00B44965">
              <w:t>3</w:t>
            </w:r>
            <w:r>
              <w:t xml:space="preserve"> (</w:t>
            </w:r>
            <w:r>
              <w:rPr>
                <w:rFonts w:cs="Arial"/>
              </w:rPr>
              <w:t>±</w:t>
            </w:r>
            <w:r>
              <w:t>0.1)</w:t>
            </w:r>
          </w:p>
        </w:tc>
        <w:tc>
          <w:tcPr>
            <w:tcW w:w="651" w:type="dxa"/>
            <w:tcBorders>
              <w:top w:val="single" w:sz="4" w:space="0" w:color="00B050"/>
            </w:tcBorders>
            <w:shd w:val="clear" w:color="auto" w:fill="FFFFFF"/>
          </w:tcPr>
          <w:p w14:paraId="2A34A8F8" w14:textId="0BBD34B2" w:rsidR="00DA436C" w:rsidRPr="0080620F" w:rsidRDefault="00B44965" w:rsidP="00CC507A">
            <w:pPr>
              <w:pStyle w:val="CETBodytext"/>
              <w:ind w:right="-1"/>
              <w:jc w:val="center"/>
            </w:pPr>
            <w:r>
              <w:t>&lt; 0.12</w:t>
            </w:r>
            <w:r w:rsidR="00CC507A">
              <w:t xml:space="preserve"> (</w:t>
            </w:r>
            <w:r w:rsidR="00CC507A">
              <w:rPr>
                <w:rFonts w:cs="Arial"/>
              </w:rPr>
              <w:t>±</w:t>
            </w:r>
            <w:r w:rsidR="00CC507A">
              <w:t>0.01)</w:t>
            </w:r>
          </w:p>
        </w:tc>
        <w:tc>
          <w:tcPr>
            <w:tcW w:w="709" w:type="dxa"/>
            <w:tcBorders>
              <w:top w:val="single" w:sz="4" w:space="0" w:color="00B050"/>
            </w:tcBorders>
            <w:shd w:val="clear" w:color="auto" w:fill="FFFFFF"/>
          </w:tcPr>
          <w:p w14:paraId="41430B7C" w14:textId="4274B58E" w:rsidR="00DA436C" w:rsidRDefault="00B44965" w:rsidP="00B44965">
            <w:pPr>
              <w:pStyle w:val="CETBodytext"/>
              <w:ind w:right="-1"/>
              <w:jc w:val="center"/>
            </w:pPr>
            <w:r>
              <w:t xml:space="preserve">440 </w:t>
            </w:r>
            <w:r w:rsidR="00DA436C">
              <w:t>(</w:t>
            </w:r>
            <w:r w:rsidR="00DA436C">
              <w:rPr>
                <w:rFonts w:cs="Arial"/>
              </w:rPr>
              <w:t>±</w:t>
            </w:r>
            <w:r w:rsidR="00DA436C">
              <w:t>0.</w:t>
            </w:r>
            <w:r>
              <w:t>5</w:t>
            </w:r>
            <w:r w:rsidR="00DA436C">
              <w:t>)</w:t>
            </w:r>
          </w:p>
        </w:tc>
        <w:tc>
          <w:tcPr>
            <w:tcW w:w="709" w:type="dxa"/>
            <w:tcBorders>
              <w:top w:val="single" w:sz="4" w:space="0" w:color="00B050"/>
            </w:tcBorders>
            <w:shd w:val="clear" w:color="auto" w:fill="FFFFFF"/>
          </w:tcPr>
          <w:p w14:paraId="441C6246" w14:textId="481294CD" w:rsidR="00DA436C" w:rsidRDefault="00B44965" w:rsidP="005E5D93">
            <w:pPr>
              <w:pStyle w:val="CETBodytext"/>
              <w:ind w:right="-1"/>
              <w:jc w:val="center"/>
            </w:pPr>
            <w:r>
              <w:t>&lt; 0.20</w:t>
            </w:r>
            <w:r w:rsidR="00CC507A">
              <w:t xml:space="preserve"> (</w:t>
            </w:r>
            <w:r w:rsidR="00CC507A">
              <w:rPr>
                <w:rFonts w:cs="Arial"/>
              </w:rPr>
              <w:t>±</w:t>
            </w:r>
            <w:r w:rsidR="00CC507A">
              <w:t>0.0)</w:t>
            </w:r>
            <w:r>
              <w:t xml:space="preserve"> </w:t>
            </w:r>
          </w:p>
        </w:tc>
        <w:tc>
          <w:tcPr>
            <w:tcW w:w="709" w:type="dxa"/>
            <w:tcBorders>
              <w:top w:val="single" w:sz="4" w:space="0" w:color="00B050"/>
            </w:tcBorders>
            <w:shd w:val="clear" w:color="auto" w:fill="FFFFFF"/>
          </w:tcPr>
          <w:p w14:paraId="0FF2E32F" w14:textId="1E4E12B5" w:rsidR="00DA436C" w:rsidRDefault="00B44965" w:rsidP="00DA436C">
            <w:pPr>
              <w:pStyle w:val="CETBodytext"/>
              <w:ind w:right="-1"/>
              <w:jc w:val="center"/>
            </w:pPr>
            <w:r>
              <w:t>17.2</w:t>
            </w:r>
            <w:r w:rsidR="00DA436C">
              <w:t xml:space="preserve"> (</w:t>
            </w:r>
            <w:r w:rsidR="00DA436C">
              <w:rPr>
                <w:rFonts w:cs="Arial"/>
              </w:rPr>
              <w:t>±</w:t>
            </w:r>
            <w:r w:rsidR="00DA436C">
              <w:t>0.1)</w:t>
            </w:r>
          </w:p>
        </w:tc>
        <w:tc>
          <w:tcPr>
            <w:tcW w:w="709" w:type="dxa"/>
            <w:tcBorders>
              <w:top w:val="single" w:sz="4" w:space="0" w:color="00B050"/>
            </w:tcBorders>
            <w:shd w:val="clear" w:color="auto" w:fill="FFFFFF"/>
          </w:tcPr>
          <w:p w14:paraId="74024E0C" w14:textId="39728498" w:rsidR="00DA436C" w:rsidRPr="0080620F" w:rsidRDefault="00B44965" w:rsidP="00DA436C">
            <w:pPr>
              <w:pStyle w:val="CETBodytext"/>
              <w:ind w:right="-1"/>
              <w:jc w:val="center"/>
            </w:pPr>
            <w:r>
              <w:t>6.4</w:t>
            </w:r>
            <w:r w:rsidR="00DA436C">
              <w:t xml:space="preserve"> (</w:t>
            </w:r>
            <w:r w:rsidR="00DA436C">
              <w:rPr>
                <w:rFonts w:cs="Arial"/>
              </w:rPr>
              <w:t>±</w:t>
            </w:r>
            <w:r w:rsidR="00DA436C">
              <w:t>0.1)</w:t>
            </w:r>
          </w:p>
        </w:tc>
        <w:tc>
          <w:tcPr>
            <w:tcW w:w="709" w:type="dxa"/>
            <w:tcBorders>
              <w:top w:val="single" w:sz="4" w:space="0" w:color="00B050"/>
            </w:tcBorders>
            <w:shd w:val="clear" w:color="auto" w:fill="FFFFFF"/>
          </w:tcPr>
          <w:p w14:paraId="1779299C" w14:textId="7AF465FA" w:rsidR="00DA436C" w:rsidRPr="0080620F" w:rsidRDefault="00B44965" w:rsidP="00B44965">
            <w:pPr>
              <w:pStyle w:val="CETBodytext"/>
              <w:ind w:right="-1"/>
              <w:jc w:val="center"/>
            </w:pPr>
            <w:r>
              <w:t>232</w:t>
            </w:r>
            <w:r w:rsidR="00DA436C">
              <w:t xml:space="preserve"> (</w:t>
            </w:r>
            <w:r w:rsidR="00DA436C">
              <w:rPr>
                <w:rFonts w:cs="Arial"/>
              </w:rPr>
              <w:t>±</w:t>
            </w:r>
            <w:r>
              <w:t>1</w:t>
            </w:r>
            <w:r w:rsidR="00DA436C">
              <w:t>.</w:t>
            </w:r>
            <w:r>
              <w:t>5</w:t>
            </w:r>
            <w:r w:rsidR="00DA436C">
              <w:t>)</w:t>
            </w:r>
          </w:p>
        </w:tc>
      </w:tr>
    </w:tbl>
    <w:p w14:paraId="0F0819A5" w14:textId="4B71A6FF" w:rsidR="00844E5A" w:rsidRPr="00C01F38" w:rsidRDefault="00844E5A" w:rsidP="004B0856">
      <w:pPr>
        <w:pStyle w:val="CET-table-title"/>
        <w:jc w:val="both"/>
        <w:rPr>
          <w:i w:val="0"/>
        </w:rPr>
      </w:pPr>
      <w:r w:rsidRPr="00844E5A">
        <w:rPr>
          <w:i w:val="0"/>
        </w:rPr>
        <w:t xml:space="preserve">Table </w:t>
      </w:r>
      <w:r>
        <w:rPr>
          <w:i w:val="0"/>
        </w:rPr>
        <w:t>2</w:t>
      </w:r>
      <w:r w:rsidRPr="00844E5A">
        <w:rPr>
          <w:i w:val="0"/>
        </w:rPr>
        <w:t xml:space="preserve"> </w:t>
      </w:r>
      <w:r>
        <w:rPr>
          <w:i w:val="0"/>
        </w:rPr>
        <w:t>report</w:t>
      </w:r>
      <w:r w:rsidRPr="00844E5A">
        <w:rPr>
          <w:i w:val="0"/>
        </w:rPr>
        <w:t>s</w:t>
      </w:r>
      <w:r>
        <w:rPr>
          <w:i w:val="0"/>
        </w:rPr>
        <w:t xml:space="preserve"> the pH of HTC slurries and mass yields. </w:t>
      </w:r>
      <w:r w:rsidR="00C01F38">
        <w:rPr>
          <w:i w:val="0"/>
        </w:rPr>
        <w:t>T</w:t>
      </w:r>
      <w:r>
        <w:rPr>
          <w:i w:val="0"/>
        </w:rPr>
        <w:t>he pH values</w:t>
      </w:r>
      <w:r w:rsidR="002F1F92">
        <w:rPr>
          <w:i w:val="0"/>
        </w:rPr>
        <w:t xml:space="preserve"> of slurr</w:t>
      </w:r>
      <w:r w:rsidR="003B7527">
        <w:rPr>
          <w:i w:val="0"/>
        </w:rPr>
        <w:t>ies</w:t>
      </w:r>
      <w:r>
        <w:rPr>
          <w:i w:val="0"/>
        </w:rPr>
        <w:t xml:space="preserve"> </w:t>
      </w:r>
      <w:r w:rsidR="002F1F92">
        <w:rPr>
          <w:i w:val="0"/>
        </w:rPr>
        <w:t xml:space="preserve">are similar to the pH of the raw biomass </w:t>
      </w:r>
      <w:r>
        <w:rPr>
          <w:i w:val="0"/>
        </w:rPr>
        <w:t>for all the sample</w:t>
      </w:r>
      <w:r w:rsidR="004B0856">
        <w:rPr>
          <w:i w:val="0"/>
        </w:rPr>
        <w:t xml:space="preserve">s </w:t>
      </w:r>
      <w:r w:rsidR="00403B3F">
        <w:rPr>
          <w:i w:val="0"/>
        </w:rPr>
        <w:t xml:space="preserve">investigated, </w:t>
      </w:r>
      <w:r w:rsidR="004B0856">
        <w:rPr>
          <w:i w:val="0"/>
        </w:rPr>
        <w:t xml:space="preserve">dropping of about </w:t>
      </w:r>
      <w:r w:rsidR="002F1F92">
        <w:rPr>
          <w:i w:val="0"/>
        </w:rPr>
        <w:t>0.5</w:t>
      </w:r>
      <w:r w:rsidR="004B0856">
        <w:rPr>
          <w:i w:val="0"/>
        </w:rPr>
        <w:t xml:space="preserve"> units</w:t>
      </w:r>
      <w:r w:rsidR="002F1F92">
        <w:rPr>
          <w:i w:val="0"/>
        </w:rPr>
        <w:t xml:space="preserve"> maximum.</w:t>
      </w:r>
      <w:r w:rsidR="00196E8A">
        <w:rPr>
          <w:i w:val="0"/>
        </w:rPr>
        <w:t xml:space="preserve"> </w:t>
      </w:r>
      <w:r w:rsidR="00C01F38">
        <w:rPr>
          <w:i w:val="0"/>
        </w:rPr>
        <w:t xml:space="preserve">Mass yields data show that between 54.8 and 63 wt% of solid mass is retained in the slurries after HTC, </w:t>
      </w:r>
      <w:r w:rsidR="00C01F38">
        <w:rPr>
          <w:i w:val="0"/>
        </w:rPr>
        <w:t>a lesser</w:t>
      </w:r>
      <w:r w:rsidR="00C01F38">
        <w:rPr>
          <w:i w:val="0"/>
        </w:rPr>
        <w:t xml:space="preserve"> </w:t>
      </w:r>
      <w:r w:rsidR="00C01F38">
        <w:rPr>
          <w:i w:val="0"/>
        </w:rPr>
        <w:t xml:space="preserve">amount of mass yield is obtained in the gas phase </w:t>
      </w:r>
      <w:r w:rsidR="00C01F38" w:rsidRPr="004B3ACA">
        <w:rPr>
          <w:i w:val="0"/>
        </w:rPr>
        <w:t xml:space="preserve">(averagely between 4.4 and 5.6 wt%) while </w:t>
      </w:r>
      <w:r w:rsidR="00C01F38">
        <w:rPr>
          <w:i w:val="0"/>
        </w:rPr>
        <w:t>the remaining</w:t>
      </w:r>
      <w:r w:rsidR="00C01F38" w:rsidRPr="004B3ACA">
        <w:rPr>
          <w:i w:val="0"/>
        </w:rPr>
        <w:t xml:space="preserve"> is moved into the liquid phase (averagely between 31.8 and 40.8 wt%)</w:t>
      </w:r>
      <w:r w:rsidR="00C01F38">
        <w:rPr>
          <w:i w:val="0"/>
        </w:rPr>
        <w:t>.</w:t>
      </w:r>
    </w:p>
    <w:p w14:paraId="3FADB5C9" w14:textId="7B7B385C" w:rsidR="00406334" w:rsidRPr="004B3ACA" w:rsidRDefault="00406334" w:rsidP="00406334">
      <w:pPr>
        <w:pStyle w:val="CET-table-title"/>
        <w:rPr>
          <w:lang w:val="en-GB"/>
        </w:rPr>
      </w:pPr>
      <w:r w:rsidRPr="004B3ACA">
        <w:rPr>
          <w:lang w:val="en-GB"/>
        </w:rPr>
        <w:t xml:space="preserve">Table 2:  </w:t>
      </w:r>
      <w:r w:rsidR="00D20217" w:rsidRPr="004B3ACA">
        <w:rPr>
          <w:lang w:val="en-GB"/>
        </w:rPr>
        <w:t>pH</w:t>
      </w:r>
      <w:r w:rsidR="004B0856" w:rsidRPr="004B3ACA">
        <w:rPr>
          <w:lang w:val="en-GB"/>
        </w:rPr>
        <w:t>,</w:t>
      </w:r>
      <w:r w:rsidR="00D20217" w:rsidRPr="004B3ACA">
        <w:rPr>
          <w:lang w:val="en-GB"/>
        </w:rPr>
        <w:t xml:space="preserve"> solid, gas and liquid </w:t>
      </w:r>
      <w:r w:rsidRPr="004B3ACA">
        <w:rPr>
          <w:lang w:val="en-GB"/>
        </w:rPr>
        <w:t xml:space="preserve">mass yields, </w:t>
      </w:r>
      <w:r w:rsidR="00D20217" w:rsidRPr="004B3ACA">
        <w:rPr>
          <w:lang w:val="en-GB"/>
        </w:rPr>
        <w:t xml:space="preserve">of SSD, OFD and AWD slurries </w:t>
      </w:r>
    </w:p>
    <w:tbl>
      <w:tblPr>
        <w:tblW w:w="368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709"/>
        <w:gridCol w:w="709"/>
        <w:gridCol w:w="709"/>
        <w:gridCol w:w="709"/>
      </w:tblGrid>
      <w:tr w:rsidR="00D20217" w:rsidRPr="004B3ACA" w14:paraId="3F8C2892" w14:textId="77777777" w:rsidTr="00D20217">
        <w:tc>
          <w:tcPr>
            <w:tcW w:w="851" w:type="dxa"/>
            <w:tcBorders>
              <w:top w:val="single" w:sz="12" w:space="0" w:color="008000"/>
              <w:bottom w:val="single" w:sz="6" w:space="0" w:color="008000"/>
            </w:tcBorders>
            <w:shd w:val="clear" w:color="auto" w:fill="FFFFFF"/>
          </w:tcPr>
          <w:p w14:paraId="2D8E4256" w14:textId="77777777" w:rsidR="00D20217" w:rsidRPr="004B3ACA" w:rsidRDefault="00D20217" w:rsidP="00D20217">
            <w:pPr>
              <w:pStyle w:val="CETBodytext"/>
              <w:rPr>
                <w:lang w:val="en-GB"/>
              </w:rPr>
            </w:pPr>
            <w:r w:rsidRPr="004B3ACA">
              <w:rPr>
                <w:b/>
              </w:rPr>
              <w:t>Sample</w:t>
            </w:r>
          </w:p>
        </w:tc>
        <w:tc>
          <w:tcPr>
            <w:tcW w:w="709" w:type="dxa"/>
            <w:tcBorders>
              <w:top w:val="single" w:sz="12" w:space="0" w:color="008000"/>
              <w:bottom w:val="single" w:sz="6" w:space="0" w:color="008000"/>
            </w:tcBorders>
            <w:shd w:val="clear" w:color="auto" w:fill="FFFFFF"/>
          </w:tcPr>
          <w:p w14:paraId="4C768E3C" w14:textId="77777777" w:rsidR="00D20217" w:rsidRPr="004B3ACA" w:rsidRDefault="00D20217" w:rsidP="00D20217">
            <w:pPr>
              <w:pStyle w:val="CETBodytext"/>
              <w:ind w:right="-1"/>
              <w:jc w:val="center"/>
              <w:rPr>
                <w:b/>
              </w:rPr>
            </w:pPr>
            <w:r w:rsidRPr="004B3ACA">
              <w:rPr>
                <w:b/>
              </w:rPr>
              <w:t>pH</w:t>
            </w:r>
          </w:p>
        </w:tc>
        <w:tc>
          <w:tcPr>
            <w:tcW w:w="709" w:type="dxa"/>
            <w:tcBorders>
              <w:top w:val="single" w:sz="12" w:space="0" w:color="008000"/>
              <w:bottom w:val="single" w:sz="6" w:space="0" w:color="008000"/>
            </w:tcBorders>
            <w:shd w:val="clear" w:color="auto" w:fill="FFFFFF"/>
          </w:tcPr>
          <w:p w14:paraId="3FF994A2" w14:textId="647425E4" w:rsidR="00D20217" w:rsidRPr="004B3ACA" w:rsidRDefault="00D20217" w:rsidP="00D20217">
            <w:pPr>
              <w:pStyle w:val="CETBodytext"/>
              <w:ind w:right="-1"/>
              <w:jc w:val="center"/>
              <w:rPr>
                <w:b/>
              </w:rPr>
            </w:pPr>
            <w:r w:rsidRPr="004B3ACA">
              <w:rPr>
                <w:b/>
              </w:rPr>
              <w:t>MY</w:t>
            </w:r>
            <w:r w:rsidRPr="004B3ACA">
              <w:rPr>
                <w:b/>
                <w:vertAlign w:val="subscript"/>
              </w:rPr>
              <w:t>S</w:t>
            </w:r>
            <w:r w:rsidRPr="004B3ACA">
              <w:rPr>
                <w:b/>
              </w:rPr>
              <w:t xml:space="preserve"> (wt%)</w:t>
            </w:r>
          </w:p>
        </w:tc>
        <w:tc>
          <w:tcPr>
            <w:tcW w:w="709" w:type="dxa"/>
            <w:tcBorders>
              <w:top w:val="single" w:sz="12" w:space="0" w:color="008000"/>
              <w:bottom w:val="single" w:sz="6" w:space="0" w:color="008000"/>
            </w:tcBorders>
            <w:shd w:val="clear" w:color="auto" w:fill="FFFFFF"/>
          </w:tcPr>
          <w:p w14:paraId="7B3B74FA" w14:textId="39E4DCF6" w:rsidR="00D20217" w:rsidRPr="004B3ACA" w:rsidRDefault="00D20217" w:rsidP="00D20217">
            <w:pPr>
              <w:pStyle w:val="CETBodytext"/>
              <w:ind w:right="-1"/>
              <w:jc w:val="center"/>
              <w:rPr>
                <w:b/>
              </w:rPr>
            </w:pPr>
            <w:r w:rsidRPr="004B3ACA">
              <w:rPr>
                <w:b/>
              </w:rPr>
              <w:t>MY</w:t>
            </w:r>
            <w:r w:rsidRPr="004B3ACA">
              <w:rPr>
                <w:b/>
                <w:vertAlign w:val="subscript"/>
              </w:rPr>
              <w:t>g</w:t>
            </w:r>
            <w:r w:rsidR="00AC3B73" w:rsidRPr="004B3ACA">
              <w:rPr>
                <w:b/>
                <w:vertAlign w:val="superscript"/>
              </w:rPr>
              <w:t>*</w:t>
            </w:r>
            <w:r w:rsidRPr="004B3ACA">
              <w:rPr>
                <w:b/>
              </w:rPr>
              <w:t xml:space="preserve"> (wt%)</w:t>
            </w:r>
          </w:p>
        </w:tc>
        <w:tc>
          <w:tcPr>
            <w:tcW w:w="709" w:type="dxa"/>
            <w:tcBorders>
              <w:top w:val="single" w:sz="12" w:space="0" w:color="008000"/>
              <w:bottom w:val="single" w:sz="6" w:space="0" w:color="008000"/>
            </w:tcBorders>
            <w:shd w:val="clear" w:color="auto" w:fill="FFFFFF"/>
          </w:tcPr>
          <w:p w14:paraId="33038B37" w14:textId="2B92CD90" w:rsidR="00D20217" w:rsidRPr="004B3ACA" w:rsidRDefault="00D20217" w:rsidP="00AC3B73">
            <w:pPr>
              <w:pStyle w:val="CETBodytext"/>
              <w:ind w:right="-1"/>
              <w:jc w:val="center"/>
              <w:rPr>
                <w:b/>
              </w:rPr>
            </w:pPr>
            <w:r w:rsidRPr="004B3ACA">
              <w:rPr>
                <w:b/>
              </w:rPr>
              <w:t>MY</w:t>
            </w:r>
            <w:r w:rsidRPr="004B3ACA">
              <w:rPr>
                <w:b/>
                <w:vertAlign w:val="subscript"/>
              </w:rPr>
              <w:t>L</w:t>
            </w:r>
            <w:r w:rsidRPr="004B3ACA">
              <w:rPr>
                <w:b/>
              </w:rPr>
              <w:t xml:space="preserve"> (wt%)</w:t>
            </w:r>
          </w:p>
        </w:tc>
      </w:tr>
      <w:tr w:rsidR="00D20217" w:rsidRPr="004B3ACA" w14:paraId="111F136B" w14:textId="77777777" w:rsidTr="00D20217">
        <w:tc>
          <w:tcPr>
            <w:tcW w:w="851" w:type="dxa"/>
            <w:tcBorders>
              <w:bottom w:val="single" w:sz="4" w:space="0" w:color="00B050"/>
            </w:tcBorders>
            <w:shd w:val="clear" w:color="auto" w:fill="FFFFFF"/>
          </w:tcPr>
          <w:p w14:paraId="7EFD390F" w14:textId="1AF56578" w:rsidR="00D20217" w:rsidRPr="004B3ACA" w:rsidRDefault="00D20217" w:rsidP="00D20217">
            <w:pPr>
              <w:pStyle w:val="CETBodytext"/>
              <w:ind w:right="-1"/>
              <w:jc w:val="left"/>
              <w:rPr>
                <w:rFonts w:cs="Arial"/>
                <w:szCs w:val="18"/>
                <w:lang w:val="en-GB"/>
              </w:rPr>
            </w:pPr>
            <w:r w:rsidRPr="004B3ACA">
              <w:lastRenderedPageBreak/>
              <w:t>SSD-SL</w:t>
            </w:r>
          </w:p>
        </w:tc>
        <w:tc>
          <w:tcPr>
            <w:tcW w:w="709" w:type="dxa"/>
            <w:tcBorders>
              <w:bottom w:val="single" w:sz="4" w:space="0" w:color="00B050"/>
            </w:tcBorders>
            <w:shd w:val="clear" w:color="auto" w:fill="FFFFFF"/>
          </w:tcPr>
          <w:p w14:paraId="28C8274E" w14:textId="316D43DF" w:rsidR="00D20217" w:rsidRPr="004B3ACA" w:rsidRDefault="002F1F92" w:rsidP="00D20217">
            <w:pPr>
              <w:pStyle w:val="CETBodytext"/>
              <w:ind w:right="-1"/>
              <w:jc w:val="center"/>
            </w:pPr>
            <w:r w:rsidRPr="004B3ACA">
              <w:t>7</w:t>
            </w:r>
            <w:r w:rsidR="00D20217" w:rsidRPr="004B3ACA">
              <w:t>.0 (</w:t>
            </w:r>
            <w:r w:rsidR="00D20217" w:rsidRPr="004B3ACA">
              <w:rPr>
                <w:rFonts w:cs="Arial"/>
              </w:rPr>
              <w:t>±</w:t>
            </w:r>
            <w:r w:rsidR="00D20217" w:rsidRPr="004B3ACA">
              <w:t>0.1)</w:t>
            </w:r>
          </w:p>
        </w:tc>
        <w:tc>
          <w:tcPr>
            <w:tcW w:w="709" w:type="dxa"/>
            <w:tcBorders>
              <w:bottom w:val="single" w:sz="4" w:space="0" w:color="00B050"/>
            </w:tcBorders>
            <w:shd w:val="clear" w:color="auto" w:fill="FFFFFF"/>
          </w:tcPr>
          <w:p w14:paraId="6316120D" w14:textId="47D1A12C" w:rsidR="00D20217" w:rsidRPr="004B3ACA" w:rsidRDefault="00535E7F" w:rsidP="000F141C">
            <w:pPr>
              <w:pStyle w:val="CETBodytext"/>
              <w:ind w:right="-1"/>
              <w:jc w:val="center"/>
            </w:pPr>
            <w:r w:rsidRPr="004B3ACA">
              <w:t>63.1</w:t>
            </w:r>
            <w:r w:rsidR="0018663B" w:rsidRPr="004B3ACA">
              <w:t xml:space="preserve"> (</w:t>
            </w:r>
            <w:r w:rsidR="0018663B" w:rsidRPr="004B3ACA">
              <w:rPr>
                <w:rFonts w:cs="Arial"/>
              </w:rPr>
              <w:t>±</w:t>
            </w:r>
            <w:r w:rsidR="0018663B" w:rsidRPr="004B3ACA">
              <w:t>2.</w:t>
            </w:r>
            <w:r w:rsidR="000F141C" w:rsidRPr="004B3ACA">
              <w:t>0</w:t>
            </w:r>
            <w:r w:rsidR="0018663B" w:rsidRPr="004B3ACA">
              <w:t>)</w:t>
            </w:r>
          </w:p>
        </w:tc>
        <w:tc>
          <w:tcPr>
            <w:tcW w:w="709" w:type="dxa"/>
            <w:tcBorders>
              <w:bottom w:val="single" w:sz="4" w:space="0" w:color="00B050"/>
            </w:tcBorders>
            <w:shd w:val="clear" w:color="auto" w:fill="FFFFFF"/>
          </w:tcPr>
          <w:p w14:paraId="77D62EC3" w14:textId="5020E2AF" w:rsidR="00D20217" w:rsidRPr="004B3ACA" w:rsidRDefault="00C93AC7" w:rsidP="000F141C">
            <w:pPr>
              <w:pStyle w:val="CETBodytext"/>
              <w:ind w:right="-1"/>
              <w:jc w:val="center"/>
            </w:pPr>
            <w:r w:rsidRPr="004B3ACA">
              <w:t>5.1</w:t>
            </w:r>
            <w:r w:rsidR="0018663B" w:rsidRPr="004B3ACA">
              <w:t xml:space="preserve"> (</w:t>
            </w:r>
            <w:r w:rsidR="0018663B" w:rsidRPr="004B3ACA">
              <w:rPr>
                <w:rFonts w:cs="Arial"/>
              </w:rPr>
              <w:t>±</w:t>
            </w:r>
            <w:r w:rsidR="0018663B" w:rsidRPr="004B3ACA">
              <w:t>0.</w:t>
            </w:r>
            <w:r w:rsidR="000F141C" w:rsidRPr="004B3ACA">
              <w:t>4</w:t>
            </w:r>
            <w:r w:rsidR="0018663B" w:rsidRPr="004B3ACA">
              <w:t>)</w:t>
            </w:r>
          </w:p>
        </w:tc>
        <w:tc>
          <w:tcPr>
            <w:tcW w:w="709" w:type="dxa"/>
            <w:tcBorders>
              <w:bottom w:val="single" w:sz="4" w:space="0" w:color="00B050"/>
            </w:tcBorders>
            <w:shd w:val="clear" w:color="auto" w:fill="FFFFFF"/>
          </w:tcPr>
          <w:p w14:paraId="6ECCE35A" w14:textId="18A53B47" w:rsidR="00D20217" w:rsidRPr="004B3ACA" w:rsidRDefault="00C93AC7" w:rsidP="000F141C">
            <w:pPr>
              <w:pStyle w:val="CETBodytext"/>
              <w:ind w:right="-1"/>
              <w:jc w:val="center"/>
            </w:pPr>
            <w:r w:rsidRPr="004B3ACA">
              <w:t>31.8</w:t>
            </w:r>
            <w:r w:rsidR="0018663B" w:rsidRPr="004B3ACA">
              <w:t xml:space="preserve"> (</w:t>
            </w:r>
            <w:r w:rsidR="0018663B" w:rsidRPr="004B3ACA">
              <w:rPr>
                <w:rFonts w:cs="Arial"/>
              </w:rPr>
              <w:t>±</w:t>
            </w:r>
            <w:r w:rsidR="000F141C" w:rsidRPr="004B3ACA">
              <w:t>1</w:t>
            </w:r>
            <w:r w:rsidR="0018663B" w:rsidRPr="004B3ACA">
              <w:t>.</w:t>
            </w:r>
            <w:r w:rsidR="000F141C" w:rsidRPr="004B3ACA">
              <w:t>6</w:t>
            </w:r>
            <w:r w:rsidR="0018663B" w:rsidRPr="004B3ACA">
              <w:t>)</w:t>
            </w:r>
          </w:p>
        </w:tc>
      </w:tr>
      <w:tr w:rsidR="00D20217" w:rsidRPr="004B3ACA" w14:paraId="05FA4353" w14:textId="77777777" w:rsidTr="00D20217">
        <w:tc>
          <w:tcPr>
            <w:tcW w:w="851" w:type="dxa"/>
            <w:tcBorders>
              <w:top w:val="single" w:sz="4" w:space="0" w:color="00B050"/>
              <w:bottom w:val="single" w:sz="4" w:space="0" w:color="00B050"/>
            </w:tcBorders>
            <w:shd w:val="clear" w:color="auto" w:fill="FFFFFF"/>
          </w:tcPr>
          <w:p w14:paraId="7038BD1F" w14:textId="10196A42" w:rsidR="00D20217" w:rsidRPr="004B3ACA" w:rsidRDefault="00D20217" w:rsidP="00D20217">
            <w:pPr>
              <w:pStyle w:val="CETBodytext"/>
              <w:ind w:right="-1"/>
            </w:pPr>
            <w:r w:rsidRPr="004B3ACA">
              <w:t>OFD-SL</w:t>
            </w:r>
          </w:p>
        </w:tc>
        <w:tc>
          <w:tcPr>
            <w:tcW w:w="709" w:type="dxa"/>
            <w:tcBorders>
              <w:top w:val="single" w:sz="4" w:space="0" w:color="00B050"/>
              <w:bottom w:val="single" w:sz="4" w:space="0" w:color="00B050"/>
            </w:tcBorders>
            <w:shd w:val="clear" w:color="auto" w:fill="FFFFFF"/>
          </w:tcPr>
          <w:p w14:paraId="03D279D6" w14:textId="4704FCDF" w:rsidR="00D20217" w:rsidRPr="004B3ACA" w:rsidRDefault="002F1F92" w:rsidP="00D20217">
            <w:pPr>
              <w:pStyle w:val="CETBodytext"/>
              <w:ind w:right="-1"/>
              <w:jc w:val="center"/>
            </w:pPr>
            <w:r w:rsidRPr="004B3ACA">
              <w:t>8</w:t>
            </w:r>
            <w:r w:rsidR="00D20217" w:rsidRPr="004B3ACA">
              <w:t>.</w:t>
            </w:r>
            <w:r w:rsidRPr="004B3ACA">
              <w:t>0</w:t>
            </w:r>
            <w:r w:rsidR="00D20217" w:rsidRPr="004B3ACA">
              <w:t xml:space="preserve"> (</w:t>
            </w:r>
            <w:r w:rsidR="00D20217" w:rsidRPr="004B3ACA">
              <w:rPr>
                <w:rFonts w:cs="Arial"/>
              </w:rPr>
              <w:t>±</w:t>
            </w:r>
            <w:r w:rsidR="00D20217" w:rsidRPr="004B3ACA">
              <w:t>0.1)</w:t>
            </w:r>
          </w:p>
        </w:tc>
        <w:tc>
          <w:tcPr>
            <w:tcW w:w="709" w:type="dxa"/>
            <w:tcBorders>
              <w:top w:val="single" w:sz="4" w:space="0" w:color="00B050"/>
              <w:bottom w:val="single" w:sz="4" w:space="0" w:color="00B050"/>
            </w:tcBorders>
            <w:shd w:val="clear" w:color="auto" w:fill="FFFFFF"/>
          </w:tcPr>
          <w:p w14:paraId="279F4187" w14:textId="2565E42F" w:rsidR="00D20217" w:rsidRPr="004B3ACA" w:rsidRDefault="00C234C9" w:rsidP="0018663B">
            <w:pPr>
              <w:pStyle w:val="CETBodytext"/>
              <w:ind w:right="-1"/>
              <w:jc w:val="center"/>
            </w:pPr>
            <w:r w:rsidRPr="004B3ACA">
              <w:t>54.8</w:t>
            </w:r>
            <w:r w:rsidR="0018663B" w:rsidRPr="004B3ACA">
              <w:t xml:space="preserve"> (</w:t>
            </w:r>
            <w:r w:rsidR="0018663B" w:rsidRPr="004B3ACA">
              <w:rPr>
                <w:rFonts w:cs="Arial"/>
              </w:rPr>
              <w:t>±</w:t>
            </w:r>
            <w:r w:rsidR="0018663B" w:rsidRPr="004B3ACA">
              <w:t>1.1)</w:t>
            </w:r>
          </w:p>
        </w:tc>
        <w:tc>
          <w:tcPr>
            <w:tcW w:w="709" w:type="dxa"/>
            <w:tcBorders>
              <w:top w:val="single" w:sz="4" w:space="0" w:color="00B050"/>
              <w:bottom w:val="single" w:sz="4" w:space="0" w:color="00B050"/>
            </w:tcBorders>
            <w:shd w:val="clear" w:color="auto" w:fill="FFFFFF"/>
          </w:tcPr>
          <w:p w14:paraId="4941129F" w14:textId="2C1DB84F" w:rsidR="00D20217" w:rsidRPr="004B3ACA" w:rsidRDefault="00D20217" w:rsidP="000F141C">
            <w:pPr>
              <w:pStyle w:val="CETBodytext"/>
              <w:ind w:right="-1"/>
              <w:jc w:val="center"/>
            </w:pPr>
            <w:r w:rsidRPr="004B3ACA">
              <w:t>4.4</w:t>
            </w:r>
            <w:r w:rsidR="0018663B" w:rsidRPr="004B3ACA">
              <w:t xml:space="preserve"> (</w:t>
            </w:r>
            <w:r w:rsidR="0018663B" w:rsidRPr="004B3ACA">
              <w:rPr>
                <w:rFonts w:cs="Arial"/>
              </w:rPr>
              <w:t>±</w:t>
            </w:r>
            <w:r w:rsidR="0018663B" w:rsidRPr="004B3ACA">
              <w:t>0.</w:t>
            </w:r>
            <w:r w:rsidR="000F141C" w:rsidRPr="004B3ACA">
              <w:t>2</w:t>
            </w:r>
            <w:r w:rsidR="0018663B" w:rsidRPr="004B3ACA">
              <w:t>)</w:t>
            </w:r>
          </w:p>
        </w:tc>
        <w:tc>
          <w:tcPr>
            <w:tcW w:w="709" w:type="dxa"/>
            <w:tcBorders>
              <w:top w:val="single" w:sz="4" w:space="0" w:color="00B050"/>
              <w:bottom w:val="single" w:sz="4" w:space="0" w:color="00B050"/>
            </w:tcBorders>
            <w:shd w:val="clear" w:color="auto" w:fill="FFFFFF"/>
          </w:tcPr>
          <w:p w14:paraId="60742FCE" w14:textId="50EFAB80" w:rsidR="00D20217" w:rsidRPr="004B3ACA" w:rsidRDefault="00C234C9" w:rsidP="000F141C">
            <w:pPr>
              <w:pStyle w:val="CETBodytext"/>
              <w:ind w:right="-1"/>
              <w:jc w:val="center"/>
            </w:pPr>
            <w:r w:rsidRPr="004B3ACA">
              <w:t>40.8</w:t>
            </w:r>
            <w:r w:rsidR="0018663B" w:rsidRPr="004B3ACA">
              <w:t xml:space="preserve"> (</w:t>
            </w:r>
            <w:r w:rsidR="0018663B" w:rsidRPr="004B3ACA">
              <w:rPr>
                <w:rFonts w:cs="Arial"/>
              </w:rPr>
              <w:t>±</w:t>
            </w:r>
            <w:r w:rsidR="000F141C" w:rsidRPr="004B3ACA">
              <w:t>0</w:t>
            </w:r>
            <w:r w:rsidR="0018663B" w:rsidRPr="004B3ACA">
              <w:t>.</w:t>
            </w:r>
            <w:r w:rsidR="000F141C" w:rsidRPr="004B3ACA">
              <w:t>9</w:t>
            </w:r>
            <w:r w:rsidR="0018663B" w:rsidRPr="004B3ACA">
              <w:t>)</w:t>
            </w:r>
          </w:p>
        </w:tc>
      </w:tr>
      <w:tr w:rsidR="00D20217" w:rsidRPr="009378F0" w14:paraId="29315DB4" w14:textId="77777777" w:rsidTr="00D20217">
        <w:tc>
          <w:tcPr>
            <w:tcW w:w="851" w:type="dxa"/>
            <w:tcBorders>
              <w:top w:val="single" w:sz="4" w:space="0" w:color="00B050"/>
            </w:tcBorders>
            <w:shd w:val="clear" w:color="auto" w:fill="FFFFFF"/>
          </w:tcPr>
          <w:p w14:paraId="6CF56E90" w14:textId="7B6B9228" w:rsidR="00D20217" w:rsidRPr="004B3ACA" w:rsidRDefault="00D20217" w:rsidP="00D20217">
            <w:pPr>
              <w:pStyle w:val="CETBodytext"/>
              <w:ind w:right="-1"/>
            </w:pPr>
            <w:r w:rsidRPr="004B3ACA">
              <w:t xml:space="preserve">AWD-SL </w:t>
            </w:r>
          </w:p>
        </w:tc>
        <w:tc>
          <w:tcPr>
            <w:tcW w:w="709" w:type="dxa"/>
            <w:tcBorders>
              <w:top w:val="single" w:sz="4" w:space="0" w:color="00B050"/>
            </w:tcBorders>
            <w:shd w:val="clear" w:color="auto" w:fill="FFFFFF"/>
          </w:tcPr>
          <w:p w14:paraId="4A7DD7F8" w14:textId="159331D5" w:rsidR="00D20217" w:rsidRPr="004B3ACA" w:rsidRDefault="006E73B1" w:rsidP="00D20217">
            <w:pPr>
              <w:pStyle w:val="CETBodytext"/>
              <w:ind w:right="-1"/>
              <w:jc w:val="center"/>
            </w:pPr>
            <w:r w:rsidRPr="004B3ACA">
              <w:t>7.0</w:t>
            </w:r>
            <w:r w:rsidR="00D20217" w:rsidRPr="004B3ACA">
              <w:t xml:space="preserve"> (</w:t>
            </w:r>
            <w:r w:rsidR="00D20217" w:rsidRPr="004B3ACA">
              <w:rPr>
                <w:rFonts w:cs="Arial"/>
              </w:rPr>
              <w:t>±</w:t>
            </w:r>
            <w:r w:rsidR="00D20217" w:rsidRPr="004B3ACA">
              <w:t>0.1)</w:t>
            </w:r>
          </w:p>
        </w:tc>
        <w:tc>
          <w:tcPr>
            <w:tcW w:w="709" w:type="dxa"/>
            <w:tcBorders>
              <w:top w:val="single" w:sz="4" w:space="0" w:color="00B050"/>
            </w:tcBorders>
            <w:shd w:val="clear" w:color="auto" w:fill="FFFFFF"/>
          </w:tcPr>
          <w:p w14:paraId="0CE46045" w14:textId="45D493E0" w:rsidR="00D20217" w:rsidRPr="004B3ACA" w:rsidRDefault="00EC5E07" w:rsidP="0018663B">
            <w:pPr>
              <w:pStyle w:val="CETBodytext"/>
              <w:ind w:right="-1"/>
              <w:jc w:val="center"/>
            </w:pPr>
            <w:r w:rsidRPr="004B3ACA">
              <w:t>5</w:t>
            </w:r>
            <w:r w:rsidR="00D20217" w:rsidRPr="004B3ACA">
              <w:t>7.</w:t>
            </w:r>
            <w:r w:rsidRPr="004B3ACA">
              <w:t>6</w:t>
            </w:r>
            <w:r w:rsidR="0018663B" w:rsidRPr="004B3ACA">
              <w:t xml:space="preserve"> (</w:t>
            </w:r>
            <w:r w:rsidR="0018663B" w:rsidRPr="004B3ACA">
              <w:rPr>
                <w:rFonts w:cs="Arial"/>
              </w:rPr>
              <w:t>±</w:t>
            </w:r>
            <w:r w:rsidR="0018663B" w:rsidRPr="004B3ACA">
              <w:t>1.3)</w:t>
            </w:r>
          </w:p>
        </w:tc>
        <w:tc>
          <w:tcPr>
            <w:tcW w:w="709" w:type="dxa"/>
            <w:tcBorders>
              <w:top w:val="single" w:sz="4" w:space="0" w:color="00B050"/>
            </w:tcBorders>
            <w:shd w:val="clear" w:color="auto" w:fill="FFFFFF"/>
          </w:tcPr>
          <w:p w14:paraId="3816F452" w14:textId="48914CAF" w:rsidR="00D20217" w:rsidRPr="004B3ACA" w:rsidRDefault="00D20217" w:rsidP="004B0856">
            <w:pPr>
              <w:pStyle w:val="CETBodytext"/>
              <w:ind w:right="-1"/>
              <w:jc w:val="center"/>
            </w:pPr>
            <w:r w:rsidRPr="004B3ACA">
              <w:t>5.6</w:t>
            </w:r>
            <w:r w:rsidR="0018663B" w:rsidRPr="004B3ACA">
              <w:t xml:space="preserve"> (</w:t>
            </w:r>
            <w:r w:rsidR="0018663B" w:rsidRPr="004B3ACA">
              <w:rPr>
                <w:rFonts w:cs="Arial"/>
              </w:rPr>
              <w:t>±</w:t>
            </w:r>
            <w:r w:rsidR="0018663B" w:rsidRPr="004B3ACA">
              <w:t>0.1)</w:t>
            </w:r>
          </w:p>
        </w:tc>
        <w:tc>
          <w:tcPr>
            <w:tcW w:w="709" w:type="dxa"/>
            <w:tcBorders>
              <w:top w:val="single" w:sz="4" w:space="0" w:color="00B050"/>
            </w:tcBorders>
            <w:shd w:val="clear" w:color="auto" w:fill="FFFFFF"/>
          </w:tcPr>
          <w:p w14:paraId="63A7D078" w14:textId="50A13562" w:rsidR="00D20217" w:rsidRPr="004B3ACA" w:rsidRDefault="00EC5E07" w:rsidP="000F141C">
            <w:pPr>
              <w:pStyle w:val="CETBodytext"/>
              <w:ind w:right="-1"/>
              <w:jc w:val="center"/>
            </w:pPr>
            <w:r w:rsidRPr="004B3ACA">
              <w:t>36</w:t>
            </w:r>
            <w:r w:rsidR="00D20217" w:rsidRPr="004B3ACA">
              <w:t>.</w:t>
            </w:r>
            <w:r w:rsidRPr="004B3ACA">
              <w:t>8</w:t>
            </w:r>
            <w:r w:rsidR="0018663B" w:rsidRPr="004B3ACA">
              <w:t xml:space="preserve"> (</w:t>
            </w:r>
            <w:r w:rsidR="0018663B" w:rsidRPr="004B3ACA">
              <w:rPr>
                <w:rFonts w:cs="Arial"/>
              </w:rPr>
              <w:t>±</w:t>
            </w:r>
            <w:r w:rsidR="000F141C" w:rsidRPr="004B3ACA">
              <w:t>1</w:t>
            </w:r>
            <w:r w:rsidR="0018663B" w:rsidRPr="004B3ACA">
              <w:t>.</w:t>
            </w:r>
            <w:r w:rsidR="000F141C" w:rsidRPr="004B3ACA">
              <w:t>2</w:t>
            </w:r>
            <w:r w:rsidR="0018663B" w:rsidRPr="004B3ACA">
              <w:t>)</w:t>
            </w:r>
          </w:p>
        </w:tc>
      </w:tr>
    </w:tbl>
    <w:p w14:paraId="55C98EF6" w14:textId="08DD5D9C" w:rsidR="004B0856" w:rsidRDefault="004B0856" w:rsidP="005E5D93">
      <w:pPr>
        <w:pStyle w:val="CET-table-title"/>
        <w:spacing w:before="0"/>
        <w:rPr>
          <w:lang w:val="en-GB"/>
        </w:rPr>
      </w:pPr>
      <w:r>
        <w:rPr>
          <w:lang w:val="en-GB"/>
        </w:rPr>
        <w:t>(* computed by difference)</w:t>
      </w:r>
    </w:p>
    <w:p w14:paraId="7940DABB" w14:textId="61FD6790" w:rsidR="005E5D93" w:rsidRPr="002A0573" w:rsidRDefault="005E5D93" w:rsidP="002A0573">
      <w:pPr>
        <w:pStyle w:val="CET-table-title"/>
        <w:spacing w:before="0"/>
        <w:jc w:val="both"/>
        <w:rPr>
          <w:i w:val="0"/>
          <w:lang w:val="en-GB"/>
        </w:rPr>
      </w:pPr>
      <w:r>
        <w:rPr>
          <w:i w:val="0"/>
          <w:lang w:val="en-GB"/>
        </w:rPr>
        <w:t>Table 3 reports the data of TS, TOC, TKN, P and he</w:t>
      </w:r>
      <w:r w:rsidR="00D84997">
        <w:rPr>
          <w:i w:val="0"/>
          <w:lang w:val="en-GB"/>
        </w:rPr>
        <w:t>a</w:t>
      </w:r>
      <w:r>
        <w:rPr>
          <w:i w:val="0"/>
          <w:lang w:val="en-GB"/>
        </w:rPr>
        <w:t>vy metals concentration. The results demonstrate that HTC is capable of substantially increase the dewater</w:t>
      </w:r>
      <w:r w:rsidR="00403B3F">
        <w:rPr>
          <w:i w:val="0"/>
          <w:lang w:val="en-GB"/>
        </w:rPr>
        <w:t>a</w:t>
      </w:r>
      <w:r>
        <w:rPr>
          <w:i w:val="0"/>
          <w:lang w:val="en-GB"/>
        </w:rPr>
        <w:t>bility of the</w:t>
      </w:r>
      <w:r w:rsidR="00251C44">
        <w:rPr>
          <w:i w:val="0"/>
          <w:lang w:val="en-GB"/>
        </w:rPr>
        <w:t xml:space="preserve"> sludge leading to TS values, upon centrifugation of 34.6, 42.0 and 38.6 wt% for SSD, OFD and AWD hydrochars. Notably the P </w:t>
      </w:r>
      <w:r w:rsidR="003B7527">
        <w:rPr>
          <w:i w:val="0"/>
          <w:lang w:val="en-GB"/>
        </w:rPr>
        <w:t>recovery into hydrochars was 75, 78 and 85</w:t>
      </w:r>
      <w:r w:rsidR="00196E8A">
        <w:rPr>
          <w:i w:val="0"/>
          <w:lang w:val="en-GB"/>
        </w:rPr>
        <w:t xml:space="preserve"> </w:t>
      </w:r>
      <w:r w:rsidR="003B7527">
        <w:rPr>
          <w:i w:val="0"/>
          <w:lang w:val="en-GB"/>
        </w:rPr>
        <w:t>wt% for</w:t>
      </w:r>
      <w:r w:rsidR="00251C44">
        <w:rPr>
          <w:i w:val="0"/>
          <w:lang w:val="en-GB"/>
        </w:rPr>
        <w:t xml:space="preserve"> SSD, OFD and AWD </w:t>
      </w:r>
      <w:r w:rsidR="003B7527">
        <w:rPr>
          <w:i w:val="0"/>
          <w:lang w:val="en-GB"/>
        </w:rPr>
        <w:t xml:space="preserve">samples respectively </w:t>
      </w:r>
      <w:r w:rsidR="00251C44">
        <w:rPr>
          <w:i w:val="0"/>
          <w:lang w:val="en-GB"/>
        </w:rPr>
        <w:t xml:space="preserve">when compared to the corresponding starting materials. P segregation into </w:t>
      </w:r>
      <w:r w:rsidR="00AD7183">
        <w:rPr>
          <w:i w:val="0"/>
          <w:lang w:val="en-GB"/>
        </w:rPr>
        <w:t>hydrochar during HTC</w:t>
      </w:r>
      <w:r w:rsidR="00251C44">
        <w:rPr>
          <w:i w:val="0"/>
          <w:lang w:val="en-GB"/>
        </w:rPr>
        <w:t xml:space="preserve"> has been already reported </w:t>
      </w:r>
      <w:r w:rsidR="002A0573">
        <w:rPr>
          <w:i w:val="0"/>
          <w:lang w:val="en-GB"/>
        </w:rPr>
        <w:t>for sewage sludge</w:t>
      </w:r>
      <w:r w:rsidR="00AD7183">
        <w:rPr>
          <w:i w:val="0"/>
          <w:lang w:val="en-GB"/>
        </w:rPr>
        <w:t xml:space="preserve"> </w:t>
      </w:r>
      <w:r w:rsidR="00AD7183">
        <w:rPr>
          <w:i w:val="0"/>
          <w:lang w:val="en-GB"/>
        </w:rPr>
        <w:fldChar w:fldCharType="begin" w:fldLock="1"/>
      </w:r>
      <w:r w:rsidR="00D84997">
        <w:rPr>
          <w:i w:val="0"/>
          <w:lang w:val="en-GB"/>
        </w:rPr>
        <w:instrText>ADDIN CSL_CITATION {"citationItems":[{"id":"ITEM-1","itemData":{"DOI":"10.3303/CET2080034","ISBN":"9788895608785","ISSN":"22839216","abstract":"Hydrothermal carbonization (HTC) of sewage sludge has been investigated in this study to demonstrate its capability to segregate phosphorous element and produce a solid energy dense material, i.e. hydrochar, which could find application as solid bio-fuel and/or soil amendment. In this study, centrifuged anaerobically digested sewage sludge (total solid content: 21 wt.%) from Trento North (Italy) waste water treatment plant was hydrothermally carbonized at 190 and 210 °C at 1 and 3 h of residence time. Hydrochars, recovered via filtration, were leached using 4 M HCl solution at room temperature to transfer phosphorous (P) and inorganic elements into the aqueous solution. Recovery of P was achieved via phosphate salt precipitation by alkalinisation, up to pH 9, of the acidic leachate using a 5 M NaOH solution. Sewage sludge and the corresponding hydrochars, before and after acid leaching, were characterized in terms of energy properties (HHV) by calorimetric analysis, P and inorganic elements content via ICP-OES. Results showed that HTC promotes segregation of P element in the hydrochar (up to 90 wt.% of the initial content on a dry basis at 190 °C, 1 h). The study demonstrated that P can be effectively recovered via precipitation via acidic leaching and subsequent alkalization with total recovery yields higher than 70 wt.%. The hydrochar residues, after leaching, showed inorganic elements content and energy properties compatible with their possible use as soil amendment in agriculture and/or as solid biofuel.","author":[{"dropping-particle":"","family":"Volpe","given":"Maurizio","non-dropping-particle":"","parse-names":false,"suffix":""},{"dropping-particle":"","family":"Fiori","given":"Luca","non-dropping-particle":"","parse-names":false,"suffix":""},{"dropping-particle":"","family":"Merzari","given":"Fabio","non-dropping-particle":"","parse-names":false,"suffix":""},{"dropping-particle":"","family":"Messineo","given":"Antonio","non-dropping-particle":"","parse-names":false,"suffix":""},{"dropping-particle":"","family":"Andreottola","given":"Gianni","non-dropping-particle":"","parse-names":false,"suffix":""}],"container-title":"Chemical Engineering Transactions","id":"ITEM-1","issue":"April","issued":{"date-parts":[["2020"]]},"page":"199-204","title":"Hydrothermal carbonization as an efficient tool for sewage sludge valorization and phosphorous recovery","type":"article-journal","volume":"80"},"uris":["http://www.mendeley.com/documents/?uuid=51c7dabd-3f98-4acd-9fbc-3309f0f4f0f0"]}],"mendeley":{"formattedCitation":"(Volpe et al., 2020)","plainTextFormattedCitation":"(Volpe et al., 2020)","previouslyFormattedCitation":"(Volpe et al., 2020)"},"properties":{"noteIndex":0},"schema":"https://github.com/citation-style-language/schema/raw/master/csl-citation.json"}</w:instrText>
      </w:r>
      <w:r w:rsidR="00AD7183">
        <w:rPr>
          <w:i w:val="0"/>
          <w:lang w:val="en-GB"/>
        </w:rPr>
        <w:fldChar w:fldCharType="separate"/>
      </w:r>
      <w:r w:rsidR="00AD7183" w:rsidRPr="00AD7183">
        <w:rPr>
          <w:i w:val="0"/>
          <w:noProof/>
          <w:lang w:val="en-GB"/>
        </w:rPr>
        <w:t>(Volpe et al., 2020)</w:t>
      </w:r>
      <w:r w:rsidR="00AD7183">
        <w:rPr>
          <w:i w:val="0"/>
          <w:lang w:val="en-GB"/>
        </w:rPr>
        <w:fldChar w:fldCharType="end"/>
      </w:r>
      <w:r w:rsidR="00251C44">
        <w:rPr>
          <w:i w:val="0"/>
          <w:lang w:val="en-GB"/>
        </w:rPr>
        <w:t xml:space="preserve"> </w:t>
      </w:r>
      <w:r w:rsidR="00AD7183">
        <w:rPr>
          <w:i w:val="0"/>
          <w:lang w:val="en-GB"/>
        </w:rPr>
        <w:t>and food waste</w:t>
      </w:r>
      <w:r w:rsidR="00251C44">
        <w:rPr>
          <w:i w:val="0"/>
          <w:lang w:val="en-GB"/>
        </w:rPr>
        <w:t xml:space="preserve"> </w:t>
      </w:r>
      <w:r w:rsidR="00AD7183">
        <w:rPr>
          <w:i w:val="0"/>
          <w:lang w:val="en-GB"/>
        </w:rPr>
        <w:fldChar w:fldCharType="begin" w:fldLock="1"/>
      </w:r>
      <w:r w:rsidR="00AD7183">
        <w:rPr>
          <w:i w:val="0"/>
          <w:lang w:val="en-GB"/>
        </w:rPr>
        <w:instrText>ADDIN CSL_CITATION {"citationItems":[{"id":"ITEM-1","itemData":{"DOI":"10.1016/j.wasman.2017.08.051","ISSN":"18792456","abstract":"Food waste represents a rather large and currently underutilized source of potentially available and reusable nutrients. Laboratory-scale experiments evaluating the hydrothermal carbonization of food wastes collected from restaurants were conducted to understand how changes in feedstock composition and carbonization process conditions influence primary and secondary nutrient fate. Results from this work indicate that at all evaluated reaction times and temperatures, the majority of nitrogen, calcium, and magnesium remain integrated within the solid-phase, while the majority of potassium and sodium reside in the liquid-phase. The fate of phosphorus is dependent on reaction times and temperatures, with solid-phase integration increasing with higher reaction temperature and longer time. A series of leaching experiments to determine potential solid-phase nutrient availability were also conducted and indicate that, at least in the short term, nitrogen release from the solids is small, while almost all of the phosphorus present in the solids produced from carbonizing at 225 and 250 °C is released. At a reaction temperature of 275 °C, smaller fractions of the solid-phase total phosphorus are released as reaction times increase, likely due to increased solids incorporation. Using these data, it is estimated that up to 0.96% and 2.30% of nitrogen and phosphorus-based fertilizers, respectively, in the US can be replaced by the nutrients integrated within hydrochar and liquid-phases generated from the carbonization of currently landfilled food wastes.","author":[{"dropping-particle":"","family":"Idowu","given":"Ifeolu","non-dropping-particle":"","parse-names":false,"suffix":""},{"dropping-particle":"","family":"Li","given":"Liang","non-dropping-particle":"","parse-names":false,"suffix":""},{"dropping-particle":"","family":"Flora","given":"Joseph R.V.","non-dropping-particle":"","parse-names":false,"suffix":""},{"dropping-particle":"","family":"Pellechia","given":"Perry J.","non-dropping-particle":"","parse-names":false,"suffix":""},{"dropping-particle":"","family":"Darko","given":"Samuel A.","non-dropping-particle":"","parse-names":false,"suffix":""},{"dropping-particle":"","family":"Ro","given":"Kyoung S.","non-dropping-particle":"","parse-names":false,"suffix":""},{"dropping-particle":"","family":"Berge","given":"Nicole D.","non-dropping-particle":"","parse-names":false,"suffix":""}],"container-title":"Waste Management","id":"ITEM-1","issued":{"date-parts":[["2017"]]},"page":"480-491","publisher":"Elsevier Ltd","title":"Hydrothermal carbonization of food waste for nutrient recovery and reuse","type":"article-journal","volume":"69"},"uris":["http://www.mendeley.com/documents/?uuid=602d07dd-3896-4a1e-9e3a-be6fad0bf6ae"]}],"mendeley":{"formattedCitation":"(Idowu et al., 2017)","plainTextFormattedCitation":"(Idowu et al., 2017)","previouslyFormattedCitation":"(Idowu et al., 2017)"},"properties":{"noteIndex":0},"schema":"https://github.com/citation-style-language/schema/raw/master/csl-citation.json"}</w:instrText>
      </w:r>
      <w:r w:rsidR="00AD7183">
        <w:rPr>
          <w:i w:val="0"/>
          <w:lang w:val="en-GB"/>
        </w:rPr>
        <w:fldChar w:fldCharType="separate"/>
      </w:r>
      <w:r w:rsidR="00AD7183" w:rsidRPr="00AD7183">
        <w:rPr>
          <w:i w:val="0"/>
          <w:noProof/>
          <w:lang w:val="en-GB"/>
        </w:rPr>
        <w:t>(Idowu et al., 2017)</w:t>
      </w:r>
      <w:r w:rsidR="00AD7183">
        <w:rPr>
          <w:i w:val="0"/>
          <w:lang w:val="en-GB"/>
        </w:rPr>
        <w:fldChar w:fldCharType="end"/>
      </w:r>
      <w:r w:rsidR="00D84997">
        <w:rPr>
          <w:i w:val="0"/>
          <w:lang w:val="en-GB"/>
        </w:rPr>
        <w:t>.</w:t>
      </w:r>
    </w:p>
    <w:p w14:paraId="17899A10" w14:textId="1B1D8023" w:rsidR="002E6A1A" w:rsidRDefault="002E6A1A" w:rsidP="002E6A1A">
      <w:pPr>
        <w:pStyle w:val="CET-table-title"/>
        <w:rPr>
          <w:lang w:val="en-GB"/>
        </w:rPr>
      </w:pPr>
      <w:r w:rsidRPr="009378F0">
        <w:rPr>
          <w:lang w:val="en-GB"/>
        </w:rPr>
        <w:t xml:space="preserve">Table </w:t>
      </w:r>
      <w:r w:rsidR="00D20217">
        <w:rPr>
          <w:lang w:val="en-GB"/>
        </w:rPr>
        <w:t>3</w:t>
      </w:r>
      <w:r w:rsidRPr="009378F0">
        <w:rPr>
          <w:lang w:val="en-GB"/>
        </w:rPr>
        <w:t xml:space="preserve">:  </w:t>
      </w:r>
      <w:r w:rsidR="009B121F">
        <w:rPr>
          <w:lang w:val="en-GB"/>
        </w:rPr>
        <w:t xml:space="preserve">TS, TOC, TKN, P and </w:t>
      </w:r>
      <w:r>
        <w:rPr>
          <w:lang w:val="en-GB"/>
        </w:rPr>
        <w:t xml:space="preserve">Heavy metal concentration in </w:t>
      </w:r>
      <w:r w:rsidR="009B121F">
        <w:rPr>
          <w:lang w:val="en-GB"/>
        </w:rPr>
        <w:t>SSD, OFD and AWD hydrochars obtained after centrifugation of the corresponding slurries</w:t>
      </w:r>
      <w:r>
        <w:rPr>
          <w:lang w:val="en-GB"/>
        </w:rPr>
        <w:t xml:space="preserve"> (</w:t>
      </w:r>
      <w:r w:rsidR="009B121F">
        <w:rPr>
          <w:lang w:val="en-GB"/>
        </w:rPr>
        <w:t>all data computed on a</w:t>
      </w:r>
      <w:r w:rsidR="00D90C73">
        <w:rPr>
          <w:lang w:val="en-GB"/>
        </w:rPr>
        <w:t xml:space="preserve"> dry basis</w:t>
      </w:r>
      <w:r>
        <w:rPr>
          <w:lang w:val="en-GB"/>
        </w:rPr>
        <w:t>)</w:t>
      </w:r>
      <w:r w:rsidR="00590046">
        <w:rPr>
          <w:lang w:val="en-GB"/>
        </w:rPr>
        <w:t>.</w:t>
      </w:r>
    </w:p>
    <w:tbl>
      <w:tblPr>
        <w:tblW w:w="7088"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567"/>
        <w:gridCol w:w="567"/>
        <w:gridCol w:w="567"/>
        <w:gridCol w:w="651"/>
        <w:gridCol w:w="625"/>
        <w:gridCol w:w="567"/>
        <w:gridCol w:w="709"/>
        <w:gridCol w:w="566"/>
        <w:gridCol w:w="709"/>
        <w:gridCol w:w="709"/>
      </w:tblGrid>
      <w:tr w:rsidR="005E5D93" w:rsidRPr="009378F0" w14:paraId="03C21448" w14:textId="77777777" w:rsidTr="002A0573">
        <w:tc>
          <w:tcPr>
            <w:tcW w:w="851" w:type="dxa"/>
            <w:tcBorders>
              <w:top w:val="single" w:sz="12" w:space="0" w:color="008000"/>
              <w:bottom w:val="single" w:sz="6" w:space="0" w:color="008000"/>
            </w:tcBorders>
            <w:shd w:val="clear" w:color="auto" w:fill="FFFFFF"/>
          </w:tcPr>
          <w:p w14:paraId="23541F92" w14:textId="77777777" w:rsidR="005E5D93" w:rsidRPr="009378F0" w:rsidRDefault="005E5D93" w:rsidP="008B1DC8">
            <w:pPr>
              <w:pStyle w:val="CETBodytext"/>
              <w:rPr>
                <w:lang w:val="en-GB"/>
              </w:rPr>
            </w:pPr>
            <w:r>
              <w:rPr>
                <w:b/>
              </w:rPr>
              <w:t>Sample</w:t>
            </w:r>
          </w:p>
        </w:tc>
        <w:tc>
          <w:tcPr>
            <w:tcW w:w="567" w:type="dxa"/>
            <w:tcBorders>
              <w:top w:val="single" w:sz="12" w:space="0" w:color="008000"/>
              <w:bottom w:val="single" w:sz="6" w:space="0" w:color="008000"/>
            </w:tcBorders>
            <w:shd w:val="clear" w:color="auto" w:fill="FFFFFF"/>
          </w:tcPr>
          <w:p w14:paraId="12D6C646" w14:textId="660D6F50" w:rsidR="005E5D93" w:rsidRDefault="005E5D93" w:rsidP="009B121F">
            <w:pPr>
              <w:pStyle w:val="CETBodytext"/>
              <w:ind w:right="-1"/>
              <w:jc w:val="center"/>
              <w:rPr>
                <w:b/>
              </w:rPr>
            </w:pPr>
            <w:r>
              <w:rPr>
                <w:b/>
              </w:rPr>
              <w:t>TS (wt%)</w:t>
            </w:r>
          </w:p>
        </w:tc>
        <w:tc>
          <w:tcPr>
            <w:tcW w:w="567" w:type="dxa"/>
            <w:tcBorders>
              <w:top w:val="single" w:sz="12" w:space="0" w:color="008000"/>
              <w:bottom w:val="single" w:sz="6" w:space="0" w:color="008000"/>
            </w:tcBorders>
            <w:shd w:val="clear" w:color="auto" w:fill="FFFFFF"/>
          </w:tcPr>
          <w:p w14:paraId="54812174" w14:textId="77777777" w:rsidR="005E5D93" w:rsidRDefault="005E5D93" w:rsidP="008B1DC8">
            <w:pPr>
              <w:pStyle w:val="CETBodytext"/>
              <w:ind w:right="-1"/>
              <w:jc w:val="center"/>
              <w:rPr>
                <w:b/>
              </w:rPr>
            </w:pPr>
            <w:r>
              <w:rPr>
                <w:b/>
              </w:rPr>
              <w:t>TOC (wt%)</w:t>
            </w:r>
          </w:p>
        </w:tc>
        <w:tc>
          <w:tcPr>
            <w:tcW w:w="567" w:type="dxa"/>
            <w:tcBorders>
              <w:top w:val="single" w:sz="12" w:space="0" w:color="008000"/>
              <w:bottom w:val="single" w:sz="6" w:space="0" w:color="008000"/>
            </w:tcBorders>
            <w:shd w:val="clear" w:color="auto" w:fill="FFFFFF"/>
          </w:tcPr>
          <w:p w14:paraId="78ED378E" w14:textId="77777777" w:rsidR="005E5D93" w:rsidRDefault="005E5D93" w:rsidP="008B1DC8">
            <w:pPr>
              <w:pStyle w:val="CETBodytext"/>
              <w:ind w:right="-1"/>
              <w:jc w:val="center"/>
              <w:rPr>
                <w:rFonts w:cs="Arial"/>
                <w:szCs w:val="18"/>
                <w:lang w:val="en-GB"/>
              </w:rPr>
            </w:pPr>
            <w:r>
              <w:rPr>
                <w:b/>
              </w:rPr>
              <w:t>TKN (wt%)</w:t>
            </w:r>
          </w:p>
        </w:tc>
        <w:tc>
          <w:tcPr>
            <w:tcW w:w="651" w:type="dxa"/>
            <w:tcBorders>
              <w:top w:val="single" w:sz="12" w:space="0" w:color="008000"/>
              <w:bottom w:val="single" w:sz="6" w:space="0" w:color="008000"/>
            </w:tcBorders>
            <w:shd w:val="clear" w:color="auto" w:fill="FFFFFF"/>
          </w:tcPr>
          <w:p w14:paraId="3F792950" w14:textId="77777777" w:rsidR="005E5D93" w:rsidRDefault="005E5D93" w:rsidP="008B1DC8">
            <w:pPr>
              <w:pStyle w:val="CETBodytext"/>
              <w:ind w:right="-1"/>
              <w:jc w:val="center"/>
              <w:rPr>
                <w:b/>
              </w:rPr>
            </w:pPr>
            <w:r>
              <w:rPr>
                <w:b/>
              </w:rPr>
              <w:t>P  (wt%)</w:t>
            </w:r>
          </w:p>
        </w:tc>
        <w:tc>
          <w:tcPr>
            <w:tcW w:w="625" w:type="dxa"/>
            <w:tcBorders>
              <w:top w:val="single" w:sz="12" w:space="0" w:color="008000"/>
              <w:bottom w:val="single" w:sz="6" w:space="0" w:color="008000"/>
            </w:tcBorders>
            <w:shd w:val="clear" w:color="auto" w:fill="FFFFFF"/>
          </w:tcPr>
          <w:p w14:paraId="2632BD1A" w14:textId="77777777" w:rsidR="005E5D93" w:rsidRDefault="005E5D93" w:rsidP="008B1DC8">
            <w:pPr>
              <w:pStyle w:val="CETBodytext"/>
              <w:ind w:right="-1"/>
              <w:jc w:val="center"/>
              <w:rPr>
                <w:rFonts w:cs="Arial"/>
                <w:szCs w:val="18"/>
                <w:lang w:val="en-GB"/>
              </w:rPr>
            </w:pPr>
            <w:r>
              <w:rPr>
                <w:b/>
              </w:rPr>
              <w:t>Cd (ppm)</w:t>
            </w:r>
          </w:p>
        </w:tc>
        <w:tc>
          <w:tcPr>
            <w:tcW w:w="567" w:type="dxa"/>
            <w:tcBorders>
              <w:top w:val="single" w:sz="12" w:space="0" w:color="008000"/>
              <w:bottom w:val="single" w:sz="6" w:space="0" w:color="008000"/>
            </w:tcBorders>
            <w:shd w:val="clear" w:color="auto" w:fill="FFFFFF"/>
          </w:tcPr>
          <w:p w14:paraId="038D5C86" w14:textId="77777777" w:rsidR="005E5D93" w:rsidRDefault="005E5D93" w:rsidP="008B1DC8">
            <w:pPr>
              <w:pStyle w:val="CETBodytext"/>
              <w:ind w:right="-1"/>
              <w:jc w:val="center"/>
              <w:rPr>
                <w:b/>
              </w:rPr>
            </w:pPr>
            <w:r>
              <w:rPr>
                <w:b/>
              </w:rPr>
              <w:t>Cu (ppm)</w:t>
            </w:r>
          </w:p>
        </w:tc>
        <w:tc>
          <w:tcPr>
            <w:tcW w:w="709" w:type="dxa"/>
            <w:tcBorders>
              <w:top w:val="single" w:sz="12" w:space="0" w:color="008000"/>
              <w:bottom w:val="single" w:sz="6" w:space="0" w:color="008000"/>
            </w:tcBorders>
            <w:shd w:val="clear" w:color="auto" w:fill="FFFFFF"/>
          </w:tcPr>
          <w:p w14:paraId="61233E7E" w14:textId="77777777" w:rsidR="005E5D93" w:rsidRDefault="005E5D93" w:rsidP="008B1DC8">
            <w:pPr>
              <w:pStyle w:val="CETBodytext"/>
              <w:ind w:right="-1"/>
              <w:jc w:val="center"/>
              <w:rPr>
                <w:b/>
              </w:rPr>
            </w:pPr>
            <w:r>
              <w:rPr>
                <w:b/>
              </w:rPr>
              <w:t>Hg (ppm)</w:t>
            </w:r>
          </w:p>
        </w:tc>
        <w:tc>
          <w:tcPr>
            <w:tcW w:w="566" w:type="dxa"/>
            <w:tcBorders>
              <w:top w:val="single" w:sz="12" w:space="0" w:color="008000"/>
              <w:bottom w:val="single" w:sz="6" w:space="0" w:color="008000"/>
            </w:tcBorders>
            <w:shd w:val="clear" w:color="auto" w:fill="FFFFFF"/>
          </w:tcPr>
          <w:p w14:paraId="2021625C" w14:textId="77777777" w:rsidR="005E5D93" w:rsidRDefault="005E5D93" w:rsidP="008B1DC8">
            <w:pPr>
              <w:pStyle w:val="CETBodytext"/>
              <w:ind w:right="-1"/>
              <w:jc w:val="center"/>
              <w:rPr>
                <w:b/>
              </w:rPr>
            </w:pPr>
            <w:r>
              <w:rPr>
                <w:b/>
              </w:rPr>
              <w:t>Ni (ppm)</w:t>
            </w:r>
          </w:p>
        </w:tc>
        <w:tc>
          <w:tcPr>
            <w:tcW w:w="709" w:type="dxa"/>
            <w:tcBorders>
              <w:top w:val="single" w:sz="12" w:space="0" w:color="008000"/>
              <w:bottom w:val="single" w:sz="6" w:space="0" w:color="008000"/>
            </w:tcBorders>
            <w:shd w:val="clear" w:color="auto" w:fill="FFFFFF"/>
          </w:tcPr>
          <w:p w14:paraId="3BC71D31" w14:textId="77777777" w:rsidR="005E5D93" w:rsidRDefault="005E5D93" w:rsidP="008B1DC8">
            <w:pPr>
              <w:pStyle w:val="CETBodytext"/>
              <w:ind w:right="-1"/>
              <w:jc w:val="center"/>
              <w:rPr>
                <w:b/>
              </w:rPr>
            </w:pPr>
            <w:r>
              <w:rPr>
                <w:b/>
              </w:rPr>
              <w:t>Pb (ppm)</w:t>
            </w:r>
          </w:p>
        </w:tc>
        <w:tc>
          <w:tcPr>
            <w:tcW w:w="709" w:type="dxa"/>
            <w:tcBorders>
              <w:top w:val="single" w:sz="12" w:space="0" w:color="008000"/>
              <w:bottom w:val="single" w:sz="6" w:space="0" w:color="008000"/>
            </w:tcBorders>
            <w:shd w:val="clear" w:color="auto" w:fill="FFFFFF"/>
          </w:tcPr>
          <w:p w14:paraId="60B7BC5D" w14:textId="77777777" w:rsidR="005E5D93" w:rsidRDefault="005E5D93" w:rsidP="008B1DC8">
            <w:pPr>
              <w:pStyle w:val="CETBodytext"/>
              <w:ind w:right="-1"/>
              <w:jc w:val="center"/>
              <w:rPr>
                <w:b/>
              </w:rPr>
            </w:pPr>
            <w:r>
              <w:rPr>
                <w:b/>
              </w:rPr>
              <w:t>Zn (ppm)</w:t>
            </w:r>
          </w:p>
        </w:tc>
      </w:tr>
      <w:tr w:rsidR="005E5D93" w:rsidRPr="009378F0" w14:paraId="280B9E5F" w14:textId="77777777" w:rsidTr="002A0573">
        <w:tc>
          <w:tcPr>
            <w:tcW w:w="851" w:type="dxa"/>
            <w:tcBorders>
              <w:bottom w:val="single" w:sz="4" w:space="0" w:color="00B050"/>
            </w:tcBorders>
            <w:shd w:val="clear" w:color="auto" w:fill="FFFFFF"/>
          </w:tcPr>
          <w:p w14:paraId="4790AF20" w14:textId="0C194109" w:rsidR="005E5D93" w:rsidRPr="009378F0" w:rsidRDefault="005E5D93" w:rsidP="008B1DC8">
            <w:pPr>
              <w:pStyle w:val="CETBodytext"/>
              <w:ind w:right="-1"/>
              <w:jc w:val="left"/>
              <w:rPr>
                <w:rFonts w:cs="Arial"/>
                <w:szCs w:val="18"/>
                <w:lang w:val="en-GB"/>
              </w:rPr>
            </w:pPr>
            <w:r>
              <w:t>SSD-HC</w:t>
            </w:r>
          </w:p>
        </w:tc>
        <w:tc>
          <w:tcPr>
            <w:tcW w:w="567" w:type="dxa"/>
            <w:tcBorders>
              <w:bottom w:val="single" w:sz="4" w:space="0" w:color="00B050"/>
            </w:tcBorders>
            <w:shd w:val="clear" w:color="auto" w:fill="FFFFFF"/>
          </w:tcPr>
          <w:p w14:paraId="552C31AE" w14:textId="7F334EBA" w:rsidR="005E5D93" w:rsidRDefault="005E5D93" w:rsidP="008B1DC8">
            <w:pPr>
              <w:pStyle w:val="CETBodytext"/>
              <w:ind w:right="-1"/>
              <w:jc w:val="center"/>
            </w:pPr>
            <w:r>
              <w:t>34.6</w:t>
            </w:r>
          </w:p>
          <w:p w14:paraId="1B7AC5D1" w14:textId="77777777" w:rsidR="005E5D93" w:rsidRDefault="005E5D93" w:rsidP="008B1DC8">
            <w:pPr>
              <w:pStyle w:val="CETBodytext"/>
              <w:ind w:right="-1"/>
              <w:jc w:val="center"/>
            </w:pPr>
            <w:r>
              <w:t>(</w:t>
            </w:r>
            <w:r>
              <w:rPr>
                <w:rFonts w:cs="Arial"/>
              </w:rPr>
              <w:t>±</w:t>
            </w:r>
            <w:r>
              <w:t>0.1)</w:t>
            </w:r>
          </w:p>
        </w:tc>
        <w:tc>
          <w:tcPr>
            <w:tcW w:w="567" w:type="dxa"/>
            <w:tcBorders>
              <w:bottom w:val="single" w:sz="4" w:space="0" w:color="00B050"/>
            </w:tcBorders>
            <w:shd w:val="clear" w:color="auto" w:fill="FFFFFF"/>
          </w:tcPr>
          <w:p w14:paraId="5003A217" w14:textId="72A63C59" w:rsidR="005E5D93" w:rsidRDefault="005E5D93" w:rsidP="00CC507A">
            <w:pPr>
              <w:pStyle w:val="CETBodytext"/>
              <w:ind w:right="-1"/>
              <w:jc w:val="center"/>
            </w:pPr>
            <w:r>
              <w:t>23.0 (</w:t>
            </w:r>
            <w:r>
              <w:rPr>
                <w:rFonts w:cs="Arial"/>
              </w:rPr>
              <w:t>±</w:t>
            </w:r>
            <w:r>
              <w:t>0.5)</w:t>
            </w:r>
          </w:p>
        </w:tc>
        <w:tc>
          <w:tcPr>
            <w:tcW w:w="567" w:type="dxa"/>
            <w:tcBorders>
              <w:bottom w:val="single" w:sz="4" w:space="0" w:color="00B050"/>
            </w:tcBorders>
            <w:shd w:val="clear" w:color="auto" w:fill="FFFFFF"/>
          </w:tcPr>
          <w:p w14:paraId="366E2AEA" w14:textId="13A086E1" w:rsidR="005E5D93" w:rsidRPr="009378F0" w:rsidRDefault="005E5D93" w:rsidP="008B1DC8">
            <w:pPr>
              <w:pStyle w:val="CETBodytext"/>
              <w:ind w:right="-1"/>
              <w:jc w:val="center"/>
              <w:rPr>
                <w:rFonts w:cs="Arial"/>
                <w:szCs w:val="18"/>
                <w:lang w:val="en-GB"/>
              </w:rPr>
            </w:pPr>
            <w:r>
              <w:t>3.3 (</w:t>
            </w:r>
            <w:r>
              <w:rPr>
                <w:rFonts w:cs="Arial"/>
              </w:rPr>
              <w:t>±</w:t>
            </w:r>
            <w:r>
              <w:t>0.2)</w:t>
            </w:r>
          </w:p>
        </w:tc>
        <w:tc>
          <w:tcPr>
            <w:tcW w:w="651" w:type="dxa"/>
            <w:tcBorders>
              <w:bottom w:val="single" w:sz="4" w:space="0" w:color="00B050"/>
            </w:tcBorders>
            <w:shd w:val="clear" w:color="auto" w:fill="FFFFFF"/>
          </w:tcPr>
          <w:p w14:paraId="3B7135B0" w14:textId="660FE04E" w:rsidR="005E5D93" w:rsidRPr="0080620F" w:rsidRDefault="005E5D93" w:rsidP="008B1DC8">
            <w:pPr>
              <w:pStyle w:val="CETBodytext"/>
              <w:ind w:right="-1"/>
              <w:jc w:val="center"/>
            </w:pPr>
            <w:r>
              <w:t>3.2 (</w:t>
            </w:r>
            <w:r>
              <w:rPr>
                <w:rFonts w:cs="Arial"/>
              </w:rPr>
              <w:t>±</w:t>
            </w:r>
            <w:r>
              <w:t>0.1)</w:t>
            </w:r>
          </w:p>
        </w:tc>
        <w:tc>
          <w:tcPr>
            <w:tcW w:w="625" w:type="dxa"/>
            <w:tcBorders>
              <w:bottom w:val="single" w:sz="4" w:space="0" w:color="00B050"/>
            </w:tcBorders>
            <w:shd w:val="clear" w:color="auto" w:fill="FFFFFF"/>
          </w:tcPr>
          <w:p w14:paraId="0125833F" w14:textId="2DE47E20" w:rsidR="005E5D93" w:rsidRDefault="005E5D93" w:rsidP="008B1DC8">
            <w:pPr>
              <w:pStyle w:val="CETBodytext"/>
              <w:ind w:right="-1"/>
              <w:jc w:val="center"/>
              <w:rPr>
                <w:rFonts w:cs="Arial"/>
                <w:szCs w:val="18"/>
                <w:lang w:val="en-GB"/>
              </w:rPr>
            </w:pPr>
            <w:r>
              <w:t>1.25 (</w:t>
            </w:r>
            <w:r>
              <w:rPr>
                <w:rFonts w:cs="Arial"/>
              </w:rPr>
              <w:t>±</w:t>
            </w:r>
            <w:r>
              <w:t>0.1)</w:t>
            </w:r>
          </w:p>
        </w:tc>
        <w:tc>
          <w:tcPr>
            <w:tcW w:w="567" w:type="dxa"/>
            <w:tcBorders>
              <w:bottom w:val="single" w:sz="4" w:space="0" w:color="00B050"/>
            </w:tcBorders>
            <w:shd w:val="clear" w:color="auto" w:fill="FFFFFF"/>
          </w:tcPr>
          <w:p w14:paraId="1728C75B" w14:textId="498C9040" w:rsidR="005E5D93" w:rsidRPr="0080620F" w:rsidRDefault="005E5D93" w:rsidP="005E5D93">
            <w:pPr>
              <w:pStyle w:val="CETBodytext"/>
              <w:ind w:right="-1"/>
              <w:jc w:val="center"/>
            </w:pPr>
            <w:r>
              <w:t>340 (</w:t>
            </w:r>
            <w:r>
              <w:rPr>
                <w:rFonts w:cs="Arial"/>
              </w:rPr>
              <w:t>±</w:t>
            </w:r>
            <w:r>
              <w:t>5.0)</w:t>
            </w:r>
          </w:p>
        </w:tc>
        <w:tc>
          <w:tcPr>
            <w:tcW w:w="709" w:type="dxa"/>
            <w:tcBorders>
              <w:bottom w:val="single" w:sz="4" w:space="0" w:color="00B050"/>
            </w:tcBorders>
            <w:shd w:val="clear" w:color="auto" w:fill="FFFFFF"/>
          </w:tcPr>
          <w:p w14:paraId="12749BC5" w14:textId="77777777" w:rsidR="005E5D93" w:rsidRPr="0080620F" w:rsidRDefault="005E5D93" w:rsidP="008B1DC8">
            <w:pPr>
              <w:pStyle w:val="CETBodytext"/>
              <w:ind w:right="-1"/>
              <w:jc w:val="center"/>
            </w:pPr>
            <w:r>
              <w:t>0.36 (</w:t>
            </w:r>
            <w:r>
              <w:rPr>
                <w:rFonts w:cs="Arial"/>
              </w:rPr>
              <w:t>±</w:t>
            </w:r>
            <w:r>
              <w:t>0.02)</w:t>
            </w:r>
          </w:p>
        </w:tc>
        <w:tc>
          <w:tcPr>
            <w:tcW w:w="566" w:type="dxa"/>
            <w:tcBorders>
              <w:bottom w:val="single" w:sz="4" w:space="0" w:color="00B050"/>
            </w:tcBorders>
            <w:shd w:val="clear" w:color="auto" w:fill="FFFFFF"/>
          </w:tcPr>
          <w:p w14:paraId="1E888BE7" w14:textId="0BE34934" w:rsidR="005E5D93" w:rsidRPr="0080620F" w:rsidRDefault="005E5D93" w:rsidP="005E5D93">
            <w:pPr>
              <w:pStyle w:val="CETBodytext"/>
              <w:ind w:right="-1"/>
              <w:jc w:val="center"/>
            </w:pPr>
            <w:r>
              <w:t>49.0 (</w:t>
            </w:r>
            <w:r>
              <w:rPr>
                <w:rFonts w:cs="Arial"/>
              </w:rPr>
              <w:t>±</w:t>
            </w:r>
            <w:r>
              <w:t>2.5)</w:t>
            </w:r>
          </w:p>
        </w:tc>
        <w:tc>
          <w:tcPr>
            <w:tcW w:w="709" w:type="dxa"/>
            <w:tcBorders>
              <w:bottom w:val="single" w:sz="4" w:space="0" w:color="00B050"/>
            </w:tcBorders>
            <w:shd w:val="clear" w:color="auto" w:fill="FFFFFF"/>
          </w:tcPr>
          <w:p w14:paraId="776BE901" w14:textId="297C035E" w:rsidR="005E5D93" w:rsidRPr="0080620F" w:rsidRDefault="005E5D93" w:rsidP="000F141C">
            <w:pPr>
              <w:pStyle w:val="CETBodytext"/>
              <w:ind w:right="-1"/>
              <w:jc w:val="center"/>
            </w:pPr>
            <w:r>
              <w:t>44.1 (</w:t>
            </w:r>
            <w:r>
              <w:rPr>
                <w:rFonts w:cs="Arial"/>
              </w:rPr>
              <w:t>±</w:t>
            </w:r>
            <w:r>
              <w:t>1.0)</w:t>
            </w:r>
          </w:p>
        </w:tc>
        <w:tc>
          <w:tcPr>
            <w:tcW w:w="709" w:type="dxa"/>
            <w:tcBorders>
              <w:bottom w:val="single" w:sz="4" w:space="0" w:color="00B050"/>
            </w:tcBorders>
            <w:shd w:val="clear" w:color="auto" w:fill="FFFFFF"/>
          </w:tcPr>
          <w:p w14:paraId="01D6C9E2" w14:textId="1599FED3" w:rsidR="005E5D93" w:rsidRPr="0080620F" w:rsidRDefault="005E5D93" w:rsidP="000F141C">
            <w:pPr>
              <w:pStyle w:val="CETBodytext"/>
              <w:ind w:right="-1"/>
              <w:jc w:val="center"/>
            </w:pPr>
            <w:r>
              <w:t>1050 (</w:t>
            </w:r>
            <w:r>
              <w:rPr>
                <w:rFonts w:cs="Arial"/>
              </w:rPr>
              <w:t>±</w:t>
            </w:r>
            <w:r>
              <w:t>4.0)</w:t>
            </w:r>
          </w:p>
        </w:tc>
      </w:tr>
      <w:tr w:rsidR="005E5D93" w:rsidRPr="000F141C" w14:paraId="7764F8BF" w14:textId="77777777" w:rsidTr="002A0573">
        <w:tc>
          <w:tcPr>
            <w:tcW w:w="851" w:type="dxa"/>
            <w:tcBorders>
              <w:top w:val="single" w:sz="4" w:space="0" w:color="00B050"/>
              <w:bottom w:val="single" w:sz="4" w:space="0" w:color="00B050"/>
            </w:tcBorders>
            <w:shd w:val="clear" w:color="auto" w:fill="FFFFFF"/>
          </w:tcPr>
          <w:p w14:paraId="60C76FFD" w14:textId="0240F803" w:rsidR="005E5D93" w:rsidRDefault="005E5D93" w:rsidP="008B1DC8">
            <w:pPr>
              <w:pStyle w:val="CETBodytext"/>
              <w:ind w:right="-1"/>
            </w:pPr>
            <w:r>
              <w:t>OFD-HC</w:t>
            </w:r>
          </w:p>
        </w:tc>
        <w:tc>
          <w:tcPr>
            <w:tcW w:w="567" w:type="dxa"/>
            <w:tcBorders>
              <w:top w:val="single" w:sz="4" w:space="0" w:color="00B050"/>
              <w:bottom w:val="single" w:sz="4" w:space="0" w:color="00B050"/>
            </w:tcBorders>
            <w:shd w:val="clear" w:color="auto" w:fill="FFFFFF"/>
          </w:tcPr>
          <w:p w14:paraId="67A84455" w14:textId="1BFBF02D" w:rsidR="005E5D93" w:rsidRDefault="005E5D93" w:rsidP="008B1DC8">
            <w:pPr>
              <w:pStyle w:val="CETBodytext"/>
              <w:ind w:right="-1"/>
              <w:jc w:val="center"/>
            </w:pPr>
            <w:r>
              <w:t>41.0</w:t>
            </w:r>
          </w:p>
          <w:p w14:paraId="3D52688A" w14:textId="77777777" w:rsidR="005E5D93" w:rsidRPr="0080620F" w:rsidRDefault="005E5D93" w:rsidP="008B1DC8">
            <w:pPr>
              <w:pStyle w:val="CETBodytext"/>
              <w:ind w:right="-1"/>
              <w:jc w:val="center"/>
            </w:pPr>
            <w:r>
              <w:t>(</w:t>
            </w:r>
            <w:r>
              <w:rPr>
                <w:rFonts w:cs="Arial"/>
              </w:rPr>
              <w:t>±</w:t>
            </w:r>
            <w:r>
              <w:t>0.1)</w:t>
            </w:r>
          </w:p>
        </w:tc>
        <w:tc>
          <w:tcPr>
            <w:tcW w:w="567" w:type="dxa"/>
            <w:tcBorders>
              <w:top w:val="single" w:sz="4" w:space="0" w:color="00B050"/>
              <w:bottom w:val="single" w:sz="4" w:space="0" w:color="00B050"/>
            </w:tcBorders>
            <w:shd w:val="clear" w:color="auto" w:fill="FFFFFF"/>
          </w:tcPr>
          <w:p w14:paraId="1D81530C" w14:textId="13403D8A" w:rsidR="005E5D93" w:rsidRDefault="005E5D93" w:rsidP="00CC507A">
            <w:pPr>
              <w:pStyle w:val="CETBodytext"/>
              <w:ind w:right="-1"/>
              <w:jc w:val="center"/>
            </w:pPr>
            <w:r>
              <w:t>29.6 (</w:t>
            </w:r>
            <w:r>
              <w:rPr>
                <w:rFonts w:cs="Arial"/>
              </w:rPr>
              <w:t>±</w:t>
            </w:r>
            <w:r>
              <w:t>0.2)</w:t>
            </w:r>
          </w:p>
        </w:tc>
        <w:tc>
          <w:tcPr>
            <w:tcW w:w="567" w:type="dxa"/>
            <w:tcBorders>
              <w:top w:val="single" w:sz="4" w:space="0" w:color="00B050"/>
              <w:bottom w:val="single" w:sz="4" w:space="0" w:color="00B050"/>
            </w:tcBorders>
            <w:shd w:val="clear" w:color="auto" w:fill="FFFFFF"/>
          </w:tcPr>
          <w:p w14:paraId="055BAFD5" w14:textId="3F66878E" w:rsidR="005E5D93" w:rsidRDefault="005E5D93" w:rsidP="000F141C">
            <w:pPr>
              <w:pStyle w:val="CETBodytext"/>
              <w:ind w:right="-1"/>
              <w:jc w:val="center"/>
            </w:pPr>
            <w:r w:rsidRPr="000F141C">
              <w:t>4.4 (</w:t>
            </w:r>
            <w:r w:rsidRPr="000F141C">
              <w:rPr>
                <w:rFonts w:cs="Arial"/>
              </w:rPr>
              <w:t>±</w:t>
            </w:r>
            <w:r w:rsidRPr="000F141C">
              <w:t>0.2)</w:t>
            </w:r>
          </w:p>
        </w:tc>
        <w:tc>
          <w:tcPr>
            <w:tcW w:w="651" w:type="dxa"/>
            <w:tcBorders>
              <w:top w:val="single" w:sz="4" w:space="0" w:color="00B050"/>
              <w:bottom w:val="single" w:sz="4" w:space="0" w:color="00B050"/>
            </w:tcBorders>
            <w:shd w:val="clear" w:color="auto" w:fill="FFFFFF"/>
          </w:tcPr>
          <w:p w14:paraId="297521E6" w14:textId="489870EC" w:rsidR="005E5D93" w:rsidRPr="0080620F" w:rsidRDefault="005E5D93" w:rsidP="000F141C">
            <w:pPr>
              <w:pStyle w:val="CETBodytext"/>
              <w:ind w:right="-1"/>
              <w:jc w:val="center"/>
            </w:pPr>
            <w:r>
              <w:t>0.10 (</w:t>
            </w:r>
            <w:r>
              <w:rPr>
                <w:rFonts w:cs="Arial"/>
              </w:rPr>
              <w:t>±</w:t>
            </w:r>
            <w:r>
              <w:t>0.1)</w:t>
            </w:r>
          </w:p>
        </w:tc>
        <w:tc>
          <w:tcPr>
            <w:tcW w:w="625" w:type="dxa"/>
            <w:tcBorders>
              <w:top w:val="single" w:sz="4" w:space="0" w:color="00B050"/>
              <w:bottom w:val="single" w:sz="4" w:space="0" w:color="00B050"/>
            </w:tcBorders>
            <w:shd w:val="clear" w:color="auto" w:fill="FFFFFF"/>
          </w:tcPr>
          <w:p w14:paraId="0DA22BC8" w14:textId="78AA5C91" w:rsidR="005E5D93" w:rsidRPr="000F141C" w:rsidRDefault="005E5D93" w:rsidP="000F141C">
            <w:pPr>
              <w:pStyle w:val="CETBodytext"/>
              <w:ind w:right="-1"/>
              <w:jc w:val="center"/>
            </w:pPr>
            <w:r w:rsidRPr="000F141C">
              <w:t>1.05 (</w:t>
            </w:r>
            <w:r w:rsidRPr="000F141C">
              <w:rPr>
                <w:rFonts w:cs="Arial"/>
              </w:rPr>
              <w:t>±</w:t>
            </w:r>
            <w:r w:rsidRPr="000F141C">
              <w:t>0.1)</w:t>
            </w:r>
          </w:p>
        </w:tc>
        <w:tc>
          <w:tcPr>
            <w:tcW w:w="567" w:type="dxa"/>
            <w:tcBorders>
              <w:top w:val="single" w:sz="4" w:space="0" w:color="00B050"/>
              <w:bottom w:val="single" w:sz="4" w:space="0" w:color="00B050"/>
            </w:tcBorders>
            <w:shd w:val="clear" w:color="auto" w:fill="FFFFFF"/>
          </w:tcPr>
          <w:p w14:paraId="2176461D" w14:textId="135E4AC0" w:rsidR="005E5D93" w:rsidRPr="000F141C" w:rsidRDefault="005E5D93" w:rsidP="008B1DC8">
            <w:pPr>
              <w:pStyle w:val="CETBodytext"/>
              <w:ind w:right="-1"/>
              <w:jc w:val="center"/>
            </w:pPr>
            <w:r w:rsidRPr="000F141C">
              <w:t>19   (</w:t>
            </w:r>
            <w:r w:rsidRPr="000F141C">
              <w:rPr>
                <w:rFonts w:cs="Arial"/>
              </w:rPr>
              <w:t>±</w:t>
            </w:r>
            <w:r w:rsidRPr="000F141C">
              <w:t>0.1)</w:t>
            </w:r>
          </w:p>
        </w:tc>
        <w:tc>
          <w:tcPr>
            <w:tcW w:w="709" w:type="dxa"/>
            <w:tcBorders>
              <w:top w:val="single" w:sz="4" w:space="0" w:color="00B050"/>
              <w:bottom w:val="single" w:sz="4" w:space="0" w:color="00B050"/>
            </w:tcBorders>
            <w:shd w:val="clear" w:color="auto" w:fill="FFFFFF"/>
          </w:tcPr>
          <w:p w14:paraId="516C91B0" w14:textId="23665981" w:rsidR="005E5D93" w:rsidRPr="000F141C" w:rsidRDefault="005E5D93" w:rsidP="000F141C">
            <w:pPr>
              <w:pStyle w:val="CETBodytext"/>
              <w:ind w:right="-1"/>
              <w:jc w:val="center"/>
            </w:pPr>
            <w:r w:rsidRPr="000F141C">
              <w:t>&lt; 0.20 (</w:t>
            </w:r>
            <w:r w:rsidRPr="000F141C">
              <w:rPr>
                <w:rFonts w:cs="Arial"/>
              </w:rPr>
              <w:t>±</w:t>
            </w:r>
            <w:r w:rsidRPr="000F141C">
              <w:t>0.0)</w:t>
            </w:r>
          </w:p>
        </w:tc>
        <w:tc>
          <w:tcPr>
            <w:tcW w:w="566" w:type="dxa"/>
            <w:tcBorders>
              <w:top w:val="single" w:sz="4" w:space="0" w:color="00B050"/>
              <w:bottom w:val="single" w:sz="4" w:space="0" w:color="00B050"/>
            </w:tcBorders>
            <w:shd w:val="clear" w:color="auto" w:fill="FFFFFF"/>
          </w:tcPr>
          <w:p w14:paraId="4D1DEDE5" w14:textId="7C7E7BED" w:rsidR="005E5D93" w:rsidRPr="000F141C" w:rsidRDefault="005E5D93" w:rsidP="008B1DC8">
            <w:pPr>
              <w:pStyle w:val="CETBodytext"/>
              <w:ind w:right="-1"/>
              <w:jc w:val="center"/>
            </w:pPr>
            <w:r w:rsidRPr="000F141C">
              <w:t>14.7 (</w:t>
            </w:r>
            <w:r w:rsidRPr="000F141C">
              <w:rPr>
                <w:rFonts w:cs="Arial"/>
              </w:rPr>
              <w:t>±</w:t>
            </w:r>
            <w:r w:rsidRPr="000F141C">
              <w:t>0.1)</w:t>
            </w:r>
          </w:p>
        </w:tc>
        <w:tc>
          <w:tcPr>
            <w:tcW w:w="709" w:type="dxa"/>
            <w:tcBorders>
              <w:top w:val="single" w:sz="4" w:space="0" w:color="00B050"/>
              <w:bottom w:val="single" w:sz="4" w:space="0" w:color="00B050"/>
            </w:tcBorders>
            <w:shd w:val="clear" w:color="auto" w:fill="FFFFFF"/>
          </w:tcPr>
          <w:p w14:paraId="103C45AF" w14:textId="1B651F12" w:rsidR="005E5D93" w:rsidRPr="000F141C" w:rsidRDefault="005E5D93" w:rsidP="008B1DC8">
            <w:pPr>
              <w:pStyle w:val="CETBodytext"/>
              <w:ind w:right="-1"/>
              <w:jc w:val="center"/>
            </w:pPr>
            <w:r w:rsidRPr="000F141C">
              <w:t>1.0 (</w:t>
            </w:r>
            <w:r w:rsidRPr="000F141C">
              <w:rPr>
                <w:rFonts w:cs="Arial"/>
              </w:rPr>
              <w:t>±</w:t>
            </w:r>
            <w:r w:rsidRPr="000F141C">
              <w:t>0.05)</w:t>
            </w:r>
          </w:p>
        </w:tc>
        <w:tc>
          <w:tcPr>
            <w:tcW w:w="709" w:type="dxa"/>
            <w:tcBorders>
              <w:top w:val="single" w:sz="4" w:space="0" w:color="00B050"/>
              <w:bottom w:val="single" w:sz="4" w:space="0" w:color="00B050"/>
            </w:tcBorders>
            <w:shd w:val="clear" w:color="auto" w:fill="FFFFFF"/>
          </w:tcPr>
          <w:p w14:paraId="7349F5BB" w14:textId="43BEC8B2" w:rsidR="005E5D93" w:rsidRPr="000F141C" w:rsidRDefault="005E5D93" w:rsidP="000F141C">
            <w:pPr>
              <w:pStyle w:val="CETBodytext"/>
              <w:ind w:right="-1"/>
              <w:jc w:val="center"/>
            </w:pPr>
            <w:r>
              <w:t>265</w:t>
            </w:r>
            <w:r w:rsidRPr="000F141C">
              <w:t xml:space="preserve"> (</w:t>
            </w:r>
            <w:r w:rsidRPr="000F141C">
              <w:rPr>
                <w:rFonts w:cs="Arial"/>
              </w:rPr>
              <w:t>±</w:t>
            </w:r>
            <w:r w:rsidRPr="000F141C">
              <w:t>3.0)</w:t>
            </w:r>
          </w:p>
        </w:tc>
      </w:tr>
      <w:tr w:rsidR="005E5D93" w:rsidRPr="000F141C" w14:paraId="1E96541A" w14:textId="77777777" w:rsidTr="002A0573">
        <w:tc>
          <w:tcPr>
            <w:tcW w:w="851" w:type="dxa"/>
            <w:tcBorders>
              <w:top w:val="single" w:sz="4" w:space="0" w:color="00B050"/>
            </w:tcBorders>
            <w:shd w:val="clear" w:color="auto" w:fill="FFFFFF"/>
          </w:tcPr>
          <w:p w14:paraId="77A7B44A" w14:textId="4A0CDECB" w:rsidR="005E5D93" w:rsidRDefault="005E5D93" w:rsidP="008B1DC8">
            <w:pPr>
              <w:pStyle w:val="CETBodytext"/>
              <w:ind w:right="-1"/>
            </w:pPr>
            <w:r>
              <w:t xml:space="preserve">AWD-HC </w:t>
            </w:r>
          </w:p>
        </w:tc>
        <w:tc>
          <w:tcPr>
            <w:tcW w:w="567" w:type="dxa"/>
            <w:tcBorders>
              <w:top w:val="single" w:sz="4" w:space="0" w:color="00B050"/>
            </w:tcBorders>
            <w:shd w:val="clear" w:color="auto" w:fill="FFFFFF"/>
          </w:tcPr>
          <w:p w14:paraId="76824A76" w14:textId="00399D3A" w:rsidR="005E5D93" w:rsidRDefault="005E5D93" w:rsidP="008B1DC8">
            <w:pPr>
              <w:pStyle w:val="CETBodytext"/>
              <w:ind w:right="-1"/>
              <w:jc w:val="center"/>
            </w:pPr>
            <w:r>
              <w:t>38.6</w:t>
            </w:r>
          </w:p>
          <w:p w14:paraId="7F6F87B3" w14:textId="77777777" w:rsidR="005E5D93" w:rsidRPr="0080620F" w:rsidRDefault="005E5D93" w:rsidP="008B1DC8">
            <w:pPr>
              <w:pStyle w:val="CETBodytext"/>
              <w:ind w:right="-1"/>
              <w:jc w:val="center"/>
            </w:pPr>
            <w:r>
              <w:t>(</w:t>
            </w:r>
            <w:r>
              <w:rPr>
                <w:rFonts w:cs="Arial"/>
              </w:rPr>
              <w:t>±</w:t>
            </w:r>
            <w:r>
              <w:t>0.2)</w:t>
            </w:r>
          </w:p>
        </w:tc>
        <w:tc>
          <w:tcPr>
            <w:tcW w:w="567" w:type="dxa"/>
            <w:tcBorders>
              <w:top w:val="single" w:sz="4" w:space="0" w:color="00B050"/>
            </w:tcBorders>
            <w:shd w:val="clear" w:color="auto" w:fill="FFFFFF"/>
          </w:tcPr>
          <w:p w14:paraId="74B5E186" w14:textId="438504B7" w:rsidR="005E5D93" w:rsidRDefault="005E5D93" w:rsidP="001D047E">
            <w:pPr>
              <w:pStyle w:val="CETBodytext"/>
              <w:ind w:right="-1"/>
              <w:jc w:val="center"/>
            </w:pPr>
            <w:r>
              <w:t>23.6 (</w:t>
            </w:r>
            <w:r>
              <w:rPr>
                <w:rFonts w:cs="Arial"/>
              </w:rPr>
              <w:t>±</w:t>
            </w:r>
            <w:r w:rsidR="001D047E">
              <w:t>0</w:t>
            </w:r>
            <w:r>
              <w:t>.</w:t>
            </w:r>
            <w:r w:rsidR="001D047E">
              <w:t>3</w:t>
            </w:r>
            <w:r>
              <w:t>)</w:t>
            </w:r>
          </w:p>
        </w:tc>
        <w:tc>
          <w:tcPr>
            <w:tcW w:w="567" w:type="dxa"/>
            <w:tcBorders>
              <w:top w:val="single" w:sz="4" w:space="0" w:color="00B050"/>
            </w:tcBorders>
            <w:shd w:val="clear" w:color="auto" w:fill="FFFFFF"/>
          </w:tcPr>
          <w:p w14:paraId="0099C97F" w14:textId="596F184F" w:rsidR="005E5D93" w:rsidRDefault="005E5D93" w:rsidP="008B1DC8">
            <w:pPr>
              <w:pStyle w:val="CETBodytext"/>
              <w:ind w:right="-1"/>
              <w:jc w:val="center"/>
            </w:pPr>
            <w:r>
              <w:t>1.9 (</w:t>
            </w:r>
            <w:r>
              <w:rPr>
                <w:rFonts w:cs="Arial"/>
              </w:rPr>
              <w:t>±</w:t>
            </w:r>
            <w:r>
              <w:t>0.1)</w:t>
            </w:r>
          </w:p>
        </w:tc>
        <w:tc>
          <w:tcPr>
            <w:tcW w:w="651" w:type="dxa"/>
            <w:tcBorders>
              <w:top w:val="single" w:sz="4" w:space="0" w:color="00B050"/>
            </w:tcBorders>
            <w:shd w:val="clear" w:color="auto" w:fill="FFFFFF"/>
          </w:tcPr>
          <w:p w14:paraId="26D3AB56" w14:textId="5DEF455F" w:rsidR="005E5D93" w:rsidRPr="0080620F" w:rsidRDefault="005E5D93" w:rsidP="008B1DC8">
            <w:pPr>
              <w:pStyle w:val="CETBodytext"/>
              <w:ind w:right="-1"/>
              <w:jc w:val="center"/>
            </w:pPr>
            <w:r>
              <w:t>3.4 (</w:t>
            </w:r>
            <w:r>
              <w:rPr>
                <w:rFonts w:cs="Arial"/>
              </w:rPr>
              <w:t>±</w:t>
            </w:r>
            <w:r>
              <w:t>0.1)</w:t>
            </w:r>
          </w:p>
        </w:tc>
        <w:tc>
          <w:tcPr>
            <w:tcW w:w="625" w:type="dxa"/>
            <w:tcBorders>
              <w:top w:val="single" w:sz="4" w:space="0" w:color="00B050"/>
            </w:tcBorders>
            <w:shd w:val="clear" w:color="auto" w:fill="FFFFFF"/>
          </w:tcPr>
          <w:p w14:paraId="2160BD70" w14:textId="3AAE23BB" w:rsidR="005E5D93" w:rsidRPr="000F141C" w:rsidRDefault="005E5D93" w:rsidP="000F141C">
            <w:pPr>
              <w:pStyle w:val="CETBodytext"/>
              <w:ind w:right="-1"/>
              <w:jc w:val="center"/>
            </w:pPr>
            <w:r w:rsidRPr="000F141C">
              <w:t>&lt; 0.12 (</w:t>
            </w:r>
            <w:r w:rsidRPr="000F141C">
              <w:rPr>
                <w:rFonts w:cs="Arial"/>
              </w:rPr>
              <w:t>±</w:t>
            </w:r>
            <w:r w:rsidRPr="000F141C">
              <w:t>0.0)</w:t>
            </w:r>
          </w:p>
        </w:tc>
        <w:tc>
          <w:tcPr>
            <w:tcW w:w="567" w:type="dxa"/>
            <w:tcBorders>
              <w:top w:val="single" w:sz="4" w:space="0" w:color="00B050"/>
            </w:tcBorders>
            <w:shd w:val="clear" w:color="auto" w:fill="FFFFFF"/>
          </w:tcPr>
          <w:p w14:paraId="175043B3" w14:textId="2249DF67" w:rsidR="005E5D93" w:rsidRPr="000F141C" w:rsidRDefault="005E5D93" w:rsidP="00CC507A">
            <w:pPr>
              <w:pStyle w:val="CETBodytext"/>
              <w:ind w:right="-1"/>
              <w:jc w:val="center"/>
            </w:pPr>
            <w:r w:rsidRPr="000F141C">
              <w:t>630 (</w:t>
            </w:r>
            <w:r w:rsidRPr="000F141C">
              <w:rPr>
                <w:rFonts w:cs="Arial"/>
              </w:rPr>
              <w:t>±</w:t>
            </w:r>
            <w:r w:rsidRPr="000F141C">
              <w:t>5.0)</w:t>
            </w:r>
          </w:p>
        </w:tc>
        <w:tc>
          <w:tcPr>
            <w:tcW w:w="709" w:type="dxa"/>
            <w:tcBorders>
              <w:top w:val="single" w:sz="4" w:space="0" w:color="00B050"/>
            </w:tcBorders>
            <w:shd w:val="clear" w:color="auto" w:fill="FFFFFF"/>
          </w:tcPr>
          <w:p w14:paraId="7D41E93A" w14:textId="477C373F" w:rsidR="005E5D93" w:rsidRPr="000F141C" w:rsidRDefault="005E5D93" w:rsidP="000F141C">
            <w:pPr>
              <w:pStyle w:val="CETBodytext"/>
              <w:ind w:right="-1"/>
              <w:jc w:val="center"/>
            </w:pPr>
            <w:r w:rsidRPr="000F141C">
              <w:t>0.32 (</w:t>
            </w:r>
            <w:r w:rsidRPr="000F141C">
              <w:rPr>
                <w:rFonts w:cs="Arial"/>
              </w:rPr>
              <w:t>±</w:t>
            </w:r>
            <w:r w:rsidRPr="000F141C">
              <w:t xml:space="preserve">0.1) </w:t>
            </w:r>
          </w:p>
        </w:tc>
        <w:tc>
          <w:tcPr>
            <w:tcW w:w="566" w:type="dxa"/>
            <w:tcBorders>
              <w:top w:val="single" w:sz="4" w:space="0" w:color="00B050"/>
            </w:tcBorders>
            <w:shd w:val="clear" w:color="auto" w:fill="FFFFFF"/>
          </w:tcPr>
          <w:p w14:paraId="649D4B4B" w14:textId="7EBB8709" w:rsidR="005E5D93" w:rsidRPr="000F141C" w:rsidRDefault="005E5D93" w:rsidP="008B1DC8">
            <w:pPr>
              <w:pStyle w:val="CETBodytext"/>
              <w:ind w:right="-1"/>
              <w:jc w:val="center"/>
            </w:pPr>
            <w:r w:rsidRPr="000F141C">
              <w:t>10.3 (</w:t>
            </w:r>
            <w:r w:rsidRPr="000F141C">
              <w:rPr>
                <w:rFonts w:cs="Arial"/>
              </w:rPr>
              <w:t>±</w:t>
            </w:r>
            <w:r w:rsidRPr="000F141C">
              <w:t>0.1)</w:t>
            </w:r>
          </w:p>
        </w:tc>
        <w:tc>
          <w:tcPr>
            <w:tcW w:w="709" w:type="dxa"/>
            <w:tcBorders>
              <w:top w:val="single" w:sz="4" w:space="0" w:color="00B050"/>
            </w:tcBorders>
            <w:shd w:val="clear" w:color="auto" w:fill="FFFFFF"/>
          </w:tcPr>
          <w:p w14:paraId="015E702A" w14:textId="7A66B938" w:rsidR="005E5D93" w:rsidRPr="000F141C" w:rsidRDefault="005E5D93" w:rsidP="00CC507A">
            <w:pPr>
              <w:pStyle w:val="CETBodytext"/>
              <w:ind w:right="-1"/>
              <w:jc w:val="center"/>
            </w:pPr>
            <w:r w:rsidRPr="000F141C">
              <w:t>19.4 (</w:t>
            </w:r>
            <w:r w:rsidRPr="000F141C">
              <w:rPr>
                <w:rFonts w:cs="Arial"/>
              </w:rPr>
              <w:t>±</w:t>
            </w:r>
            <w:r w:rsidRPr="000F141C">
              <w:t>0.2)</w:t>
            </w:r>
          </w:p>
        </w:tc>
        <w:tc>
          <w:tcPr>
            <w:tcW w:w="709" w:type="dxa"/>
            <w:tcBorders>
              <w:top w:val="single" w:sz="4" w:space="0" w:color="00B050"/>
            </w:tcBorders>
            <w:shd w:val="clear" w:color="auto" w:fill="FFFFFF"/>
          </w:tcPr>
          <w:p w14:paraId="1F01AEA9" w14:textId="6112AF61" w:rsidR="005E5D93" w:rsidRPr="000F141C" w:rsidRDefault="005E5D93" w:rsidP="001D047E">
            <w:pPr>
              <w:pStyle w:val="CETBodytext"/>
              <w:ind w:right="-1"/>
              <w:jc w:val="center"/>
            </w:pPr>
            <w:r w:rsidRPr="000F141C">
              <w:t>450 (</w:t>
            </w:r>
            <w:r w:rsidRPr="000F141C">
              <w:rPr>
                <w:rFonts w:cs="Arial"/>
              </w:rPr>
              <w:t>±</w:t>
            </w:r>
            <w:r w:rsidR="001D047E">
              <w:t>3</w:t>
            </w:r>
            <w:r w:rsidRPr="000F141C">
              <w:t>.5)</w:t>
            </w:r>
          </w:p>
        </w:tc>
      </w:tr>
    </w:tbl>
    <w:p w14:paraId="13A8146C" w14:textId="77777777" w:rsidR="002E6A1A" w:rsidRDefault="002E6A1A" w:rsidP="00604880">
      <w:pPr>
        <w:pStyle w:val="CETBodytext"/>
        <w:rPr>
          <w:color w:val="FF0000"/>
        </w:rPr>
      </w:pPr>
    </w:p>
    <w:p w14:paraId="15EB2D05" w14:textId="622062AC" w:rsidR="00E978D0" w:rsidRDefault="00D84997" w:rsidP="00604880">
      <w:pPr>
        <w:pStyle w:val="CETBodytext"/>
      </w:pPr>
      <w:r>
        <w:t>Together with P concentration</w:t>
      </w:r>
      <w:r w:rsidR="002923D2">
        <w:t>,</w:t>
      </w:r>
      <w:r>
        <w:t xml:space="preserve"> hydrochars show </w:t>
      </w:r>
      <w:r w:rsidR="002923D2">
        <w:t>a</w:t>
      </w:r>
      <w:r w:rsidR="002923D2">
        <w:t xml:space="preserve"> </w:t>
      </w:r>
      <w:r>
        <w:t>considerable increase in heavy metal</w:t>
      </w:r>
      <w:r w:rsidR="00D35FEF">
        <w:t>s (in particular Cu and Zn for SSD-HC and AWD-HC residues).</w:t>
      </w:r>
      <w:r>
        <w:t xml:space="preserve"> </w:t>
      </w:r>
      <w:r w:rsidR="00D35FEF">
        <w:t>H</w:t>
      </w:r>
      <w:r>
        <w:t xml:space="preserve">ydrochars </w:t>
      </w:r>
      <w:r w:rsidR="00D35FEF">
        <w:t xml:space="preserve">containing high levels of heavy metal need to be adequately treated before their possible use as soil amendment </w:t>
      </w:r>
      <w:r w:rsidR="00D35FEF">
        <w:fldChar w:fldCharType="begin" w:fldLock="1"/>
      </w:r>
      <w:r w:rsidR="00DA0CCA">
        <w:instrText>ADDIN CSL_CITATION {"citationItems":[{"id":"ITEM-1","itemData":{"DOI":"10.3390/su13169343","ISSN":"20711050","abstract":"Hydrothermal carbonization (HTC) provides an attractive alternative method for the treatment of high-moisture waste and, in particular, digested sludge. HTC could reduce the costs and environmental risks associated with sludge handling and management. Although it is recognized that the dewaterability of hydrochars produced from digested sludge, even at mild temperatures (180–190◦C), is highly improved with respect to the starting material, the filterability of HTC slurries for the recovery of the solid material (hydrochar) still represents a challenge. This study presents the results of an investigation into the filterability of agro-industrial digested sludge HTC slurries produced by a C-700 Carborem™ HTC industrial-scale plant. The filterability of HTC slurries, produced at 190◦C for 1 h, with the use of acid solutions of hydrochloric acid, sulfuric acid or citric acids, was investigated by using a semi-industrial filter press. The use of sulfuric acid or citric acid solutions, in particular, significantly improved the filterability of HTC slurries, reducing the time of filtration and residual moisture content. The acid treatment also promoted the migration of heavy metals and phosphorus (P) in the HTC filtrate solution. This study demonstrates that P can be recovered via the precipitation of struvite in high yields, recovering up to 85 wt% by mass of its initial P content.","author":[{"dropping-particle":"","family":"Lucian","given":"Michela","non-dropping-particle":"","parse-names":false,"suffix":""},{"dropping-particle":"","family":"Merzari","given":"Fabio","non-dropping-particle":"","parse-names":false,"suffix":""},{"dropping-particle":"","family":"Gubert","given":"Michele","non-dropping-particle":"","parse-names":false,"suffix":""},{"dropping-particle":"","family":"Messineo","given":"Antonio","non-dropping-particle":"","parse-names":false,"suffix":""},{"dropping-particle":"","family":"Volpe","given":"Maurizio","non-dropping-particle":"","parse-names":false,"suffix":""}],"container-title":"Sustainability","id":"ITEM-1","issue":"16","issued":{"date-parts":[["2021"]]},"page":"9343","title":"Industrial-Scale Hydrothermal Carbonization of Agro-Industrial Digested Sludge: Filterability Enhancement and Phosphorus Recovery","type":"article-journal","volume":"13"},"uris":["http://www.mendeley.com/documents/?uuid=5862e700-78f7-4b42-8aec-3ebb7e58ce71"]}],"mendeley":{"formattedCitation":"(Lucian et al., 2021)","plainTextFormattedCitation":"(Lucian et al., 2021)","previouslyFormattedCitation":"(Lucian et al., 2021)"},"properties":{"noteIndex":0},"schema":"https://github.com/citation-style-language/schema/raw/master/csl-citation.json"}</w:instrText>
      </w:r>
      <w:r w:rsidR="00D35FEF">
        <w:fldChar w:fldCharType="separate"/>
      </w:r>
      <w:r w:rsidR="00D35FEF" w:rsidRPr="004B3ACA">
        <w:rPr>
          <w:noProof/>
        </w:rPr>
        <w:t>(Lucian et al., 2021)</w:t>
      </w:r>
      <w:r w:rsidR="00D35FEF">
        <w:fldChar w:fldCharType="end"/>
      </w:r>
      <w:r w:rsidR="00D35FEF" w:rsidRPr="004B3ACA">
        <w:t xml:space="preserve">. </w:t>
      </w:r>
      <w:r w:rsidR="00860E80">
        <w:t>HTC liquid residues showed a chemical oxygen demand of 9550, 15560 and 9880 mgO</w:t>
      </w:r>
      <w:r w:rsidR="00860E80" w:rsidRPr="001D4086">
        <w:rPr>
          <w:vertAlign w:val="subscript"/>
        </w:rPr>
        <w:t>2</w:t>
      </w:r>
      <w:r w:rsidR="00860E80">
        <w:t>/L for SSD, OFD and AWD respectively.</w:t>
      </w:r>
      <w:r w:rsidR="00860E80" w:rsidRPr="00860E80">
        <w:t xml:space="preserve"> </w:t>
      </w:r>
      <w:r w:rsidR="001554F9" w:rsidRPr="00860E80">
        <w:t xml:space="preserve">TOC values </w:t>
      </w:r>
      <w:r w:rsidR="00860E80">
        <w:t>of starting material</w:t>
      </w:r>
      <w:r w:rsidR="00335054">
        <w:t>s</w:t>
      </w:r>
      <w:r w:rsidR="00860E80">
        <w:t xml:space="preserve"> and hydrochars </w:t>
      </w:r>
      <w:r w:rsidR="001554F9" w:rsidRPr="00860E80">
        <w:t>demonstrate that relevant amount of organic carbon is moved into the aqueous liquid residue</w:t>
      </w:r>
      <w:r w:rsidR="00860E80" w:rsidRPr="00860E80">
        <w:t>s</w:t>
      </w:r>
      <w:r w:rsidR="00335054">
        <w:t xml:space="preserve"> that</w:t>
      </w:r>
      <w:r w:rsidR="001554F9">
        <w:t xml:space="preserve"> can be recirculated into the anaerobic digestion system of the plant to produce bio</w:t>
      </w:r>
      <w:r w:rsidR="00196E8A">
        <w:t>gas</w:t>
      </w:r>
      <w:r w:rsidR="001554F9">
        <w:t xml:space="preserve"> to cover part of C700 energy needs. </w:t>
      </w:r>
    </w:p>
    <w:p w14:paraId="6DC48C27" w14:textId="77777777" w:rsidR="00FE2861" w:rsidRPr="00335054" w:rsidRDefault="003313CD" w:rsidP="00FE2861">
      <w:pPr>
        <w:pStyle w:val="CETHeading1"/>
        <w:tabs>
          <w:tab w:val="clear" w:pos="360"/>
          <w:tab w:val="right" w:pos="7100"/>
        </w:tabs>
        <w:jc w:val="both"/>
        <w:rPr>
          <w:lang w:val="en-GB"/>
        </w:rPr>
      </w:pPr>
      <w:r w:rsidRPr="00335054">
        <w:rPr>
          <w:lang w:val="en-GB"/>
        </w:rPr>
        <w:t>Conclusions</w:t>
      </w:r>
    </w:p>
    <w:p w14:paraId="0DD06B81" w14:textId="7512392A" w:rsidR="00E20B8E" w:rsidRDefault="002C2194" w:rsidP="004A231C">
      <w:pPr>
        <w:pStyle w:val="CETBodytext"/>
        <w:rPr>
          <w:lang w:val="en-GB"/>
        </w:rPr>
      </w:pPr>
      <w:r w:rsidRPr="00335054">
        <w:rPr>
          <w:lang w:val="en-GB"/>
        </w:rPr>
        <w:t xml:space="preserve">This study reports the main feature of a novel continuous operating industrial scale HTC plant developed by Carborem srl. </w:t>
      </w:r>
      <w:r w:rsidR="00335054">
        <w:rPr>
          <w:lang w:val="en-GB"/>
        </w:rPr>
        <w:t xml:space="preserve">C700 is a compact containerized HTC system that can be easily integrated in existing waste management plant capable of treating up to 5 kton/year </w:t>
      </w:r>
      <w:r w:rsidR="00E20B8E">
        <w:rPr>
          <w:lang w:val="en-GB"/>
        </w:rPr>
        <w:t xml:space="preserve">(0.7 ton/h) </w:t>
      </w:r>
      <w:r w:rsidR="00335054">
        <w:rPr>
          <w:lang w:val="en-GB"/>
        </w:rPr>
        <w:t>of sludge with a TS between 2 and 10 wt%.</w:t>
      </w:r>
    </w:p>
    <w:p w14:paraId="5727EDA7" w14:textId="098C7A70" w:rsidR="00E20B8E" w:rsidRDefault="00E20B8E" w:rsidP="004A231C">
      <w:pPr>
        <w:pStyle w:val="CETBodytext"/>
        <w:rPr>
          <w:lang w:val="en-GB"/>
        </w:rPr>
      </w:pPr>
      <w:r>
        <w:rPr>
          <w:lang w:val="en-GB"/>
        </w:rPr>
        <w:t xml:space="preserve">C700 system, even at relatively mild condition, 190 °C and 1 h of residence time, </w:t>
      </w:r>
      <w:r w:rsidRPr="003B6981">
        <w:rPr>
          <w:lang w:val="en-GB"/>
        </w:rPr>
        <w:t>promot</w:t>
      </w:r>
      <w:r>
        <w:rPr>
          <w:lang w:val="en-GB"/>
        </w:rPr>
        <w:t>es</w:t>
      </w:r>
      <w:r w:rsidRPr="003B6981">
        <w:rPr>
          <w:lang w:val="en-GB"/>
        </w:rPr>
        <w:t xml:space="preserve"> dewaterability of sludge residues, producing </w:t>
      </w:r>
      <w:r>
        <w:rPr>
          <w:lang w:val="en-GB"/>
        </w:rPr>
        <w:t xml:space="preserve">hydrochars </w:t>
      </w:r>
      <w:r w:rsidRPr="003B6981">
        <w:rPr>
          <w:lang w:val="en-GB"/>
        </w:rPr>
        <w:t xml:space="preserve">with improved </w:t>
      </w:r>
      <w:r>
        <w:rPr>
          <w:lang w:val="en-GB"/>
        </w:rPr>
        <w:t>phosphorus content</w:t>
      </w:r>
      <w:r w:rsidRPr="003B6981">
        <w:rPr>
          <w:lang w:val="en-GB"/>
        </w:rPr>
        <w:t xml:space="preserve">. </w:t>
      </w:r>
      <w:r>
        <w:rPr>
          <w:lang w:val="en-GB"/>
        </w:rPr>
        <w:t>Results show that the system is</w:t>
      </w:r>
      <w:r w:rsidR="002923D2">
        <w:rPr>
          <w:lang w:val="en-GB"/>
        </w:rPr>
        <w:t xml:space="preserve"> </w:t>
      </w:r>
      <w:r>
        <w:rPr>
          <w:lang w:val="en-GB"/>
        </w:rPr>
        <w:t>able</w:t>
      </w:r>
      <w:r w:rsidR="001D047E">
        <w:rPr>
          <w:lang w:val="en-GB"/>
        </w:rPr>
        <w:t xml:space="preserve"> to segregate up to 85 wt% of the initial </w:t>
      </w:r>
      <w:r>
        <w:rPr>
          <w:lang w:val="en-GB"/>
        </w:rPr>
        <w:t>P content into th</w:t>
      </w:r>
      <w:r w:rsidR="001D047E">
        <w:rPr>
          <w:lang w:val="en-GB"/>
        </w:rPr>
        <w:t>e HTC solid residues. The process enhance</w:t>
      </w:r>
      <w:r w:rsidR="002923D2">
        <w:rPr>
          <w:lang w:val="en-GB"/>
        </w:rPr>
        <w:t>s</w:t>
      </w:r>
      <w:r w:rsidR="001D047E">
        <w:rPr>
          <w:lang w:val="en-GB"/>
        </w:rPr>
        <w:t xml:space="preserve"> dewaterability of the slurry obtain</w:t>
      </w:r>
      <w:r w:rsidR="00196E8A">
        <w:rPr>
          <w:lang w:val="en-GB"/>
        </w:rPr>
        <w:t>in</w:t>
      </w:r>
      <w:r w:rsidR="001D047E">
        <w:rPr>
          <w:lang w:val="en-GB"/>
        </w:rPr>
        <w:t xml:space="preserve">g </w:t>
      </w:r>
      <w:r>
        <w:rPr>
          <w:lang w:val="en-GB"/>
        </w:rPr>
        <w:t>hydrochars with a total solid content, upon centrifugation</w:t>
      </w:r>
      <w:r w:rsidR="00664370">
        <w:rPr>
          <w:lang w:val="en-GB"/>
        </w:rPr>
        <w:t>,</w:t>
      </w:r>
      <w:r>
        <w:rPr>
          <w:lang w:val="en-GB"/>
        </w:rPr>
        <w:t xml:space="preserve"> of 34.6, 38.6 and 41.0 wt% for </w:t>
      </w:r>
      <w:r w:rsidRPr="003B6981">
        <w:rPr>
          <w:lang w:val="en-GB"/>
        </w:rPr>
        <w:t>sewage sludge</w:t>
      </w:r>
      <w:r>
        <w:rPr>
          <w:lang w:val="en-GB"/>
        </w:rPr>
        <w:t>, agro-industrial sludge and organic fraction of municipal solid waste digestate, respectively. HTC liquid aqueous residues can be recirculated into the anaerobic digestion system of the waste ma</w:t>
      </w:r>
      <w:r w:rsidR="00664370">
        <w:rPr>
          <w:lang w:val="en-GB"/>
        </w:rPr>
        <w:t>nagement increasing bio</w:t>
      </w:r>
      <w:r w:rsidR="00196E8A">
        <w:rPr>
          <w:lang w:val="en-GB"/>
        </w:rPr>
        <w:t>gas</w:t>
      </w:r>
      <w:r w:rsidR="00664370">
        <w:rPr>
          <w:lang w:val="en-GB"/>
        </w:rPr>
        <w:t xml:space="preserve"> production to be used for the energy needs of C700.</w:t>
      </w:r>
    </w:p>
    <w:p w14:paraId="6D41E0AB" w14:textId="77777777" w:rsidR="006D5197" w:rsidRDefault="006D5197" w:rsidP="004A231C">
      <w:pPr>
        <w:pStyle w:val="CETBodytext"/>
        <w:rPr>
          <w:lang w:val="en-GB"/>
        </w:rPr>
      </w:pPr>
    </w:p>
    <w:p w14:paraId="7C388C40" w14:textId="41B2F5CC" w:rsidR="00E978D0" w:rsidRPr="006D5197" w:rsidRDefault="00335054" w:rsidP="006D5197">
      <w:pPr>
        <w:pStyle w:val="CETBodytext"/>
        <w:rPr>
          <w:b/>
        </w:rPr>
      </w:pPr>
      <w:r>
        <w:rPr>
          <w:lang w:val="en-GB"/>
        </w:rPr>
        <w:t xml:space="preserve"> </w:t>
      </w:r>
      <w:r w:rsidR="00E978D0" w:rsidRPr="006D5197">
        <w:rPr>
          <w:b/>
        </w:rPr>
        <w:t xml:space="preserve">Acknowledgments </w:t>
      </w:r>
    </w:p>
    <w:p w14:paraId="624E3AE3" w14:textId="77777777" w:rsidR="00196E8A" w:rsidRDefault="004B3ACA" w:rsidP="00EE42A5">
      <w:pPr>
        <w:pStyle w:val="CETBodytext"/>
      </w:pPr>
      <w:r w:rsidRPr="007757F7">
        <w:t>This research has been carried out under the research industrial project “Upfield-HTC”, funded by the Autonomous Province of Trento (L.</w:t>
      </w:r>
      <w:r>
        <w:t>P.</w:t>
      </w:r>
      <w:r w:rsidRPr="007757F7">
        <w:t xml:space="preserve"> 6/99).</w:t>
      </w:r>
      <w:r w:rsidRPr="004B3ACA">
        <w:t xml:space="preserve"> </w:t>
      </w:r>
    </w:p>
    <w:p w14:paraId="20697F12" w14:textId="087DEF33" w:rsidR="00E978D0" w:rsidRPr="009378F0" w:rsidRDefault="004B3ACA" w:rsidP="00EE42A5">
      <w:pPr>
        <w:pStyle w:val="CETBodytext"/>
        <w:rPr>
          <w:lang w:val="en-GB"/>
        </w:rPr>
      </w:pPr>
      <w:r w:rsidRPr="007757F7">
        <w:t xml:space="preserve">Authors gratefully acknowledge Ecoopera Soc. </w:t>
      </w:r>
      <w:r w:rsidRPr="00C01F38">
        <w:rPr>
          <w:lang w:val="it-IT"/>
        </w:rPr>
        <w:t xml:space="preserve">Coop. and Consorzio Lavoro Ambiente Soc. </w:t>
      </w:r>
      <w:r w:rsidRPr="007757F7">
        <w:t>Coop. for the technical support at the waste water treatment plant, where the C-700 is located. In particular, authors acknowledge Maurizio and Antonio Schönsberg, Roberto Munter for their needful help in plant management.</w:t>
      </w:r>
    </w:p>
    <w:p w14:paraId="0A3C86EC" w14:textId="7703C620" w:rsidR="00E978D0" w:rsidRPr="0018663B" w:rsidRDefault="00E978D0" w:rsidP="00E978D0">
      <w:pPr>
        <w:pStyle w:val="CETReference"/>
      </w:pPr>
      <w:r w:rsidRPr="0018663B">
        <w:t>Reference</w:t>
      </w:r>
      <w:r w:rsidR="00B37047" w:rsidRPr="0018663B">
        <w:t>s</w:t>
      </w:r>
      <w:r w:rsidRPr="0018663B">
        <w:t xml:space="preserve"> </w:t>
      </w:r>
    </w:p>
    <w:p w14:paraId="6E4910A1" w14:textId="69D3BBF4" w:rsidR="006D5197" w:rsidRPr="006D5197" w:rsidRDefault="002F5FA3" w:rsidP="006D5197">
      <w:pPr>
        <w:widowControl w:val="0"/>
        <w:autoSpaceDE w:val="0"/>
        <w:autoSpaceDN w:val="0"/>
        <w:adjustRightInd w:val="0"/>
        <w:spacing w:before="200" w:after="120" w:line="240" w:lineRule="auto"/>
        <w:ind w:left="480" w:hanging="480"/>
        <w:rPr>
          <w:rFonts w:cs="Arial"/>
          <w:noProof/>
          <w:szCs w:val="24"/>
        </w:rPr>
      </w:pPr>
      <w:r>
        <w:rPr>
          <w:lang w:val="en-US"/>
        </w:rPr>
        <w:fldChar w:fldCharType="begin" w:fldLock="1"/>
      </w:r>
      <w:r w:rsidRPr="006D5197">
        <w:rPr>
          <w:lang w:val="it-IT"/>
        </w:rPr>
        <w:instrText xml:space="preserve">ADDIN Mendeley Bibliography CSL_BIBLIOGRAPHY </w:instrText>
      </w:r>
      <w:r>
        <w:rPr>
          <w:lang w:val="en-US"/>
        </w:rPr>
        <w:fldChar w:fldCharType="separate"/>
      </w:r>
      <w:r w:rsidR="006D5197" w:rsidRPr="006D5197">
        <w:rPr>
          <w:rFonts w:cs="Arial"/>
          <w:noProof/>
          <w:szCs w:val="24"/>
        </w:rPr>
        <w:t>Benavente, V., Calabuig, E., Fullana, A., 2015. Upgrading of moist agro-industrial wastes by hydrothermal carbonization. J. Anal. Appl. Pyrolysis 113, 89–98. https://doi.org/10.1016/j.jaap.2014.11.004</w:t>
      </w:r>
    </w:p>
    <w:p w14:paraId="040FD173"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lastRenderedPageBreak/>
        <w:t>Child, M., 2014. INDUSTRIAL-SCALE HYDROTHERMAL CARBONIZATION OF WASTE SLUDGE MATERIALS FOR FUEL PRODUCTION. Lappeenranta – Lahti University of Technology LU.</w:t>
      </w:r>
    </w:p>
    <w:p w14:paraId="6DE2DE0D"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Hitzl, M., Corma, A., Pomares, F., Renz, M., 2015. The hydrothermal carbonization (HTC) plant as a decentral biorefinery for wet biomass. Catal. Today 257, 154–159. https://doi.org/10.1016/j.cattod.2014.09.024</w:t>
      </w:r>
    </w:p>
    <w:p w14:paraId="336D782F"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Idowu, I., Li, L., Flora, J.R.V., Pellechia, P.J., Darko, S.A., Ro, K.S., Berge, N.D., 2017. Hydrothermal carbonization of food waste for nutrient recovery and reuse. Waste Manag. 69, 480–491. https://doi.org/10.1016/j.wasman.2017.08.051</w:t>
      </w:r>
    </w:p>
    <w:p w14:paraId="09A86670"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Kruse, A., Baris, D., Tröger, N., Wieczorek, P., 2013. Scale-Up in Hydrothermal Carbonization, in: Sustainable Carbon Materials from Hydrothermal Processes. pp. 341–353. https://doi.org/10.1002/9781118622179.ch9</w:t>
      </w:r>
    </w:p>
    <w:p w14:paraId="1C6E957B"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Kruse, A., Dahmen, N., 2015. Water - A magic solvent for biomass conversion. J. Supercrit. Fluids 96, 36–45. https://doi.org/10.1016/j.supflu.2014.09.038</w:t>
      </w:r>
    </w:p>
    <w:p w14:paraId="59694B66"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Lin, J., Mariuzza, D., Volpe, M., Fiori, L., Ceylan, S., Goldfarb, L., 2021. Integrated thermochemical conversion process for valorizing mixed agricultural and dairy waste to nutrient-enriched biochars and biofuels. Bioresour. Technol. 328, 124765. https://doi.org/10.1016/j.biortech.2021.124765</w:t>
      </w:r>
    </w:p>
    <w:p w14:paraId="377E7F57"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Lucian, M., Merzari, F., Gubert, M., Messineo, A., Volpe, M., 2021. Industrial-Scale Hydrothermal Carbonization of Agro-Industrial Digested Sludge: Filterability Enhancement and Phosphorus Recovery. Sustainability 13, 9343. https://doi.org/10.3390/su13169343</w:t>
      </w:r>
    </w:p>
    <w:p w14:paraId="0AE80D0B"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Merzari, F., Goldfarb, J., Andreottola, G., Mimmo, T., Volpe, M., Fiori, L., 2020. Hydrothermal carbonization as a strategy for sewage sludge management: Influence of process withdrawal point on hydrochar properties. Energies 13. https://doi.org/10.3390/en13112890</w:t>
      </w:r>
    </w:p>
    <w:p w14:paraId="034909B6"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Miliotti, E., Casini, D., Lotti, G., Bettucci, L., Pennazzi, S., Rizzo, A.M., Chiaramonti, D., 2017. Valorization of solid residues from anaerobic digestion through thermal and hydrothermal carbonization process. 25th Eur. Biomass Conf. Exhib. 1063–1069. https://doi.org/10.5071/25thEUBCE2017-3DO.3.4</w:t>
      </w:r>
    </w:p>
    <w:p w14:paraId="24062CC3"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Miliotti, E., Casini, D., Rosi, L., Lotti, G., Rizzo, A.M., Chiaramonti, D., 2020. Lab-scale pyrolysis and hydrothermal carbonization of biomass digestate: Characterization of solid products and compliance with biochar standards. Biomass and Bioenergy 139, 105593. https://doi.org/10.1016/j.biombioe.2020.105593</w:t>
      </w:r>
    </w:p>
    <w:p w14:paraId="1BEFFDAD"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Pawlak-Kruczek, H., Sieradzka, M., Mlonka-Mędrala, A., Baranowski, M., Serafin-Tkaczuk, M., Magdziarz, A., Niedźwiecki, Ł., 2019. Structural and energetic properties of hydrochars obtained from agricultural and municipal solid waste digestates, in: ECOS 2019 - Proceedings of the 32nd International Conference on Efficiency, Cost, Optimization, Simulation and Environmental Impact of Energy Systems.</w:t>
      </w:r>
    </w:p>
    <w:p w14:paraId="60E38F3E"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Saha, N., Volpe, M., Fiori, L., Volpe, R., Messineo, A., Reza, M.T., 2020. Cationic dye adsorption on hydrochars of winery and citrus juice industries residues: Performance, mechanism, and thermodynamics. Energies 13, 1–16. https://doi.org/10.3390/en13184686</w:t>
      </w:r>
    </w:p>
    <w:p w14:paraId="14FB1C9C"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Sharma, H.B., Sarmah, A.K., Dubey, B., 2020. Hydrothermal carbonization of renewable waste biomass for solid biofuel production: A discussion on process mechanism, the influence of process parameters, environmental performance and fuel properties of hydrochar. Renew. Sustain. Energy Rev. 123, 109761. https://doi.org/https://doi.org/10.1016/j.rser.2020.109761</w:t>
      </w:r>
    </w:p>
    <w:p w14:paraId="00855369"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Villamil, J.A., Mohedano, A.F., Rodriguez, J.J., De la Rubia, M.A., 2019. Anaerobic co-digestion of the aqueous phase from hydrothermally treated waste activated sludge with primary sewage sludge. A kinetic study. J. Environ. Manage. 231, 726–733. https://doi.org/10.1016/j.jenvman.2018.10.031</w:t>
      </w:r>
    </w:p>
    <w:p w14:paraId="15DD823E"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szCs w:val="24"/>
        </w:rPr>
      </w:pPr>
      <w:r w:rsidRPr="006D5197">
        <w:rPr>
          <w:rFonts w:cs="Arial"/>
          <w:noProof/>
          <w:szCs w:val="24"/>
        </w:rPr>
        <w:t>Volpe, M., Fiori, L., Merzari, F., Messineo, A., Andreottola, G., 2020. Hydrothermal carbonization as an efficient tool for sewage sludge valorization and phosphorous recovery. Chem. Eng. Trans. 80, 199–204. https://doi.org/10.3303/CET2080034</w:t>
      </w:r>
    </w:p>
    <w:p w14:paraId="6DDA469C" w14:textId="77777777" w:rsidR="006D5197" w:rsidRPr="006D5197" w:rsidRDefault="006D5197" w:rsidP="006D5197">
      <w:pPr>
        <w:widowControl w:val="0"/>
        <w:autoSpaceDE w:val="0"/>
        <w:autoSpaceDN w:val="0"/>
        <w:adjustRightInd w:val="0"/>
        <w:spacing w:before="200" w:after="120" w:line="240" w:lineRule="auto"/>
        <w:ind w:left="480" w:hanging="480"/>
        <w:rPr>
          <w:rFonts w:cs="Arial"/>
          <w:noProof/>
        </w:rPr>
      </w:pPr>
      <w:r w:rsidRPr="006D5197">
        <w:rPr>
          <w:rFonts w:cs="Arial"/>
          <w:noProof/>
          <w:szCs w:val="24"/>
        </w:rPr>
        <w:t>Wang, L., Chang, Y., Li, A., 2019. Hydrothermal carbonization for energy-efficient processing of sewage sludge: A review. Renew. Sustain. Energy Rev. 108, 423–440. https://doi.org/10.1016/j.rser.2019.04.011</w:t>
      </w:r>
    </w:p>
    <w:p w14:paraId="66D4BA0D" w14:textId="4A780928" w:rsidR="002F5FA3" w:rsidRPr="006D4D60" w:rsidRDefault="002F5FA3" w:rsidP="006D5197">
      <w:pPr>
        <w:widowControl w:val="0"/>
        <w:autoSpaceDE w:val="0"/>
        <w:autoSpaceDN w:val="0"/>
        <w:adjustRightInd w:val="0"/>
        <w:spacing w:before="200" w:after="120" w:line="240" w:lineRule="auto"/>
        <w:ind w:left="480" w:hanging="480"/>
        <w:rPr>
          <w:lang w:val="en-US"/>
        </w:rPr>
      </w:pPr>
      <w:r>
        <w:rPr>
          <w:lang w:val="en-US"/>
        </w:rPr>
        <w:fldChar w:fldCharType="end"/>
      </w:r>
    </w:p>
    <w:sectPr w:rsidR="002F5FA3" w:rsidRPr="006D4D60" w:rsidSect="00657F81">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D8F84" w16cex:dateUtc="2022-01-15T17:23:00Z"/>
  <w16cex:commentExtensible w16cex:durableId="258D9143" w16cex:dateUtc="2022-01-15T17:30:00Z"/>
  <w16cex:commentExtensible w16cex:durableId="258F0263" w16cex:dateUtc="2022-01-16T10:38:00Z"/>
  <w16cex:commentExtensible w16cex:durableId="258F0FCA" w16cex:dateUtc="2022-01-16T20:42:00Z"/>
  <w16cex:commentExtensible w16cex:durableId="258D8BD9" w16cex:dateUtc="2022-01-15T17:07:00Z"/>
  <w16cex:commentExtensible w16cex:durableId="258F0265" w16cex:dateUtc="2022-01-16T10:39:00Z"/>
  <w16cex:commentExtensible w16cex:durableId="258F057F" w16cex:dateUtc="2022-01-1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A13C3" w16cid:durableId="258D8F84"/>
  <w16cid:commentId w16cid:paraId="1A94E514" w16cid:durableId="258D9143"/>
  <w16cid:commentId w16cid:paraId="1210E59C" w16cid:durableId="258F0263"/>
  <w16cid:commentId w16cid:paraId="0AC5DECD" w16cid:durableId="258F0FCA"/>
  <w16cid:commentId w16cid:paraId="38F21AB6" w16cid:durableId="258D8BD9"/>
  <w16cid:commentId w16cid:paraId="1A310E10" w16cid:durableId="258F0265"/>
  <w16cid:commentId w16cid:paraId="7AE102C0" w16cid:durableId="258F05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303E" w14:textId="77777777" w:rsidR="000A6B86" w:rsidRDefault="000A6B86" w:rsidP="004F5E36">
      <w:r>
        <w:separator/>
      </w:r>
    </w:p>
  </w:endnote>
  <w:endnote w:type="continuationSeparator" w:id="0">
    <w:p w14:paraId="032502E0" w14:textId="77777777" w:rsidR="000A6B86" w:rsidRDefault="000A6B8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FA9D" w14:textId="77777777" w:rsidR="000A6B86" w:rsidRDefault="000A6B86" w:rsidP="004F5E36">
      <w:r>
        <w:separator/>
      </w:r>
    </w:p>
  </w:footnote>
  <w:footnote w:type="continuationSeparator" w:id="0">
    <w:p w14:paraId="632C9341" w14:textId="77777777" w:rsidR="000A6B86" w:rsidRDefault="000A6B8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75986"/>
    <w:multiLevelType w:val="hybridMultilevel"/>
    <w:tmpl w:val="7DB61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2D760C"/>
    <w:multiLevelType w:val="hybridMultilevel"/>
    <w:tmpl w:val="8AC08CFE"/>
    <w:lvl w:ilvl="0" w:tplc="04100001">
      <w:start w:val="1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75336E"/>
    <w:multiLevelType w:val="hybridMultilevel"/>
    <w:tmpl w:val="A5D44F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35989"/>
    <w:multiLevelType w:val="hybridMultilevel"/>
    <w:tmpl w:val="1592E792"/>
    <w:lvl w:ilvl="0" w:tplc="04100001">
      <w:start w:val="1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693" w:firstLine="0"/>
      </w:pPr>
      <w:rPr>
        <w:rFonts w:hint="default"/>
      </w:rPr>
    </w:lvl>
    <w:lvl w:ilvl="2">
      <w:start w:val="1"/>
      <w:numFmt w:val="decimal"/>
      <w:pStyle w:val="CETheadingx"/>
      <w:suff w:val="space"/>
      <w:lvlText w:val="%2.%3"/>
      <w:lvlJc w:val="left"/>
      <w:pPr>
        <w:ind w:left="4961"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7D454B"/>
    <w:multiLevelType w:val="multilevel"/>
    <w:tmpl w:val="361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57BC9"/>
    <w:multiLevelType w:val="hybridMultilevel"/>
    <w:tmpl w:val="B16A9F30"/>
    <w:lvl w:ilvl="0" w:tplc="04100001">
      <w:start w:val="2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5"/>
  </w:num>
  <w:num w:numId="14">
    <w:abstractNumId w:val="19"/>
  </w:num>
  <w:num w:numId="15">
    <w:abstractNumId w:val="20"/>
  </w:num>
  <w:num w:numId="16">
    <w:abstractNumId w:val="10"/>
  </w:num>
  <w:num w:numId="17">
    <w:abstractNumId w:val="13"/>
  </w:num>
  <w:num w:numId="18">
    <w:abstractNumId w:val="11"/>
  </w:num>
  <w:num w:numId="19">
    <w:abstractNumId w:val="12"/>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1206"/>
    <w:rsid w:val="000027C0"/>
    <w:rsid w:val="00006774"/>
    <w:rsid w:val="000117CB"/>
    <w:rsid w:val="00011B97"/>
    <w:rsid w:val="000168ED"/>
    <w:rsid w:val="00020CE7"/>
    <w:rsid w:val="00021A2C"/>
    <w:rsid w:val="000232C4"/>
    <w:rsid w:val="0002465A"/>
    <w:rsid w:val="0003148D"/>
    <w:rsid w:val="00032884"/>
    <w:rsid w:val="00033393"/>
    <w:rsid w:val="0003659E"/>
    <w:rsid w:val="00051317"/>
    <w:rsid w:val="00051566"/>
    <w:rsid w:val="000515F8"/>
    <w:rsid w:val="00062A9A"/>
    <w:rsid w:val="00070648"/>
    <w:rsid w:val="00075F92"/>
    <w:rsid w:val="000775E7"/>
    <w:rsid w:val="00091DDC"/>
    <w:rsid w:val="000942D1"/>
    <w:rsid w:val="000A03B2"/>
    <w:rsid w:val="000A3B93"/>
    <w:rsid w:val="000A4683"/>
    <w:rsid w:val="000A6A11"/>
    <w:rsid w:val="000A6B86"/>
    <w:rsid w:val="000B5B53"/>
    <w:rsid w:val="000B64FD"/>
    <w:rsid w:val="000C047B"/>
    <w:rsid w:val="000C2790"/>
    <w:rsid w:val="000C4A36"/>
    <w:rsid w:val="000C7A9B"/>
    <w:rsid w:val="000D2124"/>
    <w:rsid w:val="000D34BE"/>
    <w:rsid w:val="000E36F1"/>
    <w:rsid w:val="000E3A73"/>
    <w:rsid w:val="000E414A"/>
    <w:rsid w:val="000E7864"/>
    <w:rsid w:val="000E7CA4"/>
    <w:rsid w:val="000E7E3A"/>
    <w:rsid w:val="000F093C"/>
    <w:rsid w:val="000F141C"/>
    <w:rsid w:val="000F2D1B"/>
    <w:rsid w:val="000F50DD"/>
    <w:rsid w:val="000F675E"/>
    <w:rsid w:val="0010451D"/>
    <w:rsid w:val="00112153"/>
    <w:rsid w:val="001151F8"/>
    <w:rsid w:val="00121B1D"/>
    <w:rsid w:val="0013121F"/>
    <w:rsid w:val="00134DE4"/>
    <w:rsid w:val="00136B89"/>
    <w:rsid w:val="001465C2"/>
    <w:rsid w:val="00150E59"/>
    <w:rsid w:val="00152DE3"/>
    <w:rsid w:val="001554F9"/>
    <w:rsid w:val="00162206"/>
    <w:rsid w:val="001627B2"/>
    <w:rsid w:val="00165E05"/>
    <w:rsid w:val="001732AD"/>
    <w:rsid w:val="00174574"/>
    <w:rsid w:val="0017725C"/>
    <w:rsid w:val="00184AD6"/>
    <w:rsid w:val="0018663B"/>
    <w:rsid w:val="00193C9D"/>
    <w:rsid w:val="00193EAE"/>
    <w:rsid w:val="00196E8A"/>
    <w:rsid w:val="001B203E"/>
    <w:rsid w:val="001B319A"/>
    <w:rsid w:val="001B38C4"/>
    <w:rsid w:val="001B65C1"/>
    <w:rsid w:val="001C2B92"/>
    <w:rsid w:val="001C684B"/>
    <w:rsid w:val="001D047E"/>
    <w:rsid w:val="001D1414"/>
    <w:rsid w:val="001D15D2"/>
    <w:rsid w:val="001D53FC"/>
    <w:rsid w:val="001D76D3"/>
    <w:rsid w:val="001E23F9"/>
    <w:rsid w:val="001F0860"/>
    <w:rsid w:val="001F26A9"/>
    <w:rsid w:val="001F66CA"/>
    <w:rsid w:val="001F738C"/>
    <w:rsid w:val="001F7F21"/>
    <w:rsid w:val="001F7F3B"/>
    <w:rsid w:val="0020386F"/>
    <w:rsid w:val="00210E1D"/>
    <w:rsid w:val="002129EC"/>
    <w:rsid w:val="00215E35"/>
    <w:rsid w:val="0021735A"/>
    <w:rsid w:val="00223403"/>
    <w:rsid w:val="00225DBF"/>
    <w:rsid w:val="002447EF"/>
    <w:rsid w:val="002478F8"/>
    <w:rsid w:val="00251550"/>
    <w:rsid w:val="00251C44"/>
    <w:rsid w:val="00252DDE"/>
    <w:rsid w:val="002617CB"/>
    <w:rsid w:val="00262925"/>
    <w:rsid w:val="002634B3"/>
    <w:rsid w:val="00263B05"/>
    <w:rsid w:val="002650DB"/>
    <w:rsid w:val="00265D46"/>
    <w:rsid w:val="00270FFD"/>
    <w:rsid w:val="0027221A"/>
    <w:rsid w:val="00275B61"/>
    <w:rsid w:val="00275EBC"/>
    <w:rsid w:val="00281A64"/>
    <w:rsid w:val="00281D6C"/>
    <w:rsid w:val="00282656"/>
    <w:rsid w:val="00287FBA"/>
    <w:rsid w:val="00291C20"/>
    <w:rsid w:val="002923D2"/>
    <w:rsid w:val="00296B83"/>
    <w:rsid w:val="002A000F"/>
    <w:rsid w:val="002A0573"/>
    <w:rsid w:val="002A0775"/>
    <w:rsid w:val="002A1C46"/>
    <w:rsid w:val="002A26FA"/>
    <w:rsid w:val="002A3F99"/>
    <w:rsid w:val="002A7BD0"/>
    <w:rsid w:val="002B2ECE"/>
    <w:rsid w:val="002B414E"/>
    <w:rsid w:val="002C1364"/>
    <w:rsid w:val="002C2194"/>
    <w:rsid w:val="002C3DDC"/>
    <w:rsid w:val="002C5706"/>
    <w:rsid w:val="002D5440"/>
    <w:rsid w:val="002D5C79"/>
    <w:rsid w:val="002D66E3"/>
    <w:rsid w:val="002E1785"/>
    <w:rsid w:val="002E6A1A"/>
    <w:rsid w:val="002F0BFD"/>
    <w:rsid w:val="002F1F92"/>
    <w:rsid w:val="002F5FA3"/>
    <w:rsid w:val="002F7999"/>
    <w:rsid w:val="003009B7"/>
    <w:rsid w:val="00300E56"/>
    <w:rsid w:val="00301482"/>
    <w:rsid w:val="00301F98"/>
    <w:rsid w:val="0030469C"/>
    <w:rsid w:val="003160F1"/>
    <w:rsid w:val="003220E7"/>
    <w:rsid w:val="003313CD"/>
    <w:rsid w:val="003316C6"/>
    <w:rsid w:val="0033329A"/>
    <w:rsid w:val="00335054"/>
    <w:rsid w:val="00335A4B"/>
    <w:rsid w:val="00340714"/>
    <w:rsid w:val="00360339"/>
    <w:rsid w:val="003723D4"/>
    <w:rsid w:val="0038270E"/>
    <w:rsid w:val="00384CC8"/>
    <w:rsid w:val="003871FD"/>
    <w:rsid w:val="003916DB"/>
    <w:rsid w:val="003A4240"/>
    <w:rsid w:val="003A7D1C"/>
    <w:rsid w:val="003B3146"/>
    <w:rsid w:val="003B6981"/>
    <w:rsid w:val="003B69A4"/>
    <w:rsid w:val="003B7527"/>
    <w:rsid w:val="003C07B3"/>
    <w:rsid w:val="003C3484"/>
    <w:rsid w:val="003C3871"/>
    <w:rsid w:val="003C550F"/>
    <w:rsid w:val="003D055C"/>
    <w:rsid w:val="003D12C5"/>
    <w:rsid w:val="003E046C"/>
    <w:rsid w:val="003E0D1C"/>
    <w:rsid w:val="003E4B07"/>
    <w:rsid w:val="003E5010"/>
    <w:rsid w:val="003F10D9"/>
    <w:rsid w:val="003F2668"/>
    <w:rsid w:val="003F2CB9"/>
    <w:rsid w:val="003F4264"/>
    <w:rsid w:val="003F4653"/>
    <w:rsid w:val="003F73DA"/>
    <w:rsid w:val="00402D64"/>
    <w:rsid w:val="00403B3F"/>
    <w:rsid w:val="00406334"/>
    <w:rsid w:val="00407048"/>
    <w:rsid w:val="0041173C"/>
    <w:rsid w:val="0041446B"/>
    <w:rsid w:val="0041729D"/>
    <w:rsid w:val="0042112F"/>
    <w:rsid w:val="00422D2B"/>
    <w:rsid w:val="004247E4"/>
    <w:rsid w:val="004257DF"/>
    <w:rsid w:val="00425BE2"/>
    <w:rsid w:val="00427E9A"/>
    <w:rsid w:val="004305BD"/>
    <w:rsid w:val="004311C6"/>
    <w:rsid w:val="00435F6D"/>
    <w:rsid w:val="00440F8A"/>
    <w:rsid w:val="00442C55"/>
    <w:rsid w:val="0045629F"/>
    <w:rsid w:val="0046045B"/>
    <w:rsid w:val="0046086D"/>
    <w:rsid w:val="0046164A"/>
    <w:rsid w:val="00462DCD"/>
    <w:rsid w:val="004648AD"/>
    <w:rsid w:val="004764CA"/>
    <w:rsid w:val="00483183"/>
    <w:rsid w:val="0049480E"/>
    <w:rsid w:val="0049516F"/>
    <w:rsid w:val="00496533"/>
    <w:rsid w:val="004A038B"/>
    <w:rsid w:val="004A0CA1"/>
    <w:rsid w:val="004A231C"/>
    <w:rsid w:val="004A24CF"/>
    <w:rsid w:val="004A5702"/>
    <w:rsid w:val="004A6A51"/>
    <w:rsid w:val="004B0856"/>
    <w:rsid w:val="004B0C86"/>
    <w:rsid w:val="004B11B3"/>
    <w:rsid w:val="004B18B0"/>
    <w:rsid w:val="004B33BC"/>
    <w:rsid w:val="004B3ACA"/>
    <w:rsid w:val="004B74CB"/>
    <w:rsid w:val="004C21E4"/>
    <w:rsid w:val="004C7A46"/>
    <w:rsid w:val="004D04FB"/>
    <w:rsid w:val="004D2104"/>
    <w:rsid w:val="004D3F4F"/>
    <w:rsid w:val="004D42CE"/>
    <w:rsid w:val="004D4CCD"/>
    <w:rsid w:val="004E1E61"/>
    <w:rsid w:val="004E4DD6"/>
    <w:rsid w:val="004E5CD4"/>
    <w:rsid w:val="004F2E97"/>
    <w:rsid w:val="004F386B"/>
    <w:rsid w:val="004F58F6"/>
    <w:rsid w:val="004F5E36"/>
    <w:rsid w:val="00510713"/>
    <w:rsid w:val="005119A5"/>
    <w:rsid w:val="00512D84"/>
    <w:rsid w:val="00514D5A"/>
    <w:rsid w:val="00515ED6"/>
    <w:rsid w:val="005278B7"/>
    <w:rsid w:val="00530442"/>
    <w:rsid w:val="00531AF4"/>
    <w:rsid w:val="00532016"/>
    <w:rsid w:val="005346C8"/>
    <w:rsid w:val="00534ED3"/>
    <w:rsid w:val="00535786"/>
    <w:rsid w:val="00535E7F"/>
    <w:rsid w:val="00537A74"/>
    <w:rsid w:val="00542B67"/>
    <w:rsid w:val="00543E7D"/>
    <w:rsid w:val="0055089A"/>
    <w:rsid w:val="00554D69"/>
    <w:rsid w:val="0055672D"/>
    <w:rsid w:val="00557BAC"/>
    <w:rsid w:val="00564899"/>
    <w:rsid w:val="005712F0"/>
    <w:rsid w:val="0058007B"/>
    <w:rsid w:val="00582829"/>
    <w:rsid w:val="00586460"/>
    <w:rsid w:val="0058781D"/>
    <w:rsid w:val="00590046"/>
    <w:rsid w:val="005909E9"/>
    <w:rsid w:val="0059280E"/>
    <w:rsid w:val="0059304A"/>
    <w:rsid w:val="005A1654"/>
    <w:rsid w:val="005A2C48"/>
    <w:rsid w:val="005B61E6"/>
    <w:rsid w:val="005C16A0"/>
    <w:rsid w:val="005C2D02"/>
    <w:rsid w:val="005C2E19"/>
    <w:rsid w:val="005C77E1"/>
    <w:rsid w:val="005C77F5"/>
    <w:rsid w:val="005D0212"/>
    <w:rsid w:val="005D1AD3"/>
    <w:rsid w:val="005D324B"/>
    <w:rsid w:val="005D33B9"/>
    <w:rsid w:val="005D6A2F"/>
    <w:rsid w:val="005D6DB6"/>
    <w:rsid w:val="005E1A82"/>
    <w:rsid w:val="005E5D93"/>
    <w:rsid w:val="005E794C"/>
    <w:rsid w:val="005F0A28"/>
    <w:rsid w:val="005F0E5E"/>
    <w:rsid w:val="005F1401"/>
    <w:rsid w:val="005F2C9E"/>
    <w:rsid w:val="005F4E42"/>
    <w:rsid w:val="00604880"/>
    <w:rsid w:val="00605724"/>
    <w:rsid w:val="0060710A"/>
    <w:rsid w:val="00610CD6"/>
    <w:rsid w:val="00620DEE"/>
    <w:rsid w:val="006223DB"/>
    <w:rsid w:val="00625639"/>
    <w:rsid w:val="00626F33"/>
    <w:rsid w:val="0062703F"/>
    <w:rsid w:val="00634636"/>
    <w:rsid w:val="006357D0"/>
    <w:rsid w:val="0064184D"/>
    <w:rsid w:val="00643F6B"/>
    <w:rsid w:val="00645949"/>
    <w:rsid w:val="00645B79"/>
    <w:rsid w:val="006476BA"/>
    <w:rsid w:val="006522CA"/>
    <w:rsid w:val="006545B0"/>
    <w:rsid w:val="006550D5"/>
    <w:rsid w:val="0065658E"/>
    <w:rsid w:val="00657F81"/>
    <w:rsid w:val="0066002B"/>
    <w:rsid w:val="00660E3E"/>
    <w:rsid w:val="00662E74"/>
    <w:rsid w:val="00664370"/>
    <w:rsid w:val="00670748"/>
    <w:rsid w:val="00672B6E"/>
    <w:rsid w:val="006731F7"/>
    <w:rsid w:val="006777BE"/>
    <w:rsid w:val="00680C23"/>
    <w:rsid w:val="00684E10"/>
    <w:rsid w:val="0068752E"/>
    <w:rsid w:val="006940B0"/>
    <w:rsid w:val="00697E3D"/>
    <w:rsid w:val="006A1540"/>
    <w:rsid w:val="006A2B78"/>
    <w:rsid w:val="006A2F37"/>
    <w:rsid w:val="006A3281"/>
    <w:rsid w:val="006A4A17"/>
    <w:rsid w:val="006B69E7"/>
    <w:rsid w:val="006C5579"/>
    <w:rsid w:val="006C7D67"/>
    <w:rsid w:val="006D056C"/>
    <w:rsid w:val="006D2A14"/>
    <w:rsid w:val="006D4D60"/>
    <w:rsid w:val="006D5197"/>
    <w:rsid w:val="006E0C52"/>
    <w:rsid w:val="006E1D34"/>
    <w:rsid w:val="006E1FB8"/>
    <w:rsid w:val="006E3BF0"/>
    <w:rsid w:val="006E4C41"/>
    <w:rsid w:val="006E73B1"/>
    <w:rsid w:val="006E76DC"/>
    <w:rsid w:val="006F0319"/>
    <w:rsid w:val="006F291E"/>
    <w:rsid w:val="006F4837"/>
    <w:rsid w:val="006F72B7"/>
    <w:rsid w:val="00701C8F"/>
    <w:rsid w:val="00706252"/>
    <w:rsid w:val="0070691C"/>
    <w:rsid w:val="007207E8"/>
    <w:rsid w:val="00720A24"/>
    <w:rsid w:val="00731622"/>
    <w:rsid w:val="007331A3"/>
    <w:rsid w:val="007338B8"/>
    <w:rsid w:val="007344C8"/>
    <w:rsid w:val="007362F2"/>
    <w:rsid w:val="00740F31"/>
    <w:rsid w:val="0074233B"/>
    <w:rsid w:val="00743853"/>
    <w:rsid w:val="007447F3"/>
    <w:rsid w:val="007452C8"/>
    <w:rsid w:val="00752008"/>
    <w:rsid w:val="00755876"/>
    <w:rsid w:val="00755D39"/>
    <w:rsid w:val="00762AE1"/>
    <w:rsid w:val="007661C8"/>
    <w:rsid w:val="007668F1"/>
    <w:rsid w:val="00770217"/>
    <w:rsid w:val="00770CBD"/>
    <w:rsid w:val="0078563A"/>
    <w:rsid w:val="00785CF6"/>
    <w:rsid w:val="007872DA"/>
    <w:rsid w:val="00787A0C"/>
    <w:rsid w:val="0079124B"/>
    <w:rsid w:val="007A5775"/>
    <w:rsid w:val="007B0C50"/>
    <w:rsid w:val="007B20C8"/>
    <w:rsid w:val="007B2506"/>
    <w:rsid w:val="007C0411"/>
    <w:rsid w:val="007C1535"/>
    <w:rsid w:val="007C1A43"/>
    <w:rsid w:val="007C4B3E"/>
    <w:rsid w:val="007D00A3"/>
    <w:rsid w:val="007D09B6"/>
    <w:rsid w:val="007D534B"/>
    <w:rsid w:val="007E2549"/>
    <w:rsid w:val="007F08E1"/>
    <w:rsid w:val="007F1881"/>
    <w:rsid w:val="007F2D7B"/>
    <w:rsid w:val="007F6106"/>
    <w:rsid w:val="007F7D22"/>
    <w:rsid w:val="00802C86"/>
    <w:rsid w:val="00803596"/>
    <w:rsid w:val="00803899"/>
    <w:rsid w:val="00804BA8"/>
    <w:rsid w:val="0080620F"/>
    <w:rsid w:val="00812B46"/>
    <w:rsid w:val="00813288"/>
    <w:rsid w:val="008168FC"/>
    <w:rsid w:val="0082045E"/>
    <w:rsid w:val="00823066"/>
    <w:rsid w:val="008237A5"/>
    <w:rsid w:val="00824777"/>
    <w:rsid w:val="00825642"/>
    <w:rsid w:val="008274AD"/>
    <w:rsid w:val="0083358E"/>
    <w:rsid w:val="00835C8A"/>
    <w:rsid w:val="00842B95"/>
    <w:rsid w:val="00842F85"/>
    <w:rsid w:val="00844E5A"/>
    <w:rsid w:val="008513F7"/>
    <w:rsid w:val="00855984"/>
    <w:rsid w:val="00860C0B"/>
    <w:rsid w:val="00860E80"/>
    <w:rsid w:val="00870D17"/>
    <w:rsid w:val="00874838"/>
    <w:rsid w:val="0087637F"/>
    <w:rsid w:val="0088061D"/>
    <w:rsid w:val="0088162A"/>
    <w:rsid w:val="00885010"/>
    <w:rsid w:val="00891302"/>
    <w:rsid w:val="008953D6"/>
    <w:rsid w:val="00896320"/>
    <w:rsid w:val="008A0738"/>
    <w:rsid w:val="008A1512"/>
    <w:rsid w:val="008B14B9"/>
    <w:rsid w:val="008B1DC8"/>
    <w:rsid w:val="008B2940"/>
    <w:rsid w:val="008B3AFB"/>
    <w:rsid w:val="008B5A82"/>
    <w:rsid w:val="008C2170"/>
    <w:rsid w:val="008C2B4E"/>
    <w:rsid w:val="008D29D5"/>
    <w:rsid w:val="008D4708"/>
    <w:rsid w:val="008D4FA3"/>
    <w:rsid w:val="008D7B34"/>
    <w:rsid w:val="008E1BFD"/>
    <w:rsid w:val="008E2B81"/>
    <w:rsid w:val="008E388F"/>
    <w:rsid w:val="008E566E"/>
    <w:rsid w:val="008E5E5E"/>
    <w:rsid w:val="008E7802"/>
    <w:rsid w:val="008F0575"/>
    <w:rsid w:val="008F1364"/>
    <w:rsid w:val="008F23EA"/>
    <w:rsid w:val="00901EB6"/>
    <w:rsid w:val="0091103B"/>
    <w:rsid w:val="00917C6F"/>
    <w:rsid w:val="00924457"/>
    <w:rsid w:val="00924DAC"/>
    <w:rsid w:val="00926C16"/>
    <w:rsid w:val="00927608"/>
    <w:rsid w:val="00931B8B"/>
    <w:rsid w:val="0093403A"/>
    <w:rsid w:val="009344D7"/>
    <w:rsid w:val="009345C3"/>
    <w:rsid w:val="0094073E"/>
    <w:rsid w:val="0094245A"/>
    <w:rsid w:val="009440D3"/>
    <w:rsid w:val="00944EAC"/>
    <w:rsid w:val="009450CE"/>
    <w:rsid w:val="00945194"/>
    <w:rsid w:val="0094737C"/>
    <w:rsid w:val="00950D31"/>
    <w:rsid w:val="0095164B"/>
    <w:rsid w:val="009533C5"/>
    <w:rsid w:val="009606B5"/>
    <w:rsid w:val="00967D54"/>
    <w:rsid w:val="00970BAF"/>
    <w:rsid w:val="009740D8"/>
    <w:rsid w:val="00977974"/>
    <w:rsid w:val="009806CB"/>
    <w:rsid w:val="00986ACA"/>
    <w:rsid w:val="00994CB2"/>
    <w:rsid w:val="00996483"/>
    <w:rsid w:val="00996F5A"/>
    <w:rsid w:val="009B041A"/>
    <w:rsid w:val="009B1032"/>
    <w:rsid w:val="009B121F"/>
    <w:rsid w:val="009B12AA"/>
    <w:rsid w:val="009B5788"/>
    <w:rsid w:val="009B5C2F"/>
    <w:rsid w:val="009B7833"/>
    <w:rsid w:val="009B7927"/>
    <w:rsid w:val="009C0BC9"/>
    <w:rsid w:val="009C19C2"/>
    <w:rsid w:val="009C2951"/>
    <w:rsid w:val="009C35E0"/>
    <w:rsid w:val="009C7C86"/>
    <w:rsid w:val="009D2FF7"/>
    <w:rsid w:val="009D7696"/>
    <w:rsid w:val="009E0706"/>
    <w:rsid w:val="009E1F1A"/>
    <w:rsid w:val="009E5B8F"/>
    <w:rsid w:val="009E788A"/>
    <w:rsid w:val="009F24D1"/>
    <w:rsid w:val="009F35A1"/>
    <w:rsid w:val="009F4F40"/>
    <w:rsid w:val="00A015B2"/>
    <w:rsid w:val="00A04289"/>
    <w:rsid w:val="00A05446"/>
    <w:rsid w:val="00A10251"/>
    <w:rsid w:val="00A11224"/>
    <w:rsid w:val="00A11A60"/>
    <w:rsid w:val="00A127DA"/>
    <w:rsid w:val="00A1763D"/>
    <w:rsid w:val="00A17CEC"/>
    <w:rsid w:val="00A27EF0"/>
    <w:rsid w:val="00A30005"/>
    <w:rsid w:val="00A34D6C"/>
    <w:rsid w:val="00A352EE"/>
    <w:rsid w:val="00A35727"/>
    <w:rsid w:val="00A4054B"/>
    <w:rsid w:val="00A405FC"/>
    <w:rsid w:val="00A43EAD"/>
    <w:rsid w:val="00A443AC"/>
    <w:rsid w:val="00A507C4"/>
    <w:rsid w:val="00A50B20"/>
    <w:rsid w:val="00A51390"/>
    <w:rsid w:val="00A52436"/>
    <w:rsid w:val="00A536EC"/>
    <w:rsid w:val="00A5542F"/>
    <w:rsid w:val="00A60D13"/>
    <w:rsid w:val="00A650E3"/>
    <w:rsid w:val="00A65F3B"/>
    <w:rsid w:val="00A702CB"/>
    <w:rsid w:val="00A704D7"/>
    <w:rsid w:val="00A72745"/>
    <w:rsid w:val="00A75767"/>
    <w:rsid w:val="00A76890"/>
    <w:rsid w:val="00A76EFC"/>
    <w:rsid w:val="00A77A04"/>
    <w:rsid w:val="00A83D86"/>
    <w:rsid w:val="00A84DAF"/>
    <w:rsid w:val="00A8551F"/>
    <w:rsid w:val="00A90171"/>
    <w:rsid w:val="00A91010"/>
    <w:rsid w:val="00A92331"/>
    <w:rsid w:val="00A933F0"/>
    <w:rsid w:val="00A93B70"/>
    <w:rsid w:val="00A96262"/>
    <w:rsid w:val="00A97F29"/>
    <w:rsid w:val="00AA702E"/>
    <w:rsid w:val="00AA788D"/>
    <w:rsid w:val="00AB0964"/>
    <w:rsid w:val="00AB4576"/>
    <w:rsid w:val="00AC2DAB"/>
    <w:rsid w:val="00AC3B73"/>
    <w:rsid w:val="00AD16B9"/>
    <w:rsid w:val="00AD3A51"/>
    <w:rsid w:val="00AD3B00"/>
    <w:rsid w:val="00AD51B6"/>
    <w:rsid w:val="00AD7183"/>
    <w:rsid w:val="00AE0441"/>
    <w:rsid w:val="00AE377D"/>
    <w:rsid w:val="00AE5984"/>
    <w:rsid w:val="00AF1823"/>
    <w:rsid w:val="00B00BBE"/>
    <w:rsid w:val="00B0330D"/>
    <w:rsid w:val="00B03980"/>
    <w:rsid w:val="00B0769F"/>
    <w:rsid w:val="00B16D70"/>
    <w:rsid w:val="00B17FBD"/>
    <w:rsid w:val="00B20DDB"/>
    <w:rsid w:val="00B311CC"/>
    <w:rsid w:val="00B315A6"/>
    <w:rsid w:val="00B31813"/>
    <w:rsid w:val="00B31C88"/>
    <w:rsid w:val="00B37047"/>
    <w:rsid w:val="00B4346E"/>
    <w:rsid w:val="00B44965"/>
    <w:rsid w:val="00B45049"/>
    <w:rsid w:val="00B4609F"/>
    <w:rsid w:val="00B54231"/>
    <w:rsid w:val="00B56C1E"/>
    <w:rsid w:val="00B64731"/>
    <w:rsid w:val="00B66802"/>
    <w:rsid w:val="00B71718"/>
    <w:rsid w:val="00B71FBA"/>
    <w:rsid w:val="00B735D2"/>
    <w:rsid w:val="00B77C5E"/>
    <w:rsid w:val="00B800A7"/>
    <w:rsid w:val="00B91835"/>
    <w:rsid w:val="00B924CE"/>
    <w:rsid w:val="00B94DCC"/>
    <w:rsid w:val="00BA4BAC"/>
    <w:rsid w:val="00BB4E0B"/>
    <w:rsid w:val="00BB5AEA"/>
    <w:rsid w:val="00BB5DC9"/>
    <w:rsid w:val="00BB77BC"/>
    <w:rsid w:val="00BC001A"/>
    <w:rsid w:val="00BC0501"/>
    <w:rsid w:val="00BC1818"/>
    <w:rsid w:val="00BC30C9"/>
    <w:rsid w:val="00BC34D2"/>
    <w:rsid w:val="00BC3E8D"/>
    <w:rsid w:val="00BC4656"/>
    <w:rsid w:val="00BD4350"/>
    <w:rsid w:val="00BD5954"/>
    <w:rsid w:val="00BD6995"/>
    <w:rsid w:val="00BE3E58"/>
    <w:rsid w:val="00BE42E9"/>
    <w:rsid w:val="00BE6E1A"/>
    <w:rsid w:val="00BF060A"/>
    <w:rsid w:val="00BF0B6C"/>
    <w:rsid w:val="00BF1321"/>
    <w:rsid w:val="00BF20FE"/>
    <w:rsid w:val="00C01616"/>
    <w:rsid w:val="00C0162B"/>
    <w:rsid w:val="00C01F38"/>
    <w:rsid w:val="00C034C1"/>
    <w:rsid w:val="00C052E2"/>
    <w:rsid w:val="00C054EE"/>
    <w:rsid w:val="00C062E8"/>
    <w:rsid w:val="00C22598"/>
    <w:rsid w:val="00C231C5"/>
    <w:rsid w:val="00C234C9"/>
    <w:rsid w:val="00C2430D"/>
    <w:rsid w:val="00C3177F"/>
    <w:rsid w:val="00C31E30"/>
    <w:rsid w:val="00C345B1"/>
    <w:rsid w:val="00C34823"/>
    <w:rsid w:val="00C40142"/>
    <w:rsid w:val="00C42529"/>
    <w:rsid w:val="00C4283C"/>
    <w:rsid w:val="00C43EAD"/>
    <w:rsid w:val="00C46543"/>
    <w:rsid w:val="00C56445"/>
    <w:rsid w:val="00C57182"/>
    <w:rsid w:val="00C60AC6"/>
    <w:rsid w:val="00C6180E"/>
    <w:rsid w:val="00C654A0"/>
    <w:rsid w:val="00C655FD"/>
    <w:rsid w:val="00C7014A"/>
    <w:rsid w:val="00C7279A"/>
    <w:rsid w:val="00C80244"/>
    <w:rsid w:val="00C83AE6"/>
    <w:rsid w:val="00C86D29"/>
    <w:rsid w:val="00C904EB"/>
    <w:rsid w:val="00C9165B"/>
    <w:rsid w:val="00C93AC7"/>
    <w:rsid w:val="00C93ED1"/>
    <w:rsid w:val="00C94434"/>
    <w:rsid w:val="00C9546D"/>
    <w:rsid w:val="00C95939"/>
    <w:rsid w:val="00C9618D"/>
    <w:rsid w:val="00CA13B3"/>
    <w:rsid w:val="00CA1C95"/>
    <w:rsid w:val="00CA5A9C"/>
    <w:rsid w:val="00CB08A6"/>
    <w:rsid w:val="00CC507A"/>
    <w:rsid w:val="00CC6F8B"/>
    <w:rsid w:val="00CD5FE2"/>
    <w:rsid w:val="00CD6CC0"/>
    <w:rsid w:val="00CE5789"/>
    <w:rsid w:val="00CF3421"/>
    <w:rsid w:val="00D012D2"/>
    <w:rsid w:val="00D01DEE"/>
    <w:rsid w:val="00D02B4C"/>
    <w:rsid w:val="00D057CB"/>
    <w:rsid w:val="00D1125A"/>
    <w:rsid w:val="00D12279"/>
    <w:rsid w:val="00D14960"/>
    <w:rsid w:val="00D14E43"/>
    <w:rsid w:val="00D17E94"/>
    <w:rsid w:val="00D20217"/>
    <w:rsid w:val="00D22DB9"/>
    <w:rsid w:val="00D23733"/>
    <w:rsid w:val="00D24F3D"/>
    <w:rsid w:val="00D26172"/>
    <w:rsid w:val="00D34ABB"/>
    <w:rsid w:val="00D35D02"/>
    <w:rsid w:val="00D35FEF"/>
    <w:rsid w:val="00D45FFF"/>
    <w:rsid w:val="00D50B41"/>
    <w:rsid w:val="00D6089F"/>
    <w:rsid w:val="00D61FDA"/>
    <w:rsid w:val="00D70A68"/>
    <w:rsid w:val="00D72F79"/>
    <w:rsid w:val="00D72F9A"/>
    <w:rsid w:val="00D749FB"/>
    <w:rsid w:val="00D801E3"/>
    <w:rsid w:val="00D816F3"/>
    <w:rsid w:val="00D81B9F"/>
    <w:rsid w:val="00D84576"/>
    <w:rsid w:val="00D84997"/>
    <w:rsid w:val="00D8499E"/>
    <w:rsid w:val="00D90C73"/>
    <w:rsid w:val="00D90CF1"/>
    <w:rsid w:val="00D91997"/>
    <w:rsid w:val="00D94EFF"/>
    <w:rsid w:val="00DA0CCA"/>
    <w:rsid w:val="00DA23BB"/>
    <w:rsid w:val="00DA436C"/>
    <w:rsid w:val="00DB54D2"/>
    <w:rsid w:val="00DB7F25"/>
    <w:rsid w:val="00DC160F"/>
    <w:rsid w:val="00DC332B"/>
    <w:rsid w:val="00DC5C22"/>
    <w:rsid w:val="00DC75DA"/>
    <w:rsid w:val="00DD2ACC"/>
    <w:rsid w:val="00DD6ABA"/>
    <w:rsid w:val="00DD7D1F"/>
    <w:rsid w:val="00DE264A"/>
    <w:rsid w:val="00DE6464"/>
    <w:rsid w:val="00DF1E87"/>
    <w:rsid w:val="00DF7C3C"/>
    <w:rsid w:val="00E01416"/>
    <w:rsid w:val="00E041E7"/>
    <w:rsid w:val="00E0683E"/>
    <w:rsid w:val="00E13532"/>
    <w:rsid w:val="00E20B8E"/>
    <w:rsid w:val="00E21C08"/>
    <w:rsid w:val="00E221CF"/>
    <w:rsid w:val="00E23CA1"/>
    <w:rsid w:val="00E32BB6"/>
    <w:rsid w:val="00E344C7"/>
    <w:rsid w:val="00E3478C"/>
    <w:rsid w:val="00E409A8"/>
    <w:rsid w:val="00E51998"/>
    <w:rsid w:val="00E53019"/>
    <w:rsid w:val="00E53C5A"/>
    <w:rsid w:val="00E53E35"/>
    <w:rsid w:val="00E550AB"/>
    <w:rsid w:val="00E56744"/>
    <w:rsid w:val="00E7209D"/>
    <w:rsid w:val="00E77223"/>
    <w:rsid w:val="00E829C4"/>
    <w:rsid w:val="00E82C1E"/>
    <w:rsid w:val="00E85B94"/>
    <w:rsid w:val="00E87F7A"/>
    <w:rsid w:val="00E93B4E"/>
    <w:rsid w:val="00E9518E"/>
    <w:rsid w:val="00E978D0"/>
    <w:rsid w:val="00EA11C3"/>
    <w:rsid w:val="00EA2548"/>
    <w:rsid w:val="00EA39AF"/>
    <w:rsid w:val="00EA4285"/>
    <w:rsid w:val="00EA6089"/>
    <w:rsid w:val="00EB2608"/>
    <w:rsid w:val="00EB5F13"/>
    <w:rsid w:val="00EC0AA2"/>
    <w:rsid w:val="00EC0E49"/>
    <w:rsid w:val="00EC5E07"/>
    <w:rsid w:val="00ED28E9"/>
    <w:rsid w:val="00ED3CAA"/>
    <w:rsid w:val="00EE0131"/>
    <w:rsid w:val="00EE01E0"/>
    <w:rsid w:val="00EE42A5"/>
    <w:rsid w:val="00EE6502"/>
    <w:rsid w:val="00EE6D1C"/>
    <w:rsid w:val="00EF034B"/>
    <w:rsid w:val="00EF5A65"/>
    <w:rsid w:val="00EF6017"/>
    <w:rsid w:val="00EF74C7"/>
    <w:rsid w:val="00F00F2B"/>
    <w:rsid w:val="00F06D99"/>
    <w:rsid w:val="00F07B39"/>
    <w:rsid w:val="00F11530"/>
    <w:rsid w:val="00F17922"/>
    <w:rsid w:val="00F211C9"/>
    <w:rsid w:val="00F25199"/>
    <w:rsid w:val="00F30C64"/>
    <w:rsid w:val="00F31236"/>
    <w:rsid w:val="00F32CDB"/>
    <w:rsid w:val="00F32DE4"/>
    <w:rsid w:val="00F407F5"/>
    <w:rsid w:val="00F40C00"/>
    <w:rsid w:val="00F42F37"/>
    <w:rsid w:val="00F61F31"/>
    <w:rsid w:val="00F62478"/>
    <w:rsid w:val="00F62D52"/>
    <w:rsid w:val="00F65E10"/>
    <w:rsid w:val="00F67FA0"/>
    <w:rsid w:val="00F700BF"/>
    <w:rsid w:val="00F71709"/>
    <w:rsid w:val="00F7597D"/>
    <w:rsid w:val="00F80A12"/>
    <w:rsid w:val="00F815DD"/>
    <w:rsid w:val="00F83931"/>
    <w:rsid w:val="00F86F01"/>
    <w:rsid w:val="00F876A3"/>
    <w:rsid w:val="00F95A63"/>
    <w:rsid w:val="00FA3FE5"/>
    <w:rsid w:val="00FA7A2A"/>
    <w:rsid w:val="00FB0A79"/>
    <w:rsid w:val="00FB1FE9"/>
    <w:rsid w:val="00FB730C"/>
    <w:rsid w:val="00FC2695"/>
    <w:rsid w:val="00FC37E8"/>
    <w:rsid w:val="00FC3E03"/>
    <w:rsid w:val="00FC6A36"/>
    <w:rsid w:val="00FE2861"/>
    <w:rsid w:val="00FE7467"/>
    <w:rsid w:val="00FE758B"/>
    <w:rsid w:val="00FF487B"/>
    <w:rsid w:val="00FF6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A33B"/>
  <w15:docId w15:val="{588758B9-B47F-4C2E-AE7B-BC56897B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nhideWhenUsed/>
    <w:locked/>
    <w:rsid w:val="0003148D"/>
    <w:pPr>
      <w:spacing w:line="240" w:lineRule="auto"/>
    </w:pPr>
  </w:style>
  <w:style w:type="character" w:customStyle="1" w:styleId="CommentTextChar">
    <w:name w:val="Comment Text Char"/>
    <w:basedOn w:val="DefaultParagraphFont"/>
    <w:link w:val="CommentText"/>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PlaceholderText">
    <w:name w:val="Placeholder Text"/>
    <w:basedOn w:val="DefaultParagraphFont"/>
    <w:uiPriority w:val="99"/>
    <w:semiHidden/>
    <w:locked/>
    <w:rsid w:val="00EF74C7"/>
    <w:rPr>
      <w:color w:val="808080"/>
    </w:rPr>
  </w:style>
  <w:style w:type="character" w:styleId="Hyperlink">
    <w:name w:val="Hyperlink"/>
    <w:basedOn w:val="DefaultParagraphFont"/>
    <w:uiPriority w:val="99"/>
    <w:unhideWhenUsed/>
    <w:locked/>
    <w:rsid w:val="000C2790"/>
    <w:rPr>
      <w:color w:val="0000FF"/>
      <w:u w:val="single"/>
    </w:rPr>
  </w:style>
  <w:style w:type="character" w:styleId="CommentReference">
    <w:name w:val="annotation reference"/>
    <w:basedOn w:val="DefaultParagraphFont"/>
    <w:unhideWhenUsed/>
    <w:locked/>
    <w:rsid w:val="008B14B9"/>
    <w:rPr>
      <w:sz w:val="16"/>
      <w:szCs w:val="16"/>
    </w:rPr>
  </w:style>
  <w:style w:type="paragraph" w:customStyle="1" w:styleId="IWAPaperTitle">
    <w:name w:val="(IWA) Paper Title"/>
    <w:basedOn w:val="Normal"/>
    <w:uiPriority w:val="99"/>
    <w:rsid w:val="002617CB"/>
    <w:pPr>
      <w:tabs>
        <w:tab w:val="clear" w:pos="7100"/>
      </w:tabs>
      <w:spacing w:line="240" w:lineRule="auto"/>
      <w:jc w:val="center"/>
    </w:pPr>
    <w:rPr>
      <w:rFonts w:cs="Arial"/>
      <w:b/>
      <w:bCs/>
      <w:sz w:val="28"/>
      <w:szCs w:val="28"/>
    </w:rPr>
  </w:style>
  <w:style w:type="paragraph" w:customStyle="1" w:styleId="IWAHeading">
    <w:name w:val="(IWA) Heading"/>
    <w:basedOn w:val="Normal"/>
    <w:rsid w:val="007F08E1"/>
    <w:pPr>
      <w:tabs>
        <w:tab w:val="clear" w:pos="7100"/>
      </w:tabs>
      <w:spacing w:line="240" w:lineRule="auto"/>
      <w:jc w:val="left"/>
    </w:pPr>
    <w:rPr>
      <w:rFonts w:cs="Arial"/>
      <w:b/>
      <w:bCs/>
      <w:sz w:val="24"/>
      <w:szCs w:val="24"/>
    </w:rPr>
  </w:style>
  <w:style w:type="paragraph" w:customStyle="1" w:styleId="MDPI17abstract">
    <w:name w:val="MDPI_1.7_abstract"/>
    <w:basedOn w:val="MDPI31text"/>
    <w:next w:val="Normal"/>
    <w:qFormat/>
    <w:rsid w:val="003E0D1C"/>
    <w:pPr>
      <w:spacing w:before="240"/>
      <w:ind w:left="113" w:firstLine="0"/>
    </w:pPr>
    <w:rPr>
      <w:snapToGrid/>
    </w:rPr>
  </w:style>
  <w:style w:type="paragraph" w:customStyle="1" w:styleId="MDPI31text">
    <w:name w:val="MDPI_3.1_text"/>
    <w:qFormat/>
    <w:rsid w:val="003E0D1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CETReferencetext">
    <w:name w:val="CET Reference text"/>
    <w:qFormat/>
    <w:rsid w:val="00BE42E9"/>
    <w:pPr>
      <w:spacing w:after="0" w:line="264" w:lineRule="auto"/>
      <w:ind w:left="284" w:hanging="284"/>
      <w:jc w:val="both"/>
    </w:pPr>
    <w:rPr>
      <w:rFonts w:ascii="Arial" w:eastAsia="Times New Roman" w:hAnsi="Arial" w:cs="Times New Roman"/>
      <w:sz w:val="18"/>
      <w:szCs w:val="20"/>
      <w:lang w:val="en-GB"/>
    </w:rPr>
  </w:style>
  <w:style w:type="paragraph" w:customStyle="1" w:styleId="CETEquation">
    <w:name w:val="CET Equation"/>
    <w:basedOn w:val="CETBodytext"/>
    <w:next w:val="CETBodytext"/>
    <w:qFormat/>
    <w:rsid w:val="00531AF4"/>
    <w:pPr>
      <w:spacing w:before="120" w:after="120"/>
      <w:jc w:val="left"/>
    </w:pPr>
    <w:rPr>
      <w:lang w:val="en-GB"/>
    </w:rPr>
  </w:style>
  <w:style w:type="paragraph" w:styleId="Revision">
    <w:name w:val="Revision"/>
    <w:hidden/>
    <w:uiPriority w:val="99"/>
    <w:semiHidden/>
    <w:rsid w:val="00B00BB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8909">
      <w:bodyDiv w:val="1"/>
      <w:marLeft w:val="0"/>
      <w:marRight w:val="0"/>
      <w:marTop w:val="0"/>
      <w:marBottom w:val="0"/>
      <w:divBdr>
        <w:top w:val="none" w:sz="0" w:space="0" w:color="auto"/>
        <w:left w:val="none" w:sz="0" w:space="0" w:color="auto"/>
        <w:bottom w:val="none" w:sz="0" w:space="0" w:color="auto"/>
        <w:right w:val="none" w:sz="0" w:space="0" w:color="auto"/>
      </w:divBdr>
    </w:div>
    <w:div w:id="68158883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204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2831">
      <w:bodyDiv w:val="1"/>
      <w:marLeft w:val="0"/>
      <w:marRight w:val="0"/>
      <w:marTop w:val="0"/>
      <w:marBottom w:val="0"/>
      <w:divBdr>
        <w:top w:val="none" w:sz="0" w:space="0" w:color="auto"/>
        <w:left w:val="none" w:sz="0" w:space="0" w:color="auto"/>
        <w:bottom w:val="none" w:sz="0" w:space="0" w:color="auto"/>
        <w:right w:val="none" w:sz="0" w:space="0" w:color="auto"/>
      </w:divBdr>
    </w:div>
    <w:div w:id="163618293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BD24-E96B-45DC-BA0C-B5D2B2D7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10337</Words>
  <Characters>58922</Characters>
  <Application>Microsoft Office Word</Application>
  <DocSecurity>0</DocSecurity>
  <Lines>491</Lines>
  <Paragraphs>138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Maurizio</cp:lastModifiedBy>
  <cp:revision>9</cp:revision>
  <cp:lastPrinted>2018-04-23T10:09:00Z</cp:lastPrinted>
  <dcterms:created xsi:type="dcterms:W3CDTF">2022-03-11T20:12:00Z</dcterms:created>
  <dcterms:modified xsi:type="dcterms:W3CDTF">2022-03-12T07:44:00Z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http://www.zotero.org/styles/bioresource-technology</vt:lpwstr>
  </property>
  <property fmtid="{D5CDD505-2E9C-101B-9397-08002B2CF9AE}" pid="5" name="Mendeley Recent Style Name 1_1">
    <vt:lpwstr>Bioresource Technology</vt:lpwstr>
  </property>
  <property fmtid="{D5CDD505-2E9C-101B-9397-08002B2CF9AE}" pid="6" name="Mendeley Recent Style Id 2_1">
    <vt:lpwstr>http://www.zotero.org/styles/desalination</vt:lpwstr>
  </property>
  <property fmtid="{D5CDD505-2E9C-101B-9397-08002B2CF9AE}" pid="7" name="Mendeley Recent Style Name 2_1">
    <vt:lpwstr>Desalination</vt:lpwstr>
  </property>
  <property fmtid="{D5CDD505-2E9C-101B-9397-08002B2CF9AE}" pid="8" name="Mendeley Recent Style Id 3_1">
    <vt:lpwstr>http://www.zotero.org/styles/energies</vt:lpwstr>
  </property>
  <property fmtid="{D5CDD505-2E9C-101B-9397-08002B2CF9AE}" pid="9" name="Mendeley Recent Style Name 3_1">
    <vt:lpwstr>Energies</vt:lpwstr>
  </property>
  <property fmtid="{D5CDD505-2E9C-101B-9397-08002B2CF9AE}" pid="10" name="Mendeley Recent Style Id 4_1">
    <vt:lpwstr>http://www.zotero.org/styles/energy-and-fuels</vt:lpwstr>
  </property>
  <property fmtid="{D5CDD505-2E9C-101B-9397-08002B2CF9AE}" pid="11" name="Mendeley Recent Style Name 4_1">
    <vt:lpwstr>Energy &amp; Fuels</vt:lpwstr>
  </property>
  <property fmtid="{D5CDD505-2E9C-101B-9397-08002B2CF9AE}" pid="12" name="Mendeley Recent Style Id 5_1">
    <vt:lpwstr>http://www.zotero.org/styles/fuel-processing-technology</vt:lpwstr>
  </property>
  <property fmtid="{D5CDD505-2E9C-101B-9397-08002B2CF9AE}" pid="13" name="Mendeley Recent Style Name 5_1">
    <vt:lpwstr>Fuel Processing Technology</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http://www.zotero.org/styles/journal-of-analytical-and-applied-pyrolysis</vt:lpwstr>
  </property>
  <property fmtid="{D5CDD505-2E9C-101B-9397-08002B2CF9AE}" pid="19" name="Mendeley Recent Style Name 8_1">
    <vt:lpwstr>Journal of Analytical and Applied Pyrolysis</vt:lpwstr>
  </property>
  <property fmtid="{D5CDD505-2E9C-101B-9397-08002B2CF9AE}" pid="20" name="Mendeley Recent Style Id 9_1">
    <vt:lpwstr>http://www.zotero.org/styles/journal-of-environmental-management</vt:lpwstr>
  </property>
  <property fmtid="{D5CDD505-2E9C-101B-9397-08002B2CF9AE}" pid="21" name="Mendeley Recent Style Name 9_1">
    <vt:lpwstr>Journal of Environmental Management</vt:lpwstr>
  </property>
  <property fmtid="{D5CDD505-2E9C-101B-9397-08002B2CF9AE}" pid="22" name="Mendeley Document_1">
    <vt:lpwstr>True</vt:lpwstr>
  </property>
  <property fmtid="{D5CDD505-2E9C-101B-9397-08002B2CF9AE}" pid="23" name="Mendeley Unique User Id_1">
    <vt:lpwstr>5509b3cb-434a-31bb-a050-9d0357c2c6ab</vt:lpwstr>
  </property>
  <property fmtid="{D5CDD505-2E9C-101B-9397-08002B2CF9AE}" pid="24" name="Mendeley Citation Style_1">
    <vt:lpwstr>http://www.zotero.org/styles/bioresource-technology</vt:lpwstr>
  </property>
</Properties>
</file>