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1723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1723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1723D">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651A8D1" w:rsidR="00E978D0" w:rsidRPr="00B57B36" w:rsidRDefault="0061723D" w:rsidP="00E978D0">
      <w:pPr>
        <w:pStyle w:val="CETTitle"/>
      </w:pPr>
      <w:r w:rsidRPr="0061723D">
        <w:t>Impact of Adverse Events on Urban Air Quality: The Example of the Rome Fire</w:t>
      </w:r>
    </w:p>
    <w:p w14:paraId="2DB5BDE7" w14:textId="483B0339" w:rsidR="00EF00E7" w:rsidRPr="009E7779" w:rsidRDefault="00D01C74" w:rsidP="00EF00E7">
      <w:pPr>
        <w:pStyle w:val="CETAuthors"/>
        <w:rPr>
          <w:lang w:val="it-IT"/>
        </w:rPr>
      </w:pPr>
      <w:r w:rsidRPr="009E7779">
        <w:rPr>
          <w:lang w:val="it-IT"/>
        </w:rPr>
        <w:t>Nicoletta Lotrecchiano</w:t>
      </w:r>
      <w:r w:rsidR="00EF00E7" w:rsidRPr="009E7779">
        <w:rPr>
          <w:vertAlign w:val="superscript"/>
          <w:lang w:val="it-IT"/>
        </w:rPr>
        <w:t>a</w:t>
      </w:r>
      <w:r w:rsidR="00EF00E7" w:rsidRPr="009E7779">
        <w:rPr>
          <w:lang w:val="it-IT"/>
        </w:rPr>
        <w:t xml:space="preserve">, </w:t>
      </w:r>
      <w:r w:rsidRPr="009E7779">
        <w:rPr>
          <w:lang w:val="it-IT"/>
        </w:rPr>
        <w:t>Daniele Sofia</w:t>
      </w:r>
      <w:r w:rsidR="009E7779" w:rsidRPr="009E7779">
        <w:rPr>
          <w:vertAlign w:val="superscript"/>
          <w:lang w:val="it-IT"/>
        </w:rPr>
        <w:t>b,</w:t>
      </w:r>
      <w:r w:rsidR="009E7779">
        <w:rPr>
          <w:vertAlign w:val="superscript"/>
          <w:lang w:val="it-IT"/>
        </w:rPr>
        <w:t>c</w:t>
      </w:r>
      <w:r w:rsidR="009E7779" w:rsidRPr="009E7779">
        <w:rPr>
          <w:lang w:val="it-IT"/>
        </w:rPr>
        <w:t>*</w:t>
      </w:r>
    </w:p>
    <w:p w14:paraId="38863E93" w14:textId="21726D16" w:rsidR="009E7779" w:rsidRDefault="00EF00E7" w:rsidP="009E7779">
      <w:pPr>
        <w:pStyle w:val="CETAddress"/>
      </w:pPr>
      <w:r w:rsidRPr="00F63FF0">
        <w:rPr>
          <w:vertAlign w:val="superscript"/>
        </w:rPr>
        <w:t>a</w:t>
      </w:r>
      <w:r w:rsidR="009E7779" w:rsidRPr="00293959">
        <w:t>Department of Environmental Assessment, Controls and Sustainability Service for Risks and Environmental Sustainability of Technologies, Chemical Substances, Production Cycles and Water Services and for Inspection Activities,</w:t>
      </w:r>
    </w:p>
    <w:p w14:paraId="111B5569" w14:textId="77777777" w:rsidR="009E7779" w:rsidRPr="00B57B36" w:rsidRDefault="009E7779" w:rsidP="009E7779">
      <w:pPr>
        <w:pStyle w:val="CETAddress"/>
      </w:pPr>
      <w:r w:rsidRPr="00293959">
        <w:t>ISPRA</w:t>
      </w:r>
      <w:bookmarkStart w:id="1" w:name="_Hlk174368898"/>
      <w:r>
        <w:t xml:space="preserve"> - </w:t>
      </w:r>
      <w:r w:rsidRPr="00293959">
        <w:t>Institute for Environmental Protection and Research</w:t>
      </w:r>
      <w:bookmarkEnd w:id="1"/>
      <w:r w:rsidRPr="00293959">
        <w:t>, Via V. Brancati 48, 00144 Rome, Italy</w:t>
      </w:r>
    </w:p>
    <w:p w14:paraId="304321F5" w14:textId="3835ABEE" w:rsidR="00EF00E7" w:rsidRDefault="00DB2117" w:rsidP="00EF00E7">
      <w:pPr>
        <w:pStyle w:val="CETAddress"/>
        <w:rPr>
          <w:vertAlign w:val="superscript"/>
        </w:rPr>
      </w:pPr>
      <w:r w:rsidRPr="00FD78C7">
        <w:rPr>
          <w:vertAlign w:val="superscript"/>
        </w:rPr>
        <w:t>b</w:t>
      </w:r>
      <w:r w:rsidR="00EF00E7" w:rsidRPr="00293959">
        <w:t xml:space="preserve">Department of Computer Engineering, Modeling, Electronics and Systems, University of Calabria, </w:t>
      </w:r>
      <w:r w:rsidR="00EF00E7" w:rsidRPr="00293959">
        <w:br/>
        <w:t>Via P. Bucci, Cubo 44/a Rende, 87036 Arcavacata, Italy</w:t>
      </w:r>
      <w:r w:rsidR="00EF00E7" w:rsidRPr="00F63FF0">
        <w:rPr>
          <w:vertAlign w:val="superscript"/>
        </w:rPr>
        <w:t xml:space="preserve"> </w:t>
      </w:r>
    </w:p>
    <w:p w14:paraId="1A7A8215" w14:textId="17548B58" w:rsidR="00EF00E7" w:rsidRPr="00DB2117" w:rsidRDefault="00DB2117" w:rsidP="00EF00E7">
      <w:pPr>
        <w:pStyle w:val="CETAddress"/>
      </w:pPr>
      <w:r>
        <w:rPr>
          <w:vertAlign w:val="superscript"/>
        </w:rPr>
        <w:t>c</w:t>
      </w:r>
      <w:r w:rsidR="00EF00E7" w:rsidRPr="00293959">
        <w:t>Research Department, Sense Square Srl, 84084 Salerno, Italy</w:t>
      </w:r>
    </w:p>
    <w:p w14:paraId="1D96AB95" w14:textId="78CE404F" w:rsidR="004301B9" w:rsidRDefault="00EF00E7" w:rsidP="004301B9">
      <w:pPr>
        <w:pStyle w:val="CETAddress"/>
      </w:pPr>
      <w:r w:rsidRPr="00C219D0">
        <w:t xml:space="preserve">daniele.sofia@unical.it or </w:t>
      </w:r>
      <w:r w:rsidR="004301B9" w:rsidRPr="006C3599">
        <w:t>danielesofia@sensesquare.eu</w:t>
      </w:r>
    </w:p>
    <w:p w14:paraId="2D036FBA" w14:textId="77777777" w:rsidR="004301B9" w:rsidRDefault="004301B9" w:rsidP="00EF00E7">
      <w:pPr>
        <w:pStyle w:val="CETnumberingbullets"/>
        <w:numPr>
          <w:ilvl w:val="0"/>
          <w:numId w:val="0"/>
        </w:numPr>
        <w:jc w:val="both"/>
      </w:pPr>
    </w:p>
    <w:p w14:paraId="38F76186" w14:textId="142D6835" w:rsidR="006A6DE5" w:rsidRDefault="00FD681B" w:rsidP="00EF00E7">
      <w:pPr>
        <w:pStyle w:val="CETnumberingbullets"/>
        <w:numPr>
          <w:ilvl w:val="0"/>
          <w:numId w:val="0"/>
        </w:numPr>
        <w:jc w:val="both"/>
      </w:pPr>
      <w:r w:rsidRPr="00FD681B">
        <w:t>Adverse events such as fires pose a significant threat to air quality in urban areas, with both immediate and long-term impacts on public health and the environment. This study examines the effects of a major fire that occurred in Rome in 2024, affecting an industrial area and resulting in a substantial release of atmospheric pollutants. Using monitoring sensors and dispersion models, we measured the increase in fine particulate matter (PM2.5 and PM10) during and after the incident. The collected data were compared with standard air quality levels, highlighting a critical exceedance of safety thresholds. Furthermore, the study evaluates the effectiveness of the measures taken to contain pollution and reduce public exposure, proposing preventive and management solutions to minimize the impact of future events. The results emphasize the need to improve response strategies to such phenomena and to strengthen the alert system to ensure better protection of air quality and urban health.</w:t>
      </w:r>
    </w:p>
    <w:p w14:paraId="476B2F2E" w14:textId="52B36035" w:rsidR="00600535" w:rsidRPr="00B57B36" w:rsidRDefault="00600535" w:rsidP="00600535">
      <w:pPr>
        <w:pStyle w:val="CETHeading1"/>
        <w:rPr>
          <w:lang w:val="en-GB"/>
        </w:rPr>
      </w:pPr>
      <w:r w:rsidRPr="00B57B36">
        <w:rPr>
          <w:lang w:val="en-GB"/>
        </w:rPr>
        <w:t>Introduction</w:t>
      </w:r>
    </w:p>
    <w:p w14:paraId="23F86FEF" w14:textId="209581BF" w:rsidR="00600535" w:rsidRDefault="0056782D" w:rsidP="0056782D">
      <w:pPr>
        <w:pStyle w:val="CETBodytext"/>
        <w:rPr>
          <w:lang w:val="en-GB"/>
        </w:rPr>
      </w:pPr>
      <w:r w:rsidRPr="0056782D">
        <w:rPr>
          <w:lang w:val="en-GB"/>
        </w:rPr>
        <w:t>The problem of summer wildfires has become increasingly severe in recent years, affecting various regions around the world. Several factors contribute to the rise in the frequency and intensity of these fires.</w:t>
      </w:r>
      <w:r w:rsidR="004A6F64">
        <w:rPr>
          <w:lang w:val="en-GB"/>
        </w:rPr>
        <w:t xml:space="preserve"> The</w:t>
      </w:r>
      <w:r w:rsidRPr="0056782D">
        <w:rPr>
          <w:lang w:val="en-GB"/>
        </w:rPr>
        <w:t xml:space="preserve"> climate change plays a significant role. Rising temperatures, prolonged droughts, and changing precipitation patterns create optimal conditions for wildfires. Hotter summers and drier landscapes make vegetation more susceptible to ignition, resulting in larger and more destructive fires.</w:t>
      </w:r>
      <w:r w:rsidR="004A6F64">
        <w:rPr>
          <w:lang w:val="en-GB"/>
        </w:rPr>
        <w:t xml:space="preserve"> Also, h</w:t>
      </w:r>
      <w:r w:rsidRPr="0056782D">
        <w:rPr>
          <w:lang w:val="en-GB"/>
        </w:rPr>
        <w:t xml:space="preserve">uman activities are a major contributor to the </w:t>
      </w:r>
      <w:r w:rsidRPr="00C5240A">
        <w:rPr>
          <w:lang w:val="en-GB"/>
        </w:rPr>
        <w:t>increase in wildfires. Land use changes, such as deforestation and urban expansion into wildland areas, heighten the risk of fires</w:t>
      </w:r>
      <w:r w:rsidR="00153077" w:rsidRPr="00C5240A">
        <w:rPr>
          <w:lang w:val="en-GB"/>
        </w:rPr>
        <w:t xml:space="preserve"> (Mocellin et al., 2020)</w:t>
      </w:r>
      <w:r w:rsidRPr="00C5240A">
        <w:rPr>
          <w:lang w:val="en-GB"/>
        </w:rPr>
        <w:t>. Additionally</w:t>
      </w:r>
      <w:r w:rsidRPr="0056782D">
        <w:rPr>
          <w:lang w:val="en-GB"/>
        </w:rPr>
        <w:t xml:space="preserve">, careless </w:t>
      </w:r>
      <w:proofErr w:type="spellStart"/>
      <w:r w:rsidRPr="0056782D">
        <w:rPr>
          <w:lang w:val="en-GB"/>
        </w:rPr>
        <w:t>behaviors</w:t>
      </w:r>
      <w:proofErr w:type="spellEnd"/>
      <w:r w:rsidRPr="0056782D">
        <w:rPr>
          <w:lang w:val="en-GB"/>
        </w:rPr>
        <w:t>, such as improper disposal of cigarettes, campfires left unattended, or the use of fireworks, can easily trigger wildfires.</w:t>
      </w:r>
      <w:r w:rsidR="004A6F64">
        <w:rPr>
          <w:lang w:val="en-GB"/>
        </w:rPr>
        <w:t xml:space="preserve"> </w:t>
      </w:r>
      <w:r w:rsidRPr="0056782D">
        <w:rPr>
          <w:lang w:val="en-GB"/>
        </w:rPr>
        <w:t>Moreover, the growing frequency of extreme weather events, such as heatwaves and strong winds, exacerbates the situation, allowing fires to spread rapidly and making them more difficult to control. In many regions, wildfires have become a recurring summer event, leading to devastating impacts on ecosystems, air quality, and human health, as well as significant economic costs related to firefighting efforts and property damage.</w:t>
      </w:r>
      <w:r w:rsidR="00600535" w:rsidRPr="00FA5F5F">
        <w:rPr>
          <w:lang w:val="en-GB"/>
        </w:rPr>
        <w:t xml:space="preserve"> </w:t>
      </w:r>
    </w:p>
    <w:p w14:paraId="7E1858DB" w14:textId="7DC7D0B9" w:rsidR="005C173D" w:rsidRDefault="005C173D" w:rsidP="0056782D">
      <w:pPr>
        <w:pStyle w:val="CETBodytext"/>
        <w:rPr>
          <w:lang w:val="en-GB"/>
        </w:rPr>
      </w:pPr>
      <w:r w:rsidRPr="005C173D">
        <w:rPr>
          <w:lang w:val="en-GB"/>
        </w:rPr>
        <w:t>According to the report of the latest forest fire campaign by the Italian Civil Protection</w:t>
      </w:r>
      <w:r>
        <w:rPr>
          <w:lang w:val="en-GB"/>
        </w:rPr>
        <w:t xml:space="preserve"> (</w:t>
      </w:r>
      <w:r w:rsidR="001B6CA3">
        <w:rPr>
          <w:lang w:val="en-GB"/>
        </w:rPr>
        <w:t>AIB, 2024</w:t>
      </w:r>
      <w:r>
        <w:rPr>
          <w:lang w:val="en-GB"/>
        </w:rPr>
        <w:t>)</w:t>
      </w:r>
      <w:r w:rsidRPr="005C173D">
        <w:rPr>
          <w:lang w:val="en-GB"/>
        </w:rPr>
        <w:t>, in 2024 - in over four months, from June 15 to October 30 - 760 fires occurred in Rome. The highest number since 2017, when there were 868. Over 50 fires in municipalities III, IV, IX, XI, XV. A total of 156 in municipality VI.</w:t>
      </w:r>
      <w:r w:rsidR="009C5014">
        <w:rPr>
          <w:lang w:val="en-GB"/>
        </w:rPr>
        <w:t xml:space="preserve"> </w:t>
      </w:r>
      <w:r w:rsidR="009C5014" w:rsidRPr="009C5014">
        <w:rPr>
          <w:lang w:val="en-GB"/>
        </w:rPr>
        <w:t>A so high</w:t>
      </w:r>
      <w:r w:rsidR="001C644F">
        <w:rPr>
          <w:lang w:val="en-GB"/>
        </w:rPr>
        <w:t xml:space="preserve"> number of wildfires</w:t>
      </w:r>
      <w:r w:rsidR="009C5014" w:rsidRPr="009C5014">
        <w:rPr>
          <w:lang w:val="en-GB"/>
        </w:rPr>
        <w:t xml:space="preserve"> it has not been seen since 2017, when there were 868. Comparing the past, an equally high number </w:t>
      </w:r>
      <w:r w:rsidR="00E3421E">
        <w:rPr>
          <w:lang w:val="en-GB"/>
        </w:rPr>
        <w:t xml:space="preserve">of </w:t>
      </w:r>
      <w:r w:rsidR="009C5014" w:rsidRPr="009C5014">
        <w:rPr>
          <w:lang w:val="en-GB"/>
        </w:rPr>
        <w:t>dat</w:t>
      </w:r>
      <w:r w:rsidR="00E3421E">
        <w:rPr>
          <w:lang w:val="en-GB"/>
        </w:rPr>
        <w:t>a</w:t>
      </w:r>
      <w:r w:rsidR="009C5014" w:rsidRPr="009C5014">
        <w:rPr>
          <w:lang w:val="en-GB"/>
        </w:rPr>
        <w:t xml:space="preserve"> back to 2016 (790)</w:t>
      </w:r>
      <w:r w:rsidR="00E3421E">
        <w:rPr>
          <w:lang w:val="en-GB"/>
        </w:rPr>
        <w:t xml:space="preserve"> while t</w:t>
      </w:r>
      <w:r w:rsidR="009C5014" w:rsidRPr="009C5014">
        <w:rPr>
          <w:lang w:val="en-GB"/>
        </w:rPr>
        <w:t>he lowest in 2013 (178). More generally, in 2014 there were 562, in 2015 instead 377, 278 in 2018, 458 in 2019, 488 in 2020, 484 in 2021, 589 in 2022, 363 in 2023.</w:t>
      </w:r>
      <w:r w:rsidR="009C5014">
        <w:rPr>
          <w:lang w:val="en-GB"/>
        </w:rPr>
        <w:t xml:space="preserve"> (</w:t>
      </w:r>
      <w:r w:rsidR="001B6CA3">
        <w:rPr>
          <w:lang w:val="en-GB"/>
        </w:rPr>
        <w:t>AIB, 2024</w:t>
      </w:r>
      <w:r w:rsidR="009C5014">
        <w:rPr>
          <w:lang w:val="en-GB"/>
        </w:rPr>
        <w:t>)</w:t>
      </w:r>
    </w:p>
    <w:p w14:paraId="1F09DA27" w14:textId="3CB71A52" w:rsidR="00412700" w:rsidRPr="00C5240A" w:rsidRDefault="00412700" w:rsidP="00412700">
      <w:pPr>
        <w:pStyle w:val="CETBodytext"/>
        <w:rPr>
          <w:lang w:val="en-GB"/>
        </w:rPr>
      </w:pPr>
      <w:r w:rsidRPr="00412700">
        <w:rPr>
          <w:lang w:val="en-GB"/>
        </w:rPr>
        <w:t>Citizen science plays a crucial role in monitoring air quality, especially during incidental events such as wildfires</w:t>
      </w:r>
      <w:r>
        <w:rPr>
          <w:lang w:val="en-GB"/>
        </w:rPr>
        <w:t xml:space="preserve"> (</w:t>
      </w:r>
      <w:r w:rsidR="001B6CA3">
        <w:rPr>
          <w:lang w:val="en-GB"/>
        </w:rPr>
        <w:t>AIB, 2024</w:t>
      </w:r>
      <w:r>
        <w:rPr>
          <w:lang w:val="en-GB"/>
        </w:rPr>
        <w:t>)</w:t>
      </w:r>
      <w:r w:rsidRPr="00412700">
        <w:rPr>
          <w:lang w:val="en-GB"/>
        </w:rPr>
        <w:t xml:space="preserve">. This approach involves the active participation of the public in collecting, </w:t>
      </w:r>
      <w:proofErr w:type="spellStart"/>
      <w:r w:rsidRPr="00412700">
        <w:rPr>
          <w:lang w:val="en-GB"/>
        </w:rPr>
        <w:t>analyzing</w:t>
      </w:r>
      <w:proofErr w:type="spellEnd"/>
      <w:r w:rsidRPr="00412700">
        <w:rPr>
          <w:lang w:val="en-GB"/>
        </w:rPr>
        <w:t>, and sharing data related to environmental conditions.</w:t>
      </w:r>
      <w:r w:rsidR="00250301">
        <w:rPr>
          <w:lang w:val="en-GB"/>
        </w:rPr>
        <w:t xml:space="preserve"> </w:t>
      </w:r>
      <w:r w:rsidRPr="00412700">
        <w:rPr>
          <w:lang w:val="en-GB"/>
        </w:rPr>
        <w:t xml:space="preserve">During incidents like wildfires, air quality can deteriorate rapidly. Citizen scientists can help gather real-time data from various locations, providing a more comprehensive picture of the </w:t>
      </w:r>
      <w:r w:rsidRPr="00C5240A">
        <w:rPr>
          <w:lang w:val="en-GB"/>
        </w:rPr>
        <w:lastRenderedPageBreak/>
        <w:t>air quality across different areas</w:t>
      </w:r>
      <w:r w:rsidR="00B15743">
        <w:rPr>
          <w:lang w:val="en-GB"/>
        </w:rPr>
        <w:t xml:space="preserve"> (Sofia et al. 2019)</w:t>
      </w:r>
      <w:r w:rsidRPr="00C5240A">
        <w:rPr>
          <w:lang w:val="en-GB"/>
        </w:rPr>
        <w:t>. This grassroots data collection can supplement official measurements and fill in gaps in monitoring networks</w:t>
      </w:r>
      <w:r w:rsidR="000F1FD0" w:rsidRPr="00C5240A">
        <w:rPr>
          <w:lang w:val="en-GB"/>
        </w:rPr>
        <w:t xml:space="preserve"> that is usually </w:t>
      </w:r>
      <w:r w:rsidR="009679FB" w:rsidRPr="00C5240A">
        <w:rPr>
          <w:lang w:val="en-GB"/>
        </w:rPr>
        <w:t>solved using dispersion models (</w:t>
      </w:r>
      <w:r w:rsidR="00CF1DD4" w:rsidRPr="00C5240A">
        <w:rPr>
          <w:lang w:val="en-GB"/>
        </w:rPr>
        <w:t>Lotrecchiano et al., 2021a</w:t>
      </w:r>
      <w:r w:rsidR="009679FB" w:rsidRPr="00C5240A">
        <w:rPr>
          <w:lang w:val="en-GB"/>
        </w:rPr>
        <w:t>)</w:t>
      </w:r>
      <w:r w:rsidRPr="00C5240A">
        <w:rPr>
          <w:lang w:val="en-GB"/>
        </w:rPr>
        <w:t>. Engaging citizens in air quality monitoring raises public awareness about environmental issues and the impact of pollution on health. When individuals participate in such initiatives, they become more informed about air quality and its implications, fostering a community-oriented approach to environmental stewardship.</w:t>
      </w:r>
      <w:r w:rsidR="001403B2" w:rsidRPr="00C5240A">
        <w:rPr>
          <w:lang w:val="en-GB"/>
        </w:rPr>
        <w:t xml:space="preserve"> </w:t>
      </w:r>
      <w:r w:rsidRPr="00C5240A">
        <w:rPr>
          <w:lang w:val="en-GB"/>
        </w:rPr>
        <w:t>In the event of an incident, having a network of citizen scientists can facilitate a quicker response</w:t>
      </w:r>
      <w:r w:rsidR="00397673" w:rsidRPr="00C5240A">
        <w:rPr>
          <w:lang w:val="en-GB"/>
        </w:rPr>
        <w:t xml:space="preserve"> (</w:t>
      </w:r>
      <w:proofErr w:type="spellStart"/>
      <w:r w:rsidR="00397673" w:rsidRPr="00C5240A">
        <w:rPr>
          <w:lang w:val="en-GB"/>
        </w:rPr>
        <w:t>Sideri</w:t>
      </w:r>
      <w:proofErr w:type="spellEnd"/>
      <w:r w:rsidR="00397673" w:rsidRPr="00C5240A">
        <w:rPr>
          <w:lang w:val="en-GB"/>
        </w:rPr>
        <w:t xml:space="preserve"> et al., 2024)</w:t>
      </w:r>
      <w:r w:rsidRPr="00C5240A">
        <w:rPr>
          <w:lang w:val="en-GB"/>
        </w:rPr>
        <w:t>. Local individuals can report changes in air quality, enabling authorities to act more swiftly to protect public health and safety.</w:t>
      </w:r>
      <w:r w:rsidR="00E3421E" w:rsidRPr="00C5240A">
        <w:rPr>
          <w:lang w:val="en-GB"/>
        </w:rPr>
        <w:t xml:space="preserve"> </w:t>
      </w:r>
      <w:r w:rsidRPr="00C5240A">
        <w:rPr>
          <w:lang w:val="en-GB"/>
        </w:rPr>
        <w:t>Citizen science encourages communities to collaborate and share knowledge about air quality, leading to improved resilience against environmental hazards</w:t>
      </w:r>
      <w:r w:rsidR="004D20CC" w:rsidRPr="00C5240A">
        <w:rPr>
          <w:lang w:val="en-GB"/>
        </w:rPr>
        <w:t xml:space="preserve"> (Takao</w:t>
      </w:r>
      <w:r w:rsidR="00906F3E" w:rsidRPr="00C5240A">
        <w:rPr>
          <w:lang w:val="en-GB"/>
        </w:rPr>
        <w:t>, 2015</w:t>
      </w:r>
      <w:r w:rsidR="004D20CC" w:rsidRPr="00C5240A">
        <w:rPr>
          <w:lang w:val="en-GB"/>
        </w:rPr>
        <w:t>)</w:t>
      </w:r>
      <w:r w:rsidRPr="00C5240A">
        <w:rPr>
          <w:lang w:val="en-GB"/>
        </w:rPr>
        <w:t>. By understanding local air quality trends and potential risks, communities can better prepare for and respond to incidents like wildfires.</w:t>
      </w:r>
    </w:p>
    <w:p w14:paraId="3673C618" w14:textId="541D56C4" w:rsidR="00412700" w:rsidRPr="00C5240A" w:rsidRDefault="00412700" w:rsidP="00412700">
      <w:pPr>
        <w:pStyle w:val="CETBodytext"/>
        <w:rPr>
          <w:lang w:val="en-GB"/>
        </w:rPr>
      </w:pPr>
      <w:r w:rsidRPr="00C5240A">
        <w:rPr>
          <w:lang w:val="en-GB"/>
        </w:rPr>
        <w:t xml:space="preserve">Data collected by citizen scientists can contribute to scientific research and </w:t>
      </w:r>
      <w:r w:rsidR="00DB2117" w:rsidRPr="00C5240A">
        <w:rPr>
          <w:lang w:val="en-GB"/>
        </w:rPr>
        <w:t>policymaking</w:t>
      </w:r>
      <w:r w:rsidRPr="00C5240A">
        <w:rPr>
          <w:lang w:val="en-GB"/>
        </w:rPr>
        <w:t xml:space="preserve">. Researchers can </w:t>
      </w:r>
      <w:proofErr w:type="spellStart"/>
      <w:r w:rsidRPr="00C5240A">
        <w:rPr>
          <w:lang w:val="en-GB"/>
        </w:rPr>
        <w:t>analyze</w:t>
      </w:r>
      <w:proofErr w:type="spellEnd"/>
      <w:r w:rsidRPr="00C5240A">
        <w:rPr>
          <w:lang w:val="en-GB"/>
        </w:rPr>
        <w:t xml:space="preserve"> this vast array of data to better understand the effects of wildfires on air quality and develop strategies for mitigation and response</w:t>
      </w:r>
      <w:r w:rsidR="00EF2B2D" w:rsidRPr="00C5240A">
        <w:rPr>
          <w:lang w:val="en-GB"/>
        </w:rPr>
        <w:t xml:space="preserve"> (Holmes et al., 2018)</w:t>
      </w:r>
      <w:r w:rsidRPr="00C5240A">
        <w:rPr>
          <w:lang w:val="en-GB"/>
        </w:rPr>
        <w:t>.</w:t>
      </w:r>
      <w:r w:rsidR="00E3421E" w:rsidRPr="00C5240A">
        <w:rPr>
          <w:lang w:val="en-GB"/>
        </w:rPr>
        <w:t xml:space="preserve"> Data collected</w:t>
      </w:r>
      <w:r w:rsidRPr="00C5240A">
        <w:rPr>
          <w:lang w:val="en-GB"/>
        </w:rPr>
        <w:t xml:space="preserve"> can serve as a valuable tool for validating official air quality measurements. By comparing community-collected data with data from regulatory agencies, discrepancies can be identified and addressed, leading to more accurate assessments of air quality.</w:t>
      </w:r>
    </w:p>
    <w:p w14:paraId="24B00BD9" w14:textId="22AC4EE2" w:rsidR="0056782D" w:rsidRDefault="004E555C" w:rsidP="00600535">
      <w:pPr>
        <w:pStyle w:val="CETBodytext"/>
        <w:rPr>
          <w:lang w:val="en-GB"/>
        </w:rPr>
      </w:pPr>
      <w:r w:rsidRPr="00C5240A">
        <w:rPr>
          <w:lang w:val="en-GB"/>
        </w:rPr>
        <w:t xml:space="preserve">PM10 and PM2.5 concentrations can vary considerably during hours, and substantial differences between these two particulate matter levels often </w:t>
      </w:r>
      <w:r w:rsidR="00EF3ACC" w:rsidRPr="00C5240A">
        <w:rPr>
          <w:lang w:val="en-GB"/>
        </w:rPr>
        <w:t>suggest</w:t>
      </w:r>
      <w:r w:rsidRPr="00C5240A">
        <w:rPr>
          <w:lang w:val="en-GB"/>
        </w:rPr>
        <w:t xml:space="preserve"> the occurrence of specific environmental events. For instance, a notable increase in PM10 levels might suggest the arrival of Saharan dust</w:t>
      </w:r>
      <w:r w:rsidR="00EF3ACC" w:rsidRPr="00C5240A">
        <w:rPr>
          <w:lang w:val="en-GB"/>
        </w:rPr>
        <w:t xml:space="preserve"> (</w:t>
      </w:r>
      <w:r w:rsidR="00455702" w:rsidRPr="00C5240A">
        <w:rPr>
          <w:lang w:val="en-GB"/>
        </w:rPr>
        <w:t>Lotrecchiano et al., 2021</w:t>
      </w:r>
      <w:r w:rsidR="00CF1DD4" w:rsidRPr="00C5240A">
        <w:rPr>
          <w:lang w:val="en-GB"/>
        </w:rPr>
        <w:t>b</w:t>
      </w:r>
      <w:r w:rsidR="00EF3ACC" w:rsidRPr="00C5240A">
        <w:rPr>
          <w:lang w:val="en-GB"/>
        </w:rPr>
        <w:t>)</w:t>
      </w:r>
      <w:r w:rsidRPr="00C5240A">
        <w:rPr>
          <w:lang w:val="en-GB"/>
        </w:rPr>
        <w:t xml:space="preserve">, while elevated PM2.5 concentrations could be indicative of smoke from wildfires or other localized sources of pollution. </w:t>
      </w:r>
      <w:proofErr w:type="spellStart"/>
      <w:r w:rsidRPr="00C5240A">
        <w:rPr>
          <w:lang w:val="en-GB"/>
        </w:rPr>
        <w:t>Analyzing</w:t>
      </w:r>
      <w:proofErr w:type="spellEnd"/>
      <w:r w:rsidRPr="00C5240A">
        <w:rPr>
          <w:lang w:val="en-GB"/>
        </w:rPr>
        <w:t xml:space="preserve"> these variations not only enhances our understanding of the origins of particulate matter but also reveals how certain environmental phenomena can significantly influence air quality. This knowledge is crucial for developing effective air quality management strategies and addressing public health concerns associated with air pollution</w:t>
      </w:r>
      <w:r w:rsidR="00984E2E" w:rsidRPr="00C5240A">
        <w:rPr>
          <w:lang w:val="en-GB"/>
        </w:rPr>
        <w:t xml:space="preserve"> (Lotrecchiano et al., 2022)</w:t>
      </w:r>
      <w:r w:rsidRPr="00C5240A">
        <w:rPr>
          <w:lang w:val="en-GB"/>
        </w:rPr>
        <w:t>.</w:t>
      </w:r>
    </w:p>
    <w:p w14:paraId="5741900F" w14:textId="0B420C06" w:rsidR="00453E24" w:rsidRDefault="00072C84" w:rsidP="00453E24">
      <w:pPr>
        <w:pStyle w:val="CETHeading1"/>
      </w:pPr>
      <w:r>
        <w:t>Materials and methods</w:t>
      </w:r>
    </w:p>
    <w:p w14:paraId="09406386" w14:textId="5697F8AE" w:rsidR="00453E24" w:rsidRDefault="00453E24" w:rsidP="00453E24">
      <w:pPr>
        <w:pStyle w:val="CETBodytext"/>
      </w:pPr>
      <w:r>
        <w:t xml:space="preserve">The general style guidelines are first given, followed by specific cases. </w:t>
      </w:r>
      <w:r w:rsidR="008D4A16">
        <w:t>A</w:t>
      </w:r>
      <w:r>
        <w:t>void lower-level heading immediately following the higher-level one. It is recommended to have at least one sentence in-between.</w:t>
      </w:r>
    </w:p>
    <w:p w14:paraId="0636B784" w14:textId="20CC2495" w:rsidR="00453E24" w:rsidRDefault="00072C84" w:rsidP="00453E24">
      <w:pPr>
        <w:pStyle w:val="CETheadingx"/>
      </w:pPr>
      <w:r>
        <w:t>Data</w:t>
      </w:r>
    </w:p>
    <w:p w14:paraId="574D77AF" w14:textId="3BE47043" w:rsidR="004877B2" w:rsidRDefault="004877B2" w:rsidP="00453E24">
      <w:pPr>
        <w:pStyle w:val="CETBodytext"/>
      </w:pPr>
      <w:r>
        <w:t xml:space="preserve">The </w:t>
      </w:r>
      <w:r w:rsidR="00024E31" w:rsidRPr="004877B2">
        <w:t>environmental</w:t>
      </w:r>
      <w:r w:rsidR="00024E31">
        <w:t xml:space="preserve"> </w:t>
      </w:r>
      <w:r w:rsidR="00024E31" w:rsidRPr="004877B2">
        <w:t>data</w:t>
      </w:r>
      <w:r w:rsidR="00024E31">
        <w:t xml:space="preserve"> </w:t>
      </w:r>
      <w:r w:rsidR="00024E31" w:rsidRPr="004877B2">
        <w:t>collection</w:t>
      </w:r>
      <w:r w:rsidR="00024E31">
        <w:t xml:space="preserve"> </w:t>
      </w:r>
      <w:r w:rsidR="00024E31" w:rsidRPr="004877B2">
        <w:t>device</w:t>
      </w:r>
      <w:r>
        <w:t xml:space="preserve"> considered is </w:t>
      </w:r>
      <w:r w:rsidR="00C41098">
        <w:t xml:space="preserve">the </w:t>
      </w:r>
      <w:proofErr w:type="spellStart"/>
      <w:r w:rsidRPr="004877B2">
        <w:t>Sensy</w:t>
      </w:r>
      <w:proofErr w:type="spellEnd"/>
      <w:r w:rsidR="00C41098">
        <w:t xml:space="preserve"> air quality device (patented</w:t>
      </w:r>
      <w:r w:rsidR="00AA60DF">
        <w:t>)</w:t>
      </w:r>
      <w:r w:rsidR="00FD3121">
        <w:t xml:space="preserve"> reported in Figure 1</w:t>
      </w:r>
      <w:r w:rsidR="00AA60DF" w:rsidRPr="004877B2">
        <w:t>. It</w:t>
      </w:r>
      <w:r w:rsidR="00024E31">
        <w:t xml:space="preserve"> </w:t>
      </w:r>
      <w:r w:rsidRPr="004877B2">
        <w:t>specializes</w:t>
      </w:r>
      <w:r w:rsidR="00024E31">
        <w:t xml:space="preserve"> </w:t>
      </w:r>
      <w:r w:rsidRPr="004877B2">
        <w:t>in</w:t>
      </w:r>
      <w:r w:rsidR="00024E31">
        <w:t xml:space="preserve"> </w:t>
      </w:r>
      <w:r w:rsidRPr="004877B2">
        <w:t>capturing</w:t>
      </w:r>
      <w:r w:rsidR="00024E31">
        <w:t xml:space="preserve"> </w:t>
      </w:r>
      <w:r w:rsidRPr="004877B2">
        <w:t>temperature,</w:t>
      </w:r>
      <w:r w:rsidR="00024E31">
        <w:t xml:space="preserve"> </w:t>
      </w:r>
      <w:r w:rsidRPr="004877B2">
        <w:t>humidity,</w:t>
      </w:r>
      <w:r w:rsidR="00024E31">
        <w:t xml:space="preserve"> </w:t>
      </w:r>
      <w:r w:rsidRPr="004877B2">
        <w:t>and</w:t>
      </w:r>
      <w:r w:rsidR="00024E31">
        <w:t xml:space="preserve"> </w:t>
      </w:r>
      <w:r w:rsidRPr="004877B2">
        <w:t>particulate</w:t>
      </w:r>
      <w:r w:rsidR="00024E31">
        <w:t xml:space="preserve"> </w:t>
      </w:r>
      <w:r w:rsidRPr="004877B2">
        <w:t>matter</w:t>
      </w:r>
      <w:r w:rsidR="00024E31">
        <w:t xml:space="preserve"> </w:t>
      </w:r>
      <w:r w:rsidRPr="004877B2">
        <w:t>with</w:t>
      </w:r>
      <w:r w:rsidR="00024E31">
        <w:t xml:space="preserve"> </w:t>
      </w:r>
      <w:r w:rsidRPr="004877B2">
        <w:t>high</w:t>
      </w:r>
      <w:r w:rsidR="00024E31">
        <w:t xml:space="preserve"> </w:t>
      </w:r>
      <w:r w:rsidRPr="004877B2">
        <w:t>accuracy.</w:t>
      </w:r>
      <w:r w:rsidR="00024E31">
        <w:t xml:space="preserve"> </w:t>
      </w:r>
      <w:r w:rsidRPr="004877B2">
        <w:t>Featuring</w:t>
      </w:r>
      <w:r w:rsidR="00024E31">
        <w:t xml:space="preserve"> </w:t>
      </w:r>
      <w:proofErr w:type="spellStart"/>
      <w:r w:rsidRPr="004877B2">
        <w:t>Sensirion</w:t>
      </w:r>
      <w:proofErr w:type="spellEnd"/>
      <w:r w:rsidR="00024E31">
        <w:t xml:space="preserve"> </w:t>
      </w:r>
      <w:r w:rsidRPr="004877B2">
        <w:t>sensors</w:t>
      </w:r>
      <w:r w:rsidR="00024E31">
        <w:t xml:space="preserve"> </w:t>
      </w:r>
      <w:r w:rsidRPr="004877B2">
        <w:t>with</w:t>
      </w:r>
      <w:r w:rsidR="00024E31">
        <w:t xml:space="preserve"> </w:t>
      </w:r>
      <w:r w:rsidR="000B5564" w:rsidRPr="004877B2">
        <w:t>Bandgap</w:t>
      </w:r>
      <w:r w:rsidR="00024E31">
        <w:t xml:space="preserve"> </w:t>
      </w:r>
      <w:r w:rsidRPr="004877B2">
        <w:t>and</w:t>
      </w:r>
      <w:r w:rsidR="00024E31">
        <w:t xml:space="preserve"> </w:t>
      </w:r>
      <w:r w:rsidRPr="004877B2">
        <w:t>Capacitive</w:t>
      </w:r>
      <w:r w:rsidR="00024E31">
        <w:t xml:space="preserve"> </w:t>
      </w:r>
      <w:r w:rsidRPr="004877B2">
        <w:t>technologies,</w:t>
      </w:r>
      <w:r w:rsidR="00024E31">
        <w:t xml:space="preserve"> </w:t>
      </w:r>
      <w:r w:rsidRPr="004877B2">
        <w:t>it</w:t>
      </w:r>
      <w:r w:rsidR="00024E31">
        <w:t xml:space="preserve"> </w:t>
      </w:r>
      <w:r w:rsidRPr="004877B2">
        <w:t>provides</w:t>
      </w:r>
      <w:r w:rsidR="00C837C5">
        <w:t xml:space="preserve"> </w:t>
      </w:r>
      <w:r w:rsidRPr="004877B2">
        <w:t>temperature</w:t>
      </w:r>
      <w:r w:rsidR="00C837C5">
        <w:t xml:space="preserve"> </w:t>
      </w:r>
      <w:r w:rsidR="00AE278F">
        <w:t>and</w:t>
      </w:r>
      <w:r w:rsidR="00C837C5">
        <w:t xml:space="preserve"> </w:t>
      </w:r>
      <w:r w:rsidRPr="004877B2">
        <w:t>humidity</w:t>
      </w:r>
      <w:r w:rsidR="00FD3121">
        <w:t>. The</w:t>
      </w:r>
      <w:r w:rsidR="00C837C5">
        <w:t xml:space="preserve"> </w:t>
      </w:r>
      <w:proofErr w:type="spellStart"/>
      <w:r w:rsidRPr="004877B2">
        <w:t>Planto</w:t>
      </w:r>
      <w:r w:rsidR="00FD3121">
        <w:t>w</w:t>
      </w:r>
      <w:r w:rsidRPr="004877B2">
        <w:t>er</w:t>
      </w:r>
      <w:proofErr w:type="spellEnd"/>
      <w:r w:rsidR="00C837C5">
        <w:t xml:space="preserve"> </w:t>
      </w:r>
      <w:r w:rsidRPr="004877B2">
        <w:t>laser</w:t>
      </w:r>
      <w:r w:rsidR="00C837C5">
        <w:t xml:space="preserve"> </w:t>
      </w:r>
      <w:r w:rsidRPr="004877B2">
        <w:t>scattering</w:t>
      </w:r>
      <w:r w:rsidR="00C837C5">
        <w:t xml:space="preserve"> </w:t>
      </w:r>
      <w:r w:rsidRPr="004877B2">
        <w:t>sensors</w:t>
      </w:r>
      <w:r w:rsidR="000B5564">
        <w:t xml:space="preserve"> </w:t>
      </w:r>
      <w:r w:rsidRPr="004877B2">
        <w:t>ensure</w:t>
      </w:r>
      <w:r w:rsidR="000B5564">
        <w:t xml:space="preserve"> </w:t>
      </w:r>
      <w:r w:rsidRPr="004877B2">
        <w:t>precise</w:t>
      </w:r>
      <w:r w:rsidR="000B5564">
        <w:t xml:space="preserve"> </w:t>
      </w:r>
      <w:proofErr w:type="gramStart"/>
      <w:r w:rsidRPr="004877B2">
        <w:t>measurement</w:t>
      </w:r>
      <w:proofErr w:type="gramEnd"/>
      <w:r w:rsidR="000B5564">
        <w:t xml:space="preserve"> </w:t>
      </w:r>
      <w:r w:rsidRPr="004877B2">
        <w:t>of</w:t>
      </w:r>
      <w:r w:rsidR="000B5564">
        <w:t xml:space="preserve"> </w:t>
      </w:r>
      <w:r w:rsidRPr="004877B2">
        <w:t>PM1,</w:t>
      </w:r>
      <w:r w:rsidR="000B5564">
        <w:t xml:space="preserve"> </w:t>
      </w:r>
      <w:r w:rsidRPr="004877B2">
        <w:t>PM2.5,</w:t>
      </w:r>
      <w:r w:rsidR="000B5564">
        <w:t xml:space="preserve"> </w:t>
      </w:r>
      <w:r w:rsidRPr="004877B2">
        <w:t>and</w:t>
      </w:r>
      <w:r w:rsidR="000B5564">
        <w:t xml:space="preserve"> </w:t>
      </w:r>
      <w:r w:rsidRPr="004877B2">
        <w:t>PM10</w:t>
      </w:r>
      <w:r w:rsidR="000B5564">
        <w:t xml:space="preserve"> </w:t>
      </w:r>
      <w:r w:rsidR="00AE278F">
        <w:t>with a time resolution of 1 minute</w:t>
      </w:r>
      <w:r w:rsidRPr="004877B2">
        <w:t>.</w:t>
      </w:r>
      <w:r w:rsidR="00AE278F">
        <w:t xml:space="preserve"> </w:t>
      </w:r>
      <w:r w:rsidR="00FD3121">
        <w:t>Sensor’s</w:t>
      </w:r>
      <w:r w:rsidR="00AE278F">
        <w:t xml:space="preserve"> </w:t>
      </w:r>
      <w:r w:rsidR="00C130EA">
        <w:t>characteristics</w:t>
      </w:r>
      <w:r w:rsidR="00AE278F">
        <w:t xml:space="preserve"> are reported in Table 1.</w:t>
      </w:r>
    </w:p>
    <w:p w14:paraId="05A842F0" w14:textId="77777777" w:rsidR="00AE278F" w:rsidRDefault="00AE278F" w:rsidP="00453E24">
      <w:pPr>
        <w:pStyle w:val="CETBodytext"/>
      </w:pPr>
    </w:p>
    <w:p w14:paraId="17E282E2" w14:textId="10102AFA" w:rsidR="00064E57" w:rsidRDefault="0077688A" w:rsidP="00453E24">
      <w:pPr>
        <w:pStyle w:val="CETBodytext"/>
      </w:pPr>
      <w:r>
        <w:rPr>
          <w:noProof/>
        </w:rPr>
        <w:drawing>
          <wp:inline distT="0" distB="0" distL="0" distR="0" wp14:anchorId="5500844B" wp14:editId="230D8678">
            <wp:extent cx="852587" cy="812800"/>
            <wp:effectExtent l="0" t="0" r="5080" b="6350"/>
            <wp:docPr id="308045811" name="Immagine 2" descr="Immagine che contiene verd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45811" name="Immagine 2" descr="Immagine che contiene verde&#10;&#10;Descrizione generata automaticamente"/>
                    <pic:cNvPicPr/>
                  </pic:nvPicPr>
                  <pic:blipFill>
                    <a:blip r:embed="rId10">
                      <a:clrChange>
                        <a:clrFrom>
                          <a:srgbClr val="FFFFFF"/>
                        </a:clrFrom>
                        <a:clrTo>
                          <a:srgbClr val="FFFFFF">
                            <a:alpha val="0"/>
                          </a:srgbClr>
                        </a:clrTo>
                      </a:clrChange>
                    </a:blip>
                    <a:stretch>
                      <a:fillRect/>
                    </a:stretch>
                  </pic:blipFill>
                  <pic:spPr>
                    <a:xfrm>
                      <a:off x="0" y="0"/>
                      <a:ext cx="864414" cy="824075"/>
                    </a:xfrm>
                    <a:prstGeom prst="rect">
                      <a:avLst/>
                    </a:prstGeom>
                  </pic:spPr>
                </pic:pic>
              </a:graphicData>
            </a:graphic>
          </wp:inline>
        </w:drawing>
      </w:r>
    </w:p>
    <w:p w14:paraId="202D3628" w14:textId="19D6CC49" w:rsidR="008872F1" w:rsidRDefault="008872F1" w:rsidP="008872F1">
      <w:pPr>
        <w:pStyle w:val="CETCaption"/>
      </w:pPr>
      <w:r>
        <w:t xml:space="preserve">Figure </w:t>
      </w:r>
      <w:r>
        <w:fldChar w:fldCharType="begin"/>
      </w:r>
      <w:r>
        <w:instrText xml:space="preserve"> SEQ Figure \* ARABIC </w:instrText>
      </w:r>
      <w:r>
        <w:fldChar w:fldCharType="separate"/>
      </w:r>
      <w:r w:rsidR="00C87B7B">
        <w:rPr>
          <w:noProof/>
        </w:rPr>
        <w:t>1</w:t>
      </w:r>
      <w:r>
        <w:fldChar w:fldCharType="end"/>
      </w:r>
      <w:r>
        <w:t xml:space="preserve">. </w:t>
      </w:r>
      <w:r w:rsidR="00E23746">
        <w:t xml:space="preserve">Air quality monitoring device - </w:t>
      </w:r>
      <w:proofErr w:type="spellStart"/>
      <w:r w:rsidR="00E23746">
        <w:t>Sensy</w:t>
      </w:r>
      <w:proofErr w:type="spellEnd"/>
      <w:r>
        <w:t>.</w:t>
      </w:r>
    </w:p>
    <w:p w14:paraId="57AA77DD" w14:textId="2900EA92" w:rsidR="00857147" w:rsidRDefault="00857147" w:rsidP="00857147">
      <w:pPr>
        <w:pStyle w:val="CETCaption"/>
      </w:pPr>
      <w:r>
        <w:t xml:space="preserve">Table </w:t>
      </w:r>
      <w:r>
        <w:fldChar w:fldCharType="begin"/>
      </w:r>
      <w:r>
        <w:instrText xml:space="preserve"> SEQ Table \* ARABIC </w:instrText>
      </w:r>
      <w:r>
        <w:fldChar w:fldCharType="separate"/>
      </w:r>
      <w:r>
        <w:rPr>
          <w:noProof/>
        </w:rPr>
        <w:t>1</w:t>
      </w:r>
      <w:r>
        <w:fldChar w:fldCharType="end"/>
      </w:r>
      <w:r>
        <w:t>. Air quality monitoring device characteristics.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1"/>
        <w:gridCol w:w="1371"/>
        <w:gridCol w:w="720"/>
        <w:gridCol w:w="1461"/>
        <w:gridCol w:w="801"/>
      </w:tblGrid>
      <w:tr w:rsidR="00AA60DF" w:rsidRPr="00B57B36" w14:paraId="74C47DEB" w14:textId="77777777" w:rsidTr="00FD3203">
        <w:tc>
          <w:tcPr>
            <w:tcW w:w="0" w:type="auto"/>
            <w:tcBorders>
              <w:top w:val="single" w:sz="12" w:space="0" w:color="008000"/>
              <w:bottom w:val="single" w:sz="6" w:space="0" w:color="008000"/>
            </w:tcBorders>
            <w:shd w:val="clear" w:color="auto" w:fill="FFFFFF"/>
          </w:tcPr>
          <w:p w14:paraId="490A6873" w14:textId="77777777" w:rsidR="00AA60DF" w:rsidRPr="00B57B36" w:rsidRDefault="00AA60DF" w:rsidP="006C05C8">
            <w:pPr>
              <w:pStyle w:val="CETBodytext"/>
              <w:rPr>
                <w:lang w:val="en-GB"/>
              </w:rPr>
            </w:pPr>
            <w:r w:rsidRPr="00B57B36">
              <w:rPr>
                <w:lang w:val="en-GB"/>
              </w:rPr>
              <w:t xml:space="preserve">Heading1 </w:t>
            </w:r>
          </w:p>
        </w:tc>
        <w:tc>
          <w:tcPr>
            <w:tcW w:w="0" w:type="auto"/>
            <w:tcBorders>
              <w:top w:val="single" w:sz="12" w:space="0" w:color="008000"/>
              <w:bottom w:val="single" w:sz="6" w:space="0" w:color="008000"/>
            </w:tcBorders>
            <w:shd w:val="clear" w:color="auto" w:fill="FFFFFF"/>
          </w:tcPr>
          <w:p w14:paraId="2F55E735" w14:textId="4AF18BBB" w:rsidR="00AA60DF" w:rsidRPr="00B57B36" w:rsidRDefault="00C130EA" w:rsidP="006C05C8">
            <w:pPr>
              <w:pStyle w:val="CETBodytext"/>
              <w:rPr>
                <w:lang w:val="en-GB"/>
              </w:rPr>
            </w:pPr>
            <w:r>
              <w:rPr>
                <w:lang w:val="en-GB"/>
              </w:rPr>
              <w:t>Parameters</w:t>
            </w:r>
          </w:p>
        </w:tc>
        <w:tc>
          <w:tcPr>
            <w:tcW w:w="0" w:type="auto"/>
            <w:tcBorders>
              <w:top w:val="single" w:sz="12" w:space="0" w:color="008000"/>
              <w:bottom w:val="single" w:sz="6" w:space="0" w:color="008000"/>
            </w:tcBorders>
            <w:shd w:val="clear" w:color="auto" w:fill="FFFFFF"/>
          </w:tcPr>
          <w:p w14:paraId="0D93B785" w14:textId="6C2E1868" w:rsidR="00AA60DF" w:rsidRPr="00B57B36" w:rsidRDefault="00630458" w:rsidP="006C05C8">
            <w:pPr>
              <w:pStyle w:val="CETBodytext"/>
              <w:rPr>
                <w:lang w:val="en-GB"/>
              </w:rPr>
            </w:pPr>
            <w:r>
              <w:rPr>
                <w:lang w:val="en-GB"/>
              </w:rPr>
              <w:t>[]</w:t>
            </w:r>
          </w:p>
        </w:tc>
        <w:tc>
          <w:tcPr>
            <w:tcW w:w="0" w:type="auto"/>
            <w:tcBorders>
              <w:top w:val="single" w:sz="12" w:space="0" w:color="008000"/>
              <w:bottom w:val="single" w:sz="6" w:space="0" w:color="008000"/>
            </w:tcBorders>
            <w:shd w:val="clear" w:color="auto" w:fill="FFFFFF"/>
          </w:tcPr>
          <w:p w14:paraId="76F425EE" w14:textId="146FB7B5" w:rsidR="00AA60DF" w:rsidRPr="00B57B36" w:rsidRDefault="00275148" w:rsidP="006C05C8">
            <w:pPr>
              <w:pStyle w:val="CETBodytext"/>
              <w:ind w:right="-1"/>
              <w:rPr>
                <w:rFonts w:cs="Arial"/>
                <w:szCs w:val="18"/>
                <w:lang w:val="en-GB"/>
              </w:rPr>
            </w:pPr>
            <w:r>
              <w:rPr>
                <w:rFonts w:cs="Arial"/>
                <w:szCs w:val="18"/>
                <w:lang w:val="en-GB"/>
              </w:rPr>
              <w:t>Technology</w:t>
            </w:r>
          </w:p>
        </w:tc>
        <w:tc>
          <w:tcPr>
            <w:tcW w:w="0" w:type="auto"/>
            <w:tcBorders>
              <w:top w:val="single" w:sz="12" w:space="0" w:color="008000"/>
              <w:bottom w:val="single" w:sz="6" w:space="0" w:color="008000"/>
            </w:tcBorders>
            <w:shd w:val="clear" w:color="auto" w:fill="FFFFFF"/>
          </w:tcPr>
          <w:p w14:paraId="0F6019A5" w14:textId="3F7A6840" w:rsidR="00AA60DF" w:rsidRPr="00B57B36" w:rsidRDefault="00275148" w:rsidP="006C05C8">
            <w:pPr>
              <w:pStyle w:val="CETBodytext"/>
              <w:ind w:right="-1"/>
              <w:rPr>
                <w:rFonts w:cs="Arial"/>
                <w:szCs w:val="18"/>
                <w:lang w:val="en-GB"/>
              </w:rPr>
            </w:pPr>
            <w:r>
              <w:rPr>
                <w:rFonts w:cs="Arial"/>
                <w:szCs w:val="18"/>
                <w:lang w:val="en-GB"/>
              </w:rPr>
              <w:t>Supplier</w:t>
            </w:r>
          </w:p>
        </w:tc>
      </w:tr>
      <w:tr w:rsidR="00FD3203" w:rsidRPr="00B57B36" w14:paraId="76F65A2A" w14:textId="77777777" w:rsidTr="00FD3203">
        <w:tc>
          <w:tcPr>
            <w:tcW w:w="0" w:type="auto"/>
            <w:vMerge w:val="restart"/>
            <w:shd w:val="clear" w:color="auto" w:fill="FFFFFF"/>
          </w:tcPr>
          <w:p w14:paraId="311F9C4E" w14:textId="5849F177" w:rsidR="00FD3203" w:rsidRPr="00B57B36" w:rsidRDefault="00FD3203" w:rsidP="006C05C8">
            <w:pPr>
              <w:pStyle w:val="CETBodytext"/>
              <w:rPr>
                <w:lang w:val="en-GB"/>
              </w:rPr>
            </w:pPr>
            <w:r>
              <w:rPr>
                <w:lang w:val="en-GB"/>
              </w:rPr>
              <w:t>Microclimate</w:t>
            </w:r>
          </w:p>
        </w:tc>
        <w:tc>
          <w:tcPr>
            <w:tcW w:w="0" w:type="auto"/>
            <w:shd w:val="clear" w:color="auto" w:fill="FFFFFF"/>
          </w:tcPr>
          <w:p w14:paraId="24BC2099" w14:textId="4AB9F7C3" w:rsidR="00FD3203" w:rsidRPr="00B57B36" w:rsidRDefault="00FD3203" w:rsidP="006C05C8">
            <w:pPr>
              <w:pStyle w:val="CETBodytext"/>
              <w:rPr>
                <w:lang w:val="en-GB"/>
              </w:rPr>
            </w:pPr>
            <w:r>
              <w:rPr>
                <w:lang w:val="en-GB"/>
              </w:rPr>
              <w:t>Temperature</w:t>
            </w:r>
          </w:p>
        </w:tc>
        <w:tc>
          <w:tcPr>
            <w:tcW w:w="0" w:type="auto"/>
            <w:shd w:val="clear" w:color="auto" w:fill="FFFFFF"/>
          </w:tcPr>
          <w:p w14:paraId="603B5344" w14:textId="513DE7C9" w:rsidR="00FD3203" w:rsidRPr="00B57B36" w:rsidRDefault="00FD3203" w:rsidP="00630458">
            <w:pPr>
              <w:pStyle w:val="CETBodytext"/>
              <w:rPr>
                <w:lang w:val="en-GB"/>
              </w:rPr>
            </w:pPr>
            <w:r w:rsidRPr="00630458">
              <w:rPr>
                <w:lang w:val="it-IT"/>
              </w:rPr>
              <w:t>±</w:t>
            </w:r>
            <w:r>
              <w:rPr>
                <w:lang w:val="it-IT"/>
              </w:rPr>
              <w:t>0.</w:t>
            </w:r>
            <w:r>
              <w:rPr>
                <w:lang w:val="en-GB"/>
              </w:rPr>
              <w:t>3°C</w:t>
            </w:r>
          </w:p>
        </w:tc>
        <w:tc>
          <w:tcPr>
            <w:tcW w:w="0" w:type="auto"/>
            <w:shd w:val="clear" w:color="auto" w:fill="FFFFFF"/>
          </w:tcPr>
          <w:p w14:paraId="5EF62EB1" w14:textId="63D27884" w:rsidR="00FD3203" w:rsidRPr="00B57B36" w:rsidRDefault="00FD3203" w:rsidP="006C05C8">
            <w:pPr>
              <w:pStyle w:val="CETBodytext"/>
              <w:ind w:right="-1"/>
              <w:rPr>
                <w:rFonts w:cs="Arial"/>
                <w:szCs w:val="18"/>
                <w:lang w:val="en-GB"/>
              </w:rPr>
            </w:pPr>
            <w:proofErr w:type="spellStart"/>
            <w:r>
              <w:rPr>
                <w:rFonts w:cs="Arial"/>
                <w:szCs w:val="18"/>
                <w:lang w:val="en-GB"/>
              </w:rPr>
              <w:t>Sensore</w:t>
            </w:r>
            <w:proofErr w:type="spellEnd"/>
            <w:r>
              <w:rPr>
                <w:rFonts w:cs="Arial"/>
                <w:szCs w:val="18"/>
                <w:lang w:val="en-GB"/>
              </w:rPr>
              <w:t xml:space="preserve"> Bandgap</w:t>
            </w:r>
          </w:p>
        </w:tc>
        <w:tc>
          <w:tcPr>
            <w:tcW w:w="0" w:type="auto"/>
            <w:shd w:val="clear" w:color="auto" w:fill="FFFFFF"/>
          </w:tcPr>
          <w:p w14:paraId="256A3816" w14:textId="333C4CC6" w:rsidR="00FD3203" w:rsidRPr="00B57B36" w:rsidRDefault="00FD3203" w:rsidP="006C05C8">
            <w:pPr>
              <w:pStyle w:val="CETBodytext"/>
              <w:ind w:right="-1"/>
              <w:rPr>
                <w:rFonts w:cs="Arial"/>
                <w:szCs w:val="18"/>
                <w:lang w:val="en-GB"/>
              </w:rPr>
            </w:pPr>
            <w:proofErr w:type="spellStart"/>
            <w:r>
              <w:rPr>
                <w:rFonts w:cs="Arial"/>
                <w:szCs w:val="18"/>
                <w:lang w:val="en-GB"/>
              </w:rPr>
              <w:t>Sensirion</w:t>
            </w:r>
            <w:proofErr w:type="spellEnd"/>
          </w:p>
        </w:tc>
      </w:tr>
      <w:tr w:rsidR="00FD3203" w:rsidRPr="00B57B36" w14:paraId="5E77C743" w14:textId="77777777" w:rsidTr="00FD3203">
        <w:tc>
          <w:tcPr>
            <w:tcW w:w="0" w:type="auto"/>
            <w:vMerge/>
            <w:shd w:val="clear" w:color="auto" w:fill="FFFFFF"/>
          </w:tcPr>
          <w:p w14:paraId="63EDE39C" w14:textId="66A236DC" w:rsidR="00FD3203" w:rsidRPr="00B57B36" w:rsidRDefault="00FD3203" w:rsidP="006C05C8">
            <w:pPr>
              <w:pStyle w:val="CETBodytext"/>
              <w:ind w:right="-1"/>
              <w:rPr>
                <w:rFonts w:cs="Arial"/>
                <w:szCs w:val="18"/>
                <w:lang w:val="en-GB"/>
              </w:rPr>
            </w:pPr>
          </w:p>
        </w:tc>
        <w:tc>
          <w:tcPr>
            <w:tcW w:w="0" w:type="auto"/>
            <w:shd w:val="clear" w:color="auto" w:fill="FFFFFF"/>
          </w:tcPr>
          <w:p w14:paraId="3841B64F" w14:textId="7CEC6856" w:rsidR="00FD3203" w:rsidRPr="00B57B36" w:rsidRDefault="00FD3203" w:rsidP="006C05C8">
            <w:pPr>
              <w:pStyle w:val="CETBodytext"/>
              <w:ind w:right="-1"/>
              <w:rPr>
                <w:rFonts w:cs="Arial"/>
                <w:szCs w:val="18"/>
                <w:lang w:val="en-GB"/>
              </w:rPr>
            </w:pPr>
            <w:r>
              <w:rPr>
                <w:rFonts w:cs="Arial"/>
                <w:szCs w:val="18"/>
                <w:lang w:val="en-GB"/>
              </w:rPr>
              <w:t>Relative humidity</w:t>
            </w:r>
          </w:p>
        </w:tc>
        <w:tc>
          <w:tcPr>
            <w:tcW w:w="0" w:type="auto"/>
            <w:shd w:val="clear" w:color="auto" w:fill="FFFFFF"/>
          </w:tcPr>
          <w:p w14:paraId="4BFBB7FC" w14:textId="086763EC" w:rsidR="00FD3203" w:rsidRPr="00B57B36" w:rsidRDefault="00FD3203" w:rsidP="006C05C8">
            <w:pPr>
              <w:pStyle w:val="CETBodytext"/>
              <w:ind w:right="-1"/>
              <w:rPr>
                <w:rFonts w:cs="Arial"/>
                <w:szCs w:val="18"/>
                <w:lang w:val="en-GB"/>
              </w:rPr>
            </w:pPr>
            <w:r w:rsidRPr="00630458">
              <w:rPr>
                <w:rFonts w:cs="Arial"/>
                <w:szCs w:val="18"/>
                <w:lang w:val="it-IT"/>
              </w:rPr>
              <w:t>±</w:t>
            </w:r>
            <w:r>
              <w:rPr>
                <w:rFonts w:cs="Arial"/>
                <w:szCs w:val="18"/>
                <w:lang w:val="it-IT"/>
              </w:rPr>
              <w:t>2%</w:t>
            </w:r>
          </w:p>
        </w:tc>
        <w:tc>
          <w:tcPr>
            <w:tcW w:w="0" w:type="auto"/>
            <w:shd w:val="clear" w:color="auto" w:fill="FFFFFF"/>
          </w:tcPr>
          <w:p w14:paraId="12CE1CBC" w14:textId="0BA75D6B" w:rsidR="00FD3203" w:rsidRPr="00B57B36" w:rsidRDefault="00FD3203" w:rsidP="006C05C8">
            <w:pPr>
              <w:pStyle w:val="CETBodytext"/>
              <w:ind w:right="-1"/>
              <w:rPr>
                <w:rFonts w:cs="Arial"/>
                <w:szCs w:val="18"/>
                <w:lang w:val="en-GB"/>
              </w:rPr>
            </w:pPr>
            <w:r>
              <w:rPr>
                <w:rFonts w:cs="Arial"/>
                <w:szCs w:val="18"/>
                <w:lang w:val="en-GB"/>
              </w:rPr>
              <w:t>Capacitive Sensor</w:t>
            </w:r>
          </w:p>
        </w:tc>
        <w:tc>
          <w:tcPr>
            <w:tcW w:w="0" w:type="auto"/>
            <w:shd w:val="clear" w:color="auto" w:fill="FFFFFF"/>
          </w:tcPr>
          <w:p w14:paraId="08311824" w14:textId="7D9A863B" w:rsidR="00FD3203" w:rsidRPr="00B57B36" w:rsidRDefault="00FD3203" w:rsidP="006C05C8">
            <w:pPr>
              <w:pStyle w:val="CETBodytext"/>
              <w:ind w:right="-1"/>
              <w:rPr>
                <w:rFonts w:cs="Arial"/>
                <w:szCs w:val="18"/>
                <w:lang w:val="en-GB"/>
              </w:rPr>
            </w:pPr>
            <w:proofErr w:type="spellStart"/>
            <w:r>
              <w:rPr>
                <w:rFonts w:cs="Arial"/>
                <w:szCs w:val="18"/>
                <w:lang w:val="en-GB"/>
              </w:rPr>
              <w:t>Sensirion</w:t>
            </w:r>
            <w:proofErr w:type="spellEnd"/>
          </w:p>
        </w:tc>
      </w:tr>
      <w:tr w:rsidR="00FD3203" w:rsidRPr="00B57B36" w14:paraId="76EB0FF3" w14:textId="77777777" w:rsidTr="00FD3203">
        <w:tc>
          <w:tcPr>
            <w:tcW w:w="0" w:type="auto"/>
            <w:vMerge w:val="restart"/>
            <w:shd w:val="clear" w:color="auto" w:fill="FFFFFF"/>
          </w:tcPr>
          <w:p w14:paraId="4919AF73" w14:textId="43BCA7FB" w:rsidR="00FD3203" w:rsidRPr="00B57B36" w:rsidRDefault="00FD3203" w:rsidP="006C05C8">
            <w:pPr>
              <w:pStyle w:val="CETBodytext"/>
              <w:ind w:right="-1"/>
              <w:rPr>
                <w:rFonts w:cs="Arial"/>
                <w:szCs w:val="18"/>
                <w:lang w:val="en-GB"/>
              </w:rPr>
            </w:pPr>
            <w:r>
              <w:rPr>
                <w:rFonts w:cs="Arial"/>
                <w:szCs w:val="18"/>
                <w:lang w:val="en-GB"/>
              </w:rPr>
              <w:t>Particulate Matter</w:t>
            </w:r>
          </w:p>
        </w:tc>
        <w:tc>
          <w:tcPr>
            <w:tcW w:w="0" w:type="auto"/>
            <w:shd w:val="clear" w:color="auto" w:fill="FFFFFF"/>
          </w:tcPr>
          <w:p w14:paraId="796CA29E" w14:textId="0ABD6E35" w:rsidR="00FD3203" w:rsidRDefault="00FD3203" w:rsidP="006C05C8">
            <w:pPr>
              <w:pStyle w:val="CETBodytext"/>
              <w:ind w:right="-1"/>
              <w:rPr>
                <w:rFonts w:cs="Arial"/>
                <w:szCs w:val="18"/>
                <w:lang w:val="en-GB"/>
              </w:rPr>
            </w:pPr>
            <w:r>
              <w:rPr>
                <w:rFonts w:cs="Arial"/>
                <w:szCs w:val="18"/>
                <w:lang w:val="en-GB"/>
              </w:rPr>
              <w:t>PM10</w:t>
            </w:r>
          </w:p>
        </w:tc>
        <w:tc>
          <w:tcPr>
            <w:tcW w:w="0" w:type="auto"/>
            <w:shd w:val="clear" w:color="auto" w:fill="FFFFFF"/>
          </w:tcPr>
          <w:p w14:paraId="57A7916A" w14:textId="5EEF7271" w:rsidR="00FD3203" w:rsidRPr="00B57B36" w:rsidRDefault="00FD3203" w:rsidP="006C05C8">
            <w:pPr>
              <w:pStyle w:val="CETBodytext"/>
              <w:ind w:right="-1"/>
              <w:rPr>
                <w:rFonts w:cs="Arial"/>
                <w:szCs w:val="18"/>
                <w:lang w:val="en-GB"/>
              </w:rPr>
            </w:pPr>
            <w:r w:rsidRPr="00630458">
              <w:rPr>
                <w:rFonts w:cs="Arial"/>
                <w:szCs w:val="18"/>
                <w:lang w:val="it-IT"/>
              </w:rPr>
              <w:t>±</w:t>
            </w:r>
            <w:r>
              <w:rPr>
                <w:rFonts w:cs="Arial"/>
                <w:szCs w:val="18"/>
                <w:lang w:val="it-IT"/>
              </w:rPr>
              <w:t xml:space="preserve">5 </w:t>
            </w:r>
            <w:r>
              <w:rPr>
                <w:rFonts w:cs="Arial"/>
                <w:szCs w:val="18"/>
                <w:lang w:val="it-IT"/>
              </w:rPr>
              <w:sym w:font="Symbol" w:char="F06D"/>
            </w:r>
            <w:r>
              <w:rPr>
                <w:rFonts w:cs="Arial"/>
                <w:szCs w:val="18"/>
                <w:lang w:val="it-IT"/>
              </w:rPr>
              <w:t>g/m</w:t>
            </w:r>
            <w:r w:rsidRPr="00275148">
              <w:rPr>
                <w:rFonts w:cs="Arial"/>
                <w:szCs w:val="18"/>
                <w:vertAlign w:val="superscript"/>
                <w:lang w:val="it-IT"/>
              </w:rPr>
              <w:t>3</w:t>
            </w:r>
          </w:p>
        </w:tc>
        <w:tc>
          <w:tcPr>
            <w:tcW w:w="0" w:type="auto"/>
            <w:shd w:val="clear" w:color="auto" w:fill="FFFFFF"/>
          </w:tcPr>
          <w:p w14:paraId="52827FD3" w14:textId="4287DCBD" w:rsidR="00FD3203" w:rsidRPr="00B57B36" w:rsidRDefault="00FD3203" w:rsidP="006C05C8">
            <w:pPr>
              <w:pStyle w:val="CETBodytext"/>
              <w:ind w:right="-1"/>
              <w:rPr>
                <w:rFonts w:cs="Arial"/>
                <w:szCs w:val="18"/>
                <w:lang w:val="en-GB"/>
              </w:rPr>
            </w:pPr>
            <w:r>
              <w:rPr>
                <w:rFonts w:cs="Arial"/>
                <w:szCs w:val="18"/>
                <w:lang w:val="en-GB"/>
              </w:rPr>
              <w:t>Laser Scattering</w:t>
            </w:r>
          </w:p>
        </w:tc>
        <w:tc>
          <w:tcPr>
            <w:tcW w:w="0" w:type="auto"/>
            <w:shd w:val="clear" w:color="auto" w:fill="FFFFFF"/>
          </w:tcPr>
          <w:p w14:paraId="736EA634" w14:textId="333D11FA" w:rsidR="00FD3203" w:rsidRPr="00B57B36" w:rsidRDefault="00FD3203" w:rsidP="006C05C8">
            <w:pPr>
              <w:pStyle w:val="CETBodytext"/>
              <w:ind w:right="-1"/>
              <w:rPr>
                <w:rFonts w:cs="Arial"/>
                <w:szCs w:val="18"/>
                <w:lang w:val="en-GB"/>
              </w:rPr>
            </w:pPr>
            <w:proofErr w:type="spellStart"/>
            <w:r>
              <w:rPr>
                <w:rFonts w:cs="Arial"/>
                <w:szCs w:val="18"/>
                <w:lang w:val="en-GB"/>
              </w:rPr>
              <w:t>Plantower</w:t>
            </w:r>
            <w:proofErr w:type="spellEnd"/>
          </w:p>
        </w:tc>
      </w:tr>
      <w:tr w:rsidR="00FD3203" w:rsidRPr="00B57B36" w14:paraId="7D2946CB" w14:textId="77777777" w:rsidTr="00FD3203">
        <w:tc>
          <w:tcPr>
            <w:tcW w:w="0" w:type="auto"/>
            <w:vMerge/>
            <w:shd w:val="clear" w:color="auto" w:fill="FFFFFF"/>
          </w:tcPr>
          <w:p w14:paraId="4E7572C7" w14:textId="77777777" w:rsidR="00FD3203" w:rsidRPr="00B57B36" w:rsidRDefault="00FD3203" w:rsidP="006C05C8">
            <w:pPr>
              <w:pStyle w:val="CETBodytext"/>
              <w:ind w:right="-1"/>
              <w:rPr>
                <w:rFonts w:cs="Arial"/>
                <w:szCs w:val="18"/>
                <w:lang w:val="en-GB"/>
              </w:rPr>
            </w:pPr>
          </w:p>
        </w:tc>
        <w:tc>
          <w:tcPr>
            <w:tcW w:w="0" w:type="auto"/>
            <w:shd w:val="clear" w:color="auto" w:fill="FFFFFF"/>
          </w:tcPr>
          <w:p w14:paraId="0AC10BA5" w14:textId="09352428" w:rsidR="00FD3203" w:rsidRDefault="00FD3203" w:rsidP="006C05C8">
            <w:pPr>
              <w:pStyle w:val="CETBodytext"/>
              <w:ind w:right="-1"/>
              <w:rPr>
                <w:rFonts w:cs="Arial"/>
                <w:szCs w:val="18"/>
                <w:lang w:val="en-GB"/>
              </w:rPr>
            </w:pPr>
            <w:r>
              <w:rPr>
                <w:rFonts w:cs="Arial"/>
                <w:szCs w:val="18"/>
                <w:lang w:val="en-GB"/>
              </w:rPr>
              <w:t>PM2.5</w:t>
            </w:r>
          </w:p>
        </w:tc>
        <w:tc>
          <w:tcPr>
            <w:tcW w:w="0" w:type="auto"/>
            <w:shd w:val="clear" w:color="auto" w:fill="FFFFFF"/>
          </w:tcPr>
          <w:p w14:paraId="2AE87A21" w14:textId="24890140" w:rsidR="00FD3203" w:rsidRPr="00B57B36" w:rsidRDefault="00FD3203" w:rsidP="006C05C8">
            <w:pPr>
              <w:pStyle w:val="CETBodytext"/>
              <w:ind w:right="-1"/>
              <w:rPr>
                <w:rFonts w:cs="Arial"/>
                <w:szCs w:val="18"/>
                <w:lang w:val="en-GB"/>
              </w:rPr>
            </w:pPr>
            <w:r w:rsidRPr="00630458">
              <w:rPr>
                <w:rFonts w:cs="Arial"/>
                <w:szCs w:val="18"/>
                <w:lang w:val="it-IT"/>
              </w:rPr>
              <w:t>±</w:t>
            </w:r>
            <w:r>
              <w:rPr>
                <w:rFonts w:cs="Arial"/>
                <w:szCs w:val="18"/>
                <w:lang w:val="it-IT"/>
              </w:rPr>
              <w:t xml:space="preserve">5 </w:t>
            </w:r>
            <w:r>
              <w:rPr>
                <w:rFonts w:cs="Arial"/>
                <w:szCs w:val="18"/>
                <w:lang w:val="it-IT"/>
              </w:rPr>
              <w:sym w:font="Symbol" w:char="F06D"/>
            </w:r>
            <w:r>
              <w:rPr>
                <w:rFonts w:cs="Arial"/>
                <w:szCs w:val="18"/>
                <w:lang w:val="it-IT"/>
              </w:rPr>
              <w:t>g/m</w:t>
            </w:r>
            <w:r w:rsidRPr="00275148">
              <w:rPr>
                <w:rFonts w:cs="Arial"/>
                <w:szCs w:val="18"/>
                <w:vertAlign w:val="superscript"/>
                <w:lang w:val="it-IT"/>
              </w:rPr>
              <w:t>3</w:t>
            </w:r>
          </w:p>
        </w:tc>
        <w:tc>
          <w:tcPr>
            <w:tcW w:w="0" w:type="auto"/>
            <w:shd w:val="clear" w:color="auto" w:fill="FFFFFF"/>
          </w:tcPr>
          <w:p w14:paraId="33A21EE1" w14:textId="3C5628F6" w:rsidR="00FD3203" w:rsidRPr="00B57B36" w:rsidRDefault="00FD3203" w:rsidP="006C05C8">
            <w:pPr>
              <w:pStyle w:val="CETBodytext"/>
              <w:ind w:right="-1"/>
              <w:rPr>
                <w:rFonts w:cs="Arial"/>
                <w:szCs w:val="18"/>
                <w:lang w:val="en-GB"/>
              </w:rPr>
            </w:pPr>
            <w:r>
              <w:rPr>
                <w:rFonts w:cs="Arial"/>
                <w:szCs w:val="18"/>
                <w:lang w:val="en-GB"/>
              </w:rPr>
              <w:t>Laser Scattering</w:t>
            </w:r>
          </w:p>
        </w:tc>
        <w:tc>
          <w:tcPr>
            <w:tcW w:w="0" w:type="auto"/>
            <w:shd w:val="clear" w:color="auto" w:fill="FFFFFF"/>
          </w:tcPr>
          <w:p w14:paraId="6D875DE0" w14:textId="744B0860" w:rsidR="00FD3203" w:rsidRPr="00B57B36" w:rsidRDefault="00FD3203" w:rsidP="006C05C8">
            <w:pPr>
              <w:pStyle w:val="CETBodytext"/>
              <w:ind w:right="-1"/>
              <w:rPr>
                <w:rFonts w:cs="Arial"/>
                <w:szCs w:val="18"/>
                <w:lang w:val="en-GB"/>
              </w:rPr>
            </w:pPr>
            <w:proofErr w:type="spellStart"/>
            <w:r>
              <w:rPr>
                <w:rFonts w:cs="Arial"/>
                <w:szCs w:val="18"/>
                <w:lang w:val="en-GB"/>
              </w:rPr>
              <w:t>Plantower</w:t>
            </w:r>
            <w:proofErr w:type="spellEnd"/>
          </w:p>
        </w:tc>
      </w:tr>
      <w:tr w:rsidR="00FD3203" w:rsidRPr="00B57B36" w14:paraId="1DCA62E5" w14:textId="77777777" w:rsidTr="00FD3203">
        <w:tc>
          <w:tcPr>
            <w:tcW w:w="0" w:type="auto"/>
            <w:vMerge/>
            <w:shd w:val="clear" w:color="auto" w:fill="FFFFFF"/>
          </w:tcPr>
          <w:p w14:paraId="32CFCF3F" w14:textId="77777777" w:rsidR="00FD3203" w:rsidRPr="00B57B36" w:rsidRDefault="00FD3203" w:rsidP="006C05C8">
            <w:pPr>
              <w:pStyle w:val="CETBodytext"/>
              <w:ind w:right="-1"/>
              <w:rPr>
                <w:rFonts w:cs="Arial"/>
                <w:szCs w:val="18"/>
                <w:lang w:val="en-GB"/>
              </w:rPr>
            </w:pPr>
          </w:p>
        </w:tc>
        <w:tc>
          <w:tcPr>
            <w:tcW w:w="0" w:type="auto"/>
            <w:shd w:val="clear" w:color="auto" w:fill="FFFFFF"/>
          </w:tcPr>
          <w:p w14:paraId="694E6200" w14:textId="154EFFAD" w:rsidR="00FD3203" w:rsidRDefault="00FD3203" w:rsidP="006C05C8">
            <w:pPr>
              <w:pStyle w:val="CETBodytext"/>
              <w:ind w:right="-1"/>
              <w:rPr>
                <w:rFonts w:cs="Arial"/>
                <w:szCs w:val="18"/>
                <w:lang w:val="en-GB"/>
              </w:rPr>
            </w:pPr>
            <w:r>
              <w:rPr>
                <w:rFonts w:cs="Arial"/>
                <w:szCs w:val="18"/>
                <w:lang w:val="en-GB"/>
              </w:rPr>
              <w:t>PM1</w:t>
            </w:r>
          </w:p>
        </w:tc>
        <w:tc>
          <w:tcPr>
            <w:tcW w:w="0" w:type="auto"/>
            <w:shd w:val="clear" w:color="auto" w:fill="FFFFFF"/>
          </w:tcPr>
          <w:p w14:paraId="7F128A17" w14:textId="3CFB6BBA" w:rsidR="00FD3203" w:rsidRPr="00B57B36" w:rsidRDefault="00FD3203" w:rsidP="006C05C8">
            <w:pPr>
              <w:pStyle w:val="CETBodytext"/>
              <w:ind w:right="-1"/>
              <w:rPr>
                <w:rFonts w:cs="Arial"/>
                <w:szCs w:val="18"/>
                <w:lang w:val="en-GB"/>
              </w:rPr>
            </w:pPr>
            <w:r w:rsidRPr="00630458">
              <w:rPr>
                <w:rFonts w:cs="Arial"/>
                <w:szCs w:val="18"/>
                <w:lang w:val="it-IT"/>
              </w:rPr>
              <w:t>±</w:t>
            </w:r>
            <w:r>
              <w:rPr>
                <w:rFonts w:cs="Arial"/>
                <w:szCs w:val="18"/>
                <w:lang w:val="it-IT"/>
              </w:rPr>
              <w:t xml:space="preserve">5 </w:t>
            </w:r>
            <w:r>
              <w:rPr>
                <w:rFonts w:cs="Arial"/>
                <w:szCs w:val="18"/>
                <w:lang w:val="it-IT"/>
              </w:rPr>
              <w:sym w:font="Symbol" w:char="F06D"/>
            </w:r>
            <w:r>
              <w:rPr>
                <w:rFonts w:cs="Arial"/>
                <w:szCs w:val="18"/>
                <w:lang w:val="it-IT"/>
              </w:rPr>
              <w:t>g/m</w:t>
            </w:r>
            <w:r w:rsidRPr="00275148">
              <w:rPr>
                <w:rFonts w:cs="Arial"/>
                <w:szCs w:val="18"/>
                <w:vertAlign w:val="superscript"/>
                <w:lang w:val="it-IT"/>
              </w:rPr>
              <w:t>3</w:t>
            </w:r>
          </w:p>
        </w:tc>
        <w:tc>
          <w:tcPr>
            <w:tcW w:w="0" w:type="auto"/>
            <w:shd w:val="clear" w:color="auto" w:fill="FFFFFF"/>
          </w:tcPr>
          <w:p w14:paraId="05488A5F" w14:textId="506E280D" w:rsidR="00FD3203" w:rsidRPr="00B57B36" w:rsidRDefault="00FD3203" w:rsidP="006C05C8">
            <w:pPr>
              <w:pStyle w:val="CETBodytext"/>
              <w:ind w:right="-1"/>
              <w:rPr>
                <w:rFonts w:cs="Arial"/>
                <w:szCs w:val="18"/>
                <w:lang w:val="en-GB"/>
              </w:rPr>
            </w:pPr>
            <w:r>
              <w:rPr>
                <w:rFonts w:cs="Arial"/>
                <w:szCs w:val="18"/>
                <w:lang w:val="en-GB"/>
              </w:rPr>
              <w:t>Laser Scattering</w:t>
            </w:r>
          </w:p>
        </w:tc>
        <w:tc>
          <w:tcPr>
            <w:tcW w:w="0" w:type="auto"/>
            <w:shd w:val="clear" w:color="auto" w:fill="FFFFFF"/>
          </w:tcPr>
          <w:p w14:paraId="4AF11549" w14:textId="2C4780E6" w:rsidR="00FD3203" w:rsidRPr="00B57B36" w:rsidRDefault="00FD3203" w:rsidP="006C05C8">
            <w:pPr>
              <w:pStyle w:val="CETBodytext"/>
              <w:ind w:right="-1"/>
              <w:rPr>
                <w:rFonts w:cs="Arial"/>
                <w:szCs w:val="18"/>
                <w:lang w:val="en-GB"/>
              </w:rPr>
            </w:pPr>
            <w:proofErr w:type="spellStart"/>
            <w:r>
              <w:rPr>
                <w:rFonts w:cs="Arial"/>
                <w:szCs w:val="18"/>
                <w:lang w:val="en-GB"/>
              </w:rPr>
              <w:t>Plantower</w:t>
            </w:r>
            <w:proofErr w:type="spellEnd"/>
          </w:p>
        </w:tc>
      </w:tr>
    </w:tbl>
    <w:p w14:paraId="6C30BE55" w14:textId="77777777" w:rsidR="0077688A" w:rsidRPr="008872F1" w:rsidRDefault="0077688A" w:rsidP="00453E24">
      <w:pPr>
        <w:pStyle w:val="CETBodytext"/>
        <w:rPr>
          <w:lang w:val="en-GB"/>
        </w:rPr>
      </w:pPr>
    </w:p>
    <w:p w14:paraId="2C082F6C" w14:textId="04956108" w:rsidR="00406D91" w:rsidRDefault="00406D91" w:rsidP="00406D91">
      <w:pPr>
        <w:pStyle w:val="CETBodytext"/>
      </w:pPr>
      <w:r>
        <w:t>For data analysis, the hourly, daily and monthly averages obtained from the measurement station (M) considered were considered.</w:t>
      </w:r>
    </w:p>
    <w:p w14:paraId="6C51CF31" w14:textId="53EBBABB" w:rsidR="00F8459D" w:rsidRDefault="00406D91" w:rsidP="00406D91">
      <w:pPr>
        <w:pStyle w:val="CETBodytext"/>
      </w:pPr>
      <w:r>
        <w:lastRenderedPageBreak/>
        <w:t>To evaluate the effect of the fire, the contribution of the monthly pollution</w:t>
      </w:r>
      <w:r w:rsidR="00BC2392">
        <w:t xml:space="preserve"> C</w:t>
      </w:r>
      <w:r w:rsidR="00C2610F" w:rsidRPr="00C2610F">
        <w:rPr>
          <w:vertAlign w:val="subscript"/>
        </w:rPr>
        <w:t>m</w:t>
      </w:r>
      <w:r>
        <w:t xml:space="preserve"> was subtracted from each measured daily </w:t>
      </w:r>
      <w:r w:rsidR="00C2610F">
        <w:t>C</w:t>
      </w:r>
      <w:r w:rsidR="00C2610F" w:rsidRPr="00C2610F">
        <w:rPr>
          <w:vertAlign w:val="subscript"/>
        </w:rPr>
        <w:t>g</w:t>
      </w:r>
      <w:r w:rsidR="00C2610F">
        <w:t xml:space="preserve"> </w:t>
      </w:r>
      <w:r>
        <w:t>value as described by Equation 1.</w:t>
      </w:r>
      <w:r w:rsidR="00B83498" w:rsidRPr="00B83498">
        <w:t xml:space="preserve"> </w:t>
      </w:r>
      <w:r w:rsidR="00B83498">
        <w:rPr>
          <w:rFonts w:ascii="GreekC" w:hAnsi="GreekC" w:cs="GreekC"/>
        </w:rPr>
        <w:t>D</w:t>
      </w:r>
      <w:r w:rsidR="00B83498">
        <w:t xml:space="preserve"> </w:t>
      </w:r>
      <w:r w:rsidR="00B83498" w:rsidRPr="00B83498">
        <w:t>represents the deviation of the daily value from the background from which the presence of an event considered anomalous can be highlighted.</w:t>
      </w:r>
    </w:p>
    <w:p w14:paraId="6E5D4451" w14:textId="77777777" w:rsidR="009D6CE0" w:rsidRDefault="009D6CE0" w:rsidP="00406D91">
      <w:pPr>
        <w:pStyle w:val="CETBodytext"/>
      </w:pPr>
    </w:p>
    <w:tbl>
      <w:tblPr>
        <w:tblW w:w="5000" w:type="pct"/>
        <w:tblLook w:val="04A0" w:firstRow="1" w:lastRow="0" w:firstColumn="1" w:lastColumn="0" w:noHBand="0" w:noVBand="1"/>
      </w:tblPr>
      <w:tblGrid>
        <w:gridCol w:w="7984"/>
        <w:gridCol w:w="803"/>
      </w:tblGrid>
      <w:tr w:rsidR="009D6CE0" w:rsidRPr="00B57B36" w14:paraId="00C10AE4" w14:textId="77777777" w:rsidTr="0094337C">
        <w:tc>
          <w:tcPr>
            <w:tcW w:w="8188" w:type="dxa"/>
            <w:shd w:val="clear" w:color="auto" w:fill="auto"/>
            <w:vAlign w:val="center"/>
          </w:tcPr>
          <w:p w14:paraId="1C4DA771" w14:textId="1496364D" w:rsidR="009D6CE0" w:rsidRPr="00B57B36" w:rsidRDefault="002122D2" w:rsidP="0094337C">
            <w:pPr>
              <w:pStyle w:val="CETEquation"/>
            </w:pPr>
            <w:r>
              <w:rPr>
                <w:noProof/>
              </w:rPr>
              <w:drawing>
                <wp:inline distT="0" distB="0" distL="0" distR="0" wp14:anchorId="323C9125" wp14:editId="6ACA12DA">
                  <wp:extent cx="982133" cy="277853"/>
                  <wp:effectExtent l="0" t="0" r="0" b="8255"/>
                  <wp:docPr id="86175200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1121" cy="283225"/>
                          </a:xfrm>
                          <a:prstGeom prst="rect">
                            <a:avLst/>
                          </a:prstGeom>
                          <a:noFill/>
                        </pic:spPr>
                      </pic:pic>
                    </a:graphicData>
                  </a:graphic>
                </wp:inline>
              </w:drawing>
            </w:r>
          </w:p>
        </w:tc>
        <w:tc>
          <w:tcPr>
            <w:tcW w:w="815" w:type="dxa"/>
            <w:shd w:val="clear" w:color="auto" w:fill="auto"/>
            <w:vAlign w:val="center"/>
          </w:tcPr>
          <w:p w14:paraId="6A1D4A87" w14:textId="77777777" w:rsidR="009D6CE0" w:rsidRPr="00B57B36" w:rsidRDefault="009D6CE0" w:rsidP="0094337C">
            <w:pPr>
              <w:pStyle w:val="CETEquation"/>
              <w:jc w:val="right"/>
            </w:pPr>
            <w:r w:rsidRPr="00B57B36">
              <w:t>(1)</w:t>
            </w:r>
          </w:p>
        </w:tc>
      </w:tr>
    </w:tbl>
    <w:p w14:paraId="18BAFA6F" w14:textId="51C82400" w:rsidR="00453E24" w:rsidRPr="00B57B36" w:rsidRDefault="00064E57" w:rsidP="00453E24">
      <w:pPr>
        <w:pStyle w:val="CETheadingx"/>
      </w:pPr>
      <w:r>
        <w:t>Wildfire Events</w:t>
      </w:r>
    </w:p>
    <w:p w14:paraId="27380F1B" w14:textId="13C47D1B" w:rsidR="00473188" w:rsidRDefault="00E40BD6" w:rsidP="00453E24">
      <w:pPr>
        <w:pStyle w:val="CETBodytext"/>
        <w:rPr>
          <w:lang w:val="en-GB"/>
        </w:rPr>
      </w:pPr>
      <w:r w:rsidRPr="00E40BD6">
        <w:rPr>
          <w:lang w:val="en-GB"/>
        </w:rPr>
        <w:t>Among the numerous fires that occurred during the period June-</w:t>
      </w:r>
      <w:r w:rsidR="00B61F67">
        <w:rPr>
          <w:lang w:val="en-GB"/>
        </w:rPr>
        <w:t>September</w:t>
      </w:r>
      <w:r w:rsidRPr="00E40BD6">
        <w:rPr>
          <w:lang w:val="en-GB"/>
        </w:rPr>
        <w:t xml:space="preserve"> 2024, three significant events were selected, whose effects are visible from the measurements of the air quality </w:t>
      </w:r>
      <w:r>
        <w:rPr>
          <w:lang w:val="en-GB"/>
        </w:rPr>
        <w:t>monitoring site</w:t>
      </w:r>
      <w:r w:rsidRPr="00E40BD6">
        <w:rPr>
          <w:lang w:val="en-GB"/>
        </w:rPr>
        <w:t xml:space="preserve"> considered. The three events considered </w:t>
      </w:r>
      <w:r>
        <w:rPr>
          <w:lang w:val="en-GB"/>
        </w:rPr>
        <w:t>involv</w:t>
      </w:r>
      <w:r w:rsidR="002C5189">
        <w:rPr>
          <w:lang w:val="en-GB"/>
        </w:rPr>
        <w:t>ed</w:t>
      </w:r>
      <w:r w:rsidRPr="00E40BD6">
        <w:rPr>
          <w:lang w:val="en-GB"/>
        </w:rPr>
        <w:t xml:space="preserve"> the western area of Rome as defined in Figure 2.</w:t>
      </w:r>
      <w:r w:rsidR="00473188">
        <w:rPr>
          <w:lang w:val="en-GB"/>
        </w:rPr>
        <w:t xml:space="preserve"> </w:t>
      </w:r>
    </w:p>
    <w:p w14:paraId="521A94E2" w14:textId="6869358B" w:rsidR="00BA0F3C" w:rsidRDefault="00473188" w:rsidP="00453E24">
      <w:pPr>
        <w:pStyle w:val="CETBodytext"/>
        <w:rPr>
          <w:lang w:val="en-GB"/>
        </w:rPr>
      </w:pPr>
      <w:r w:rsidRPr="00473188">
        <w:rPr>
          <w:lang w:val="en-GB"/>
        </w:rPr>
        <w:t>Abandoned plastic, brushwood and uncultivated greenery are among the main causes of the fires which, combined with the high temperatures that characterised the period June-August 2024 and the prolonged absence of rain, have created a very fertile environment for the rapid spread of the flames.</w:t>
      </w:r>
    </w:p>
    <w:p w14:paraId="4C768EBF" w14:textId="77777777" w:rsidR="002C5189" w:rsidRDefault="002C5189" w:rsidP="00453E24">
      <w:pPr>
        <w:pStyle w:val="CETBodytext"/>
        <w:rPr>
          <w:lang w:val="en-GB"/>
        </w:rPr>
      </w:pPr>
    </w:p>
    <w:p w14:paraId="1DC13123" w14:textId="17012216" w:rsidR="00FE745D" w:rsidRPr="003A78F6" w:rsidRDefault="00495239" w:rsidP="00453E24">
      <w:pPr>
        <w:pStyle w:val="CETBodytext"/>
        <w:rPr>
          <w:u w:val="single"/>
          <w:lang w:val="en-GB"/>
        </w:rPr>
      </w:pPr>
      <w:r w:rsidRPr="003A78F6">
        <w:rPr>
          <w:u w:val="single"/>
          <w:lang w:val="en-GB"/>
        </w:rPr>
        <w:t>20 June 2024</w:t>
      </w:r>
      <w:r w:rsidR="00DA3589" w:rsidRPr="003A78F6">
        <w:rPr>
          <w:u w:val="single"/>
          <w:lang w:val="en-GB"/>
        </w:rPr>
        <w:t xml:space="preserve"> (wildfire event 1)</w:t>
      </w:r>
    </w:p>
    <w:p w14:paraId="3A78EB42" w14:textId="67F327F2" w:rsidR="00495239" w:rsidRDefault="002D6CC5" w:rsidP="00453E24">
      <w:pPr>
        <w:pStyle w:val="CETBodytext"/>
        <w:rPr>
          <w:lang w:val="en-GB"/>
        </w:rPr>
      </w:pPr>
      <w:r w:rsidRPr="002D6CC5">
        <w:rPr>
          <w:lang w:val="en-GB"/>
        </w:rPr>
        <w:t>In the</w:t>
      </w:r>
      <w:r w:rsidR="00D52F47">
        <w:rPr>
          <w:lang w:val="en-GB"/>
        </w:rPr>
        <w:t xml:space="preserve"> Rome</w:t>
      </w:r>
      <w:r w:rsidRPr="002D6CC5">
        <w:rPr>
          <w:lang w:val="en-GB"/>
        </w:rPr>
        <w:t xml:space="preserve"> </w:t>
      </w:r>
      <w:r w:rsidR="00D52F47">
        <w:rPr>
          <w:lang w:val="en-GB"/>
        </w:rPr>
        <w:t>western area</w:t>
      </w:r>
      <w:r w:rsidRPr="002D6CC5">
        <w:rPr>
          <w:lang w:val="en-GB"/>
        </w:rPr>
        <w:t>, a fire broke out around 1:00 p.m. on Thursday, June 20. The flames started near an illegal settlement and involved waste and plastic and a large area of scrub. A huge black cloud was visible from various areas of Rome.</w:t>
      </w:r>
    </w:p>
    <w:p w14:paraId="6A3F760F" w14:textId="77777777" w:rsidR="00420CF0" w:rsidRDefault="00420CF0" w:rsidP="00453E24">
      <w:pPr>
        <w:pStyle w:val="CETBodytext"/>
        <w:rPr>
          <w:lang w:val="en-GB"/>
        </w:rPr>
      </w:pPr>
    </w:p>
    <w:p w14:paraId="0293E600" w14:textId="4B56B1AC" w:rsidR="00420CF0" w:rsidRDefault="00420CF0" w:rsidP="00453E24">
      <w:pPr>
        <w:pStyle w:val="CETBodytext"/>
        <w:rPr>
          <w:u w:val="single"/>
          <w:lang w:val="en-GB"/>
        </w:rPr>
      </w:pPr>
      <w:r w:rsidRPr="00C71489">
        <w:rPr>
          <w:u w:val="single"/>
          <w:lang w:val="en-GB"/>
        </w:rPr>
        <w:t>7</w:t>
      </w:r>
      <w:r w:rsidR="00C71489" w:rsidRPr="00C71489">
        <w:rPr>
          <w:u w:val="single"/>
          <w:lang w:val="en-GB"/>
        </w:rPr>
        <w:t>July 2024 (wildfire event 2)</w:t>
      </w:r>
    </w:p>
    <w:p w14:paraId="6A156108" w14:textId="6C764C76" w:rsidR="00C71489" w:rsidRPr="00055B40" w:rsidRDefault="00055B40" w:rsidP="00453E24">
      <w:pPr>
        <w:pStyle w:val="CETBodytext"/>
        <w:rPr>
          <w:lang w:val="en-GB"/>
        </w:rPr>
      </w:pPr>
      <w:r w:rsidRPr="00055B40">
        <w:rPr>
          <w:lang w:val="en-GB"/>
        </w:rPr>
        <w:t>The fire broke out near a public park involving dry grass and abandoned garbage and lasted several hours.</w:t>
      </w:r>
    </w:p>
    <w:p w14:paraId="637B2575" w14:textId="77777777" w:rsidR="002D6CC5" w:rsidRPr="00055B40" w:rsidRDefault="002D6CC5" w:rsidP="00453E24">
      <w:pPr>
        <w:pStyle w:val="CETBodytext"/>
        <w:rPr>
          <w:lang w:val="en-GB"/>
        </w:rPr>
      </w:pPr>
    </w:p>
    <w:p w14:paraId="54C15D0C" w14:textId="7846AC7C" w:rsidR="00495239" w:rsidRDefault="00C307B8" w:rsidP="00453E24">
      <w:pPr>
        <w:pStyle w:val="CETBodytext"/>
        <w:rPr>
          <w:u w:val="single"/>
          <w:lang w:val="en-GB"/>
        </w:rPr>
      </w:pPr>
      <w:r>
        <w:rPr>
          <w:u w:val="single"/>
          <w:lang w:val="en-GB"/>
        </w:rPr>
        <w:t>17 July</w:t>
      </w:r>
      <w:r w:rsidR="00495239" w:rsidRPr="003A78F6">
        <w:rPr>
          <w:u w:val="single"/>
          <w:lang w:val="en-GB"/>
        </w:rPr>
        <w:t xml:space="preserve"> 2024</w:t>
      </w:r>
      <w:r w:rsidR="00DA3589" w:rsidRPr="003A78F6">
        <w:rPr>
          <w:u w:val="single"/>
          <w:lang w:val="en-GB"/>
        </w:rPr>
        <w:t xml:space="preserve"> (wildfire event </w:t>
      </w:r>
      <w:r w:rsidR="00C71489">
        <w:rPr>
          <w:u w:val="single"/>
          <w:lang w:val="en-GB"/>
        </w:rPr>
        <w:t>3</w:t>
      </w:r>
    </w:p>
    <w:p w14:paraId="0B19AC21" w14:textId="77777777" w:rsidR="00AD0BF4" w:rsidRPr="00A63C98" w:rsidRDefault="00D26BA4" w:rsidP="00453E24">
      <w:pPr>
        <w:pStyle w:val="CETBodytext"/>
        <w:rPr>
          <w:lang w:val="en-GB"/>
        </w:rPr>
      </w:pPr>
      <w:r w:rsidRPr="00A63C98">
        <w:rPr>
          <w:lang w:val="en-GB"/>
        </w:rPr>
        <w:t xml:space="preserve">The fire, which broke out shortly after 2:00 p.m. on July 17, 2024, in the </w:t>
      </w:r>
      <w:r w:rsidR="00AD0BF4" w:rsidRPr="00A63C98">
        <w:rPr>
          <w:lang w:val="en-GB"/>
        </w:rPr>
        <w:t xml:space="preserve">Rome </w:t>
      </w:r>
      <w:r w:rsidRPr="00A63C98">
        <w:rPr>
          <w:lang w:val="en-GB"/>
        </w:rPr>
        <w:t xml:space="preserve">western area, affected dry brushwood and waste abandoned on the ground, also causing a column of black smoke. Two warehouses were also affected by the flames, including a factory that was heavily damaged. </w:t>
      </w:r>
    </w:p>
    <w:p w14:paraId="25ECB1C7" w14:textId="0F4D653C" w:rsidR="00B97169" w:rsidRDefault="00AD0BF4" w:rsidP="00453E24">
      <w:pPr>
        <w:pStyle w:val="CETBodytext"/>
        <w:rPr>
          <w:lang w:val="en-GB"/>
        </w:rPr>
      </w:pPr>
      <w:r w:rsidRPr="00A63C98">
        <w:rPr>
          <w:lang w:val="en-GB"/>
        </w:rPr>
        <w:t xml:space="preserve">From an analysis conducted by </w:t>
      </w:r>
      <w:r w:rsidR="007918EF" w:rsidRPr="00A63C98">
        <w:rPr>
          <w:lang w:val="en-GB"/>
        </w:rPr>
        <w:t>the Institute for Environmental Protection and Research (ISPRA)</w:t>
      </w:r>
      <w:r w:rsidRPr="00A63C98">
        <w:rPr>
          <w:lang w:val="en-GB"/>
        </w:rPr>
        <w:t xml:space="preserve">, the </w:t>
      </w:r>
      <w:r w:rsidR="007918EF" w:rsidRPr="00A63C98">
        <w:rPr>
          <w:lang w:val="en-GB"/>
        </w:rPr>
        <w:t xml:space="preserve">pollutant </w:t>
      </w:r>
      <w:r w:rsidRPr="00A63C98">
        <w:rPr>
          <w:lang w:val="en-GB"/>
        </w:rPr>
        <w:t xml:space="preserve">dispersion is visible until approximately 17:00 on 17/07/2024. The results of the analyses outline the extension of a cloud of smoke arising from the fire that spreads in a westerly direction, affecting the </w:t>
      </w:r>
      <w:proofErr w:type="spellStart"/>
      <w:r w:rsidRPr="00A63C98">
        <w:rPr>
          <w:lang w:val="en-GB"/>
        </w:rPr>
        <w:t>center</w:t>
      </w:r>
      <w:proofErr w:type="spellEnd"/>
      <w:r w:rsidRPr="00A63C98">
        <w:rPr>
          <w:lang w:val="en-GB"/>
        </w:rPr>
        <w:t xml:space="preserve"> of the city of Rome.</w:t>
      </w:r>
    </w:p>
    <w:p w14:paraId="49A00878" w14:textId="77777777" w:rsidR="00420CF0" w:rsidRPr="00A63C98" w:rsidRDefault="00420CF0" w:rsidP="00453E24">
      <w:pPr>
        <w:pStyle w:val="CETBodytext"/>
        <w:rPr>
          <w:lang w:val="en-GB"/>
        </w:rPr>
      </w:pPr>
    </w:p>
    <w:p w14:paraId="6F0220DD" w14:textId="1660136A" w:rsidR="00BA0F3C" w:rsidRPr="003A78F6" w:rsidRDefault="00BA0F3C" w:rsidP="00453E24">
      <w:pPr>
        <w:pStyle w:val="CETBodytext"/>
        <w:rPr>
          <w:u w:val="single"/>
          <w:lang w:val="en-GB"/>
        </w:rPr>
      </w:pPr>
      <w:r w:rsidRPr="003A78F6">
        <w:rPr>
          <w:u w:val="single"/>
          <w:lang w:val="en-GB"/>
        </w:rPr>
        <w:t>28-29 August 2024</w:t>
      </w:r>
      <w:r w:rsidR="00DA3589" w:rsidRPr="003A78F6">
        <w:rPr>
          <w:u w:val="single"/>
          <w:lang w:val="en-GB"/>
        </w:rPr>
        <w:t xml:space="preserve"> (wildfire event </w:t>
      </w:r>
      <w:r w:rsidR="00C71489">
        <w:rPr>
          <w:u w:val="single"/>
          <w:lang w:val="en-GB"/>
        </w:rPr>
        <w:t>4</w:t>
      </w:r>
      <w:r w:rsidR="00DA3589" w:rsidRPr="003A78F6">
        <w:rPr>
          <w:u w:val="single"/>
          <w:lang w:val="en-GB"/>
        </w:rPr>
        <w:t>)</w:t>
      </w:r>
    </w:p>
    <w:p w14:paraId="1607E1F2" w14:textId="331987D6" w:rsidR="00904475" w:rsidRDefault="00904475" w:rsidP="00453E24">
      <w:pPr>
        <w:pStyle w:val="CETBodytext"/>
        <w:rPr>
          <w:lang w:val="en-GB"/>
        </w:rPr>
      </w:pPr>
      <w:r w:rsidRPr="00904475">
        <w:rPr>
          <w:lang w:val="en-GB"/>
        </w:rPr>
        <w:t>On August 28 and 29, 2024, several fires</w:t>
      </w:r>
      <w:r w:rsidR="007F6CFA">
        <w:rPr>
          <w:lang w:val="en-GB"/>
        </w:rPr>
        <w:t>, basically from brushwood,</w:t>
      </w:r>
      <w:r w:rsidRPr="00904475">
        <w:rPr>
          <w:lang w:val="en-GB"/>
        </w:rPr>
        <w:t xml:space="preserve"> broke out in some of the </w:t>
      </w:r>
      <w:proofErr w:type="spellStart"/>
      <w:r w:rsidRPr="00904475">
        <w:rPr>
          <w:lang w:val="en-GB"/>
        </w:rPr>
        <w:t>neighborhoods</w:t>
      </w:r>
      <w:proofErr w:type="spellEnd"/>
      <w:r w:rsidRPr="00904475">
        <w:rPr>
          <w:lang w:val="en-GB"/>
        </w:rPr>
        <w:t xml:space="preserve"> in the western quadrant.</w:t>
      </w:r>
      <w:r w:rsidR="00D26BA4">
        <w:rPr>
          <w:lang w:val="en-GB"/>
        </w:rPr>
        <w:t xml:space="preserve"> </w:t>
      </w:r>
      <w:r w:rsidRPr="00904475">
        <w:rPr>
          <w:lang w:val="en-GB"/>
        </w:rPr>
        <w:t xml:space="preserve">The smoke and flames forced Fiumicino </w:t>
      </w:r>
      <w:r w:rsidR="00B97169">
        <w:rPr>
          <w:lang w:val="en-GB"/>
        </w:rPr>
        <w:t>“</w:t>
      </w:r>
      <w:r w:rsidRPr="00B97169">
        <w:rPr>
          <w:i/>
          <w:iCs/>
          <w:lang w:val="en-GB"/>
        </w:rPr>
        <w:t>Leonardo Da Vinci</w:t>
      </w:r>
      <w:r w:rsidR="00B97169">
        <w:rPr>
          <w:i/>
          <w:iCs/>
          <w:lang w:val="en-GB"/>
        </w:rPr>
        <w:t>”</w:t>
      </w:r>
      <w:r w:rsidRPr="00904475">
        <w:rPr>
          <w:lang w:val="en-GB"/>
        </w:rPr>
        <w:t xml:space="preserve"> airport to temporarily close some runways.</w:t>
      </w:r>
    </w:p>
    <w:p w14:paraId="00D32F55" w14:textId="77777777" w:rsidR="00495239" w:rsidRDefault="00495239" w:rsidP="00453E24">
      <w:pPr>
        <w:pStyle w:val="CETBodytext"/>
        <w:rPr>
          <w:lang w:val="en-GB"/>
        </w:rPr>
      </w:pPr>
    </w:p>
    <w:p w14:paraId="38022027" w14:textId="472EFDD4" w:rsidR="00E2753F" w:rsidRDefault="009171D0" w:rsidP="00E2753F">
      <w:pPr>
        <w:pStyle w:val="CETBodytext"/>
        <w:keepNext/>
      </w:pPr>
      <w:r>
        <w:rPr>
          <w:noProof/>
        </w:rPr>
        <w:drawing>
          <wp:inline distT="0" distB="0" distL="0" distR="0" wp14:anchorId="2C22250A" wp14:editId="37CD3627">
            <wp:extent cx="5400000" cy="2691714"/>
            <wp:effectExtent l="0" t="0" r="0" b="0"/>
            <wp:docPr id="1531496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691714"/>
                    </a:xfrm>
                    <a:prstGeom prst="rect">
                      <a:avLst/>
                    </a:prstGeom>
                    <a:noFill/>
                  </pic:spPr>
                </pic:pic>
              </a:graphicData>
            </a:graphic>
          </wp:inline>
        </w:drawing>
      </w:r>
    </w:p>
    <w:p w14:paraId="338E425E" w14:textId="1D076DE8" w:rsidR="00167317" w:rsidRDefault="00E2753F" w:rsidP="00E2753F">
      <w:pPr>
        <w:pStyle w:val="CETCaption"/>
      </w:pPr>
      <w:r>
        <w:t xml:space="preserve">Figure </w:t>
      </w:r>
      <w:r>
        <w:fldChar w:fldCharType="begin"/>
      </w:r>
      <w:r>
        <w:instrText xml:space="preserve"> SEQ Figure \* ARABIC </w:instrText>
      </w:r>
      <w:r>
        <w:fldChar w:fldCharType="separate"/>
      </w:r>
      <w:r w:rsidR="00C87B7B">
        <w:rPr>
          <w:noProof/>
        </w:rPr>
        <w:t>2</w:t>
      </w:r>
      <w:r>
        <w:fldChar w:fldCharType="end"/>
      </w:r>
      <w:r>
        <w:t xml:space="preserve">. </w:t>
      </w:r>
      <w:r w:rsidR="00A26CEB">
        <w:t>L</w:t>
      </w:r>
      <w:r>
        <w:t>ocation of</w:t>
      </w:r>
      <w:r w:rsidR="00996F49">
        <w:t xml:space="preserve"> </w:t>
      </w:r>
      <w:r w:rsidR="008872F1">
        <w:t xml:space="preserve">the monitoring station (M) and </w:t>
      </w:r>
      <w:r w:rsidR="00996F49">
        <w:t>wildfire events considered</w:t>
      </w:r>
      <w:r w:rsidR="008872F1">
        <w:t xml:space="preserve"> (1-4)</w:t>
      </w:r>
      <w:r>
        <w:t>.</w:t>
      </w:r>
    </w:p>
    <w:p w14:paraId="677EBFF0" w14:textId="2C14ECE0" w:rsidR="00600535" w:rsidRDefault="00E2753F" w:rsidP="00600535">
      <w:pPr>
        <w:pStyle w:val="CETHeading1"/>
        <w:tabs>
          <w:tab w:val="clear" w:pos="360"/>
          <w:tab w:val="right" w:pos="7100"/>
        </w:tabs>
        <w:jc w:val="both"/>
        <w:rPr>
          <w:lang w:val="en-GB"/>
        </w:rPr>
      </w:pPr>
      <w:r>
        <w:rPr>
          <w:lang w:val="en-GB"/>
        </w:rPr>
        <w:lastRenderedPageBreak/>
        <w:t>Results and Discussion</w:t>
      </w:r>
    </w:p>
    <w:p w14:paraId="02A5E538" w14:textId="55B4B75B" w:rsidR="002111F0" w:rsidRPr="00B57B36" w:rsidRDefault="002111F0" w:rsidP="002111F0">
      <w:pPr>
        <w:pStyle w:val="CETheadingx"/>
      </w:pPr>
      <w:r>
        <w:t>Daily variation</w:t>
      </w:r>
    </w:p>
    <w:p w14:paraId="63D3A50A" w14:textId="27B4652C" w:rsidR="00857147" w:rsidRPr="00857147" w:rsidRDefault="008E52D5" w:rsidP="00857147">
      <w:pPr>
        <w:pStyle w:val="CETBodytext"/>
        <w:rPr>
          <w:lang w:val="en-GB"/>
        </w:rPr>
      </w:pPr>
      <w:r w:rsidRPr="008E52D5">
        <w:rPr>
          <w:lang w:val="en-GB"/>
        </w:rPr>
        <w:t xml:space="preserve">From the analysis of the daily average concentrations measured, reported in Table 2, the value of the concentrations of PM10, PM2. 5 and PM1 are increasing from June to August. </w:t>
      </w:r>
      <w:proofErr w:type="spellStart"/>
      <w:r w:rsidRPr="008E52D5">
        <w:rPr>
          <w:lang w:val="en-GB"/>
        </w:rPr>
        <w:t>Analyzing</w:t>
      </w:r>
      <w:proofErr w:type="spellEnd"/>
      <w:r w:rsidRPr="008E52D5">
        <w:rPr>
          <w:lang w:val="en-GB"/>
        </w:rPr>
        <w:t xml:space="preserve"> the monthly concentrations of particulate matter in July and August, they appear to be slightly higher than the monthly average values measured in March and April. In general, the concentrations of particulate matter are higher in the winter period due to the massive contribution of domestic heating. In </w:t>
      </w:r>
      <w:r>
        <w:rPr>
          <w:lang w:val="en-GB"/>
        </w:rPr>
        <w:t>this</w:t>
      </w:r>
      <w:r w:rsidRPr="008E52D5">
        <w:rPr>
          <w:lang w:val="en-GB"/>
        </w:rPr>
        <w:t xml:space="preserve"> case, however, </w:t>
      </w:r>
      <w:proofErr w:type="gramStart"/>
      <w:r w:rsidRPr="008E52D5">
        <w:rPr>
          <w:lang w:val="en-GB"/>
        </w:rPr>
        <w:t>it is clear that in</w:t>
      </w:r>
      <w:proofErr w:type="gramEnd"/>
      <w:r w:rsidRPr="008E52D5">
        <w:rPr>
          <w:lang w:val="en-GB"/>
        </w:rPr>
        <w:t xml:space="preserve"> the months of July and August there was the contribution of an anomalous source of particulate matter.</w:t>
      </w:r>
    </w:p>
    <w:p w14:paraId="7A0F178F" w14:textId="4BB8D6C7" w:rsidR="00857147" w:rsidRDefault="00857147" w:rsidP="00857147">
      <w:pPr>
        <w:pStyle w:val="CET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B861C6">
        <w:t>Monthly average PM1, PM2.5 and PM10 concentration.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001C52" w:rsidRPr="00B57B36" w14:paraId="62807289" w14:textId="77777777" w:rsidTr="0022183B">
        <w:tc>
          <w:tcPr>
            <w:tcW w:w="1134" w:type="dxa"/>
            <w:tcBorders>
              <w:top w:val="single" w:sz="12" w:space="0" w:color="008000"/>
              <w:bottom w:val="single" w:sz="6" w:space="0" w:color="008000"/>
            </w:tcBorders>
            <w:shd w:val="clear" w:color="auto" w:fill="FFFFFF"/>
          </w:tcPr>
          <w:p w14:paraId="1712FB8B" w14:textId="21913B7E" w:rsidR="00001C52" w:rsidRPr="00B57B36" w:rsidRDefault="00001C52" w:rsidP="00880D8C">
            <w:pPr>
              <w:pStyle w:val="CETBodytext"/>
              <w:rPr>
                <w:lang w:val="en-GB"/>
              </w:rPr>
            </w:pPr>
          </w:p>
        </w:tc>
        <w:tc>
          <w:tcPr>
            <w:tcW w:w="3402" w:type="dxa"/>
            <w:gridSpan w:val="3"/>
            <w:tcBorders>
              <w:top w:val="single" w:sz="12" w:space="0" w:color="008000"/>
              <w:bottom w:val="single" w:sz="6" w:space="0" w:color="008000"/>
            </w:tcBorders>
            <w:shd w:val="clear" w:color="auto" w:fill="FFFFFF"/>
          </w:tcPr>
          <w:p w14:paraId="6DE70FF3" w14:textId="12819E30" w:rsidR="00001C52" w:rsidRPr="00001C52" w:rsidRDefault="00001C52" w:rsidP="00880D8C">
            <w:pPr>
              <w:pStyle w:val="CETBodytext"/>
              <w:ind w:right="-1"/>
              <w:rPr>
                <w:rFonts w:cs="Arial"/>
                <w:b/>
                <w:bCs/>
                <w:szCs w:val="18"/>
                <w:lang w:val="en-GB"/>
              </w:rPr>
            </w:pPr>
            <w:r w:rsidRPr="00001C52">
              <w:rPr>
                <w:b/>
                <w:bCs/>
                <w:lang w:val="en-GB"/>
              </w:rPr>
              <w:t xml:space="preserve">Concentration, </w:t>
            </w:r>
            <w:r w:rsidRPr="00001C52">
              <w:rPr>
                <w:b/>
                <w:bCs/>
                <w:lang w:val="en-GB"/>
              </w:rPr>
              <w:sym w:font="Symbol" w:char="F06D"/>
            </w:r>
            <w:r w:rsidRPr="00001C52">
              <w:rPr>
                <w:b/>
                <w:bCs/>
                <w:lang w:val="en-GB"/>
              </w:rPr>
              <w:t>g/m</w:t>
            </w:r>
            <w:r w:rsidRPr="003B677E">
              <w:rPr>
                <w:b/>
                <w:bCs/>
                <w:vertAlign w:val="superscript"/>
                <w:lang w:val="en-GB"/>
              </w:rPr>
              <w:t>3</w:t>
            </w:r>
          </w:p>
        </w:tc>
      </w:tr>
      <w:tr w:rsidR="00001C52" w:rsidRPr="00B57B36" w14:paraId="6DB053D9" w14:textId="77777777" w:rsidTr="00880D8C">
        <w:tc>
          <w:tcPr>
            <w:tcW w:w="1134" w:type="dxa"/>
            <w:tcBorders>
              <w:top w:val="single" w:sz="12" w:space="0" w:color="008000"/>
              <w:bottom w:val="single" w:sz="6" w:space="0" w:color="008000"/>
            </w:tcBorders>
            <w:shd w:val="clear" w:color="auto" w:fill="FFFFFF"/>
          </w:tcPr>
          <w:p w14:paraId="18B85992" w14:textId="5BA40380" w:rsidR="00001C52" w:rsidRPr="00001C52" w:rsidRDefault="00001C52" w:rsidP="00880D8C">
            <w:pPr>
              <w:pStyle w:val="CETBodytext"/>
              <w:rPr>
                <w:b/>
                <w:bCs/>
                <w:lang w:val="en-GB"/>
              </w:rPr>
            </w:pPr>
            <w:r w:rsidRPr="00001C52">
              <w:rPr>
                <w:b/>
                <w:bCs/>
                <w:lang w:val="en-GB"/>
              </w:rPr>
              <w:t>Month, 2024</w:t>
            </w:r>
          </w:p>
        </w:tc>
        <w:tc>
          <w:tcPr>
            <w:tcW w:w="1134" w:type="dxa"/>
            <w:tcBorders>
              <w:top w:val="single" w:sz="12" w:space="0" w:color="008000"/>
              <w:bottom w:val="single" w:sz="6" w:space="0" w:color="008000"/>
            </w:tcBorders>
            <w:shd w:val="clear" w:color="auto" w:fill="FFFFFF"/>
          </w:tcPr>
          <w:p w14:paraId="735100DA" w14:textId="53B081F9" w:rsidR="00001C52" w:rsidRPr="00001C52" w:rsidRDefault="00001C52" w:rsidP="00880D8C">
            <w:pPr>
              <w:pStyle w:val="CETBodytext"/>
              <w:rPr>
                <w:b/>
                <w:bCs/>
                <w:lang w:val="en-GB"/>
              </w:rPr>
            </w:pPr>
            <w:r w:rsidRPr="00001C52">
              <w:rPr>
                <w:b/>
                <w:bCs/>
                <w:lang w:val="en-GB"/>
              </w:rPr>
              <w:t>PM1</w:t>
            </w:r>
          </w:p>
        </w:tc>
        <w:tc>
          <w:tcPr>
            <w:tcW w:w="1134" w:type="dxa"/>
            <w:tcBorders>
              <w:top w:val="single" w:sz="12" w:space="0" w:color="008000"/>
              <w:bottom w:val="single" w:sz="6" w:space="0" w:color="008000"/>
            </w:tcBorders>
            <w:shd w:val="clear" w:color="auto" w:fill="FFFFFF"/>
          </w:tcPr>
          <w:p w14:paraId="059AA658" w14:textId="3C2F0918" w:rsidR="00001C52" w:rsidRPr="00001C52" w:rsidRDefault="00001C52" w:rsidP="00880D8C">
            <w:pPr>
              <w:pStyle w:val="CETBodytext"/>
              <w:rPr>
                <w:b/>
                <w:bCs/>
                <w:lang w:val="en-GB"/>
              </w:rPr>
            </w:pPr>
            <w:r w:rsidRPr="00001C52">
              <w:rPr>
                <w:b/>
                <w:bCs/>
                <w:lang w:val="en-GB"/>
              </w:rPr>
              <w:t>PM2.5</w:t>
            </w:r>
          </w:p>
        </w:tc>
        <w:tc>
          <w:tcPr>
            <w:tcW w:w="1134" w:type="dxa"/>
            <w:tcBorders>
              <w:top w:val="single" w:sz="12" w:space="0" w:color="008000"/>
              <w:bottom w:val="single" w:sz="6" w:space="0" w:color="008000"/>
            </w:tcBorders>
            <w:shd w:val="clear" w:color="auto" w:fill="FFFFFF"/>
          </w:tcPr>
          <w:p w14:paraId="18EC327F" w14:textId="6AE4E434" w:rsidR="00001C52" w:rsidRPr="00001C52" w:rsidRDefault="00001C52" w:rsidP="00880D8C">
            <w:pPr>
              <w:pStyle w:val="CETBodytext"/>
              <w:ind w:right="-1"/>
              <w:rPr>
                <w:rFonts w:cs="Arial"/>
                <w:b/>
                <w:bCs/>
                <w:szCs w:val="18"/>
                <w:lang w:val="en-GB"/>
              </w:rPr>
            </w:pPr>
            <w:r w:rsidRPr="00001C52">
              <w:rPr>
                <w:rFonts w:cs="Arial"/>
                <w:b/>
                <w:bCs/>
                <w:szCs w:val="18"/>
                <w:lang w:val="en-GB"/>
              </w:rPr>
              <w:t>PM10</w:t>
            </w:r>
          </w:p>
        </w:tc>
      </w:tr>
      <w:tr w:rsidR="00001C52" w:rsidRPr="00B57B36" w14:paraId="4145A829" w14:textId="77777777" w:rsidTr="00880D8C">
        <w:tc>
          <w:tcPr>
            <w:tcW w:w="1134" w:type="dxa"/>
            <w:shd w:val="clear" w:color="auto" w:fill="FFFFFF"/>
          </w:tcPr>
          <w:p w14:paraId="74B6E335" w14:textId="338A1AB7" w:rsidR="00405CCD" w:rsidRPr="00001C52" w:rsidRDefault="00405CCD" w:rsidP="00880D8C">
            <w:pPr>
              <w:pStyle w:val="CETBodytext"/>
              <w:rPr>
                <w:b/>
                <w:bCs/>
                <w:lang w:val="en-GB"/>
              </w:rPr>
            </w:pPr>
            <w:r>
              <w:rPr>
                <w:b/>
                <w:bCs/>
                <w:lang w:val="en-GB"/>
              </w:rPr>
              <w:t>January</w:t>
            </w:r>
          </w:p>
        </w:tc>
        <w:tc>
          <w:tcPr>
            <w:tcW w:w="1134" w:type="dxa"/>
            <w:shd w:val="clear" w:color="auto" w:fill="FFFFFF"/>
          </w:tcPr>
          <w:p w14:paraId="2737689C" w14:textId="471B9C6D" w:rsidR="00001C52" w:rsidRPr="00B57B36" w:rsidRDefault="0015746F" w:rsidP="00880D8C">
            <w:pPr>
              <w:pStyle w:val="CETBodytext"/>
              <w:rPr>
                <w:lang w:val="en-GB"/>
              </w:rPr>
            </w:pPr>
            <w:r>
              <w:rPr>
                <w:lang w:val="en-GB"/>
              </w:rPr>
              <w:t>24.8</w:t>
            </w:r>
          </w:p>
        </w:tc>
        <w:tc>
          <w:tcPr>
            <w:tcW w:w="1134" w:type="dxa"/>
            <w:shd w:val="clear" w:color="auto" w:fill="FFFFFF"/>
          </w:tcPr>
          <w:p w14:paraId="13B4E1FF" w14:textId="7CB69025" w:rsidR="00001C52" w:rsidRPr="00B57B36" w:rsidRDefault="00EE0AA6" w:rsidP="00880D8C">
            <w:pPr>
              <w:pStyle w:val="CETBodytext"/>
              <w:rPr>
                <w:lang w:val="en-GB"/>
              </w:rPr>
            </w:pPr>
            <w:r>
              <w:rPr>
                <w:lang w:val="en-GB"/>
              </w:rPr>
              <w:t>39.8</w:t>
            </w:r>
          </w:p>
        </w:tc>
        <w:tc>
          <w:tcPr>
            <w:tcW w:w="1134" w:type="dxa"/>
            <w:shd w:val="clear" w:color="auto" w:fill="FFFFFF"/>
          </w:tcPr>
          <w:p w14:paraId="1D4EA564" w14:textId="032A886A" w:rsidR="00001C52" w:rsidRPr="00B57B36" w:rsidRDefault="00EE0AA6" w:rsidP="00880D8C">
            <w:pPr>
              <w:pStyle w:val="CETBodytext"/>
              <w:ind w:right="-1"/>
              <w:rPr>
                <w:rFonts w:cs="Arial"/>
                <w:szCs w:val="18"/>
                <w:lang w:val="en-GB"/>
              </w:rPr>
            </w:pPr>
            <w:r>
              <w:rPr>
                <w:rFonts w:cs="Arial"/>
                <w:szCs w:val="18"/>
                <w:lang w:val="en-GB"/>
              </w:rPr>
              <w:t>62.8</w:t>
            </w:r>
          </w:p>
        </w:tc>
      </w:tr>
      <w:tr w:rsidR="00405CCD" w:rsidRPr="00B57B36" w14:paraId="3E4D345D" w14:textId="77777777" w:rsidTr="00880D8C">
        <w:tc>
          <w:tcPr>
            <w:tcW w:w="1134" w:type="dxa"/>
            <w:shd w:val="clear" w:color="auto" w:fill="FFFFFF"/>
          </w:tcPr>
          <w:p w14:paraId="17D865B0" w14:textId="15E9F048" w:rsidR="00405CCD" w:rsidRPr="00001C52" w:rsidRDefault="00405CCD" w:rsidP="00405CCD">
            <w:pPr>
              <w:pStyle w:val="CETBodytext"/>
              <w:rPr>
                <w:b/>
                <w:bCs/>
                <w:lang w:val="en-GB"/>
              </w:rPr>
            </w:pPr>
            <w:r>
              <w:rPr>
                <w:b/>
                <w:bCs/>
                <w:lang w:val="en-GB"/>
              </w:rPr>
              <w:t>February</w:t>
            </w:r>
          </w:p>
        </w:tc>
        <w:tc>
          <w:tcPr>
            <w:tcW w:w="1134" w:type="dxa"/>
            <w:shd w:val="clear" w:color="auto" w:fill="FFFFFF"/>
          </w:tcPr>
          <w:p w14:paraId="63C1D725" w14:textId="38926536" w:rsidR="00405CCD" w:rsidRDefault="0015746F" w:rsidP="00405CCD">
            <w:pPr>
              <w:pStyle w:val="CETBodytext"/>
              <w:rPr>
                <w:lang w:val="en-GB"/>
              </w:rPr>
            </w:pPr>
            <w:r>
              <w:rPr>
                <w:lang w:val="en-GB"/>
              </w:rPr>
              <w:t>20.3</w:t>
            </w:r>
          </w:p>
        </w:tc>
        <w:tc>
          <w:tcPr>
            <w:tcW w:w="1134" w:type="dxa"/>
            <w:shd w:val="clear" w:color="auto" w:fill="FFFFFF"/>
          </w:tcPr>
          <w:p w14:paraId="1E6787DA" w14:textId="46008D76" w:rsidR="00405CCD" w:rsidRDefault="00EE0AA6" w:rsidP="00405CCD">
            <w:pPr>
              <w:pStyle w:val="CETBodytext"/>
              <w:rPr>
                <w:lang w:val="en-GB"/>
              </w:rPr>
            </w:pPr>
            <w:r>
              <w:rPr>
                <w:lang w:val="en-GB"/>
              </w:rPr>
              <w:t>32.8</w:t>
            </w:r>
          </w:p>
        </w:tc>
        <w:tc>
          <w:tcPr>
            <w:tcW w:w="1134" w:type="dxa"/>
            <w:shd w:val="clear" w:color="auto" w:fill="FFFFFF"/>
          </w:tcPr>
          <w:p w14:paraId="04D36EC5" w14:textId="4637883C" w:rsidR="00405CCD" w:rsidRDefault="00EE0AA6" w:rsidP="00405CCD">
            <w:pPr>
              <w:pStyle w:val="CETBodytext"/>
              <w:ind w:right="-1"/>
              <w:rPr>
                <w:rFonts w:cs="Arial"/>
                <w:szCs w:val="18"/>
                <w:lang w:val="en-GB"/>
              </w:rPr>
            </w:pPr>
            <w:r>
              <w:rPr>
                <w:rFonts w:cs="Arial"/>
                <w:szCs w:val="18"/>
                <w:lang w:val="en-GB"/>
              </w:rPr>
              <w:t>55.2</w:t>
            </w:r>
          </w:p>
        </w:tc>
      </w:tr>
      <w:tr w:rsidR="00405CCD" w:rsidRPr="00B57B36" w14:paraId="206B8ACE" w14:textId="77777777" w:rsidTr="00880D8C">
        <w:tc>
          <w:tcPr>
            <w:tcW w:w="1134" w:type="dxa"/>
            <w:shd w:val="clear" w:color="auto" w:fill="FFFFFF"/>
          </w:tcPr>
          <w:p w14:paraId="1233248C" w14:textId="4D972587" w:rsidR="00405CCD" w:rsidRPr="00001C52" w:rsidRDefault="00405CCD" w:rsidP="00405CCD">
            <w:pPr>
              <w:pStyle w:val="CETBodytext"/>
              <w:rPr>
                <w:b/>
                <w:bCs/>
                <w:lang w:val="en-GB"/>
              </w:rPr>
            </w:pPr>
            <w:r>
              <w:rPr>
                <w:b/>
                <w:bCs/>
                <w:lang w:val="en-GB"/>
              </w:rPr>
              <w:t>March</w:t>
            </w:r>
          </w:p>
        </w:tc>
        <w:tc>
          <w:tcPr>
            <w:tcW w:w="1134" w:type="dxa"/>
            <w:shd w:val="clear" w:color="auto" w:fill="FFFFFF"/>
          </w:tcPr>
          <w:p w14:paraId="4F0DDB49" w14:textId="3CEB745D" w:rsidR="00405CCD" w:rsidRDefault="0015746F" w:rsidP="00405CCD">
            <w:pPr>
              <w:pStyle w:val="CETBodytext"/>
              <w:rPr>
                <w:lang w:val="en-GB"/>
              </w:rPr>
            </w:pPr>
            <w:r>
              <w:rPr>
                <w:lang w:val="en-GB"/>
              </w:rPr>
              <w:t>11.2</w:t>
            </w:r>
          </w:p>
        </w:tc>
        <w:tc>
          <w:tcPr>
            <w:tcW w:w="1134" w:type="dxa"/>
            <w:shd w:val="clear" w:color="auto" w:fill="FFFFFF"/>
          </w:tcPr>
          <w:p w14:paraId="61A263D9" w14:textId="6B4A5BFC" w:rsidR="00405CCD" w:rsidRDefault="00EE0AA6" w:rsidP="00405CCD">
            <w:pPr>
              <w:pStyle w:val="CETBodytext"/>
              <w:rPr>
                <w:lang w:val="en-GB"/>
              </w:rPr>
            </w:pPr>
            <w:r>
              <w:rPr>
                <w:lang w:val="en-GB"/>
              </w:rPr>
              <w:t>18.8</w:t>
            </w:r>
          </w:p>
        </w:tc>
        <w:tc>
          <w:tcPr>
            <w:tcW w:w="1134" w:type="dxa"/>
            <w:shd w:val="clear" w:color="auto" w:fill="FFFFFF"/>
          </w:tcPr>
          <w:p w14:paraId="2DDD5DFD" w14:textId="35E255D2" w:rsidR="00405CCD" w:rsidRDefault="00EE0AA6" w:rsidP="00405CCD">
            <w:pPr>
              <w:pStyle w:val="CETBodytext"/>
              <w:ind w:right="-1"/>
              <w:rPr>
                <w:rFonts w:cs="Arial"/>
                <w:szCs w:val="18"/>
                <w:lang w:val="en-GB"/>
              </w:rPr>
            </w:pPr>
            <w:r>
              <w:rPr>
                <w:rFonts w:cs="Arial"/>
                <w:szCs w:val="18"/>
                <w:lang w:val="en-GB"/>
              </w:rPr>
              <w:t>39.4</w:t>
            </w:r>
          </w:p>
        </w:tc>
      </w:tr>
      <w:tr w:rsidR="00405CCD" w:rsidRPr="00B57B36" w14:paraId="0467B3F6" w14:textId="77777777" w:rsidTr="00880D8C">
        <w:tc>
          <w:tcPr>
            <w:tcW w:w="1134" w:type="dxa"/>
            <w:shd w:val="clear" w:color="auto" w:fill="FFFFFF"/>
          </w:tcPr>
          <w:p w14:paraId="6C67772F" w14:textId="6A1AB712" w:rsidR="00405CCD" w:rsidRPr="00001C52" w:rsidRDefault="00405CCD" w:rsidP="00405CCD">
            <w:pPr>
              <w:pStyle w:val="CETBodytext"/>
              <w:rPr>
                <w:b/>
                <w:bCs/>
                <w:lang w:val="en-GB"/>
              </w:rPr>
            </w:pPr>
            <w:r>
              <w:rPr>
                <w:b/>
                <w:bCs/>
                <w:lang w:val="en-GB"/>
              </w:rPr>
              <w:t>April</w:t>
            </w:r>
          </w:p>
        </w:tc>
        <w:tc>
          <w:tcPr>
            <w:tcW w:w="1134" w:type="dxa"/>
            <w:shd w:val="clear" w:color="auto" w:fill="FFFFFF"/>
          </w:tcPr>
          <w:p w14:paraId="585442FB" w14:textId="63678CD7" w:rsidR="00405CCD" w:rsidRDefault="00EE0AA6" w:rsidP="00405CCD">
            <w:pPr>
              <w:pStyle w:val="CETBodytext"/>
              <w:rPr>
                <w:lang w:val="en-GB"/>
              </w:rPr>
            </w:pPr>
            <w:r>
              <w:rPr>
                <w:lang w:val="en-GB"/>
              </w:rPr>
              <w:t>8.9</w:t>
            </w:r>
          </w:p>
        </w:tc>
        <w:tc>
          <w:tcPr>
            <w:tcW w:w="1134" w:type="dxa"/>
            <w:shd w:val="clear" w:color="auto" w:fill="FFFFFF"/>
          </w:tcPr>
          <w:p w14:paraId="339A693B" w14:textId="7A2BBFFE" w:rsidR="00405CCD" w:rsidRDefault="00EE0AA6" w:rsidP="00405CCD">
            <w:pPr>
              <w:pStyle w:val="CETBodytext"/>
              <w:rPr>
                <w:lang w:val="en-GB"/>
              </w:rPr>
            </w:pPr>
            <w:r>
              <w:rPr>
                <w:lang w:val="en-GB"/>
              </w:rPr>
              <w:t>14.8</w:t>
            </w:r>
          </w:p>
        </w:tc>
        <w:tc>
          <w:tcPr>
            <w:tcW w:w="1134" w:type="dxa"/>
            <w:shd w:val="clear" w:color="auto" w:fill="FFFFFF"/>
          </w:tcPr>
          <w:p w14:paraId="45C3D24D" w14:textId="3BD5D850" w:rsidR="00405CCD" w:rsidRDefault="00EE0AA6" w:rsidP="00405CCD">
            <w:pPr>
              <w:pStyle w:val="CETBodytext"/>
              <w:ind w:right="-1"/>
              <w:rPr>
                <w:rFonts w:cs="Arial"/>
                <w:szCs w:val="18"/>
                <w:lang w:val="en-GB"/>
              </w:rPr>
            </w:pPr>
            <w:r>
              <w:rPr>
                <w:rFonts w:cs="Arial"/>
                <w:szCs w:val="18"/>
                <w:lang w:val="en-GB"/>
              </w:rPr>
              <w:t>33.7</w:t>
            </w:r>
          </w:p>
        </w:tc>
      </w:tr>
      <w:tr w:rsidR="0015746F" w:rsidRPr="00B57B36" w14:paraId="484569A5" w14:textId="77777777" w:rsidTr="00880D8C">
        <w:tc>
          <w:tcPr>
            <w:tcW w:w="1134" w:type="dxa"/>
            <w:shd w:val="clear" w:color="auto" w:fill="FFFFFF"/>
          </w:tcPr>
          <w:p w14:paraId="567CCA09" w14:textId="5C7273C8" w:rsidR="0015746F" w:rsidRDefault="0015746F" w:rsidP="00405CCD">
            <w:pPr>
              <w:pStyle w:val="CETBodytext"/>
              <w:rPr>
                <w:b/>
                <w:bCs/>
                <w:lang w:val="en-GB"/>
              </w:rPr>
            </w:pPr>
            <w:r>
              <w:rPr>
                <w:b/>
                <w:bCs/>
                <w:lang w:val="en-GB"/>
              </w:rPr>
              <w:t>May</w:t>
            </w:r>
          </w:p>
        </w:tc>
        <w:tc>
          <w:tcPr>
            <w:tcW w:w="1134" w:type="dxa"/>
            <w:shd w:val="clear" w:color="auto" w:fill="FFFFFF"/>
          </w:tcPr>
          <w:p w14:paraId="0C5FA299" w14:textId="77777777" w:rsidR="0015746F" w:rsidRDefault="0015746F" w:rsidP="00405CCD">
            <w:pPr>
              <w:pStyle w:val="CETBodytext"/>
              <w:rPr>
                <w:lang w:val="en-GB"/>
              </w:rPr>
            </w:pPr>
          </w:p>
        </w:tc>
        <w:tc>
          <w:tcPr>
            <w:tcW w:w="1134" w:type="dxa"/>
            <w:shd w:val="clear" w:color="auto" w:fill="FFFFFF"/>
          </w:tcPr>
          <w:p w14:paraId="4BED8D91" w14:textId="77777777" w:rsidR="0015746F" w:rsidRDefault="0015746F" w:rsidP="00405CCD">
            <w:pPr>
              <w:pStyle w:val="CETBodytext"/>
              <w:rPr>
                <w:lang w:val="en-GB"/>
              </w:rPr>
            </w:pPr>
          </w:p>
        </w:tc>
        <w:tc>
          <w:tcPr>
            <w:tcW w:w="1134" w:type="dxa"/>
            <w:shd w:val="clear" w:color="auto" w:fill="FFFFFF"/>
          </w:tcPr>
          <w:p w14:paraId="735CC02D" w14:textId="77777777" w:rsidR="0015746F" w:rsidRDefault="0015746F" w:rsidP="00405CCD">
            <w:pPr>
              <w:pStyle w:val="CETBodytext"/>
              <w:ind w:right="-1"/>
              <w:rPr>
                <w:rFonts w:cs="Arial"/>
                <w:szCs w:val="18"/>
                <w:lang w:val="en-GB"/>
              </w:rPr>
            </w:pPr>
          </w:p>
        </w:tc>
      </w:tr>
      <w:tr w:rsidR="00405CCD" w:rsidRPr="00B57B36" w14:paraId="391E0CF9" w14:textId="77777777" w:rsidTr="00880D8C">
        <w:tc>
          <w:tcPr>
            <w:tcW w:w="1134" w:type="dxa"/>
            <w:shd w:val="clear" w:color="auto" w:fill="FFFFFF"/>
          </w:tcPr>
          <w:p w14:paraId="196F8BA2" w14:textId="279E3321" w:rsidR="00405CCD" w:rsidRPr="00001C52" w:rsidRDefault="00405CCD" w:rsidP="00405CCD">
            <w:pPr>
              <w:pStyle w:val="CETBodytext"/>
              <w:rPr>
                <w:b/>
                <w:bCs/>
                <w:lang w:val="en-GB"/>
              </w:rPr>
            </w:pPr>
            <w:r w:rsidRPr="00001C52">
              <w:rPr>
                <w:b/>
                <w:bCs/>
                <w:lang w:val="en-GB"/>
              </w:rPr>
              <w:t>June</w:t>
            </w:r>
          </w:p>
        </w:tc>
        <w:tc>
          <w:tcPr>
            <w:tcW w:w="1134" w:type="dxa"/>
            <w:shd w:val="clear" w:color="auto" w:fill="FFFFFF"/>
          </w:tcPr>
          <w:p w14:paraId="674C8038" w14:textId="7B1C500D" w:rsidR="00405CCD" w:rsidRDefault="00405CCD" w:rsidP="00405CCD">
            <w:pPr>
              <w:pStyle w:val="CETBodytext"/>
              <w:rPr>
                <w:lang w:val="en-GB"/>
              </w:rPr>
            </w:pPr>
            <w:r>
              <w:rPr>
                <w:lang w:val="en-GB"/>
              </w:rPr>
              <w:t>6.8</w:t>
            </w:r>
          </w:p>
        </w:tc>
        <w:tc>
          <w:tcPr>
            <w:tcW w:w="1134" w:type="dxa"/>
            <w:shd w:val="clear" w:color="auto" w:fill="FFFFFF"/>
          </w:tcPr>
          <w:p w14:paraId="7CDFD149" w14:textId="0838057A" w:rsidR="00405CCD" w:rsidRDefault="00405CCD" w:rsidP="00405CCD">
            <w:pPr>
              <w:pStyle w:val="CETBodytext"/>
              <w:rPr>
                <w:lang w:val="en-GB"/>
              </w:rPr>
            </w:pPr>
            <w:r>
              <w:rPr>
                <w:lang w:val="en-GB"/>
              </w:rPr>
              <w:t>11.5</w:t>
            </w:r>
          </w:p>
        </w:tc>
        <w:tc>
          <w:tcPr>
            <w:tcW w:w="1134" w:type="dxa"/>
            <w:shd w:val="clear" w:color="auto" w:fill="FFFFFF"/>
          </w:tcPr>
          <w:p w14:paraId="316CE1C5" w14:textId="6836CB72" w:rsidR="00405CCD" w:rsidRDefault="00405CCD" w:rsidP="00405CCD">
            <w:pPr>
              <w:pStyle w:val="CETBodytext"/>
              <w:ind w:right="-1"/>
              <w:rPr>
                <w:rFonts w:cs="Arial"/>
                <w:szCs w:val="18"/>
                <w:lang w:val="en-GB"/>
              </w:rPr>
            </w:pPr>
            <w:r>
              <w:rPr>
                <w:rFonts w:cs="Arial"/>
                <w:szCs w:val="18"/>
                <w:lang w:val="en-GB"/>
              </w:rPr>
              <w:t>30.0</w:t>
            </w:r>
          </w:p>
        </w:tc>
      </w:tr>
      <w:tr w:rsidR="00405CCD" w:rsidRPr="00B57B36" w14:paraId="4748B1EC" w14:textId="77777777" w:rsidTr="00880D8C">
        <w:tc>
          <w:tcPr>
            <w:tcW w:w="1134" w:type="dxa"/>
            <w:shd w:val="clear" w:color="auto" w:fill="FFFFFF"/>
          </w:tcPr>
          <w:p w14:paraId="38D4A3AF" w14:textId="1927C21D" w:rsidR="00405CCD" w:rsidRPr="00001C52" w:rsidRDefault="00405CCD" w:rsidP="00405CCD">
            <w:pPr>
              <w:pStyle w:val="CETBodytext"/>
              <w:ind w:right="-1"/>
              <w:rPr>
                <w:rFonts w:cs="Arial"/>
                <w:b/>
                <w:bCs/>
                <w:szCs w:val="18"/>
                <w:lang w:val="en-GB"/>
              </w:rPr>
            </w:pPr>
            <w:r w:rsidRPr="00001C52">
              <w:rPr>
                <w:b/>
                <w:bCs/>
                <w:lang w:val="en-GB"/>
              </w:rPr>
              <w:t>July</w:t>
            </w:r>
          </w:p>
        </w:tc>
        <w:tc>
          <w:tcPr>
            <w:tcW w:w="1134" w:type="dxa"/>
            <w:shd w:val="clear" w:color="auto" w:fill="FFFFFF"/>
          </w:tcPr>
          <w:p w14:paraId="5098397B" w14:textId="254E8304" w:rsidR="00405CCD" w:rsidRDefault="00405CCD" w:rsidP="00405CCD">
            <w:pPr>
              <w:pStyle w:val="CETBodytext"/>
              <w:ind w:right="-1"/>
              <w:rPr>
                <w:rFonts w:cs="Arial"/>
                <w:szCs w:val="18"/>
                <w:lang w:val="en-GB"/>
              </w:rPr>
            </w:pPr>
            <w:r>
              <w:rPr>
                <w:lang w:val="en-GB"/>
              </w:rPr>
              <w:t>13.4</w:t>
            </w:r>
          </w:p>
        </w:tc>
        <w:tc>
          <w:tcPr>
            <w:tcW w:w="1134" w:type="dxa"/>
            <w:shd w:val="clear" w:color="auto" w:fill="FFFFFF"/>
          </w:tcPr>
          <w:p w14:paraId="7AE1F367" w14:textId="5004F7EF" w:rsidR="00405CCD" w:rsidRDefault="00405CCD" w:rsidP="00405CCD">
            <w:pPr>
              <w:pStyle w:val="CETBodytext"/>
              <w:ind w:right="-1"/>
              <w:rPr>
                <w:rFonts w:cs="Arial"/>
                <w:szCs w:val="18"/>
                <w:lang w:val="en-GB"/>
              </w:rPr>
            </w:pPr>
            <w:r>
              <w:rPr>
                <w:lang w:val="en-GB"/>
              </w:rPr>
              <w:t>20.4</w:t>
            </w:r>
          </w:p>
        </w:tc>
        <w:tc>
          <w:tcPr>
            <w:tcW w:w="1134" w:type="dxa"/>
            <w:shd w:val="clear" w:color="auto" w:fill="FFFFFF"/>
          </w:tcPr>
          <w:p w14:paraId="4943C0CF" w14:textId="69A8709A" w:rsidR="00405CCD" w:rsidRDefault="00405CCD" w:rsidP="00405CCD">
            <w:pPr>
              <w:pStyle w:val="CETBodytext"/>
              <w:ind w:right="-1"/>
              <w:rPr>
                <w:rFonts w:cs="Arial"/>
                <w:szCs w:val="18"/>
                <w:lang w:val="en-GB"/>
              </w:rPr>
            </w:pPr>
            <w:r>
              <w:rPr>
                <w:rFonts w:cs="Arial"/>
                <w:szCs w:val="18"/>
                <w:lang w:val="en-GB"/>
              </w:rPr>
              <w:t>39.6</w:t>
            </w:r>
          </w:p>
        </w:tc>
      </w:tr>
      <w:tr w:rsidR="00405CCD" w:rsidRPr="00B57B36" w14:paraId="360B3620" w14:textId="77777777" w:rsidTr="00880D8C">
        <w:tc>
          <w:tcPr>
            <w:tcW w:w="1134" w:type="dxa"/>
            <w:shd w:val="clear" w:color="auto" w:fill="FFFFFF"/>
          </w:tcPr>
          <w:p w14:paraId="2850F2A8" w14:textId="11D1028A" w:rsidR="00405CCD" w:rsidRPr="00001C52" w:rsidRDefault="00405CCD" w:rsidP="00405CCD">
            <w:pPr>
              <w:pStyle w:val="CETBodytext"/>
              <w:ind w:right="-1"/>
              <w:rPr>
                <w:rFonts w:cs="Arial"/>
                <w:b/>
                <w:bCs/>
                <w:szCs w:val="18"/>
                <w:lang w:val="en-GB"/>
              </w:rPr>
            </w:pPr>
            <w:r w:rsidRPr="00001C52">
              <w:rPr>
                <w:rFonts w:cs="Arial"/>
                <w:b/>
                <w:bCs/>
                <w:szCs w:val="18"/>
                <w:lang w:val="en-GB"/>
              </w:rPr>
              <w:t>August</w:t>
            </w:r>
          </w:p>
        </w:tc>
        <w:tc>
          <w:tcPr>
            <w:tcW w:w="1134" w:type="dxa"/>
            <w:shd w:val="clear" w:color="auto" w:fill="FFFFFF"/>
          </w:tcPr>
          <w:p w14:paraId="4479CEA1" w14:textId="6DB6EB36" w:rsidR="00405CCD" w:rsidRPr="00B57B36" w:rsidRDefault="00405CCD" w:rsidP="00405CCD">
            <w:pPr>
              <w:pStyle w:val="CETBodytext"/>
              <w:ind w:right="-1"/>
              <w:rPr>
                <w:rFonts w:cs="Arial"/>
                <w:szCs w:val="18"/>
                <w:lang w:val="en-GB"/>
              </w:rPr>
            </w:pPr>
            <w:r>
              <w:rPr>
                <w:rFonts w:cs="Arial"/>
                <w:szCs w:val="18"/>
                <w:lang w:val="en-GB"/>
              </w:rPr>
              <w:t>16.4</w:t>
            </w:r>
          </w:p>
        </w:tc>
        <w:tc>
          <w:tcPr>
            <w:tcW w:w="1134" w:type="dxa"/>
            <w:shd w:val="clear" w:color="auto" w:fill="FFFFFF"/>
          </w:tcPr>
          <w:p w14:paraId="0FF8C7CA" w14:textId="5433A591" w:rsidR="00405CCD" w:rsidRPr="00B57B36" w:rsidRDefault="00405CCD" w:rsidP="00405CCD">
            <w:pPr>
              <w:pStyle w:val="CETBodytext"/>
              <w:ind w:right="-1"/>
              <w:rPr>
                <w:rFonts w:cs="Arial"/>
                <w:szCs w:val="18"/>
                <w:lang w:val="en-GB"/>
              </w:rPr>
            </w:pPr>
            <w:r>
              <w:rPr>
                <w:rFonts w:cs="Arial"/>
                <w:szCs w:val="18"/>
                <w:lang w:val="en-GB"/>
              </w:rPr>
              <w:t>24.0</w:t>
            </w:r>
          </w:p>
        </w:tc>
        <w:tc>
          <w:tcPr>
            <w:tcW w:w="1134" w:type="dxa"/>
            <w:shd w:val="clear" w:color="auto" w:fill="FFFFFF"/>
          </w:tcPr>
          <w:p w14:paraId="561546EE" w14:textId="5B9D0796" w:rsidR="00405CCD" w:rsidRPr="00B57B36" w:rsidRDefault="00405CCD" w:rsidP="00405CCD">
            <w:pPr>
              <w:pStyle w:val="CETBodytext"/>
              <w:ind w:right="-1"/>
              <w:rPr>
                <w:rFonts w:cs="Arial"/>
                <w:szCs w:val="18"/>
                <w:lang w:val="en-GB"/>
              </w:rPr>
            </w:pPr>
            <w:r>
              <w:rPr>
                <w:rFonts w:cs="Arial"/>
                <w:szCs w:val="18"/>
                <w:lang w:val="en-GB"/>
              </w:rPr>
              <w:t>42.8</w:t>
            </w:r>
          </w:p>
        </w:tc>
      </w:tr>
    </w:tbl>
    <w:p w14:paraId="6A10B694" w14:textId="77777777" w:rsidR="00882948" w:rsidRDefault="00882948" w:rsidP="002111F0">
      <w:pPr>
        <w:pStyle w:val="CETBodytext"/>
        <w:rPr>
          <w:lang w:val="en-GB"/>
        </w:rPr>
      </w:pPr>
    </w:p>
    <w:p w14:paraId="0199F95D" w14:textId="50EA6ED7" w:rsidR="00E2753F" w:rsidRDefault="00997502" w:rsidP="00E2753F">
      <w:pPr>
        <w:pStyle w:val="CETBodytext"/>
        <w:rPr>
          <w:lang w:val="en-GB"/>
        </w:rPr>
      </w:pPr>
      <w:r w:rsidRPr="00997502">
        <w:rPr>
          <w:lang w:val="en-GB"/>
        </w:rPr>
        <w:t>Figure 3 also shows the exceeding of the daily limit threshold for PM10 defined by Legislative Decree 155/2010 of 50</w:t>
      </w:r>
      <w:r w:rsidR="003B677E">
        <w:rPr>
          <w:lang w:val="en-GB"/>
        </w:rPr>
        <w:t xml:space="preserve"> </w:t>
      </w:r>
      <w:r w:rsidR="003B677E" w:rsidRPr="003B677E">
        <w:rPr>
          <w:lang w:val="en-GB"/>
        </w:rPr>
        <w:sym w:font="Symbol" w:char="F06D"/>
      </w:r>
      <w:r w:rsidR="003B677E" w:rsidRPr="003B677E">
        <w:rPr>
          <w:lang w:val="en-GB"/>
        </w:rPr>
        <w:t>g/m</w:t>
      </w:r>
      <w:r w:rsidR="003B677E" w:rsidRPr="003B677E">
        <w:rPr>
          <w:vertAlign w:val="superscript"/>
          <w:lang w:val="en-GB"/>
        </w:rPr>
        <w:t>3</w:t>
      </w:r>
      <w:r w:rsidRPr="00997502">
        <w:rPr>
          <w:lang w:val="en-GB"/>
        </w:rPr>
        <w:t>, for 5 times in the period considered. Relative to PM2.5, the concentration values follow proportionally the measured PM10 values, highlighting the absence of Saharan phenomena.</w:t>
      </w:r>
    </w:p>
    <w:p w14:paraId="2EC410C9" w14:textId="67CFDD59" w:rsidR="002111F0" w:rsidRDefault="008A4699" w:rsidP="002111F0">
      <w:pPr>
        <w:pStyle w:val="CETBodytext"/>
        <w:keepNext/>
      </w:pPr>
      <w:r>
        <w:rPr>
          <w:noProof/>
        </w:rPr>
        <w:drawing>
          <wp:inline distT="0" distB="0" distL="0" distR="0" wp14:anchorId="237D7314" wp14:editId="2EA0BF19">
            <wp:extent cx="5401310" cy="2786380"/>
            <wp:effectExtent l="0" t="0" r="8890" b="0"/>
            <wp:docPr id="10543071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2786380"/>
                    </a:xfrm>
                    <a:prstGeom prst="rect">
                      <a:avLst/>
                    </a:prstGeom>
                    <a:noFill/>
                  </pic:spPr>
                </pic:pic>
              </a:graphicData>
            </a:graphic>
          </wp:inline>
        </w:drawing>
      </w:r>
    </w:p>
    <w:p w14:paraId="38FFA771" w14:textId="677BB47A" w:rsidR="007129EC" w:rsidRDefault="002111F0" w:rsidP="002111F0">
      <w:pPr>
        <w:pStyle w:val="CETCaption"/>
      </w:pPr>
      <w:r>
        <w:t xml:space="preserve">Figure </w:t>
      </w:r>
      <w:r>
        <w:fldChar w:fldCharType="begin"/>
      </w:r>
      <w:r>
        <w:instrText xml:space="preserve"> SEQ Figure \* ARABIC </w:instrText>
      </w:r>
      <w:r>
        <w:fldChar w:fldCharType="separate"/>
      </w:r>
      <w:r w:rsidR="00C87B7B">
        <w:rPr>
          <w:noProof/>
        </w:rPr>
        <w:t>3</w:t>
      </w:r>
      <w:r>
        <w:fldChar w:fldCharType="end"/>
      </w:r>
      <w:r>
        <w:t>. Daily PM10</w:t>
      </w:r>
      <w:r w:rsidR="008A4699">
        <w:t xml:space="preserve">, </w:t>
      </w:r>
      <w:r w:rsidR="007A0A47">
        <w:t>PM2.5</w:t>
      </w:r>
      <w:r w:rsidR="008A4699">
        <w:t xml:space="preserve"> and PM1</w:t>
      </w:r>
      <w:r w:rsidR="007A0A47">
        <w:t xml:space="preserve"> </w:t>
      </w:r>
      <w:r>
        <w:t>concentration</w:t>
      </w:r>
      <w:r w:rsidR="007A0A47">
        <w:t>s</w:t>
      </w:r>
      <w:r>
        <w:t>.</w:t>
      </w:r>
    </w:p>
    <w:p w14:paraId="36DC0230" w14:textId="7B77A94A" w:rsidR="007129EC" w:rsidRDefault="0050237C" w:rsidP="00E2753F">
      <w:pPr>
        <w:pStyle w:val="CETBodytext"/>
        <w:rPr>
          <w:lang w:val="en-GB"/>
        </w:rPr>
      </w:pPr>
      <w:proofErr w:type="spellStart"/>
      <w:r w:rsidRPr="0050237C">
        <w:rPr>
          <w:lang w:val="en-GB"/>
        </w:rPr>
        <w:t>Analyzing</w:t>
      </w:r>
      <w:proofErr w:type="spellEnd"/>
      <w:r w:rsidRPr="0050237C">
        <w:rPr>
          <w:lang w:val="en-GB"/>
        </w:rPr>
        <w:t xml:space="preserve"> the delta values obtained as described in paragraph 2.1</w:t>
      </w:r>
      <w:r>
        <w:rPr>
          <w:lang w:val="en-GB"/>
        </w:rPr>
        <w:t xml:space="preserve"> and reported in Figure 4</w:t>
      </w:r>
      <w:r w:rsidRPr="0050237C">
        <w:rPr>
          <w:lang w:val="en-GB"/>
        </w:rPr>
        <w:t>, it is noted that on some days there is a high deviation. These days correspond to the fire events considered and described in chapter 2.2.</w:t>
      </w:r>
      <w:r w:rsidR="00D64591">
        <w:rPr>
          <w:lang w:val="en-GB"/>
        </w:rPr>
        <w:t xml:space="preserve"> </w:t>
      </w:r>
      <w:r w:rsidR="00782A09" w:rsidRPr="00782A09">
        <w:rPr>
          <w:lang w:val="en-GB"/>
        </w:rPr>
        <w:t xml:space="preserve">The event of July 17, 2024, although not clearly visible in Figure 4, was nevertheless of significant intensity as shown by the hourly data in </w:t>
      </w:r>
      <w:r w:rsidR="00782A09" w:rsidRPr="00055B40">
        <w:rPr>
          <w:lang w:val="en-GB"/>
        </w:rPr>
        <w:t xml:space="preserve">Figure </w:t>
      </w:r>
      <w:r w:rsidR="00055B40">
        <w:rPr>
          <w:lang w:val="en-GB"/>
        </w:rPr>
        <w:t>5</w:t>
      </w:r>
      <w:r w:rsidR="00782A09" w:rsidRPr="00055B40">
        <w:rPr>
          <w:lang w:val="en-GB"/>
        </w:rPr>
        <w:t>.</w:t>
      </w:r>
    </w:p>
    <w:p w14:paraId="08718BC8" w14:textId="77777777" w:rsidR="00C5240A" w:rsidRDefault="00C5240A" w:rsidP="00E2753F">
      <w:pPr>
        <w:pStyle w:val="CETBodytext"/>
        <w:rPr>
          <w:lang w:val="en-GB"/>
        </w:rPr>
      </w:pPr>
    </w:p>
    <w:p w14:paraId="785E2ED7" w14:textId="77777777" w:rsidR="00C5240A" w:rsidRDefault="00C5240A" w:rsidP="00E2753F">
      <w:pPr>
        <w:pStyle w:val="CETBodytext"/>
        <w:rPr>
          <w:lang w:val="en-GB"/>
        </w:rPr>
      </w:pPr>
    </w:p>
    <w:p w14:paraId="0BB88A25" w14:textId="77777777" w:rsidR="00C5240A" w:rsidRDefault="00C5240A" w:rsidP="00E2753F">
      <w:pPr>
        <w:pStyle w:val="CETBodytext"/>
        <w:rPr>
          <w:lang w:val="en-GB"/>
        </w:rPr>
      </w:pPr>
    </w:p>
    <w:p w14:paraId="766F9300" w14:textId="31E14C10" w:rsidR="00C8755F" w:rsidRPr="00B57B36" w:rsidRDefault="00C8755F" w:rsidP="00C8755F">
      <w:pPr>
        <w:pStyle w:val="CETheadingx"/>
      </w:pPr>
      <w:r>
        <w:lastRenderedPageBreak/>
        <w:t>Fire events analysis</w:t>
      </w:r>
    </w:p>
    <w:p w14:paraId="1262E172" w14:textId="77777777" w:rsidR="00C8755F" w:rsidRDefault="00C8755F" w:rsidP="00E2753F">
      <w:pPr>
        <w:pStyle w:val="CETBodytext"/>
        <w:rPr>
          <w:lang w:val="en-GB"/>
        </w:rPr>
      </w:pPr>
    </w:p>
    <w:p w14:paraId="65C6B0AD" w14:textId="7AE12E44" w:rsidR="001C4EAE" w:rsidRDefault="00294390" w:rsidP="001C4EAE">
      <w:pPr>
        <w:pStyle w:val="CETBodytext"/>
        <w:keepNext/>
      </w:pPr>
      <w:r>
        <w:rPr>
          <w:noProof/>
        </w:rPr>
        <w:drawing>
          <wp:inline distT="0" distB="0" distL="0" distR="0" wp14:anchorId="542632E6" wp14:editId="0946C430">
            <wp:extent cx="5401310" cy="2792095"/>
            <wp:effectExtent l="0" t="0" r="8890" b="8255"/>
            <wp:docPr id="85755799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2792095"/>
                    </a:xfrm>
                    <a:prstGeom prst="rect">
                      <a:avLst/>
                    </a:prstGeom>
                    <a:noFill/>
                  </pic:spPr>
                </pic:pic>
              </a:graphicData>
            </a:graphic>
          </wp:inline>
        </w:drawing>
      </w:r>
    </w:p>
    <w:p w14:paraId="4F221AAA" w14:textId="16CBAB67" w:rsidR="00FD3203" w:rsidRDefault="001C4EAE" w:rsidP="00065553">
      <w:pPr>
        <w:pStyle w:val="CETCaption"/>
      </w:pPr>
      <w:r>
        <w:t xml:space="preserve">Figure </w:t>
      </w:r>
      <w:r>
        <w:fldChar w:fldCharType="begin"/>
      </w:r>
      <w:r>
        <w:instrText xml:space="preserve"> SEQ Figure \* ARABIC </w:instrText>
      </w:r>
      <w:r>
        <w:fldChar w:fldCharType="separate"/>
      </w:r>
      <w:r w:rsidR="00C87B7B">
        <w:rPr>
          <w:noProof/>
        </w:rPr>
        <w:t>4</w:t>
      </w:r>
      <w:r>
        <w:fldChar w:fldCharType="end"/>
      </w:r>
      <w:r>
        <w:t>.</w:t>
      </w:r>
      <w:r w:rsidR="00B83498">
        <w:t xml:space="preserve"> D</w:t>
      </w:r>
      <w:r w:rsidR="00B83498" w:rsidRPr="00B83498">
        <w:t>eviation of the daily value from the background</w:t>
      </w:r>
      <w:r w:rsidR="00B83498">
        <w:t xml:space="preserve"> calculated according to Eq.1.</w:t>
      </w:r>
    </w:p>
    <w:p w14:paraId="60F506BD" w14:textId="2E42E9D0" w:rsidR="00FD3203" w:rsidRDefault="007B7A7A" w:rsidP="00E2753F">
      <w:pPr>
        <w:pStyle w:val="CETBodytext"/>
        <w:rPr>
          <w:lang w:val="en-GB"/>
        </w:rPr>
      </w:pPr>
      <w:r w:rsidRPr="007B7A7A">
        <w:rPr>
          <w:lang w:val="en-GB"/>
        </w:rPr>
        <w:t>Considering the hourly average values</w:t>
      </w:r>
      <w:r>
        <w:rPr>
          <w:lang w:val="en-GB"/>
        </w:rPr>
        <w:t xml:space="preserve"> measured</w:t>
      </w:r>
      <w:r w:rsidRPr="007B7A7A">
        <w:rPr>
          <w:lang w:val="en-GB"/>
        </w:rPr>
        <w:t xml:space="preserve"> on the days in which the</w:t>
      </w:r>
      <w:r>
        <w:rPr>
          <w:lang w:val="en-GB"/>
        </w:rPr>
        <w:t xml:space="preserve"> four fire</w:t>
      </w:r>
      <w:r w:rsidRPr="007B7A7A">
        <w:rPr>
          <w:lang w:val="en-GB"/>
        </w:rPr>
        <w:t xml:space="preserve"> events considered occurred, it can be seen, in Figure 5, that the concentration values reach a maximum peak around 120-140 </w:t>
      </w:r>
      <w:r w:rsidRPr="003B677E">
        <w:rPr>
          <w:lang w:val="en-GB"/>
        </w:rPr>
        <w:sym w:font="Symbol" w:char="F06D"/>
      </w:r>
      <w:r w:rsidRPr="003B677E">
        <w:rPr>
          <w:lang w:val="en-GB"/>
        </w:rPr>
        <w:t>g/m</w:t>
      </w:r>
      <w:r w:rsidRPr="003B677E">
        <w:rPr>
          <w:vertAlign w:val="superscript"/>
          <w:lang w:val="en-GB"/>
        </w:rPr>
        <w:t>3</w:t>
      </w:r>
      <w:r w:rsidRPr="007B7A7A">
        <w:rPr>
          <w:lang w:val="en-GB"/>
        </w:rPr>
        <w:t xml:space="preserve"> and that in the following hours, however, these values tend to remain high. From an analysis of the wind speed and intensity recorded in the meteorological stations located in the immediate vicinity of the air quality station, the station was</w:t>
      </w:r>
      <w:r>
        <w:rPr>
          <w:lang w:val="en-GB"/>
        </w:rPr>
        <w:t xml:space="preserve"> under the wind</w:t>
      </w:r>
      <w:r w:rsidRPr="007B7A7A">
        <w:rPr>
          <w:lang w:val="en-GB"/>
        </w:rPr>
        <w:t xml:space="preserve"> direction and therefore was able to detect the dispersed plume.</w:t>
      </w:r>
    </w:p>
    <w:p w14:paraId="264685A8" w14:textId="77777777" w:rsidR="007B7A7A" w:rsidRDefault="007B7A7A" w:rsidP="00E2753F">
      <w:pPr>
        <w:pStyle w:val="CETBodytext"/>
        <w:rPr>
          <w:lang w:val="en-GB"/>
        </w:rPr>
      </w:pPr>
    </w:p>
    <w:p w14:paraId="20D48E7A" w14:textId="4CE6B931" w:rsidR="0088741E" w:rsidRDefault="0088741E" w:rsidP="00E2753F">
      <w:pPr>
        <w:pStyle w:val="CETBodytext"/>
        <w:rPr>
          <w:lang w:val="en-GB"/>
        </w:rPr>
      </w:pPr>
      <w:r>
        <w:rPr>
          <w:noProof/>
          <w:lang w:val="en-GB"/>
        </w:rPr>
        <w:drawing>
          <wp:inline distT="0" distB="0" distL="0" distR="0" wp14:anchorId="3819C63C" wp14:editId="60556F67">
            <wp:extent cx="5511800" cy="2806993"/>
            <wp:effectExtent l="0" t="0" r="0" b="0"/>
            <wp:docPr id="80192570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9720" cy="2811026"/>
                    </a:xfrm>
                    <a:prstGeom prst="rect">
                      <a:avLst/>
                    </a:prstGeom>
                    <a:noFill/>
                  </pic:spPr>
                </pic:pic>
              </a:graphicData>
            </a:graphic>
          </wp:inline>
        </w:drawing>
      </w:r>
    </w:p>
    <w:p w14:paraId="7AF9BBEE" w14:textId="7344470D" w:rsidR="008274B6" w:rsidRPr="008274B6" w:rsidRDefault="00C87B7B" w:rsidP="00C5240A">
      <w:pPr>
        <w:pStyle w:val="CETCaption"/>
      </w:pPr>
      <w:r>
        <w:t xml:space="preserve">Figure </w:t>
      </w:r>
      <w:r>
        <w:fldChar w:fldCharType="begin"/>
      </w:r>
      <w:r>
        <w:instrText xml:space="preserve"> SEQ Figure \* ARABIC </w:instrText>
      </w:r>
      <w:r>
        <w:fldChar w:fldCharType="separate"/>
      </w:r>
      <w:r>
        <w:rPr>
          <w:noProof/>
        </w:rPr>
        <w:t>5</w:t>
      </w:r>
      <w:r>
        <w:fldChar w:fldCharType="end"/>
      </w:r>
      <w:r w:rsidR="0088741E">
        <w:t>. Fire events</w:t>
      </w:r>
      <w:r w:rsidR="0093465F">
        <w:t xml:space="preserve">: a) 20-21 June 2024, b) 06-07 July 2024 c) </w:t>
      </w:r>
      <w:r w:rsidR="00C5240A">
        <w:t xml:space="preserve">16-17 July 2024, d) </w:t>
      </w:r>
      <w:r w:rsidR="0093465F">
        <w:t>28-29 August 2024</w:t>
      </w:r>
      <w:r w:rsidR="00C5240A">
        <w:t>.</w:t>
      </w:r>
    </w:p>
    <w:p w14:paraId="68D26B83" w14:textId="77777777" w:rsidR="00600535" w:rsidRPr="00B57B36" w:rsidRDefault="00600535" w:rsidP="00600535">
      <w:pPr>
        <w:pStyle w:val="CETHeading1"/>
        <w:rPr>
          <w:lang w:val="en-GB"/>
        </w:rPr>
      </w:pPr>
      <w:r w:rsidRPr="00B57B36">
        <w:rPr>
          <w:lang w:val="en-GB"/>
        </w:rPr>
        <w:t>Conclusions</w:t>
      </w:r>
    </w:p>
    <w:p w14:paraId="47B1DF69" w14:textId="1B5D8D47" w:rsidR="00F54422" w:rsidRDefault="00E34944" w:rsidP="00594BB3">
      <w:pPr>
        <w:pStyle w:val="CETHeadingxx"/>
        <w:jc w:val="both"/>
        <w:rPr>
          <w:b w:val="0"/>
          <w:lang w:val="en-GB"/>
        </w:rPr>
      </w:pPr>
      <w:r>
        <w:rPr>
          <w:b w:val="0"/>
          <w:lang w:val="en-GB"/>
        </w:rPr>
        <w:t>T</w:t>
      </w:r>
      <w:r w:rsidRPr="00E34944">
        <w:rPr>
          <w:b w:val="0"/>
          <w:lang w:val="en-GB"/>
        </w:rPr>
        <w:t>he analysis of particulate matter concentrations from June to August reveals a notable increase in PM10, PM2.5, and PM1 levels, with July and August exhibiting higher monthly averages compared to March and April. Typically, winter months see elevated concentrations due to domestic heating; however, the summer months in question experienced contributions from an anomalous source of particulate matter.</w:t>
      </w:r>
      <w:r>
        <w:rPr>
          <w:b w:val="0"/>
          <w:lang w:val="en-GB"/>
        </w:rPr>
        <w:t xml:space="preserve"> </w:t>
      </w:r>
      <w:r w:rsidRPr="00E34944">
        <w:rPr>
          <w:b w:val="0"/>
          <w:lang w:val="en-GB"/>
        </w:rPr>
        <w:t xml:space="preserve">Additionally, significant </w:t>
      </w:r>
      <w:r w:rsidRPr="00E34944">
        <w:rPr>
          <w:b w:val="0"/>
          <w:lang w:val="en-GB"/>
        </w:rPr>
        <w:lastRenderedPageBreak/>
        <w:t>deviations in particulate matter levels were observed on certain days correlating with fire events, particularly on July 17, 2024. Hourly data indicated that during these fire events, particulate concentrations peaked between 120-140 µg/m</w:t>
      </w:r>
      <w:r w:rsidRPr="00F01B5C">
        <w:rPr>
          <w:b w:val="0"/>
          <w:vertAlign w:val="superscript"/>
          <w:lang w:val="en-GB"/>
        </w:rPr>
        <w:t>3</w:t>
      </w:r>
      <w:r w:rsidRPr="00E34944">
        <w:rPr>
          <w:b w:val="0"/>
          <w:lang w:val="en-GB"/>
        </w:rPr>
        <w:t xml:space="preserve"> and remained elevated in subsequent hours. Analysis of local wind conditions confirmed that the air quality station was positioned to detect the dispersed plume from these events, further emphasizing the impact of fire-related emissions on air quality during the summer months.</w:t>
      </w:r>
      <w:r w:rsidR="00F01B5C">
        <w:rPr>
          <w:b w:val="0"/>
          <w:lang w:val="en-GB"/>
        </w:rPr>
        <w:t xml:space="preserve"> </w:t>
      </w:r>
      <w:r w:rsidR="00D63A03">
        <w:rPr>
          <w:b w:val="0"/>
          <w:lang w:val="en-GB"/>
        </w:rPr>
        <w:t>C</w:t>
      </w:r>
      <w:r w:rsidR="00F54422" w:rsidRPr="00F54422">
        <w:rPr>
          <w:b w:val="0"/>
          <w:lang w:val="en-GB"/>
        </w:rPr>
        <w:t xml:space="preserve">itizen science is a vital component in monitoring air quality during incidental events such as wildfires. It empowers individuals, enhances data collection, fosters community resilience, and contributes to scientific understanding and effective </w:t>
      </w:r>
      <w:r w:rsidR="00974B72" w:rsidRPr="00F54422">
        <w:rPr>
          <w:b w:val="0"/>
          <w:lang w:val="en-GB"/>
        </w:rPr>
        <w:t>policymaking</w:t>
      </w:r>
      <w:r w:rsidR="00F54422">
        <w:rPr>
          <w:b w:val="0"/>
          <w:lang w:val="en-GB"/>
        </w:rPr>
        <w:t>.</w:t>
      </w:r>
      <w:r w:rsidR="00594BB3">
        <w:rPr>
          <w:b w:val="0"/>
          <w:lang w:val="en-GB"/>
        </w:rPr>
        <w:t xml:space="preserve"> T</w:t>
      </w:r>
      <w:r w:rsidR="00D63A03" w:rsidRPr="00D63A03">
        <w:rPr>
          <w:b w:val="0"/>
          <w:lang w:val="en-GB"/>
        </w:rPr>
        <w:t>he problem of summer wildfires is escalating due to a combination of climate change, human activities, and extreme weather conditions. Addressing this issue requires comprehensive strategies focused on prevention, preparedness, and effective response measures to mitigate the risks associated with wildfires</w:t>
      </w:r>
      <w:r w:rsidR="00F01B5C">
        <w:rPr>
          <w:b w:val="0"/>
          <w:lang w:val="en-GB"/>
        </w:rPr>
        <w:t>.</w:t>
      </w:r>
    </w:p>
    <w:p w14:paraId="4F1327F8" w14:textId="77777777" w:rsidR="00600535" w:rsidRPr="00B57B36" w:rsidRDefault="00600535" w:rsidP="00600535">
      <w:pPr>
        <w:pStyle w:val="CETReference"/>
      </w:pPr>
      <w:r w:rsidRPr="00B57B36">
        <w:t>References</w:t>
      </w:r>
    </w:p>
    <w:p w14:paraId="1A17218B" w14:textId="761F0248" w:rsidR="00EF2B2D" w:rsidRDefault="008A6BA4" w:rsidP="00DD2C57">
      <w:pPr>
        <w:pStyle w:val="CETReferencetext"/>
      </w:pPr>
      <w:r>
        <w:t xml:space="preserve">Holmes J. and Clark R., 2008, </w:t>
      </w:r>
      <w:r w:rsidR="00DD2C57" w:rsidRPr="00DD2C57">
        <w:t xml:space="preserve">Enhancing the use of science in environmental </w:t>
      </w:r>
      <w:proofErr w:type="gramStart"/>
      <w:r w:rsidR="00DD2C57" w:rsidRPr="00DD2C57">
        <w:t>policy-making</w:t>
      </w:r>
      <w:proofErr w:type="gramEnd"/>
      <w:r w:rsidR="00DD2C57" w:rsidRPr="00DD2C57">
        <w:t xml:space="preserve"> and regulation</w:t>
      </w:r>
      <w:r w:rsidR="00DD2C57">
        <w:t xml:space="preserve">, Environmental Science &amp; Policy, 11, 8, 702-711, </w:t>
      </w:r>
      <w:r w:rsidR="00054D98" w:rsidRPr="00054D98">
        <w:t>https://doi.org/10.1016/j.envsci.2008.08.004</w:t>
      </w:r>
      <w:r w:rsidR="00054D98">
        <w:t>.</w:t>
      </w:r>
    </w:p>
    <w:p w14:paraId="760A67E5" w14:textId="441E4FE4" w:rsidR="002D1900" w:rsidRPr="002D1900" w:rsidRDefault="00013EFA" w:rsidP="002D1900">
      <w:pPr>
        <w:pStyle w:val="CETReferencetext"/>
        <w:rPr>
          <w:lang w:val="it-IT"/>
        </w:rPr>
      </w:pPr>
      <w:r w:rsidRPr="00013EFA">
        <w:rPr>
          <w:lang w:val="it-IT"/>
        </w:rPr>
        <w:t xml:space="preserve">Institute for </w:t>
      </w:r>
      <w:proofErr w:type="spellStart"/>
      <w:r w:rsidRPr="00013EFA">
        <w:rPr>
          <w:lang w:val="it-IT"/>
        </w:rPr>
        <w:t>Environmental</w:t>
      </w:r>
      <w:proofErr w:type="spellEnd"/>
      <w:r w:rsidRPr="00013EFA">
        <w:rPr>
          <w:lang w:val="it-IT"/>
        </w:rPr>
        <w:t xml:space="preserve"> </w:t>
      </w:r>
      <w:proofErr w:type="spellStart"/>
      <w:r w:rsidRPr="00013EFA">
        <w:rPr>
          <w:lang w:val="it-IT"/>
        </w:rPr>
        <w:t>Protection</w:t>
      </w:r>
      <w:proofErr w:type="spellEnd"/>
      <w:r w:rsidRPr="00013EFA">
        <w:rPr>
          <w:lang w:val="it-IT"/>
        </w:rPr>
        <w:t xml:space="preserve"> and </w:t>
      </w:r>
      <w:proofErr w:type="spellStart"/>
      <w:r w:rsidRPr="00013EFA">
        <w:rPr>
          <w:lang w:val="it-IT"/>
        </w:rPr>
        <w:t>Research</w:t>
      </w:r>
      <w:proofErr w:type="spellEnd"/>
      <w:r w:rsidRPr="00013EFA">
        <w:rPr>
          <w:lang w:val="it-IT"/>
        </w:rPr>
        <w:t xml:space="preserve"> </w:t>
      </w:r>
      <w:r>
        <w:rPr>
          <w:lang w:val="it-IT"/>
        </w:rPr>
        <w:t xml:space="preserve">- </w:t>
      </w:r>
      <w:r w:rsidR="00F01B5C" w:rsidRPr="002D1900">
        <w:rPr>
          <w:lang w:val="it-IT"/>
        </w:rPr>
        <w:t>ISPRA</w:t>
      </w:r>
      <w:r w:rsidR="002D1900" w:rsidRPr="002D1900">
        <w:rPr>
          <w:lang w:val="it-IT"/>
        </w:rPr>
        <w:t xml:space="preserve">, Rilevazione del </w:t>
      </w:r>
      <w:proofErr w:type="spellStart"/>
      <w:r w:rsidR="002D1900" w:rsidRPr="002D1900">
        <w:rPr>
          <w:lang w:val="it-IT"/>
        </w:rPr>
        <w:t>plume</w:t>
      </w:r>
      <w:proofErr w:type="spellEnd"/>
      <w:r w:rsidR="002D1900" w:rsidRPr="002D1900">
        <w:rPr>
          <w:lang w:val="it-IT"/>
        </w:rPr>
        <w:t xml:space="preserve"> associato all’incendio di Roma in località Casal Lumbroso del 17 luglio 2024, </w:t>
      </w:r>
      <w:proofErr w:type="spellStart"/>
      <w:r w:rsidR="002D1900" w:rsidRPr="002D1900">
        <w:rPr>
          <w:lang w:val="it-IT"/>
        </w:rPr>
        <w:t>available</w:t>
      </w:r>
      <w:proofErr w:type="spellEnd"/>
      <w:r w:rsidR="002D1900" w:rsidRPr="002D1900">
        <w:rPr>
          <w:lang w:val="it-IT"/>
        </w:rPr>
        <w:t xml:space="preserve"> </w:t>
      </w:r>
      <w:proofErr w:type="spellStart"/>
      <w:r w:rsidR="002D1900" w:rsidRPr="002D1900">
        <w:rPr>
          <w:lang w:val="it-IT"/>
        </w:rPr>
        <w:t>at</w:t>
      </w:r>
      <w:proofErr w:type="spellEnd"/>
      <w:r w:rsidR="002D1900" w:rsidRPr="002D1900">
        <w:rPr>
          <w:lang w:val="it-IT"/>
        </w:rPr>
        <w:t>: https://www.isprambiente.gov.it/it/news/rilevazione-del-plume-associato-all-incendio-di-roma-in-localita-casal-lumbroso-del-17-luglio-2024.</w:t>
      </w:r>
    </w:p>
    <w:p w14:paraId="722414C8" w14:textId="11EE725B" w:rsidR="001B6CA3" w:rsidRPr="00013EFA" w:rsidRDefault="001B6CA3" w:rsidP="00600535">
      <w:pPr>
        <w:pStyle w:val="CETReferencetext"/>
        <w:rPr>
          <w:lang w:val="it-IT"/>
        </w:rPr>
      </w:pPr>
      <w:proofErr w:type="spellStart"/>
      <w:r w:rsidRPr="00013EFA">
        <w:rPr>
          <w:lang w:val="it-IT"/>
        </w:rPr>
        <w:t>Italian</w:t>
      </w:r>
      <w:proofErr w:type="spellEnd"/>
      <w:r w:rsidRPr="00013EFA">
        <w:rPr>
          <w:lang w:val="it-IT"/>
        </w:rPr>
        <w:t xml:space="preserve"> </w:t>
      </w:r>
      <w:proofErr w:type="spellStart"/>
      <w:r w:rsidRPr="00013EFA">
        <w:rPr>
          <w:lang w:val="it-IT"/>
        </w:rPr>
        <w:t>Civil</w:t>
      </w:r>
      <w:proofErr w:type="spellEnd"/>
      <w:r w:rsidRPr="00013EFA">
        <w:rPr>
          <w:lang w:val="it-IT"/>
        </w:rPr>
        <w:t xml:space="preserve"> </w:t>
      </w:r>
      <w:proofErr w:type="spellStart"/>
      <w:r w:rsidRPr="00013EFA">
        <w:rPr>
          <w:lang w:val="it-IT"/>
        </w:rPr>
        <w:t>Protection</w:t>
      </w:r>
      <w:proofErr w:type="spellEnd"/>
      <w:r w:rsidRPr="00013EFA">
        <w:rPr>
          <w:lang w:val="it-IT"/>
        </w:rPr>
        <w:t xml:space="preserve">, </w:t>
      </w:r>
      <w:r w:rsidR="00013EFA" w:rsidRPr="00013EFA">
        <w:rPr>
          <w:lang w:val="it-IT"/>
        </w:rPr>
        <w:t>Resoconto Campagna</w:t>
      </w:r>
      <w:r w:rsidR="00013EFA">
        <w:rPr>
          <w:lang w:val="it-IT"/>
        </w:rPr>
        <w:t xml:space="preserve"> AIB 2024.</w:t>
      </w:r>
    </w:p>
    <w:p w14:paraId="109395F4" w14:textId="3CFDDD6B" w:rsidR="00600535" w:rsidRDefault="00455702" w:rsidP="00600535">
      <w:pPr>
        <w:pStyle w:val="CETReferencetext"/>
      </w:pPr>
      <w:r w:rsidRPr="00D317E7">
        <w:t>Lotrecchiano N., Sofia d., Capozzi V., 2021</w:t>
      </w:r>
      <w:r w:rsidR="00CF1DD4">
        <w:t>a</w:t>
      </w:r>
      <w:r w:rsidRPr="00D317E7">
        <w:t xml:space="preserve">, </w:t>
      </w:r>
      <w:r w:rsidR="00D317E7" w:rsidRPr="00D317E7">
        <w:t>An Innovative Approach to Determining the Contribution of Saharan Dust to Pollution</w:t>
      </w:r>
      <w:r w:rsidR="00D317E7">
        <w:t xml:space="preserve">, </w:t>
      </w:r>
      <w:r w:rsidRPr="00D317E7">
        <w:t>Int</w:t>
      </w:r>
      <w:r w:rsidR="00D317E7">
        <w:t>ernational</w:t>
      </w:r>
      <w:r w:rsidRPr="00D317E7">
        <w:t xml:space="preserve"> J</w:t>
      </w:r>
      <w:r w:rsidR="00D317E7">
        <w:t>ournal of</w:t>
      </w:r>
      <w:r w:rsidRPr="00D317E7">
        <w:t xml:space="preserve"> Environ</w:t>
      </w:r>
      <w:r w:rsidR="00D317E7">
        <w:t>mental</w:t>
      </w:r>
      <w:r w:rsidRPr="00D317E7">
        <w:t xml:space="preserve"> </w:t>
      </w:r>
      <w:r w:rsidRPr="00455702">
        <w:t>Res</w:t>
      </w:r>
      <w:r w:rsidR="00D317E7">
        <w:t xml:space="preserve">earch and </w:t>
      </w:r>
      <w:r w:rsidRPr="00455702">
        <w:t>Public Health, 18</w:t>
      </w:r>
      <w:r w:rsidR="00D317E7">
        <w:t>,</w:t>
      </w:r>
      <w:r w:rsidR="00974B72">
        <w:t xml:space="preserve"> </w:t>
      </w:r>
      <w:r w:rsidRPr="00455702">
        <w:t xml:space="preserve">11, 6100; </w:t>
      </w:r>
      <w:r w:rsidR="00CF1DD4" w:rsidRPr="00FF2649">
        <w:t>https://doi.org/10.3390/ijerph18116100</w:t>
      </w:r>
      <w:r w:rsidR="00E66C7E">
        <w:t>.</w:t>
      </w:r>
    </w:p>
    <w:p w14:paraId="666B868B" w14:textId="203270C7" w:rsidR="00CF1DD4" w:rsidRDefault="00FF2649" w:rsidP="00600535">
      <w:pPr>
        <w:pStyle w:val="CETReferencetext"/>
      </w:pPr>
      <w:r w:rsidRPr="00FF2649">
        <w:t>Lotrecchiano N., Sofia D., Giuliano A., Barletta D., Poletto M., 2021</w:t>
      </w:r>
      <w:r>
        <w:t>b</w:t>
      </w:r>
      <w:r w:rsidRPr="00FF2649">
        <w:t xml:space="preserve">, Spatial Interpolation Techniques For </w:t>
      </w:r>
      <w:proofErr w:type="gramStart"/>
      <w:r w:rsidRPr="00FF2649">
        <w:t>innovative</w:t>
      </w:r>
      <w:proofErr w:type="gramEnd"/>
      <w:r w:rsidRPr="00FF2649">
        <w:t xml:space="preserve"> Air Quality Monitoring Systems, Chemical Engineering Transactions, 86, 391-396 DOI:10.3303/CET2186066</w:t>
      </w:r>
      <w:r>
        <w:t>.</w:t>
      </w:r>
    </w:p>
    <w:p w14:paraId="0C9C0009" w14:textId="3CA84825" w:rsidR="00E66C7E" w:rsidRPr="00BC4B8C" w:rsidRDefault="00D85DDE" w:rsidP="00600535">
      <w:pPr>
        <w:pStyle w:val="CETReferencetext"/>
      </w:pPr>
      <w:r w:rsidRPr="00BC4B8C">
        <w:t xml:space="preserve">Lotrecchiano N., Montano L., </w:t>
      </w:r>
      <w:proofErr w:type="spellStart"/>
      <w:r w:rsidRPr="00BC4B8C">
        <w:t>Bonapace</w:t>
      </w:r>
      <w:proofErr w:type="spellEnd"/>
      <w:r w:rsidRPr="00BC4B8C">
        <w:t xml:space="preserve"> M.I., </w:t>
      </w:r>
      <w:r w:rsidR="006741E5" w:rsidRPr="00BC4B8C">
        <w:t xml:space="preserve">Tenore G., </w:t>
      </w:r>
      <w:proofErr w:type="spellStart"/>
      <w:r w:rsidR="006741E5" w:rsidRPr="00BC4B8C">
        <w:t>Trucillo</w:t>
      </w:r>
      <w:proofErr w:type="spellEnd"/>
      <w:r w:rsidR="006741E5" w:rsidRPr="00BC4B8C">
        <w:t xml:space="preserve"> P., Sofia D., 2022, </w:t>
      </w:r>
      <w:r w:rsidR="00BC4B8C" w:rsidRPr="00BC4B8C">
        <w:t>Comparison Process of Blood Heavy Metals Absorption Linked to Measured Air Quality Data in Areas with High and Low Environmental Impact</w:t>
      </w:r>
      <w:r w:rsidR="00BC4B8C">
        <w:t xml:space="preserve">, </w:t>
      </w:r>
      <w:r w:rsidR="006741E5" w:rsidRPr="00BC4B8C">
        <w:t>Processes, 10, 7, 1409; https://doi.org/10.3390/pr10071409.</w:t>
      </w:r>
    </w:p>
    <w:p w14:paraId="45F46172" w14:textId="26725C29" w:rsidR="00153077" w:rsidRDefault="00153077" w:rsidP="00BE25B3">
      <w:pPr>
        <w:pStyle w:val="CETReferencetext"/>
      </w:pPr>
      <w:r w:rsidRPr="00153077">
        <w:t xml:space="preserve">Mocellin P., </w:t>
      </w:r>
      <w:proofErr w:type="spellStart"/>
      <w:r w:rsidRPr="00153077">
        <w:t>Taccaliti</w:t>
      </w:r>
      <w:proofErr w:type="spellEnd"/>
      <w:r w:rsidRPr="00153077">
        <w:t xml:space="preserve"> F., Maschio G., Lingua E., Vianello C., 2020, Interface Fires in Built-up Areas. a Real-case Study on the Risk Assessment of Fires Interacting with Urban Domains., Chemical Engineering Transactions, 82, 259-264</w:t>
      </w:r>
      <w:r>
        <w:t xml:space="preserve">, </w:t>
      </w:r>
      <w:r w:rsidRPr="00153077">
        <w:t>DOI:10.3303/CET2082044</w:t>
      </w:r>
    </w:p>
    <w:p w14:paraId="118CBBA3" w14:textId="139493BC" w:rsidR="0023643E" w:rsidRDefault="0023643E" w:rsidP="00BE25B3">
      <w:pPr>
        <w:pStyle w:val="CETReferencetext"/>
      </w:pPr>
      <w:proofErr w:type="spellStart"/>
      <w:r w:rsidRPr="0023643E">
        <w:t>Sideri</w:t>
      </w:r>
      <w:proofErr w:type="spellEnd"/>
      <w:r w:rsidRPr="0023643E">
        <w:t xml:space="preserve"> V., Karakosta C., Vlachos S., 2024, A Citizen Science Approach to Address Odour Pollution in Greece, Chemical Engineering Transactions, 112, 85-90</w:t>
      </w:r>
      <w:r>
        <w:t xml:space="preserve">, </w:t>
      </w:r>
      <w:r w:rsidRPr="0023643E">
        <w:t>DOI:10.3303/CET24112015</w:t>
      </w:r>
    </w:p>
    <w:p w14:paraId="5C1D2FD6" w14:textId="716EA09D" w:rsidR="00F42126" w:rsidRPr="00F42126" w:rsidRDefault="00F42126" w:rsidP="00F42126">
      <w:pPr>
        <w:pStyle w:val="CETReferencetext"/>
        <w:rPr>
          <w:lang w:val="en-US"/>
        </w:rPr>
      </w:pPr>
      <w:r>
        <w:rPr>
          <w:lang w:val="en-US"/>
        </w:rPr>
        <w:t xml:space="preserve">Sofia D. et al. </w:t>
      </w:r>
      <w:r w:rsidRPr="00F42126">
        <w:rPr>
          <w:lang w:val="en-US"/>
        </w:rPr>
        <w:t>Optimization of number and location of sampling points of an air quality monitoring network in an urban contest</w:t>
      </w:r>
      <w:r>
        <w:rPr>
          <w:lang w:val="en-US"/>
        </w:rPr>
        <w:t xml:space="preserve">. DOI </w:t>
      </w:r>
      <w:r w:rsidRPr="00F42126">
        <w:rPr>
          <w:lang w:val="en-US"/>
        </w:rPr>
        <w:t>10.3303/CET1974047</w:t>
      </w:r>
      <w:r>
        <w:rPr>
          <w:lang w:val="en-US"/>
        </w:rPr>
        <w:t xml:space="preserve"> (2019).</w:t>
      </w:r>
    </w:p>
    <w:p w14:paraId="106C23B5" w14:textId="7A971850" w:rsidR="00D85DDE" w:rsidRPr="00BC4B8C" w:rsidRDefault="00906F3E" w:rsidP="00BE25B3">
      <w:pPr>
        <w:pStyle w:val="CETReferencetext"/>
      </w:pPr>
      <w:r w:rsidRPr="00906F3E">
        <w:t>Takao Y.</w:t>
      </w:r>
      <w:r>
        <w:t>, 2015,</w:t>
      </w:r>
      <w:r w:rsidRPr="00906F3E">
        <w:t xml:space="preserve"> Making environmental policy work with civic science: the intermediary role of expert citizens at the Japanese local level</w:t>
      </w:r>
      <w:r>
        <w:t>,</w:t>
      </w:r>
      <w:r w:rsidRPr="00906F3E">
        <w:t xml:space="preserve"> Local Environment, 21</w:t>
      </w:r>
      <w:r w:rsidR="00BE25B3">
        <w:t xml:space="preserve">, </w:t>
      </w:r>
      <w:r w:rsidRPr="00906F3E">
        <w:t>9, 1100–1117 https://doi.org/10.1080/13549839.2015.1070335</w:t>
      </w:r>
      <w:r w:rsidR="00BE25B3">
        <w:t>.</w:t>
      </w:r>
    </w:p>
    <w:sectPr w:rsidR="00D85DDE" w:rsidRPr="00BC4B8C"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8940B" w14:textId="77777777" w:rsidR="00355EDF" w:rsidRDefault="00355EDF" w:rsidP="004F5E36">
      <w:r>
        <w:separator/>
      </w:r>
    </w:p>
  </w:endnote>
  <w:endnote w:type="continuationSeparator" w:id="0">
    <w:p w14:paraId="2DCB6A2D" w14:textId="77777777" w:rsidR="00355EDF" w:rsidRDefault="00355ED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GreekC">
    <w:panose1 w:val="000004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69A72" w14:textId="77777777" w:rsidR="00355EDF" w:rsidRDefault="00355EDF" w:rsidP="004F5E36">
      <w:r>
        <w:separator/>
      </w:r>
    </w:p>
  </w:footnote>
  <w:footnote w:type="continuationSeparator" w:id="0">
    <w:p w14:paraId="750ADA40" w14:textId="77777777" w:rsidR="00355EDF" w:rsidRDefault="00355ED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C52"/>
    <w:rsid w:val="000027C0"/>
    <w:rsid w:val="000052FB"/>
    <w:rsid w:val="00005A19"/>
    <w:rsid w:val="000117CB"/>
    <w:rsid w:val="00013EFA"/>
    <w:rsid w:val="00024E31"/>
    <w:rsid w:val="0003148D"/>
    <w:rsid w:val="00031EEC"/>
    <w:rsid w:val="000335B9"/>
    <w:rsid w:val="00051566"/>
    <w:rsid w:val="00054D98"/>
    <w:rsid w:val="00055B40"/>
    <w:rsid w:val="000562A9"/>
    <w:rsid w:val="00062751"/>
    <w:rsid w:val="00062A9A"/>
    <w:rsid w:val="00064E57"/>
    <w:rsid w:val="00065058"/>
    <w:rsid w:val="00065553"/>
    <w:rsid w:val="00072C84"/>
    <w:rsid w:val="0007784C"/>
    <w:rsid w:val="000835B2"/>
    <w:rsid w:val="00086C39"/>
    <w:rsid w:val="000A03B2"/>
    <w:rsid w:val="000B5564"/>
    <w:rsid w:val="000D0268"/>
    <w:rsid w:val="000D34BE"/>
    <w:rsid w:val="000D4C8E"/>
    <w:rsid w:val="000E0B3C"/>
    <w:rsid w:val="000E102F"/>
    <w:rsid w:val="000E36F1"/>
    <w:rsid w:val="000E3A73"/>
    <w:rsid w:val="000E414A"/>
    <w:rsid w:val="000E75FD"/>
    <w:rsid w:val="000F093C"/>
    <w:rsid w:val="000F1FD0"/>
    <w:rsid w:val="000F787B"/>
    <w:rsid w:val="00117347"/>
    <w:rsid w:val="0012091F"/>
    <w:rsid w:val="00126BC2"/>
    <w:rsid w:val="001308B6"/>
    <w:rsid w:val="0013121F"/>
    <w:rsid w:val="00131FE6"/>
    <w:rsid w:val="0013263F"/>
    <w:rsid w:val="001331DF"/>
    <w:rsid w:val="00134DE4"/>
    <w:rsid w:val="0014034D"/>
    <w:rsid w:val="001403B2"/>
    <w:rsid w:val="00140FE3"/>
    <w:rsid w:val="00144D16"/>
    <w:rsid w:val="00150E59"/>
    <w:rsid w:val="00152DE3"/>
    <w:rsid w:val="00153077"/>
    <w:rsid w:val="0015746F"/>
    <w:rsid w:val="00164CF9"/>
    <w:rsid w:val="001652FD"/>
    <w:rsid w:val="0016668E"/>
    <w:rsid w:val="001667A6"/>
    <w:rsid w:val="00167317"/>
    <w:rsid w:val="0018171E"/>
    <w:rsid w:val="00184AD6"/>
    <w:rsid w:val="001A4AF7"/>
    <w:rsid w:val="001B0349"/>
    <w:rsid w:val="001B1E93"/>
    <w:rsid w:val="001B65C1"/>
    <w:rsid w:val="001B6CA3"/>
    <w:rsid w:val="001C260F"/>
    <w:rsid w:val="001C4511"/>
    <w:rsid w:val="001C4EAE"/>
    <w:rsid w:val="001C5C3A"/>
    <w:rsid w:val="001C644F"/>
    <w:rsid w:val="001C684B"/>
    <w:rsid w:val="001D0CFB"/>
    <w:rsid w:val="001D21AF"/>
    <w:rsid w:val="001D3D32"/>
    <w:rsid w:val="001D53FC"/>
    <w:rsid w:val="001F42A5"/>
    <w:rsid w:val="001F7B9D"/>
    <w:rsid w:val="00201C93"/>
    <w:rsid w:val="002111F0"/>
    <w:rsid w:val="002122D2"/>
    <w:rsid w:val="002224B4"/>
    <w:rsid w:val="0023643E"/>
    <w:rsid w:val="002447EF"/>
    <w:rsid w:val="00250301"/>
    <w:rsid w:val="00251550"/>
    <w:rsid w:val="00263B05"/>
    <w:rsid w:val="0027221A"/>
    <w:rsid w:val="00275148"/>
    <w:rsid w:val="00275B61"/>
    <w:rsid w:val="00280FAF"/>
    <w:rsid w:val="00282656"/>
    <w:rsid w:val="00294390"/>
    <w:rsid w:val="00296B83"/>
    <w:rsid w:val="002B4015"/>
    <w:rsid w:val="002B78CE"/>
    <w:rsid w:val="002C2FB6"/>
    <w:rsid w:val="002C5189"/>
    <w:rsid w:val="002D1900"/>
    <w:rsid w:val="002D5542"/>
    <w:rsid w:val="002D6CC5"/>
    <w:rsid w:val="002E5FA7"/>
    <w:rsid w:val="002F3309"/>
    <w:rsid w:val="003008CE"/>
    <w:rsid w:val="003009B7"/>
    <w:rsid w:val="00300E56"/>
    <w:rsid w:val="0030152C"/>
    <w:rsid w:val="0030469C"/>
    <w:rsid w:val="00304CE8"/>
    <w:rsid w:val="00321CA6"/>
    <w:rsid w:val="00323763"/>
    <w:rsid w:val="00323C5F"/>
    <w:rsid w:val="00334C09"/>
    <w:rsid w:val="00355EDF"/>
    <w:rsid w:val="003723D4"/>
    <w:rsid w:val="00381905"/>
    <w:rsid w:val="00384CC8"/>
    <w:rsid w:val="003871FD"/>
    <w:rsid w:val="00397673"/>
    <w:rsid w:val="003A1E30"/>
    <w:rsid w:val="003A2829"/>
    <w:rsid w:val="003A78F6"/>
    <w:rsid w:val="003A7D1C"/>
    <w:rsid w:val="003B304B"/>
    <w:rsid w:val="003B3146"/>
    <w:rsid w:val="003B49CD"/>
    <w:rsid w:val="003B677E"/>
    <w:rsid w:val="003D1E02"/>
    <w:rsid w:val="003F015E"/>
    <w:rsid w:val="00400414"/>
    <w:rsid w:val="00405CCD"/>
    <w:rsid w:val="00406D91"/>
    <w:rsid w:val="00412700"/>
    <w:rsid w:val="0041446B"/>
    <w:rsid w:val="00420CF0"/>
    <w:rsid w:val="004301B9"/>
    <w:rsid w:val="0044071E"/>
    <w:rsid w:val="0044329C"/>
    <w:rsid w:val="00453E24"/>
    <w:rsid w:val="00454A2E"/>
    <w:rsid w:val="00455702"/>
    <w:rsid w:val="00455F19"/>
    <w:rsid w:val="00457456"/>
    <w:rsid w:val="004577FE"/>
    <w:rsid w:val="00457B9C"/>
    <w:rsid w:val="0046164A"/>
    <w:rsid w:val="004628D2"/>
    <w:rsid w:val="00462DCD"/>
    <w:rsid w:val="004648AD"/>
    <w:rsid w:val="004703A9"/>
    <w:rsid w:val="00473188"/>
    <w:rsid w:val="004760DE"/>
    <w:rsid w:val="004763D7"/>
    <w:rsid w:val="004877B2"/>
    <w:rsid w:val="00495239"/>
    <w:rsid w:val="004A004E"/>
    <w:rsid w:val="004A24CF"/>
    <w:rsid w:val="004A6F64"/>
    <w:rsid w:val="004A7BA3"/>
    <w:rsid w:val="004C3D1D"/>
    <w:rsid w:val="004C3D84"/>
    <w:rsid w:val="004C7913"/>
    <w:rsid w:val="004D20CC"/>
    <w:rsid w:val="004E4DD6"/>
    <w:rsid w:val="004E555C"/>
    <w:rsid w:val="004F244A"/>
    <w:rsid w:val="004F5E36"/>
    <w:rsid w:val="0050237C"/>
    <w:rsid w:val="00507B47"/>
    <w:rsid w:val="00507BEF"/>
    <w:rsid w:val="00507CC9"/>
    <w:rsid w:val="005119A5"/>
    <w:rsid w:val="005278B7"/>
    <w:rsid w:val="00532016"/>
    <w:rsid w:val="005346C8"/>
    <w:rsid w:val="00543E7D"/>
    <w:rsid w:val="00547A68"/>
    <w:rsid w:val="005531C9"/>
    <w:rsid w:val="00554879"/>
    <w:rsid w:val="0056782D"/>
    <w:rsid w:val="00570C43"/>
    <w:rsid w:val="00592274"/>
    <w:rsid w:val="00594BB3"/>
    <w:rsid w:val="005B2110"/>
    <w:rsid w:val="005B350B"/>
    <w:rsid w:val="005B61E6"/>
    <w:rsid w:val="005C173D"/>
    <w:rsid w:val="005C77E1"/>
    <w:rsid w:val="005D668A"/>
    <w:rsid w:val="005D6A2F"/>
    <w:rsid w:val="005E0592"/>
    <w:rsid w:val="005E1A82"/>
    <w:rsid w:val="005E794C"/>
    <w:rsid w:val="005F0A28"/>
    <w:rsid w:val="005F0E5E"/>
    <w:rsid w:val="00600535"/>
    <w:rsid w:val="00610CD6"/>
    <w:rsid w:val="0061723D"/>
    <w:rsid w:val="00620DEE"/>
    <w:rsid w:val="00621F92"/>
    <w:rsid w:val="0062280A"/>
    <w:rsid w:val="006231E1"/>
    <w:rsid w:val="00625639"/>
    <w:rsid w:val="00626342"/>
    <w:rsid w:val="00630458"/>
    <w:rsid w:val="006309CB"/>
    <w:rsid w:val="00631B33"/>
    <w:rsid w:val="0064184D"/>
    <w:rsid w:val="006422CC"/>
    <w:rsid w:val="00651D18"/>
    <w:rsid w:val="00651D5B"/>
    <w:rsid w:val="00660E3E"/>
    <w:rsid w:val="00662E74"/>
    <w:rsid w:val="006741E5"/>
    <w:rsid w:val="00680C23"/>
    <w:rsid w:val="00683D2C"/>
    <w:rsid w:val="00683E23"/>
    <w:rsid w:val="00693766"/>
    <w:rsid w:val="006A3281"/>
    <w:rsid w:val="006A679D"/>
    <w:rsid w:val="006A6DE5"/>
    <w:rsid w:val="006B4888"/>
    <w:rsid w:val="006C2E45"/>
    <w:rsid w:val="006C3599"/>
    <w:rsid w:val="006C359C"/>
    <w:rsid w:val="006C5579"/>
    <w:rsid w:val="006D6B14"/>
    <w:rsid w:val="006D6E8B"/>
    <w:rsid w:val="006D7209"/>
    <w:rsid w:val="006E737D"/>
    <w:rsid w:val="00707DD1"/>
    <w:rsid w:val="007129EC"/>
    <w:rsid w:val="00713973"/>
    <w:rsid w:val="00720A24"/>
    <w:rsid w:val="00732386"/>
    <w:rsid w:val="0073514D"/>
    <w:rsid w:val="00740AA7"/>
    <w:rsid w:val="007447F3"/>
    <w:rsid w:val="0075499F"/>
    <w:rsid w:val="007661C8"/>
    <w:rsid w:val="0077098D"/>
    <w:rsid w:val="0077688A"/>
    <w:rsid w:val="00782A09"/>
    <w:rsid w:val="00785BF9"/>
    <w:rsid w:val="007918EF"/>
    <w:rsid w:val="007931FA"/>
    <w:rsid w:val="007A0A47"/>
    <w:rsid w:val="007A4861"/>
    <w:rsid w:val="007A7BBA"/>
    <w:rsid w:val="007B0C50"/>
    <w:rsid w:val="007B48F9"/>
    <w:rsid w:val="007B7A7A"/>
    <w:rsid w:val="007C1A43"/>
    <w:rsid w:val="007D0951"/>
    <w:rsid w:val="007D610D"/>
    <w:rsid w:val="007F6CFA"/>
    <w:rsid w:val="0080013E"/>
    <w:rsid w:val="00801759"/>
    <w:rsid w:val="0080466D"/>
    <w:rsid w:val="00813288"/>
    <w:rsid w:val="008168FC"/>
    <w:rsid w:val="008274B6"/>
    <w:rsid w:val="00830996"/>
    <w:rsid w:val="008345F1"/>
    <w:rsid w:val="00857147"/>
    <w:rsid w:val="00865B07"/>
    <w:rsid w:val="008667EA"/>
    <w:rsid w:val="0087637F"/>
    <w:rsid w:val="00882948"/>
    <w:rsid w:val="008872F1"/>
    <w:rsid w:val="0088741E"/>
    <w:rsid w:val="00891252"/>
    <w:rsid w:val="00892AD5"/>
    <w:rsid w:val="008A1512"/>
    <w:rsid w:val="008A4699"/>
    <w:rsid w:val="008A6BA4"/>
    <w:rsid w:val="008D32B9"/>
    <w:rsid w:val="008D433B"/>
    <w:rsid w:val="008D4A16"/>
    <w:rsid w:val="008E52D5"/>
    <w:rsid w:val="008E5401"/>
    <w:rsid w:val="008E566E"/>
    <w:rsid w:val="0090161A"/>
    <w:rsid w:val="00901EB6"/>
    <w:rsid w:val="009041F8"/>
    <w:rsid w:val="00904475"/>
    <w:rsid w:val="00904C62"/>
    <w:rsid w:val="00906F3E"/>
    <w:rsid w:val="009128E2"/>
    <w:rsid w:val="009171D0"/>
    <w:rsid w:val="00920BCC"/>
    <w:rsid w:val="00922BA8"/>
    <w:rsid w:val="00924DAC"/>
    <w:rsid w:val="00927058"/>
    <w:rsid w:val="0093465F"/>
    <w:rsid w:val="00942750"/>
    <w:rsid w:val="009450CE"/>
    <w:rsid w:val="009459BB"/>
    <w:rsid w:val="00947179"/>
    <w:rsid w:val="0095164B"/>
    <w:rsid w:val="00954090"/>
    <w:rsid w:val="009573E7"/>
    <w:rsid w:val="00963E05"/>
    <w:rsid w:val="00964A45"/>
    <w:rsid w:val="00967843"/>
    <w:rsid w:val="009679FB"/>
    <w:rsid w:val="00967D54"/>
    <w:rsid w:val="00971028"/>
    <w:rsid w:val="00974B72"/>
    <w:rsid w:val="009755EF"/>
    <w:rsid w:val="00984E2E"/>
    <w:rsid w:val="00990C7B"/>
    <w:rsid w:val="00993B84"/>
    <w:rsid w:val="00994C6A"/>
    <w:rsid w:val="00996483"/>
    <w:rsid w:val="00996F49"/>
    <w:rsid w:val="00996F5A"/>
    <w:rsid w:val="00997502"/>
    <w:rsid w:val="009A53F2"/>
    <w:rsid w:val="009B041A"/>
    <w:rsid w:val="009B6E57"/>
    <w:rsid w:val="009B7FDE"/>
    <w:rsid w:val="009C37C3"/>
    <w:rsid w:val="009C5014"/>
    <w:rsid w:val="009C7C86"/>
    <w:rsid w:val="009D2FF7"/>
    <w:rsid w:val="009D6AAC"/>
    <w:rsid w:val="009D6CE0"/>
    <w:rsid w:val="009E7779"/>
    <w:rsid w:val="009E7884"/>
    <w:rsid w:val="009E788A"/>
    <w:rsid w:val="009F0E08"/>
    <w:rsid w:val="00A079AE"/>
    <w:rsid w:val="00A1763D"/>
    <w:rsid w:val="00A17CEC"/>
    <w:rsid w:val="00A2514E"/>
    <w:rsid w:val="00A26CEB"/>
    <w:rsid w:val="00A27EF0"/>
    <w:rsid w:val="00A42361"/>
    <w:rsid w:val="00A50B20"/>
    <w:rsid w:val="00A51390"/>
    <w:rsid w:val="00A55EC1"/>
    <w:rsid w:val="00A60D13"/>
    <w:rsid w:val="00A63C98"/>
    <w:rsid w:val="00A7223D"/>
    <w:rsid w:val="00A72745"/>
    <w:rsid w:val="00A76EFC"/>
    <w:rsid w:val="00A87D50"/>
    <w:rsid w:val="00A91010"/>
    <w:rsid w:val="00A97F29"/>
    <w:rsid w:val="00AA5FED"/>
    <w:rsid w:val="00AA60DF"/>
    <w:rsid w:val="00AA702E"/>
    <w:rsid w:val="00AA7D26"/>
    <w:rsid w:val="00AB0964"/>
    <w:rsid w:val="00AB5011"/>
    <w:rsid w:val="00AC7368"/>
    <w:rsid w:val="00AD0BF4"/>
    <w:rsid w:val="00AD16B9"/>
    <w:rsid w:val="00AE278F"/>
    <w:rsid w:val="00AE377D"/>
    <w:rsid w:val="00AF0EBA"/>
    <w:rsid w:val="00AF2463"/>
    <w:rsid w:val="00B018FA"/>
    <w:rsid w:val="00B02C8A"/>
    <w:rsid w:val="00B15743"/>
    <w:rsid w:val="00B17FBD"/>
    <w:rsid w:val="00B315A6"/>
    <w:rsid w:val="00B31813"/>
    <w:rsid w:val="00B33365"/>
    <w:rsid w:val="00B57B36"/>
    <w:rsid w:val="00B57E6F"/>
    <w:rsid w:val="00B61F67"/>
    <w:rsid w:val="00B83498"/>
    <w:rsid w:val="00B8686D"/>
    <w:rsid w:val="00B93F69"/>
    <w:rsid w:val="00B94834"/>
    <w:rsid w:val="00B97169"/>
    <w:rsid w:val="00BA0F3C"/>
    <w:rsid w:val="00BB1DDC"/>
    <w:rsid w:val="00BC2392"/>
    <w:rsid w:val="00BC30C9"/>
    <w:rsid w:val="00BC4B8C"/>
    <w:rsid w:val="00BD077D"/>
    <w:rsid w:val="00BE25B3"/>
    <w:rsid w:val="00BE3E58"/>
    <w:rsid w:val="00BE612A"/>
    <w:rsid w:val="00BF13CE"/>
    <w:rsid w:val="00C01616"/>
    <w:rsid w:val="00C0162B"/>
    <w:rsid w:val="00C068ED"/>
    <w:rsid w:val="00C130EA"/>
    <w:rsid w:val="00C22E0C"/>
    <w:rsid w:val="00C2610F"/>
    <w:rsid w:val="00C307B8"/>
    <w:rsid w:val="00C345B1"/>
    <w:rsid w:val="00C40142"/>
    <w:rsid w:val="00C41098"/>
    <w:rsid w:val="00C5240A"/>
    <w:rsid w:val="00C52C3C"/>
    <w:rsid w:val="00C57182"/>
    <w:rsid w:val="00C57863"/>
    <w:rsid w:val="00C640AF"/>
    <w:rsid w:val="00C655FD"/>
    <w:rsid w:val="00C71489"/>
    <w:rsid w:val="00C75407"/>
    <w:rsid w:val="00C837C5"/>
    <w:rsid w:val="00C841C6"/>
    <w:rsid w:val="00C870A8"/>
    <w:rsid w:val="00C8755F"/>
    <w:rsid w:val="00C87B7B"/>
    <w:rsid w:val="00C94434"/>
    <w:rsid w:val="00CA0D75"/>
    <w:rsid w:val="00CA1C95"/>
    <w:rsid w:val="00CA5A9C"/>
    <w:rsid w:val="00CC3FFD"/>
    <w:rsid w:val="00CC4C20"/>
    <w:rsid w:val="00CD3517"/>
    <w:rsid w:val="00CD5FE2"/>
    <w:rsid w:val="00CE7C68"/>
    <w:rsid w:val="00CF1DD4"/>
    <w:rsid w:val="00CF44C7"/>
    <w:rsid w:val="00D01C74"/>
    <w:rsid w:val="00D020C4"/>
    <w:rsid w:val="00D02B4C"/>
    <w:rsid w:val="00D040C4"/>
    <w:rsid w:val="00D20AD1"/>
    <w:rsid w:val="00D2582C"/>
    <w:rsid w:val="00D26BA4"/>
    <w:rsid w:val="00D26F14"/>
    <w:rsid w:val="00D315A2"/>
    <w:rsid w:val="00D317E7"/>
    <w:rsid w:val="00D46B7E"/>
    <w:rsid w:val="00D52F47"/>
    <w:rsid w:val="00D57C84"/>
    <w:rsid w:val="00D6057D"/>
    <w:rsid w:val="00D63A03"/>
    <w:rsid w:val="00D64591"/>
    <w:rsid w:val="00D66325"/>
    <w:rsid w:val="00D71640"/>
    <w:rsid w:val="00D82BEA"/>
    <w:rsid w:val="00D836C5"/>
    <w:rsid w:val="00D84576"/>
    <w:rsid w:val="00D85DDE"/>
    <w:rsid w:val="00DA1399"/>
    <w:rsid w:val="00DA24C6"/>
    <w:rsid w:val="00DA3589"/>
    <w:rsid w:val="00DA4D7B"/>
    <w:rsid w:val="00DB2117"/>
    <w:rsid w:val="00DC2840"/>
    <w:rsid w:val="00DC73EE"/>
    <w:rsid w:val="00DD271C"/>
    <w:rsid w:val="00DD2C57"/>
    <w:rsid w:val="00DE264A"/>
    <w:rsid w:val="00DF5072"/>
    <w:rsid w:val="00E02D18"/>
    <w:rsid w:val="00E041E7"/>
    <w:rsid w:val="00E23746"/>
    <w:rsid w:val="00E23CA1"/>
    <w:rsid w:val="00E2753F"/>
    <w:rsid w:val="00E3421E"/>
    <w:rsid w:val="00E34944"/>
    <w:rsid w:val="00E409A8"/>
    <w:rsid w:val="00E40BD6"/>
    <w:rsid w:val="00E50C12"/>
    <w:rsid w:val="00E55E44"/>
    <w:rsid w:val="00E65B91"/>
    <w:rsid w:val="00E66C7E"/>
    <w:rsid w:val="00E7209D"/>
    <w:rsid w:val="00E72EAD"/>
    <w:rsid w:val="00E77223"/>
    <w:rsid w:val="00E8528B"/>
    <w:rsid w:val="00E85B94"/>
    <w:rsid w:val="00E978D0"/>
    <w:rsid w:val="00EA4613"/>
    <w:rsid w:val="00EA7F91"/>
    <w:rsid w:val="00EB1523"/>
    <w:rsid w:val="00EC0E49"/>
    <w:rsid w:val="00EC101F"/>
    <w:rsid w:val="00EC1D9F"/>
    <w:rsid w:val="00EE0131"/>
    <w:rsid w:val="00EE0AA6"/>
    <w:rsid w:val="00EE17B0"/>
    <w:rsid w:val="00EF00E7"/>
    <w:rsid w:val="00EF06D9"/>
    <w:rsid w:val="00EF2B2D"/>
    <w:rsid w:val="00EF3ACC"/>
    <w:rsid w:val="00F01B5C"/>
    <w:rsid w:val="00F3049E"/>
    <w:rsid w:val="00F30C64"/>
    <w:rsid w:val="00F32BA2"/>
    <w:rsid w:val="00F32CDB"/>
    <w:rsid w:val="00F41EE4"/>
    <w:rsid w:val="00F42126"/>
    <w:rsid w:val="00F5344D"/>
    <w:rsid w:val="00F54422"/>
    <w:rsid w:val="00F565FE"/>
    <w:rsid w:val="00F63A70"/>
    <w:rsid w:val="00F63D8C"/>
    <w:rsid w:val="00F7534E"/>
    <w:rsid w:val="00F8459D"/>
    <w:rsid w:val="00F9392F"/>
    <w:rsid w:val="00F93EDF"/>
    <w:rsid w:val="00FA1802"/>
    <w:rsid w:val="00FA21D0"/>
    <w:rsid w:val="00FA5F5F"/>
    <w:rsid w:val="00FB730C"/>
    <w:rsid w:val="00FC2695"/>
    <w:rsid w:val="00FC3E03"/>
    <w:rsid w:val="00FC3FC1"/>
    <w:rsid w:val="00FD3121"/>
    <w:rsid w:val="00FD3203"/>
    <w:rsid w:val="00FD681B"/>
    <w:rsid w:val="00FE745D"/>
    <w:rsid w:val="00FF264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430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8083252">
      <w:bodyDiv w:val="1"/>
      <w:marLeft w:val="0"/>
      <w:marRight w:val="0"/>
      <w:marTop w:val="0"/>
      <w:marBottom w:val="0"/>
      <w:divBdr>
        <w:top w:val="none" w:sz="0" w:space="0" w:color="auto"/>
        <w:left w:val="none" w:sz="0" w:space="0" w:color="auto"/>
        <w:bottom w:val="none" w:sz="0" w:space="0" w:color="auto"/>
        <w:right w:val="none" w:sz="0" w:space="0" w:color="auto"/>
      </w:divBdr>
      <w:divsChild>
        <w:div w:id="1489250110">
          <w:marLeft w:val="0"/>
          <w:marRight w:val="0"/>
          <w:marTop w:val="0"/>
          <w:marBottom w:val="0"/>
          <w:divBdr>
            <w:top w:val="none" w:sz="0" w:space="0" w:color="auto"/>
            <w:left w:val="none" w:sz="0" w:space="0" w:color="auto"/>
            <w:bottom w:val="none" w:sz="0" w:space="0" w:color="auto"/>
            <w:right w:val="none" w:sz="0" w:space="0" w:color="auto"/>
          </w:divBdr>
          <w:divsChild>
            <w:div w:id="535313921">
              <w:marLeft w:val="0"/>
              <w:marRight w:val="0"/>
              <w:marTop w:val="0"/>
              <w:marBottom w:val="0"/>
              <w:divBdr>
                <w:top w:val="none" w:sz="0" w:space="0" w:color="auto"/>
                <w:left w:val="none" w:sz="0" w:space="0" w:color="auto"/>
                <w:bottom w:val="none" w:sz="0" w:space="0" w:color="auto"/>
                <w:right w:val="none" w:sz="0" w:space="0" w:color="auto"/>
              </w:divBdr>
              <w:divsChild>
                <w:div w:id="798038279">
                  <w:marLeft w:val="0"/>
                  <w:marRight w:val="0"/>
                  <w:marTop w:val="0"/>
                  <w:marBottom w:val="0"/>
                  <w:divBdr>
                    <w:top w:val="none" w:sz="0" w:space="0" w:color="auto"/>
                    <w:left w:val="none" w:sz="0" w:space="0" w:color="auto"/>
                    <w:bottom w:val="none" w:sz="0" w:space="0" w:color="auto"/>
                    <w:right w:val="none" w:sz="0" w:space="0" w:color="auto"/>
                  </w:divBdr>
                  <w:divsChild>
                    <w:div w:id="312100743">
                      <w:marLeft w:val="0"/>
                      <w:marRight w:val="0"/>
                      <w:marTop w:val="0"/>
                      <w:marBottom w:val="0"/>
                      <w:divBdr>
                        <w:top w:val="none" w:sz="0" w:space="0" w:color="auto"/>
                        <w:left w:val="none" w:sz="0" w:space="0" w:color="auto"/>
                        <w:bottom w:val="none" w:sz="0" w:space="0" w:color="auto"/>
                        <w:right w:val="none" w:sz="0" w:space="0" w:color="auto"/>
                      </w:divBdr>
                      <w:divsChild>
                        <w:div w:id="1394963818">
                          <w:marLeft w:val="0"/>
                          <w:marRight w:val="0"/>
                          <w:marTop w:val="0"/>
                          <w:marBottom w:val="0"/>
                          <w:divBdr>
                            <w:top w:val="none" w:sz="0" w:space="0" w:color="auto"/>
                            <w:left w:val="none" w:sz="0" w:space="0" w:color="auto"/>
                            <w:bottom w:val="none" w:sz="0" w:space="0" w:color="auto"/>
                            <w:right w:val="none" w:sz="0" w:space="0" w:color="auto"/>
                          </w:divBdr>
                          <w:divsChild>
                            <w:div w:id="11087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806746">
          <w:marLeft w:val="0"/>
          <w:marRight w:val="0"/>
          <w:marTop w:val="0"/>
          <w:marBottom w:val="0"/>
          <w:divBdr>
            <w:top w:val="none" w:sz="0" w:space="0" w:color="auto"/>
            <w:left w:val="none" w:sz="0" w:space="0" w:color="auto"/>
            <w:bottom w:val="none" w:sz="0" w:space="0" w:color="auto"/>
            <w:right w:val="none" w:sz="0" w:space="0" w:color="auto"/>
          </w:divBdr>
          <w:divsChild>
            <w:div w:id="793401823">
              <w:marLeft w:val="0"/>
              <w:marRight w:val="0"/>
              <w:marTop w:val="0"/>
              <w:marBottom w:val="0"/>
              <w:divBdr>
                <w:top w:val="none" w:sz="0" w:space="0" w:color="auto"/>
                <w:left w:val="none" w:sz="0" w:space="0" w:color="auto"/>
                <w:bottom w:val="none" w:sz="0" w:space="0" w:color="auto"/>
                <w:right w:val="none" w:sz="0" w:space="0" w:color="auto"/>
              </w:divBdr>
              <w:divsChild>
                <w:div w:id="1015495168">
                  <w:marLeft w:val="0"/>
                  <w:marRight w:val="0"/>
                  <w:marTop w:val="0"/>
                  <w:marBottom w:val="0"/>
                  <w:divBdr>
                    <w:top w:val="none" w:sz="0" w:space="0" w:color="auto"/>
                    <w:left w:val="none" w:sz="0" w:space="0" w:color="auto"/>
                    <w:bottom w:val="none" w:sz="0" w:space="0" w:color="auto"/>
                    <w:right w:val="none" w:sz="0" w:space="0" w:color="auto"/>
                  </w:divBdr>
                  <w:divsChild>
                    <w:div w:id="20925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01939">
      <w:bodyDiv w:val="1"/>
      <w:marLeft w:val="0"/>
      <w:marRight w:val="0"/>
      <w:marTop w:val="0"/>
      <w:marBottom w:val="0"/>
      <w:divBdr>
        <w:top w:val="none" w:sz="0" w:space="0" w:color="auto"/>
        <w:left w:val="none" w:sz="0" w:space="0" w:color="auto"/>
        <w:bottom w:val="none" w:sz="0" w:space="0" w:color="auto"/>
        <w:right w:val="none" w:sz="0" w:space="0" w:color="auto"/>
      </w:divBdr>
      <w:divsChild>
        <w:div w:id="1203204974">
          <w:marLeft w:val="0"/>
          <w:marRight w:val="0"/>
          <w:marTop w:val="0"/>
          <w:marBottom w:val="0"/>
          <w:divBdr>
            <w:top w:val="none" w:sz="0" w:space="0" w:color="auto"/>
            <w:left w:val="none" w:sz="0" w:space="0" w:color="auto"/>
            <w:bottom w:val="none" w:sz="0" w:space="0" w:color="auto"/>
            <w:right w:val="none" w:sz="0" w:space="0" w:color="auto"/>
          </w:divBdr>
          <w:divsChild>
            <w:div w:id="2089377567">
              <w:marLeft w:val="0"/>
              <w:marRight w:val="0"/>
              <w:marTop w:val="0"/>
              <w:marBottom w:val="0"/>
              <w:divBdr>
                <w:top w:val="none" w:sz="0" w:space="0" w:color="auto"/>
                <w:left w:val="none" w:sz="0" w:space="0" w:color="auto"/>
                <w:bottom w:val="none" w:sz="0" w:space="0" w:color="auto"/>
                <w:right w:val="none" w:sz="0" w:space="0" w:color="auto"/>
              </w:divBdr>
              <w:divsChild>
                <w:div w:id="1440175280">
                  <w:marLeft w:val="0"/>
                  <w:marRight w:val="0"/>
                  <w:marTop w:val="0"/>
                  <w:marBottom w:val="0"/>
                  <w:divBdr>
                    <w:top w:val="none" w:sz="0" w:space="0" w:color="auto"/>
                    <w:left w:val="none" w:sz="0" w:space="0" w:color="auto"/>
                    <w:bottom w:val="none" w:sz="0" w:space="0" w:color="auto"/>
                    <w:right w:val="none" w:sz="0" w:space="0" w:color="auto"/>
                  </w:divBdr>
                  <w:divsChild>
                    <w:div w:id="1436632945">
                      <w:marLeft w:val="0"/>
                      <w:marRight w:val="0"/>
                      <w:marTop w:val="0"/>
                      <w:marBottom w:val="0"/>
                      <w:divBdr>
                        <w:top w:val="none" w:sz="0" w:space="0" w:color="auto"/>
                        <w:left w:val="none" w:sz="0" w:space="0" w:color="auto"/>
                        <w:bottom w:val="none" w:sz="0" w:space="0" w:color="auto"/>
                        <w:right w:val="none" w:sz="0" w:space="0" w:color="auto"/>
                      </w:divBdr>
                      <w:divsChild>
                        <w:div w:id="2114394102">
                          <w:marLeft w:val="0"/>
                          <w:marRight w:val="0"/>
                          <w:marTop w:val="0"/>
                          <w:marBottom w:val="0"/>
                          <w:divBdr>
                            <w:top w:val="none" w:sz="0" w:space="0" w:color="auto"/>
                            <w:left w:val="none" w:sz="0" w:space="0" w:color="auto"/>
                            <w:bottom w:val="none" w:sz="0" w:space="0" w:color="auto"/>
                            <w:right w:val="none" w:sz="0" w:space="0" w:color="auto"/>
                          </w:divBdr>
                          <w:divsChild>
                            <w:div w:id="11576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609224">
          <w:marLeft w:val="0"/>
          <w:marRight w:val="0"/>
          <w:marTop w:val="0"/>
          <w:marBottom w:val="0"/>
          <w:divBdr>
            <w:top w:val="none" w:sz="0" w:space="0" w:color="auto"/>
            <w:left w:val="none" w:sz="0" w:space="0" w:color="auto"/>
            <w:bottom w:val="none" w:sz="0" w:space="0" w:color="auto"/>
            <w:right w:val="none" w:sz="0" w:space="0" w:color="auto"/>
          </w:divBdr>
          <w:divsChild>
            <w:div w:id="1803882092">
              <w:marLeft w:val="0"/>
              <w:marRight w:val="0"/>
              <w:marTop w:val="0"/>
              <w:marBottom w:val="0"/>
              <w:divBdr>
                <w:top w:val="none" w:sz="0" w:space="0" w:color="auto"/>
                <w:left w:val="none" w:sz="0" w:space="0" w:color="auto"/>
                <w:bottom w:val="none" w:sz="0" w:space="0" w:color="auto"/>
                <w:right w:val="none" w:sz="0" w:space="0" w:color="auto"/>
              </w:divBdr>
              <w:divsChild>
                <w:div w:id="1915317151">
                  <w:marLeft w:val="0"/>
                  <w:marRight w:val="0"/>
                  <w:marTop w:val="0"/>
                  <w:marBottom w:val="0"/>
                  <w:divBdr>
                    <w:top w:val="none" w:sz="0" w:space="0" w:color="auto"/>
                    <w:left w:val="none" w:sz="0" w:space="0" w:color="auto"/>
                    <w:bottom w:val="none" w:sz="0" w:space="0" w:color="auto"/>
                    <w:right w:val="none" w:sz="0" w:space="0" w:color="auto"/>
                  </w:divBdr>
                  <w:divsChild>
                    <w:div w:id="18577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2521</Words>
  <Characters>14375</Characters>
  <Application>Microsoft Office Word</Application>
  <DocSecurity>0</DocSecurity>
  <Lines>119</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Daniele SOFIA</cp:lastModifiedBy>
  <cp:revision>2</cp:revision>
  <cp:lastPrinted>2015-05-12T18:31:00Z</cp:lastPrinted>
  <dcterms:created xsi:type="dcterms:W3CDTF">2024-12-15T18:50:00Z</dcterms:created>
  <dcterms:modified xsi:type="dcterms:W3CDTF">2024-12-15T18:50:00Z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