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61AC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2DA716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4E6D14">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61AC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61ACA">
        <w:trPr>
          <w:trHeight w:val="68"/>
          <w:jc w:val="center"/>
        </w:trPr>
        <w:tc>
          <w:tcPr>
            <w:tcW w:w="8782" w:type="dxa"/>
            <w:gridSpan w:val="2"/>
          </w:tcPr>
          <w:p w14:paraId="0180D3D2" w14:textId="77777777" w:rsidR="004E6D14" w:rsidRPr="004E6D14" w:rsidRDefault="004E6D14" w:rsidP="004E6D14">
            <w:pPr>
              <w:ind w:left="-107"/>
              <w:outlineLvl w:val="2"/>
              <w:rPr>
                <w:rFonts w:ascii="Tahoma" w:hAnsi="Tahoma" w:cs="Tahoma"/>
                <w:iCs/>
                <w:color w:val="333333"/>
                <w:sz w:val="14"/>
                <w:szCs w:val="14"/>
                <w:lang w:eastAsia="it-IT"/>
              </w:rPr>
            </w:pPr>
            <w:r w:rsidRPr="004E6D14">
              <w:rPr>
                <w:rFonts w:ascii="Tahoma" w:hAnsi="Tahoma" w:cs="Tahoma"/>
                <w:iCs/>
                <w:color w:val="333333"/>
                <w:sz w:val="14"/>
                <w:szCs w:val="14"/>
                <w:lang w:eastAsia="it-IT"/>
              </w:rPr>
              <w:t>Guest Editors: Fabrizio Bezzo, Flavio Manenti, Gabriele Pannocchia, Almerinda di Benedetto</w:t>
            </w:r>
          </w:p>
          <w:p w14:paraId="464AD71C" w14:textId="77777777" w:rsidR="004E6D14" w:rsidRPr="004E6D14" w:rsidRDefault="004E6D14" w:rsidP="004E6D14">
            <w:pPr>
              <w:ind w:left="-107"/>
              <w:outlineLvl w:val="2"/>
              <w:rPr>
                <w:rFonts w:ascii="Tahoma" w:hAnsi="Tahoma" w:cs="Tahoma"/>
                <w:iCs/>
                <w:color w:val="333333"/>
                <w:sz w:val="14"/>
                <w:szCs w:val="14"/>
                <w:lang w:eastAsia="it-IT"/>
              </w:rPr>
            </w:pPr>
            <w:r w:rsidRPr="004E6D14">
              <w:rPr>
                <w:rFonts w:ascii="Tahoma" w:hAnsi="Tahoma" w:cs="Tahoma"/>
                <w:iCs/>
                <w:color w:val="333333"/>
                <w:sz w:val="14"/>
                <w:szCs w:val="14"/>
                <w:lang w:eastAsia="it-IT"/>
              </w:rPr>
              <w:t>Copyright © 2025, AIDIC Servizi S.r.l.</w:t>
            </w:r>
          </w:p>
          <w:p w14:paraId="1B0F1814" w14:textId="402B3360" w:rsidR="000A03B2" w:rsidRPr="00B57B36" w:rsidRDefault="004E6D14" w:rsidP="004E6D14">
            <w:pPr>
              <w:tabs>
                <w:tab w:val="left" w:pos="-108"/>
              </w:tabs>
              <w:spacing w:line="140" w:lineRule="atLeast"/>
              <w:ind w:left="-107"/>
              <w:jc w:val="left"/>
            </w:pPr>
            <w:r w:rsidRPr="004E6D14">
              <w:rPr>
                <w:rFonts w:ascii="Tahoma" w:hAnsi="Tahoma" w:cs="Tahoma"/>
                <w:iCs/>
                <w:color w:val="333333"/>
                <w:sz w:val="14"/>
                <w:szCs w:val="14"/>
                <w:lang w:eastAsia="it-IT"/>
              </w:rPr>
              <w:t>ISBN 979-12-81206-17-5; ISSN 2283-9216</w:t>
            </w:r>
          </w:p>
        </w:tc>
      </w:tr>
    </w:tbl>
    <w:p w14:paraId="2E667253" w14:textId="58584CEB" w:rsidR="00E978D0" w:rsidRPr="004D393A" w:rsidRDefault="00031165" w:rsidP="00E978D0">
      <w:pPr>
        <w:pStyle w:val="CETTitle"/>
      </w:pPr>
      <w:bookmarkStart w:id="0" w:name="_Hlk190616014"/>
      <w:r w:rsidRPr="004D393A">
        <w:t>Efficient water capture process with Pentahedral fog catcher design, in arid zone Lima</w:t>
      </w:r>
    </w:p>
    <w:bookmarkEnd w:id="0"/>
    <w:p w14:paraId="3C8AAA9B" w14:textId="77777777" w:rsidR="00861ACA" w:rsidRPr="004D393A" w:rsidRDefault="00861ACA" w:rsidP="00895A89">
      <w:pPr>
        <w:pStyle w:val="CETAuthors"/>
      </w:pPr>
    </w:p>
    <w:p w14:paraId="15BAABCD" w14:textId="7B5D54E8" w:rsidR="00895A89" w:rsidRPr="00861ACA" w:rsidRDefault="00895A89" w:rsidP="00895A89">
      <w:pPr>
        <w:pStyle w:val="CETAuthors"/>
        <w:rPr>
          <w:lang w:val="es-PE"/>
        </w:rPr>
      </w:pPr>
      <w:r w:rsidRPr="00861ACA">
        <w:rPr>
          <w:lang w:val="es-PE"/>
        </w:rPr>
        <w:t>Clara M</w:t>
      </w:r>
      <w:r w:rsidR="00E54958">
        <w:rPr>
          <w:lang w:val="es-PE"/>
        </w:rPr>
        <w:t>.</w:t>
      </w:r>
      <w:r w:rsidRPr="00861ACA">
        <w:rPr>
          <w:lang w:val="es-PE"/>
        </w:rPr>
        <w:t xml:space="preserve"> Huaranca Paz, Laura Chavez Yalta, Elmer Benites-Alfar</w:t>
      </w:r>
      <w:r w:rsidR="00861ACA">
        <w:rPr>
          <w:lang w:val="es-PE"/>
        </w:rPr>
        <w:t>o</w:t>
      </w:r>
      <w:r w:rsidRPr="00861ACA">
        <w:rPr>
          <w:lang w:val="es-PE"/>
        </w:rPr>
        <w:t>*</w:t>
      </w:r>
    </w:p>
    <w:p w14:paraId="355D86C1" w14:textId="67D74A84" w:rsidR="00895A89" w:rsidRPr="00861ACA" w:rsidRDefault="00895A89" w:rsidP="00895A89">
      <w:pPr>
        <w:pStyle w:val="CETAddress"/>
        <w:rPr>
          <w:lang w:val="es-PE"/>
        </w:rPr>
      </w:pPr>
      <w:r w:rsidRPr="00861ACA">
        <w:rPr>
          <w:lang w:val="es-PE"/>
        </w:rPr>
        <w:t>César Vallejo</w:t>
      </w:r>
      <w:r w:rsidR="00E54958">
        <w:rPr>
          <w:lang w:val="es-PE"/>
        </w:rPr>
        <w:t xml:space="preserve"> Universioty</w:t>
      </w:r>
      <w:r w:rsidRPr="00861ACA">
        <w:rPr>
          <w:lang w:val="es-PE"/>
        </w:rPr>
        <w:t xml:space="preserve">, Av. Alfredo Mendiola 6232 Los Olivos, Lima, Perú </w:t>
      </w:r>
    </w:p>
    <w:p w14:paraId="60076531" w14:textId="6D9CEDD9" w:rsidR="00895A89" w:rsidRPr="00A45FC7" w:rsidRDefault="00895A89" w:rsidP="00895A89">
      <w:pPr>
        <w:pStyle w:val="CETemail"/>
      </w:pPr>
      <w:r w:rsidRPr="004D393A">
        <w:rPr>
          <w:lang w:val="es-PE"/>
        </w:rPr>
        <w:t xml:space="preserve"> </w:t>
      </w:r>
      <w:r w:rsidR="00166FB3" w:rsidRPr="00E54958">
        <w:t>*ebenitesa@ucv.edu.pe</w:t>
      </w:r>
    </w:p>
    <w:p w14:paraId="57235B94" w14:textId="76DC702B" w:rsidR="002B3A96" w:rsidRDefault="006C12E7" w:rsidP="002B3A96">
      <w:pPr>
        <w:pStyle w:val="CETListbullets"/>
        <w:ind w:left="0" w:firstLine="0"/>
      </w:pPr>
      <w:r w:rsidRPr="00A45FC7">
        <w:t xml:space="preserve">Water scarcity is an increasingly recurrent problem in many parts of the world, especially in arid and coastal areas accentuated by climate change. The water resource is very accessible to populations with scarce economic resources, so finding a way to obtain this resource is a priority. Fog catchers have emerged as a viable solution for capturing water from fog; they are systems that work by condensing the moisture present in the fog through a special mesh that traps it and then channels it into a container. Although fog catchers already exist and have been successfully implemented, there is a continuous effort to improve their efficiency, a key aspect being the design of the fog catcher itself. In that sense, the research aimed to design and build a pentahedral-shaped fog catcher and evaluate its efficiency in capturing fog water compared to a traditional design. </w:t>
      </w:r>
      <w:r w:rsidR="002B3A96" w:rsidRPr="002B3A96">
        <w:t>As a result, it was obtained that the pentahedral design with a panel area of ​​45 m</w:t>
      </w:r>
      <w:r w:rsidR="002B3A96" w:rsidRPr="00BD3A45">
        <w:rPr>
          <w:vertAlign w:val="superscript"/>
        </w:rPr>
        <w:t xml:space="preserve">2 </w:t>
      </w:r>
      <w:r w:rsidR="002B3A96" w:rsidRPr="002B3A96">
        <w:t>each, captured an average of 1</w:t>
      </w:r>
      <w:r w:rsidR="0017420F">
        <w:t>88</w:t>
      </w:r>
      <w:r w:rsidR="002B3A96" w:rsidRPr="002B3A96">
        <w:t xml:space="preserve"> </w:t>
      </w:r>
      <w:r w:rsidR="00BD3A45" w:rsidRPr="002B3A96">
        <w:t>litres</w:t>
      </w:r>
      <w:r w:rsidR="002B3A96" w:rsidRPr="002B3A96">
        <w:t xml:space="preserve"> of water in 24 hours, compared to the traditional design that captured 34.56 </w:t>
      </w:r>
      <w:r w:rsidR="009335DE" w:rsidRPr="002B3A96">
        <w:t>litres</w:t>
      </w:r>
      <w:r w:rsidR="002B3A96" w:rsidRPr="002B3A96">
        <w:t xml:space="preserve"> in the same time, both installed in the same place (at an altitude of 718.6 m.a.s.l.) and in the same meteorological conditions (temperature of around 16 °C and relative humidity of 90.85 to 92.4% on average). It is established that water collection with fog catchers is a viable solution, presenting itself as a sustainable alternative for areas with water scarcity, it does not require traditional water sources nor does it need energy.</w:t>
      </w:r>
    </w:p>
    <w:p w14:paraId="12D095E2" w14:textId="77777777" w:rsidR="002B3A96" w:rsidRDefault="002B3A96" w:rsidP="002B3A96">
      <w:pPr>
        <w:pStyle w:val="CETListbullets"/>
        <w:ind w:left="0" w:firstLine="0"/>
      </w:pPr>
    </w:p>
    <w:p w14:paraId="476B2F2E" w14:textId="79CEA78A" w:rsidR="00600535" w:rsidRPr="00A45FC7" w:rsidRDefault="00600535" w:rsidP="002B3A96">
      <w:pPr>
        <w:pStyle w:val="CETHeading1"/>
      </w:pPr>
      <w:r w:rsidRPr="00A45FC7">
        <w:t>Introduction</w:t>
      </w:r>
    </w:p>
    <w:p w14:paraId="6E38F576" w14:textId="77777777" w:rsidR="00A45FC7" w:rsidRPr="00A45FC7" w:rsidRDefault="00A45FC7" w:rsidP="00A45FC7">
      <w:pPr>
        <w:pStyle w:val="CETBodytext"/>
        <w:rPr>
          <w:lang w:val="en-GB"/>
        </w:rPr>
      </w:pPr>
      <w:r w:rsidRPr="00A45FC7">
        <w:rPr>
          <w:lang w:val="en-GB"/>
        </w:rPr>
        <w:t>Water scarcity is an urgent and pressing challenge today, with an impact that affects almost two thirds of the world's population for one month every year; this phenomenon is mainly caused by human action characterized by the inability to meet the total water demand of the population and other ecosystems (Alwarthan, et al., 2024). The main causes of this water crisis are climate change (Gardner, 23010), the inefficient use of water as in the case of agriculture where 68% of the world's water is consumed, the high contamination of water sources and the overexploitation of aquifers, industry consumes 20% of the world's water, as does domestic consumption (Alwarthan, et al., 2024).</w:t>
      </w:r>
    </w:p>
    <w:p w14:paraId="39D53714" w14:textId="797038DD" w:rsidR="004444A9" w:rsidRPr="00A45FC7" w:rsidRDefault="00A45FC7" w:rsidP="00A45FC7">
      <w:pPr>
        <w:pStyle w:val="CETBodytext"/>
        <w:rPr>
          <w:lang w:val="en-GB"/>
        </w:rPr>
      </w:pPr>
      <w:r w:rsidRPr="00A45FC7">
        <w:rPr>
          <w:lang w:val="en-GB"/>
        </w:rPr>
        <w:t xml:space="preserve">Water scarcity has a profound impact in many ways. In the environmental sphere it causes </w:t>
      </w:r>
      <w:r w:rsidR="00704C54">
        <w:rPr>
          <w:lang w:val="en-GB"/>
        </w:rPr>
        <w:t>d</w:t>
      </w:r>
      <w:r w:rsidRPr="00A45FC7">
        <w:rPr>
          <w:lang w:val="en-GB"/>
        </w:rPr>
        <w:t>irect impacts on public health, the economy, and can become a source of conflict within communities (Bell, 2015); it also impacts biodiversity, contamination of the food chain and the disappearance of many ecosystems (Arce and Pfister, 2016). The challenges associated with water scarcity, it is indicated, will be exacerbated by several factors resulting in unsustainable management and extraction of water sources that may be depleted in the coming decades (Rich et al., 2023).</w:t>
      </w:r>
    </w:p>
    <w:p w14:paraId="7FEC3425" w14:textId="2B5C286F" w:rsidR="00A45FC7" w:rsidRPr="00A45FC7" w:rsidRDefault="00D10835" w:rsidP="00A45FC7">
      <w:pPr>
        <w:pStyle w:val="CETBodytext"/>
        <w:rPr>
          <w:lang w:val="en-GB"/>
        </w:rPr>
      </w:pPr>
      <w:r w:rsidRPr="00D10835">
        <w:rPr>
          <w:lang w:val="en-GB"/>
        </w:rPr>
        <w:t>Faced with this crisis, there are studies that seek to alleviate the problem of water scarcity</w:t>
      </w:r>
      <w:r>
        <w:rPr>
          <w:lang w:val="en-GB"/>
        </w:rPr>
        <w:t>;</w:t>
      </w:r>
      <w:r w:rsidRPr="00D10835">
        <w:rPr>
          <w:lang w:val="en-GB"/>
        </w:rPr>
        <w:t xml:space="preserve"> </w:t>
      </w:r>
      <w:r>
        <w:rPr>
          <w:lang w:val="en-GB"/>
        </w:rPr>
        <w:t>f</w:t>
      </w:r>
      <w:r w:rsidRPr="00D10835">
        <w:rPr>
          <w:lang w:val="en-GB"/>
        </w:rPr>
        <w:t>or example, research in southeaster Africa reports that water was obtained using fog as a source, also proving that it was a promising way to overcome water scarcity, highlighting its low maintenance cost and sustainability for communities with adverse water collection conditions (Zaitizila I. and Yun G., 2021).</w:t>
      </w:r>
      <w:r w:rsidR="00A45FC7" w:rsidRPr="00A45FC7">
        <w:rPr>
          <w:lang w:val="en-GB"/>
        </w:rPr>
        <w:t xml:space="preserve"> These projects on the use of fog catchers have demonstrated that fog water harvesting can be an effective and sustainable solution, especially in regions with persistent fog and limited water resources (Oktor, et al., 2024). Fog catchers are systems constructed with panels or fine meshes that capture tiny droplets of water contained in the fog and by gravity they fall and are </w:t>
      </w:r>
      <w:r w:rsidR="00A45FC7" w:rsidRPr="00A45FC7">
        <w:rPr>
          <w:lang w:val="en-GB"/>
        </w:rPr>
        <w:lastRenderedPageBreak/>
        <w:t>collected reaching in some cases a volume of up to 400 liters of water per day when optimal conditions are present (Sustainability, 2023).</w:t>
      </w:r>
    </w:p>
    <w:p w14:paraId="7FE78D9F" w14:textId="519087DA" w:rsidR="00E756EE" w:rsidRPr="00A45FC7" w:rsidRDefault="00A45FC7" w:rsidP="00A45FC7">
      <w:pPr>
        <w:pStyle w:val="CETBodytext"/>
        <w:rPr>
          <w:lang w:val="en-GB"/>
        </w:rPr>
      </w:pPr>
      <w:r w:rsidRPr="00A45FC7">
        <w:rPr>
          <w:lang w:val="en-GB"/>
        </w:rPr>
        <w:t>Fog catchers have been successfully implemented in several countries, including Chile, Peru, Ecuador, Guatemala, Nepal and some African countries, in Spain, in the Canary Islands area, this technology has proven to be a viable alternative to face the severe drought affecting the region (Manzoor, et al., 2021). In Colombia, the Air Force uses fog catchers in military posts on hills with difficult access, where conventional water supply infrastructure is not easy to install, is insufficient or non-existent (Oktor, et al., 2024).</w:t>
      </w:r>
    </w:p>
    <w:p w14:paraId="6E06B443" w14:textId="77777777" w:rsidR="00A45FC7" w:rsidRPr="00A45FC7" w:rsidRDefault="00A45FC7" w:rsidP="00A45FC7">
      <w:pPr>
        <w:pStyle w:val="CETBodytext"/>
        <w:rPr>
          <w:lang w:val="en-GB"/>
        </w:rPr>
      </w:pPr>
      <w:r w:rsidRPr="00A45FC7">
        <w:rPr>
          <w:lang w:val="en-GB"/>
        </w:rPr>
        <w:t>Water harvesting by means of fog catchers is a sustainable and sustainable solution that allows water care and contributes to the fulfillment of the Sustainable Development Goals, specifically referred to clean water and sanitation (Arce, et al., 2023); however, although these systems are advantageous and are a promising technology, limitations must also be considered, the most important being that the water obtained can only be used for irrigation activities, cleaning and cleaning tasks but not for direct human consumption, for which additional treatment is required, improving materials including innovative types and designs of fog catchers, among other aspects (Verbrugghe and Khan, 2023). Water purification could be done by complementary methods such as purification by progressive concentration by freezing Yan, et al, 2024).</w:t>
      </w:r>
    </w:p>
    <w:p w14:paraId="4836A57F" w14:textId="5AE4E2B7" w:rsidR="000634A3" w:rsidRPr="00A45FC7" w:rsidRDefault="00A45FC7" w:rsidP="00A45FC7">
      <w:pPr>
        <w:pStyle w:val="CETBodytext"/>
        <w:rPr>
          <w:lang w:val="en-GB"/>
        </w:rPr>
      </w:pPr>
      <w:r w:rsidRPr="00A45FC7">
        <w:rPr>
          <w:lang w:val="en-GB"/>
        </w:rPr>
        <w:t>The objective of the research was to evaluate the amount of water trapped by a pentahedral design fog trap system compared to a traditional single panel design</w:t>
      </w:r>
      <w:r w:rsidR="005422DA">
        <w:rPr>
          <w:lang w:val="en-GB"/>
        </w:rPr>
        <w:t xml:space="preserve">; </w:t>
      </w:r>
      <w:r w:rsidR="005422DA" w:rsidRPr="005422DA">
        <w:rPr>
          <w:lang w:val="en-GB"/>
        </w:rPr>
        <w:t>It is also highlighted that in small areas with fog, a greater number of fog catchers could be installed compared to the traditional single panel.</w:t>
      </w:r>
    </w:p>
    <w:p w14:paraId="1AED3853" w14:textId="4353C6B6" w:rsidR="00600535" w:rsidRPr="00A45FC7" w:rsidRDefault="00ED3B4A" w:rsidP="00ED3B4A">
      <w:pPr>
        <w:pStyle w:val="CETHeading1"/>
        <w:rPr>
          <w:lang w:val="en-GB"/>
        </w:rPr>
      </w:pPr>
      <w:r w:rsidRPr="00A45FC7">
        <w:rPr>
          <w:lang w:val="en-GB"/>
        </w:rPr>
        <w:t>Met</w:t>
      </w:r>
      <w:r w:rsidR="00A45FC7" w:rsidRPr="00A45FC7">
        <w:rPr>
          <w:lang w:val="en-GB"/>
        </w:rPr>
        <w:t>h</w:t>
      </w:r>
      <w:r w:rsidRPr="00A45FC7">
        <w:rPr>
          <w:lang w:val="en-GB"/>
        </w:rPr>
        <w:t>odolog</w:t>
      </w:r>
      <w:r w:rsidR="00A45FC7" w:rsidRPr="00A45FC7">
        <w:rPr>
          <w:lang w:val="en-GB"/>
        </w:rPr>
        <w:t>y</w:t>
      </w:r>
    </w:p>
    <w:p w14:paraId="0ACBD872" w14:textId="77777777" w:rsidR="00A45FC7" w:rsidRPr="00A45FC7" w:rsidRDefault="00A45FC7" w:rsidP="00A45FC7">
      <w:pPr>
        <w:pStyle w:val="CETBodytext"/>
        <w:rPr>
          <w:b/>
          <w:lang w:val="en-GB"/>
        </w:rPr>
      </w:pPr>
      <w:r w:rsidRPr="00A45FC7">
        <w:rPr>
          <w:b/>
          <w:lang w:val="en-GB"/>
        </w:rPr>
        <w:t>Design of the fog catcher</w:t>
      </w:r>
    </w:p>
    <w:p w14:paraId="2E8FDF0B" w14:textId="0F9C6DCE" w:rsidR="003B15C3" w:rsidRPr="00A45FC7" w:rsidRDefault="00A8547D" w:rsidP="00A45FC7">
      <w:pPr>
        <w:pStyle w:val="CETBodytext"/>
        <w:rPr>
          <w:lang w:val="en-GB"/>
        </w:rPr>
      </w:pPr>
      <w:r w:rsidRPr="00A8547D">
        <w:rPr>
          <w:bCs/>
          <w:lang w:val="en-GB"/>
        </w:rPr>
        <w:t>A five-panel fog catcher with a single vertex was designed. The panels were made up of Raschel mesh panels with wooden frames on the edge of the mesh with dimensions of 3 m long and 3 m high. Raschel mesh was chosen because it is a reliable and widely used material due to the balance between efficiency, durability and cost, which can be used in low-income communities (Feld et al., 2016). It also adapts to coatings and geometric modifications to improve its efficiency (Rajaram et al., 2016). Other complementary materials used in the construction of the prototype of fog catchers under study were: gutters, polyvinyl chloride (PVC) reducers and a PVC tank for water collection (See Figure 1).</w:t>
      </w:r>
    </w:p>
    <w:p w14:paraId="5A9C902C" w14:textId="77777777" w:rsidR="00804FB2" w:rsidRPr="00A45FC7" w:rsidRDefault="00804FB2" w:rsidP="00ED3B4A">
      <w:pPr>
        <w:pStyle w:val="CETBodytext"/>
        <w:rPr>
          <w:lang w:val="en-GB"/>
        </w:rPr>
      </w:pPr>
    </w:p>
    <w:p w14:paraId="265C72F8" w14:textId="6846223F" w:rsidR="00804FB2" w:rsidRPr="00490C9A" w:rsidRDefault="00804FB2" w:rsidP="00ED3B4A">
      <w:pPr>
        <w:pStyle w:val="CETBodytext"/>
      </w:pPr>
      <w:r w:rsidRPr="00A45FC7">
        <w:rPr>
          <w:lang w:val="en-GB"/>
        </w:rPr>
        <w:t xml:space="preserve"> </w:t>
      </w:r>
      <w:r w:rsidR="00490C9A">
        <w:rPr>
          <w:noProof/>
        </w:rPr>
        <w:drawing>
          <wp:inline distT="0" distB="0" distL="0" distR="0" wp14:anchorId="659CBDD3" wp14:editId="5D3C47E8">
            <wp:extent cx="2486022" cy="1390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2272" t="4279" r="21634" b="6696"/>
                    <a:stretch/>
                  </pic:blipFill>
                  <pic:spPr bwMode="auto">
                    <a:xfrm>
                      <a:off x="0" y="0"/>
                      <a:ext cx="2525207" cy="1412570"/>
                    </a:xfrm>
                    <a:prstGeom prst="rect">
                      <a:avLst/>
                    </a:prstGeom>
                    <a:noFill/>
                    <a:ln>
                      <a:noFill/>
                    </a:ln>
                    <a:extLst>
                      <a:ext uri="{53640926-AAD7-44D8-BBD7-CCE9431645EC}">
                        <a14:shadowObscured xmlns:a14="http://schemas.microsoft.com/office/drawing/2010/main"/>
                      </a:ext>
                    </a:extLst>
                  </pic:spPr>
                </pic:pic>
              </a:graphicData>
            </a:graphic>
          </wp:inline>
        </w:drawing>
      </w:r>
    </w:p>
    <w:p w14:paraId="54092751" w14:textId="34EC2980" w:rsidR="00804FB2" w:rsidRPr="00A45FC7" w:rsidRDefault="00804FB2" w:rsidP="00804FB2">
      <w:pPr>
        <w:pStyle w:val="CETTabletitle"/>
      </w:pPr>
      <w:r w:rsidRPr="00A45FC7">
        <w:t>Figur</w:t>
      </w:r>
      <w:r w:rsidR="00A45FC7" w:rsidRPr="00A45FC7">
        <w:t>e</w:t>
      </w:r>
      <w:r w:rsidRPr="00A45FC7">
        <w:t xml:space="preserve"> 1: </w:t>
      </w:r>
      <w:r w:rsidR="00A45FC7" w:rsidRPr="00A45FC7">
        <w:t>Pentahedral fog-catcher design</w:t>
      </w:r>
    </w:p>
    <w:p w14:paraId="49A1B0A0" w14:textId="26D4B6BB" w:rsidR="003B15C3" w:rsidRPr="00A45FC7" w:rsidRDefault="003B15C3" w:rsidP="00ED3B4A">
      <w:pPr>
        <w:pStyle w:val="CETBodytext"/>
        <w:rPr>
          <w:b/>
          <w:bCs/>
          <w:lang w:val="en-GB"/>
        </w:rPr>
      </w:pPr>
    </w:p>
    <w:p w14:paraId="4D54B868" w14:textId="0A9E542B" w:rsidR="00A45FC7" w:rsidRPr="00A45FC7" w:rsidRDefault="003B15C3" w:rsidP="00A45FC7">
      <w:pPr>
        <w:pStyle w:val="CETBodytext"/>
        <w:rPr>
          <w:b/>
          <w:bCs/>
          <w:lang w:val="en-GB"/>
        </w:rPr>
      </w:pPr>
      <w:r w:rsidRPr="00A45FC7">
        <w:rPr>
          <w:b/>
          <w:bCs/>
          <w:lang w:val="en-GB"/>
        </w:rPr>
        <w:t>2.2</w:t>
      </w:r>
      <w:r w:rsidR="00A45FC7">
        <w:rPr>
          <w:b/>
          <w:bCs/>
          <w:lang w:val="en-GB"/>
        </w:rPr>
        <w:t xml:space="preserve">. </w:t>
      </w:r>
      <w:r w:rsidR="00A45FC7" w:rsidRPr="00A45FC7">
        <w:rPr>
          <w:b/>
          <w:bCs/>
          <w:lang w:val="en-GB"/>
        </w:rPr>
        <w:t>Location of the fog trap installation</w:t>
      </w:r>
    </w:p>
    <w:p w14:paraId="46333F14" w14:textId="77777777" w:rsidR="00A45FC7" w:rsidRPr="00A45FC7" w:rsidRDefault="00A45FC7" w:rsidP="00A45FC7">
      <w:pPr>
        <w:pStyle w:val="CETBodytext"/>
        <w:rPr>
          <w:lang w:val="en-GB"/>
        </w:rPr>
      </w:pPr>
      <w:r w:rsidRPr="00A45FC7">
        <w:rPr>
          <w:lang w:val="en-GB"/>
        </w:rPr>
        <w:t>The fog trap was installed in the jurisdiction of Carabayllo, north of Lima, in the sector called “Lomas de Primavera de Carabayllo”, an area with a fragile ecosystem, with the presence of very varied flora and fauna, but which in periods from August to May requires attention because it is more vulnerable due to lack of water. The fog trap was installed at coordinates 8694416N,273033E, at an altitude of 718.6 meters above sea level.</w:t>
      </w:r>
    </w:p>
    <w:p w14:paraId="3707BF2D" w14:textId="77777777" w:rsidR="00A45FC7" w:rsidRPr="00A45FC7" w:rsidRDefault="00A45FC7" w:rsidP="00A45FC7">
      <w:pPr>
        <w:pStyle w:val="CETBodytext"/>
        <w:rPr>
          <w:lang w:val="en-GB"/>
        </w:rPr>
      </w:pPr>
    </w:p>
    <w:p w14:paraId="3F3E042E" w14:textId="77777777" w:rsidR="00A45FC7" w:rsidRPr="00A45FC7" w:rsidRDefault="00A45FC7" w:rsidP="00A45FC7">
      <w:pPr>
        <w:pStyle w:val="CETBodytext"/>
        <w:rPr>
          <w:b/>
          <w:bCs/>
          <w:lang w:val="en-GB"/>
        </w:rPr>
      </w:pPr>
      <w:r w:rsidRPr="00A45FC7">
        <w:rPr>
          <w:b/>
          <w:bCs/>
          <w:lang w:val="en-GB"/>
        </w:rPr>
        <w:t>2.3. Water capture monitoring</w:t>
      </w:r>
    </w:p>
    <w:p w14:paraId="52F63BDE" w14:textId="77777777" w:rsidR="00A45FC7" w:rsidRDefault="00A45FC7" w:rsidP="00A45FC7">
      <w:pPr>
        <w:pStyle w:val="CETBodytext"/>
        <w:rPr>
          <w:b/>
          <w:bCs/>
          <w:lang w:val="en-GB"/>
        </w:rPr>
      </w:pPr>
      <w:r w:rsidRPr="00A45FC7">
        <w:rPr>
          <w:lang w:val="en-GB"/>
        </w:rPr>
        <w:t>The water capture monitoring period with the fog catcher began on May 15, 2024 and culminated on July 30 of the same year. Measurements were taken for 24-hour periods</w:t>
      </w:r>
    </w:p>
    <w:p w14:paraId="7AD9B522" w14:textId="08FD97D5" w:rsidR="002D2123" w:rsidRDefault="00A45FC7" w:rsidP="00A45FC7">
      <w:pPr>
        <w:pStyle w:val="CETHeading1"/>
      </w:pPr>
      <w:r w:rsidRPr="00A45FC7">
        <w:t>Results and discussion</w:t>
      </w:r>
    </w:p>
    <w:p w14:paraId="2A823443" w14:textId="77777777" w:rsidR="00197469" w:rsidRDefault="002D2123" w:rsidP="00197469">
      <w:pPr>
        <w:pStyle w:val="CETBodytext"/>
        <w:rPr>
          <w:b/>
          <w:bCs/>
          <w:lang w:val="en-GB"/>
        </w:rPr>
      </w:pPr>
      <w:r w:rsidRPr="00A45FC7">
        <w:rPr>
          <w:b/>
          <w:bCs/>
          <w:lang w:val="en-GB"/>
        </w:rPr>
        <w:t xml:space="preserve">3.1. </w:t>
      </w:r>
      <w:r w:rsidR="00A45FC7" w:rsidRPr="00A45FC7">
        <w:rPr>
          <w:b/>
          <w:bCs/>
          <w:lang w:val="en-GB"/>
        </w:rPr>
        <w:t xml:space="preserve">Meteorological conditions </w:t>
      </w:r>
      <w:r w:rsidRPr="00A45FC7">
        <w:rPr>
          <w:b/>
          <w:bCs/>
          <w:lang w:val="en-GB"/>
        </w:rPr>
        <w:t xml:space="preserve"> </w:t>
      </w:r>
    </w:p>
    <w:p w14:paraId="7569C3E1" w14:textId="1494C625" w:rsidR="00A45FC7" w:rsidRPr="00197469" w:rsidRDefault="00A45FC7" w:rsidP="00197469">
      <w:pPr>
        <w:pStyle w:val="CETBodytext"/>
        <w:rPr>
          <w:b/>
          <w:bCs/>
          <w:lang w:val="en-GB"/>
        </w:rPr>
      </w:pPr>
      <w:r w:rsidRPr="00A45FC7">
        <w:t>During the monitoring stage, the meteorological parameters taken into account were wind speed, temperature and humidity at the site. The averages of these parameters are shown in Table 1.</w:t>
      </w:r>
    </w:p>
    <w:p w14:paraId="37E3478C" w14:textId="4B518C29" w:rsidR="00650ADD" w:rsidRPr="00A45FC7" w:rsidRDefault="00C11AE3" w:rsidP="00650ADD">
      <w:pPr>
        <w:pStyle w:val="CETTabletitle"/>
      </w:pPr>
      <w:bookmarkStart w:id="1" w:name="_Hlk190624616"/>
      <w:r w:rsidRPr="00A45FC7">
        <w:lastRenderedPageBreak/>
        <w:t>T</w:t>
      </w:r>
      <w:r w:rsidR="00650ADD" w:rsidRPr="00A45FC7">
        <w:t xml:space="preserve">able 1: </w:t>
      </w:r>
      <w:r w:rsidR="00197469" w:rsidRPr="00197469">
        <w:t>Meteorological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84"/>
        <w:gridCol w:w="934"/>
        <w:gridCol w:w="1597"/>
        <w:gridCol w:w="1597"/>
        <w:gridCol w:w="1597"/>
      </w:tblGrid>
      <w:tr w:rsidR="00197469" w:rsidRPr="00A45FC7" w14:paraId="6FEF7694" w14:textId="77777777" w:rsidTr="009B0D42">
        <w:trPr>
          <w:trHeight w:val="258"/>
        </w:trPr>
        <w:tc>
          <w:tcPr>
            <w:tcW w:w="2284" w:type="dxa"/>
            <w:tcBorders>
              <w:top w:val="single" w:sz="12" w:space="0" w:color="008000"/>
              <w:bottom w:val="single" w:sz="4" w:space="0" w:color="008000"/>
            </w:tcBorders>
            <w:shd w:val="clear" w:color="auto" w:fill="FFFFFF"/>
          </w:tcPr>
          <w:p w14:paraId="141DD99C" w14:textId="2E999023" w:rsidR="00197469" w:rsidRPr="00A45FC7" w:rsidRDefault="00197469" w:rsidP="00197469">
            <w:pPr>
              <w:pStyle w:val="CETBodytext"/>
              <w:rPr>
                <w:szCs w:val="18"/>
                <w:lang w:val="en-GB"/>
              </w:rPr>
            </w:pPr>
            <w:r w:rsidRPr="00243003">
              <w:t>Periods in year 2024</w:t>
            </w:r>
          </w:p>
        </w:tc>
        <w:tc>
          <w:tcPr>
            <w:tcW w:w="934" w:type="dxa"/>
            <w:tcBorders>
              <w:top w:val="single" w:sz="12" w:space="0" w:color="008000"/>
              <w:bottom w:val="single" w:sz="4" w:space="0" w:color="008000"/>
            </w:tcBorders>
            <w:shd w:val="clear" w:color="auto" w:fill="FFFFFF"/>
          </w:tcPr>
          <w:p w14:paraId="5831E4A7" w14:textId="0EBD9421" w:rsidR="00197469" w:rsidRPr="00A45FC7" w:rsidRDefault="00197469" w:rsidP="00197469">
            <w:pPr>
              <w:pStyle w:val="CETBodytext"/>
              <w:rPr>
                <w:szCs w:val="18"/>
                <w:lang w:val="en-GB"/>
              </w:rPr>
            </w:pPr>
            <w:r w:rsidRPr="00243003">
              <w:t xml:space="preserve">Wind direction </w:t>
            </w:r>
          </w:p>
        </w:tc>
        <w:tc>
          <w:tcPr>
            <w:tcW w:w="1597" w:type="dxa"/>
            <w:tcBorders>
              <w:top w:val="single" w:sz="12" w:space="0" w:color="008000"/>
              <w:bottom w:val="single" w:sz="4" w:space="0" w:color="008000"/>
            </w:tcBorders>
            <w:shd w:val="clear" w:color="auto" w:fill="FFFFFF"/>
          </w:tcPr>
          <w:p w14:paraId="0D1DB03D" w14:textId="19E86379" w:rsidR="00197469" w:rsidRPr="00A45FC7" w:rsidRDefault="00197469" w:rsidP="00197469">
            <w:pPr>
              <w:pStyle w:val="CETBodytext"/>
              <w:rPr>
                <w:szCs w:val="18"/>
                <w:lang w:val="en-GB"/>
              </w:rPr>
            </w:pPr>
            <w:r w:rsidRPr="00243003">
              <w:t>Wind speed (Km/h)</w:t>
            </w:r>
          </w:p>
        </w:tc>
        <w:tc>
          <w:tcPr>
            <w:tcW w:w="1597" w:type="dxa"/>
            <w:tcBorders>
              <w:top w:val="single" w:sz="12" w:space="0" w:color="008000"/>
              <w:bottom w:val="single" w:sz="4" w:space="0" w:color="008000"/>
            </w:tcBorders>
            <w:shd w:val="clear" w:color="auto" w:fill="FFFFFF"/>
          </w:tcPr>
          <w:p w14:paraId="46FED845" w14:textId="6EAF69E1" w:rsidR="00197469" w:rsidRPr="00A45FC7" w:rsidRDefault="00197469" w:rsidP="00197469">
            <w:pPr>
              <w:pStyle w:val="CETBodytext"/>
              <w:ind w:right="-1"/>
              <w:rPr>
                <w:rFonts w:cs="Arial"/>
                <w:szCs w:val="18"/>
                <w:lang w:val="en-GB"/>
              </w:rPr>
            </w:pPr>
            <w:r w:rsidRPr="00243003">
              <w:t>Temperature (°C)</w:t>
            </w:r>
          </w:p>
        </w:tc>
        <w:tc>
          <w:tcPr>
            <w:tcW w:w="1597" w:type="dxa"/>
            <w:tcBorders>
              <w:top w:val="single" w:sz="12" w:space="0" w:color="008000"/>
              <w:bottom w:val="single" w:sz="4" w:space="0" w:color="008000"/>
            </w:tcBorders>
            <w:shd w:val="clear" w:color="auto" w:fill="FFFFFF"/>
          </w:tcPr>
          <w:p w14:paraId="39BBAD2D" w14:textId="69B3D0B9" w:rsidR="00197469" w:rsidRPr="00A45FC7" w:rsidRDefault="00197469" w:rsidP="00197469">
            <w:pPr>
              <w:pStyle w:val="CETBodytext"/>
              <w:ind w:right="-1"/>
              <w:rPr>
                <w:rFonts w:cs="Arial"/>
                <w:szCs w:val="18"/>
                <w:lang w:val="en-GB"/>
              </w:rPr>
            </w:pPr>
            <w:r w:rsidRPr="00243003">
              <w:t>Humidity (%)</w:t>
            </w:r>
          </w:p>
        </w:tc>
      </w:tr>
      <w:tr w:rsidR="00804FB2" w:rsidRPr="00A45FC7" w14:paraId="24315417" w14:textId="77777777" w:rsidTr="005B3523">
        <w:trPr>
          <w:trHeight w:val="499"/>
        </w:trPr>
        <w:tc>
          <w:tcPr>
            <w:tcW w:w="2284" w:type="dxa"/>
            <w:tcBorders>
              <w:top w:val="single" w:sz="4" w:space="0" w:color="008000"/>
            </w:tcBorders>
            <w:shd w:val="clear" w:color="auto" w:fill="FFFFFF"/>
            <w:vAlign w:val="center"/>
          </w:tcPr>
          <w:p w14:paraId="319C5AD3" w14:textId="342F6E48" w:rsidR="00C11AE3" w:rsidRPr="00A45FC7" w:rsidRDefault="00674E58" w:rsidP="00C11AE3">
            <w:pPr>
              <w:pStyle w:val="CETBodytext"/>
              <w:rPr>
                <w:szCs w:val="18"/>
                <w:lang w:val="en-GB"/>
              </w:rPr>
            </w:pPr>
            <w:r>
              <w:rPr>
                <w:szCs w:val="18"/>
                <w:lang w:val="en-GB"/>
              </w:rPr>
              <w:t xml:space="preserve">May </w:t>
            </w:r>
            <w:r w:rsidR="00C11AE3" w:rsidRPr="00A45FC7">
              <w:rPr>
                <w:szCs w:val="18"/>
                <w:lang w:val="en-GB"/>
              </w:rPr>
              <w:t xml:space="preserve">15 – 31  </w:t>
            </w:r>
          </w:p>
        </w:tc>
        <w:tc>
          <w:tcPr>
            <w:tcW w:w="934" w:type="dxa"/>
            <w:tcBorders>
              <w:top w:val="single" w:sz="4" w:space="0" w:color="008000"/>
            </w:tcBorders>
            <w:shd w:val="clear" w:color="auto" w:fill="FFFFFF"/>
            <w:vAlign w:val="center"/>
          </w:tcPr>
          <w:p w14:paraId="56552A31" w14:textId="77777777" w:rsidR="00C11AE3" w:rsidRPr="00A45FC7" w:rsidRDefault="00C11AE3" w:rsidP="00C11AE3">
            <w:pPr>
              <w:pStyle w:val="CETBodytext"/>
              <w:rPr>
                <w:szCs w:val="18"/>
                <w:lang w:val="en-GB"/>
              </w:rPr>
            </w:pPr>
            <w:r w:rsidRPr="00A45FC7">
              <w:rPr>
                <w:szCs w:val="18"/>
                <w:lang w:val="en-GB"/>
              </w:rPr>
              <w:t xml:space="preserve">NE </w:t>
            </w:r>
          </w:p>
        </w:tc>
        <w:tc>
          <w:tcPr>
            <w:tcW w:w="1597" w:type="dxa"/>
            <w:tcBorders>
              <w:top w:val="single" w:sz="4" w:space="0" w:color="008000"/>
            </w:tcBorders>
            <w:shd w:val="clear" w:color="auto" w:fill="FFFFFF"/>
            <w:vAlign w:val="center"/>
          </w:tcPr>
          <w:p w14:paraId="1C4075F7" w14:textId="77777777" w:rsidR="00C11AE3" w:rsidRPr="00A45FC7" w:rsidRDefault="00C11AE3" w:rsidP="00C11AE3">
            <w:pPr>
              <w:pStyle w:val="CETBodytext"/>
              <w:rPr>
                <w:szCs w:val="18"/>
                <w:lang w:val="en-GB"/>
              </w:rPr>
            </w:pPr>
            <w:r w:rsidRPr="00A45FC7">
              <w:rPr>
                <w:szCs w:val="18"/>
                <w:lang w:val="en-GB"/>
              </w:rPr>
              <w:t xml:space="preserve">6.3 </w:t>
            </w:r>
          </w:p>
        </w:tc>
        <w:tc>
          <w:tcPr>
            <w:tcW w:w="1597" w:type="dxa"/>
            <w:tcBorders>
              <w:top w:val="single" w:sz="4" w:space="0" w:color="008000"/>
            </w:tcBorders>
            <w:shd w:val="clear" w:color="auto" w:fill="FFFFFF"/>
            <w:vAlign w:val="center"/>
          </w:tcPr>
          <w:p w14:paraId="6FFA483D" w14:textId="77777777" w:rsidR="00C11AE3" w:rsidRPr="00A45FC7" w:rsidRDefault="00C11AE3" w:rsidP="00C11AE3">
            <w:pPr>
              <w:pStyle w:val="CETBodytext"/>
              <w:ind w:right="-1"/>
              <w:rPr>
                <w:rFonts w:cs="Arial"/>
                <w:szCs w:val="18"/>
                <w:lang w:val="en-GB"/>
              </w:rPr>
            </w:pPr>
            <w:r w:rsidRPr="00A45FC7">
              <w:rPr>
                <w:rFonts w:cs="Arial"/>
                <w:szCs w:val="18"/>
                <w:lang w:val="en-GB"/>
              </w:rPr>
              <w:t xml:space="preserve">15.24 </w:t>
            </w:r>
          </w:p>
        </w:tc>
        <w:tc>
          <w:tcPr>
            <w:tcW w:w="1597" w:type="dxa"/>
            <w:tcBorders>
              <w:top w:val="single" w:sz="4" w:space="0" w:color="008000"/>
            </w:tcBorders>
            <w:shd w:val="clear" w:color="auto" w:fill="FFFFFF"/>
            <w:vAlign w:val="center"/>
          </w:tcPr>
          <w:p w14:paraId="6FB23F3F" w14:textId="77777777" w:rsidR="00C11AE3" w:rsidRPr="00A45FC7" w:rsidRDefault="00C11AE3" w:rsidP="00C11AE3">
            <w:pPr>
              <w:pStyle w:val="CETBodytext"/>
              <w:ind w:right="-1"/>
              <w:rPr>
                <w:rFonts w:cs="Arial"/>
                <w:szCs w:val="18"/>
                <w:lang w:val="en-GB"/>
              </w:rPr>
            </w:pPr>
            <w:r w:rsidRPr="00A45FC7">
              <w:rPr>
                <w:rFonts w:cs="Arial"/>
                <w:szCs w:val="18"/>
                <w:lang w:val="en-GB"/>
              </w:rPr>
              <w:t xml:space="preserve">90.95 </w:t>
            </w:r>
          </w:p>
        </w:tc>
      </w:tr>
      <w:tr w:rsidR="00197469" w:rsidRPr="00A45FC7" w14:paraId="15503167" w14:textId="77777777" w:rsidTr="005B3523">
        <w:trPr>
          <w:trHeight w:val="499"/>
        </w:trPr>
        <w:tc>
          <w:tcPr>
            <w:tcW w:w="2284" w:type="dxa"/>
            <w:shd w:val="clear" w:color="auto" w:fill="FFFFFF"/>
            <w:vAlign w:val="center"/>
          </w:tcPr>
          <w:p w14:paraId="1373C81B" w14:textId="73095DF4" w:rsidR="00C11AE3" w:rsidRPr="00A45FC7" w:rsidRDefault="00674E58" w:rsidP="00C11AE3">
            <w:pPr>
              <w:pStyle w:val="CETBodytext"/>
              <w:rPr>
                <w:lang w:val="en-GB"/>
              </w:rPr>
            </w:pPr>
            <w:r>
              <w:rPr>
                <w:lang w:val="en-GB"/>
              </w:rPr>
              <w:t xml:space="preserve">July </w:t>
            </w:r>
            <w:r w:rsidR="00C11AE3" w:rsidRPr="00A45FC7">
              <w:rPr>
                <w:lang w:val="en-GB"/>
              </w:rPr>
              <w:t xml:space="preserve">01 – 30  </w:t>
            </w:r>
          </w:p>
        </w:tc>
        <w:tc>
          <w:tcPr>
            <w:tcW w:w="934" w:type="dxa"/>
            <w:shd w:val="clear" w:color="auto" w:fill="FFFFFF"/>
            <w:vAlign w:val="center"/>
          </w:tcPr>
          <w:p w14:paraId="5BD06DCD" w14:textId="77777777" w:rsidR="00C11AE3" w:rsidRPr="00A45FC7" w:rsidRDefault="00C11AE3" w:rsidP="00C11AE3">
            <w:pPr>
              <w:pStyle w:val="CETBodytext"/>
              <w:rPr>
                <w:lang w:val="en-GB"/>
              </w:rPr>
            </w:pPr>
            <w:r w:rsidRPr="00A45FC7">
              <w:rPr>
                <w:lang w:val="en-GB"/>
              </w:rPr>
              <w:t xml:space="preserve">NE </w:t>
            </w:r>
          </w:p>
        </w:tc>
        <w:tc>
          <w:tcPr>
            <w:tcW w:w="1597" w:type="dxa"/>
            <w:shd w:val="clear" w:color="auto" w:fill="FFFFFF"/>
            <w:vAlign w:val="center"/>
          </w:tcPr>
          <w:p w14:paraId="661141F0" w14:textId="77777777" w:rsidR="00C11AE3" w:rsidRPr="00A45FC7" w:rsidRDefault="00C11AE3" w:rsidP="00C11AE3">
            <w:pPr>
              <w:pStyle w:val="CETBodytext"/>
              <w:rPr>
                <w:lang w:val="en-GB"/>
              </w:rPr>
            </w:pPr>
            <w:r w:rsidRPr="00A45FC7">
              <w:rPr>
                <w:lang w:val="en-GB"/>
              </w:rPr>
              <w:t xml:space="preserve">4.8 </w:t>
            </w:r>
          </w:p>
        </w:tc>
        <w:tc>
          <w:tcPr>
            <w:tcW w:w="1597" w:type="dxa"/>
            <w:shd w:val="clear" w:color="auto" w:fill="FFFFFF"/>
            <w:vAlign w:val="center"/>
          </w:tcPr>
          <w:p w14:paraId="3F1B86AE" w14:textId="77777777" w:rsidR="00C11AE3" w:rsidRPr="00A45FC7" w:rsidRDefault="00C11AE3" w:rsidP="00C11AE3">
            <w:pPr>
              <w:pStyle w:val="CETBodytext"/>
              <w:ind w:right="-1"/>
              <w:rPr>
                <w:rFonts w:cs="Arial"/>
                <w:szCs w:val="18"/>
                <w:lang w:val="en-GB"/>
              </w:rPr>
            </w:pPr>
            <w:r w:rsidRPr="00A45FC7">
              <w:rPr>
                <w:rFonts w:cs="Arial"/>
                <w:szCs w:val="18"/>
                <w:lang w:val="en-GB"/>
              </w:rPr>
              <w:t xml:space="preserve">16.67 </w:t>
            </w:r>
          </w:p>
        </w:tc>
        <w:tc>
          <w:tcPr>
            <w:tcW w:w="1597" w:type="dxa"/>
            <w:shd w:val="clear" w:color="auto" w:fill="FFFFFF"/>
            <w:vAlign w:val="center"/>
          </w:tcPr>
          <w:p w14:paraId="1E0A89AB" w14:textId="77777777" w:rsidR="00C11AE3" w:rsidRPr="00A45FC7" w:rsidRDefault="00C11AE3" w:rsidP="00C11AE3">
            <w:pPr>
              <w:pStyle w:val="CETBodytext"/>
              <w:ind w:right="-1"/>
              <w:rPr>
                <w:rFonts w:cs="Arial"/>
                <w:szCs w:val="18"/>
                <w:lang w:val="en-GB"/>
              </w:rPr>
            </w:pPr>
            <w:r w:rsidRPr="00A45FC7">
              <w:rPr>
                <w:rFonts w:cs="Arial"/>
                <w:szCs w:val="18"/>
                <w:lang w:val="en-GB"/>
              </w:rPr>
              <w:t xml:space="preserve">90.85 </w:t>
            </w:r>
          </w:p>
        </w:tc>
      </w:tr>
      <w:tr w:rsidR="00197469" w:rsidRPr="00A45FC7" w14:paraId="2BF33250" w14:textId="77777777" w:rsidTr="005B3523">
        <w:trPr>
          <w:trHeight w:val="499"/>
        </w:trPr>
        <w:tc>
          <w:tcPr>
            <w:tcW w:w="2284" w:type="dxa"/>
            <w:shd w:val="clear" w:color="auto" w:fill="FFFFFF"/>
            <w:vAlign w:val="center"/>
          </w:tcPr>
          <w:p w14:paraId="4083EC73" w14:textId="3AABB427" w:rsidR="00C11AE3" w:rsidRPr="00A45FC7" w:rsidRDefault="00674E58" w:rsidP="00C11AE3">
            <w:pPr>
              <w:pStyle w:val="CETBodytext"/>
              <w:rPr>
                <w:lang w:val="en-GB"/>
              </w:rPr>
            </w:pPr>
            <w:r>
              <w:rPr>
                <w:lang w:val="en-GB"/>
              </w:rPr>
              <w:t>July 0</w:t>
            </w:r>
            <w:r w:rsidR="00C11AE3" w:rsidRPr="00A45FC7">
              <w:rPr>
                <w:lang w:val="en-GB"/>
              </w:rPr>
              <w:t xml:space="preserve">1 – 31 </w:t>
            </w:r>
          </w:p>
        </w:tc>
        <w:tc>
          <w:tcPr>
            <w:tcW w:w="934" w:type="dxa"/>
            <w:shd w:val="clear" w:color="auto" w:fill="FFFFFF"/>
            <w:vAlign w:val="center"/>
          </w:tcPr>
          <w:p w14:paraId="2012BBD1" w14:textId="77777777" w:rsidR="00C11AE3" w:rsidRPr="00A45FC7" w:rsidRDefault="00C11AE3" w:rsidP="00C11AE3">
            <w:pPr>
              <w:pStyle w:val="CETBodytext"/>
              <w:rPr>
                <w:lang w:val="en-GB"/>
              </w:rPr>
            </w:pPr>
            <w:r w:rsidRPr="00A45FC7">
              <w:rPr>
                <w:lang w:val="en-GB"/>
              </w:rPr>
              <w:t xml:space="preserve">NE </w:t>
            </w:r>
          </w:p>
        </w:tc>
        <w:tc>
          <w:tcPr>
            <w:tcW w:w="1597" w:type="dxa"/>
            <w:shd w:val="clear" w:color="auto" w:fill="FFFFFF"/>
            <w:vAlign w:val="center"/>
          </w:tcPr>
          <w:p w14:paraId="09BBF1B5" w14:textId="77777777" w:rsidR="00C11AE3" w:rsidRPr="00A45FC7" w:rsidRDefault="00C11AE3" w:rsidP="00C11AE3">
            <w:pPr>
              <w:pStyle w:val="CETBodytext"/>
              <w:rPr>
                <w:lang w:val="en-GB"/>
              </w:rPr>
            </w:pPr>
            <w:r w:rsidRPr="00A45FC7">
              <w:rPr>
                <w:lang w:val="en-GB"/>
              </w:rPr>
              <w:t xml:space="preserve">4.9 </w:t>
            </w:r>
          </w:p>
        </w:tc>
        <w:tc>
          <w:tcPr>
            <w:tcW w:w="1597" w:type="dxa"/>
            <w:shd w:val="clear" w:color="auto" w:fill="FFFFFF"/>
            <w:vAlign w:val="center"/>
          </w:tcPr>
          <w:p w14:paraId="0A3469C0" w14:textId="77777777" w:rsidR="00C11AE3" w:rsidRPr="00A45FC7" w:rsidRDefault="00C11AE3" w:rsidP="00C11AE3">
            <w:pPr>
              <w:pStyle w:val="CETBodytext"/>
              <w:ind w:right="-1"/>
              <w:rPr>
                <w:rFonts w:cs="Arial"/>
                <w:szCs w:val="18"/>
                <w:lang w:val="en-GB"/>
              </w:rPr>
            </w:pPr>
            <w:r w:rsidRPr="00A45FC7">
              <w:rPr>
                <w:rFonts w:cs="Arial"/>
                <w:szCs w:val="18"/>
                <w:lang w:val="en-GB"/>
              </w:rPr>
              <w:t xml:space="preserve">16.07 </w:t>
            </w:r>
          </w:p>
        </w:tc>
        <w:tc>
          <w:tcPr>
            <w:tcW w:w="1597" w:type="dxa"/>
            <w:shd w:val="clear" w:color="auto" w:fill="FFFFFF"/>
            <w:vAlign w:val="center"/>
          </w:tcPr>
          <w:p w14:paraId="17C998AF" w14:textId="77777777" w:rsidR="00C11AE3" w:rsidRPr="00A45FC7" w:rsidRDefault="00C11AE3" w:rsidP="00C11AE3">
            <w:pPr>
              <w:pStyle w:val="CETBodytext"/>
              <w:ind w:right="-1"/>
              <w:rPr>
                <w:rFonts w:cs="Arial"/>
                <w:szCs w:val="18"/>
                <w:lang w:val="en-GB"/>
              </w:rPr>
            </w:pPr>
            <w:r w:rsidRPr="00A45FC7">
              <w:rPr>
                <w:rFonts w:cs="Arial"/>
                <w:szCs w:val="18"/>
                <w:lang w:val="en-GB"/>
              </w:rPr>
              <w:t xml:space="preserve">92.4 </w:t>
            </w:r>
          </w:p>
        </w:tc>
      </w:tr>
      <w:tr w:rsidR="00197469" w:rsidRPr="00A45FC7" w14:paraId="280C7BBF" w14:textId="77777777" w:rsidTr="005B3523">
        <w:trPr>
          <w:trHeight w:val="499"/>
        </w:trPr>
        <w:tc>
          <w:tcPr>
            <w:tcW w:w="2284" w:type="dxa"/>
            <w:shd w:val="clear" w:color="auto" w:fill="FFFFFF"/>
            <w:vAlign w:val="center"/>
          </w:tcPr>
          <w:p w14:paraId="2BDDFE81" w14:textId="42EC2C88" w:rsidR="00C11AE3" w:rsidRPr="00A45FC7" w:rsidRDefault="00674E58" w:rsidP="00C11AE3">
            <w:pPr>
              <w:pStyle w:val="CETBodytext"/>
              <w:rPr>
                <w:lang w:val="en-GB"/>
              </w:rPr>
            </w:pPr>
            <w:r>
              <w:rPr>
                <w:lang w:val="en-GB"/>
              </w:rPr>
              <w:t>August 1</w:t>
            </w:r>
            <w:r w:rsidR="00C11AE3" w:rsidRPr="00A45FC7">
              <w:rPr>
                <w:lang w:val="en-GB"/>
              </w:rPr>
              <w:t xml:space="preserve">– 15 </w:t>
            </w:r>
          </w:p>
        </w:tc>
        <w:tc>
          <w:tcPr>
            <w:tcW w:w="934" w:type="dxa"/>
            <w:shd w:val="clear" w:color="auto" w:fill="FFFFFF"/>
            <w:vAlign w:val="center"/>
          </w:tcPr>
          <w:p w14:paraId="7E7973BA" w14:textId="77777777" w:rsidR="00C11AE3" w:rsidRPr="00A45FC7" w:rsidRDefault="00C11AE3" w:rsidP="00C11AE3">
            <w:pPr>
              <w:pStyle w:val="CETBodytext"/>
              <w:rPr>
                <w:lang w:val="en-GB"/>
              </w:rPr>
            </w:pPr>
            <w:r w:rsidRPr="00A45FC7">
              <w:rPr>
                <w:lang w:val="en-GB"/>
              </w:rPr>
              <w:t xml:space="preserve">NE </w:t>
            </w:r>
          </w:p>
        </w:tc>
        <w:tc>
          <w:tcPr>
            <w:tcW w:w="1597" w:type="dxa"/>
            <w:shd w:val="clear" w:color="auto" w:fill="FFFFFF"/>
            <w:vAlign w:val="center"/>
          </w:tcPr>
          <w:p w14:paraId="145990BF" w14:textId="77777777" w:rsidR="00C11AE3" w:rsidRPr="00A45FC7" w:rsidRDefault="00C11AE3" w:rsidP="00C11AE3">
            <w:pPr>
              <w:pStyle w:val="CETBodytext"/>
              <w:rPr>
                <w:lang w:val="en-GB"/>
              </w:rPr>
            </w:pPr>
            <w:r w:rsidRPr="00A45FC7">
              <w:rPr>
                <w:lang w:val="en-GB"/>
              </w:rPr>
              <w:t xml:space="preserve">4.8 </w:t>
            </w:r>
          </w:p>
        </w:tc>
        <w:tc>
          <w:tcPr>
            <w:tcW w:w="1597" w:type="dxa"/>
            <w:shd w:val="clear" w:color="auto" w:fill="FFFFFF"/>
            <w:vAlign w:val="center"/>
          </w:tcPr>
          <w:p w14:paraId="4B12B1B3" w14:textId="77777777" w:rsidR="00C11AE3" w:rsidRPr="00A45FC7" w:rsidRDefault="00C11AE3" w:rsidP="00C11AE3">
            <w:pPr>
              <w:pStyle w:val="CETBodytext"/>
              <w:ind w:right="-1"/>
              <w:rPr>
                <w:rFonts w:cs="Arial"/>
                <w:szCs w:val="18"/>
                <w:lang w:val="en-GB"/>
              </w:rPr>
            </w:pPr>
            <w:r w:rsidRPr="00A45FC7">
              <w:rPr>
                <w:rFonts w:cs="Arial"/>
                <w:szCs w:val="18"/>
                <w:lang w:val="en-GB"/>
              </w:rPr>
              <w:t xml:space="preserve">16.02 </w:t>
            </w:r>
          </w:p>
        </w:tc>
        <w:tc>
          <w:tcPr>
            <w:tcW w:w="1597" w:type="dxa"/>
            <w:shd w:val="clear" w:color="auto" w:fill="FFFFFF"/>
            <w:vAlign w:val="center"/>
          </w:tcPr>
          <w:p w14:paraId="2737F05A" w14:textId="77777777" w:rsidR="00C11AE3" w:rsidRPr="00A45FC7" w:rsidRDefault="00C11AE3" w:rsidP="00C11AE3">
            <w:pPr>
              <w:pStyle w:val="CETBodytext"/>
              <w:ind w:right="-1"/>
              <w:rPr>
                <w:rFonts w:cs="Arial"/>
                <w:szCs w:val="18"/>
                <w:lang w:val="en-GB"/>
              </w:rPr>
            </w:pPr>
            <w:r w:rsidRPr="00A45FC7">
              <w:rPr>
                <w:rFonts w:cs="Arial"/>
                <w:szCs w:val="18"/>
                <w:lang w:val="en-GB"/>
              </w:rPr>
              <w:t xml:space="preserve">91.26 </w:t>
            </w:r>
          </w:p>
        </w:tc>
      </w:tr>
    </w:tbl>
    <w:p w14:paraId="4F3EB9B9" w14:textId="77777777" w:rsidR="003B15C3" w:rsidRPr="00A45FC7" w:rsidRDefault="003B15C3" w:rsidP="00ED3B4A">
      <w:pPr>
        <w:pStyle w:val="CETBodytext"/>
        <w:rPr>
          <w:lang w:val="en-GB"/>
        </w:rPr>
      </w:pPr>
    </w:p>
    <w:bookmarkEnd w:id="1"/>
    <w:p w14:paraId="67CD4713" w14:textId="77777777" w:rsidR="00197469" w:rsidRPr="00197469" w:rsidRDefault="00197469" w:rsidP="00197469">
      <w:pPr>
        <w:pStyle w:val="CETBodytext"/>
        <w:rPr>
          <w:lang w:val="en-GB"/>
        </w:rPr>
      </w:pPr>
      <w:r w:rsidRPr="00197469">
        <w:rPr>
          <w:lang w:val="en-GB"/>
        </w:rPr>
        <w:t xml:space="preserve">Relative humidity plays an important role in fog water collection efficiency because it influences droplet size and distribution, when this humidity is high larger droplets are formed which allows them to be captured more easily on the fog catcher surfaces as opposed to low relative humidity (Fritz, et al... 2021).Also high relative humidity means higher water vapor in the air which leads to higher fog formation, this is justified by findings where the average depression in the air is lower than the average depression in the fog catcher, 2021).Also high relative humidity means higher water vapor in the air leading to higher fog formation, this is justified by findings where fog collection efficiency decreases when the mean dew point depression (DPD) is higher than 0.2 °C or the mean liquid water content (LWC) is lower than 0.045 g/m3 (Montecinos et al., 2018). It is also important to evaluate the material of the fog trap, thus those materials that switch between hydrophobic and hydrophilic states adapt to different humidity levels improving water collection efficiency (Paris, et al., 2023). </w:t>
      </w:r>
    </w:p>
    <w:p w14:paraId="1F67D015" w14:textId="77777777" w:rsidR="0019055B" w:rsidRDefault="00197469" w:rsidP="002D1D70">
      <w:pPr>
        <w:pStyle w:val="CETBodytext"/>
        <w:rPr>
          <w:lang w:val="en-GB"/>
        </w:rPr>
      </w:pPr>
      <w:r w:rsidRPr="00197469">
        <w:rPr>
          <w:lang w:val="en-GB"/>
        </w:rPr>
        <w:t xml:space="preserve">Humidity also influences the aerodynamic behavior of fog droplets, when it is higher it generates more stable fog improving the aerodynamic collection efficiency of fog catchers, i.e. certain speed the humidity flow can influence the capture efficiency (Ukolov A.I., and Popova T.N., 2023). </w:t>
      </w:r>
      <w:r w:rsidR="0019055B" w:rsidRPr="0019055B">
        <w:rPr>
          <w:lang w:val="en-GB"/>
        </w:rPr>
        <w:t>The place where the pentahedral fog catcher was installed has the environmental conditions conducive to capturing water by this means, where temperature and wind speed interact with humidity to obtain the collection of water with fog catchers.</w:t>
      </w:r>
    </w:p>
    <w:p w14:paraId="74EE8880" w14:textId="07FA2F56" w:rsidR="002D1D70" w:rsidRPr="00A45FC7" w:rsidRDefault="0019055B" w:rsidP="002D1D70">
      <w:pPr>
        <w:pStyle w:val="CETBodytext"/>
        <w:rPr>
          <w:lang w:val="en-GB"/>
        </w:rPr>
      </w:pPr>
      <w:r w:rsidRPr="0019055B">
        <w:rPr>
          <w:lang w:val="en-GB"/>
        </w:rPr>
        <w:t>In the research it was found that the wind speed was on average 4.8 to 6.3 km / h, studies indicate that the optimal wind speed ranges between 5 and 7 m / s maximize the aerodynamic collection efficiency (Carbajal, et al., 2020), high speeds can affect the structure of the fog catchers (Holmes, et al., 2015). Here it can be seen that at low speeds the formation of fog is improved by replacement by new humid air instead of old humid air, but on the contrary, at high speeds it can affect the formation of fog (Imteaz, et al., 2011); However, experiences according to the scientific literature indicate that high wind speeds generally improve fog water collection because fast winds transport more fog droplets to the mesh and can be captured (Park, 2021). In one investigation it was found that for a fog droplet size of 30 µm and a wind speed of 4 m/s, it is possible to collect at a rate of 0.65 to 9.7 L/m2 per hour when the liquid water content in the Fog (LWC) varies from 0.2 to 3 g/m3 respectively (Gandhidasan, et al., 2018).</w:t>
      </w:r>
    </w:p>
    <w:p w14:paraId="743C7E7A" w14:textId="77777777" w:rsidR="00B832E0" w:rsidRPr="00A45FC7" w:rsidRDefault="00B832E0" w:rsidP="00ED3B4A">
      <w:pPr>
        <w:pStyle w:val="CETBodytext"/>
        <w:rPr>
          <w:lang w:val="en-GB"/>
        </w:rPr>
      </w:pPr>
    </w:p>
    <w:p w14:paraId="0EAE4C4C" w14:textId="5AF43671" w:rsidR="003B15C3" w:rsidRPr="00A45FC7" w:rsidRDefault="00B832E0" w:rsidP="00ED3B4A">
      <w:pPr>
        <w:pStyle w:val="CETBodytext"/>
        <w:rPr>
          <w:b/>
          <w:bCs/>
          <w:lang w:val="en-GB"/>
        </w:rPr>
      </w:pPr>
      <w:r w:rsidRPr="00A45FC7">
        <w:rPr>
          <w:b/>
          <w:bCs/>
          <w:lang w:val="en-GB"/>
        </w:rPr>
        <w:t xml:space="preserve">3.2. </w:t>
      </w:r>
      <w:r w:rsidR="0019055B" w:rsidRPr="0019055B">
        <w:rPr>
          <w:b/>
          <w:bCs/>
          <w:lang w:val="en-GB"/>
        </w:rPr>
        <w:t>Volume of water captured by the fog catcher</w:t>
      </w:r>
    </w:p>
    <w:p w14:paraId="051E059C" w14:textId="77777777" w:rsidR="00B832E0" w:rsidRPr="00A45FC7" w:rsidRDefault="00B832E0" w:rsidP="00ED3B4A">
      <w:pPr>
        <w:pStyle w:val="CETBodytext"/>
        <w:rPr>
          <w:lang w:val="en-GB"/>
        </w:rPr>
      </w:pPr>
    </w:p>
    <w:p w14:paraId="3CE14389" w14:textId="4CD9370D" w:rsidR="00B832E0" w:rsidRPr="00A45FC7" w:rsidRDefault="0019055B" w:rsidP="00ED3B4A">
      <w:pPr>
        <w:pStyle w:val="CETBodytext"/>
        <w:rPr>
          <w:lang w:val="en-GB"/>
        </w:rPr>
      </w:pPr>
      <w:r w:rsidRPr="0019055B">
        <w:rPr>
          <w:lang w:val="en-GB"/>
        </w:rPr>
        <w:t>During the monitoring to see the amount of water captured by the fog catcher from the fog that occurred in the place, the volume indicated in Table 2 was found. The average reached in the period from May 15 to June 31 stands out, where 188 Liters were captured in 24 hours. This was due to a time when the temperature was lower than the following two months and with higher wind speed, despite the fact that the relative humidity was relatively lower.</w:t>
      </w:r>
      <w:bookmarkStart w:id="2" w:name="_Hlk190624688"/>
    </w:p>
    <w:p w14:paraId="42F5C178" w14:textId="70768C97" w:rsidR="00B832E0" w:rsidRPr="00A45FC7" w:rsidRDefault="00B832E0" w:rsidP="00B832E0">
      <w:pPr>
        <w:pStyle w:val="CETTabletitle"/>
      </w:pPr>
      <w:r w:rsidRPr="00A45FC7">
        <w:t xml:space="preserve">Table 2: </w:t>
      </w:r>
      <w:r w:rsidR="0019055B" w:rsidRPr="0019055B">
        <w:t>The Volume of water captured by the fog catcher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42"/>
        <w:gridCol w:w="1901"/>
        <w:gridCol w:w="1473"/>
      </w:tblGrid>
      <w:tr w:rsidR="001929BD" w:rsidRPr="00A45FC7" w14:paraId="7465A40B" w14:textId="77777777" w:rsidTr="005B3523">
        <w:trPr>
          <w:trHeight w:val="861"/>
        </w:trPr>
        <w:tc>
          <w:tcPr>
            <w:tcW w:w="3042" w:type="dxa"/>
            <w:tcBorders>
              <w:top w:val="single" w:sz="12" w:space="0" w:color="008000"/>
              <w:bottom w:val="single" w:sz="4" w:space="0" w:color="008000"/>
            </w:tcBorders>
            <w:shd w:val="clear" w:color="auto" w:fill="FFFFFF"/>
            <w:vAlign w:val="center"/>
          </w:tcPr>
          <w:p w14:paraId="690BE864" w14:textId="7AAA6E7C" w:rsidR="001929BD" w:rsidRPr="00A45FC7" w:rsidRDefault="0019055B" w:rsidP="0076547A">
            <w:pPr>
              <w:pStyle w:val="CETBodytext"/>
              <w:rPr>
                <w:szCs w:val="18"/>
                <w:lang w:val="en-GB"/>
              </w:rPr>
            </w:pPr>
            <w:r w:rsidRPr="0019055B">
              <w:rPr>
                <w:szCs w:val="18"/>
                <w:lang w:val="en-GB"/>
              </w:rPr>
              <w:t>Periods in the year 2024</w:t>
            </w:r>
          </w:p>
        </w:tc>
        <w:tc>
          <w:tcPr>
            <w:tcW w:w="1901" w:type="dxa"/>
            <w:tcBorders>
              <w:top w:val="single" w:sz="12" w:space="0" w:color="008000"/>
              <w:bottom w:val="single" w:sz="4" w:space="0" w:color="008000"/>
            </w:tcBorders>
            <w:shd w:val="clear" w:color="auto" w:fill="FFFFFF"/>
            <w:vAlign w:val="center"/>
          </w:tcPr>
          <w:p w14:paraId="08DF2F54" w14:textId="6A27E145" w:rsidR="001929BD" w:rsidRPr="00A45FC7" w:rsidRDefault="0019055B" w:rsidP="005B3523">
            <w:pPr>
              <w:pStyle w:val="CETBodytext"/>
              <w:jc w:val="left"/>
              <w:rPr>
                <w:szCs w:val="18"/>
                <w:lang w:val="en-GB"/>
              </w:rPr>
            </w:pPr>
            <w:r w:rsidRPr="0019055B">
              <w:rPr>
                <w:szCs w:val="18"/>
                <w:lang w:val="en-GB"/>
              </w:rPr>
              <w:t xml:space="preserve">Volume of water captured (L) </w:t>
            </w:r>
          </w:p>
        </w:tc>
        <w:tc>
          <w:tcPr>
            <w:tcW w:w="1473" w:type="dxa"/>
            <w:tcBorders>
              <w:top w:val="single" w:sz="12" w:space="0" w:color="008000"/>
              <w:bottom w:val="single" w:sz="4" w:space="0" w:color="008000"/>
            </w:tcBorders>
            <w:shd w:val="clear" w:color="auto" w:fill="FFFFFF"/>
            <w:vAlign w:val="center"/>
          </w:tcPr>
          <w:p w14:paraId="75276BAD" w14:textId="0EA9DDA0" w:rsidR="001929BD" w:rsidRPr="00A45FC7" w:rsidRDefault="0019055B" w:rsidP="005B3523">
            <w:pPr>
              <w:pStyle w:val="CETBodytext"/>
              <w:jc w:val="left"/>
              <w:rPr>
                <w:szCs w:val="18"/>
                <w:lang w:val="en-GB"/>
              </w:rPr>
            </w:pPr>
            <w:r w:rsidRPr="0019055B">
              <w:rPr>
                <w:szCs w:val="18"/>
                <w:lang w:val="en-GB"/>
              </w:rPr>
              <w:t>Capture time (h)</w:t>
            </w:r>
          </w:p>
        </w:tc>
      </w:tr>
      <w:tr w:rsidR="0097127B" w:rsidRPr="00A45FC7" w14:paraId="214C9B4D" w14:textId="77777777" w:rsidTr="00F30DC9">
        <w:trPr>
          <w:trHeight w:val="280"/>
        </w:trPr>
        <w:tc>
          <w:tcPr>
            <w:tcW w:w="3042" w:type="dxa"/>
            <w:tcBorders>
              <w:top w:val="single" w:sz="4" w:space="0" w:color="008000"/>
            </w:tcBorders>
            <w:shd w:val="clear" w:color="auto" w:fill="FFFFFF"/>
            <w:vAlign w:val="center"/>
          </w:tcPr>
          <w:p w14:paraId="7A53242B" w14:textId="127F42C1" w:rsidR="0097127B" w:rsidRPr="00A45FC7" w:rsidRDefault="0097127B" w:rsidP="0097127B">
            <w:pPr>
              <w:pStyle w:val="CETBodytext"/>
              <w:rPr>
                <w:szCs w:val="18"/>
                <w:lang w:val="en-GB"/>
              </w:rPr>
            </w:pPr>
            <w:r>
              <w:rPr>
                <w:szCs w:val="18"/>
                <w:lang w:val="en-GB"/>
              </w:rPr>
              <w:t xml:space="preserve">May </w:t>
            </w:r>
            <w:r w:rsidRPr="00A45FC7">
              <w:rPr>
                <w:szCs w:val="18"/>
                <w:lang w:val="en-GB"/>
              </w:rPr>
              <w:t xml:space="preserve">15 – 31  </w:t>
            </w:r>
          </w:p>
        </w:tc>
        <w:tc>
          <w:tcPr>
            <w:tcW w:w="1901" w:type="dxa"/>
            <w:tcBorders>
              <w:top w:val="single" w:sz="4" w:space="0" w:color="008000"/>
            </w:tcBorders>
            <w:shd w:val="clear" w:color="auto" w:fill="FFFFFF"/>
          </w:tcPr>
          <w:p w14:paraId="629F6E4B" w14:textId="308B9111" w:rsidR="0097127B" w:rsidRPr="00A45FC7" w:rsidRDefault="0097127B" w:rsidP="0097127B">
            <w:pPr>
              <w:pStyle w:val="CETBodytext"/>
              <w:rPr>
                <w:szCs w:val="18"/>
                <w:lang w:val="en-GB"/>
              </w:rPr>
            </w:pPr>
            <w:r w:rsidRPr="00A45FC7">
              <w:rPr>
                <w:szCs w:val="18"/>
                <w:lang w:val="en-GB"/>
              </w:rPr>
              <w:t>188.00</w:t>
            </w:r>
          </w:p>
        </w:tc>
        <w:tc>
          <w:tcPr>
            <w:tcW w:w="1473" w:type="dxa"/>
            <w:tcBorders>
              <w:top w:val="single" w:sz="4" w:space="0" w:color="008000"/>
            </w:tcBorders>
            <w:shd w:val="clear" w:color="auto" w:fill="FFFFFF"/>
          </w:tcPr>
          <w:p w14:paraId="19572A03" w14:textId="7F13AB48" w:rsidR="0097127B" w:rsidRPr="00A45FC7" w:rsidRDefault="0097127B" w:rsidP="0097127B">
            <w:pPr>
              <w:pStyle w:val="CETBodytext"/>
              <w:rPr>
                <w:szCs w:val="18"/>
                <w:lang w:val="en-GB"/>
              </w:rPr>
            </w:pPr>
            <w:r w:rsidRPr="00A45FC7">
              <w:rPr>
                <w:szCs w:val="18"/>
                <w:lang w:val="en-GB"/>
              </w:rPr>
              <w:t>24</w:t>
            </w:r>
          </w:p>
        </w:tc>
      </w:tr>
      <w:tr w:rsidR="0097127B" w:rsidRPr="00A45FC7" w14:paraId="260D9DBE" w14:textId="77777777" w:rsidTr="00F30DC9">
        <w:trPr>
          <w:trHeight w:val="280"/>
        </w:trPr>
        <w:tc>
          <w:tcPr>
            <w:tcW w:w="3042" w:type="dxa"/>
            <w:shd w:val="clear" w:color="auto" w:fill="FFFFFF"/>
            <w:vAlign w:val="center"/>
          </w:tcPr>
          <w:p w14:paraId="12EE943E" w14:textId="5EE5A300" w:rsidR="0097127B" w:rsidRPr="00A45FC7" w:rsidRDefault="0097127B" w:rsidP="0097127B">
            <w:pPr>
              <w:pStyle w:val="CETBodytext"/>
              <w:rPr>
                <w:lang w:val="en-GB"/>
              </w:rPr>
            </w:pPr>
            <w:r>
              <w:rPr>
                <w:lang w:val="en-GB"/>
              </w:rPr>
              <w:t xml:space="preserve">July </w:t>
            </w:r>
            <w:r w:rsidRPr="00A45FC7">
              <w:rPr>
                <w:lang w:val="en-GB"/>
              </w:rPr>
              <w:t xml:space="preserve">01 – 30  </w:t>
            </w:r>
          </w:p>
        </w:tc>
        <w:tc>
          <w:tcPr>
            <w:tcW w:w="1901" w:type="dxa"/>
            <w:shd w:val="clear" w:color="auto" w:fill="FFFFFF"/>
          </w:tcPr>
          <w:p w14:paraId="65B9DBFF" w14:textId="1723EC3F" w:rsidR="0097127B" w:rsidRPr="00A45FC7" w:rsidRDefault="0097127B" w:rsidP="0097127B">
            <w:pPr>
              <w:pStyle w:val="CETBodytext"/>
              <w:rPr>
                <w:lang w:val="en-GB"/>
              </w:rPr>
            </w:pPr>
            <w:r w:rsidRPr="00A45FC7">
              <w:rPr>
                <w:lang w:val="en-GB"/>
              </w:rPr>
              <w:t>160.06</w:t>
            </w:r>
          </w:p>
        </w:tc>
        <w:tc>
          <w:tcPr>
            <w:tcW w:w="1473" w:type="dxa"/>
            <w:shd w:val="clear" w:color="auto" w:fill="FFFFFF"/>
          </w:tcPr>
          <w:p w14:paraId="2639BECC" w14:textId="5C4B7614" w:rsidR="0097127B" w:rsidRPr="00A45FC7" w:rsidRDefault="0097127B" w:rsidP="0097127B">
            <w:pPr>
              <w:pStyle w:val="CETBodytext"/>
              <w:rPr>
                <w:lang w:val="en-GB"/>
              </w:rPr>
            </w:pPr>
            <w:r w:rsidRPr="00A45FC7">
              <w:rPr>
                <w:lang w:val="en-GB"/>
              </w:rPr>
              <w:t>24</w:t>
            </w:r>
          </w:p>
        </w:tc>
      </w:tr>
      <w:tr w:rsidR="0097127B" w:rsidRPr="00A45FC7" w14:paraId="3B9381F8" w14:textId="77777777" w:rsidTr="00F30DC9">
        <w:trPr>
          <w:trHeight w:val="280"/>
        </w:trPr>
        <w:tc>
          <w:tcPr>
            <w:tcW w:w="3042" w:type="dxa"/>
            <w:shd w:val="clear" w:color="auto" w:fill="FFFFFF"/>
            <w:vAlign w:val="center"/>
          </w:tcPr>
          <w:p w14:paraId="73693F89" w14:textId="01022AA6" w:rsidR="0097127B" w:rsidRPr="00A45FC7" w:rsidRDefault="0097127B" w:rsidP="0097127B">
            <w:pPr>
              <w:pStyle w:val="CETBodytext"/>
              <w:rPr>
                <w:lang w:val="en-GB"/>
              </w:rPr>
            </w:pPr>
            <w:r>
              <w:rPr>
                <w:lang w:val="en-GB"/>
              </w:rPr>
              <w:t>July 0</w:t>
            </w:r>
            <w:r w:rsidRPr="00A45FC7">
              <w:rPr>
                <w:lang w:val="en-GB"/>
              </w:rPr>
              <w:t xml:space="preserve">1 – 31 </w:t>
            </w:r>
          </w:p>
        </w:tc>
        <w:tc>
          <w:tcPr>
            <w:tcW w:w="1901" w:type="dxa"/>
            <w:shd w:val="clear" w:color="auto" w:fill="FFFFFF"/>
          </w:tcPr>
          <w:p w14:paraId="27B76FD8" w14:textId="6E55F07B" w:rsidR="0097127B" w:rsidRPr="00A45FC7" w:rsidRDefault="0097127B" w:rsidP="0097127B">
            <w:pPr>
              <w:pStyle w:val="CETBodytext"/>
              <w:rPr>
                <w:lang w:val="en-GB"/>
              </w:rPr>
            </w:pPr>
            <w:r w:rsidRPr="00A45FC7">
              <w:rPr>
                <w:lang w:val="en-GB"/>
              </w:rPr>
              <w:t>162.00</w:t>
            </w:r>
          </w:p>
        </w:tc>
        <w:tc>
          <w:tcPr>
            <w:tcW w:w="1473" w:type="dxa"/>
            <w:shd w:val="clear" w:color="auto" w:fill="FFFFFF"/>
          </w:tcPr>
          <w:p w14:paraId="434A7BB9" w14:textId="05F2841B" w:rsidR="0097127B" w:rsidRPr="00A45FC7" w:rsidRDefault="0097127B" w:rsidP="0097127B">
            <w:pPr>
              <w:pStyle w:val="CETBodytext"/>
              <w:rPr>
                <w:lang w:val="en-GB"/>
              </w:rPr>
            </w:pPr>
            <w:r w:rsidRPr="00A45FC7">
              <w:rPr>
                <w:lang w:val="en-GB"/>
              </w:rPr>
              <w:t>24</w:t>
            </w:r>
          </w:p>
        </w:tc>
      </w:tr>
      <w:tr w:rsidR="0097127B" w:rsidRPr="00A45FC7" w14:paraId="384A1F5E" w14:textId="77777777" w:rsidTr="00F30DC9">
        <w:trPr>
          <w:trHeight w:val="280"/>
        </w:trPr>
        <w:tc>
          <w:tcPr>
            <w:tcW w:w="3042" w:type="dxa"/>
            <w:shd w:val="clear" w:color="auto" w:fill="FFFFFF"/>
            <w:vAlign w:val="center"/>
          </w:tcPr>
          <w:p w14:paraId="24EDD672" w14:textId="47C22F86" w:rsidR="0097127B" w:rsidRPr="00A45FC7" w:rsidRDefault="0097127B" w:rsidP="0097127B">
            <w:pPr>
              <w:pStyle w:val="CETBodytext"/>
              <w:rPr>
                <w:lang w:val="en-GB"/>
              </w:rPr>
            </w:pPr>
            <w:r>
              <w:rPr>
                <w:lang w:val="en-GB"/>
              </w:rPr>
              <w:t>August 1</w:t>
            </w:r>
            <w:r w:rsidRPr="00A45FC7">
              <w:rPr>
                <w:lang w:val="en-GB"/>
              </w:rPr>
              <w:t xml:space="preserve">– 15 </w:t>
            </w:r>
          </w:p>
        </w:tc>
        <w:tc>
          <w:tcPr>
            <w:tcW w:w="1901" w:type="dxa"/>
            <w:shd w:val="clear" w:color="auto" w:fill="FFFFFF"/>
          </w:tcPr>
          <w:p w14:paraId="5348949A" w14:textId="52B362EA" w:rsidR="0097127B" w:rsidRPr="00A45FC7" w:rsidRDefault="0097127B" w:rsidP="0097127B">
            <w:pPr>
              <w:pStyle w:val="CETBodytext"/>
              <w:rPr>
                <w:lang w:val="en-GB"/>
              </w:rPr>
            </w:pPr>
            <w:r w:rsidRPr="00A45FC7">
              <w:rPr>
                <w:lang w:val="en-GB"/>
              </w:rPr>
              <w:t>155.66</w:t>
            </w:r>
          </w:p>
        </w:tc>
        <w:tc>
          <w:tcPr>
            <w:tcW w:w="1473" w:type="dxa"/>
            <w:shd w:val="clear" w:color="auto" w:fill="FFFFFF"/>
          </w:tcPr>
          <w:p w14:paraId="2279B2D6" w14:textId="222AC940" w:rsidR="0097127B" w:rsidRPr="00A45FC7" w:rsidRDefault="0097127B" w:rsidP="0097127B">
            <w:pPr>
              <w:pStyle w:val="CETBodytext"/>
              <w:rPr>
                <w:lang w:val="en-GB"/>
              </w:rPr>
            </w:pPr>
            <w:r w:rsidRPr="00A45FC7">
              <w:rPr>
                <w:lang w:val="en-GB"/>
              </w:rPr>
              <w:t>24</w:t>
            </w:r>
          </w:p>
        </w:tc>
      </w:tr>
    </w:tbl>
    <w:p w14:paraId="0EA219F7" w14:textId="77777777" w:rsidR="00B832E0" w:rsidRPr="00A45FC7" w:rsidRDefault="00B832E0" w:rsidP="00B832E0">
      <w:pPr>
        <w:pStyle w:val="CETBodytext"/>
        <w:rPr>
          <w:lang w:val="en-GB"/>
        </w:rPr>
      </w:pPr>
    </w:p>
    <w:bookmarkEnd w:id="2"/>
    <w:p w14:paraId="2AD4F856" w14:textId="23F3A3F7" w:rsidR="00F536A7" w:rsidRDefault="000F503C" w:rsidP="00FD4D05">
      <w:pPr>
        <w:pStyle w:val="CETBodytext"/>
        <w:rPr>
          <w:lang w:val="en-GB"/>
        </w:rPr>
      </w:pPr>
      <w:r w:rsidRPr="000F503C">
        <w:rPr>
          <w:lang w:val="en-GB"/>
        </w:rPr>
        <w:lastRenderedPageBreak/>
        <w:t>The mesh used in constructing the fog catcher panels was of the standard Raschel type at 35% shade. This material was taken based on the scientific literature which indicates that this type of material has good efficiency in capturing water droplets from the fog, there being steel meshes and three-dimensional fabric (FogHa-Tin) that can be used, but other particular characteristics that they may present must be taken into account, such as wind speed. In this regard, it is stated that stainless steel meshes coated with hydrophobic material collected more fog water than the raschel mesh at any speed</w:t>
      </w:r>
      <w:r w:rsidR="00FC49C0">
        <w:rPr>
          <w:lang w:val="en-GB"/>
        </w:rPr>
        <w:t xml:space="preserve">, </w:t>
      </w:r>
      <w:r w:rsidRPr="000F503C">
        <w:rPr>
          <w:lang w:val="en-GB"/>
        </w:rPr>
        <w:t>especially at higher speeds (Fernandez, et al., 2018), also cylindrical meshes are efficient for variable winds compared to traditional flat ones. (Mosa, et al., 2024).</w:t>
      </w:r>
    </w:p>
    <w:p w14:paraId="2E9AD510" w14:textId="77777777" w:rsidR="000F503C" w:rsidRPr="00A45FC7" w:rsidRDefault="000F503C" w:rsidP="00FD4D05">
      <w:pPr>
        <w:pStyle w:val="CETBodytext"/>
        <w:rPr>
          <w:lang w:val="en-GB"/>
        </w:rPr>
      </w:pPr>
    </w:p>
    <w:p w14:paraId="72B3DC2F" w14:textId="35E04F8A" w:rsidR="003B15C3" w:rsidRPr="00A45FC7" w:rsidRDefault="001929BD" w:rsidP="00ED3B4A">
      <w:pPr>
        <w:pStyle w:val="CETBodytext"/>
        <w:rPr>
          <w:b/>
          <w:bCs/>
          <w:lang w:val="en-GB"/>
        </w:rPr>
      </w:pPr>
      <w:r w:rsidRPr="00A45FC7">
        <w:rPr>
          <w:b/>
          <w:bCs/>
          <w:lang w:val="en-GB"/>
        </w:rPr>
        <w:t xml:space="preserve">3.3. </w:t>
      </w:r>
      <w:r w:rsidR="000F503C" w:rsidRPr="000F503C">
        <w:rPr>
          <w:b/>
          <w:bCs/>
          <w:lang w:val="en-GB"/>
        </w:rPr>
        <w:t>Statistical correlation between meteorological parameters and the volume of water collected</w:t>
      </w:r>
    </w:p>
    <w:p w14:paraId="6E3B6BA9" w14:textId="77777777" w:rsidR="00F8356E" w:rsidRPr="00A45FC7" w:rsidRDefault="00F8356E" w:rsidP="00ED3B4A">
      <w:pPr>
        <w:pStyle w:val="CETBodytext"/>
        <w:rPr>
          <w:lang w:val="en-GB"/>
        </w:rPr>
      </w:pPr>
    </w:p>
    <w:p w14:paraId="14373ECE" w14:textId="77777777" w:rsidR="000F503C" w:rsidRDefault="000F503C" w:rsidP="000F503C">
      <w:pPr>
        <w:pStyle w:val="CETBodytext"/>
        <w:rPr>
          <w:lang w:val="en-GB"/>
        </w:rPr>
      </w:pPr>
      <w:r w:rsidRPr="000F503C">
        <w:rPr>
          <w:lang w:val="en-GB"/>
        </w:rPr>
        <w:t>To verify the correlation of these parameters in the research, a statistical treatment was made with the data obtained. Using the total data (92 data) on the water captured by the fog catcher and the meteorological parameters humidity, wind speed and temperature, the following was statistically demonstrated:</w:t>
      </w:r>
    </w:p>
    <w:p w14:paraId="26E71C0A" w14:textId="77777777" w:rsidR="000F503C" w:rsidRDefault="000F503C" w:rsidP="000F503C">
      <w:pPr>
        <w:pStyle w:val="CETBodytext"/>
        <w:rPr>
          <w:lang w:val="en-GB"/>
        </w:rPr>
      </w:pPr>
      <w:r w:rsidRPr="000F503C">
        <w:rPr>
          <w:lang w:val="en-GB"/>
        </w:rPr>
        <w:t>The normality of the data was verified. By obtaining a p-value&gt; 0.05 for the data of all cases (Kolmogorov-Smirnov), it is established that there is a normal distribution.</w:t>
      </w:r>
    </w:p>
    <w:p w14:paraId="1F415673" w14:textId="54E3169B" w:rsidR="000F503C" w:rsidRPr="000F503C" w:rsidRDefault="000F503C" w:rsidP="000F503C">
      <w:pPr>
        <w:pStyle w:val="CETBodytext"/>
        <w:rPr>
          <w:lang w:val="en-GB"/>
        </w:rPr>
      </w:pPr>
      <w:r w:rsidRPr="000F503C">
        <w:rPr>
          <w:lang w:val="en-GB"/>
        </w:rPr>
        <w:t>Using the SPSS software, the data were subjected to correlation tests (See Table 3). Statistically demonstrating through the Pearson index test that:</w:t>
      </w:r>
    </w:p>
    <w:p w14:paraId="289E2ADB" w14:textId="1E507448" w:rsidR="000F503C" w:rsidRPr="000F503C" w:rsidRDefault="000F503C" w:rsidP="000F503C">
      <w:pPr>
        <w:pStyle w:val="CETBodytext"/>
        <w:numPr>
          <w:ilvl w:val="0"/>
          <w:numId w:val="26"/>
        </w:numPr>
        <w:rPr>
          <w:lang w:val="en-GB"/>
        </w:rPr>
      </w:pPr>
      <w:r w:rsidRPr="000F503C">
        <w:rPr>
          <w:lang w:val="en-GB"/>
        </w:rPr>
        <w:t>There is a significant correlation (p-value &lt; 0.005) with a moderate positive index (0.646) between the humidity present in the site and the volume of water captured by the fog catcher.</w:t>
      </w:r>
    </w:p>
    <w:p w14:paraId="56DEEC6C" w14:textId="2DF6766E" w:rsidR="000F503C" w:rsidRPr="000F503C" w:rsidRDefault="000F503C" w:rsidP="000F503C">
      <w:pPr>
        <w:pStyle w:val="CETBodytext"/>
        <w:numPr>
          <w:ilvl w:val="0"/>
          <w:numId w:val="26"/>
        </w:numPr>
        <w:rPr>
          <w:lang w:val="en-GB"/>
        </w:rPr>
      </w:pPr>
      <w:r w:rsidRPr="000F503C">
        <w:rPr>
          <w:lang w:val="en-GB"/>
        </w:rPr>
        <w:t>There is a significant correlation (p-value &lt; 0.005) with a very high index (0.927) between the wind speed at the site and the volume of water captured by the fog catcher.</w:t>
      </w:r>
    </w:p>
    <w:p w14:paraId="00164D49" w14:textId="2BEAD567" w:rsidR="000F6CCB" w:rsidRPr="00A45FC7" w:rsidRDefault="00457E24" w:rsidP="000F503C">
      <w:pPr>
        <w:pStyle w:val="CETBodytext"/>
        <w:numPr>
          <w:ilvl w:val="0"/>
          <w:numId w:val="26"/>
        </w:numPr>
        <w:rPr>
          <w:lang w:val="en-GB"/>
        </w:rPr>
      </w:pPr>
      <w:r w:rsidRPr="00457E24">
        <w:rPr>
          <w:lang w:val="en-GB"/>
        </w:rPr>
        <w:t>There is a significant correlation (p-value &lt; 0.005) with a very strong and inverse index (-0.846) between the air temperature present at the location and the volume of water captured by the fog collector</w:t>
      </w:r>
      <w:r w:rsidR="000F503C" w:rsidRPr="000F503C">
        <w:rPr>
          <w:lang w:val="en-GB"/>
        </w:rPr>
        <w:t>.</w:t>
      </w:r>
      <w:bookmarkStart w:id="3" w:name="_Hlk190624747"/>
    </w:p>
    <w:p w14:paraId="74435D88" w14:textId="137E531D" w:rsidR="00817C8A" w:rsidRPr="00A45FC7" w:rsidRDefault="00817C8A" w:rsidP="00817C8A">
      <w:pPr>
        <w:pStyle w:val="CETTabletitle"/>
      </w:pPr>
      <w:r w:rsidRPr="00A45FC7">
        <w:t xml:space="preserve">Table 3: </w:t>
      </w:r>
      <w:r w:rsidR="000F503C" w:rsidRPr="000F503C">
        <w:t>Pearson correlation index between the volume of water collected and meteorological parameters</w:t>
      </w:r>
    </w:p>
    <w:tbl>
      <w:tblPr>
        <w:tblW w:w="815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97"/>
        <w:gridCol w:w="2275"/>
        <w:gridCol w:w="1515"/>
        <w:gridCol w:w="1384"/>
        <w:gridCol w:w="1384"/>
      </w:tblGrid>
      <w:tr w:rsidR="0097127B" w:rsidRPr="00A45FC7" w14:paraId="70B89DED" w14:textId="739EC701" w:rsidTr="0097127B">
        <w:trPr>
          <w:trHeight w:val="106"/>
        </w:trPr>
        <w:tc>
          <w:tcPr>
            <w:tcW w:w="1597" w:type="dxa"/>
            <w:tcBorders>
              <w:top w:val="single" w:sz="12" w:space="0" w:color="008000"/>
              <w:bottom w:val="single" w:sz="4" w:space="0" w:color="008000"/>
            </w:tcBorders>
            <w:shd w:val="clear" w:color="auto" w:fill="FFFFFF"/>
            <w:vAlign w:val="center"/>
          </w:tcPr>
          <w:p w14:paraId="57682882" w14:textId="6FF694A2" w:rsidR="0097127B" w:rsidRPr="00A45FC7" w:rsidRDefault="0097127B" w:rsidP="00C058ED">
            <w:pPr>
              <w:pStyle w:val="CETBodytext"/>
              <w:rPr>
                <w:rFonts w:cs="Arial"/>
                <w:szCs w:val="18"/>
                <w:lang w:val="en-GB"/>
              </w:rPr>
            </w:pPr>
          </w:p>
        </w:tc>
        <w:tc>
          <w:tcPr>
            <w:tcW w:w="2275" w:type="dxa"/>
            <w:tcBorders>
              <w:top w:val="single" w:sz="12" w:space="0" w:color="008000"/>
              <w:bottom w:val="single" w:sz="4" w:space="0" w:color="008000"/>
            </w:tcBorders>
            <w:shd w:val="clear" w:color="auto" w:fill="FFFFFF"/>
            <w:vAlign w:val="center"/>
          </w:tcPr>
          <w:p w14:paraId="3E18CF82" w14:textId="77777777" w:rsidR="0097127B" w:rsidRPr="00A45FC7" w:rsidRDefault="0097127B" w:rsidP="00C058ED">
            <w:pPr>
              <w:pStyle w:val="CETBodytext"/>
              <w:rPr>
                <w:rFonts w:cs="Arial"/>
                <w:szCs w:val="18"/>
                <w:lang w:val="en-GB"/>
              </w:rPr>
            </w:pPr>
          </w:p>
        </w:tc>
        <w:tc>
          <w:tcPr>
            <w:tcW w:w="1515" w:type="dxa"/>
            <w:tcBorders>
              <w:top w:val="single" w:sz="12" w:space="0" w:color="008000"/>
              <w:bottom w:val="single" w:sz="4" w:space="0" w:color="008000"/>
            </w:tcBorders>
            <w:shd w:val="clear" w:color="auto" w:fill="FFFFFF"/>
            <w:vAlign w:val="center"/>
          </w:tcPr>
          <w:p w14:paraId="3D923930" w14:textId="77777777" w:rsidR="0097127B" w:rsidRDefault="0097127B" w:rsidP="00C058ED">
            <w:pPr>
              <w:pStyle w:val="CETBodytext"/>
              <w:jc w:val="left"/>
            </w:pPr>
            <w:r w:rsidRPr="00243003">
              <w:t>Humidity</w:t>
            </w:r>
          </w:p>
          <w:p w14:paraId="6D0194DC" w14:textId="72A4F685" w:rsidR="0097127B" w:rsidRPr="00A45FC7" w:rsidRDefault="0097127B" w:rsidP="00C058ED">
            <w:pPr>
              <w:pStyle w:val="CETBodytext"/>
              <w:jc w:val="left"/>
              <w:rPr>
                <w:rFonts w:cs="Arial"/>
                <w:szCs w:val="18"/>
                <w:lang w:val="en-GB"/>
              </w:rPr>
            </w:pPr>
            <w:r w:rsidRPr="00243003">
              <w:t xml:space="preserve"> (%)</w:t>
            </w:r>
          </w:p>
        </w:tc>
        <w:tc>
          <w:tcPr>
            <w:tcW w:w="1384" w:type="dxa"/>
            <w:tcBorders>
              <w:top w:val="single" w:sz="12" w:space="0" w:color="008000"/>
              <w:bottom w:val="single" w:sz="4" w:space="0" w:color="008000"/>
            </w:tcBorders>
            <w:shd w:val="clear" w:color="auto" w:fill="FFFFFF"/>
          </w:tcPr>
          <w:p w14:paraId="3364B302" w14:textId="48A0F976" w:rsidR="0097127B" w:rsidRPr="00A45FC7" w:rsidRDefault="0097127B" w:rsidP="00C058ED">
            <w:pPr>
              <w:pStyle w:val="CETBodytext"/>
              <w:jc w:val="left"/>
              <w:rPr>
                <w:rFonts w:cs="Arial"/>
                <w:szCs w:val="18"/>
                <w:lang w:val="en-GB"/>
              </w:rPr>
            </w:pPr>
            <w:r w:rsidRPr="00243003">
              <w:t>Wind speed (Km/h)</w:t>
            </w:r>
          </w:p>
        </w:tc>
        <w:tc>
          <w:tcPr>
            <w:tcW w:w="1384" w:type="dxa"/>
            <w:tcBorders>
              <w:top w:val="single" w:sz="12" w:space="0" w:color="008000"/>
              <w:bottom w:val="single" w:sz="4" w:space="0" w:color="008000"/>
            </w:tcBorders>
            <w:shd w:val="clear" w:color="auto" w:fill="FFFFFF"/>
          </w:tcPr>
          <w:p w14:paraId="2D4564AE" w14:textId="1DB7AF87" w:rsidR="0097127B" w:rsidRPr="00A45FC7" w:rsidRDefault="0097127B" w:rsidP="00C058ED">
            <w:pPr>
              <w:pStyle w:val="CETBodytext"/>
              <w:jc w:val="left"/>
              <w:rPr>
                <w:rFonts w:cs="Arial"/>
                <w:szCs w:val="18"/>
                <w:lang w:val="en-GB"/>
              </w:rPr>
            </w:pPr>
            <w:r>
              <w:rPr>
                <w:rFonts w:cs="Arial"/>
                <w:szCs w:val="18"/>
                <w:lang w:val="en-GB"/>
              </w:rPr>
              <w:t>T</w:t>
            </w:r>
            <w:r w:rsidRPr="00C058ED">
              <w:rPr>
                <w:rFonts w:cs="Arial"/>
                <w:szCs w:val="18"/>
                <w:lang w:val="en-GB"/>
              </w:rPr>
              <w:t>emperature</w:t>
            </w:r>
            <w:r w:rsidRPr="00A45FC7">
              <w:rPr>
                <w:rFonts w:cs="Arial"/>
                <w:szCs w:val="18"/>
                <w:lang w:val="en-GB"/>
              </w:rPr>
              <w:t xml:space="preserve"> (°C</w:t>
            </w:r>
            <w:r>
              <w:rPr>
                <w:rFonts w:cs="Arial"/>
                <w:szCs w:val="18"/>
                <w:lang w:val="en-GB"/>
              </w:rPr>
              <w:t>)</w:t>
            </w:r>
          </w:p>
        </w:tc>
      </w:tr>
      <w:tr w:rsidR="0097127B" w:rsidRPr="00A45FC7" w14:paraId="0DED04E2" w14:textId="5A342FAA" w:rsidTr="0097127B">
        <w:trPr>
          <w:trHeight w:val="526"/>
        </w:trPr>
        <w:tc>
          <w:tcPr>
            <w:tcW w:w="1597" w:type="dxa"/>
            <w:vMerge w:val="restart"/>
            <w:tcBorders>
              <w:top w:val="single" w:sz="4" w:space="0" w:color="008000"/>
            </w:tcBorders>
            <w:shd w:val="clear" w:color="auto" w:fill="FFFFFF"/>
            <w:vAlign w:val="center"/>
          </w:tcPr>
          <w:p w14:paraId="758F7D6A" w14:textId="600B053C" w:rsidR="0097127B" w:rsidRPr="00A45FC7" w:rsidRDefault="0097127B" w:rsidP="00C058ED">
            <w:pPr>
              <w:pStyle w:val="CETBodytext"/>
              <w:jc w:val="left"/>
              <w:rPr>
                <w:rFonts w:cs="Arial"/>
                <w:szCs w:val="18"/>
                <w:lang w:val="en-GB"/>
              </w:rPr>
            </w:pPr>
            <w:r w:rsidRPr="0019055B">
              <w:rPr>
                <w:szCs w:val="18"/>
                <w:lang w:val="en-GB"/>
              </w:rPr>
              <w:t xml:space="preserve">Volume of water captured (L) </w:t>
            </w:r>
          </w:p>
        </w:tc>
        <w:tc>
          <w:tcPr>
            <w:tcW w:w="2275" w:type="dxa"/>
            <w:tcBorders>
              <w:top w:val="single" w:sz="4" w:space="0" w:color="008000"/>
            </w:tcBorders>
            <w:shd w:val="clear" w:color="auto" w:fill="FFFFFF"/>
            <w:vAlign w:val="center"/>
          </w:tcPr>
          <w:p w14:paraId="45DC444C" w14:textId="56300EE8" w:rsidR="0097127B" w:rsidRPr="00A45FC7" w:rsidRDefault="0097127B" w:rsidP="00C058ED">
            <w:pPr>
              <w:pStyle w:val="Default"/>
              <w:jc w:val="center"/>
              <w:rPr>
                <w:sz w:val="18"/>
                <w:szCs w:val="18"/>
                <w:lang w:val="en-GB"/>
              </w:rPr>
            </w:pPr>
            <w:r w:rsidRPr="00C058ED">
              <w:rPr>
                <w:sz w:val="18"/>
                <w:szCs w:val="18"/>
                <w:lang w:val="en-GB"/>
              </w:rPr>
              <w:t>Pearson correlation</w:t>
            </w:r>
          </w:p>
        </w:tc>
        <w:tc>
          <w:tcPr>
            <w:tcW w:w="1515" w:type="dxa"/>
            <w:tcBorders>
              <w:top w:val="single" w:sz="4" w:space="0" w:color="008000"/>
            </w:tcBorders>
            <w:shd w:val="clear" w:color="auto" w:fill="FFFFFF"/>
            <w:vAlign w:val="center"/>
          </w:tcPr>
          <w:p w14:paraId="3A028675" w14:textId="0EDF864F" w:rsidR="0097127B" w:rsidRPr="00A45FC7" w:rsidRDefault="0097127B" w:rsidP="00C058ED">
            <w:pPr>
              <w:pStyle w:val="CETBodytext"/>
              <w:jc w:val="center"/>
              <w:rPr>
                <w:rFonts w:cs="Arial"/>
                <w:szCs w:val="18"/>
                <w:lang w:val="en-GB"/>
              </w:rPr>
            </w:pPr>
            <w:r w:rsidRPr="00A45FC7">
              <w:rPr>
                <w:rFonts w:cs="Arial"/>
                <w:szCs w:val="18"/>
                <w:lang w:val="en-GB"/>
              </w:rPr>
              <w:t>0.646**</w:t>
            </w:r>
          </w:p>
        </w:tc>
        <w:tc>
          <w:tcPr>
            <w:tcW w:w="1384" w:type="dxa"/>
            <w:tcBorders>
              <w:top w:val="single" w:sz="4" w:space="0" w:color="008000"/>
            </w:tcBorders>
            <w:shd w:val="clear" w:color="auto" w:fill="FFFFFF"/>
            <w:vAlign w:val="center"/>
          </w:tcPr>
          <w:p w14:paraId="1E1BCF83" w14:textId="77777777" w:rsidR="0097127B" w:rsidRPr="00A45FC7" w:rsidRDefault="0097127B" w:rsidP="00C058ED">
            <w:pPr>
              <w:pStyle w:val="CETBodytext"/>
              <w:jc w:val="center"/>
              <w:rPr>
                <w:rFonts w:cs="Arial"/>
                <w:szCs w:val="18"/>
                <w:lang w:val="en-GB"/>
              </w:rPr>
            </w:pPr>
          </w:p>
        </w:tc>
        <w:tc>
          <w:tcPr>
            <w:tcW w:w="1384" w:type="dxa"/>
            <w:tcBorders>
              <w:top w:val="single" w:sz="4" w:space="0" w:color="008000"/>
            </w:tcBorders>
            <w:shd w:val="clear" w:color="auto" w:fill="FFFFFF"/>
            <w:vAlign w:val="center"/>
          </w:tcPr>
          <w:p w14:paraId="1F157F67" w14:textId="77777777" w:rsidR="0097127B" w:rsidRPr="00A45FC7" w:rsidRDefault="0097127B" w:rsidP="00C058ED">
            <w:pPr>
              <w:pStyle w:val="CETBodytext"/>
              <w:jc w:val="center"/>
              <w:rPr>
                <w:rFonts w:cs="Arial"/>
                <w:szCs w:val="18"/>
                <w:lang w:val="en-GB"/>
              </w:rPr>
            </w:pPr>
          </w:p>
        </w:tc>
      </w:tr>
      <w:tr w:rsidR="0097127B" w:rsidRPr="00A45FC7" w14:paraId="61515715" w14:textId="16C54273" w:rsidTr="0097127B">
        <w:trPr>
          <w:trHeight w:val="207"/>
        </w:trPr>
        <w:tc>
          <w:tcPr>
            <w:tcW w:w="1597" w:type="dxa"/>
            <w:vMerge/>
            <w:shd w:val="clear" w:color="auto" w:fill="FFFFFF"/>
            <w:vAlign w:val="center"/>
          </w:tcPr>
          <w:p w14:paraId="58E1056D" w14:textId="359BB1A7" w:rsidR="0097127B" w:rsidRPr="00A45FC7" w:rsidRDefault="0097127B" w:rsidP="00C058ED">
            <w:pPr>
              <w:pStyle w:val="CETBodytext"/>
              <w:jc w:val="left"/>
              <w:rPr>
                <w:rFonts w:cs="Arial"/>
                <w:szCs w:val="18"/>
                <w:lang w:val="en-GB"/>
              </w:rPr>
            </w:pPr>
          </w:p>
        </w:tc>
        <w:tc>
          <w:tcPr>
            <w:tcW w:w="2275" w:type="dxa"/>
            <w:shd w:val="clear" w:color="auto" w:fill="FFFFFF"/>
            <w:vAlign w:val="center"/>
          </w:tcPr>
          <w:p w14:paraId="3E64EE5E" w14:textId="3B012B58" w:rsidR="0097127B" w:rsidRPr="00A45FC7" w:rsidRDefault="0097127B" w:rsidP="00C058ED">
            <w:pPr>
              <w:pStyle w:val="Default"/>
              <w:jc w:val="center"/>
              <w:rPr>
                <w:sz w:val="18"/>
                <w:szCs w:val="18"/>
                <w:lang w:val="en-GB"/>
              </w:rPr>
            </w:pPr>
            <w:r w:rsidRPr="00A45FC7">
              <w:rPr>
                <w:sz w:val="18"/>
                <w:szCs w:val="18"/>
                <w:lang w:val="en-GB"/>
              </w:rPr>
              <w:t>sig. (bilateral)</w:t>
            </w:r>
          </w:p>
        </w:tc>
        <w:tc>
          <w:tcPr>
            <w:tcW w:w="1515" w:type="dxa"/>
            <w:shd w:val="clear" w:color="auto" w:fill="FFFFFF"/>
            <w:vAlign w:val="center"/>
          </w:tcPr>
          <w:p w14:paraId="707F5E4B" w14:textId="1644FA6B" w:rsidR="0097127B" w:rsidRPr="00A45FC7" w:rsidRDefault="0097127B" w:rsidP="00C058ED">
            <w:pPr>
              <w:pStyle w:val="CETBodytext"/>
              <w:jc w:val="center"/>
              <w:rPr>
                <w:rFonts w:cs="Arial"/>
                <w:szCs w:val="18"/>
                <w:lang w:val="en-GB"/>
              </w:rPr>
            </w:pPr>
            <w:r w:rsidRPr="00A45FC7">
              <w:rPr>
                <w:rFonts w:cs="Arial"/>
                <w:szCs w:val="18"/>
                <w:lang w:val="en-GB"/>
              </w:rPr>
              <w:t>&lt;.001</w:t>
            </w:r>
          </w:p>
        </w:tc>
        <w:tc>
          <w:tcPr>
            <w:tcW w:w="1384" w:type="dxa"/>
            <w:shd w:val="clear" w:color="auto" w:fill="FFFFFF"/>
            <w:vAlign w:val="center"/>
          </w:tcPr>
          <w:p w14:paraId="5F204554"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2892F9D0" w14:textId="77777777" w:rsidR="0097127B" w:rsidRPr="00A45FC7" w:rsidRDefault="0097127B" w:rsidP="00C058ED">
            <w:pPr>
              <w:pStyle w:val="CETBodytext"/>
              <w:jc w:val="center"/>
              <w:rPr>
                <w:rFonts w:cs="Arial"/>
                <w:szCs w:val="18"/>
                <w:lang w:val="en-GB"/>
              </w:rPr>
            </w:pPr>
          </w:p>
        </w:tc>
      </w:tr>
      <w:tr w:rsidR="0097127B" w:rsidRPr="00A45FC7" w14:paraId="0397951C" w14:textId="298677B5" w:rsidTr="0097127B">
        <w:trPr>
          <w:trHeight w:val="196"/>
        </w:trPr>
        <w:tc>
          <w:tcPr>
            <w:tcW w:w="1597" w:type="dxa"/>
            <w:vMerge/>
            <w:shd w:val="clear" w:color="auto" w:fill="FFFFFF"/>
            <w:vAlign w:val="center"/>
          </w:tcPr>
          <w:p w14:paraId="0886B9F1" w14:textId="0BAC7928" w:rsidR="0097127B" w:rsidRPr="00A45FC7" w:rsidRDefault="0097127B" w:rsidP="00C058ED">
            <w:pPr>
              <w:pStyle w:val="CETBodytext"/>
              <w:jc w:val="left"/>
              <w:rPr>
                <w:rFonts w:cs="Arial"/>
                <w:szCs w:val="18"/>
                <w:lang w:val="en-GB"/>
              </w:rPr>
            </w:pPr>
          </w:p>
        </w:tc>
        <w:tc>
          <w:tcPr>
            <w:tcW w:w="2275" w:type="dxa"/>
            <w:shd w:val="clear" w:color="auto" w:fill="FFFFFF"/>
            <w:vAlign w:val="center"/>
          </w:tcPr>
          <w:p w14:paraId="03B88BA0" w14:textId="3F365DD6" w:rsidR="0097127B" w:rsidRPr="00A45FC7" w:rsidRDefault="0097127B" w:rsidP="00C058ED">
            <w:pPr>
              <w:pStyle w:val="Default"/>
              <w:jc w:val="center"/>
              <w:rPr>
                <w:sz w:val="18"/>
                <w:szCs w:val="18"/>
                <w:lang w:val="en-GB"/>
              </w:rPr>
            </w:pPr>
            <w:r w:rsidRPr="00A45FC7">
              <w:rPr>
                <w:sz w:val="18"/>
                <w:szCs w:val="18"/>
                <w:lang w:val="en-GB"/>
              </w:rPr>
              <w:t>N</w:t>
            </w:r>
          </w:p>
        </w:tc>
        <w:tc>
          <w:tcPr>
            <w:tcW w:w="1515" w:type="dxa"/>
            <w:shd w:val="clear" w:color="auto" w:fill="FFFFFF"/>
            <w:vAlign w:val="center"/>
          </w:tcPr>
          <w:p w14:paraId="6A9C272B" w14:textId="288B6E3A" w:rsidR="0097127B" w:rsidRPr="00A45FC7" w:rsidRDefault="0097127B" w:rsidP="00C058ED">
            <w:pPr>
              <w:pStyle w:val="CETBodytext"/>
              <w:jc w:val="center"/>
              <w:rPr>
                <w:rFonts w:cs="Arial"/>
                <w:szCs w:val="18"/>
                <w:lang w:val="en-GB"/>
              </w:rPr>
            </w:pPr>
            <w:r w:rsidRPr="00A45FC7">
              <w:rPr>
                <w:rFonts w:cs="Arial"/>
                <w:szCs w:val="18"/>
                <w:lang w:val="en-GB"/>
              </w:rPr>
              <w:t>92</w:t>
            </w:r>
          </w:p>
        </w:tc>
        <w:tc>
          <w:tcPr>
            <w:tcW w:w="1384" w:type="dxa"/>
            <w:shd w:val="clear" w:color="auto" w:fill="FFFFFF"/>
            <w:vAlign w:val="center"/>
          </w:tcPr>
          <w:p w14:paraId="3B756CBE"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26AB17BF" w14:textId="77777777" w:rsidR="0097127B" w:rsidRPr="00A45FC7" w:rsidRDefault="0097127B" w:rsidP="00C058ED">
            <w:pPr>
              <w:pStyle w:val="CETBodytext"/>
              <w:jc w:val="center"/>
              <w:rPr>
                <w:rFonts w:cs="Arial"/>
                <w:szCs w:val="18"/>
                <w:lang w:val="en-GB"/>
              </w:rPr>
            </w:pPr>
          </w:p>
        </w:tc>
      </w:tr>
      <w:tr w:rsidR="0097127B" w:rsidRPr="00A45FC7" w14:paraId="305D94F4" w14:textId="0CBACEAF" w:rsidTr="0097127B">
        <w:trPr>
          <w:trHeight w:val="207"/>
        </w:trPr>
        <w:tc>
          <w:tcPr>
            <w:tcW w:w="1597" w:type="dxa"/>
            <w:vMerge w:val="restart"/>
            <w:shd w:val="clear" w:color="auto" w:fill="FFFFFF"/>
            <w:vAlign w:val="center"/>
          </w:tcPr>
          <w:p w14:paraId="694009A4" w14:textId="4DAA0753" w:rsidR="0097127B" w:rsidRPr="00A45FC7" w:rsidRDefault="0097127B" w:rsidP="00C058ED">
            <w:pPr>
              <w:pStyle w:val="CETBodytext"/>
              <w:jc w:val="left"/>
              <w:rPr>
                <w:rFonts w:cs="Arial"/>
                <w:szCs w:val="18"/>
                <w:lang w:val="en-GB"/>
              </w:rPr>
            </w:pPr>
            <w:r w:rsidRPr="00243003">
              <w:t>Humidity (%)</w:t>
            </w:r>
          </w:p>
        </w:tc>
        <w:tc>
          <w:tcPr>
            <w:tcW w:w="2275" w:type="dxa"/>
            <w:shd w:val="clear" w:color="auto" w:fill="FFFFFF"/>
            <w:vAlign w:val="center"/>
          </w:tcPr>
          <w:p w14:paraId="4755B0E1" w14:textId="15ADCE2B" w:rsidR="0097127B" w:rsidRPr="00A45FC7" w:rsidRDefault="0097127B" w:rsidP="00C058ED">
            <w:pPr>
              <w:pStyle w:val="CETBodytext"/>
              <w:jc w:val="center"/>
              <w:rPr>
                <w:rFonts w:cs="Arial"/>
                <w:szCs w:val="18"/>
                <w:lang w:val="en-GB"/>
              </w:rPr>
            </w:pPr>
            <w:r w:rsidRPr="00C058ED">
              <w:rPr>
                <w:rFonts w:cs="Arial"/>
                <w:szCs w:val="18"/>
                <w:lang w:val="en-GB"/>
              </w:rPr>
              <w:t>Pearson correlation</w:t>
            </w:r>
          </w:p>
        </w:tc>
        <w:tc>
          <w:tcPr>
            <w:tcW w:w="1515" w:type="dxa"/>
            <w:shd w:val="clear" w:color="auto" w:fill="FFFFFF"/>
            <w:vAlign w:val="center"/>
          </w:tcPr>
          <w:p w14:paraId="2CDCDED6" w14:textId="505DD606" w:rsidR="0097127B" w:rsidRPr="00A45FC7" w:rsidRDefault="0097127B" w:rsidP="00C058ED">
            <w:pPr>
              <w:pStyle w:val="CETBodytext"/>
              <w:jc w:val="center"/>
              <w:rPr>
                <w:rFonts w:cs="Arial"/>
                <w:szCs w:val="18"/>
                <w:lang w:val="en-GB"/>
              </w:rPr>
            </w:pPr>
            <w:r w:rsidRPr="00A45FC7">
              <w:rPr>
                <w:rFonts w:cs="Arial"/>
                <w:szCs w:val="18"/>
                <w:lang w:val="en-GB"/>
              </w:rPr>
              <w:t>1</w:t>
            </w:r>
          </w:p>
        </w:tc>
        <w:tc>
          <w:tcPr>
            <w:tcW w:w="1384" w:type="dxa"/>
            <w:shd w:val="clear" w:color="auto" w:fill="FFFFFF"/>
            <w:vAlign w:val="center"/>
          </w:tcPr>
          <w:p w14:paraId="10D1745F"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7597D04F" w14:textId="77777777" w:rsidR="0097127B" w:rsidRPr="00A45FC7" w:rsidRDefault="0097127B" w:rsidP="00C058ED">
            <w:pPr>
              <w:pStyle w:val="CETBodytext"/>
              <w:jc w:val="center"/>
              <w:rPr>
                <w:rFonts w:cs="Arial"/>
                <w:szCs w:val="18"/>
                <w:lang w:val="en-GB"/>
              </w:rPr>
            </w:pPr>
          </w:p>
        </w:tc>
      </w:tr>
      <w:tr w:rsidR="0097127B" w:rsidRPr="00A45FC7" w14:paraId="481BD5AD" w14:textId="5C1F6481" w:rsidTr="0097127B">
        <w:trPr>
          <w:trHeight w:val="207"/>
        </w:trPr>
        <w:tc>
          <w:tcPr>
            <w:tcW w:w="1597" w:type="dxa"/>
            <w:vMerge/>
            <w:shd w:val="clear" w:color="auto" w:fill="FFFFFF"/>
            <w:vAlign w:val="center"/>
          </w:tcPr>
          <w:p w14:paraId="7A43D852" w14:textId="77777777" w:rsidR="0097127B" w:rsidRPr="00A45FC7" w:rsidRDefault="0097127B" w:rsidP="00C058ED">
            <w:pPr>
              <w:pStyle w:val="CETBodytext"/>
              <w:jc w:val="left"/>
              <w:rPr>
                <w:rFonts w:cs="Arial"/>
                <w:szCs w:val="18"/>
                <w:lang w:val="en-GB"/>
              </w:rPr>
            </w:pPr>
          </w:p>
        </w:tc>
        <w:tc>
          <w:tcPr>
            <w:tcW w:w="2275" w:type="dxa"/>
            <w:shd w:val="clear" w:color="auto" w:fill="FFFFFF"/>
            <w:vAlign w:val="center"/>
          </w:tcPr>
          <w:p w14:paraId="17CECC69" w14:textId="5CF53A89" w:rsidR="0097127B" w:rsidRPr="00A45FC7" w:rsidRDefault="0097127B" w:rsidP="00C058ED">
            <w:pPr>
              <w:pStyle w:val="CETBodytext"/>
              <w:jc w:val="center"/>
              <w:rPr>
                <w:rFonts w:cs="Arial"/>
                <w:szCs w:val="18"/>
                <w:lang w:val="en-GB"/>
              </w:rPr>
            </w:pPr>
            <w:r w:rsidRPr="00A45FC7">
              <w:rPr>
                <w:rFonts w:cs="Arial"/>
                <w:szCs w:val="18"/>
                <w:lang w:val="en-GB"/>
              </w:rPr>
              <w:t>sig. (bilateral)</w:t>
            </w:r>
          </w:p>
        </w:tc>
        <w:tc>
          <w:tcPr>
            <w:tcW w:w="1515" w:type="dxa"/>
            <w:shd w:val="clear" w:color="auto" w:fill="FFFFFF"/>
            <w:vAlign w:val="center"/>
          </w:tcPr>
          <w:p w14:paraId="3F26A1D9"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58BB497E"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3B5F81CE" w14:textId="77777777" w:rsidR="0097127B" w:rsidRPr="00A45FC7" w:rsidRDefault="0097127B" w:rsidP="00C058ED">
            <w:pPr>
              <w:pStyle w:val="CETBodytext"/>
              <w:jc w:val="center"/>
              <w:rPr>
                <w:rFonts w:cs="Arial"/>
                <w:szCs w:val="18"/>
                <w:lang w:val="en-GB"/>
              </w:rPr>
            </w:pPr>
          </w:p>
        </w:tc>
      </w:tr>
      <w:tr w:rsidR="0097127B" w:rsidRPr="00A45FC7" w14:paraId="31EF91C8" w14:textId="5A03869D" w:rsidTr="0097127B">
        <w:trPr>
          <w:trHeight w:val="207"/>
        </w:trPr>
        <w:tc>
          <w:tcPr>
            <w:tcW w:w="1597" w:type="dxa"/>
            <w:vMerge/>
            <w:shd w:val="clear" w:color="auto" w:fill="FFFFFF"/>
            <w:vAlign w:val="center"/>
          </w:tcPr>
          <w:p w14:paraId="5DB2249D" w14:textId="77777777" w:rsidR="0097127B" w:rsidRPr="00A45FC7" w:rsidRDefault="0097127B" w:rsidP="00C058ED">
            <w:pPr>
              <w:pStyle w:val="CETBodytext"/>
              <w:jc w:val="left"/>
              <w:rPr>
                <w:rFonts w:cs="Arial"/>
                <w:szCs w:val="18"/>
                <w:lang w:val="en-GB"/>
              </w:rPr>
            </w:pPr>
          </w:p>
        </w:tc>
        <w:tc>
          <w:tcPr>
            <w:tcW w:w="2275" w:type="dxa"/>
            <w:shd w:val="clear" w:color="auto" w:fill="FFFFFF"/>
            <w:vAlign w:val="center"/>
          </w:tcPr>
          <w:p w14:paraId="16337FE4" w14:textId="46D386F1" w:rsidR="0097127B" w:rsidRPr="00A45FC7" w:rsidRDefault="0097127B" w:rsidP="00C058ED">
            <w:pPr>
              <w:pStyle w:val="CETBodytext"/>
              <w:jc w:val="center"/>
              <w:rPr>
                <w:rFonts w:cs="Arial"/>
                <w:szCs w:val="18"/>
                <w:lang w:val="en-GB"/>
              </w:rPr>
            </w:pPr>
            <w:r w:rsidRPr="00A45FC7">
              <w:rPr>
                <w:rFonts w:cs="Arial"/>
                <w:szCs w:val="18"/>
                <w:lang w:val="en-GB"/>
              </w:rPr>
              <w:t>N</w:t>
            </w:r>
          </w:p>
        </w:tc>
        <w:tc>
          <w:tcPr>
            <w:tcW w:w="1515" w:type="dxa"/>
            <w:shd w:val="clear" w:color="auto" w:fill="FFFFFF"/>
            <w:vAlign w:val="center"/>
          </w:tcPr>
          <w:p w14:paraId="27137EAE" w14:textId="06AFBB0A" w:rsidR="0097127B" w:rsidRPr="00A45FC7" w:rsidRDefault="0097127B" w:rsidP="00C058ED">
            <w:pPr>
              <w:pStyle w:val="CETBodytext"/>
              <w:jc w:val="center"/>
              <w:rPr>
                <w:rFonts w:cs="Arial"/>
                <w:szCs w:val="18"/>
                <w:lang w:val="en-GB"/>
              </w:rPr>
            </w:pPr>
            <w:r w:rsidRPr="00A45FC7">
              <w:rPr>
                <w:rFonts w:cs="Arial"/>
                <w:szCs w:val="18"/>
                <w:lang w:val="en-GB"/>
              </w:rPr>
              <w:t>92</w:t>
            </w:r>
          </w:p>
        </w:tc>
        <w:tc>
          <w:tcPr>
            <w:tcW w:w="1384" w:type="dxa"/>
            <w:shd w:val="clear" w:color="auto" w:fill="FFFFFF"/>
            <w:vAlign w:val="center"/>
          </w:tcPr>
          <w:p w14:paraId="13390EE2"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54501983" w14:textId="77777777" w:rsidR="0097127B" w:rsidRPr="00A45FC7" w:rsidRDefault="0097127B" w:rsidP="00C058ED">
            <w:pPr>
              <w:pStyle w:val="CETBodytext"/>
              <w:jc w:val="center"/>
              <w:rPr>
                <w:rFonts w:cs="Arial"/>
                <w:szCs w:val="18"/>
                <w:lang w:val="en-GB"/>
              </w:rPr>
            </w:pPr>
          </w:p>
        </w:tc>
      </w:tr>
      <w:tr w:rsidR="0097127B" w:rsidRPr="00A45FC7" w14:paraId="18297759" w14:textId="1FEFA6AF" w:rsidTr="0097127B">
        <w:trPr>
          <w:trHeight w:val="207"/>
        </w:trPr>
        <w:tc>
          <w:tcPr>
            <w:tcW w:w="1597" w:type="dxa"/>
            <w:vMerge w:val="restart"/>
            <w:shd w:val="clear" w:color="auto" w:fill="FFFFFF"/>
            <w:vAlign w:val="center"/>
          </w:tcPr>
          <w:p w14:paraId="0E3C3995" w14:textId="664530BE" w:rsidR="0097127B" w:rsidRPr="00A45FC7" w:rsidRDefault="0097127B" w:rsidP="00C058ED">
            <w:pPr>
              <w:pStyle w:val="CETBodytext"/>
              <w:jc w:val="left"/>
              <w:rPr>
                <w:rFonts w:cs="Arial"/>
                <w:szCs w:val="18"/>
                <w:lang w:val="en-GB"/>
              </w:rPr>
            </w:pPr>
            <w:r w:rsidRPr="0019055B">
              <w:rPr>
                <w:szCs w:val="18"/>
                <w:lang w:val="en-GB"/>
              </w:rPr>
              <w:t xml:space="preserve">Volume of water captured (L) </w:t>
            </w:r>
          </w:p>
        </w:tc>
        <w:tc>
          <w:tcPr>
            <w:tcW w:w="2275" w:type="dxa"/>
            <w:shd w:val="clear" w:color="auto" w:fill="FFFFFF"/>
            <w:vAlign w:val="center"/>
          </w:tcPr>
          <w:p w14:paraId="3779D016" w14:textId="14860507" w:rsidR="0097127B" w:rsidRPr="00A45FC7" w:rsidRDefault="0097127B" w:rsidP="00C058ED">
            <w:pPr>
              <w:pStyle w:val="CETBodytext"/>
              <w:jc w:val="center"/>
              <w:rPr>
                <w:rFonts w:cs="Arial"/>
                <w:szCs w:val="18"/>
                <w:lang w:val="en-GB"/>
              </w:rPr>
            </w:pPr>
            <w:r w:rsidRPr="00C058ED">
              <w:rPr>
                <w:rFonts w:cs="Arial"/>
                <w:szCs w:val="18"/>
                <w:lang w:val="en-GB"/>
              </w:rPr>
              <w:t>Pearson correlation</w:t>
            </w:r>
          </w:p>
        </w:tc>
        <w:tc>
          <w:tcPr>
            <w:tcW w:w="1515" w:type="dxa"/>
            <w:shd w:val="clear" w:color="auto" w:fill="FFFFFF"/>
            <w:vAlign w:val="center"/>
          </w:tcPr>
          <w:p w14:paraId="02D09D26" w14:textId="772CE779" w:rsidR="0097127B" w:rsidRPr="00A45FC7" w:rsidRDefault="0097127B" w:rsidP="00C058ED">
            <w:pPr>
              <w:pStyle w:val="CETBodytext"/>
              <w:rPr>
                <w:rFonts w:cs="Arial"/>
                <w:szCs w:val="18"/>
                <w:lang w:val="en-GB"/>
              </w:rPr>
            </w:pPr>
          </w:p>
        </w:tc>
        <w:tc>
          <w:tcPr>
            <w:tcW w:w="1384" w:type="dxa"/>
            <w:shd w:val="clear" w:color="auto" w:fill="FFFFFF"/>
            <w:vAlign w:val="center"/>
          </w:tcPr>
          <w:p w14:paraId="0CB2F615" w14:textId="3FBAA369" w:rsidR="0097127B" w:rsidRPr="00A45FC7" w:rsidRDefault="0097127B" w:rsidP="00C058ED">
            <w:pPr>
              <w:pStyle w:val="CETBodytext"/>
              <w:rPr>
                <w:rFonts w:cs="Arial"/>
                <w:szCs w:val="18"/>
                <w:lang w:val="en-GB"/>
              </w:rPr>
            </w:pPr>
            <w:r w:rsidRPr="00A45FC7">
              <w:rPr>
                <w:rFonts w:cs="Arial"/>
                <w:szCs w:val="18"/>
                <w:lang w:val="en-GB"/>
              </w:rPr>
              <w:t>0.927**</w:t>
            </w:r>
          </w:p>
        </w:tc>
        <w:tc>
          <w:tcPr>
            <w:tcW w:w="1384" w:type="dxa"/>
            <w:shd w:val="clear" w:color="auto" w:fill="FFFFFF"/>
            <w:vAlign w:val="center"/>
          </w:tcPr>
          <w:p w14:paraId="47DA5739" w14:textId="77777777" w:rsidR="0097127B" w:rsidRPr="00A45FC7" w:rsidRDefault="0097127B" w:rsidP="00C058ED">
            <w:pPr>
              <w:pStyle w:val="CETBodytext"/>
              <w:rPr>
                <w:rFonts w:cs="Arial"/>
                <w:szCs w:val="18"/>
                <w:lang w:val="en-GB"/>
              </w:rPr>
            </w:pPr>
          </w:p>
        </w:tc>
      </w:tr>
      <w:tr w:rsidR="0097127B" w:rsidRPr="00A45FC7" w14:paraId="059BF2C1" w14:textId="1E5102C5" w:rsidTr="0097127B">
        <w:trPr>
          <w:trHeight w:val="207"/>
        </w:trPr>
        <w:tc>
          <w:tcPr>
            <w:tcW w:w="1597" w:type="dxa"/>
            <w:vMerge/>
            <w:shd w:val="clear" w:color="auto" w:fill="FFFFFF"/>
            <w:vAlign w:val="center"/>
          </w:tcPr>
          <w:p w14:paraId="127DBB98" w14:textId="77777777" w:rsidR="0097127B" w:rsidRPr="00A45FC7" w:rsidRDefault="0097127B" w:rsidP="00C058ED">
            <w:pPr>
              <w:pStyle w:val="CETBodytext"/>
              <w:jc w:val="left"/>
              <w:rPr>
                <w:rFonts w:cs="Arial"/>
                <w:szCs w:val="18"/>
                <w:lang w:val="en-GB"/>
              </w:rPr>
            </w:pPr>
          </w:p>
        </w:tc>
        <w:tc>
          <w:tcPr>
            <w:tcW w:w="2275" w:type="dxa"/>
            <w:shd w:val="clear" w:color="auto" w:fill="FFFFFF"/>
            <w:vAlign w:val="center"/>
          </w:tcPr>
          <w:p w14:paraId="7C92663F" w14:textId="5B7A9392" w:rsidR="0097127B" w:rsidRPr="00A45FC7" w:rsidRDefault="0097127B" w:rsidP="00C058ED">
            <w:pPr>
              <w:pStyle w:val="CETBodytext"/>
              <w:jc w:val="center"/>
              <w:rPr>
                <w:rFonts w:cs="Arial"/>
                <w:szCs w:val="18"/>
                <w:lang w:val="en-GB"/>
              </w:rPr>
            </w:pPr>
            <w:r w:rsidRPr="00A45FC7">
              <w:rPr>
                <w:rFonts w:cs="Arial"/>
                <w:szCs w:val="18"/>
                <w:lang w:val="en-GB"/>
              </w:rPr>
              <w:t>sig. (bilateral)</w:t>
            </w:r>
          </w:p>
        </w:tc>
        <w:tc>
          <w:tcPr>
            <w:tcW w:w="1515" w:type="dxa"/>
            <w:shd w:val="clear" w:color="auto" w:fill="FFFFFF"/>
            <w:vAlign w:val="center"/>
          </w:tcPr>
          <w:p w14:paraId="41F8ECA9" w14:textId="10B90200"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6A2FEF3D" w14:textId="761BBE12" w:rsidR="0097127B" w:rsidRPr="00A45FC7" w:rsidRDefault="0097127B" w:rsidP="00C058ED">
            <w:pPr>
              <w:pStyle w:val="CETBodytext"/>
              <w:jc w:val="center"/>
              <w:rPr>
                <w:rFonts w:cs="Arial"/>
                <w:szCs w:val="18"/>
                <w:lang w:val="en-GB"/>
              </w:rPr>
            </w:pPr>
            <w:r w:rsidRPr="00A45FC7">
              <w:rPr>
                <w:rFonts w:cs="Arial"/>
                <w:szCs w:val="18"/>
                <w:lang w:val="en-GB"/>
              </w:rPr>
              <w:t>&lt;.001</w:t>
            </w:r>
          </w:p>
        </w:tc>
        <w:tc>
          <w:tcPr>
            <w:tcW w:w="1384" w:type="dxa"/>
            <w:shd w:val="clear" w:color="auto" w:fill="FFFFFF"/>
            <w:vAlign w:val="center"/>
          </w:tcPr>
          <w:p w14:paraId="24E409F9" w14:textId="77777777" w:rsidR="0097127B" w:rsidRPr="00A45FC7" w:rsidRDefault="0097127B" w:rsidP="00C058ED">
            <w:pPr>
              <w:pStyle w:val="CETBodytext"/>
              <w:jc w:val="center"/>
              <w:rPr>
                <w:rFonts w:cs="Arial"/>
                <w:szCs w:val="18"/>
                <w:lang w:val="en-GB"/>
              </w:rPr>
            </w:pPr>
          </w:p>
        </w:tc>
      </w:tr>
      <w:tr w:rsidR="0097127B" w:rsidRPr="00A45FC7" w14:paraId="239DD5F6" w14:textId="5B5F5718" w:rsidTr="0097127B">
        <w:trPr>
          <w:trHeight w:val="207"/>
        </w:trPr>
        <w:tc>
          <w:tcPr>
            <w:tcW w:w="1597" w:type="dxa"/>
            <w:vMerge/>
            <w:shd w:val="clear" w:color="auto" w:fill="FFFFFF"/>
            <w:vAlign w:val="center"/>
          </w:tcPr>
          <w:p w14:paraId="3B7E22D2" w14:textId="77777777" w:rsidR="0097127B" w:rsidRPr="00A45FC7" w:rsidRDefault="0097127B" w:rsidP="00C058ED">
            <w:pPr>
              <w:pStyle w:val="CETBodytext"/>
              <w:jc w:val="left"/>
              <w:rPr>
                <w:rFonts w:cs="Arial"/>
                <w:szCs w:val="18"/>
                <w:lang w:val="en-GB"/>
              </w:rPr>
            </w:pPr>
          </w:p>
        </w:tc>
        <w:tc>
          <w:tcPr>
            <w:tcW w:w="2275" w:type="dxa"/>
            <w:shd w:val="clear" w:color="auto" w:fill="FFFFFF"/>
            <w:vAlign w:val="center"/>
          </w:tcPr>
          <w:p w14:paraId="710AA276" w14:textId="087C3FA1" w:rsidR="0097127B" w:rsidRPr="00A45FC7" w:rsidRDefault="0097127B" w:rsidP="00C058ED">
            <w:pPr>
              <w:pStyle w:val="CETBodytext"/>
              <w:jc w:val="center"/>
              <w:rPr>
                <w:rFonts w:cs="Arial"/>
                <w:szCs w:val="18"/>
                <w:lang w:val="en-GB"/>
              </w:rPr>
            </w:pPr>
            <w:r w:rsidRPr="00A45FC7">
              <w:rPr>
                <w:rFonts w:cs="Arial"/>
                <w:szCs w:val="18"/>
                <w:lang w:val="en-GB"/>
              </w:rPr>
              <w:t>N</w:t>
            </w:r>
          </w:p>
        </w:tc>
        <w:tc>
          <w:tcPr>
            <w:tcW w:w="1515" w:type="dxa"/>
            <w:shd w:val="clear" w:color="auto" w:fill="FFFFFF"/>
            <w:vAlign w:val="center"/>
          </w:tcPr>
          <w:p w14:paraId="786DB3F6" w14:textId="248E62FD"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4EF84371" w14:textId="2157AAF5" w:rsidR="0097127B" w:rsidRPr="00A45FC7" w:rsidRDefault="0097127B" w:rsidP="00C058ED">
            <w:pPr>
              <w:pStyle w:val="CETBodytext"/>
              <w:jc w:val="center"/>
              <w:rPr>
                <w:rFonts w:cs="Arial"/>
                <w:szCs w:val="18"/>
                <w:lang w:val="en-GB"/>
              </w:rPr>
            </w:pPr>
            <w:r w:rsidRPr="00A45FC7">
              <w:rPr>
                <w:rFonts w:cs="Arial"/>
                <w:szCs w:val="18"/>
                <w:lang w:val="en-GB"/>
              </w:rPr>
              <w:t>92</w:t>
            </w:r>
          </w:p>
        </w:tc>
        <w:tc>
          <w:tcPr>
            <w:tcW w:w="1384" w:type="dxa"/>
            <w:shd w:val="clear" w:color="auto" w:fill="FFFFFF"/>
            <w:vAlign w:val="center"/>
          </w:tcPr>
          <w:p w14:paraId="739D120D" w14:textId="77777777" w:rsidR="0097127B" w:rsidRPr="00A45FC7" w:rsidRDefault="0097127B" w:rsidP="00C058ED">
            <w:pPr>
              <w:pStyle w:val="CETBodytext"/>
              <w:jc w:val="center"/>
              <w:rPr>
                <w:rFonts w:cs="Arial"/>
                <w:szCs w:val="18"/>
                <w:lang w:val="en-GB"/>
              </w:rPr>
            </w:pPr>
          </w:p>
        </w:tc>
      </w:tr>
      <w:tr w:rsidR="0097127B" w:rsidRPr="00A45FC7" w14:paraId="39705F92" w14:textId="6BCA70DC" w:rsidTr="0097127B">
        <w:trPr>
          <w:trHeight w:val="207"/>
        </w:trPr>
        <w:tc>
          <w:tcPr>
            <w:tcW w:w="1597" w:type="dxa"/>
            <w:vMerge w:val="restart"/>
            <w:shd w:val="clear" w:color="auto" w:fill="FFFFFF"/>
            <w:vAlign w:val="center"/>
          </w:tcPr>
          <w:p w14:paraId="6E47A531" w14:textId="22ECD753" w:rsidR="0097127B" w:rsidRPr="00A45FC7" w:rsidRDefault="0097127B" w:rsidP="00C058ED">
            <w:pPr>
              <w:pStyle w:val="CETBodytext"/>
              <w:jc w:val="left"/>
              <w:rPr>
                <w:rFonts w:cs="Arial"/>
                <w:szCs w:val="18"/>
                <w:lang w:val="en-GB"/>
              </w:rPr>
            </w:pPr>
            <w:r w:rsidRPr="00243003">
              <w:t>Wind speed (Km/h)</w:t>
            </w:r>
          </w:p>
        </w:tc>
        <w:tc>
          <w:tcPr>
            <w:tcW w:w="2275" w:type="dxa"/>
            <w:shd w:val="clear" w:color="auto" w:fill="FFFFFF"/>
          </w:tcPr>
          <w:p w14:paraId="4D993CCA" w14:textId="4EB0EC84" w:rsidR="0097127B" w:rsidRPr="00A45FC7" w:rsidRDefault="0097127B" w:rsidP="00C058ED">
            <w:pPr>
              <w:pStyle w:val="CETBodytext"/>
              <w:jc w:val="center"/>
              <w:rPr>
                <w:rFonts w:cs="Arial"/>
                <w:szCs w:val="18"/>
                <w:lang w:val="en-GB"/>
              </w:rPr>
            </w:pPr>
            <w:r w:rsidRPr="00A2498A">
              <w:t>Pearson correlation</w:t>
            </w:r>
          </w:p>
        </w:tc>
        <w:tc>
          <w:tcPr>
            <w:tcW w:w="1515" w:type="dxa"/>
            <w:shd w:val="clear" w:color="auto" w:fill="FFFFFF"/>
            <w:vAlign w:val="center"/>
          </w:tcPr>
          <w:p w14:paraId="33FE2F7B"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26DDCD78" w14:textId="546299B2" w:rsidR="0097127B" w:rsidRPr="00A45FC7" w:rsidRDefault="0097127B" w:rsidP="00C058ED">
            <w:pPr>
              <w:pStyle w:val="CETBodytext"/>
              <w:jc w:val="center"/>
              <w:rPr>
                <w:rFonts w:cs="Arial"/>
                <w:szCs w:val="18"/>
                <w:lang w:val="en-GB"/>
              </w:rPr>
            </w:pPr>
            <w:r w:rsidRPr="00A45FC7">
              <w:rPr>
                <w:rFonts w:cs="Arial"/>
                <w:szCs w:val="18"/>
                <w:lang w:val="en-GB"/>
              </w:rPr>
              <w:t>1</w:t>
            </w:r>
          </w:p>
        </w:tc>
        <w:tc>
          <w:tcPr>
            <w:tcW w:w="1384" w:type="dxa"/>
            <w:shd w:val="clear" w:color="auto" w:fill="FFFFFF"/>
            <w:vAlign w:val="center"/>
          </w:tcPr>
          <w:p w14:paraId="505896BD" w14:textId="77777777" w:rsidR="0097127B" w:rsidRPr="00A45FC7" w:rsidRDefault="0097127B" w:rsidP="00C058ED">
            <w:pPr>
              <w:pStyle w:val="CETBodytext"/>
              <w:jc w:val="center"/>
              <w:rPr>
                <w:rFonts w:cs="Arial"/>
                <w:szCs w:val="18"/>
                <w:lang w:val="en-GB"/>
              </w:rPr>
            </w:pPr>
          </w:p>
        </w:tc>
      </w:tr>
      <w:tr w:rsidR="0097127B" w:rsidRPr="00A45FC7" w14:paraId="69F1B6C7" w14:textId="719BC35F" w:rsidTr="0097127B">
        <w:trPr>
          <w:trHeight w:val="207"/>
        </w:trPr>
        <w:tc>
          <w:tcPr>
            <w:tcW w:w="1597" w:type="dxa"/>
            <w:vMerge/>
            <w:shd w:val="clear" w:color="auto" w:fill="FFFFFF"/>
            <w:vAlign w:val="center"/>
          </w:tcPr>
          <w:p w14:paraId="0E3D3503" w14:textId="77777777" w:rsidR="0097127B" w:rsidRPr="00A45FC7" w:rsidRDefault="0097127B" w:rsidP="00C058ED">
            <w:pPr>
              <w:pStyle w:val="CETBodytext"/>
              <w:jc w:val="left"/>
              <w:rPr>
                <w:rFonts w:cs="Arial"/>
                <w:szCs w:val="18"/>
                <w:lang w:val="en-GB"/>
              </w:rPr>
            </w:pPr>
          </w:p>
        </w:tc>
        <w:tc>
          <w:tcPr>
            <w:tcW w:w="2275" w:type="dxa"/>
            <w:shd w:val="clear" w:color="auto" w:fill="FFFFFF"/>
          </w:tcPr>
          <w:p w14:paraId="5D2760AC" w14:textId="4C2A62B9" w:rsidR="0097127B" w:rsidRPr="00A45FC7" w:rsidRDefault="0097127B" w:rsidP="00C058ED">
            <w:pPr>
              <w:pStyle w:val="CETBodytext"/>
              <w:jc w:val="center"/>
              <w:rPr>
                <w:rFonts w:cs="Arial"/>
                <w:szCs w:val="18"/>
                <w:lang w:val="en-GB"/>
              </w:rPr>
            </w:pPr>
            <w:r w:rsidRPr="00A2498A">
              <w:t>Pearson correlation</w:t>
            </w:r>
          </w:p>
        </w:tc>
        <w:tc>
          <w:tcPr>
            <w:tcW w:w="1515" w:type="dxa"/>
            <w:shd w:val="clear" w:color="auto" w:fill="FFFFFF"/>
            <w:vAlign w:val="center"/>
          </w:tcPr>
          <w:p w14:paraId="0A1BDCC9"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3E122528"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7FA3173B" w14:textId="77777777" w:rsidR="0097127B" w:rsidRPr="00A45FC7" w:rsidRDefault="0097127B" w:rsidP="00C058ED">
            <w:pPr>
              <w:pStyle w:val="CETBodytext"/>
              <w:jc w:val="center"/>
              <w:rPr>
                <w:rFonts w:cs="Arial"/>
                <w:szCs w:val="18"/>
                <w:lang w:val="en-GB"/>
              </w:rPr>
            </w:pPr>
          </w:p>
        </w:tc>
      </w:tr>
      <w:tr w:rsidR="0097127B" w:rsidRPr="00A45FC7" w14:paraId="50B2FC07" w14:textId="2EBF3F3A" w:rsidTr="0097127B">
        <w:trPr>
          <w:trHeight w:val="207"/>
        </w:trPr>
        <w:tc>
          <w:tcPr>
            <w:tcW w:w="1597" w:type="dxa"/>
            <w:vMerge/>
            <w:shd w:val="clear" w:color="auto" w:fill="FFFFFF"/>
            <w:vAlign w:val="center"/>
          </w:tcPr>
          <w:p w14:paraId="6EC87CFF" w14:textId="77777777" w:rsidR="0097127B" w:rsidRPr="00A45FC7" w:rsidRDefault="0097127B" w:rsidP="00C058ED">
            <w:pPr>
              <w:pStyle w:val="CETBodytext"/>
              <w:jc w:val="left"/>
              <w:rPr>
                <w:rFonts w:cs="Arial"/>
                <w:szCs w:val="18"/>
                <w:lang w:val="en-GB"/>
              </w:rPr>
            </w:pPr>
          </w:p>
        </w:tc>
        <w:tc>
          <w:tcPr>
            <w:tcW w:w="2275" w:type="dxa"/>
            <w:shd w:val="clear" w:color="auto" w:fill="FFFFFF"/>
            <w:vAlign w:val="center"/>
          </w:tcPr>
          <w:p w14:paraId="1C702326" w14:textId="4EFB48AA" w:rsidR="0097127B" w:rsidRPr="00A45FC7" w:rsidRDefault="0097127B" w:rsidP="00C058ED">
            <w:pPr>
              <w:pStyle w:val="CETBodytext"/>
              <w:jc w:val="center"/>
              <w:rPr>
                <w:rFonts w:cs="Arial"/>
                <w:szCs w:val="18"/>
                <w:lang w:val="en-GB"/>
              </w:rPr>
            </w:pPr>
            <w:r w:rsidRPr="00A45FC7">
              <w:rPr>
                <w:rFonts w:cs="Arial"/>
                <w:szCs w:val="18"/>
                <w:lang w:val="en-GB"/>
              </w:rPr>
              <w:t>N</w:t>
            </w:r>
          </w:p>
        </w:tc>
        <w:tc>
          <w:tcPr>
            <w:tcW w:w="1515" w:type="dxa"/>
            <w:shd w:val="clear" w:color="auto" w:fill="FFFFFF"/>
            <w:vAlign w:val="center"/>
          </w:tcPr>
          <w:p w14:paraId="6661CAEE"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76F8B12F" w14:textId="08C7C0A9" w:rsidR="0097127B" w:rsidRPr="00A45FC7" w:rsidRDefault="0097127B" w:rsidP="00C058ED">
            <w:pPr>
              <w:pStyle w:val="CETBodytext"/>
              <w:jc w:val="center"/>
              <w:rPr>
                <w:rFonts w:cs="Arial"/>
                <w:szCs w:val="18"/>
                <w:lang w:val="en-GB"/>
              </w:rPr>
            </w:pPr>
            <w:r w:rsidRPr="00A45FC7">
              <w:rPr>
                <w:rFonts w:cs="Arial"/>
                <w:szCs w:val="18"/>
                <w:lang w:val="en-GB"/>
              </w:rPr>
              <w:t>92</w:t>
            </w:r>
          </w:p>
        </w:tc>
        <w:tc>
          <w:tcPr>
            <w:tcW w:w="1384" w:type="dxa"/>
            <w:shd w:val="clear" w:color="auto" w:fill="FFFFFF"/>
            <w:vAlign w:val="center"/>
          </w:tcPr>
          <w:p w14:paraId="79E9533B" w14:textId="77777777" w:rsidR="0097127B" w:rsidRPr="00A45FC7" w:rsidRDefault="0097127B" w:rsidP="00C058ED">
            <w:pPr>
              <w:pStyle w:val="CETBodytext"/>
              <w:jc w:val="center"/>
              <w:rPr>
                <w:rFonts w:cs="Arial"/>
                <w:szCs w:val="18"/>
                <w:lang w:val="en-GB"/>
              </w:rPr>
            </w:pPr>
          </w:p>
        </w:tc>
      </w:tr>
      <w:tr w:rsidR="0097127B" w:rsidRPr="00A45FC7" w14:paraId="2C57E24C" w14:textId="072B035C" w:rsidTr="0097127B">
        <w:trPr>
          <w:trHeight w:val="450"/>
        </w:trPr>
        <w:tc>
          <w:tcPr>
            <w:tcW w:w="1597" w:type="dxa"/>
            <w:vMerge w:val="restart"/>
            <w:shd w:val="clear" w:color="auto" w:fill="FFFFFF"/>
            <w:vAlign w:val="center"/>
          </w:tcPr>
          <w:p w14:paraId="7B8FEB0C" w14:textId="5C528786" w:rsidR="0097127B" w:rsidRPr="00A45FC7" w:rsidRDefault="0097127B" w:rsidP="00C058ED">
            <w:pPr>
              <w:pStyle w:val="CETBodytext"/>
              <w:jc w:val="left"/>
              <w:rPr>
                <w:rFonts w:cs="Arial"/>
                <w:szCs w:val="18"/>
                <w:lang w:val="en-GB"/>
              </w:rPr>
            </w:pPr>
            <w:r w:rsidRPr="0019055B">
              <w:rPr>
                <w:szCs w:val="18"/>
                <w:lang w:val="en-GB"/>
              </w:rPr>
              <w:t xml:space="preserve">Volume of water captured (L) </w:t>
            </w:r>
          </w:p>
        </w:tc>
        <w:tc>
          <w:tcPr>
            <w:tcW w:w="2275" w:type="dxa"/>
            <w:shd w:val="clear" w:color="auto" w:fill="FFFFFF"/>
            <w:vAlign w:val="center"/>
          </w:tcPr>
          <w:p w14:paraId="5B3912C2" w14:textId="143CA086" w:rsidR="0097127B" w:rsidRPr="00A45FC7" w:rsidRDefault="0097127B" w:rsidP="00C058ED">
            <w:pPr>
              <w:pStyle w:val="CETBodytext"/>
              <w:jc w:val="center"/>
              <w:rPr>
                <w:rFonts w:cs="Arial"/>
                <w:szCs w:val="18"/>
                <w:lang w:val="en-GB"/>
              </w:rPr>
            </w:pPr>
            <w:r w:rsidRPr="00C058ED">
              <w:rPr>
                <w:rFonts w:cs="Arial"/>
                <w:szCs w:val="18"/>
                <w:lang w:val="en-GB"/>
              </w:rPr>
              <w:t>Pearson correlation</w:t>
            </w:r>
          </w:p>
        </w:tc>
        <w:tc>
          <w:tcPr>
            <w:tcW w:w="1515" w:type="dxa"/>
            <w:shd w:val="clear" w:color="auto" w:fill="FFFFFF"/>
            <w:vAlign w:val="center"/>
          </w:tcPr>
          <w:p w14:paraId="66462720"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7D6D337C"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182C9CE4" w14:textId="7D000A8D" w:rsidR="0097127B" w:rsidRPr="00A45FC7" w:rsidRDefault="0097127B" w:rsidP="00C058ED">
            <w:pPr>
              <w:pStyle w:val="CETBodytext"/>
              <w:jc w:val="center"/>
              <w:rPr>
                <w:rFonts w:cs="Arial"/>
                <w:szCs w:val="18"/>
                <w:lang w:val="en-GB"/>
              </w:rPr>
            </w:pPr>
            <w:r w:rsidRPr="00A45FC7">
              <w:rPr>
                <w:rFonts w:cs="Arial"/>
                <w:szCs w:val="18"/>
                <w:lang w:val="en-GB"/>
              </w:rPr>
              <w:t>-0.846**</w:t>
            </w:r>
          </w:p>
        </w:tc>
      </w:tr>
      <w:tr w:rsidR="0097127B" w:rsidRPr="00A45FC7" w14:paraId="5E9CE622" w14:textId="77777777" w:rsidTr="0097127B">
        <w:trPr>
          <w:trHeight w:val="207"/>
        </w:trPr>
        <w:tc>
          <w:tcPr>
            <w:tcW w:w="1597" w:type="dxa"/>
            <w:vMerge/>
            <w:shd w:val="clear" w:color="auto" w:fill="FFFFFF"/>
            <w:vAlign w:val="center"/>
          </w:tcPr>
          <w:p w14:paraId="0419864C" w14:textId="77777777" w:rsidR="0097127B" w:rsidRPr="00A45FC7" w:rsidRDefault="0097127B" w:rsidP="00C058ED">
            <w:pPr>
              <w:pStyle w:val="CETBodytext"/>
              <w:jc w:val="left"/>
              <w:rPr>
                <w:rFonts w:cs="Arial"/>
                <w:szCs w:val="18"/>
                <w:lang w:val="en-GB"/>
              </w:rPr>
            </w:pPr>
          </w:p>
        </w:tc>
        <w:tc>
          <w:tcPr>
            <w:tcW w:w="2275" w:type="dxa"/>
            <w:shd w:val="clear" w:color="auto" w:fill="FFFFFF"/>
            <w:vAlign w:val="center"/>
          </w:tcPr>
          <w:p w14:paraId="6241D618" w14:textId="706AD0E2" w:rsidR="0097127B" w:rsidRPr="00A45FC7" w:rsidRDefault="0097127B" w:rsidP="00C058ED">
            <w:pPr>
              <w:pStyle w:val="CETBodytext"/>
              <w:jc w:val="center"/>
              <w:rPr>
                <w:rFonts w:cs="Arial"/>
                <w:szCs w:val="18"/>
                <w:lang w:val="en-GB"/>
              </w:rPr>
            </w:pPr>
            <w:r w:rsidRPr="00A45FC7">
              <w:rPr>
                <w:rFonts w:cs="Arial"/>
                <w:szCs w:val="18"/>
                <w:lang w:val="en-GB"/>
              </w:rPr>
              <w:t>sig. (bilateral)</w:t>
            </w:r>
          </w:p>
        </w:tc>
        <w:tc>
          <w:tcPr>
            <w:tcW w:w="1515" w:type="dxa"/>
            <w:shd w:val="clear" w:color="auto" w:fill="FFFFFF"/>
            <w:vAlign w:val="center"/>
          </w:tcPr>
          <w:p w14:paraId="4BD36E54"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093C6310"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6CB1086B" w14:textId="28630EE6" w:rsidR="0097127B" w:rsidRPr="00A45FC7" w:rsidRDefault="0097127B" w:rsidP="00C058ED">
            <w:pPr>
              <w:pStyle w:val="CETBodytext"/>
              <w:jc w:val="center"/>
              <w:rPr>
                <w:rFonts w:cs="Arial"/>
                <w:szCs w:val="18"/>
                <w:lang w:val="en-GB"/>
              </w:rPr>
            </w:pPr>
            <w:r w:rsidRPr="00A45FC7">
              <w:rPr>
                <w:rFonts w:cs="Arial"/>
                <w:szCs w:val="18"/>
                <w:lang w:val="en-GB"/>
              </w:rPr>
              <w:t>&lt;.001</w:t>
            </w:r>
          </w:p>
        </w:tc>
      </w:tr>
      <w:tr w:rsidR="0097127B" w:rsidRPr="00A45FC7" w14:paraId="678E4341" w14:textId="77777777" w:rsidTr="0097127B">
        <w:trPr>
          <w:trHeight w:val="319"/>
        </w:trPr>
        <w:tc>
          <w:tcPr>
            <w:tcW w:w="1597" w:type="dxa"/>
            <w:vMerge/>
            <w:shd w:val="clear" w:color="auto" w:fill="FFFFFF"/>
            <w:vAlign w:val="center"/>
          </w:tcPr>
          <w:p w14:paraId="2865C621" w14:textId="77777777" w:rsidR="0097127B" w:rsidRPr="00A45FC7" w:rsidRDefault="0097127B" w:rsidP="00C058ED">
            <w:pPr>
              <w:pStyle w:val="CETBodytext"/>
              <w:jc w:val="left"/>
              <w:rPr>
                <w:rFonts w:cs="Arial"/>
                <w:szCs w:val="18"/>
                <w:lang w:val="en-GB"/>
              </w:rPr>
            </w:pPr>
          </w:p>
        </w:tc>
        <w:tc>
          <w:tcPr>
            <w:tcW w:w="2275" w:type="dxa"/>
            <w:shd w:val="clear" w:color="auto" w:fill="FFFFFF"/>
            <w:vAlign w:val="center"/>
          </w:tcPr>
          <w:p w14:paraId="636EA838" w14:textId="4CDC611E" w:rsidR="0097127B" w:rsidRPr="00A45FC7" w:rsidRDefault="0097127B" w:rsidP="00C058ED">
            <w:pPr>
              <w:pStyle w:val="CETBodytext"/>
              <w:jc w:val="center"/>
              <w:rPr>
                <w:rFonts w:cs="Arial"/>
                <w:szCs w:val="18"/>
                <w:lang w:val="en-GB"/>
              </w:rPr>
            </w:pPr>
            <w:r w:rsidRPr="00A45FC7">
              <w:rPr>
                <w:rFonts w:cs="Arial"/>
                <w:szCs w:val="18"/>
                <w:lang w:val="en-GB"/>
              </w:rPr>
              <w:t>N</w:t>
            </w:r>
          </w:p>
        </w:tc>
        <w:tc>
          <w:tcPr>
            <w:tcW w:w="1515" w:type="dxa"/>
            <w:shd w:val="clear" w:color="auto" w:fill="FFFFFF"/>
            <w:vAlign w:val="center"/>
          </w:tcPr>
          <w:p w14:paraId="357EC406"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5B32DD17"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49589D10" w14:textId="3178F563" w:rsidR="0097127B" w:rsidRPr="00A45FC7" w:rsidRDefault="0097127B" w:rsidP="00C058ED">
            <w:pPr>
              <w:pStyle w:val="CETBodytext"/>
              <w:jc w:val="center"/>
              <w:rPr>
                <w:rFonts w:cs="Arial"/>
                <w:szCs w:val="18"/>
                <w:lang w:val="en-GB"/>
              </w:rPr>
            </w:pPr>
            <w:r w:rsidRPr="00A45FC7">
              <w:rPr>
                <w:rFonts w:cs="Arial"/>
                <w:szCs w:val="18"/>
                <w:lang w:val="en-GB"/>
              </w:rPr>
              <w:t>92</w:t>
            </w:r>
          </w:p>
        </w:tc>
      </w:tr>
      <w:tr w:rsidR="0097127B" w:rsidRPr="00A45FC7" w14:paraId="6CD693FA" w14:textId="77777777" w:rsidTr="0097127B">
        <w:trPr>
          <w:trHeight w:val="207"/>
        </w:trPr>
        <w:tc>
          <w:tcPr>
            <w:tcW w:w="1597" w:type="dxa"/>
            <w:vMerge w:val="restart"/>
            <w:shd w:val="clear" w:color="auto" w:fill="FFFFFF"/>
            <w:vAlign w:val="center"/>
          </w:tcPr>
          <w:p w14:paraId="371F09A4" w14:textId="6305043D" w:rsidR="0097127B" w:rsidRPr="00A45FC7" w:rsidRDefault="0097127B" w:rsidP="00C058ED">
            <w:pPr>
              <w:pStyle w:val="CETBodytext"/>
              <w:jc w:val="left"/>
              <w:rPr>
                <w:rFonts w:cs="Arial"/>
                <w:szCs w:val="18"/>
                <w:lang w:val="en-GB"/>
              </w:rPr>
            </w:pPr>
            <w:r>
              <w:rPr>
                <w:rFonts w:cs="Arial"/>
                <w:szCs w:val="18"/>
                <w:lang w:val="en-GB"/>
              </w:rPr>
              <w:t>T</w:t>
            </w:r>
            <w:r w:rsidRPr="00C058ED">
              <w:rPr>
                <w:rFonts w:cs="Arial"/>
                <w:szCs w:val="18"/>
                <w:lang w:val="en-GB"/>
              </w:rPr>
              <w:t>emperature</w:t>
            </w:r>
            <w:r w:rsidRPr="00A45FC7">
              <w:rPr>
                <w:rFonts w:cs="Arial"/>
                <w:szCs w:val="18"/>
                <w:lang w:val="en-GB"/>
              </w:rPr>
              <w:t xml:space="preserve"> (°C</w:t>
            </w:r>
            <w:r>
              <w:rPr>
                <w:rFonts w:cs="Arial"/>
                <w:szCs w:val="18"/>
                <w:lang w:val="en-GB"/>
              </w:rPr>
              <w:t>)</w:t>
            </w:r>
          </w:p>
        </w:tc>
        <w:tc>
          <w:tcPr>
            <w:tcW w:w="2275" w:type="dxa"/>
            <w:shd w:val="clear" w:color="auto" w:fill="FFFFFF"/>
            <w:vAlign w:val="center"/>
          </w:tcPr>
          <w:p w14:paraId="3CC1BC02" w14:textId="61C93599" w:rsidR="0097127B" w:rsidRPr="00A45FC7" w:rsidRDefault="0097127B" w:rsidP="00C058ED">
            <w:pPr>
              <w:pStyle w:val="CETBodytext"/>
              <w:jc w:val="center"/>
              <w:rPr>
                <w:rFonts w:cs="Arial"/>
                <w:szCs w:val="18"/>
                <w:lang w:val="en-GB"/>
              </w:rPr>
            </w:pPr>
            <w:r w:rsidRPr="00C058ED">
              <w:rPr>
                <w:rFonts w:cs="Arial"/>
                <w:szCs w:val="18"/>
                <w:lang w:val="en-GB"/>
              </w:rPr>
              <w:t>Pearson correlation</w:t>
            </w:r>
          </w:p>
        </w:tc>
        <w:tc>
          <w:tcPr>
            <w:tcW w:w="1515" w:type="dxa"/>
            <w:shd w:val="clear" w:color="auto" w:fill="FFFFFF"/>
            <w:vAlign w:val="center"/>
          </w:tcPr>
          <w:p w14:paraId="62AC93E3"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11B269B9"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048E9429" w14:textId="086AB66D" w:rsidR="0097127B" w:rsidRPr="00A45FC7" w:rsidRDefault="0097127B" w:rsidP="00C058ED">
            <w:pPr>
              <w:pStyle w:val="CETBodytext"/>
              <w:jc w:val="center"/>
              <w:rPr>
                <w:rFonts w:cs="Arial"/>
                <w:szCs w:val="18"/>
                <w:lang w:val="en-GB"/>
              </w:rPr>
            </w:pPr>
            <w:r w:rsidRPr="00A45FC7">
              <w:rPr>
                <w:rFonts w:cs="Arial"/>
                <w:szCs w:val="18"/>
                <w:lang w:val="en-GB"/>
              </w:rPr>
              <w:t>1</w:t>
            </w:r>
          </w:p>
        </w:tc>
      </w:tr>
      <w:tr w:rsidR="0097127B" w:rsidRPr="00A45FC7" w14:paraId="46A5A0D1" w14:textId="77777777" w:rsidTr="0097127B">
        <w:trPr>
          <w:trHeight w:val="207"/>
        </w:trPr>
        <w:tc>
          <w:tcPr>
            <w:tcW w:w="1597" w:type="dxa"/>
            <w:vMerge/>
            <w:shd w:val="clear" w:color="auto" w:fill="FFFFFF"/>
            <w:vAlign w:val="center"/>
          </w:tcPr>
          <w:p w14:paraId="598AE2FB" w14:textId="77777777" w:rsidR="0097127B" w:rsidRPr="00A45FC7" w:rsidRDefault="0097127B" w:rsidP="00C058ED">
            <w:pPr>
              <w:pStyle w:val="CETBodytext"/>
              <w:rPr>
                <w:rFonts w:cs="Arial"/>
                <w:szCs w:val="18"/>
                <w:lang w:val="en-GB"/>
              </w:rPr>
            </w:pPr>
          </w:p>
        </w:tc>
        <w:tc>
          <w:tcPr>
            <w:tcW w:w="2275" w:type="dxa"/>
            <w:shd w:val="clear" w:color="auto" w:fill="FFFFFF"/>
            <w:vAlign w:val="center"/>
          </w:tcPr>
          <w:p w14:paraId="40328E53" w14:textId="36A979C5" w:rsidR="0097127B" w:rsidRPr="00A45FC7" w:rsidRDefault="0097127B" w:rsidP="00C058ED">
            <w:pPr>
              <w:pStyle w:val="CETBodytext"/>
              <w:jc w:val="center"/>
              <w:rPr>
                <w:rFonts w:cs="Arial"/>
                <w:szCs w:val="18"/>
                <w:lang w:val="en-GB"/>
              </w:rPr>
            </w:pPr>
            <w:r w:rsidRPr="00A45FC7">
              <w:rPr>
                <w:rFonts w:cs="Arial"/>
                <w:szCs w:val="18"/>
                <w:lang w:val="en-GB"/>
              </w:rPr>
              <w:t>sig. (bilateral)</w:t>
            </w:r>
          </w:p>
        </w:tc>
        <w:tc>
          <w:tcPr>
            <w:tcW w:w="1515" w:type="dxa"/>
            <w:shd w:val="clear" w:color="auto" w:fill="FFFFFF"/>
            <w:vAlign w:val="center"/>
          </w:tcPr>
          <w:p w14:paraId="622CF485"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71AD797D"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271AB52F" w14:textId="77777777" w:rsidR="0097127B" w:rsidRPr="00A45FC7" w:rsidRDefault="0097127B" w:rsidP="00C058ED">
            <w:pPr>
              <w:pStyle w:val="CETBodytext"/>
              <w:jc w:val="center"/>
              <w:rPr>
                <w:rFonts w:cs="Arial"/>
                <w:szCs w:val="18"/>
                <w:lang w:val="en-GB"/>
              </w:rPr>
            </w:pPr>
          </w:p>
        </w:tc>
      </w:tr>
      <w:tr w:rsidR="0097127B" w:rsidRPr="00A45FC7" w14:paraId="5B784339" w14:textId="77777777" w:rsidTr="0097127B">
        <w:trPr>
          <w:trHeight w:val="207"/>
        </w:trPr>
        <w:tc>
          <w:tcPr>
            <w:tcW w:w="1597" w:type="dxa"/>
            <w:vMerge/>
            <w:shd w:val="clear" w:color="auto" w:fill="FFFFFF"/>
            <w:vAlign w:val="center"/>
          </w:tcPr>
          <w:p w14:paraId="30D67AB9" w14:textId="77777777" w:rsidR="0097127B" w:rsidRPr="00A45FC7" w:rsidRDefault="0097127B" w:rsidP="00C058ED">
            <w:pPr>
              <w:pStyle w:val="CETBodytext"/>
              <w:rPr>
                <w:rFonts w:cs="Arial"/>
                <w:szCs w:val="18"/>
                <w:lang w:val="en-GB"/>
              </w:rPr>
            </w:pPr>
          </w:p>
        </w:tc>
        <w:tc>
          <w:tcPr>
            <w:tcW w:w="2275" w:type="dxa"/>
            <w:shd w:val="clear" w:color="auto" w:fill="FFFFFF"/>
            <w:vAlign w:val="center"/>
          </w:tcPr>
          <w:p w14:paraId="2F2ED28A" w14:textId="1EB15B3A" w:rsidR="0097127B" w:rsidRPr="00A45FC7" w:rsidRDefault="0097127B" w:rsidP="00C058ED">
            <w:pPr>
              <w:pStyle w:val="CETBodytext"/>
              <w:jc w:val="center"/>
              <w:rPr>
                <w:rFonts w:cs="Arial"/>
                <w:szCs w:val="18"/>
                <w:lang w:val="en-GB"/>
              </w:rPr>
            </w:pPr>
            <w:r w:rsidRPr="00A45FC7">
              <w:rPr>
                <w:rFonts w:cs="Arial"/>
                <w:szCs w:val="18"/>
                <w:lang w:val="en-GB"/>
              </w:rPr>
              <w:t>N</w:t>
            </w:r>
          </w:p>
        </w:tc>
        <w:tc>
          <w:tcPr>
            <w:tcW w:w="1515" w:type="dxa"/>
            <w:shd w:val="clear" w:color="auto" w:fill="FFFFFF"/>
            <w:vAlign w:val="center"/>
          </w:tcPr>
          <w:p w14:paraId="3AC4144D"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0F4BB2C1" w14:textId="77777777" w:rsidR="0097127B" w:rsidRPr="00A45FC7" w:rsidRDefault="0097127B" w:rsidP="00C058ED">
            <w:pPr>
              <w:pStyle w:val="CETBodytext"/>
              <w:jc w:val="center"/>
              <w:rPr>
                <w:rFonts w:cs="Arial"/>
                <w:szCs w:val="18"/>
                <w:lang w:val="en-GB"/>
              </w:rPr>
            </w:pPr>
          </w:p>
        </w:tc>
        <w:tc>
          <w:tcPr>
            <w:tcW w:w="1384" w:type="dxa"/>
            <w:shd w:val="clear" w:color="auto" w:fill="FFFFFF"/>
            <w:vAlign w:val="center"/>
          </w:tcPr>
          <w:p w14:paraId="6615555A" w14:textId="375546EB" w:rsidR="0097127B" w:rsidRPr="00A45FC7" w:rsidRDefault="0097127B" w:rsidP="00C058ED">
            <w:pPr>
              <w:pStyle w:val="CETBodytext"/>
              <w:jc w:val="center"/>
              <w:rPr>
                <w:rFonts w:cs="Arial"/>
                <w:szCs w:val="18"/>
                <w:lang w:val="en-GB"/>
              </w:rPr>
            </w:pPr>
            <w:r w:rsidRPr="00A45FC7">
              <w:rPr>
                <w:rFonts w:cs="Arial"/>
                <w:szCs w:val="18"/>
                <w:lang w:val="en-GB"/>
              </w:rPr>
              <w:t>92</w:t>
            </w:r>
          </w:p>
        </w:tc>
      </w:tr>
    </w:tbl>
    <w:p w14:paraId="4A42E7BD" w14:textId="77777777" w:rsidR="00C058ED" w:rsidRDefault="00C058ED" w:rsidP="003E6DBE">
      <w:pPr>
        <w:pStyle w:val="CETBodytext"/>
        <w:rPr>
          <w:lang w:val="en-GB"/>
        </w:rPr>
      </w:pPr>
    </w:p>
    <w:bookmarkEnd w:id="3"/>
    <w:p w14:paraId="43BB9233" w14:textId="4FC48965" w:rsidR="00817C8A" w:rsidRPr="00C058ED" w:rsidRDefault="00BB4031" w:rsidP="003E6DBE">
      <w:pPr>
        <w:pStyle w:val="CETBodytext"/>
        <w:rPr>
          <w:b/>
          <w:bCs/>
          <w:lang w:val="en-GB"/>
        </w:rPr>
      </w:pPr>
      <w:r w:rsidRPr="00C058ED">
        <w:rPr>
          <w:b/>
          <w:bCs/>
          <w:lang w:val="en-GB"/>
        </w:rPr>
        <w:t xml:space="preserve">3.4. </w:t>
      </w:r>
      <w:r w:rsidR="00C058ED" w:rsidRPr="00C058ED">
        <w:rPr>
          <w:b/>
          <w:bCs/>
          <w:lang w:val="en-GB"/>
        </w:rPr>
        <w:t>Comparison of water collection between pentahedral fog catcher and traditional design</w:t>
      </w:r>
    </w:p>
    <w:p w14:paraId="7F3A019E" w14:textId="77777777" w:rsidR="00BB4031" w:rsidRPr="00A45FC7" w:rsidRDefault="00BB4031" w:rsidP="003E6DBE">
      <w:pPr>
        <w:pStyle w:val="CETBodytext"/>
        <w:rPr>
          <w:lang w:val="en-GB"/>
        </w:rPr>
      </w:pPr>
    </w:p>
    <w:p w14:paraId="1313F28A" w14:textId="64C9C72C" w:rsidR="00817C8A" w:rsidRPr="00A45FC7" w:rsidRDefault="003257FE" w:rsidP="003E6DBE">
      <w:pPr>
        <w:pStyle w:val="CETBodytext"/>
        <w:rPr>
          <w:lang w:val="en-GB"/>
        </w:rPr>
      </w:pPr>
      <w:r>
        <w:rPr>
          <w:lang w:val="en-GB"/>
        </w:rPr>
        <w:t>T</w:t>
      </w:r>
      <w:r w:rsidR="00C058ED" w:rsidRPr="00C058ED">
        <w:rPr>
          <w:lang w:val="en-GB"/>
        </w:rPr>
        <w:t>he pentahedral design, it differed from the traditional model by using five panels joined under a single vertex, the efficiency was superior to the traditional single-panel design as seen in Table 4. After reviewing the scientific literature, no similar design has been found. In this regard, research carried out has tested "V" and concave designs, achieving aerodynamic efficiency and water collection. These designs can be improved with the geometry of the mesh and shading coefficient (Elshennawy et al., 2023), using microfiber grid types (Huang, Zhang, LI, 2024), as well as improving the chemistry and structure of the mesh surfaces (Lee et al., 2021).</w:t>
      </w:r>
    </w:p>
    <w:p w14:paraId="4CFDDA30" w14:textId="70862522" w:rsidR="00BB4031" w:rsidRPr="00A45FC7" w:rsidRDefault="00BB4031" w:rsidP="00BB4031">
      <w:pPr>
        <w:pStyle w:val="CETTabletitle"/>
      </w:pPr>
      <w:bookmarkStart w:id="4" w:name="_Hlk190624802"/>
      <w:r w:rsidRPr="00A45FC7">
        <w:lastRenderedPageBreak/>
        <w:t xml:space="preserve">Table 4: </w:t>
      </w:r>
      <w:r w:rsidR="00C058ED" w:rsidRPr="00C058ED">
        <w:t>Volume of water captured by pentahedral and traditional fog catchers</w:t>
      </w:r>
    </w:p>
    <w:tbl>
      <w:tblPr>
        <w:tblW w:w="0" w:type="auto"/>
        <w:tblBorders>
          <w:top w:val="single" w:sz="12" w:space="0" w:color="008000"/>
          <w:bottom w:val="single" w:sz="12" w:space="0" w:color="008000"/>
          <w:insideH w:val="single" w:sz="4" w:space="0" w:color="008000"/>
        </w:tblBorders>
        <w:shd w:val="clear" w:color="auto" w:fill="FFFFFF"/>
        <w:tblCellMar>
          <w:left w:w="0" w:type="dxa"/>
          <w:right w:w="0" w:type="dxa"/>
        </w:tblCellMar>
        <w:tblLook w:val="00A0" w:firstRow="1" w:lastRow="0" w:firstColumn="1" w:lastColumn="0" w:noHBand="0" w:noVBand="0"/>
      </w:tblPr>
      <w:tblGrid>
        <w:gridCol w:w="2695"/>
        <w:gridCol w:w="2449"/>
        <w:gridCol w:w="1929"/>
      </w:tblGrid>
      <w:tr w:rsidR="00BB4031" w:rsidRPr="00A45FC7" w14:paraId="32D21CC6" w14:textId="77777777" w:rsidTr="003257FE">
        <w:trPr>
          <w:trHeight w:val="449"/>
        </w:trPr>
        <w:tc>
          <w:tcPr>
            <w:tcW w:w="2695" w:type="dxa"/>
            <w:shd w:val="clear" w:color="auto" w:fill="FFFFFF"/>
            <w:vAlign w:val="center"/>
          </w:tcPr>
          <w:p w14:paraId="41A8413F" w14:textId="77777777" w:rsidR="00BB4031" w:rsidRPr="00A45FC7" w:rsidRDefault="00BB4031" w:rsidP="0076547A">
            <w:pPr>
              <w:pStyle w:val="CETBodytext"/>
              <w:rPr>
                <w:rFonts w:cs="Arial"/>
                <w:szCs w:val="18"/>
                <w:lang w:val="en-GB"/>
              </w:rPr>
            </w:pPr>
          </w:p>
        </w:tc>
        <w:tc>
          <w:tcPr>
            <w:tcW w:w="2449" w:type="dxa"/>
            <w:shd w:val="clear" w:color="auto" w:fill="FFFFFF"/>
            <w:vAlign w:val="center"/>
          </w:tcPr>
          <w:p w14:paraId="07B700D4" w14:textId="531B17BB" w:rsidR="00BB4031" w:rsidRPr="00A45FC7" w:rsidRDefault="00C058ED" w:rsidP="00C058ED">
            <w:pPr>
              <w:pStyle w:val="CETBodytext"/>
              <w:jc w:val="left"/>
              <w:rPr>
                <w:rFonts w:cs="Arial"/>
                <w:szCs w:val="18"/>
                <w:lang w:val="en-GB"/>
              </w:rPr>
            </w:pPr>
            <w:r w:rsidRPr="00C058ED">
              <w:rPr>
                <w:rFonts w:cs="Arial"/>
                <w:szCs w:val="18"/>
                <w:lang w:val="en-GB"/>
              </w:rPr>
              <w:t>Pentahedral fog catcher (5 panels)</w:t>
            </w:r>
          </w:p>
        </w:tc>
        <w:tc>
          <w:tcPr>
            <w:tcW w:w="1929" w:type="dxa"/>
            <w:shd w:val="clear" w:color="auto" w:fill="FFFFFF"/>
            <w:vAlign w:val="center"/>
          </w:tcPr>
          <w:p w14:paraId="12A780E3" w14:textId="75E7325F" w:rsidR="00BB4031" w:rsidRPr="00A45FC7" w:rsidRDefault="00C058ED" w:rsidP="0076547A">
            <w:pPr>
              <w:pStyle w:val="CETBodytext"/>
              <w:jc w:val="left"/>
              <w:rPr>
                <w:rFonts w:cs="Arial"/>
                <w:szCs w:val="18"/>
                <w:lang w:val="en-GB"/>
              </w:rPr>
            </w:pPr>
            <w:r w:rsidRPr="00C058ED">
              <w:rPr>
                <w:rFonts w:cs="Arial"/>
                <w:szCs w:val="18"/>
                <w:lang w:val="en-GB"/>
              </w:rPr>
              <w:t>Traditional fog catcher (single panel)</w:t>
            </w:r>
          </w:p>
        </w:tc>
      </w:tr>
      <w:tr w:rsidR="00BB4031" w:rsidRPr="00A45FC7" w14:paraId="5623BF89" w14:textId="77777777" w:rsidTr="003257FE">
        <w:trPr>
          <w:trHeight w:val="449"/>
        </w:trPr>
        <w:tc>
          <w:tcPr>
            <w:tcW w:w="2695" w:type="dxa"/>
            <w:shd w:val="clear" w:color="auto" w:fill="FFFFFF"/>
            <w:vAlign w:val="center"/>
          </w:tcPr>
          <w:p w14:paraId="52F764BB" w14:textId="50FF410E" w:rsidR="00BB4031" w:rsidRPr="00A45FC7" w:rsidRDefault="00C058ED" w:rsidP="0076547A">
            <w:pPr>
              <w:pStyle w:val="CETBodytext"/>
              <w:rPr>
                <w:rFonts w:cs="Arial"/>
                <w:szCs w:val="18"/>
                <w:lang w:val="en-GB"/>
              </w:rPr>
            </w:pPr>
            <w:r w:rsidRPr="0019055B">
              <w:rPr>
                <w:szCs w:val="18"/>
                <w:lang w:val="en-GB"/>
              </w:rPr>
              <w:t>Volume of water captured (L)</w:t>
            </w:r>
          </w:p>
        </w:tc>
        <w:tc>
          <w:tcPr>
            <w:tcW w:w="2449" w:type="dxa"/>
            <w:shd w:val="clear" w:color="auto" w:fill="FFFFFF"/>
            <w:vAlign w:val="center"/>
          </w:tcPr>
          <w:p w14:paraId="6E5A4E2B" w14:textId="4CF7B4B9" w:rsidR="00BB4031" w:rsidRPr="00A45FC7" w:rsidRDefault="00BB4031" w:rsidP="0076547A">
            <w:pPr>
              <w:pStyle w:val="CETBodytext"/>
              <w:jc w:val="left"/>
              <w:rPr>
                <w:rFonts w:cs="Arial"/>
                <w:szCs w:val="18"/>
                <w:lang w:val="en-GB"/>
              </w:rPr>
            </w:pPr>
            <w:r w:rsidRPr="00A45FC7">
              <w:rPr>
                <w:rFonts w:cs="Arial"/>
                <w:szCs w:val="18"/>
                <w:lang w:val="en-GB"/>
              </w:rPr>
              <w:t>1</w:t>
            </w:r>
            <w:r w:rsidR="0017420F">
              <w:rPr>
                <w:rFonts w:cs="Arial"/>
                <w:szCs w:val="18"/>
                <w:lang w:val="en-GB"/>
              </w:rPr>
              <w:t>88</w:t>
            </w:r>
            <w:r w:rsidRPr="00A45FC7">
              <w:rPr>
                <w:rFonts w:cs="Arial"/>
                <w:szCs w:val="18"/>
                <w:lang w:val="en-GB"/>
              </w:rPr>
              <w:t>.</w:t>
            </w:r>
            <w:r w:rsidR="0017420F">
              <w:rPr>
                <w:rFonts w:cs="Arial"/>
                <w:szCs w:val="18"/>
                <w:lang w:val="en-GB"/>
              </w:rPr>
              <w:t>00</w:t>
            </w:r>
          </w:p>
        </w:tc>
        <w:tc>
          <w:tcPr>
            <w:tcW w:w="1929" w:type="dxa"/>
            <w:shd w:val="clear" w:color="auto" w:fill="FFFFFF"/>
            <w:vAlign w:val="center"/>
          </w:tcPr>
          <w:p w14:paraId="1975C56E" w14:textId="6E152F67" w:rsidR="00BB4031" w:rsidRPr="00A45FC7" w:rsidRDefault="00BB4031" w:rsidP="0076547A">
            <w:pPr>
              <w:pStyle w:val="CETBodytext"/>
              <w:jc w:val="left"/>
              <w:rPr>
                <w:rFonts w:cs="Arial"/>
                <w:szCs w:val="18"/>
                <w:lang w:val="en-GB"/>
              </w:rPr>
            </w:pPr>
            <w:r w:rsidRPr="00A45FC7">
              <w:rPr>
                <w:rFonts w:cs="Arial"/>
                <w:szCs w:val="18"/>
                <w:lang w:val="en-GB"/>
              </w:rPr>
              <w:t>34.56</w:t>
            </w:r>
          </w:p>
        </w:tc>
      </w:tr>
      <w:tr w:rsidR="003257FE" w:rsidRPr="00A45FC7" w14:paraId="4BAD2DDC" w14:textId="77777777" w:rsidTr="003257FE">
        <w:trPr>
          <w:trHeight w:val="449"/>
        </w:trPr>
        <w:tc>
          <w:tcPr>
            <w:tcW w:w="2695" w:type="dxa"/>
            <w:shd w:val="clear" w:color="auto" w:fill="FFFFFF"/>
            <w:vAlign w:val="center"/>
          </w:tcPr>
          <w:p w14:paraId="36E82CDD" w14:textId="06F4A15E" w:rsidR="003257FE" w:rsidRPr="003257FE" w:rsidRDefault="003257FE" w:rsidP="0076547A">
            <w:pPr>
              <w:pStyle w:val="CETBodytext"/>
              <w:rPr>
                <w:szCs w:val="18"/>
                <w:lang w:val="en-GB"/>
              </w:rPr>
            </w:pPr>
            <w:r w:rsidRPr="003257FE">
              <w:rPr>
                <w:szCs w:val="18"/>
                <w:lang w:val="en-GB"/>
              </w:rPr>
              <w:t>Fog catcher capture area (m</w:t>
            </w:r>
            <w:r w:rsidRPr="003257FE">
              <w:rPr>
                <w:szCs w:val="18"/>
                <w:vertAlign w:val="superscript"/>
                <w:lang w:val="en-GB"/>
              </w:rPr>
              <w:t>2</w:t>
            </w:r>
            <w:r w:rsidRPr="003257FE">
              <w:rPr>
                <w:szCs w:val="18"/>
                <w:lang w:val="en-GB"/>
              </w:rPr>
              <w:t>)</w:t>
            </w:r>
          </w:p>
        </w:tc>
        <w:tc>
          <w:tcPr>
            <w:tcW w:w="2449" w:type="dxa"/>
            <w:shd w:val="clear" w:color="auto" w:fill="FFFFFF"/>
            <w:vAlign w:val="center"/>
          </w:tcPr>
          <w:p w14:paraId="040DDB8D" w14:textId="35A38C5E" w:rsidR="003257FE" w:rsidRPr="00A45FC7" w:rsidRDefault="003257FE" w:rsidP="0076547A">
            <w:pPr>
              <w:pStyle w:val="CETBodytext"/>
              <w:jc w:val="left"/>
              <w:rPr>
                <w:rFonts w:cs="Arial"/>
                <w:szCs w:val="18"/>
                <w:lang w:val="en-GB"/>
              </w:rPr>
            </w:pPr>
            <w:r>
              <w:rPr>
                <w:rFonts w:cs="Arial"/>
                <w:szCs w:val="18"/>
                <w:lang w:val="en-GB"/>
              </w:rPr>
              <w:t xml:space="preserve">45 </w:t>
            </w:r>
          </w:p>
        </w:tc>
        <w:tc>
          <w:tcPr>
            <w:tcW w:w="1929" w:type="dxa"/>
            <w:shd w:val="clear" w:color="auto" w:fill="FFFFFF"/>
            <w:vAlign w:val="center"/>
          </w:tcPr>
          <w:p w14:paraId="22AC6BB8" w14:textId="5E4CCD69" w:rsidR="003257FE" w:rsidRPr="00A45FC7" w:rsidRDefault="003257FE" w:rsidP="0076547A">
            <w:pPr>
              <w:pStyle w:val="CETBodytext"/>
              <w:jc w:val="left"/>
              <w:rPr>
                <w:rFonts w:cs="Arial"/>
                <w:szCs w:val="18"/>
                <w:lang w:val="en-GB"/>
              </w:rPr>
            </w:pPr>
            <w:r>
              <w:rPr>
                <w:rFonts w:cs="Arial"/>
                <w:szCs w:val="18"/>
                <w:lang w:val="en-GB"/>
              </w:rPr>
              <w:t>9</w:t>
            </w:r>
          </w:p>
        </w:tc>
      </w:tr>
      <w:tr w:rsidR="003257FE" w:rsidRPr="00A45FC7" w14:paraId="5ED9D1B2" w14:textId="77777777" w:rsidTr="003257FE">
        <w:trPr>
          <w:trHeight w:val="449"/>
        </w:trPr>
        <w:tc>
          <w:tcPr>
            <w:tcW w:w="2695" w:type="dxa"/>
            <w:shd w:val="clear" w:color="auto" w:fill="FFFFFF"/>
            <w:vAlign w:val="center"/>
          </w:tcPr>
          <w:p w14:paraId="37299F43" w14:textId="42DECFFE" w:rsidR="003257FE" w:rsidRPr="003257FE" w:rsidRDefault="003257FE" w:rsidP="0076547A">
            <w:pPr>
              <w:pStyle w:val="CETBodytext"/>
              <w:rPr>
                <w:szCs w:val="18"/>
                <w:lang w:val="en-GB"/>
              </w:rPr>
            </w:pPr>
            <w:r w:rsidRPr="003257FE">
              <w:rPr>
                <w:szCs w:val="18"/>
                <w:lang w:val="en-GB"/>
              </w:rPr>
              <w:t>Water capture index (L/m</w:t>
            </w:r>
            <w:r w:rsidRPr="003257FE">
              <w:rPr>
                <w:szCs w:val="18"/>
                <w:vertAlign w:val="superscript"/>
                <w:lang w:val="en-GB"/>
              </w:rPr>
              <w:t>2</w:t>
            </w:r>
            <w:r w:rsidRPr="003257FE">
              <w:rPr>
                <w:szCs w:val="18"/>
                <w:lang w:val="en-GB"/>
              </w:rPr>
              <w:t>)</w:t>
            </w:r>
          </w:p>
        </w:tc>
        <w:tc>
          <w:tcPr>
            <w:tcW w:w="2449" w:type="dxa"/>
            <w:shd w:val="clear" w:color="auto" w:fill="FFFFFF"/>
            <w:vAlign w:val="center"/>
          </w:tcPr>
          <w:p w14:paraId="52CF9173" w14:textId="1136857C" w:rsidR="003257FE" w:rsidRDefault="003257FE" w:rsidP="0076547A">
            <w:pPr>
              <w:pStyle w:val="CETBodytext"/>
              <w:jc w:val="left"/>
              <w:rPr>
                <w:rFonts w:cs="Arial"/>
                <w:szCs w:val="18"/>
                <w:lang w:val="en-GB"/>
              </w:rPr>
            </w:pPr>
            <w:r>
              <w:rPr>
                <w:rFonts w:cs="Arial"/>
                <w:szCs w:val="18"/>
                <w:lang w:val="en-GB"/>
              </w:rPr>
              <w:t xml:space="preserve">4.17 </w:t>
            </w:r>
          </w:p>
        </w:tc>
        <w:tc>
          <w:tcPr>
            <w:tcW w:w="1929" w:type="dxa"/>
            <w:shd w:val="clear" w:color="auto" w:fill="FFFFFF"/>
            <w:vAlign w:val="center"/>
          </w:tcPr>
          <w:p w14:paraId="000BC6E4" w14:textId="156763BC" w:rsidR="003257FE" w:rsidRDefault="003257FE" w:rsidP="0076547A">
            <w:pPr>
              <w:pStyle w:val="CETBodytext"/>
              <w:jc w:val="left"/>
              <w:rPr>
                <w:rFonts w:cs="Arial"/>
                <w:szCs w:val="18"/>
                <w:lang w:val="en-GB"/>
              </w:rPr>
            </w:pPr>
            <w:r>
              <w:rPr>
                <w:rFonts w:cs="Arial"/>
                <w:szCs w:val="18"/>
                <w:lang w:val="en-GB"/>
              </w:rPr>
              <w:t>3.84</w:t>
            </w:r>
          </w:p>
        </w:tc>
      </w:tr>
    </w:tbl>
    <w:p w14:paraId="6D59FF0E" w14:textId="47E26FF8" w:rsidR="00ED3B4A" w:rsidRPr="00A45FC7" w:rsidRDefault="00ED3B4A" w:rsidP="00ED3B4A">
      <w:pPr>
        <w:pStyle w:val="CETBodytext"/>
        <w:rPr>
          <w:lang w:val="en-GB"/>
        </w:rPr>
      </w:pPr>
      <w:r w:rsidRPr="00A45FC7">
        <w:rPr>
          <w:lang w:val="en-GB"/>
        </w:rPr>
        <w:t xml:space="preserve"> </w:t>
      </w:r>
    </w:p>
    <w:bookmarkEnd w:id="4"/>
    <w:p w14:paraId="5741900F" w14:textId="2C5A389E" w:rsidR="00453E24" w:rsidRPr="00A45FC7" w:rsidRDefault="00904477" w:rsidP="00453E24">
      <w:pPr>
        <w:pStyle w:val="CETHeading1"/>
        <w:rPr>
          <w:lang w:val="en-GB"/>
        </w:rPr>
      </w:pPr>
      <w:r w:rsidRPr="00A45FC7">
        <w:rPr>
          <w:lang w:val="en-GB"/>
        </w:rPr>
        <w:t>Conclusi</w:t>
      </w:r>
      <w:r w:rsidR="00C058ED">
        <w:rPr>
          <w:lang w:val="en-GB"/>
        </w:rPr>
        <w:t>o</w:t>
      </w:r>
      <w:r w:rsidRPr="00A45FC7">
        <w:rPr>
          <w:lang w:val="en-GB"/>
        </w:rPr>
        <w:t>n</w:t>
      </w:r>
    </w:p>
    <w:p w14:paraId="2EFF8F6D" w14:textId="71489CD5" w:rsidR="003123C6" w:rsidRPr="00A45FC7" w:rsidRDefault="00C058ED" w:rsidP="003123C6">
      <w:pPr>
        <w:pStyle w:val="CETBodytext"/>
        <w:rPr>
          <w:lang w:val="en-GB"/>
        </w:rPr>
      </w:pPr>
      <w:r w:rsidRPr="00C058ED">
        <w:rPr>
          <w:lang w:val="en-GB"/>
        </w:rPr>
        <w:t>It was established that the pentahedral fog-catching design is efficient for capturing water from fog, obtaining an average of 1</w:t>
      </w:r>
      <w:r w:rsidR="0017420F">
        <w:rPr>
          <w:lang w:val="en-GB"/>
        </w:rPr>
        <w:t>88</w:t>
      </w:r>
      <w:r w:rsidRPr="00C058ED">
        <w:rPr>
          <w:lang w:val="en-GB"/>
        </w:rPr>
        <w:t xml:space="preserve"> L/day, more than 400% higher than the volume of water captured by a traditional single-panel model, under the same meteorological conditions and in the same place; this is due to its larger capture area and arrangement of the panels at different orientations to receive the variations of the wind with the fog. It is thus demonstrated that the pentahedral design is an alternative design to improve the obtaining of water from fog through fog-catching systems in arid areas, taking advantage of favourable environmental conditions. It is an alternative to achieve an improvement in the quality of life of populations and at a low cost, in an environmentally sustainable way.</w:t>
      </w:r>
    </w:p>
    <w:p w14:paraId="459D05E6" w14:textId="77777777" w:rsidR="00600535" w:rsidRPr="00A45FC7" w:rsidRDefault="00600535" w:rsidP="00600535">
      <w:pPr>
        <w:pStyle w:val="CETAcknowledgementstitle"/>
      </w:pPr>
      <w:r w:rsidRPr="00A45FC7">
        <w:t>Acknowledgments</w:t>
      </w:r>
    </w:p>
    <w:p w14:paraId="2C480E65" w14:textId="77777777" w:rsidR="00457E24" w:rsidRDefault="00457E24" w:rsidP="00600535">
      <w:pPr>
        <w:pStyle w:val="CETReference"/>
        <w:rPr>
          <w:b w:val="0"/>
        </w:rPr>
      </w:pPr>
      <w:bookmarkStart w:id="5" w:name="_Hlk190624854"/>
      <w:r w:rsidRPr="00457E24">
        <w:rPr>
          <w:b w:val="0"/>
        </w:rPr>
        <w:t>The authors and the GITA Research Group would like to thank César Vallejo University for financial support for the publication of this research.</w:t>
      </w:r>
    </w:p>
    <w:p w14:paraId="4F1327F8" w14:textId="3A13FFC5" w:rsidR="00600535" w:rsidRPr="00B57B36" w:rsidRDefault="00600535" w:rsidP="00600535">
      <w:pPr>
        <w:pStyle w:val="CETReference"/>
      </w:pPr>
      <w:r w:rsidRPr="00B57B36">
        <w:t>References</w:t>
      </w:r>
    </w:p>
    <w:bookmarkEnd w:id="5"/>
    <w:p w14:paraId="118A7117" w14:textId="21BA92A1" w:rsidR="001D181B" w:rsidRPr="00026A50" w:rsidRDefault="001D181B" w:rsidP="00026A50">
      <w:pPr>
        <w:pStyle w:val="CETReferencetext"/>
      </w:pPr>
      <w:r w:rsidRPr="00026A50">
        <w:t xml:space="preserve">Alwarthan A., Alaskar S., Mulhim A., Hammad M., Rubayan K., Alofaisan O., 2024, Novel Approach on Utilizing Reverse Osmosis Rejected Saline Stream for Mangrove Trees Restoration &amp; Water Conservation Management, SPE International Health, Safety, Environment and Sustainability Conference and Exhibition, HSE 2024, Abu Dhabi, Conference Proceedings, </w:t>
      </w:r>
      <w:r w:rsidR="000E1BDD" w:rsidRPr="00026A50">
        <w:t>&lt;doi.org/</w:t>
      </w:r>
      <w:r w:rsidRPr="00026A50">
        <w:t>10.2118/220350-MS.</w:t>
      </w:r>
      <w:r w:rsidR="000E1BDD" w:rsidRPr="00026A50">
        <w:t>&gt;</w:t>
      </w:r>
    </w:p>
    <w:p w14:paraId="0721481D" w14:textId="7EA6A525" w:rsidR="001D181B" w:rsidRPr="00026A50" w:rsidRDefault="001D181B" w:rsidP="00026A50">
      <w:pPr>
        <w:pStyle w:val="CETReferencetext"/>
      </w:pPr>
      <w:r w:rsidRPr="00026A50">
        <w:t xml:space="preserve">Arce A. y Pfister Y., 2016, Dealing with uncertainty in water scarcity footprints, Environmental Research Letters, 11, Issue 5, </w:t>
      </w:r>
      <w:r w:rsidR="000E1BDD" w:rsidRPr="00026A50">
        <w:t>&lt;doi.org/</w:t>
      </w:r>
      <w:r w:rsidRPr="00026A50">
        <w:t>10.1088/1748-9326/11/5/054008.</w:t>
      </w:r>
      <w:r w:rsidR="000E1BDD" w:rsidRPr="00026A50">
        <w:t>&gt;</w:t>
      </w:r>
    </w:p>
    <w:p w14:paraId="22D84253" w14:textId="7611C387" w:rsidR="001D181B" w:rsidRPr="00026A50" w:rsidRDefault="001D181B" w:rsidP="00026A50">
      <w:pPr>
        <w:pStyle w:val="CETReferencetext"/>
      </w:pPr>
      <w:r w:rsidRPr="00026A50">
        <w:t xml:space="preserve">Arce J. E., Ardila H., Mena N., Rojas, G. A., &amp; Delgado F., 2023, Pilot fog trapping system for water harvesting on hills guarded by the Colombian Air Force, [in Spanish], </w:t>
      </w:r>
      <w:r w:rsidR="000E1BDD" w:rsidRPr="00026A50">
        <w:t>International Meeting on Engineering Education</w:t>
      </w:r>
      <w:r w:rsidRPr="00026A50">
        <w:t xml:space="preserve"> ACOFI. &lt;doi.org/10.26507/paper.2998&gt;.</w:t>
      </w:r>
    </w:p>
    <w:p w14:paraId="5D75300F" w14:textId="4AF91582" w:rsidR="001D181B" w:rsidRPr="00026A50" w:rsidRDefault="001D181B" w:rsidP="00026A50">
      <w:pPr>
        <w:pStyle w:val="CETReferencetext"/>
      </w:pPr>
      <w:r w:rsidRPr="00026A50">
        <w:t>Bell S., 2015, Water scarcity, Routledge Handbook of Water and Health, Pages 360 – 366,</w:t>
      </w:r>
      <w:r w:rsidR="000E1BDD" w:rsidRPr="00026A50">
        <w:t xml:space="preserve"> &lt;doi.org/</w:t>
      </w:r>
      <w:r w:rsidRPr="00026A50">
        <w:t>10.4324/9781315693606-45.</w:t>
      </w:r>
      <w:r w:rsidR="000E1BDD" w:rsidRPr="00026A50">
        <w:t>&gt;</w:t>
      </w:r>
    </w:p>
    <w:p w14:paraId="73C19B58" w14:textId="6245E478" w:rsidR="001D181B" w:rsidRPr="00026A50" w:rsidRDefault="001D181B" w:rsidP="00026A50">
      <w:pPr>
        <w:pStyle w:val="CETReferencetext"/>
      </w:pPr>
      <w:r w:rsidRPr="00026A50">
        <w:t xml:space="preserve">Crvajalñ D., Silva-Llanca L., Larraguibel D., González B., On the aerodynamic fog collection efficiency of fog water collectors via three-dimensional numerical simulations, Atmospheric Research, </w:t>
      </w:r>
      <w:r w:rsidR="000E1BDD" w:rsidRPr="00026A50">
        <w:t>V</w:t>
      </w:r>
      <w:r w:rsidRPr="00026A50">
        <w:t xml:space="preserve">ol 24515 November 2020, </w:t>
      </w:r>
      <w:r w:rsidR="000E1BDD" w:rsidRPr="00026A50">
        <w:t>&gt;doi.org/</w:t>
      </w:r>
      <w:r w:rsidRPr="00026A50">
        <w:t>10.1016/j.atmosres.2020.105123&gt;</w:t>
      </w:r>
    </w:p>
    <w:p w14:paraId="65716E63" w14:textId="33E4CE13" w:rsidR="001D181B" w:rsidRPr="00026A50" w:rsidRDefault="001D181B" w:rsidP="00026A50">
      <w:pPr>
        <w:pStyle w:val="CETReferencetext"/>
      </w:pPr>
      <w:r w:rsidRPr="00026A50">
        <w:t>Elshennawy A., Abdelaal M., Hamed A., Awad M., 2023, Evaluating Mesh Geometry and Shade Coefficient for Fog Harvesting Collectors, Water Resources, 37, Issue 15, 6107 – 6126, &lt;</w:t>
      </w:r>
      <w:r w:rsidR="000E1BDD" w:rsidRPr="00026A50">
        <w:t>doi.org/</w:t>
      </w:r>
      <w:r w:rsidRPr="00026A50">
        <w:t>10.1007/s11269-023-03644-4&gt;</w:t>
      </w:r>
    </w:p>
    <w:p w14:paraId="4BA4A9B3" w14:textId="77777777" w:rsidR="001D181B" w:rsidRPr="00026A50" w:rsidRDefault="001D181B" w:rsidP="00026A50">
      <w:pPr>
        <w:pStyle w:val="CETReferencetext"/>
      </w:pPr>
      <w:r w:rsidRPr="00026A50">
        <w:t>Feld S., Spencer B., Bolton S., 2016, Improved Fog Collection Using Turf Reinforcement Mats, Journal of Sustainable Water in the Built Environment, 2, Isaue 3, 04016002, &lt;doi.org/10.1061/JSWBAY.0000811&gt;.</w:t>
      </w:r>
    </w:p>
    <w:p w14:paraId="070F1AC9" w14:textId="70E823FD" w:rsidR="001D181B" w:rsidRPr="00026A50" w:rsidRDefault="001D181B" w:rsidP="00026A50">
      <w:pPr>
        <w:pStyle w:val="CETReferencetext"/>
      </w:pPr>
      <w:r w:rsidRPr="00026A50">
        <w:t xml:space="preserve">Fernandez D., Torregrosa A., Weiss-Penzias P., Zhang B. Sorensen D., Cohen R., McKinley G., Kleingartner J., Oliphant A., Bowman M., 2018, Fog water collection effectiveness: Mesh intercomparisons, Aerosol and Air Quality Research, 18, Issue 1, 270 – 283, </w:t>
      </w:r>
      <w:r w:rsidR="000E1BDD" w:rsidRPr="00026A50">
        <w:t>&lt;doi.org/</w:t>
      </w:r>
      <w:r w:rsidRPr="00026A50">
        <w:t>10.4209/aaqr.2017.01.0040&gt;</w:t>
      </w:r>
    </w:p>
    <w:p w14:paraId="698353EE" w14:textId="0BE51662" w:rsidR="001D181B" w:rsidRPr="00026A50" w:rsidRDefault="001D181B" w:rsidP="00026A50">
      <w:pPr>
        <w:pStyle w:val="CETReferencetext"/>
      </w:pPr>
      <w:r w:rsidRPr="00026A50">
        <w:t>Fritz J., Meyer H., Tseng W., Lin N., Klenn O., 2021, Covariation of droplet size distribution and air humidity in fog: A methodological approach, Journal of HydrologyVolume 594, 125934, &lt;</w:t>
      </w:r>
      <w:r w:rsidR="000E1BDD" w:rsidRPr="00026A50">
        <w:t>doi.org/</w:t>
      </w:r>
      <w:r w:rsidRPr="00026A50">
        <w:t>10.1016/j.jhydrol.2020.125934&gt;</w:t>
      </w:r>
    </w:p>
    <w:p w14:paraId="6E37B32A" w14:textId="3FDACC3E" w:rsidR="001D181B" w:rsidRPr="00026A50" w:rsidRDefault="001D181B" w:rsidP="00026A50">
      <w:pPr>
        <w:pStyle w:val="CETReferencetext"/>
      </w:pPr>
      <w:r w:rsidRPr="00026A50">
        <w:t>Gandhidasan P., Abualhamayel H., Patel F., 2018, Simplified modeling and analysis of the fog water harvesting system in the asir region of the kingdom of Saudi Arabia, Aerosol and Air Quality Research, 18, Issue 1, 200– 213, &lt;</w:t>
      </w:r>
      <w:r w:rsidR="000E1BDD" w:rsidRPr="00026A50">
        <w:t>doi.org/</w:t>
      </w:r>
      <w:r w:rsidRPr="00026A50">
        <w:t>10.4209/aaqr.2016.11.0481&gt;</w:t>
      </w:r>
    </w:p>
    <w:p w14:paraId="69E14D10" w14:textId="6BC13D13" w:rsidR="001D181B" w:rsidRPr="00026A50" w:rsidRDefault="001D181B" w:rsidP="00026A50">
      <w:pPr>
        <w:pStyle w:val="CETReferencetext"/>
      </w:pPr>
      <w:r w:rsidRPr="00026A50">
        <w:t>Gardner G., 2010, Water scarcity looms, World Watch, 23, Issue 3, 21. ISSN 08960615.</w:t>
      </w:r>
    </w:p>
    <w:p w14:paraId="035653EE" w14:textId="283C8A58" w:rsidR="001D181B" w:rsidRPr="00026A50" w:rsidRDefault="001D181B" w:rsidP="00026A50">
      <w:pPr>
        <w:pStyle w:val="CETReferencetext"/>
      </w:pPr>
      <w:r w:rsidRPr="00026A50">
        <w:lastRenderedPageBreak/>
        <w:t>Holmes R., Rivera JDD, de la Jara E., 2021, Large fog collectors: New strategies for collection efficiency and structural response to wind pressure, Atmospheric Research,</w:t>
      </w:r>
      <w:r w:rsidR="000E1BDD" w:rsidRPr="00026A50">
        <w:t xml:space="preserve"> </w:t>
      </w:r>
      <w:r w:rsidRPr="00026A50">
        <w:t>151, 236–249, &lt;</w:t>
      </w:r>
      <w:r w:rsidR="000E1BDD" w:rsidRPr="00026A50">
        <w:t>doi.org</w:t>
      </w:r>
      <w:r w:rsidR="001B2CF2" w:rsidRPr="00026A50">
        <w:t>/</w:t>
      </w:r>
      <w:r w:rsidRPr="00026A50">
        <w:t>10.1016/j.atmosres.2014.06.005&gt;</w:t>
      </w:r>
    </w:p>
    <w:p w14:paraId="21DE8144" w14:textId="3EAF41CF" w:rsidR="001D181B" w:rsidRPr="00026A50" w:rsidRDefault="001D181B" w:rsidP="00026A50">
      <w:pPr>
        <w:pStyle w:val="CETReferencetext"/>
      </w:pPr>
      <w:r w:rsidRPr="00026A50">
        <w:t xml:space="preserve">Huang Y., Zhang Y., </w:t>
      </w:r>
      <w:proofErr w:type="gramStart"/>
      <w:r w:rsidRPr="00026A50">
        <w:t>Li  Y.</w:t>
      </w:r>
      <w:proofErr w:type="gramEnd"/>
      <w:r w:rsidRPr="00026A50">
        <w:t xml:space="preserve">, Tan Z., Waterdrop-assisted efficient fog collection on micro-fiber grids, Chemical Engineering Journal, 481, </w:t>
      </w:r>
      <w:proofErr w:type="gramStart"/>
      <w:r w:rsidRPr="00026A50">
        <w:t>148423,  &lt;</w:t>
      </w:r>
      <w:proofErr w:type="gramEnd"/>
      <w:r w:rsidR="001B2CF2" w:rsidRPr="00026A50">
        <w:t>doi.org/</w:t>
      </w:r>
      <w:r w:rsidRPr="00026A50">
        <w:t>10.1016/j.cej.2023.148423&gt;</w:t>
      </w:r>
    </w:p>
    <w:p w14:paraId="7011E332" w14:textId="356B04EC" w:rsidR="001D181B" w:rsidRPr="00026A50" w:rsidRDefault="001D181B" w:rsidP="00026A50">
      <w:pPr>
        <w:pStyle w:val="CETReferencetext"/>
      </w:pPr>
      <w:r w:rsidRPr="00026A50">
        <w:t xml:space="preserve">Imteaz M. Al-Hassan G. Shanableh </w:t>
      </w:r>
      <w:proofErr w:type="gramStart"/>
      <w:r w:rsidRPr="00026A50">
        <w:t>A.Naser</w:t>
      </w:r>
      <w:proofErr w:type="gramEnd"/>
      <w:r w:rsidRPr="00026A50">
        <w:t xml:space="preserve"> J., 2011, Development of a mathematical model for the quantification of fog-collection, Resources, Conservation and Recycling, 57, 10 – 14, &lt;</w:t>
      </w:r>
      <w:r w:rsidR="001B2CF2" w:rsidRPr="00026A50">
        <w:t>doi.org/</w:t>
      </w:r>
      <w:r w:rsidRPr="00026A50">
        <w:t>10.1016/j.resconrec.2011.09.014&gt;.</w:t>
      </w:r>
    </w:p>
    <w:p w14:paraId="7945D8AA" w14:textId="192964AE" w:rsidR="001D181B" w:rsidRPr="00026A50" w:rsidRDefault="001D181B" w:rsidP="00026A50">
      <w:pPr>
        <w:pStyle w:val="CETReferencetext"/>
      </w:pPr>
      <w:r w:rsidRPr="00026A50">
        <w:t>Lee J., So J., Bae W., Won Y., 2020, The Design of Hydrophilic Nanochannel-Macrostripe Fog Collector: Enabling Wicking-Assisted Vertical Liquid Delivery for the Enhancement in Fog Collection Efficiency, Advanced Materials Interfaces, 7, Issue 111, 1902150, &lt;</w:t>
      </w:r>
      <w:proofErr w:type="gramStart"/>
      <w:r w:rsidR="001B2CF2" w:rsidRPr="00026A50">
        <w:t>doi.oprg</w:t>
      </w:r>
      <w:proofErr w:type="gramEnd"/>
      <w:r w:rsidR="001B2CF2" w:rsidRPr="00026A50">
        <w:t>/</w:t>
      </w:r>
      <w:r w:rsidRPr="00026A50">
        <w:t>10.1002/admi.201902150&gt;</w:t>
      </w:r>
    </w:p>
    <w:p w14:paraId="0795FA5B" w14:textId="10E366AA" w:rsidR="001D181B" w:rsidRPr="00026A50" w:rsidRDefault="001D181B" w:rsidP="00026A50">
      <w:pPr>
        <w:pStyle w:val="CETReferencetext"/>
      </w:pPr>
      <w:r w:rsidRPr="00026A50">
        <w:t>Montecinos S., Carvajal D. Cereceda P. Concha M., 2018, Collection efficiency of fog events, Atmospheric Research, Volume 209, 163 – 169, &lt;</w:t>
      </w:r>
      <w:r w:rsidR="00026A50" w:rsidRPr="00026A50">
        <w:t>doi.org/</w:t>
      </w:r>
      <w:r w:rsidRPr="00026A50">
        <w:t>10.1016/j.atmosres.2018.04.004&gt;</w:t>
      </w:r>
    </w:p>
    <w:p w14:paraId="1FB22DA2" w14:textId="0A2B2654" w:rsidR="001D181B" w:rsidRPr="00026A50" w:rsidRDefault="001D181B" w:rsidP="00026A50">
      <w:pPr>
        <w:pStyle w:val="CETReferencetext"/>
      </w:pPr>
      <w:r w:rsidRPr="00026A50">
        <w:t>Mosa M., Radwan F., All-Ghobari H., Fouli H. Alazba A., Impact of varied fog collector designs on fog and rainwater harvesting under fluctuating wind speed and direction, Earth Science Informatics, 17, Issue 1, 617 – 631, &lt;</w:t>
      </w:r>
      <w:r w:rsidR="00026A50" w:rsidRPr="00026A50">
        <w:t>doi.org/</w:t>
      </w:r>
      <w:r w:rsidRPr="00026A50">
        <w:t>10.1007/s12145-023-01195-1&gt;.</w:t>
      </w:r>
    </w:p>
    <w:p w14:paraId="118D58A6" w14:textId="7BC9D42F" w:rsidR="001D181B" w:rsidRPr="00026A50" w:rsidRDefault="001D181B" w:rsidP="00026A50">
      <w:pPr>
        <w:pStyle w:val="CETReferencetext"/>
      </w:pPr>
      <w:r w:rsidRPr="00026A50">
        <w:t>Oktor K., Dhuol M. and Ercan M., 2024, Fog Harvesting: An Effective Solution to The Water Scarcity Problem. Sakarya University Journal of Science, 28</w:t>
      </w:r>
      <w:r w:rsidR="00026A50" w:rsidRPr="00026A50">
        <w:t xml:space="preserve">, </w:t>
      </w:r>
      <w:r w:rsidRPr="00026A50">
        <w:t>4, 899-911. &lt;doi.org/10.16984/saufenbilder.1480488&gt;</w:t>
      </w:r>
    </w:p>
    <w:p w14:paraId="768EA601" w14:textId="54BEA81D" w:rsidR="001D181B" w:rsidRPr="00026A50" w:rsidRDefault="001D181B" w:rsidP="00026A50">
      <w:pPr>
        <w:pStyle w:val="CETReferencetext"/>
      </w:pPr>
      <w:r w:rsidRPr="00026A50">
        <w:t xml:space="preserve">Parisi G. Szewczyk P. Narayan </w:t>
      </w:r>
      <w:proofErr w:type="gramStart"/>
      <w:r w:rsidRPr="00026A50">
        <w:t>Sh.Stachewicz</w:t>
      </w:r>
      <w:proofErr w:type="gramEnd"/>
      <w:r w:rsidRPr="00026A50">
        <w:t xml:space="preserve"> U., 2023, Photoresponsive Electrospun Fiber Meshes with Switchable Wettability for Effective Fog Water Harvesting in Variable Humidity Conditions, ACS Applied Materials and Interfaces,</w:t>
      </w:r>
      <w:r w:rsidR="00026A50" w:rsidRPr="00026A50">
        <w:t xml:space="preserve"> </w:t>
      </w:r>
      <w:r w:rsidRPr="00026A50">
        <w:t>15, Issue 33, 40001 – 40010, &lt;</w:t>
      </w:r>
      <w:r w:rsidR="00026A50" w:rsidRPr="00026A50">
        <w:t>doi.org/</w:t>
      </w:r>
      <w:r w:rsidRPr="00026A50">
        <w:t>10.1021/acsami.3c07044&gt;</w:t>
      </w:r>
    </w:p>
    <w:p w14:paraId="59835C10" w14:textId="3E11E392" w:rsidR="001D181B" w:rsidRPr="00026A50" w:rsidRDefault="001D181B" w:rsidP="00026A50">
      <w:pPr>
        <w:pStyle w:val="CETReferencetext"/>
      </w:pPr>
      <w:r w:rsidRPr="00026A50">
        <w:t xml:space="preserve">Park J., Lee </w:t>
      </w:r>
      <w:proofErr w:type="gramStart"/>
      <w:r w:rsidRPr="00026A50">
        <w:t>Ch.Lee</w:t>
      </w:r>
      <w:proofErr w:type="gramEnd"/>
      <w:r w:rsidRPr="00026A50">
        <w:t xml:space="preserve">  S. </w:t>
      </w:r>
      <w:proofErr w:type="gramStart"/>
      <w:r w:rsidRPr="00026A50">
        <w:t>Cho  H.</w:t>
      </w:r>
      <w:proofErr w:type="gramEnd"/>
      <w:r w:rsidRPr="00026A50">
        <w:t xml:space="preserve"> </w:t>
      </w:r>
      <w:proofErr w:type="gramStart"/>
      <w:r w:rsidRPr="00026A50">
        <w:t>Moon  M.</w:t>
      </w:r>
      <w:proofErr w:type="gramEnd"/>
      <w:r w:rsidRPr="00026A50">
        <w:t xml:space="preserve"> Kim S., 2021, Clogged water bridges for fog harvesting, Soft Matter, 17, Issue 1, 136 – 144, </w:t>
      </w:r>
      <w:r w:rsidR="00026A50" w:rsidRPr="00026A50">
        <w:t>doi.org/</w:t>
      </w:r>
      <w:r w:rsidRPr="00026A50">
        <w:t>10.1039/d0sm01133a</w:t>
      </w:r>
    </w:p>
    <w:p w14:paraId="1F6FBAA4" w14:textId="476DE3EB" w:rsidR="001D181B" w:rsidRPr="00026A50" w:rsidRDefault="001D181B" w:rsidP="00026A50">
      <w:pPr>
        <w:pStyle w:val="CETReferencetext"/>
      </w:pPr>
      <w:bookmarkStart w:id="6" w:name="_Hlk185688956"/>
      <w:r w:rsidRPr="00026A50">
        <w:t>Qadir</w:t>
      </w:r>
      <w:bookmarkEnd w:id="6"/>
      <w:r w:rsidRPr="00026A50">
        <w:t xml:space="preserve"> M, Jimenez G., Farnum R., Trautwein, Research History and Functional Systems of Fog Water Harvesting, Front. Water, 29 April 2021, Sec. Water and Hydrocomplexity, 3 – 2021, &lt;doi.org/10.3389/frwa.2021.675269&gt;</w:t>
      </w:r>
    </w:p>
    <w:p w14:paraId="1C57DD7A" w14:textId="77777777" w:rsidR="001D181B" w:rsidRPr="00026A50" w:rsidRDefault="001D181B" w:rsidP="00026A50">
      <w:pPr>
        <w:pStyle w:val="CETReferencetext"/>
      </w:pPr>
      <w:r w:rsidRPr="00026A50">
        <w:t>Rajaram M., Heng X., Oza M., Luo C., 2016, Enhancement of fog-collection efficiency of a Raschel mesh using surface coatings and local geometric changes, Colloids and Surfaces A: Physicochemical and Engineering Aspects, 500, 218-229, &lt;doi.org/10.1016/j.colsurfa.2016.08.034&gt;</w:t>
      </w:r>
    </w:p>
    <w:p w14:paraId="71D85820" w14:textId="0CC7B1CA" w:rsidR="001D181B" w:rsidRPr="00026A50" w:rsidRDefault="001D181B" w:rsidP="00026A50">
      <w:pPr>
        <w:pStyle w:val="CETReferencetext"/>
      </w:pPr>
      <w:r w:rsidRPr="00026A50">
        <w:t>Rich D., Andiroglu E., Gallo K., Ramanathan S., 2023, A review of water reuse applications and effluent standards in response to water scarcity, Water Security, 20, 100154, &lt;</w:t>
      </w:r>
      <w:r w:rsidR="00026A50" w:rsidRPr="00026A50">
        <w:t>doi.org/</w:t>
      </w:r>
      <w:r w:rsidRPr="00026A50">
        <w:t>10.1016/j.wasec.2023.100154&gt;.</w:t>
      </w:r>
    </w:p>
    <w:p w14:paraId="13B9B66B" w14:textId="27563A37" w:rsidR="001D181B" w:rsidRPr="00026A50" w:rsidRDefault="001D181B" w:rsidP="00026A50">
      <w:pPr>
        <w:pStyle w:val="CETReferencetext"/>
      </w:pPr>
      <w:r w:rsidRPr="00026A50">
        <w:t xml:space="preserve">Sostenibilidad, 2023, Fog catchers: a solution for capturing water in times of drought, [in Spanis], </w:t>
      </w:r>
      <w:r w:rsidR="00026A50" w:rsidRPr="00026A50">
        <w:t>&lt;</w:t>
      </w:r>
      <w:r w:rsidRPr="00026A50">
        <w:t>www.sostenibilidad.com/agua/atrapanieblas</w:t>
      </w:r>
      <w:r w:rsidR="00026A50" w:rsidRPr="00026A50">
        <w:t>&gt;</w:t>
      </w:r>
    </w:p>
    <w:p w14:paraId="5697E4D6" w14:textId="5C7A12F9" w:rsidR="001D181B" w:rsidRPr="00026A50" w:rsidRDefault="001D181B" w:rsidP="00026A50">
      <w:pPr>
        <w:pStyle w:val="CETReferencetext"/>
      </w:pPr>
      <w:r w:rsidRPr="00026A50">
        <w:t xml:space="preserve">Ukolov A.I., Popova T.N., 2023, Numerical simulation of aerodynamics of a standard fog collector, Computational Continuum Mechanics, </w:t>
      </w:r>
      <w:r w:rsidR="00026A50" w:rsidRPr="00026A50">
        <w:t>1</w:t>
      </w:r>
      <w:r w:rsidRPr="00026A50">
        <w:t>6, Issue 2, 242 – 255, &lt;</w:t>
      </w:r>
      <w:r w:rsidR="00026A50" w:rsidRPr="00026A50">
        <w:t>doi.org/</w:t>
      </w:r>
      <w:r w:rsidRPr="00026A50">
        <w:t>10.7242/1999-6691/2023.16.2.21&gt;</w:t>
      </w:r>
    </w:p>
    <w:p w14:paraId="1C32C7E7" w14:textId="171E5D11" w:rsidR="001D181B" w:rsidRPr="00026A50" w:rsidRDefault="001D181B" w:rsidP="00026A50">
      <w:pPr>
        <w:pStyle w:val="CETReferencetext"/>
      </w:pPr>
      <w:r w:rsidRPr="00026A50">
        <w:t>Verbrugghe N., Kha A., 2023, Water harvesting using fog collectors: a review of conceptual, experimental and operational aspects,</w:t>
      </w:r>
      <w:r w:rsidR="00026A50">
        <w:t xml:space="preserve"> </w:t>
      </w:r>
      <w:r w:rsidRPr="00026A50">
        <w:t xml:space="preserve">[in Spanish], International Journal of Low-Carbon </w:t>
      </w:r>
      <w:r w:rsidR="00026A50" w:rsidRPr="00026A50">
        <w:t>Technologies,</w:t>
      </w:r>
      <w:r w:rsidRPr="00026A50">
        <w:t xml:space="preserve"> </w:t>
      </w:r>
      <w:r w:rsidR="00026A50" w:rsidRPr="00026A50">
        <w:t>1</w:t>
      </w:r>
      <w:r w:rsidRPr="00026A50">
        <w:t>8, 2023, 392–403, &lt;doi.org/10.1093/ijlct/ctac129&gt;</w:t>
      </w:r>
    </w:p>
    <w:p w14:paraId="632B9A72" w14:textId="74596CF4" w:rsidR="001D181B" w:rsidRPr="00026A50" w:rsidRDefault="001D181B" w:rsidP="00026A50">
      <w:pPr>
        <w:pStyle w:val="CETReferencetext"/>
      </w:pPr>
      <w:r w:rsidRPr="00026A50">
        <w:t xml:space="preserve">Yang HC, Jusoh M., Zakaria ZY, Jusoh YMM, Amran NA, 2024, </w:t>
      </w:r>
      <w:r w:rsidR="00026A50" w:rsidRPr="00026A50">
        <w:t>Purification of rainwater collected on roofs by progressive freezing concentration</w:t>
      </w:r>
      <w:r w:rsidRPr="00026A50">
        <w:t>, Chemical Engineering Transactions, 113, 37-</w:t>
      </w:r>
      <w:proofErr w:type="gramStart"/>
      <w:r w:rsidRPr="00026A50">
        <w:t>42,&lt;</w:t>
      </w:r>
      <w:proofErr w:type="gramEnd"/>
      <w:r w:rsidRPr="00026A50">
        <w:t>doi.org/10.3303/CET24113007&gt;.</w:t>
      </w:r>
    </w:p>
    <w:p w14:paraId="1AD0E3BA" w14:textId="77777777" w:rsidR="001D181B" w:rsidRPr="00026A50" w:rsidRDefault="001D181B" w:rsidP="00026A50">
      <w:pPr>
        <w:pStyle w:val="CETReferencetext"/>
      </w:pPr>
      <w:bookmarkStart w:id="7" w:name="_Hlk185687012"/>
      <w:r w:rsidRPr="00026A50">
        <w:t>Zaitizila I., and Yun G., 2021</w:t>
      </w:r>
      <w:bookmarkEnd w:id="7"/>
      <w:r w:rsidRPr="00026A50">
        <w:t xml:space="preserve">, Fog-to-Water for Water Scarcity in Climate-Change Hazards Hotspots: Pilot Study in Southeast Asia, Glob Chall, 5(5), 2000036, doi: 10.1002/gch2.202000036. </w:t>
      </w:r>
    </w:p>
    <w:sectPr w:rsidR="001D181B" w:rsidRPr="00026A5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75CFC" w14:textId="77777777" w:rsidR="00113A01" w:rsidRDefault="00113A01" w:rsidP="004F5E36">
      <w:r>
        <w:separator/>
      </w:r>
    </w:p>
  </w:endnote>
  <w:endnote w:type="continuationSeparator" w:id="0">
    <w:p w14:paraId="10C50EE5" w14:textId="77777777" w:rsidR="00113A01" w:rsidRDefault="00113A0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0547" w14:textId="77777777" w:rsidR="00113A01" w:rsidRDefault="00113A01" w:rsidP="004F5E36">
      <w:r>
        <w:separator/>
      </w:r>
    </w:p>
  </w:footnote>
  <w:footnote w:type="continuationSeparator" w:id="0">
    <w:p w14:paraId="151DEC0E" w14:textId="77777777" w:rsidR="00113A01" w:rsidRDefault="00113A0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933B49"/>
    <w:multiLevelType w:val="multilevel"/>
    <w:tmpl w:val="4BB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FE41EC"/>
    <w:multiLevelType w:val="hybridMultilevel"/>
    <w:tmpl w:val="898C48B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17913E11"/>
    <w:multiLevelType w:val="hybridMultilevel"/>
    <w:tmpl w:val="CD00245C"/>
    <w:lvl w:ilvl="0" w:tplc="C0BA5A18">
      <w:start w:val="3"/>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CF5067"/>
    <w:multiLevelType w:val="hybridMultilevel"/>
    <w:tmpl w:val="579C7F48"/>
    <w:lvl w:ilvl="0" w:tplc="1CA2D67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3FD0F69"/>
    <w:multiLevelType w:val="hybridMultilevel"/>
    <w:tmpl w:val="A0F44F7C"/>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8700302">
    <w:abstractNumId w:val="13"/>
  </w:num>
  <w:num w:numId="2" w16cid:durableId="2111310947">
    <w:abstractNumId w:val="8"/>
  </w:num>
  <w:num w:numId="3" w16cid:durableId="2133132823">
    <w:abstractNumId w:val="3"/>
  </w:num>
  <w:num w:numId="4" w16cid:durableId="1399207001">
    <w:abstractNumId w:val="2"/>
  </w:num>
  <w:num w:numId="5" w16cid:durableId="1736049436">
    <w:abstractNumId w:val="1"/>
  </w:num>
  <w:num w:numId="6" w16cid:durableId="652106206">
    <w:abstractNumId w:val="0"/>
  </w:num>
  <w:num w:numId="7" w16cid:durableId="943928245">
    <w:abstractNumId w:val="9"/>
  </w:num>
  <w:num w:numId="8" w16cid:durableId="1152452938">
    <w:abstractNumId w:val="7"/>
  </w:num>
  <w:num w:numId="9" w16cid:durableId="841243821">
    <w:abstractNumId w:val="6"/>
  </w:num>
  <w:num w:numId="10" w16cid:durableId="540047405">
    <w:abstractNumId w:val="5"/>
  </w:num>
  <w:num w:numId="11" w16cid:durableId="47538649">
    <w:abstractNumId w:val="4"/>
  </w:num>
  <w:num w:numId="12" w16cid:durableId="890650918">
    <w:abstractNumId w:val="20"/>
  </w:num>
  <w:num w:numId="13" w16cid:durableId="1789424699">
    <w:abstractNumId w:val="15"/>
  </w:num>
  <w:num w:numId="14" w16cid:durableId="801583670">
    <w:abstractNumId w:val="21"/>
  </w:num>
  <w:num w:numId="15" w16cid:durableId="1220243629">
    <w:abstractNumId w:val="23"/>
  </w:num>
  <w:num w:numId="16" w16cid:durableId="1825506017">
    <w:abstractNumId w:val="22"/>
  </w:num>
  <w:num w:numId="17" w16cid:durableId="1074741827">
    <w:abstractNumId w:val="14"/>
  </w:num>
  <w:num w:numId="18" w16cid:durableId="1348629831">
    <w:abstractNumId w:val="15"/>
    <w:lvlOverride w:ilvl="0">
      <w:startOverride w:val="1"/>
    </w:lvlOverride>
  </w:num>
  <w:num w:numId="19" w16cid:durableId="2074884766">
    <w:abstractNumId w:val="19"/>
  </w:num>
  <w:num w:numId="20" w16cid:durableId="1118984843">
    <w:abstractNumId w:val="18"/>
  </w:num>
  <w:num w:numId="21" w16cid:durableId="31813015">
    <w:abstractNumId w:val="17"/>
  </w:num>
  <w:num w:numId="22" w16cid:durableId="19820893">
    <w:abstractNumId w:val="16"/>
  </w:num>
  <w:num w:numId="23" w16cid:durableId="721027507">
    <w:abstractNumId w:val="12"/>
  </w:num>
  <w:num w:numId="24" w16cid:durableId="1290235928">
    <w:abstractNumId w:val="24"/>
  </w:num>
  <w:num w:numId="25" w16cid:durableId="1406759033">
    <w:abstractNumId w:val="10"/>
  </w:num>
  <w:num w:numId="26" w16cid:durableId="1024600841">
    <w:abstractNumId w:val="25"/>
  </w:num>
  <w:num w:numId="27" w16cid:durableId="1630286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6A50"/>
    <w:rsid w:val="00031165"/>
    <w:rsid w:val="0003148D"/>
    <w:rsid w:val="00031EEC"/>
    <w:rsid w:val="000477CC"/>
    <w:rsid w:val="00051566"/>
    <w:rsid w:val="00054288"/>
    <w:rsid w:val="000562A9"/>
    <w:rsid w:val="00061CDE"/>
    <w:rsid w:val="00062A9A"/>
    <w:rsid w:val="000634A3"/>
    <w:rsid w:val="00065058"/>
    <w:rsid w:val="00086C39"/>
    <w:rsid w:val="000A03B2"/>
    <w:rsid w:val="000B2724"/>
    <w:rsid w:val="000C0A67"/>
    <w:rsid w:val="000D0268"/>
    <w:rsid w:val="000D34BE"/>
    <w:rsid w:val="000E102F"/>
    <w:rsid w:val="000E1BDD"/>
    <w:rsid w:val="000E36F1"/>
    <w:rsid w:val="000E3A73"/>
    <w:rsid w:val="000E414A"/>
    <w:rsid w:val="000F093C"/>
    <w:rsid w:val="000F503C"/>
    <w:rsid w:val="000F6CCB"/>
    <w:rsid w:val="000F787B"/>
    <w:rsid w:val="00113A01"/>
    <w:rsid w:val="0012091F"/>
    <w:rsid w:val="00126BC2"/>
    <w:rsid w:val="001308B6"/>
    <w:rsid w:val="0013121F"/>
    <w:rsid w:val="00131FE6"/>
    <w:rsid w:val="0013263F"/>
    <w:rsid w:val="001331DF"/>
    <w:rsid w:val="00134DE4"/>
    <w:rsid w:val="00135B8F"/>
    <w:rsid w:val="0014034D"/>
    <w:rsid w:val="00144D16"/>
    <w:rsid w:val="00150E59"/>
    <w:rsid w:val="00152DE3"/>
    <w:rsid w:val="001533D5"/>
    <w:rsid w:val="00164CF9"/>
    <w:rsid w:val="001667A6"/>
    <w:rsid w:val="00166FB3"/>
    <w:rsid w:val="0017420F"/>
    <w:rsid w:val="001829B0"/>
    <w:rsid w:val="00184AD6"/>
    <w:rsid w:val="00186F02"/>
    <w:rsid w:val="0019055B"/>
    <w:rsid w:val="001929BD"/>
    <w:rsid w:val="00197469"/>
    <w:rsid w:val="00197FB6"/>
    <w:rsid w:val="001A4AF7"/>
    <w:rsid w:val="001B0349"/>
    <w:rsid w:val="001B1E93"/>
    <w:rsid w:val="001B2CF2"/>
    <w:rsid w:val="001B65C1"/>
    <w:rsid w:val="001C684B"/>
    <w:rsid w:val="001D0CFB"/>
    <w:rsid w:val="001D181B"/>
    <w:rsid w:val="001D21AF"/>
    <w:rsid w:val="001D53FC"/>
    <w:rsid w:val="001E5C1B"/>
    <w:rsid w:val="001F42A5"/>
    <w:rsid w:val="001F7B9D"/>
    <w:rsid w:val="00201C93"/>
    <w:rsid w:val="00215CC6"/>
    <w:rsid w:val="002224B4"/>
    <w:rsid w:val="002447EF"/>
    <w:rsid w:val="00251550"/>
    <w:rsid w:val="00263B05"/>
    <w:rsid w:val="0026728E"/>
    <w:rsid w:val="0027221A"/>
    <w:rsid w:val="00275B61"/>
    <w:rsid w:val="00280FAF"/>
    <w:rsid w:val="00282656"/>
    <w:rsid w:val="00296B83"/>
    <w:rsid w:val="0029703F"/>
    <w:rsid w:val="002B3A96"/>
    <w:rsid w:val="002B4015"/>
    <w:rsid w:val="002B78CE"/>
    <w:rsid w:val="002C2FB6"/>
    <w:rsid w:val="002D1214"/>
    <w:rsid w:val="002D1D70"/>
    <w:rsid w:val="002D2123"/>
    <w:rsid w:val="002E5FA7"/>
    <w:rsid w:val="002F3309"/>
    <w:rsid w:val="002F4C09"/>
    <w:rsid w:val="003008CE"/>
    <w:rsid w:val="003009B7"/>
    <w:rsid w:val="00300E56"/>
    <w:rsid w:val="0030152C"/>
    <w:rsid w:val="0030469C"/>
    <w:rsid w:val="00305934"/>
    <w:rsid w:val="003123C6"/>
    <w:rsid w:val="00317217"/>
    <w:rsid w:val="00321CA6"/>
    <w:rsid w:val="00323763"/>
    <w:rsid w:val="00323C5F"/>
    <w:rsid w:val="00324210"/>
    <w:rsid w:val="003257FE"/>
    <w:rsid w:val="00334C09"/>
    <w:rsid w:val="003518AA"/>
    <w:rsid w:val="00360190"/>
    <w:rsid w:val="003723D4"/>
    <w:rsid w:val="00381905"/>
    <w:rsid w:val="00384CC8"/>
    <w:rsid w:val="003871FD"/>
    <w:rsid w:val="003A1E30"/>
    <w:rsid w:val="003A2829"/>
    <w:rsid w:val="003A7D1C"/>
    <w:rsid w:val="003B15C3"/>
    <w:rsid w:val="003B1F73"/>
    <w:rsid w:val="003B304B"/>
    <w:rsid w:val="003B3146"/>
    <w:rsid w:val="003E60D1"/>
    <w:rsid w:val="003E6DBE"/>
    <w:rsid w:val="003F015E"/>
    <w:rsid w:val="00400414"/>
    <w:rsid w:val="0041446B"/>
    <w:rsid w:val="004377FE"/>
    <w:rsid w:val="0044071E"/>
    <w:rsid w:val="0044329C"/>
    <w:rsid w:val="004444A9"/>
    <w:rsid w:val="00453E24"/>
    <w:rsid w:val="00457456"/>
    <w:rsid w:val="004577FE"/>
    <w:rsid w:val="00457B9C"/>
    <w:rsid w:val="00457E24"/>
    <w:rsid w:val="0046164A"/>
    <w:rsid w:val="004628D2"/>
    <w:rsid w:val="00462DCD"/>
    <w:rsid w:val="004648AD"/>
    <w:rsid w:val="004703A9"/>
    <w:rsid w:val="004760DE"/>
    <w:rsid w:val="004763D7"/>
    <w:rsid w:val="00490C9A"/>
    <w:rsid w:val="004A004E"/>
    <w:rsid w:val="004A24CF"/>
    <w:rsid w:val="004B56EC"/>
    <w:rsid w:val="004C3D1D"/>
    <w:rsid w:val="004C3D84"/>
    <w:rsid w:val="004C7913"/>
    <w:rsid w:val="004D393A"/>
    <w:rsid w:val="004E4DD6"/>
    <w:rsid w:val="004E6D14"/>
    <w:rsid w:val="004F2A72"/>
    <w:rsid w:val="004F5E36"/>
    <w:rsid w:val="00507B47"/>
    <w:rsid w:val="00507BEF"/>
    <w:rsid w:val="00507CC9"/>
    <w:rsid w:val="005119A5"/>
    <w:rsid w:val="005278B7"/>
    <w:rsid w:val="00532016"/>
    <w:rsid w:val="005346C8"/>
    <w:rsid w:val="005422DA"/>
    <w:rsid w:val="00543E7D"/>
    <w:rsid w:val="00547A68"/>
    <w:rsid w:val="00552B8F"/>
    <w:rsid w:val="005531C9"/>
    <w:rsid w:val="00557E00"/>
    <w:rsid w:val="0056210F"/>
    <w:rsid w:val="00570C43"/>
    <w:rsid w:val="005B2110"/>
    <w:rsid w:val="005B3523"/>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50ADD"/>
    <w:rsid w:val="00656FA2"/>
    <w:rsid w:val="00660E3E"/>
    <w:rsid w:val="00662E74"/>
    <w:rsid w:val="00672648"/>
    <w:rsid w:val="00674E58"/>
    <w:rsid w:val="00680C23"/>
    <w:rsid w:val="00693766"/>
    <w:rsid w:val="006971E4"/>
    <w:rsid w:val="006A28D9"/>
    <w:rsid w:val="006A3281"/>
    <w:rsid w:val="006B4888"/>
    <w:rsid w:val="006C12E7"/>
    <w:rsid w:val="006C2E45"/>
    <w:rsid w:val="006C359C"/>
    <w:rsid w:val="006C5579"/>
    <w:rsid w:val="006D5AC7"/>
    <w:rsid w:val="006D6E8B"/>
    <w:rsid w:val="006E2039"/>
    <w:rsid w:val="006E737D"/>
    <w:rsid w:val="00702728"/>
    <w:rsid w:val="00704C54"/>
    <w:rsid w:val="00707DD1"/>
    <w:rsid w:val="00713973"/>
    <w:rsid w:val="00720A24"/>
    <w:rsid w:val="00732386"/>
    <w:rsid w:val="0073514D"/>
    <w:rsid w:val="007447F3"/>
    <w:rsid w:val="00745155"/>
    <w:rsid w:val="0075499F"/>
    <w:rsid w:val="00756E60"/>
    <w:rsid w:val="007661C8"/>
    <w:rsid w:val="0077098D"/>
    <w:rsid w:val="00782CC3"/>
    <w:rsid w:val="00787E82"/>
    <w:rsid w:val="007931FA"/>
    <w:rsid w:val="007A4861"/>
    <w:rsid w:val="007A7BBA"/>
    <w:rsid w:val="007B0C50"/>
    <w:rsid w:val="007B48F9"/>
    <w:rsid w:val="007C1A43"/>
    <w:rsid w:val="007D0951"/>
    <w:rsid w:val="007D1A16"/>
    <w:rsid w:val="0080013E"/>
    <w:rsid w:val="00804FB2"/>
    <w:rsid w:val="00811EAE"/>
    <w:rsid w:val="00813288"/>
    <w:rsid w:val="008168FC"/>
    <w:rsid w:val="00817C8A"/>
    <w:rsid w:val="00830996"/>
    <w:rsid w:val="008345F1"/>
    <w:rsid w:val="00861ACA"/>
    <w:rsid w:val="00865B07"/>
    <w:rsid w:val="008667EA"/>
    <w:rsid w:val="0087637F"/>
    <w:rsid w:val="0088372F"/>
    <w:rsid w:val="00892AD5"/>
    <w:rsid w:val="00895A89"/>
    <w:rsid w:val="008A1512"/>
    <w:rsid w:val="008D32B9"/>
    <w:rsid w:val="008D433B"/>
    <w:rsid w:val="008D4A16"/>
    <w:rsid w:val="008E1A44"/>
    <w:rsid w:val="008E566E"/>
    <w:rsid w:val="008E6F8F"/>
    <w:rsid w:val="0090161A"/>
    <w:rsid w:val="00901EB6"/>
    <w:rsid w:val="00904477"/>
    <w:rsid w:val="00904C62"/>
    <w:rsid w:val="009178CB"/>
    <w:rsid w:val="00922BA8"/>
    <w:rsid w:val="00924DAC"/>
    <w:rsid w:val="00927058"/>
    <w:rsid w:val="009335DE"/>
    <w:rsid w:val="00942750"/>
    <w:rsid w:val="009450CE"/>
    <w:rsid w:val="009459BB"/>
    <w:rsid w:val="00947179"/>
    <w:rsid w:val="0095164B"/>
    <w:rsid w:val="00954090"/>
    <w:rsid w:val="009573E7"/>
    <w:rsid w:val="00963E05"/>
    <w:rsid w:val="00964A45"/>
    <w:rsid w:val="00965DB9"/>
    <w:rsid w:val="00967843"/>
    <w:rsid w:val="00967D54"/>
    <w:rsid w:val="00971028"/>
    <w:rsid w:val="0097127B"/>
    <w:rsid w:val="00975700"/>
    <w:rsid w:val="00993B84"/>
    <w:rsid w:val="00994FE6"/>
    <w:rsid w:val="00996483"/>
    <w:rsid w:val="00996F5A"/>
    <w:rsid w:val="009B041A"/>
    <w:rsid w:val="009C37C3"/>
    <w:rsid w:val="009C6968"/>
    <w:rsid w:val="009C7C86"/>
    <w:rsid w:val="009D2FF7"/>
    <w:rsid w:val="009E7884"/>
    <w:rsid w:val="009E788A"/>
    <w:rsid w:val="009F0E08"/>
    <w:rsid w:val="009F1B9E"/>
    <w:rsid w:val="00A1763D"/>
    <w:rsid w:val="00A17CEC"/>
    <w:rsid w:val="00A27EF0"/>
    <w:rsid w:val="00A42361"/>
    <w:rsid w:val="00A45FC7"/>
    <w:rsid w:val="00A50B20"/>
    <w:rsid w:val="00A51390"/>
    <w:rsid w:val="00A60D13"/>
    <w:rsid w:val="00A7223D"/>
    <w:rsid w:val="00A72745"/>
    <w:rsid w:val="00A76EFC"/>
    <w:rsid w:val="00A80DEB"/>
    <w:rsid w:val="00A8547D"/>
    <w:rsid w:val="00A857B9"/>
    <w:rsid w:val="00A87D50"/>
    <w:rsid w:val="00A91010"/>
    <w:rsid w:val="00A97F29"/>
    <w:rsid w:val="00AA702E"/>
    <w:rsid w:val="00AA7D26"/>
    <w:rsid w:val="00AB0964"/>
    <w:rsid w:val="00AB5011"/>
    <w:rsid w:val="00AB7EF1"/>
    <w:rsid w:val="00AC7368"/>
    <w:rsid w:val="00AD16B9"/>
    <w:rsid w:val="00AE0112"/>
    <w:rsid w:val="00AE377D"/>
    <w:rsid w:val="00AF0EBA"/>
    <w:rsid w:val="00B02C8A"/>
    <w:rsid w:val="00B17FBD"/>
    <w:rsid w:val="00B27C6F"/>
    <w:rsid w:val="00B315A6"/>
    <w:rsid w:val="00B31813"/>
    <w:rsid w:val="00B33365"/>
    <w:rsid w:val="00B57B36"/>
    <w:rsid w:val="00B57E6F"/>
    <w:rsid w:val="00B77534"/>
    <w:rsid w:val="00B82151"/>
    <w:rsid w:val="00B832E0"/>
    <w:rsid w:val="00B8686D"/>
    <w:rsid w:val="00B93F69"/>
    <w:rsid w:val="00BB1DDC"/>
    <w:rsid w:val="00BB4031"/>
    <w:rsid w:val="00BC30C9"/>
    <w:rsid w:val="00BD077D"/>
    <w:rsid w:val="00BD2459"/>
    <w:rsid w:val="00BD3A45"/>
    <w:rsid w:val="00BE3E58"/>
    <w:rsid w:val="00BF2B8F"/>
    <w:rsid w:val="00C01616"/>
    <w:rsid w:val="00C0162B"/>
    <w:rsid w:val="00C058ED"/>
    <w:rsid w:val="00C068ED"/>
    <w:rsid w:val="00C118F2"/>
    <w:rsid w:val="00C11AE3"/>
    <w:rsid w:val="00C22E0C"/>
    <w:rsid w:val="00C345B1"/>
    <w:rsid w:val="00C40142"/>
    <w:rsid w:val="00C52C3C"/>
    <w:rsid w:val="00C57182"/>
    <w:rsid w:val="00C57863"/>
    <w:rsid w:val="00C640AF"/>
    <w:rsid w:val="00C655FD"/>
    <w:rsid w:val="00C7015F"/>
    <w:rsid w:val="00C75407"/>
    <w:rsid w:val="00C841C6"/>
    <w:rsid w:val="00C870A8"/>
    <w:rsid w:val="00C9324B"/>
    <w:rsid w:val="00C94434"/>
    <w:rsid w:val="00C94E7A"/>
    <w:rsid w:val="00CA0D75"/>
    <w:rsid w:val="00CA1C95"/>
    <w:rsid w:val="00CA4E09"/>
    <w:rsid w:val="00CA5A9C"/>
    <w:rsid w:val="00CA6F2E"/>
    <w:rsid w:val="00CC4C20"/>
    <w:rsid w:val="00CD3517"/>
    <w:rsid w:val="00CD5FE2"/>
    <w:rsid w:val="00CE7C68"/>
    <w:rsid w:val="00D02894"/>
    <w:rsid w:val="00D02B4C"/>
    <w:rsid w:val="00D040C4"/>
    <w:rsid w:val="00D10835"/>
    <w:rsid w:val="00D20AD1"/>
    <w:rsid w:val="00D243BF"/>
    <w:rsid w:val="00D2582C"/>
    <w:rsid w:val="00D46B7E"/>
    <w:rsid w:val="00D5785F"/>
    <w:rsid w:val="00D57C84"/>
    <w:rsid w:val="00D6057D"/>
    <w:rsid w:val="00D71640"/>
    <w:rsid w:val="00D836C5"/>
    <w:rsid w:val="00D84576"/>
    <w:rsid w:val="00DA1399"/>
    <w:rsid w:val="00DA24C6"/>
    <w:rsid w:val="00DA4CCB"/>
    <w:rsid w:val="00DA4D7B"/>
    <w:rsid w:val="00DD271C"/>
    <w:rsid w:val="00DE264A"/>
    <w:rsid w:val="00DF5072"/>
    <w:rsid w:val="00E02D18"/>
    <w:rsid w:val="00E041E7"/>
    <w:rsid w:val="00E16F87"/>
    <w:rsid w:val="00E23CA1"/>
    <w:rsid w:val="00E409A8"/>
    <w:rsid w:val="00E43FDF"/>
    <w:rsid w:val="00E5076E"/>
    <w:rsid w:val="00E50C12"/>
    <w:rsid w:val="00E54958"/>
    <w:rsid w:val="00E64B8E"/>
    <w:rsid w:val="00E65B91"/>
    <w:rsid w:val="00E7209D"/>
    <w:rsid w:val="00E72EAD"/>
    <w:rsid w:val="00E756EE"/>
    <w:rsid w:val="00E77223"/>
    <w:rsid w:val="00E8528B"/>
    <w:rsid w:val="00E85B94"/>
    <w:rsid w:val="00E9366D"/>
    <w:rsid w:val="00E95B51"/>
    <w:rsid w:val="00E978D0"/>
    <w:rsid w:val="00EA4613"/>
    <w:rsid w:val="00EA7F91"/>
    <w:rsid w:val="00EB1523"/>
    <w:rsid w:val="00EC0E49"/>
    <w:rsid w:val="00EC101F"/>
    <w:rsid w:val="00EC13B9"/>
    <w:rsid w:val="00EC1D9F"/>
    <w:rsid w:val="00ED3B4A"/>
    <w:rsid w:val="00EE0131"/>
    <w:rsid w:val="00EE17B0"/>
    <w:rsid w:val="00EF06D9"/>
    <w:rsid w:val="00F3049E"/>
    <w:rsid w:val="00F30C64"/>
    <w:rsid w:val="00F32BA2"/>
    <w:rsid w:val="00F32CDB"/>
    <w:rsid w:val="00F35727"/>
    <w:rsid w:val="00F536A7"/>
    <w:rsid w:val="00F55BFC"/>
    <w:rsid w:val="00F565FE"/>
    <w:rsid w:val="00F63A70"/>
    <w:rsid w:val="00F63D8C"/>
    <w:rsid w:val="00F7534E"/>
    <w:rsid w:val="00F8356E"/>
    <w:rsid w:val="00F83869"/>
    <w:rsid w:val="00F93EDF"/>
    <w:rsid w:val="00FA1802"/>
    <w:rsid w:val="00FA21D0"/>
    <w:rsid w:val="00FA5F5F"/>
    <w:rsid w:val="00FA7DCA"/>
    <w:rsid w:val="00FB730C"/>
    <w:rsid w:val="00FC2695"/>
    <w:rsid w:val="00FC3E03"/>
    <w:rsid w:val="00FC3FC1"/>
    <w:rsid w:val="00FC49C0"/>
    <w:rsid w:val="00FD4D05"/>
    <w:rsid w:val="00FF381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50ADD"/>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166FB3"/>
    <w:rPr>
      <w:color w:val="605E5C"/>
      <w:shd w:val="clear" w:color="auto" w:fill="E1DFDD"/>
    </w:rPr>
  </w:style>
  <w:style w:type="paragraph" w:customStyle="1" w:styleId="Default">
    <w:name w:val="Default"/>
    <w:rsid w:val="00650ADD"/>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754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094594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3330</Words>
  <Characters>18981</Characters>
  <Application>Microsoft Office Word</Application>
  <DocSecurity>0</DocSecurity>
  <Lines>158</Lines>
  <Paragraphs>44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25</cp:revision>
  <cp:lastPrinted>2015-05-12T18:31:00Z</cp:lastPrinted>
  <dcterms:created xsi:type="dcterms:W3CDTF">2024-12-24T06:07:00Z</dcterms:created>
  <dcterms:modified xsi:type="dcterms:W3CDTF">2025-05-10T13:28:00Z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