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812EBC" w14:paraId="2A131A54" w14:textId="77777777" w:rsidTr="00C97CB2">
        <w:trPr>
          <w:trHeight w:val="852"/>
          <w:jc w:val="center"/>
        </w:trPr>
        <w:tc>
          <w:tcPr>
            <w:tcW w:w="6940" w:type="dxa"/>
            <w:vMerge w:val="restart"/>
            <w:tcBorders>
              <w:right w:val="single" w:sz="4" w:space="0" w:color="auto"/>
            </w:tcBorders>
          </w:tcPr>
          <w:p w14:paraId="38C3D2BA" w14:textId="5050E8C7" w:rsidR="000A03B2" w:rsidRPr="00812EBC" w:rsidRDefault="000A03B2" w:rsidP="00DE264A">
            <w:pPr>
              <w:tabs>
                <w:tab w:val="left" w:pos="-108"/>
              </w:tabs>
              <w:ind w:left="-108"/>
              <w:jc w:val="left"/>
              <w:rPr>
                <w:rFonts w:cs="Arial"/>
                <w:b/>
                <w:bCs/>
                <w:i/>
                <w:iCs/>
                <w:color w:val="000066"/>
                <w:sz w:val="12"/>
                <w:szCs w:val="12"/>
                <w:lang w:eastAsia="it-IT"/>
              </w:rPr>
            </w:pPr>
            <w:bookmarkStart w:id="0" w:name="_Hlk145068772"/>
            <w:r w:rsidRPr="00812EBC">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12EBC">
              <w:rPr>
                <w:rFonts w:ascii="AdvP6960" w:hAnsi="AdvP6960" w:cs="AdvP6960"/>
                <w:color w:val="241F20"/>
                <w:szCs w:val="18"/>
                <w:lang w:eastAsia="it-IT"/>
              </w:rPr>
              <w:t xml:space="preserve"> </w:t>
            </w:r>
            <w:r w:rsidRPr="00812EBC">
              <w:rPr>
                <w:rFonts w:cs="Arial"/>
                <w:b/>
                <w:bCs/>
                <w:i/>
                <w:iCs/>
                <w:color w:val="000066"/>
                <w:sz w:val="24"/>
                <w:szCs w:val="24"/>
                <w:lang w:eastAsia="it-IT"/>
              </w:rPr>
              <w:t>CHEMICAL ENGINEERING</w:t>
            </w:r>
            <w:r w:rsidRPr="00812EBC">
              <w:rPr>
                <w:rFonts w:cs="Arial"/>
                <w:b/>
                <w:bCs/>
                <w:i/>
                <w:iCs/>
                <w:color w:val="0033FF"/>
                <w:sz w:val="24"/>
                <w:szCs w:val="24"/>
                <w:lang w:eastAsia="it-IT"/>
              </w:rPr>
              <w:t xml:space="preserve"> </w:t>
            </w:r>
            <w:r w:rsidRPr="00812EBC">
              <w:rPr>
                <w:rFonts w:cs="Arial"/>
                <w:b/>
                <w:bCs/>
                <w:i/>
                <w:iCs/>
                <w:color w:val="666666"/>
                <w:sz w:val="24"/>
                <w:szCs w:val="24"/>
                <w:lang w:eastAsia="it-IT"/>
              </w:rPr>
              <w:t>TRANSACTIONS</w:t>
            </w:r>
            <w:r w:rsidRPr="00812EBC">
              <w:rPr>
                <w:color w:val="333333"/>
                <w:sz w:val="24"/>
                <w:szCs w:val="24"/>
                <w:lang w:eastAsia="it-IT"/>
              </w:rPr>
              <w:t xml:space="preserve"> </w:t>
            </w:r>
            <w:r w:rsidRPr="00812EBC">
              <w:rPr>
                <w:rFonts w:cs="Arial"/>
                <w:b/>
                <w:bCs/>
                <w:i/>
                <w:iCs/>
                <w:color w:val="000066"/>
                <w:sz w:val="27"/>
                <w:szCs w:val="27"/>
                <w:lang w:eastAsia="it-IT"/>
              </w:rPr>
              <w:br/>
            </w:r>
          </w:p>
          <w:p w14:paraId="4B780582" w14:textId="47EF826C" w:rsidR="000A03B2" w:rsidRPr="00812EBC" w:rsidRDefault="00A76EFC" w:rsidP="001D21AF">
            <w:pPr>
              <w:tabs>
                <w:tab w:val="left" w:pos="-108"/>
              </w:tabs>
              <w:ind w:left="-108"/>
              <w:rPr>
                <w:rFonts w:cs="Arial"/>
                <w:b/>
                <w:bCs/>
                <w:i/>
                <w:iCs/>
                <w:color w:val="000066"/>
                <w:sz w:val="22"/>
                <w:szCs w:val="22"/>
                <w:lang w:eastAsia="it-IT"/>
              </w:rPr>
            </w:pPr>
            <w:r w:rsidRPr="00812EBC">
              <w:rPr>
                <w:rFonts w:cs="Arial"/>
                <w:b/>
                <w:bCs/>
                <w:i/>
                <w:iCs/>
                <w:color w:val="000066"/>
                <w:sz w:val="22"/>
                <w:szCs w:val="22"/>
                <w:lang w:eastAsia="it-IT"/>
              </w:rPr>
              <w:t>VOL.</w:t>
            </w:r>
            <w:r w:rsidR="00785BF9" w:rsidRPr="00812EBC">
              <w:rPr>
                <w:rFonts w:cs="Arial"/>
                <w:b/>
                <w:bCs/>
                <w:i/>
                <w:iCs/>
                <w:color w:val="000066"/>
                <w:sz w:val="22"/>
                <w:szCs w:val="22"/>
                <w:lang w:eastAsia="it-IT"/>
              </w:rPr>
              <w:t xml:space="preserve"> </w:t>
            </w:r>
            <w:r w:rsidR="00994C6A" w:rsidRPr="00812EBC">
              <w:rPr>
                <w:rFonts w:cs="Arial"/>
                <w:b/>
                <w:bCs/>
                <w:i/>
                <w:iCs/>
                <w:color w:val="000066"/>
                <w:sz w:val="22"/>
                <w:szCs w:val="22"/>
                <w:lang w:eastAsia="it-IT"/>
              </w:rPr>
              <w:t>xxx</w:t>
            </w:r>
            <w:r w:rsidR="007B48F9" w:rsidRPr="00812EBC">
              <w:rPr>
                <w:rFonts w:cs="Arial"/>
                <w:b/>
                <w:bCs/>
                <w:i/>
                <w:iCs/>
                <w:color w:val="000066"/>
                <w:sz w:val="22"/>
                <w:szCs w:val="22"/>
                <w:lang w:eastAsia="it-IT"/>
              </w:rPr>
              <w:t>,</w:t>
            </w:r>
            <w:r w:rsidR="00FA5F5F" w:rsidRPr="00812EBC">
              <w:rPr>
                <w:rFonts w:cs="Arial"/>
                <w:b/>
                <w:bCs/>
                <w:i/>
                <w:iCs/>
                <w:color w:val="000066"/>
                <w:sz w:val="22"/>
                <w:szCs w:val="22"/>
                <w:lang w:eastAsia="it-IT"/>
              </w:rPr>
              <w:t xml:space="preserve"> </w:t>
            </w:r>
            <w:r w:rsidR="0030152C" w:rsidRPr="00812EBC">
              <w:rPr>
                <w:rFonts w:cs="Arial"/>
                <w:b/>
                <w:bCs/>
                <w:i/>
                <w:iCs/>
                <w:color w:val="000066"/>
                <w:sz w:val="22"/>
                <w:szCs w:val="22"/>
                <w:lang w:eastAsia="it-IT"/>
              </w:rPr>
              <w:t>202</w:t>
            </w:r>
            <w:r w:rsidR="00994C6A" w:rsidRPr="00812EBC">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812EBC" w:rsidRDefault="000A03B2" w:rsidP="00CD5FE2">
            <w:pPr>
              <w:spacing w:line="140" w:lineRule="atLeast"/>
              <w:jc w:val="right"/>
              <w:rPr>
                <w:rFonts w:cs="Arial"/>
                <w:sz w:val="14"/>
                <w:szCs w:val="14"/>
              </w:rPr>
            </w:pPr>
            <w:r w:rsidRPr="00812EBC">
              <w:rPr>
                <w:rFonts w:cs="Arial"/>
                <w:sz w:val="14"/>
                <w:szCs w:val="14"/>
              </w:rPr>
              <w:t>A publication of</w:t>
            </w:r>
          </w:p>
          <w:p w14:paraId="599E5441" w14:textId="77777777" w:rsidR="000A03B2" w:rsidRPr="00812EBC" w:rsidRDefault="000A03B2" w:rsidP="00CD5FE2">
            <w:pPr>
              <w:jc w:val="right"/>
            </w:pPr>
            <w:r w:rsidRPr="00812EBC">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12EBC" w14:paraId="380FA3CD" w14:textId="77777777" w:rsidTr="00C97CB2">
        <w:trPr>
          <w:trHeight w:val="567"/>
          <w:jc w:val="center"/>
        </w:trPr>
        <w:tc>
          <w:tcPr>
            <w:tcW w:w="6940" w:type="dxa"/>
            <w:vMerge/>
            <w:tcBorders>
              <w:right w:val="single" w:sz="4" w:space="0" w:color="auto"/>
            </w:tcBorders>
          </w:tcPr>
          <w:p w14:paraId="39E5E4C1" w14:textId="77777777" w:rsidR="000A03B2" w:rsidRPr="00812EBC"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812EBC" w:rsidRDefault="000A03B2" w:rsidP="00CD5FE2">
            <w:pPr>
              <w:spacing w:line="140" w:lineRule="atLeast"/>
              <w:jc w:val="right"/>
              <w:rPr>
                <w:rFonts w:cs="Arial"/>
                <w:sz w:val="14"/>
                <w:szCs w:val="14"/>
              </w:rPr>
            </w:pPr>
            <w:r w:rsidRPr="00812EBC">
              <w:rPr>
                <w:rFonts w:cs="Arial"/>
                <w:sz w:val="14"/>
                <w:szCs w:val="14"/>
              </w:rPr>
              <w:t>The Italian Association</w:t>
            </w:r>
          </w:p>
          <w:p w14:paraId="7522B1D2" w14:textId="77777777" w:rsidR="000A03B2" w:rsidRPr="00812EBC" w:rsidRDefault="000A03B2" w:rsidP="00CD5FE2">
            <w:pPr>
              <w:spacing w:line="140" w:lineRule="atLeast"/>
              <w:jc w:val="right"/>
              <w:rPr>
                <w:rFonts w:cs="Arial"/>
                <w:sz w:val="14"/>
                <w:szCs w:val="14"/>
              </w:rPr>
            </w:pPr>
            <w:r w:rsidRPr="00812EBC">
              <w:rPr>
                <w:rFonts w:cs="Arial"/>
                <w:sz w:val="14"/>
                <w:szCs w:val="14"/>
              </w:rPr>
              <w:t>of Chemical Engineering</w:t>
            </w:r>
          </w:p>
          <w:p w14:paraId="4F0CC5DE" w14:textId="47FDB2FC" w:rsidR="000A03B2" w:rsidRPr="00812EBC" w:rsidRDefault="000D0268" w:rsidP="00CD5FE2">
            <w:pPr>
              <w:spacing w:line="140" w:lineRule="atLeast"/>
              <w:jc w:val="right"/>
              <w:rPr>
                <w:rFonts w:cs="Arial"/>
                <w:sz w:val="13"/>
                <w:szCs w:val="13"/>
              </w:rPr>
            </w:pPr>
            <w:r w:rsidRPr="00812EBC">
              <w:rPr>
                <w:rFonts w:cs="Arial"/>
                <w:sz w:val="13"/>
                <w:szCs w:val="13"/>
              </w:rPr>
              <w:t>Online at www.cetjournal.it</w:t>
            </w:r>
          </w:p>
        </w:tc>
      </w:tr>
      <w:tr w:rsidR="000A03B2" w:rsidRPr="00812EBC" w14:paraId="2D1B7169" w14:textId="77777777" w:rsidTr="00C97CB2">
        <w:trPr>
          <w:trHeight w:val="68"/>
          <w:jc w:val="center"/>
        </w:trPr>
        <w:tc>
          <w:tcPr>
            <w:tcW w:w="8782" w:type="dxa"/>
            <w:gridSpan w:val="2"/>
          </w:tcPr>
          <w:p w14:paraId="1D8DD3C9" w14:textId="025D7B18" w:rsidR="00AA7D26" w:rsidRPr="00812EBC" w:rsidRDefault="00AA7D26" w:rsidP="007D610D">
            <w:pPr>
              <w:ind w:left="-107"/>
              <w:outlineLvl w:val="2"/>
              <w:rPr>
                <w:rFonts w:ascii="Tahoma" w:hAnsi="Tahoma" w:cs="Tahoma"/>
                <w:color w:val="000000"/>
                <w:sz w:val="14"/>
                <w:szCs w:val="14"/>
                <w:shd w:val="clear" w:color="auto" w:fill="FFFFFF"/>
                <w:lang w:val="it-IT"/>
              </w:rPr>
            </w:pPr>
            <w:r w:rsidRPr="00812EBC">
              <w:rPr>
                <w:rFonts w:ascii="Tahoma" w:hAnsi="Tahoma" w:cs="Tahoma"/>
                <w:iCs/>
                <w:color w:val="333333"/>
                <w:sz w:val="14"/>
                <w:szCs w:val="14"/>
                <w:lang w:val="it-IT" w:eastAsia="it-IT"/>
              </w:rPr>
              <w:t>Guest Editors:</w:t>
            </w:r>
            <w:r w:rsidR="007D610D" w:rsidRPr="00812EBC">
              <w:rPr>
                <w:rFonts w:ascii="Aptos" w:eastAsiaTheme="minorHAnsi" w:hAnsi="Aptos" w:cs="Aptos"/>
                <w:sz w:val="22"/>
                <w:szCs w:val="22"/>
                <w:lang w:val="it-IT"/>
                <w14:ligatures w14:val="standardContextual"/>
              </w:rPr>
              <w:t xml:space="preserve"> </w:t>
            </w:r>
            <w:r w:rsidR="007D610D" w:rsidRPr="00812EBC">
              <w:rPr>
                <w:rFonts w:ascii="Tahoma" w:hAnsi="Tahoma" w:cs="Tahoma"/>
                <w:color w:val="000000"/>
                <w:sz w:val="14"/>
                <w:szCs w:val="14"/>
                <w:shd w:val="clear" w:color="auto" w:fill="FFFFFF"/>
                <w:lang w:val="it-IT"/>
              </w:rPr>
              <w:t xml:space="preserve">Fabrizio Bezzo, </w:t>
            </w:r>
            <w:r w:rsidR="001D3D32" w:rsidRPr="00812EBC">
              <w:rPr>
                <w:rFonts w:ascii="Tahoma" w:hAnsi="Tahoma" w:cs="Tahoma"/>
                <w:color w:val="000000"/>
                <w:sz w:val="14"/>
                <w:szCs w:val="14"/>
                <w:shd w:val="clear" w:color="auto" w:fill="FFFFFF"/>
                <w:lang w:val="it-IT"/>
              </w:rPr>
              <w:t>Flavio Manenti</w:t>
            </w:r>
            <w:r w:rsidR="00304CE8" w:rsidRPr="00812EBC">
              <w:rPr>
                <w:rFonts w:ascii="Tahoma" w:hAnsi="Tahoma" w:cs="Tahoma"/>
                <w:color w:val="000000"/>
                <w:sz w:val="14"/>
                <w:szCs w:val="14"/>
                <w:shd w:val="clear" w:color="auto" w:fill="FFFFFF"/>
                <w:lang w:val="it-IT"/>
              </w:rPr>
              <w:t>,</w:t>
            </w:r>
            <w:r w:rsidR="001D3D32" w:rsidRPr="00812EBC">
              <w:rPr>
                <w:rFonts w:ascii="Tahoma" w:hAnsi="Tahoma" w:cs="Tahoma"/>
                <w:color w:val="000000"/>
                <w:sz w:val="14"/>
                <w:szCs w:val="14"/>
                <w:shd w:val="clear" w:color="auto" w:fill="FFFFFF"/>
                <w:lang w:val="it-IT"/>
              </w:rPr>
              <w:t xml:space="preserve"> </w:t>
            </w:r>
            <w:r w:rsidR="007D610D" w:rsidRPr="00812EBC">
              <w:rPr>
                <w:rFonts w:ascii="Tahoma" w:hAnsi="Tahoma" w:cs="Tahoma"/>
                <w:color w:val="000000"/>
                <w:sz w:val="14"/>
                <w:szCs w:val="14"/>
                <w:shd w:val="clear" w:color="auto" w:fill="FFFFFF"/>
                <w:lang w:val="it-IT"/>
              </w:rPr>
              <w:t>Gabriele Pannocchia, Almerinda di Benedetto</w:t>
            </w:r>
          </w:p>
          <w:p w14:paraId="1B0F1814" w14:textId="7C54DC3A" w:rsidR="000A03B2" w:rsidRPr="00812EBC" w:rsidRDefault="00AA7D26" w:rsidP="00AA7D26">
            <w:pPr>
              <w:tabs>
                <w:tab w:val="left" w:pos="-108"/>
              </w:tabs>
              <w:spacing w:line="140" w:lineRule="atLeast"/>
              <w:ind w:left="-107"/>
              <w:jc w:val="left"/>
            </w:pPr>
            <w:r w:rsidRPr="00812EBC">
              <w:rPr>
                <w:rFonts w:ascii="Tahoma" w:hAnsi="Tahoma" w:cs="Tahoma"/>
                <w:iCs/>
                <w:color w:val="333333"/>
                <w:sz w:val="14"/>
                <w:szCs w:val="14"/>
                <w:lang w:eastAsia="it-IT"/>
              </w:rPr>
              <w:t>Copyright © 202</w:t>
            </w:r>
            <w:r w:rsidR="00994C6A" w:rsidRPr="00812EBC">
              <w:rPr>
                <w:rFonts w:ascii="Tahoma" w:hAnsi="Tahoma" w:cs="Tahoma"/>
                <w:iCs/>
                <w:color w:val="333333"/>
                <w:sz w:val="14"/>
                <w:szCs w:val="14"/>
                <w:lang w:eastAsia="it-IT"/>
              </w:rPr>
              <w:t>5</w:t>
            </w:r>
            <w:r w:rsidRPr="00812EBC">
              <w:rPr>
                <w:rFonts w:ascii="Tahoma" w:hAnsi="Tahoma" w:cs="Tahoma"/>
                <w:iCs/>
                <w:color w:val="333333"/>
                <w:sz w:val="14"/>
                <w:szCs w:val="14"/>
                <w:lang w:eastAsia="it-IT"/>
              </w:rPr>
              <w:t xml:space="preserve">, AIDIC </w:t>
            </w:r>
            <w:proofErr w:type="spellStart"/>
            <w:r w:rsidRPr="00812EBC">
              <w:rPr>
                <w:rFonts w:ascii="Tahoma" w:hAnsi="Tahoma" w:cs="Tahoma"/>
                <w:iCs/>
                <w:color w:val="333333"/>
                <w:sz w:val="14"/>
                <w:szCs w:val="14"/>
                <w:lang w:eastAsia="it-IT"/>
              </w:rPr>
              <w:t>Servizi</w:t>
            </w:r>
            <w:proofErr w:type="spellEnd"/>
            <w:r w:rsidRPr="00812EBC">
              <w:rPr>
                <w:rFonts w:ascii="Tahoma" w:hAnsi="Tahoma" w:cs="Tahoma"/>
                <w:iCs/>
                <w:color w:val="333333"/>
                <w:sz w:val="14"/>
                <w:szCs w:val="14"/>
                <w:lang w:eastAsia="it-IT"/>
              </w:rPr>
              <w:t xml:space="preserve"> </w:t>
            </w:r>
            <w:proofErr w:type="spellStart"/>
            <w:r w:rsidRPr="00812EBC">
              <w:rPr>
                <w:rFonts w:ascii="Tahoma" w:hAnsi="Tahoma" w:cs="Tahoma"/>
                <w:iCs/>
                <w:color w:val="333333"/>
                <w:sz w:val="14"/>
                <w:szCs w:val="14"/>
                <w:lang w:eastAsia="it-IT"/>
              </w:rPr>
              <w:t>S.r.l</w:t>
            </w:r>
            <w:proofErr w:type="spellEnd"/>
            <w:r w:rsidRPr="00812EBC">
              <w:rPr>
                <w:rFonts w:ascii="Tahoma" w:hAnsi="Tahoma" w:cs="Tahoma"/>
                <w:iCs/>
                <w:color w:val="333333"/>
                <w:sz w:val="14"/>
                <w:szCs w:val="14"/>
                <w:lang w:eastAsia="it-IT"/>
              </w:rPr>
              <w:t>.</w:t>
            </w:r>
            <w:r w:rsidRPr="00812EBC">
              <w:rPr>
                <w:rFonts w:ascii="Tahoma" w:hAnsi="Tahoma" w:cs="Tahoma"/>
                <w:iCs/>
                <w:color w:val="333333"/>
                <w:sz w:val="14"/>
                <w:szCs w:val="14"/>
                <w:lang w:eastAsia="it-IT"/>
              </w:rPr>
              <w:br/>
            </w:r>
            <w:r w:rsidRPr="00812EBC">
              <w:rPr>
                <w:rFonts w:ascii="Tahoma" w:hAnsi="Tahoma" w:cs="Tahoma"/>
                <w:b/>
                <w:iCs/>
                <w:color w:val="000000"/>
                <w:sz w:val="14"/>
                <w:szCs w:val="14"/>
                <w:lang w:eastAsia="it-IT"/>
              </w:rPr>
              <w:t>ISBN</w:t>
            </w:r>
            <w:r w:rsidRPr="00812EBC">
              <w:rPr>
                <w:rFonts w:ascii="Tahoma" w:hAnsi="Tahoma" w:cs="Tahoma"/>
                <w:iCs/>
                <w:color w:val="000000"/>
                <w:sz w:val="14"/>
                <w:szCs w:val="14"/>
                <w:lang w:eastAsia="it-IT"/>
              </w:rPr>
              <w:t xml:space="preserve"> </w:t>
            </w:r>
            <w:r w:rsidR="003B49CD" w:rsidRPr="00812EBC">
              <w:rPr>
                <w:rFonts w:ascii="Tahoma" w:hAnsi="Tahoma" w:cs="Tahoma"/>
                <w:sz w:val="14"/>
                <w:szCs w:val="14"/>
              </w:rPr>
              <w:t>979-12-81206-1</w:t>
            </w:r>
            <w:r w:rsidR="00994C6A" w:rsidRPr="00812EBC">
              <w:rPr>
                <w:rFonts w:ascii="Tahoma" w:hAnsi="Tahoma" w:cs="Tahoma"/>
                <w:sz w:val="14"/>
                <w:szCs w:val="14"/>
              </w:rPr>
              <w:t>7</w:t>
            </w:r>
            <w:r w:rsidR="003B49CD" w:rsidRPr="00812EBC">
              <w:rPr>
                <w:rFonts w:ascii="Tahoma" w:hAnsi="Tahoma" w:cs="Tahoma"/>
                <w:sz w:val="14"/>
                <w:szCs w:val="14"/>
              </w:rPr>
              <w:t>-</w:t>
            </w:r>
            <w:r w:rsidR="00994C6A" w:rsidRPr="00812EBC">
              <w:rPr>
                <w:rFonts w:ascii="Tahoma" w:hAnsi="Tahoma" w:cs="Tahoma"/>
                <w:sz w:val="14"/>
                <w:szCs w:val="14"/>
              </w:rPr>
              <w:t>5</w:t>
            </w:r>
            <w:r w:rsidRPr="00812EBC">
              <w:rPr>
                <w:rFonts w:ascii="Tahoma" w:hAnsi="Tahoma" w:cs="Tahoma"/>
                <w:iCs/>
                <w:color w:val="333333"/>
                <w:sz w:val="14"/>
                <w:szCs w:val="14"/>
                <w:lang w:eastAsia="it-IT"/>
              </w:rPr>
              <w:t xml:space="preserve">; </w:t>
            </w:r>
            <w:r w:rsidRPr="00812EBC">
              <w:rPr>
                <w:rFonts w:ascii="Tahoma" w:hAnsi="Tahoma" w:cs="Tahoma"/>
                <w:b/>
                <w:iCs/>
                <w:color w:val="333333"/>
                <w:sz w:val="14"/>
                <w:szCs w:val="14"/>
                <w:lang w:eastAsia="it-IT"/>
              </w:rPr>
              <w:t>ISSN</w:t>
            </w:r>
            <w:r w:rsidRPr="00812EBC">
              <w:rPr>
                <w:rFonts w:ascii="Tahoma" w:hAnsi="Tahoma" w:cs="Tahoma"/>
                <w:iCs/>
                <w:color w:val="333333"/>
                <w:sz w:val="14"/>
                <w:szCs w:val="14"/>
                <w:lang w:eastAsia="it-IT"/>
              </w:rPr>
              <w:t xml:space="preserve"> 2283-9216</w:t>
            </w:r>
          </w:p>
        </w:tc>
      </w:tr>
    </w:tbl>
    <w:bookmarkEnd w:id="0"/>
    <w:p w14:paraId="2E667253" w14:textId="277023BC" w:rsidR="00E978D0" w:rsidRPr="00812EBC" w:rsidRDefault="00C97CB2" w:rsidP="00E978D0">
      <w:pPr>
        <w:pStyle w:val="CETTitle"/>
      </w:pPr>
      <w:r w:rsidRPr="00812EBC">
        <w:t>Modelling a Gasification Process for Agricultural Waste using G</w:t>
      </w:r>
      <w:r w:rsidR="002D239D" w:rsidRPr="00812EBC">
        <w:t>as</w:t>
      </w:r>
      <w:r w:rsidRPr="00812EBC">
        <w:t>DS and Validation with Experimental Data</w:t>
      </w:r>
    </w:p>
    <w:p w14:paraId="0488FED2" w14:textId="51E0AB08" w:rsidR="00B57E6F" w:rsidRPr="00812EBC" w:rsidRDefault="00C97CB2" w:rsidP="00B57E6F">
      <w:pPr>
        <w:pStyle w:val="CETAuthors"/>
        <w:rPr>
          <w:lang w:val="it-IT"/>
        </w:rPr>
      </w:pPr>
      <w:r w:rsidRPr="00812EBC">
        <w:rPr>
          <w:lang w:val="it-IT"/>
        </w:rPr>
        <w:t>Muhammad S. Mansha</w:t>
      </w:r>
      <w:r w:rsidRPr="00812EBC">
        <w:rPr>
          <w:vertAlign w:val="superscript"/>
          <w:lang w:val="it-IT"/>
        </w:rPr>
        <w:t>a</w:t>
      </w:r>
      <w:r w:rsidRPr="00812EBC">
        <w:rPr>
          <w:lang w:val="it-IT"/>
        </w:rPr>
        <w:t>*, Francesco Negri</w:t>
      </w:r>
      <w:r w:rsidRPr="00812EBC">
        <w:rPr>
          <w:vertAlign w:val="superscript"/>
          <w:lang w:val="it-IT"/>
        </w:rPr>
        <w:t>b</w:t>
      </w:r>
      <w:r w:rsidR="00430367" w:rsidRPr="00812EBC">
        <w:rPr>
          <w:vertAlign w:val="superscript"/>
          <w:lang w:val="it-IT"/>
        </w:rPr>
        <w:t>,c</w:t>
      </w:r>
      <w:r w:rsidRPr="00812EBC">
        <w:rPr>
          <w:lang w:val="it-IT"/>
        </w:rPr>
        <w:t>, Cristina E. Moliner</w:t>
      </w:r>
      <w:r w:rsidRPr="00812EBC">
        <w:rPr>
          <w:vertAlign w:val="superscript"/>
          <w:lang w:val="it-IT"/>
        </w:rPr>
        <w:t>a</w:t>
      </w:r>
      <w:r w:rsidRPr="00812EBC">
        <w:rPr>
          <w:lang w:val="it-IT"/>
        </w:rPr>
        <w:t>, Flavio Manenti</w:t>
      </w:r>
      <w:r w:rsidRPr="00812EBC">
        <w:rPr>
          <w:vertAlign w:val="superscript"/>
          <w:lang w:val="it-IT"/>
        </w:rPr>
        <w:t>b</w:t>
      </w:r>
      <w:r w:rsidRPr="00812EBC">
        <w:rPr>
          <w:lang w:val="it-IT"/>
        </w:rPr>
        <w:t>, Elisabetta Arato</w:t>
      </w:r>
      <w:r w:rsidRPr="00812EBC">
        <w:rPr>
          <w:vertAlign w:val="superscript"/>
          <w:lang w:val="it-IT"/>
        </w:rPr>
        <w:t>a</w:t>
      </w:r>
      <w:r w:rsidRPr="00812EBC">
        <w:rPr>
          <w:lang w:val="it-IT"/>
        </w:rPr>
        <w:t xml:space="preserve"> </w:t>
      </w:r>
    </w:p>
    <w:p w14:paraId="2E4FFE77" w14:textId="77777777" w:rsidR="00C97CB2" w:rsidRPr="00812EBC" w:rsidRDefault="00B57E6F" w:rsidP="00B57E6F">
      <w:pPr>
        <w:pStyle w:val="CETAddress"/>
        <w:rPr>
          <w:lang w:val="it-IT"/>
        </w:rPr>
      </w:pPr>
      <w:r w:rsidRPr="00812EBC">
        <w:rPr>
          <w:vertAlign w:val="superscript"/>
          <w:lang w:val="it-IT"/>
        </w:rPr>
        <w:t>a</w:t>
      </w:r>
      <w:r w:rsidR="00C97CB2" w:rsidRPr="00812EBC">
        <w:rPr>
          <w:lang w:val="it-IT"/>
        </w:rPr>
        <w:t>Dipartimento di Ingegneria Civile, Chimica e Ambientale (DICCA), Università degli Studi di Genova, Genova (Italy)</w:t>
      </w:r>
    </w:p>
    <w:p w14:paraId="40B13B92" w14:textId="77777777" w:rsidR="00430367" w:rsidRPr="00812EBC" w:rsidRDefault="00B57E6F" w:rsidP="00C97CB2">
      <w:pPr>
        <w:pStyle w:val="CETAddress"/>
        <w:rPr>
          <w:lang w:val="it-IT"/>
        </w:rPr>
      </w:pPr>
      <w:r w:rsidRPr="00812EBC">
        <w:rPr>
          <w:vertAlign w:val="superscript"/>
          <w:lang w:val="it-IT"/>
        </w:rPr>
        <w:t>b</w:t>
      </w:r>
      <w:r w:rsidR="00C97CB2" w:rsidRPr="00812EBC">
        <w:rPr>
          <w:lang w:val="it-IT"/>
        </w:rPr>
        <w:t>Politecnico di Milano, Dipartimento di Chimica, Materiali e Ingegneria Chimica “Giulio Natta”, Milano (Italy)</w:t>
      </w:r>
    </w:p>
    <w:p w14:paraId="73F4FECA" w14:textId="30104179" w:rsidR="00430367" w:rsidRPr="00812EBC" w:rsidRDefault="00430367" w:rsidP="00C97CB2">
      <w:pPr>
        <w:pStyle w:val="CETAddress"/>
        <w:rPr>
          <w:lang w:val="it-IT"/>
        </w:rPr>
      </w:pPr>
      <w:r w:rsidRPr="00812EBC">
        <w:rPr>
          <w:vertAlign w:val="superscript"/>
          <w:lang w:val="it-IT"/>
        </w:rPr>
        <w:t>c</w:t>
      </w:r>
      <w:r w:rsidRPr="00812EBC">
        <w:rPr>
          <w:lang w:val="it-IT"/>
        </w:rPr>
        <w:t>Itelyum Regeneration S.p.A., Via Tavernelle 19, Pieve Fissiraga 26854, Lodi, Italy</w:t>
      </w:r>
    </w:p>
    <w:p w14:paraId="6D09E93D" w14:textId="1D05028D" w:rsidR="00C97CB2" w:rsidRPr="00812EBC" w:rsidRDefault="00B914F5" w:rsidP="00C97CB2">
      <w:pPr>
        <w:pStyle w:val="CETAddress"/>
        <w:rPr>
          <w:lang w:val="it-IT"/>
        </w:rPr>
      </w:pPr>
      <w:hyperlink r:id="rId10" w:history="1">
        <w:r w:rsidR="00012E37" w:rsidRPr="00812EBC">
          <w:rPr>
            <w:rStyle w:val="Collegamentoipertestuale"/>
            <w:lang w:val="it-IT"/>
          </w:rPr>
          <w:t>muhammad.saadmansha@edu.unige.it</w:t>
        </w:r>
      </w:hyperlink>
    </w:p>
    <w:p w14:paraId="7C2062BB" w14:textId="77777777" w:rsidR="0089755F" w:rsidRPr="00812EBC" w:rsidRDefault="0089755F" w:rsidP="00C97CB2">
      <w:pPr>
        <w:pStyle w:val="CETAddress"/>
        <w:rPr>
          <w:lang w:val="it-IT"/>
        </w:rPr>
      </w:pPr>
    </w:p>
    <w:p w14:paraId="0982090A" w14:textId="54D9EFE0" w:rsidR="0089755F" w:rsidRPr="00812EBC" w:rsidRDefault="0089755F" w:rsidP="0089755F">
      <w:pPr>
        <w:pStyle w:val="CETnumberingbullets"/>
        <w:numPr>
          <w:ilvl w:val="0"/>
          <w:numId w:val="0"/>
        </w:numPr>
        <w:jc w:val="both"/>
        <w:rPr>
          <w:b/>
          <w:bCs/>
          <w:lang w:val="it-IT"/>
        </w:rPr>
      </w:pPr>
      <w:r w:rsidRPr="00812EBC">
        <w:rPr>
          <w:b/>
          <w:bCs/>
          <w:lang w:val="it-IT"/>
        </w:rPr>
        <w:t>Abstract</w:t>
      </w:r>
    </w:p>
    <w:p w14:paraId="38F76186" w14:textId="6279CDAB" w:rsidR="006A6DE5" w:rsidRPr="00812EBC" w:rsidRDefault="00314CF4" w:rsidP="00150E2E">
      <w:pPr>
        <w:pStyle w:val="CETnumberingbullets"/>
        <w:numPr>
          <w:ilvl w:val="0"/>
          <w:numId w:val="0"/>
        </w:numPr>
        <w:jc w:val="both"/>
      </w:pPr>
      <w:bookmarkStart w:id="1" w:name="_Hlk495475023"/>
      <w:r w:rsidRPr="00812EBC">
        <w:t xml:space="preserve">Gasification is a highly efficient thermochemical process that </w:t>
      </w:r>
      <w:r w:rsidR="000B6395" w:rsidRPr="00812EBC">
        <w:t xml:space="preserve">can </w:t>
      </w:r>
      <w:r w:rsidRPr="00812EBC">
        <w:t xml:space="preserve">transform biomass into syngas—a mixture of hydrogen, carbon monoxide—through partial oxidation at elevated temperatures, making it an </w:t>
      </w:r>
      <w:r w:rsidR="009E6151" w:rsidRPr="00812EBC">
        <w:t>attractive waste</w:t>
      </w:r>
      <w:r w:rsidR="007D0DD5" w:rsidRPr="00812EBC">
        <w:t xml:space="preserve"> recovery </w:t>
      </w:r>
      <w:r w:rsidRPr="00812EBC">
        <w:t>solution with reduced emissions. This study examines the gasification of prunings of apple trees (PAT) and wood pellets (WP), selected for their abundance and renewable potential</w:t>
      </w:r>
      <w:r w:rsidR="00A32E8C" w:rsidRPr="00812EBC">
        <w:t>.</w:t>
      </w:r>
      <w:r w:rsidRPr="00812EBC">
        <w:t xml:space="preserve"> </w:t>
      </w:r>
      <w:r w:rsidR="00A32E8C" w:rsidRPr="00812EBC">
        <w:t>T</w:t>
      </w:r>
      <w:r w:rsidRPr="00812EBC">
        <w:t>he G</w:t>
      </w:r>
      <w:r w:rsidR="002D239D" w:rsidRPr="00812EBC">
        <w:t>as</w:t>
      </w:r>
      <w:r w:rsidRPr="00812EBC">
        <w:t xml:space="preserve">DS simulation tool </w:t>
      </w:r>
      <w:r w:rsidR="00A32E8C" w:rsidRPr="00812EBC">
        <w:t xml:space="preserve">was used </w:t>
      </w:r>
      <w:r w:rsidRPr="00812EBC">
        <w:t xml:space="preserve">to </w:t>
      </w:r>
      <w:r w:rsidR="00A32E8C" w:rsidRPr="00812EBC">
        <w:t xml:space="preserve">analyse the influence of varying equivalence ratio (ER) on </w:t>
      </w:r>
      <w:r w:rsidR="0089755F" w:rsidRPr="00812EBC">
        <w:t xml:space="preserve">temperature, </w:t>
      </w:r>
      <w:r w:rsidR="00A32E8C" w:rsidRPr="00812EBC">
        <w:t xml:space="preserve">syngas yield and composition, and calorific values and the </w:t>
      </w:r>
      <w:r w:rsidRPr="00812EBC">
        <w:t xml:space="preserve">outputs </w:t>
      </w:r>
      <w:r w:rsidR="00A32E8C" w:rsidRPr="00812EBC">
        <w:t xml:space="preserve">were </w:t>
      </w:r>
      <w:r w:rsidRPr="00812EBC">
        <w:t>compared to experimental results using a spouted bed reactor</w:t>
      </w:r>
      <w:r w:rsidR="00A32E8C" w:rsidRPr="00812EBC">
        <w:t xml:space="preserve">. </w:t>
      </w:r>
      <w:r w:rsidR="004E5DD4" w:rsidRPr="00812EBC">
        <w:t>The results demonstrates that GasDS reliably predicts key gasification</w:t>
      </w:r>
      <w:r w:rsidR="000B6395" w:rsidRPr="00812EBC">
        <w:t xml:space="preserve"> products</w:t>
      </w:r>
      <w:r w:rsidR="004E5DD4" w:rsidRPr="00812EBC">
        <w:t xml:space="preserve"> trends</w:t>
      </w:r>
      <w:r w:rsidR="00A32E8C" w:rsidRPr="00812EBC">
        <w:t xml:space="preserve"> validating the model’s accuracy. </w:t>
      </w:r>
      <w:r w:rsidR="004E5DD4" w:rsidRPr="00812EBC">
        <w:t xml:space="preserve">By refining the model and incorporating diverse feedstocks, its predictive accuracy </w:t>
      </w:r>
      <w:r w:rsidR="00A32E8C" w:rsidRPr="00812EBC">
        <w:t xml:space="preserve">might </w:t>
      </w:r>
      <w:r w:rsidR="004E5DD4" w:rsidRPr="00812EBC">
        <w:t xml:space="preserve">be enhanced, thereby optimizing </w:t>
      </w:r>
      <w:r w:rsidR="000B6395" w:rsidRPr="00812EBC">
        <w:t xml:space="preserve">waste </w:t>
      </w:r>
      <w:r w:rsidR="004E5DD4" w:rsidRPr="00812EBC">
        <w:t>conversion for improved energy efficiency. These</w:t>
      </w:r>
      <w:r w:rsidRPr="00812EBC">
        <w:t xml:space="preserve"> findings underscore gasification's promise in sustainable waste management, offering a pathway to efficient, cleaner energy production and demonstrating the critical role of simulation tools in advancing waste</w:t>
      </w:r>
      <w:r w:rsidR="007D0DD5" w:rsidRPr="00812EBC">
        <w:t xml:space="preserve"> valorisation</w:t>
      </w:r>
      <w:r w:rsidRPr="00812EBC">
        <w:t xml:space="preserve"> technologies.</w:t>
      </w:r>
      <w:bookmarkEnd w:id="1"/>
      <w:r w:rsidR="006A6DE5" w:rsidRPr="00812EBC">
        <w:t xml:space="preserve"> </w:t>
      </w:r>
    </w:p>
    <w:p w14:paraId="476B2F2E" w14:textId="5F938637" w:rsidR="00600535" w:rsidRPr="00812EBC" w:rsidRDefault="00600535" w:rsidP="00600535">
      <w:pPr>
        <w:pStyle w:val="CETHeading1"/>
        <w:rPr>
          <w:lang w:val="en-GB"/>
        </w:rPr>
      </w:pPr>
      <w:r w:rsidRPr="00812EBC">
        <w:rPr>
          <w:lang w:val="en-GB"/>
        </w:rPr>
        <w:t>Introduction</w:t>
      </w:r>
    </w:p>
    <w:p w14:paraId="1417E684" w14:textId="60594061" w:rsidR="002B0F76" w:rsidRPr="00812EBC" w:rsidRDefault="002B0F76" w:rsidP="00150E2E">
      <w:pPr>
        <w:pStyle w:val="CETListbullets"/>
        <w:ind w:left="0" w:firstLine="0"/>
      </w:pPr>
      <w:r w:rsidRPr="00812EBC">
        <w:t xml:space="preserve">Waste management has advanced with recycling, composting, and waste-to-energy technologies, yet landfilling remains prevalent, causing environmental issues like groundwater contamination and greenhouse gas emissions </w:t>
      </w:r>
      <w:r w:rsidRPr="00812EBC">
        <w:fldChar w:fldCharType="begin"/>
      </w:r>
      <w:r w:rsidR="009F2993" w:rsidRPr="00812EBC">
        <w:instrText xml:space="preserve"> ADDIN ZOTERO_ITEM CSL_CITATION {"citationID":"vSHLURKJ","properties":{"formattedCitation":"(Suryawan and Lee, 2024)","plainCitation":"(Suryawan and Lee, 2024)","noteIndex":0},"citationItems":[{"id":166,"uris":["http://zotero.org/users/local/kxtbsN7x/items/MSSDZADM"],"itemData":{"id":166,"type":"article-journal","container-title":"Ecological Indicators","DOI":"10.1016/j.ecolind.2024.112191","ISSN":"1470160X","journalAbbreviation":"Ecological Indicators","language":"en","page":"112191","source":"DOI.org (Crossref)","title":"Achieving zero waste for landfills by employing adaptive municipal solid waste management services","volume":"165","author":[{"family":"Suryawan","given":"I Wayan Koko"},{"family":"Lee","given":"Chun-Hung"}],"issued":{"date-parts":[["2024",8]]}}}],"schema":"https://github.com/citation-style-language/schema/raw/master/csl-citation.json"} </w:instrText>
      </w:r>
      <w:r w:rsidRPr="00812EBC">
        <w:fldChar w:fldCharType="separate"/>
      </w:r>
      <w:r w:rsidR="009F2993" w:rsidRPr="00812EBC">
        <w:rPr>
          <w:rFonts w:cs="Arial"/>
        </w:rPr>
        <w:t>(Suryawan and Lee, 2024)</w:t>
      </w:r>
      <w:r w:rsidRPr="00812EBC">
        <w:fldChar w:fldCharType="end"/>
      </w:r>
      <w:r w:rsidRPr="00812EBC">
        <w:t>. The EU Landfill Directive targets a reduction of landfilled waste to 10% by 2035</w:t>
      </w:r>
      <w:r w:rsidR="00924576" w:rsidRPr="00812EBC">
        <w:rPr>
          <w:rFonts w:cs="Arial"/>
          <w:i/>
          <w:iCs/>
          <w:szCs w:val="24"/>
        </w:rPr>
        <w:t xml:space="preserve"> </w:t>
      </w:r>
      <w:r w:rsidR="00924576" w:rsidRPr="00812EBC">
        <w:rPr>
          <w:rFonts w:cs="Arial"/>
          <w:i/>
          <w:iCs/>
          <w:szCs w:val="24"/>
        </w:rPr>
        <w:fldChar w:fldCharType="begin"/>
      </w:r>
      <w:r w:rsidR="009F2993" w:rsidRPr="00812EBC">
        <w:rPr>
          <w:rFonts w:cs="Arial"/>
          <w:i/>
          <w:iCs/>
          <w:szCs w:val="24"/>
        </w:rPr>
        <w:instrText xml:space="preserve"> ADDIN ZOTERO_ITEM CSL_CITATION {"citationID":"iYkWvZJR","properties":{"formattedCitation":"(\\uc0\\u8220{}Economic instruments and separate collection systems \\uc0\\u8212{} key strategies to increase recycling,\\uc0\\u8221{} 2023)","plainCitation":"(“Economic instruments and separate collection systems — key strategies to increase recycling,” 2023)","noteIndex":0},"citationItems":[{"id":173,"uris":["http://zotero.org/users/local/kxtbsN7x/items/Y2XJMXA7"],"itemData":{"id":173,"type":"webpage","abstract":"The EU has set ambitious targets to improve municipal waste management. EU Member States need effective strategies and policy instruments to achieve these targets. This briefing provides an overview of some of the main instruments used across the EU and the performance of Member States so far.","container-title":"European Environment Agency","genre":"Briefing","language":"en","title":"Economic instruments and separate collection systems — key strategies to increase recycling","URL":"https://www.eea.europa.eu/publications/economic-instruments-and-separate-collection/economic-instruments-and-separate-collection","accessed":{"date-parts":[["2024",12,9]]},"issued":{"date-parts":[["2023",6]]}}}],"schema":"https://github.com/citation-style-language/schema/raw/master/csl-citation.json"} </w:instrText>
      </w:r>
      <w:r w:rsidR="00924576" w:rsidRPr="00812EBC">
        <w:rPr>
          <w:rFonts w:cs="Arial"/>
          <w:i/>
          <w:iCs/>
          <w:szCs w:val="24"/>
        </w:rPr>
        <w:fldChar w:fldCharType="separate"/>
      </w:r>
      <w:r w:rsidR="009F2993" w:rsidRPr="00812EBC">
        <w:rPr>
          <w:rFonts w:cs="Arial"/>
          <w:szCs w:val="24"/>
        </w:rPr>
        <w:t>(“Economic instruments and separate collection systems — key strategies to increase recycling,” 2023)</w:t>
      </w:r>
      <w:r w:rsidR="00924576" w:rsidRPr="00812EBC">
        <w:rPr>
          <w:rFonts w:cs="Arial"/>
          <w:i/>
          <w:iCs/>
          <w:szCs w:val="24"/>
        </w:rPr>
        <w:fldChar w:fldCharType="end"/>
      </w:r>
      <w:r w:rsidR="009E6151" w:rsidRPr="00812EBC">
        <w:t xml:space="preserve">. </w:t>
      </w:r>
      <w:r w:rsidRPr="00812EBC">
        <w:t xml:space="preserve">To further reduce waste, techniques such as lignocellulosic biomass fractionation, incineration, anaerobic digestion, pyrolysis, and gasification are being employed for resource recovery and energy production </w:t>
      </w:r>
      <w:r w:rsidRPr="00812EBC">
        <w:fldChar w:fldCharType="begin"/>
      </w:r>
      <w:r w:rsidRPr="00812EBC">
        <w:instrText xml:space="preserve"> ADDIN ZOTERO_ITEM CSL_CITATION {"citationID":"Btq7Nvg8","properties":{"formattedCitation":"(Santos et al., 2022)","plainCitation":"(Santos et al., 2022)","noteIndex":0},"citationItems":[{"id":148,"uris":["http://zotero.org/users/local/kxtbsN7x/items/3DFWFLUK"],"itemData":{"id":148,"type":"article-journal","abstract":"This paper aims to briefly overview gasification technologies of biomass and heterogeneous wastes as a means for syngas production. For this purpose, an overview of the existing technologies, their main advantages, limitations, and costs, as well as commercial plants and projects (lower TRL) operating with these technologies and syngas applications is presented. The type of technology and operating parameters should be selected considering the quality of the syngas as it will dictate its end use. Syngas quality is determined by the combination of feedstock properties, type of technology and process operating conditions, and the scale of operation. For smaller projects with a capacity of up to 10 MWth, fixed-bed technologies have been a recurring choice, while fluidized bed reactors can have an installed capacity above 100 MWth and are, therefore, more suitable for medium- and large-scale projects. Fluidized bed gasification technology supports feedstock flexibility, has scale-up potential, and presents relatively low cost, making it a suitable solution and a frequent choice for heterogeneous waste gasification in medium- or large-scale projects. Commercializing waste gasification technology is already a reality. However, more efforts need to be made so that pilot and demonstration projects can overcome the technological and economic problems and move towards commercialization.","container-title":"Waste","DOI":"10.3390/waste1010011","ISSN":"2813-0391","issue":"1","journalAbbreviation":"Waste","language":"en","license":"https://creativecommons.org/licenses/by/4.0/","page":"140-165","source":"DOI.org (Crossref)","title":"Waste Gasification Technologies: A Brief Overview","title-short":"Waste Gasification Technologies","volume":"1","author":[{"family":"Santos","given":"Santa Margarida"},{"family":"Assis","given":"Ana Carolina"},{"family":"Gomes","given":"Leandro"},{"family":"Nobre","given":"Catarina"},{"family":"Brito","given":"Paulo"}],"issued":{"date-parts":[["2022",12,17]]}}}],"schema":"https://github.com/citation-style-language/schema/raw/master/csl-citation.json"} </w:instrText>
      </w:r>
      <w:r w:rsidRPr="00812EBC">
        <w:fldChar w:fldCharType="separate"/>
      </w:r>
      <w:r w:rsidR="009F2993" w:rsidRPr="00812EBC">
        <w:rPr>
          <w:rFonts w:cs="Arial"/>
        </w:rPr>
        <w:t>(Santos et al., 2022)</w:t>
      </w:r>
      <w:r w:rsidRPr="00812EBC">
        <w:fldChar w:fldCharType="end"/>
      </w:r>
      <w:r w:rsidRPr="00812EBC">
        <w:t>. Gasification is a widely studied, commercially viable process for producing synthetic gas (syngas</w:t>
      </w:r>
      <w:r w:rsidR="000B6395" w:rsidRPr="00812EBC">
        <w:t xml:space="preserve">: </w:t>
      </w:r>
      <w:r w:rsidR="007D0DD5" w:rsidRPr="00812EBC">
        <w:t>H</w:t>
      </w:r>
      <w:r w:rsidR="007D0DD5" w:rsidRPr="00812EBC">
        <w:rPr>
          <w:rFonts w:ascii="Cambria Math" w:hAnsi="Cambria Math" w:cs="Cambria Math"/>
        </w:rPr>
        <w:t>₂</w:t>
      </w:r>
      <w:r w:rsidR="007D0DD5" w:rsidRPr="00812EBC">
        <w:t>, CO</w:t>
      </w:r>
      <w:r w:rsidRPr="00812EBC">
        <w:t xml:space="preserve">). It involves thermochemical conversion of waste at temperatures above 700°C, using </w:t>
      </w:r>
      <w:r w:rsidR="007D0DD5" w:rsidRPr="00812EBC">
        <w:t xml:space="preserve">oxidation </w:t>
      </w:r>
      <w:r w:rsidRPr="00812EBC">
        <w:t>agents like air, oxygen, steam, or CO</w:t>
      </w:r>
      <w:r w:rsidRPr="00812EBC">
        <w:rPr>
          <w:vertAlign w:val="subscript"/>
        </w:rPr>
        <w:t>2</w:t>
      </w:r>
      <w:r w:rsidRPr="00812EBC">
        <w:t xml:space="preserve"> </w:t>
      </w:r>
      <w:r w:rsidRPr="00812EBC">
        <w:fldChar w:fldCharType="begin"/>
      </w:r>
      <w:r w:rsidRPr="00812EBC">
        <w:instrText xml:space="preserve"> ADDIN ZOTERO_ITEM CSL_CITATION {"citationID":"YkI1P4Va","properties":{"formattedCitation":"(Hanchate et al., 2021)","plainCitation":"(Hanchate et al., 2021)","noteIndex":0},"citationItems":[{"id":150,"uris":["http://zotero.org/users/local/kxtbsN7x/items/QSTCRCLP"],"itemData":{"id":150,"type":"article-journal","container-title":"Journal of Cleaner Production","DOI":"10.1016/j.jclepro.2020.123148","ISSN":"09596526","journalAbbreviation":"Journal of Cleaner Production","language":"en","page":"123148","source":"DOI.org (Crossref)","title":"Biomass gasification using dual fluidized bed gasification systems: A review","title-short":"Biomass gasification using dual fluidized bed gasification systems","volume":"280","author":[{"family":"Hanchate","given":"Naresh"},{"family":"Ramani","given":"Sudha"},{"family":"Mathpati","given":"C.S."},{"family":"Dalvi","given":"Vishwanath H."}],"issued":{"date-parts":[["2021",1]]}}}],"schema":"https://github.com/citation-style-language/schema/raw/master/csl-citation.json"} </w:instrText>
      </w:r>
      <w:r w:rsidRPr="00812EBC">
        <w:fldChar w:fldCharType="separate"/>
      </w:r>
      <w:r w:rsidR="009F2993" w:rsidRPr="00812EBC">
        <w:rPr>
          <w:rFonts w:cs="Arial"/>
        </w:rPr>
        <w:t>(Hanchate et al., 2021)</w:t>
      </w:r>
      <w:r w:rsidRPr="00812EBC">
        <w:fldChar w:fldCharType="end"/>
      </w:r>
      <w:r w:rsidRPr="00812EBC">
        <w:t xml:space="preserve">. Biomass, as a renewable resource, supports sustainable production of heat, electricity, and biofuels. Different gasifier types (fixed bed, fluidized bed, spouted bed, entrained-flow, plasma) enable diverse outputs such as electricity, chemicals, fuels, and hydrogen, making it a versatile industrial process </w:t>
      </w:r>
      <w:r w:rsidRPr="00812EBC">
        <w:fldChar w:fldCharType="begin"/>
      </w:r>
      <w:r w:rsidRPr="00812EBC">
        <w:instrText xml:space="preserve"> ADDIN ZOTERO_ITEM CSL_CITATION {"citationID":"swQvaSy9","properties":{"formattedCitation":"(Tezer et al., 2022)","plainCitation":"(Tezer et al., 2022)","noteIndex":0},"citationItems":[{"id":151,"uris":["http://zotero.org/users/local/kxtbsN7x/items/MVL5QRAT"],"itemData":{"id":151,"type":"article-journal","container-title":"International Journal of Hydrogen Energy","DOI":"10.1016/j.ijhydene.2022.02.158","ISSN":"03603199","issue":"34","journalAbbreviation":"International Journal of Hydrogen Energy","language":"en","page":"15419-15433","source":"DOI.org (Crossref)","title":"Biomass gasification for sustainable energy production: A review","title-short":"Biomass gasification for sustainable energy production","volume":"47","author":[{"family":"Tezer","given":"Özgün"},{"family":"Karabağ","given":"Nazlıcan"},{"family":"Öngen","given":"Atakan"},{"family":"Çolpan","given":"Can Özgür"},{"family":"Ayol","given":"Azize"}],"issued":{"date-parts":[["2022",4]]}}}],"schema":"https://github.com/citation-style-language/schema/raw/master/csl-citation.json"} </w:instrText>
      </w:r>
      <w:r w:rsidRPr="00812EBC">
        <w:fldChar w:fldCharType="separate"/>
      </w:r>
      <w:r w:rsidR="009F2993" w:rsidRPr="00812EBC">
        <w:rPr>
          <w:rFonts w:cs="Arial"/>
        </w:rPr>
        <w:t>(Tezer et al., 2022)</w:t>
      </w:r>
      <w:r w:rsidRPr="00812EBC">
        <w:fldChar w:fldCharType="end"/>
      </w:r>
      <w:r w:rsidRPr="00812EBC">
        <w:t>. In current work</w:t>
      </w:r>
      <w:r w:rsidR="000B6395" w:rsidRPr="00812EBC">
        <w:t>,</w:t>
      </w:r>
      <w:r w:rsidRPr="00812EBC">
        <w:t xml:space="preserve"> the exploitation of Pruning of Apple Tree (PAT) and Wood P</w:t>
      </w:r>
      <w:r w:rsidR="000B6395" w:rsidRPr="00812EBC">
        <w:t>e</w:t>
      </w:r>
      <w:r w:rsidRPr="00812EBC">
        <w:t xml:space="preserve">llets (WP) for syngas production is investigated via a Spouted Bed Pilot Gasification Plant based in </w:t>
      </w:r>
      <w:r w:rsidR="007D0DD5" w:rsidRPr="00812EBC">
        <w:t xml:space="preserve">Biella </w:t>
      </w:r>
      <w:r w:rsidRPr="00812EBC">
        <w:t xml:space="preserve">(Italy). The Spouted Bed Reactor </w:t>
      </w:r>
      <w:r w:rsidR="007D0DD5" w:rsidRPr="00812EBC">
        <w:t>(</w:t>
      </w:r>
      <w:r w:rsidRPr="00812EBC">
        <w:t>SBR</w:t>
      </w:r>
      <w:r w:rsidR="007D0DD5" w:rsidRPr="00812EBC">
        <w:t>)</w:t>
      </w:r>
      <w:r w:rsidRPr="00812EBC">
        <w:t xml:space="preserve"> is designed to operate with capacity of 200 g/min of biomass able to provide 20kWth. </w:t>
      </w:r>
      <w:r w:rsidR="007D0DD5" w:rsidRPr="00812EBC">
        <w:t xml:space="preserve">The </w:t>
      </w:r>
      <w:r w:rsidRPr="00812EBC">
        <w:t xml:space="preserve">pyramidal </w:t>
      </w:r>
      <w:r w:rsidR="007D0DD5" w:rsidRPr="00812EBC">
        <w:t xml:space="preserve">reactor </w:t>
      </w:r>
      <w:r w:rsidRPr="00812EBC">
        <w:t>has 0.2</w:t>
      </w:r>
      <w:r w:rsidR="007D0DD5" w:rsidRPr="00812EBC">
        <w:t xml:space="preserve"> </w:t>
      </w:r>
      <w:r w:rsidRPr="00812EBC">
        <w:t>m length of its square base, 1.3</w:t>
      </w:r>
      <w:r w:rsidR="007D0DD5" w:rsidRPr="00812EBC">
        <w:t xml:space="preserve"> </w:t>
      </w:r>
      <w:r w:rsidRPr="00812EBC">
        <w:t>m height and 21</w:t>
      </w:r>
      <w:r w:rsidR="007D0DD5" w:rsidRPr="00812EBC">
        <w:t xml:space="preserve"> </w:t>
      </w:r>
      <w:r w:rsidRPr="00812EBC">
        <w:t xml:space="preserve">mm spouting orifice diameter with 60° inclination of side at spouted base </w:t>
      </w:r>
      <w:r w:rsidRPr="00812EBC">
        <w:fldChar w:fldCharType="begin"/>
      </w:r>
      <w:r w:rsidRPr="00812EBC">
        <w:instrText xml:space="preserve"> ADDIN ZOTERO_ITEM CSL_CITATION {"citationID":"GZ3rpvOf","properties":{"formattedCitation":"(Bove et al., 2019)","plainCitation":"(Bove et al., 2019)","noteIndex":0},"citationItems":[{"id":152,"uris":["http://zotero.org/users/local/kxtbsN7x/items/B9HEPRRJ"],"itemData":{"id":152,"type":"article-journal","abstract":"Abstract\n            \n              \n              \n                The initial setting up and preliminary tests on a square</w:instrText>
      </w:r>
      <w:r w:rsidRPr="00812EBC">
        <w:rPr>
          <w:rFonts w:ascii="Cambria Math" w:hAnsi="Cambria Math" w:cs="Cambria Math"/>
        </w:rPr>
        <w:instrText>‐</w:instrText>
      </w:r>
      <w:r w:rsidRPr="00812EBC">
        <w:instrText>based spouted bed gasifier at pilot scale (20</w:instrText>
      </w:r>
      <w:r w:rsidRPr="00812EBC">
        <w:rPr>
          <w:rFonts w:cs="Arial"/>
        </w:rPr>
        <w:instrText> </w:instrText>
      </w:r>
      <w:r w:rsidRPr="00812EBC">
        <w:instrText>kW\n                th\n                ) have been investigated. The novel plant is composed of: a squared</w:instrText>
      </w:r>
      <w:r w:rsidRPr="00812EBC">
        <w:rPr>
          <w:rFonts w:ascii="Cambria Math" w:hAnsi="Cambria Math" w:cs="Cambria Math"/>
        </w:rPr>
        <w:instrText>‐</w:instrText>
      </w:r>
      <w:r w:rsidRPr="00812EBC">
        <w:instrText>base spouted bed unit, a feeding system to regulate the biomass mass inflow, an air pump, a clean</w:instrText>
      </w:r>
      <w:r w:rsidRPr="00812EBC">
        <w:rPr>
          <w:rFonts w:ascii="Cambria Math" w:hAnsi="Cambria Math" w:cs="Cambria Math"/>
        </w:rPr>
        <w:instrText>‐</w:instrText>
      </w:r>
      <w:r w:rsidRPr="00812EBC">
        <w:instrText>up system, and an online gas chromatograph analyzer to assess the quality of the produced gas. The profile of temperatures along the reactor has been monitored with different thermocouples during experimental tests. The start</w:instrText>
      </w:r>
      <w:r w:rsidRPr="00812EBC">
        <w:rPr>
          <w:rFonts w:ascii="Cambria Math" w:hAnsi="Cambria Math" w:cs="Cambria Math"/>
        </w:rPr>
        <w:instrText>‐</w:instrText>
      </w:r>
      <w:r w:rsidRPr="00812EBC">
        <w:instrText>up process has been optimized to reduce the time to achieve stationary conditions. Two different materials (wood pellets and prunings from apple trees) have been tested at different feeding rates. Wood pellets were used to validate the performance of the spouted bed reactor and afterwards, residues of prunings from apple trees were validated as a suitable potential feedstock for energy recovery purposes. In addition, a representative sample of char from wood pellet gasification has been collected and characterized. In particular, the properties of specific surface area, pore size, and pore distribution have been measured by the Brunauer</w:instrText>
      </w:r>
      <w:r w:rsidRPr="00812EBC">
        <w:rPr>
          <w:rFonts w:ascii="Cambria Math" w:hAnsi="Cambria Math" w:cs="Cambria Math"/>
        </w:rPr>
        <w:instrText>‐</w:instrText>
      </w:r>
      <w:r w:rsidRPr="00812EBC">
        <w:instrText>Emmett</w:instrText>
      </w:r>
      <w:r w:rsidRPr="00812EBC">
        <w:rPr>
          <w:rFonts w:ascii="Cambria Math" w:hAnsi="Cambria Math" w:cs="Cambria Math"/>
        </w:rPr>
        <w:instrText>‐</w:instrText>
      </w:r>
      <w:r w:rsidRPr="00812EBC">
        <w:instrText>Teller method. The obtained outcomes represent one of the few available results in literature using a square</w:instrText>
      </w:r>
      <w:r w:rsidRPr="00812EBC">
        <w:rPr>
          <w:rFonts w:ascii="Cambria Math" w:hAnsi="Cambria Math" w:cs="Cambria Math"/>
        </w:rPr>
        <w:instrText>‐</w:instrText>
      </w:r>
      <w:r w:rsidRPr="00812EBC">
        <w:instrText>based spouted bed reactor for the gasification of biomass at pilot scale.","container-title":"The Canadian Journal of Chemical Engineering","DOI":"10.1002/cjce.23223","ISSN":"0008-4034, 1939-019X","issue":"1","journalAbbreviation":"Can J Chem Eng","language":"en","page":"59-66","source":"DOI.org (Crossref)","title":"Preliminary tests for the thermo</w:instrText>
      </w:r>
      <w:r w:rsidRPr="00812EBC">
        <w:rPr>
          <w:rFonts w:ascii="Cambria Math" w:hAnsi="Cambria Math" w:cs="Cambria Math"/>
        </w:rPr>
        <w:instrText>‐</w:instrText>
      </w:r>
      <w:r w:rsidRPr="00812EBC">
        <w:instrText xml:space="preserve">chemical conversion of biomass in a spouted bed pilot plant","volume":"97","author":[{"family":"Bove","given":"Dario"},{"family":"Moliner","given":"Cristina"},{"family":"Curti","given":"Massimo"},{"family":"Baratieri","given":"Marco"},{"family":"Bosio","given":"Barbara"},{"family":"Rovero","given":"Giorgio"},{"family":"Arato","given":"Elisabetta"}],"issued":{"date-parts":[["2019",1]]}}}],"schema":"https://github.com/citation-style-language/schema/raw/master/csl-citation.json"} </w:instrText>
      </w:r>
      <w:r w:rsidRPr="00812EBC">
        <w:fldChar w:fldCharType="separate"/>
      </w:r>
      <w:r w:rsidR="009F2993" w:rsidRPr="00812EBC">
        <w:rPr>
          <w:rFonts w:cs="Arial"/>
        </w:rPr>
        <w:t>(Bove et al., 2019)</w:t>
      </w:r>
      <w:r w:rsidRPr="00812EBC">
        <w:fldChar w:fldCharType="end"/>
      </w:r>
      <w:r w:rsidRPr="00812EBC">
        <w:t>. SBR are an innovative technology with applications in drying, coating, desulfurization, and thermo-chemical reactions</w:t>
      </w:r>
      <w:r w:rsidR="00777F66" w:rsidRPr="00812EBC">
        <w:t xml:space="preserve"> </w:t>
      </w:r>
      <w:r w:rsidR="00777F66" w:rsidRPr="00812EBC">
        <w:fldChar w:fldCharType="begin"/>
      </w:r>
      <w:r w:rsidR="00777F66" w:rsidRPr="00812EBC">
        <w:instrText xml:space="preserve"> ADDIN ZOTERO_ITEM CSL_CITATION {"citationID":"Gv8xgI4t","properties":{"formattedCitation":"(Moliner et al., 2017)","plainCitation":"(Moliner et al., 2017)","noteIndex":0},"citationItems":[{"id":179,"uris":["http://zotero.org/users/local/kxtbsN7x/items/UPDB4MZ4"],"itemData":{"id":179,"type":"article-journal","abstract":"The development of robust mathematical models could provide the necessary tools for a more rapid, efficient, and reliable spouted bed technology development. Computer simulations can be very useful to aid this design and scale-up process: firstly, they can contribute to obtain a fundamental insight into their complex dynamic behavior by understanding the elementary physical principles such as drag, friction, dissipation etc.; secondly, the simulations can be used as a design tool where the ultimate goal is to have a numerical model with predictive capabilities for gas-particle flows at engineering scale. Clearly, one single simulation method will not be able to achieve this goal, but a hierarchy of methods modelling phenomena on different length and time scales can achieve this. The most fruitful approach will be when they are simultaneously followed, so that they can mutually benefit from each other. In this sense, this paper presents a review of the current state of the art of modelling on spouted and spout-fluid beds through an analysis of recent literature following a multiscale approach (molecular and particle, lab, plant and industrial scale). The main features of the different scales together with their current limits are discussed and specific topics are highlighted as paths that still need to be explored. In summary, the paper aims to define the theoretical setline and the basis of improvement that would lead to a robust multiscale model with solid links between micro and macroscopic phenomena. If done with the correct balance between accuracy and computational costs it will gear SB towards their reliable and successful implementation.","container-title":"Energies","DOI":"10.3390/en10111729","ISSN":"1996-1073","issue":"11","journalAbbreviation":"Energies","language":"en","license":"https://creativecommons.org/licenses/by/4.0/","page":"1729","source":"DOI.org (Crossref)","title":"Modelling of Spouted and Spout-Fluid Beds: Key for Their Successful Scale Up","title-short":"Modelling of Spouted and Spout-Fluid Beds","volume":"10","author":[{"family":"Moliner","given":"Cristina"},{"family":"Marchelli","given":"Filippo"},{"family":"Bosio","given":"Barbara"},{"family":"Arato","given":"Elisabetta"}],"issued":{"date-parts":[["2017",10,28]]}}}],"schema":"https://github.com/citation-style-language/schema/raw/master/csl-citation.json"} </w:instrText>
      </w:r>
      <w:r w:rsidR="00777F66" w:rsidRPr="00812EBC">
        <w:fldChar w:fldCharType="separate"/>
      </w:r>
      <w:r w:rsidR="009F2993" w:rsidRPr="00812EBC">
        <w:rPr>
          <w:rFonts w:cs="Arial"/>
        </w:rPr>
        <w:t>(Moliner et al., 2017)</w:t>
      </w:r>
      <w:r w:rsidR="00777F66" w:rsidRPr="00812EBC">
        <w:fldChar w:fldCharType="end"/>
      </w:r>
      <w:r w:rsidR="00DC42E5" w:rsidRPr="00812EBC">
        <w:t>.</w:t>
      </w:r>
      <w:r w:rsidRPr="00812EBC">
        <w:t xml:space="preserve"> Unlike traditional fluidized bed reactors (FBR), SBR employ a single orifice inlet instead of a distributor plate, enhancing solid recirculation and establishing a distinct multiphase flow regime. This design improves solid-gas interactions, making SBRs efficient for various industrial processes </w:t>
      </w:r>
      <w:r w:rsidRPr="00812EBC">
        <w:fldChar w:fldCharType="begin"/>
      </w:r>
      <w:r w:rsidRPr="00812EBC">
        <w:instrText xml:space="preserve"> ADDIN ZOTERO_ITEM CSL_CITATION {"citationID":"5gospgD1","properties":{"formattedCitation":"(Carozzo et al., 2024)","plainCitation":"(Carozzo et al., 2024)","noteIndex":0},"citationItems":[{"id":163,"uris":["http://zotero.org/users/local/kxtbsN7x/items/RK7LLQJS"],"itemData":{"id":163,"type":"article-journal","abstract":"Recent research advances and technological developments of spouted bed reactors (SBRs) have been discussed in this work. SBR has aroused increasing interest since their invention in 1955 due to its flexibility in processing different feedstocks and the high process yields that can be achieved due to its characteristic fluid dynamics. However, even though highly satisfactory results have been obtained at the laboratory scale for different applications (i.e., drying or thermochemical reactions, among others), their full implementation at an industrial level is still scarce, mainly due to the challenges encountered for their scale-up. In this work, an initial short description of SBR and configurations is followed by a review of the main experimental activities that have been conducted at different scales in the period 2013–2023. Advanced solutions such as multi-unit reactors and the use of rectangular geometries instead of the classical cylindrical ones have arisen as potential areas for further study and development to achieve a reliable implementation of the spouted bed technology at an industrial scale.","container-title":"Energies","DOI":"10.3390/en17051046","ISSN":"1996-1073","issue":"5","journalAbbreviation":"Energies","language":"en","license":"https://creativecommons.org/licenses/by/4.0/","page":"1046","source":"DOI.org (Crossref)","title":"Review of Experimental Activities and Recent Developments of Spouted Bed Reactors at Different Operational Scales","volume":"17","author":[{"family":"Carozzo","given":"Valerio"},{"family":"Arato","given":"Elisabetta"},{"family":"Moliner","given":"Cristina"}],"issued":{"date-parts":[["2024",2,22]]}}}],"schema":"https://github.com/citation-style-language/schema/raw/master/csl-citation.json"} </w:instrText>
      </w:r>
      <w:r w:rsidRPr="00812EBC">
        <w:fldChar w:fldCharType="separate"/>
      </w:r>
      <w:r w:rsidR="009F2993" w:rsidRPr="00812EBC">
        <w:rPr>
          <w:rFonts w:cs="Arial"/>
        </w:rPr>
        <w:t>(Carozzo et al., 2024)</w:t>
      </w:r>
      <w:r w:rsidRPr="00812EBC">
        <w:fldChar w:fldCharType="end"/>
      </w:r>
      <w:r w:rsidRPr="00812EBC">
        <w:t xml:space="preserve">. </w:t>
      </w:r>
      <w:r w:rsidR="007D0DD5" w:rsidRPr="00812EBC">
        <w:t xml:space="preserve">During gasification of </w:t>
      </w:r>
      <w:r w:rsidRPr="00812EBC">
        <w:t>biomass</w:t>
      </w:r>
      <w:r w:rsidR="007D0DD5" w:rsidRPr="00812EBC">
        <w:t xml:space="preserve">, </w:t>
      </w:r>
      <w:r w:rsidRPr="00812EBC">
        <w:t xml:space="preserve">a series of homogeneous and heterogeneous reactions </w:t>
      </w:r>
      <w:r w:rsidR="009E6151" w:rsidRPr="00812EBC">
        <w:t xml:space="preserve">occurs, described in literature </w:t>
      </w:r>
      <w:r w:rsidR="009E6151" w:rsidRPr="00812EBC">
        <w:lastRenderedPageBreak/>
        <w:t>through</w:t>
      </w:r>
      <w:r w:rsidR="00F20F34" w:rsidRPr="00812EBC">
        <w:t xml:space="preserve"> a complex </w:t>
      </w:r>
      <w:r w:rsidR="009E6151" w:rsidRPr="00812EBC">
        <w:t>kinetic framework</w:t>
      </w:r>
      <w:r w:rsidR="00F20F34" w:rsidRPr="00812EBC">
        <w:t>,</w:t>
      </w:r>
      <w:r w:rsidRPr="00812EBC">
        <w:t xml:space="preserve"> which includes drying, pyrolysis, char conversion, and homogeneous reactions. Initially, moisture is released through drying, followed by pyrolysis, which produces gases such as CO</w:t>
      </w:r>
      <w:r w:rsidRPr="00812EBC">
        <w:rPr>
          <w:rFonts w:ascii="Cambria Math" w:hAnsi="Cambria Math" w:cs="Cambria Math"/>
        </w:rPr>
        <w:t>₂</w:t>
      </w:r>
      <w:r w:rsidRPr="00812EBC">
        <w:t>, CO, CH</w:t>
      </w:r>
      <w:r w:rsidRPr="00812EBC">
        <w:rPr>
          <w:rFonts w:ascii="Cambria Math" w:hAnsi="Cambria Math" w:cs="Cambria Math"/>
        </w:rPr>
        <w:t>₄</w:t>
      </w:r>
      <w:r w:rsidRPr="00812EBC">
        <w:t>, and H</w:t>
      </w:r>
      <w:r w:rsidRPr="00812EBC">
        <w:rPr>
          <w:rFonts w:ascii="Cambria Math" w:hAnsi="Cambria Math" w:cs="Cambria Math"/>
        </w:rPr>
        <w:t>₂</w:t>
      </w:r>
      <w:r w:rsidRPr="00812EBC">
        <w:t>. Subsequently, the char reacts with gasifying agents at elevated temperatures to facilitate further conversion</w:t>
      </w:r>
      <w:r w:rsidR="007D0DD5" w:rsidRPr="00812EBC">
        <w:t xml:space="preserve"> </w:t>
      </w:r>
      <w:r w:rsidRPr="00812EBC">
        <w:fldChar w:fldCharType="begin"/>
      </w:r>
      <w:r w:rsidRPr="00812EBC">
        <w:instrText xml:space="preserve"> ADDIN ZOTERO_ITEM CSL_CITATION {"citationID":"VGn0UFTc","properties":{"formattedCitation":"(Fan et al., 2020)","plainCitation":"(Fan et al., 2020)","noteIndex":0},"citationItems":[{"id":154,"uris":["http://zotero.org/users/local/kxtbsN7x/items/EM2EZTQ5"],"itemData":{"id":154,"type":"article-journal","container-title":"Applied Thermal Engineering","DOI":"10.1016/j.applthermaleng.2020.115917","ISSN":"13594311","journalAbbreviation":"Applied Thermal Engineering","language":"en","page":"115917","source":"DOI.org (Crossref)","title":"Numerical investigation of gas thermal property in the gasification process of a spouted bed gasifier","volume":"181","author":[{"family":"Fan","given":"Feihu"},{"family":"Wang","given":"Shuai"},{"family":"Yang","given":"Shiliang"},{"family":"Hu","given":"Jianhang"},{"family":"Wang","given":"Hua"}],"issued":{"date-parts":[["2020",11]]}}}],"schema":"https://github.com/citation-style-language/schema/raw/master/csl-citation.json"} </w:instrText>
      </w:r>
      <w:r w:rsidRPr="00812EBC">
        <w:fldChar w:fldCharType="separate"/>
      </w:r>
      <w:r w:rsidR="009F2993" w:rsidRPr="00812EBC">
        <w:rPr>
          <w:rFonts w:cs="Arial"/>
        </w:rPr>
        <w:t>(Fan et al., 2020)</w:t>
      </w:r>
      <w:r w:rsidRPr="00812EBC">
        <w:fldChar w:fldCharType="end"/>
      </w:r>
      <w:r w:rsidRPr="00812EBC">
        <w:t xml:space="preserve">. </w:t>
      </w:r>
    </w:p>
    <w:p w14:paraId="08CB1C7A" w14:textId="20482E94" w:rsidR="00A32E8C" w:rsidRPr="00812EBC" w:rsidRDefault="00BA27E4" w:rsidP="00150E2E">
      <w:pPr>
        <w:pStyle w:val="CETListbullets"/>
        <w:ind w:left="0" w:firstLine="0"/>
      </w:pPr>
      <w:r w:rsidRPr="00812EBC">
        <w:t xml:space="preserve">Advanced simulation tools are increasingly employed for modeling, optimizing, and analysing complex processes, including biomass gasification. Widely used software includes ChemCAD, MATLAB, GWSIM, Aspen Plus, and computational fluid dynamics platforms such as GAMBIT, FLUENT, and OPENFOAM, offering robust capabilities for process evaluation </w:t>
      </w:r>
      <w:r w:rsidRPr="00812EBC">
        <w:fldChar w:fldCharType="begin"/>
      </w:r>
      <w:r w:rsidRPr="00812EBC">
        <w:instrText xml:space="preserve"> ADDIN ZOTERO_ITEM CSL_CITATION {"citationID":"JcX7tQa5","properties":{"formattedCitation":"(Ajorloo et al., 2022)","plainCitation":"(Ajorloo et al., 2022)","noteIndex":0},"citationItems":[{"id":177,"uris":["http://zotero.org/users/local/kxtbsN7x/items/CT436389"],"itemData":{"id":177,"type":"article-journal","container-title":"Journal of the Energy Institute","DOI":"10.1016/j.joei.2022.05.003","ISSN":"17439671","journalAbbreviation":"Journal of the Energy Institute","language":"en","page":"395-419","source":"DOI.org (Crossref)","title":"Recent advances in thermodynamic analysis of biomass gasification: A review on numerical modelling and simulation","title-short":"Recent advances in thermodynamic analysis of biomass gasification","volume":"102","author":[{"family":"Ajorloo","given":"Mojtaba"},{"family":"Ghodrat","given":"Maryam"},{"family":"Scott","given":"Jason"},{"family":"Strezov","given":"Vladimir"}],"issued":{"date-parts":[["2022",6]]}}}],"schema":"https://github.com/citation-style-language/schema/raw/master/csl-citation.json"} </w:instrText>
      </w:r>
      <w:r w:rsidRPr="00812EBC">
        <w:fldChar w:fldCharType="separate"/>
      </w:r>
      <w:r w:rsidR="009F2993" w:rsidRPr="00812EBC">
        <w:rPr>
          <w:rFonts w:cs="Arial"/>
        </w:rPr>
        <w:t>(Ajorloo et al., 2022)</w:t>
      </w:r>
      <w:r w:rsidRPr="00812EBC">
        <w:fldChar w:fldCharType="end"/>
      </w:r>
      <w:r w:rsidRPr="00812EBC">
        <w:t>. Conventional software like Aspen Plus</w:t>
      </w:r>
      <w:r w:rsidR="001A7AE7" w:rsidRPr="00812EBC">
        <w:t xml:space="preserve"> </w:t>
      </w:r>
      <w:r w:rsidR="001A7AE7" w:rsidRPr="00812EBC">
        <w:fldChar w:fldCharType="begin"/>
      </w:r>
      <w:r w:rsidR="009F2993" w:rsidRPr="00812EBC">
        <w:instrText xml:space="preserve"> ADDIN ZOTERO_ITEM CSL_CITATION {"citationID":"RauYiTvX","properties":{"formattedCitation":"(Moliner et al., 2016; Mutlu and Zeng, 2020)","plainCitation":"(Moliner et al., 2016; Mutlu and Zeng, 2020)","noteIndex":0},"citationItems":[{"id":185,"uris":["http://zotero.org/users/local/kxtbsN7x/items/65WT8W9J"],"itemData":{"id":185,"type":"paper-conference","archive":"Scopus","event-title":"European Biomass Conference and Exhibition Proceedings","note":"issue: 24thEUBCE","page":"934-940","title":"Simulation activities for the pseudo-equilibrium modelling of the gasification of agricultural residues","URL":"https://www.scopus.com/inward/record.uri?eid=2-s2.0-85019764929&amp;partnerID=40&amp;md5=dc69809c80f0e0e26438ba6b77ae0d8b","volume":"2016","author":[{"family":"Moliner","given":"C."},{"family":"Bove","given":"D."},{"family":"Bosio","given":"B."},{"family":"Ribes","given":"A."},{"family":"Arato","given":"E."}],"issued":{"date-parts":[["2016"]]}}},{"id":175,"uris":["http://zotero.org/users/local/kxtbsN7x/items/SBV7GP47"],"itemData":{"id":175,"type":"article-journal","abstract":"Abstract\n            Aspen Plus has become one of the most common process simulation tools for both academia and industrial applications. In the last decade, the number of the papers on Aspen Plus modeling of biomass gasification has significantly increased. This review focuses on recent developments and studies on modeling biomass gasification in Aspen Plus including key aspects such as tar formation and model validation. Accordingly, challenges in modeling due to specific assumptions and limitations will be highlighted to provide a useful basis for researchers and end</w:instrText>
      </w:r>
      <w:r w:rsidR="009F2993" w:rsidRPr="00812EBC">
        <w:rPr>
          <w:rFonts w:ascii="Cambria Math" w:hAnsi="Cambria Math" w:cs="Cambria Math"/>
        </w:rPr>
        <w:instrText>‐</w:instrText>
      </w:r>
      <w:r w:rsidR="009F2993" w:rsidRPr="00812EBC">
        <w:instrText xml:space="preserve">users for further process modeling of biomass gasification in Aspen Plus.","container-title":"Chemical Engineering &amp; Technology","DOI":"10.1002/ceat.202000068","ISSN":"0930-7516, 1521-4125","issue":"9","journalAbbreviation":"Chem Eng &amp; Technol","language":"en","page":"1674-1689","source":"DOI.org (Crossref)","title":"Challenges and Opportunities of Modeling Biomass Gasification in Aspen Plus: A Review","title-short":"Challenges and Opportunities of Modeling Biomass Gasification in Aspen Plus","volume":"43","author":[{"family":"Mutlu","given":"Özge Çepelioğullar"},{"family":"Zeng","given":"Thomas"}],"issued":{"date-parts":[["2020",9]]}}}],"schema":"https://github.com/citation-style-language/schema/raw/master/csl-citation.json"} </w:instrText>
      </w:r>
      <w:r w:rsidR="001A7AE7" w:rsidRPr="00812EBC">
        <w:fldChar w:fldCharType="separate"/>
      </w:r>
      <w:r w:rsidR="009F2993" w:rsidRPr="00812EBC">
        <w:rPr>
          <w:rFonts w:cs="Arial"/>
        </w:rPr>
        <w:t>(Moliner et al., 2016; Mutlu and Zeng, 2020)</w:t>
      </w:r>
      <w:r w:rsidR="001A7AE7" w:rsidRPr="00812EBC">
        <w:fldChar w:fldCharType="end"/>
      </w:r>
      <w:r w:rsidR="008F16FB" w:rsidRPr="00812EBC">
        <w:t>, COCO</w:t>
      </w:r>
      <w:r w:rsidR="002463E1" w:rsidRPr="00812EBC">
        <w:t xml:space="preserve"> </w:t>
      </w:r>
      <w:r w:rsidR="002463E1" w:rsidRPr="00812EBC">
        <w:fldChar w:fldCharType="begin"/>
      </w:r>
      <w:r w:rsidR="002463E1" w:rsidRPr="00812EBC">
        <w:instrText xml:space="preserve"> ADDIN ZOTERO_ITEM CSL_CITATION {"citationID":"WhswhmeC","properties":{"formattedCitation":"(Moliner et al., 2018)","plainCitation":"(Moliner et al., 2018)","noteIndex":0},"citationItems":[{"id":195,"uris":["http://zotero.org/users/local/kxtbsN7x/items/EUT26LAZ"],"itemData":{"id":195,"type":"paper-conference","archive":"Scopus","event-title":"European Biomass Conference and Exhibition Proceedings","note":"issue: 26thEUBCE","page":"764-768","title":"Simulation of the gasification of agricultural residues using coco simulator","URL":"https://www.scopus.com/inward/record.uri?eid=2-s2.0-85051025488&amp;partnerID=40&amp;md5=2d9cf99d0eb783f441ff1eb233bca782","volume":"2018","author":[{"family":"Moliner","given":"C."},{"family":"Marchelli","given":"F."},{"family":"Bosio","given":"B."},{"family":"Arato","given":"E."}],"issued":{"date-parts":[["2018"]]}}}],"schema":"https://github.com/citation-style-language/schema/raw/master/csl-citation.json"} </w:instrText>
      </w:r>
      <w:r w:rsidR="002463E1" w:rsidRPr="00812EBC">
        <w:fldChar w:fldCharType="separate"/>
      </w:r>
      <w:r w:rsidR="009F2993" w:rsidRPr="00812EBC">
        <w:rPr>
          <w:rFonts w:cs="Arial"/>
        </w:rPr>
        <w:t>(Moliner et al., 2018)</w:t>
      </w:r>
      <w:r w:rsidR="002463E1" w:rsidRPr="00812EBC">
        <w:fldChar w:fldCharType="end"/>
      </w:r>
      <w:r w:rsidR="002463E1" w:rsidRPr="00812EBC">
        <w:t xml:space="preserve"> </w:t>
      </w:r>
      <w:r w:rsidRPr="00812EBC">
        <w:t>and DWSIM</w:t>
      </w:r>
      <w:r w:rsidR="007E1451" w:rsidRPr="00812EBC">
        <w:t xml:space="preserve"> </w:t>
      </w:r>
      <w:r w:rsidR="007E1451" w:rsidRPr="00812EBC">
        <w:fldChar w:fldCharType="begin"/>
      </w:r>
      <w:r w:rsidR="007E1451" w:rsidRPr="00812EBC">
        <w:instrText xml:space="preserve"> ADDIN ZOTERO_ITEM CSL_CITATION {"citationID":"67dZMTee","properties":{"formattedCitation":"(Moliner et al., 2024; Ullah et al., 2024)","plainCitation":"(Moliner et al., 2024; Ullah et al., 2024)","noteIndex":0},"citationItems":[{"id":187,"uris":["http://zotero.org/users/local/kxtbsN7x/items/NKFMEY35"],"itemData":{"id":187,"type":"paper-conference","archive":"Scopus","event-title":"European Biomass Conference and Exhibition Proceedings","page":"543-548","title":"MODELLING OF BIOMASS GASIFICATION: COMPARISON BETWEEN FREE-LICENSED DWSIM AND A COMMERCIAL SOFTWARE","URL":"https://www.scopus.com/inward/record.uri?eid=2-s2.0-85210482946&amp;partnerID=40&amp;md5=5c62cf3b521de8145f315e97f0c08e47","author":[{"family":"Moliner","given":"C."},{"family":"Carozzo","given":"V."},{"family":"Arato","given":"E."}],"issued":{"date-parts":[["2024"]]}}},{"id":178,"uris":["http://zotero.org/users/local/kxtbsN7x/items/65IEZZ5Q"],"itemData":{"id":178,"type":"article-journal","container-title":"Digital Chemical Engineering","DOI":"10.1016/j.dche.2024.100205","ISSN":"27725081","journalAbbreviation":"Digital Chemical Engineering","language":"en","page":"100205","source":"DOI.org (Crossref)","title":"Process Modelling and Optimization of Hydrogen Production from Biogas by Integrating DWSIM with Response Surface Methodology","author":[{"family":"Ullah","given":"Kaleem"},{"family":"Asaad","given":"Sara Maen"},{"family":"Inayat","given":"Abrar"}],"issued":{"date-parts":[["2024",12]]}}}],"schema":"https://github.com/citation-style-language/schema/raw/master/csl-citation.json"} </w:instrText>
      </w:r>
      <w:r w:rsidR="007E1451" w:rsidRPr="00812EBC">
        <w:fldChar w:fldCharType="separate"/>
      </w:r>
      <w:r w:rsidR="009F2993" w:rsidRPr="00812EBC">
        <w:rPr>
          <w:rFonts w:cs="Arial"/>
        </w:rPr>
        <w:t>(Moliner et al., 2024; Ullah et al., 2024)</w:t>
      </w:r>
      <w:r w:rsidR="007E1451" w:rsidRPr="00812EBC">
        <w:fldChar w:fldCharType="end"/>
      </w:r>
      <w:r w:rsidRPr="00812EBC">
        <w:t>, widely used for biomass gasification modeling, relies on equilibrium assumptions, excluding reaction kinetics. This simplification often omits dynamic process behaviour, leading to deviations between simulated and experimental results. Accurate modeling requires incorporating kinetic details for reliable process predictions</w:t>
      </w:r>
      <w:r w:rsidR="00FA1A19" w:rsidRPr="00812EBC">
        <w:t xml:space="preserve"> </w:t>
      </w:r>
      <w:r w:rsidR="00FA1A19" w:rsidRPr="00812EBC">
        <w:fldChar w:fldCharType="begin"/>
      </w:r>
      <w:r w:rsidR="00FA1A19" w:rsidRPr="00812EBC">
        <w:instrText xml:space="preserve"> ADDIN ZOTERO_ITEM CSL_CITATION {"citationID":"6BdoKUjx","properties":{"formattedCitation":"(Marchelli et al., 2019)","plainCitation":"(Marchelli et al., 2019)","noteIndex":0},"citationItems":[{"id":189,"uris":["http://zotero.org/users/local/kxtbsN7x/items/B4HSL7Q9"],"itemData":{"id":189,"type":"paper-conference","archive":"Scopus","event-title":"European Biomass Conference and Exhibition Proceedings","page":"813-820","title":"From equilibrium to kinetic modelling: The gasification of apple pruning residues in a spouted bed reactor","URL":"https://www.scopus.com/inward/record.uri?eid=2-s2.0-85071068405&amp;partnerID=40&amp;md5=ee4da53060e70af53b0e292abfc00f1d","author":[{"family":"Marchelli","given":"F."},{"family":"Moliner","given":"C."},{"family":"Baratieri","given":"M."},{"family":"Bosio","given":"B."},{"family":"Arato","given":"E."}],"issued":{"date-parts":[["2019"]]}}}],"schema":"https://github.com/citation-style-language/schema/raw/master/csl-citation.json"} </w:instrText>
      </w:r>
      <w:r w:rsidR="00FA1A19" w:rsidRPr="00812EBC">
        <w:fldChar w:fldCharType="separate"/>
      </w:r>
      <w:r w:rsidR="009F2993" w:rsidRPr="00812EBC">
        <w:rPr>
          <w:rFonts w:cs="Arial"/>
        </w:rPr>
        <w:t>(Marchelli et al., 2019)</w:t>
      </w:r>
      <w:r w:rsidR="00FA1A19" w:rsidRPr="00812EBC">
        <w:fldChar w:fldCharType="end"/>
      </w:r>
      <w:r w:rsidR="00832C64" w:rsidRPr="00812EBC">
        <w:t>.</w:t>
      </w:r>
      <w:r w:rsidRPr="00812EBC">
        <w:t xml:space="preserve"> The </w:t>
      </w:r>
      <w:proofErr w:type="spellStart"/>
      <w:r w:rsidRPr="00812EBC">
        <w:t>GasDS</w:t>
      </w:r>
      <w:proofErr w:type="spellEnd"/>
      <w:r w:rsidR="001D09C1" w:rsidRPr="00812EBC">
        <w:t xml:space="preserve"> </w:t>
      </w:r>
      <w:r w:rsidRPr="00812EBC">
        <w:t xml:space="preserve">offers precise </w:t>
      </w:r>
      <w:proofErr w:type="spellStart"/>
      <w:r w:rsidRPr="00812EBC">
        <w:t>modeling</w:t>
      </w:r>
      <w:proofErr w:type="spellEnd"/>
      <w:r w:rsidRPr="00812EBC">
        <w:t xml:space="preserve"> of chemical kinetics and transport in gas-solid systems</w:t>
      </w:r>
      <w:r w:rsidR="00A32E8C" w:rsidRPr="00812EBC">
        <w:t xml:space="preserve"> through </w:t>
      </w:r>
      <w:r w:rsidRPr="00812EBC">
        <w:t>validated reaction kinetics for accurate biomass gasification</w:t>
      </w:r>
      <w:r w:rsidR="000B6395" w:rsidRPr="00812EBC">
        <w:t>, using a</w:t>
      </w:r>
      <w:r w:rsidRPr="00812EBC">
        <w:t xml:space="preserve"> lignocellulosic composition-based kinetics</w:t>
      </w:r>
      <w:r w:rsidR="000B6395" w:rsidRPr="00812EBC">
        <w:t xml:space="preserve"> scheme</w:t>
      </w:r>
      <w:r w:rsidRPr="00812EBC">
        <w:t xml:space="preserve"> </w:t>
      </w:r>
      <w:r w:rsidRPr="00812EBC">
        <w:fldChar w:fldCharType="begin"/>
      </w:r>
      <w:r w:rsidRPr="00812EBC">
        <w:instrText xml:space="preserve"> ADDIN ZOTERO_ITEM CSL_CITATION {"citationID":"Wund0lZV","properties":{"formattedCitation":"(Negri Francesco et al., 2022)","plainCitation":"(Negri Francesco et al., 2022)","noteIndex":0},"citationItems":[{"id":160,"uris":["http://zotero.org/users/local/kxtbsN7x/items/CPAG7NGH"],"itemData":{"id":160,"type":"article-journal","container-title":"Chemical Engineering Transactions","DOI":"10.3303/CET2294181","page":"1087-1092","source":"DOI.org (CSL JSON)","title":"Techno-Economic Analysis of Dimethyl Ether Biofuel Production Plant Based on Sewage Sludge Gasification","volume":"94","author":[{"literal":"Negri Francesco"},{"literal":"Nova Anna"},{"literal":"Basso Daniele"},{"literal":"Manenti Flavio"}],"issued":{"date-parts":[["2022",9]]}}}],"schema":"https://github.com/citation-style-language/schema/raw/master/csl-citation.json"} </w:instrText>
      </w:r>
      <w:r w:rsidRPr="00812EBC">
        <w:fldChar w:fldCharType="separate"/>
      </w:r>
      <w:r w:rsidR="009F2993" w:rsidRPr="00812EBC">
        <w:rPr>
          <w:rFonts w:cs="Arial"/>
        </w:rPr>
        <w:t>(Negri Francesco et al., 2022)</w:t>
      </w:r>
      <w:r w:rsidRPr="00812EBC">
        <w:fldChar w:fldCharType="end"/>
      </w:r>
      <w:r w:rsidRPr="00812EBC">
        <w:t>.</w:t>
      </w:r>
      <w:r w:rsidR="00A32E8C" w:rsidRPr="00812EBC">
        <w:t xml:space="preserve"> This approach is different from the commonly applied proximate and ultimate analysis-based simulations</w:t>
      </w:r>
      <w:r w:rsidR="0089755F" w:rsidRPr="00812EBC">
        <w:t xml:space="preserve"> that have been prov</w:t>
      </w:r>
      <w:r w:rsidR="00A32E8C" w:rsidRPr="00812EBC">
        <w:t xml:space="preserve">ed not sufficient to describe the devolatilization process. A reliable structural analysis of biomass samples, giving significant information on the relative content of carbohydrates (glucose, xylose, galactose, arabinose, and mannose), lignin, extractives, protein, and ash, is key to </w:t>
      </w:r>
      <w:r w:rsidR="00CD7F64" w:rsidRPr="00812EBC">
        <w:t>analyse</w:t>
      </w:r>
      <w:r w:rsidR="00A32E8C" w:rsidRPr="00812EBC">
        <w:t xml:space="preserve"> the successive biomass decomposition steps</w:t>
      </w:r>
      <w:r w:rsidR="00894221" w:rsidRPr="00812EBC">
        <w:t xml:space="preserve">. </w:t>
      </w:r>
      <w:r w:rsidR="00894221" w:rsidRPr="00812EBC">
        <w:fldChar w:fldCharType="begin"/>
      </w:r>
      <w:r w:rsidR="00894221" w:rsidRPr="00812EBC">
        <w:instrText xml:space="preserve"> ADDIN ZOTERO_ITEM CSL_CITATION {"citationID":"fAPaiX1M","properties":{"formattedCitation":"(Ranzi et al., 2017)","plainCitation":"(Ranzi et al., 2017)","noteIndex":0},"citationItems":[{"id":197,"uris":["http://zotero.org/users/local/kxtbsN7x/items/I4475BMA"],"itemData":{"id":197,"type":"article-journal","container-title":"ACS Sustainable Chemistry &amp; Engineering","DOI":"10.1021/acssuschemeng.6b03096","ISSN":"2168-0485, 2168-0485","issue":"4","journalAbbreviation":"ACS Sustainable Chem. Eng.","language":"en","license":"http://pubs.acs.org/page/policy/authorchoice_termsofuse.html","page":"2867-2881","source":"DOI.org (Crossref)","title":"Mathematical Modeling of Fast Biomass Pyrolysis and Bio-Oil Formation. Note I: Kinetic Mechanism of Biomass Pyrolysis","title-short":"Mathematical Modeling of Fast Biomass Pyrolysis and Bio-Oil Formation. Note I","volume":"5","author":[{"family":"Ranzi","given":"Eliseo"},{"family":"Debiagi","given":"Paulo Eduardo Amaral"},{"family":"Frassoldati","given":"Alessio"}],"issued":{"date-parts":[["2017",4,3]]}}}],"schema":"https://github.com/citation-style-language/schema/raw/master/csl-citation.json"} </w:instrText>
      </w:r>
      <w:r w:rsidR="00894221" w:rsidRPr="00812EBC">
        <w:fldChar w:fldCharType="separate"/>
      </w:r>
      <w:r w:rsidR="009F2993" w:rsidRPr="00812EBC">
        <w:rPr>
          <w:rFonts w:cs="Arial"/>
        </w:rPr>
        <w:t>(Ranzi et al., 2017)</w:t>
      </w:r>
      <w:r w:rsidR="00894221" w:rsidRPr="00812EBC">
        <w:fldChar w:fldCharType="end"/>
      </w:r>
      <w:r w:rsidR="00CD7F64" w:rsidRPr="00812EBC">
        <w:t xml:space="preserve">. </w:t>
      </w:r>
      <w:proofErr w:type="spellStart"/>
      <w:r w:rsidR="00CD7F64" w:rsidRPr="00812EBC">
        <w:t>G</w:t>
      </w:r>
      <w:r w:rsidR="00596E9E" w:rsidRPr="00812EBC">
        <w:t>asDS</w:t>
      </w:r>
      <w:proofErr w:type="spellEnd"/>
      <w:r w:rsidR="006456D2" w:rsidRPr="00812EBC">
        <w:t xml:space="preserve"> </w:t>
      </w:r>
      <w:r w:rsidR="00A32E8C" w:rsidRPr="00812EBC">
        <w:t xml:space="preserve">has been widely validated for biomass and has been recently used to model the </w:t>
      </w:r>
      <w:r w:rsidR="00596E9E" w:rsidRPr="00812EBC">
        <w:t xml:space="preserve">sewage sludge decomposition by optimizing kinetic parameters to align with experimental data. </w:t>
      </w:r>
      <w:r w:rsidR="00A32E8C" w:rsidRPr="00812EBC">
        <w:t xml:space="preserve">The model </w:t>
      </w:r>
      <w:r w:rsidR="00596E9E" w:rsidRPr="00812EBC">
        <w:t>provided effluent properties, including flowrate (0.03–0.07 kg/s), temperature (950–1150 K), and composition, aiding in the design of waste-to-energy systems</w:t>
      </w:r>
      <w:r w:rsidR="00A32E8C" w:rsidRPr="00812EBC">
        <w:t xml:space="preserve"> </w:t>
      </w:r>
      <w:r w:rsidR="00A32E8C" w:rsidRPr="00812EBC">
        <w:fldChar w:fldCharType="begin"/>
      </w:r>
      <w:r w:rsidR="009F2993" w:rsidRPr="00812EBC">
        <w:instrText xml:space="preserve"> ADDIN ZOTERO_ITEM CSL_CITATION {"citationID":"GpbNH4sp","properties":{"formattedCitation":"(Gallo Francesco and Manenti Flavio, 2023)","plainCitation":"(Gallo Francesco and Manenti Flavio, 2023)","noteIndex":0},"citationItems":[{"id":161,"uris":["http://zotero.org/users/local/kxtbsN7x/items/DPV7WJD2"],"itemData":{"id":161,"type":"article-journal","container-title":"Chemical Engineering Transactions","DOI":"10.3303/CET23105048","page":"283-288","source":"DOI.org (CSL JSON)","title":"Kinetic Modeling of Sewage Sludge Combustion and Gasification for Energy Generation","volume":"105","author":[{"literal":"Gallo Francesco"},{"literal":"Manenti Flavio"}],"issued":{"date-parts":[["2023",11]]}}}],"schema":"https://github.com/citation-style-language/schema/raw/master/csl-citation.json"} </w:instrText>
      </w:r>
      <w:r w:rsidR="00A32E8C" w:rsidRPr="00812EBC">
        <w:fldChar w:fldCharType="separate"/>
      </w:r>
      <w:r w:rsidR="009F2993" w:rsidRPr="00812EBC">
        <w:rPr>
          <w:rFonts w:cs="Arial"/>
        </w:rPr>
        <w:t>(Gallo Francesco and Manenti Flavio, 2023)</w:t>
      </w:r>
      <w:r w:rsidR="00A32E8C" w:rsidRPr="00812EBC">
        <w:fldChar w:fldCharType="end"/>
      </w:r>
      <w:r w:rsidR="00596E9E" w:rsidRPr="00812EBC">
        <w:t xml:space="preserve">. </w:t>
      </w:r>
    </w:p>
    <w:p w14:paraId="678F46E0" w14:textId="16C6C7D1" w:rsidR="006E18EC" w:rsidRPr="00812EBC" w:rsidRDefault="002B0F76" w:rsidP="00150E2E">
      <w:pPr>
        <w:pStyle w:val="CETListbullets"/>
        <w:ind w:left="0" w:firstLine="0"/>
      </w:pPr>
      <w:r w:rsidRPr="00812EBC">
        <w:t xml:space="preserve">The </w:t>
      </w:r>
      <w:r w:rsidR="00237E93" w:rsidRPr="00812EBC">
        <w:t>paper aims</w:t>
      </w:r>
      <w:r w:rsidRPr="00812EBC">
        <w:t xml:space="preserve"> to validate the use of </w:t>
      </w:r>
      <w:proofErr w:type="spellStart"/>
      <w:r w:rsidRPr="00812EBC">
        <w:t>GasDS</w:t>
      </w:r>
      <w:proofErr w:type="spellEnd"/>
      <w:r w:rsidRPr="00812EBC">
        <w:t xml:space="preserve"> for gasification of PAT a</w:t>
      </w:r>
      <w:r w:rsidR="00EA695F" w:rsidRPr="00812EBC">
        <w:t>n</w:t>
      </w:r>
      <w:r w:rsidRPr="00812EBC">
        <w:t>d WP</w:t>
      </w:r>
      <w:r w:rsidR="00296709" w:rsidRPr="00812EBC">
        <w:t xml:space="preserve"> biomass feeds</w:t>
      </w:r>
      <w:r w:rsidRPr="00812EBC">
        <w:t xml:space="preserve"> </w:t>
      </w:r>
      <w:r w:rsidR="007D0DD5" w:rsidRPr="00812EBC">
        <w:t xml:space="preserve">at </w:t>
      </w:r>
      <w:r w:rsidRPr="00812EBC">
        <w:t xml:space="preserve">varying equivalence ratios </w:t>
      </w:r>
      <w:r w:rsidR="005C7510" w:rsidRPr="00812EBC">
        <w:t>(</w:t>
      </w:r>
      <w:r w:rsidRPr="00812EBC">
        <w:t>ER</w:t>
      </w:r>
      <w:r w:rsidR="005C7510" w:rsidRPr="00812EBC">
        <w:t>)</w:t>
      </w:r>
      <w:r w:rsidRPr="00812EBC">
        <w:t xml:space="preserve"> </w:t>
      </w:r>
      <w:r w:rsidR="007D0DD5" w:rsidRPr="00812EBC">
        <w:t xml:space="preserve">by comparison with the </w:t>
      </w:r>
      <w:r w:rsidRPr="00812EBC">
        <w:t>experimenta</w:t>
      </w:r>
      <w:r w:rsidR="007D0DD5" w:rsidRPr="00812EBC">
        <w:t>l data</w:t>
      </w:r>
      <w:r w:rsidRPr="00812EBC">
        <w:t xml:space="preserve"> by </w:t>
      </w:r>
      <w:r w:rsidRPr="00812EBC">
        <w:fldChar w:fldCharType="begin"/>
      </w:r>
      <w:r w:rsidRPr="00812EBC">
        <w:instrText xml:space="preserve"> ADDIN ZOTERO_ITEM CSL_CITATION {"citationID":"zmgiWuCO","properties":{"formattedCitation":"(Bove et al., 2019)","plainCitation":"(Bove et al., 2019)","noteIndex":0},"citationItems":[{"id":152,"uris":["http://zotero.org/users/local/kxtbsN7x/items/B9HEPRRJ"],"itemData":{"id":152,"type":"article-journal","abstract":"Abstract\n            \n              \n              \n                The initial setting up and preliminary tests on a square</w:instrText>
      </w:r>
      <w:r w:rsidRPr="00812EBC">
        <w:rPr>
          <w:rFonts w:ascii="Cambria Math" w:hAnsi="Cambria Math" w:cs="Cambria Math"/>
        </w:rPr>
        <w:instrText>‐</w:instrText>
      </w:r>
      <w:r w:rsidRPr="00812EBC">
        <w:instrText>based spouted bed gasifier at pilot scale (20</w:instrText>
      </w:r>
      <w:r w:rsidRPr="00812EBC">
        <w:rPr>
          <w:rFonts w:cs="Arial"/>
        </w:rPr>
        <w:instrText> </w:instrText>
      </w:r>
      <w:r w:rsidRPr="00812EBC">
        <w:instrText>kW\n                th\n                ) have been investigated. The novel plant is composed of: a squared</w:instrText>
      </w:r>
      <w:r w:rsidRPr="00812EBC">
        <w:rPr>
          <w:rFonts w:ascii="Cambria Math" w:hAnsi="Cambria Math" w:cs="Cambria Math"/>
        </w:rPr>
        <w:instrText>‐</w:instrText>
      </w:r>
      <w:r w:rsidRPr="00812EBC">
        <w:instrText>base spouted bed unit, a feeding system to regulate the biomass mass inflow, an air pump, a clean</w:instrText>
      </w:r>
      <w:r w:rsidRPr="00812EBC">
        <w:rPr>
          <w:rFonts w:ascii="Cambria Math" w:hAnsi="Cambria Math" w:cs="Cambria Math"/>
        </w:rPr>
        <w:instrText>‐</w:instrText>
      </w:r>
      <w:r w:rsidRPr="00812EBC">
        <w:instrText>up system, and an online gas chromatograph analyzer to assess the quality of the produced gas. The profile of temperatures along the reactor has been monitored with different thermocouples during experimental tests. The start</w:instrText>
      </w:r>
      <w:r w:rsidRPr="00812EBC">
        <w:rPr>
          <w:rFonts w:ascii="Cambria Math" w:hAnsi="Cambria Math" w:cs="Cambria Math"/>
        </w:rPr>
        <w:instrText>‐</w:instrText>
      </w:r>
      <w:r w:rsidRPr="00812EBC">
        <w:instrText>up process has been optimized to reduce the time to achieve stationary conditions. Two different materials (wood pellets and prunings from apple trees) have been tested at different feeding rates. Wood pellets were used to validate the performance of the spouted bed reactor and afterwards, residues of prunings from apple trees were validated as a suitable potential feedstock for energy recovery purposes. In addition, a representative sample of char from wood pellet gasification has been collected and characterized. In particular, the properties of specific surface area, pore size, and pore distribution have been measured by the Brunauer</w:instrText>
      </w:r>
      <w:r w:rsidRPr="00812EBC">
        <w:rPr>
          <w:rFonts w:ascii="Cambria Math" w:hAnsi="Cambria Math" w:cs="Cambria Math"/>
        </w:rPr>
        <w:instrText>‐</w:instrText>
      </w:r>
      <w:r w:rsidRPr="00812EBC">
        <w:instrText>Emmett</w:instrText>
      </w:r>
      <w:r w:rsidRPr="00812EBC">
        <w:rPr>
          <w:rFonts w:ascii="Cambria Math" w:hAnsi="Cambria Math" w:cs="Cambria Math"/>
        </w:rPr>
        <w:instrText>‐</w:instrText>
      </w:r>
      <w:r w:rsidRPr="00812EBC">
        <w:instrText>Teller method. The obtained outcomes represent one of the few available results in literature using a square</w:instrText>
      </w:r>
      <w:r w:rsidRPr="00812EBC">
        <w:rPr>
          <w:rFonts w:ascii="Cambria Math" w:hAnsi="Cambria Math" w:cs="Cambria Math"/>
        </w:rPr>
        <w:instrText>‐</w:instrText>
      </w:r>
      <w:r w:rsidRPr="00812EBC">
        <w:instrText>based spouted bed reactor for the gasification of biomass at pilot scale.","container-title":"The Canadian Journal of Chemical Engineering","DOI":"10.1002/cjce.23223","ISSN":"0008-4034, 1939-019X","issue":"1","journalAbbreviation":"Can J Chem Eng","language":"en","page":"59-66","source":"DOI.org (Crossref)","title":"Preliminary tests for the thermo</w:instrText>
      </w:r>
      <w:r w:rsidRPr="00812EBC">
        <w:rPr>
          <w:rFonts w:ascii="Cambria Math" w:hAnsi="Cambria Math" w:cs="Cambria Math"/>
        </w:rPr>
        <w:instrText>‐</w:instrText>
      </w:r>
      <w:r w:rsidRPr="00812EBC">
        <w:instrText xml:space="preserve">chemical conversion of biomass in a spouted bed pilot plant","volume":"97","author":[{"family":"Bove","given":"Dario"},{"family":"Moliner","given":"Cristina"},{"family":"Curti","given":"Massimo"},{"family":"Baratieri","given":"Marco"},{"family":"Bosio","given":"Barbara"},{"family":"Rovero","given":"Giorgio"},{"family":"Arato","given":"Elisabetta"}],"issued":{"date-parts":[["2019",1]]}}}],"schema":"https://github.com/citation-style-language/schema/raw/master/csl-citation.json"} </w:instrText>
      </w:r>
      <w:r w:rsidRPr="00812EBC">
        <w:fldChar w:fldCharType="separate"/>
      </w:r>
      <w:r w:rsidR="009F2993" w:rsidRPr="00812EBC">
        <w:rPr>
          <w:rFonts w:cs="Arial"/>
        </w:rPr>
        <w:t>(Bove et al., 2019)</w:t>
      </w:r>
      <w:r w:rsidRPr="00812EBC">
        <w:fldChar w:fldCharType="end"/>
      </w:r>
      <w:r w:rsidRPr="00812EBC">
        <w:t xml:space="preserve">. </w:t>
      </w:r>
      <w:r w:rsidR="009B2549" w:rsidRPr="00812EBC">
        <w:t xml:space="preserve">Our work on </w:t>
      </w:r>
      <w:proofErr w:type="spellStart"/>
      <w:r w:rsidR="009B2549" w:rsidRPr="00812EBC">
        <w:t>GasDS</w:t>
      </w:r>
      <w:proofErr w:type="spellEnd"/>
      <w:r w:rsidR="009B2549" w:rsidRPr="00812EBC">
        <w:t xml:space="preserve"> reliably predicts gasification trends, aiding in process optimization for better energy efficiency. Refining the model and adding diverse feedstocks can further enhance biomass conversion and support sustainable energy.</w:t>
      </w:r>
    </w:p>
    <w:p w14:paraId="1DE2C391" w14:textId="2ED184DF" w:rsidR="00394763" w:rsidRPr="00812EBC" w:rsidRDefault="006E18EC" w:rsidP="006E18EC">
      <w:pPr>
        <w:pStyle w:val="CETHeading1"/>
      </w:pPr>
      <w:r w:rsidRPr="00812EBC">
        <w:t>Materials and Methods</w:t>
      </w:r>
    </w:p>
    <w:p w14:paraId="5A1C55D6" w14:textId="444E5E76" w:rsidR="006E18EC" w:rsidRPr="00812EBC" w:rsidRDefault="006E18EC" w:rsidP="00150E2E">
      <w:pPr>
        <w:pStyle w:val="CETListbullets"/>
        <w:ind w:left="0" w:firstLine="0"/>
        <w:rPr>
          <w:lang w:val="en-US"/>
        </w:rPr>
      </w:pPr>
      <w:r w:rsidRPr="00812EBC">
        <w:t xml:space="preserve">The chemical composition and thermo-physical properties of commercial wood pellets (WP) and apple tree </w:t>
      </w:r>
      <w:proofErr w:type="spellStart"/>
      <w:r w:rsidRPr="00812EBC">
        <w:t>prunings</w:t>
      </w:r>
      <w:proofErr w:type="spellEnd"/>
      <w:r w:rsidRPr="00812EBC">
        <w:t xml:space="preserve"> (PAT), as determined by </w:t>
      </w:r>
      <w:r w:rsidRPr="00812EBC">
        <w:fldChar w:fldCharType="begin"/>
      </w:r>
      <w:r w:rsidRPr="00812EBC">
        <w:instrText xml:space="preserve"> ADDIN ZOTERO_ITEM CSL_CITATION {"citationID":"UOYLAOu5","properties":{"formattedCitation":"(Bove et al., 2019)","plainCitation":"(Bove et al., 2019)","noteIndex":0},"citationItems":[{"id":152,"uris":["http://zotero.org/users/local/kxtbsN7x/items/B9HEPRRJ"],"itemData":{"id":152,"type":"article-journal","abstract":"Abstract\n            \n              \n              \n                The initial setting up and preliminary tests on a square</w:instrText>
      </w:r>
      <w:r w:rsidRPr="00812EBC">
        <w:rPr>
          <w:rFonts w:ascii="Cambria Math" w:hAnsi="Cambria Math" w:cs="Cambria Math"/>
        </w:rPr>
        <w:instrText>‐</w:instrText>
      </w:r>
      <w:r w:rsidRPr="00812EBC">
        <w:instrText>based spouted bed gasifier at pilot scale (20</w:instrText>
      </w:r>
      <w:r w:rsidRPr="00812EBC">
        <w:rPr>
          <w:rFonts w:cs="Arial"/>
        </w:rPr>
        <w:instrText> </w:instrText>
      </w:r>
      <w:r w:rsidRPr="00812EBC">
        <w:instrText>kW\n                th\n                ) have been investigated. The novel plant is composed of: a squared</w:instrText>
      </w:r>
      <w:r w:rsidRPr="00812EBC">
        <w:rPr>
          <w:rFonts w:ascii="Cambria Math" w:hAnsi="Cambria Math" w:cs="Cambria Math"/>
        </w:rPr>
        <w:instrText>‐</w:instrText>
      </w:r>
      <w:r w:rsidRPr="00812EBC">
        <w:instrText>base spouted bed unit, a feeding system to regulate the biomass mass inflow, an air pump, a clean</w:instrText>
      </w:r>
      <w:r w:rsidRPr="00812EBC">
        <w:rPr>
          <w:rFonts w:ascii="Cambria Math" w:hAnsi="Cambria Math" w:cs="Cambria Math"/>
        </w:rPr>
        <w:instrText>‐</w:instrText>
      </w:r>
      <w:r w:rsidRPr="00812EBC">
        <w:instrText>up system, and an online gas chromatograph analyzer to assess the quality of the produced gas. The profile of temperatures along the reactor has been monitored with different thermocouples during experimental tests. The start</w:instrText>
      </w:r>
      <w:r w:rsidRPr="00812EBC">
        <w:rPr>
          <w:rFonts w:ascii="Cambria Math" w:hAnsi="Cambria Math" w:cs="Cambria Math"/>
        </w:rPr>
        <w:instrText>‐</w:instrText>
      </w:r>
      <w:r w:rsidRPr="00812EBC">
        <w:instrText>up process has been optimized to reduce the time to achieve stationary conditions. Two different materials (wood pellets and prunings from apple trees) have been tested at different feeding rates. Wood pellets were used to validate the performance of the spouted bed reactor and afterwards, residues of prunings from apple trees were validated as a suitable potential feedstock for energy recovery purposes. In addition, a representative sample of char from wood pellet gasification has been collected and characterized. In particular, the properties of specific surface area, pore size, and pore distribution have been measured by the Brunauer</w:instrText>
      </w:r>
      <w:r w:rsidRPr="00812EBC">
        <w:rPr>
          <w:rFonts w:ascii="Cambria Math" w:hAnsi="Cambria Math" w:cs="Cambria Math"/>
        </w:rPr>
        <w:instrText>‐</w:instrText>
      </w:r>
      <w:r w:rsidRPr="00812EBC">
        <w:instrText>Emmett</w:instrText>
      </w:r>
      <w:r w:rsidRPr="00812EBC">
        <w:rPr>
          <w:rFonts w:ascii="Cambria Math" w:hAnsi="Cambria Math" w:cs="Cambria Math"/>
        </w:rPr>
        <w:instrText>‐</w:instrText>
      </w:r>
      <w:r w:rsidRPr="00812EBC">
        <w:instrText>Teller method. The obtained outcomes represent one of the few available results in literature using a square</w:instrText>
      </w:r>
      <w:r w:rsidRPr="00812EBC">
        <w:rPr>
          <w:rFonts w:ascii="Cambria Math" w:hAnsi="Cambria Math" w:cs="Cambria Math"/>
        </w:rPr>
        <w:instrText>‐</w:instrText>
      </w:r>
      <w:r w:rsidRPr="00812EBC">
        <w:instrText>based spouted bed reactor for the gasification of biomass at pilot scale.","container-title":"The Canadian Journal of Chemical Engineering","DOI":"10.1002/cjce.23223","ISSN":"0008-4034, 1939-019X","issue":"1","journalAbbreviation":"Can J Chem Eng","language":"en","page":"59-66","source":"DOI.org (Crossref)","title":"Preliminary tests for the thermo</w:instrText>
      </w:r>
      <w:r w:rsidRPr="00812EBC">
        <w:rPr>
          <w:rFonts w:ascii="Cambria Math" w:hAnsi="Cambria Math" w:cs="Cambria Math"/>
        </w:rPr>
        <w:instrText>‐</w:instrText>
      </w:r>
      <w:r w:rsidRPr="00812EBC">
        <w:instrText xml:space="preserve">chemical conversion of biomass in a spouted bed pilot plant","volume":"97","author":[{"family":"Bove","given":"Dario"},{"family":"Moliner","given":"Cristina"},{"family":"Curti","given":"Massimo"},{"family":"Baratieri","given":"Marco"},{"family":"Bosio","given":"Barbara"},{"family":"Rovero","given":"Giorgio"},{"family":"Arato","given":"Elisabetta"}],"issued":{"date-parts":[["2019",1]]}}}],"schema":"https://github.com/citation-style-language/schema/raw/master/csl-citation.json"} </w:instrText>
      </w:r>
      <w:r w:rsidRPr="00812EBC">
        <w:fldChar w:fldCharType="separate"/>
      </w:r>
      <w:r w:rsidR="009F2993" w:rsidRPr="00812EBC">
        <w:rPr>
          <w:rFonts w:cs="Arial"/>
        </w:rPr>
        <w:t>(Bove et al., 2019)</w:t>
      </w:r>
      <w:r w:rsidRPr="00812EBC">
        <w:fldChar w:fldCharType="end"/>
      </w:r>
      <w:r w:rsidRPr="00812EBC">
        <w:t xml:space="preserve"> through proximate, ultimate, and calorimetric analyses, were applied in the </w:t>
      </w:r>
      <w:proofErr w:type="spellStart"/>
      <w:r w:rsidRPr="00812EBC">
        <w:t>GasDS</w:t>
      </w:r>
      <w:proofErr w:type="spellEnd"/>
      <w:r w:rsidRPr="00812EBC">
        <w:t xml:space="preserve"> for</w:t>
      </w:r>
      <w:r w:rsidR="007D0DD5" w:rsidRPr="00812EBC">
        <w:t xml:space="preserve"> </w:t>
      </w:r>
      <w:r w:rsidRPr="00812EBC">
        <w:t xml:space="preserve">detailed kinetic </w:t>
      </w:r>
      <w:r w:rsidR="009E6151" w:rsidRPr="00812EBC">
        <w:t>modelling</w:t>
      </w:r>
      <w:r w:rsidR="006E7A7F" w:rsidRPr="00812EBC">
        <w:t xml:space="preserve">. </w:t>
      </w:r>
      <w:r w:rsidR="00E91E4D" w:rsidRPr="00812EBC">
        <w:t xml:space="preserve">PAT was evaluated </w:t>
      </w:r>
      <w:r w:rsidR="00017D1B" w:rsidRPr="00812EBC">
        <w:t>for</w:t>
      </w:r>
      <w:r w:rsidR="00E91E4D" w:rsidRPr="00812EBC">
        <w:t xml:space="preserve"> equivalent ratios</w:t>
      </w:r>
      <w:r w:rsidR="00BC2345" w:rsidRPr="00812EBC">
        <w:t xml:space="preserve"> (ER) </w:t>
      </w:r>
      <w:r w:rsidR="00A31F6E" w:rsidRPr="00812EBC">
        <w:t xml:space="preserve">0.42 and 0.65 </w:t>
      </w:r>
      <w:r w:rsidR="000935D3" w:rsidRPr="00812EBC">
        <w:t xml:space="preserve">while </w:t>
      </w:r>
      <w:r w:rsidR="00A31F6E" w:rsidRPr="00812EBC">
        <w:t xml:space="preserve">WP was evaluated </w:t>
      </w:r>
      <w:r w:rsidR="000935D3" w:rsidRPr="00812EBC">
        <w:t>for</w:t>
      </w:r>
      <w:r w:rsidR="00A31F6E" w:rsidRPr="00812EBC">
        <w:t xml:space="preserve"> series of ER</w:t>
      </w:r>
      <w:r w:rsidR="00A53EB1" w:rsidRPr="00812EBC">
        <w:t xml:space="preserve"> between 0.2</w:t>
      </w:r>
      <w:r w:rsidR="00B6252F" w:rsidRPr="00812EBC">
        <w:t>1</w:t>
      </w:r>
      <w:r w:rsidR="00A53EB1" w:rsidRPr="00812EBC">
        <w:t xml:space="preserve"> and 0.89</w:t>
      </w:r>
      <w:r w:rsidRPr="00812EBC">
        <w:t xml:space="preserve">. The ER represents the ratio of the actual oxygen supplied to the system to the oxygen needed for full stoichiometric combustion </w:t>
      </w:r>
      <w:r w:rsidRPr="00812EBC">
        <w:fldChar w:fldCharType="begin"/>
      </w:r>
      <w:r w:rsidRPr="00812EBC">
        <w:instrText xml:space="preserve"> ADDIN ZOTERO_ITEM CSL_CITATION {"citationID":"MGaEkGTh","properties":{"formattedCitation":"(Zhu et al., 2024)","plainCitation":"(Zhu et al., 2024)","noteIndex":0},"citationItems":[{"id":136,"uris":["http://zoter</w:instrText>
      </w:r>
      <w:r w:rsidRPr="00812EBC">
        <w:rPr>
          <w:lang w:val="en-US"/>
        </w:rPr>
        <w:instrText xml:space="preserve">o.org/users/local/kxtbsN7x/items/YTU974ME"],"itemData":{"id":136,"type":"article-journal","abstract":"Over a century ago, phenolic formaldehyde (PF) resin was developed and continues to increase in yield due to its diverse applications. However, PF resin is a thermosetting plastic lacking fluidity and moldability, which are nondegradable in natural environments, leading to severe threats to fossil resources as well as global environmental crises. As a result, recycling PF resin is extremely important. In this review, we provide the recent advances in the recycling of PF resin, which includes mechanical recycling, chemical recycling, and utilization of carbon-based materials. The advantages and disadvantages of each strategy are evaluated from a green chemistry perspective. This article aims to attract interest in PF resin design, synthesizing, application and recycling, offering useful suggestions.","container-title":"Polymers","DOI":"10.3390/polym16091255","ISSN":"2073-4360","issue":"9","journalAbbreviation":"Polymers","language":"en","license":"https://creativecommons.org/licenses/by/4.0/","page":"1255","source":"DOI.org (Crossref)","title":"An Overview of Recycling Phenolic Resin","volume":"16","author":[{"family":"Zhu","given":"Bing"},{"family":"Jiang","given":"Xinyao"},{"family":"Li","given":"Songjun"},{"family":"Zhu","given":"Maiyong"}],"issued":{"date-parts":[["2024",4,30]]}}}],"schema":"https://github.com/citation-style-language/schema/raw/master/csl-citation.json"} </w:instrText>
      </w:r>
      <w:r w:rsidRPr="00812EBC">
        <w:fldChar w:fldCharType="separate"/>
      </w:r>
      <w:r w:rsidR="009F2993" w:rsidRPr="00812EBC">
        <w:rPr>
          <w:rFonts w:cs="Arial"/>
        </w:rPr>
        <w:t>(Zhu et al., 2024)</w:t>
      </w:r>
      <w:r w:rsidRPr="00812EBC">
        <w:fldChar w:fldCharType="end"/>
      </w:r>
      <w:r w:rsidRPr="00812EBC">
        <w:rPr>
          <w:lang w:val="en-US"/>
        </w:rPr>
        <w:t xml:space="preserve">. </w:t>
      </w:r>
    </w:p>
    <w:p w14:paraId="34B14316" w14:textId="5E6AC676" w:rsidR="006E18EC" w:rsidRPr="00812EBC" w:rsidRDefault="006E18EC" w:rsidP="00150E2E">
      <w:pPr>
        <w:pStyle w:val="CETListbullets"/>
        <w:ind w:left="0" w:firstLine="0"/>
      </w:pPr>
      <w:r w:rsidRPr="00812EBC">
        <w:rPr>
          <w:lang w:val="en-US"/>
        </w:rPr>
        <w:t xml:space="preserve">The gas-solid kinetic model is integrated with a comprehensive gas-phase kinetic scheme, encompassing over 200 species and more than 2,000 reactions. </w:t>
      </w:r>
      <w:r w:rsidRPr="00812EBC">
        <w:t xml:space="preserve">The detailed gasification model within </w:t>
      </w:r>
      <w:proofErr w:type="spellStart"/>
      <w:r w:rsidRPr="00812EBC">
        <w:t>GasDS</w:t>
      </w:r>
      <w:proofErr w:type="spellEnd"/>
      <w:r w:rsidRPr="00812EBC">
        <w:t xml:space="preserve"> leverages chemical-physical data, kinetic </w:t>
      </w:r>
      <w:r w:rsidR="00887686" w:rsidRPr="00812EBC">
        <w:t>behaviour</w:t>
      </w:r>
      <w:r w:rsidRPr="00812EBC">
        <w:t xml:space="preserve">, and mass-transfer characteristics of various biomass </w:t>
      </w:r>
      <w:r w:rsidR="007D0DD5" w:rsidRPr="00812EBC">
        <w:fldChar w:fldCharType="begin"/>
      </w:r>
      <w:r w:rsidR="00894221" w:rsidRPr="00812EBC">
        <w:instrText xml:space="preserve"> ADDIN ZOTERO_ITEM CSL_CITATION {"citationID":"lnNWRctA","properties":{"formattedCitation":"(Ranzi et al., 2014)","plainCitation":"(Ranzi et al., 2014)","noteIndex":0},"citationItems":[{"id":14,"uris":["http://zotero.org/users/local/kxtbsN7x/items/WAVBNKIB"],"itemData":{"id":14,"type":"article-journal","container-title":"Chemical Engineering Science","DOI":"10.1016/j.ces.2013.08.014","ISSN":"00092509","journalAbbreviation":"Chemical Engineering Science","language":"en","page":"2-12","source":"DOI.org (Crossref)","title":"Kinetic modeling of the thermal degradation and combustion of biomass","volume":"110","author":[{"family":"Ranzi","given":"Eliseo"},{"family":"Corbetta","given":"Michele"},{"family":"Manenti","given":"Flavio"},{"family":"Pierucci","given":"Sauro"}],"issued":{"date-parts":[["2014",5]]}}}],"schema":"https://github.com/citation-style-language/schema/raw/master/csl-citation.json"} </w:instrText>
      </w:r>
      <w:r w:rsidR="007D0DD5" w:rsidRPr="00812EBC">
        <w:fldChar w:fldCharType="separate"/>
      </w:r>
      <w:r w:rsidR="009F2993" w:rsidRPr="00812EBC">
        <w:rPr>
          <w:rFonts w:cs="Arial"/>
        </w:rPr>
        <w:t>(Ranzi et al., 2014)</w:t>
      </w:r>
      <w:r w:rsidR="007D0DD5" w:rsidRPr="00812EBC">
        <w:fldChar w:fldCharType="end"/>
      </w:r>
      <w:r w:rsidR="007D0DD5" w:rsidRPr="00812EBC">
        <w:t xml:space="preserve"> </w:t>
      </w:r>
      <w:r w:rsidRPr="00812EBC">
        <w:t xml:space="preserve">and coal </w:t>
      </w:r>
      <w:r w:rsidR="007D0DD5" w:rsidRPr="00812EBC">
        <w:fldChar w:fldCharType="begin"/>
      </w:r>
      <w:r w:rsidR="007D0DD5" w:rsidRPr="00812EBC">
        <w:instrText xml:space="preserve"> ADDIN ZOTERO_ITEM CSL_CITATION {"citationID":"rB6LXE7x","properties":{"formattedCitation":"(Corbetta et al., 2015)","plainCitation":"(Corbetta et al., 2015)","noteIndex":0},"citationItems":[{"id":158,"uris":["http://zotero.org/users/local/kxtbsN7x/items/CRD943E9"],"itemData":{"id":158,"type":"article-journal","container-title":"Energy &amp; Fuels","DOI":"10.1021/acs.energyfuels.5b00648","ISSN":"0887-0624, 1520-5029","issue":"6","journalAbbreviation":"Energy Fuels","language":"en","page":"3972-3984","source":"DOI.org (Crossref)","title":"Multi-scale Kinetic Modeling and Experimental Investigation of Syngas Production from Coal Gasification in Updraft Gasifiers","volume":"29","author":[{"family":"Corbetta","given":"Michele"},{"family":"Bassani","given":"Andrea"},{"family":"Manenti","given":"Flavio"},{"family":"Pirola","given":"Carlo"},{"family":"Maggio","given":"Enrico"},{"family":"Pettinau","given":"Alberto"},{"family":"Deiana","given":"Paolo"},{"family":"Pierucci","given":"Sauro"},{"family":"Ranzi","given":"Eliseo"}],"issued":{"date-parts":[["2015",6,18]]}}}],"schema":"https://github.com/citation-style-language/schema/raw/master/csl-citation.json"} </w:instrText>
      </w:r>
      <w:r w:rsidR="007D0DD5" w:rsidRPr="00812EBC">
        <w:fldChar w:fldCharType="separate"/>
      </w:r>
      <w:r w:rsidR="009F2993" w:rsidRPr="00812EBC">
        <w:rPr>
          <w:rFonts w:cs="Arial"/>
        </w:rPr>
        <w:t>(Corbetta et al., 2015)</w:t>
      </w:r>
      <w:r w:rsidR="007D0DD5" w:rsidRPr="00812EBC">
        <w:fldChar w:fldCharType="end"/>
      </w:r>
      <w:r w:rsidR="007D0DD5" w:rsidRPr="00812EBC">
        <w:t xml:space="preserve"> </w:t>
      </w:r>
      <w:r w:rsidRPr="00812EBC">
        <w:t>types</w:t>
      </w:r>
      <w:r w:rsidR="007D0DD5" w:rsidRPr="00812EBC">
        <w:t>.</w:t>
      </w:r>
      <w:r w:rsidR="006E7A7F" w:rsidRPr="00812EBC">
        <w:t xml:space="preserve"> </w:t>
      </w:r>
      <w:proofErr w:type="spellStart"/>
      <w:r w:rsidRPr="00812EBC">
        <w:t>GasDS</w:t>
      </w:r>
      <w:proofErr w:type="spellEnd"/>
      <w:r w:rsidRPr="00812EBC">
        <w:t xml:space="preserve"> applies a detailed kinetic scheme across particle, reactor layer, and gasifier reactor scales. Initially governed by partial differential equations (PDEs), it is reduced to ordinary differential equations (ODEs) through approximations, focusing on time-dependent gradients. Axial plug-flow behaviour is represented by reactor layers with assumed perfect gas-phase mixing, while intra-particle gradients are approximated via radial discretization </w:t>
      </w:r>
      <w:r w:rsidRPr="00812EBC">
        <w:fldChar w:fldCharType="begin"/>
      </w:r>
      <w:r w:rsidRPr="00812EBC">
        <w:instrText xml:space="preserve"> ADDIN ZOTERO_ITEM CSL_CITATION {"citationID":"xUua0eTl","properties":{"formattedCitation":"(Lorenzo Cabianca et al., 2016)","plainCitation":"(Lorenzo Cabianca et al., 2016)","noteIndex":0},"citationItems":[{"id":162,"uris":["http://zotero.org/users/local/kxtbsN7x/items/KN245KRJ"],"itemData":{"id":162,"type":"article-journal","container-title":"Chemical Engineering Transactions","DOI":"10.3303/CET1650042","page":"247-252","source":"DOI.org (CSL JSON)","title":"Gasds: a kinetic-based package for biomass and coal gasification","title-short":"Gasds","volume":"50","author":[{"literal":"Lorenzo Cabianca"},{"literal":"Andrea Bassani"},{"literal":"Andre Furtado Amaral"},{"literal":"Francesco Rossi"},{"literal":"Giulia Bozzano"},{"literal":"Eliseo Ranzi"},{"literal":"Dries Telen"},{"literal":"Filip Logist"},{"literal":"Jan Van Impe"},{"literal":"Flavio Manenti"}],"issued":{"date-parts":[["2016",6]]}}}],"schema":"https://github.com/citation-style-language/schema/raw/master/csl-citation.json"} </w:instrText>
      </w:r>
      <w:r w:rsidRPr="00812EBC">
        <w:fldChar w:fldCharType="separate"/>
      </w:r>
      <w:r w:rsidR="009F2993" w:rsidRPr="00812EBC">
        <w:rPr>
          <w:rFonts w:cs="Arial"/>
        </w:rPr>
        <w:t>(Lorenzo Cabianca et al., 2016)</w:t>
      </w:r>
      <w:r w:rsidRPr="00812EBC">
        <w:fldChar w:fldCharType="end"/>
      </w:r>
      <w:r w:rsidR="00602A66" w:rsidRPr="00812EBC">
        <w:t>.</w:t>
      </w:r>
    </w:p>
    <w:p w14:paraId="3BC00387" w14:textId="02B9403F" w:rsidR="004D3CBE" w:rsidRPr="00812EBC" w:rsidRDefault="00F92FB9" w:rsidP="0089359C">
      <w:pPr>
        <w:pStyle w:val="CETHeading1"/>
      </w:pPr>
      <w:r w:rsidRPr="00812EBC">
        <w:t xml:space="preserve">Application of </w:t>
      </w:r>
      <w:proofErr w:type="spellStart"/>
      <w:r w:rsidRPr="00812EBC">
        <w:t>GasD</w:t>
      </w:r>
      <w:r w:rsidR="00CC2242" w:rsidRPr="00812EBC">
        <w:t>S</w:t>
      </w:r>
      <w:proofErr w:type="spellEnd"/>
      <w:r w:rsidRPr="00812EBC">
        <w:t xml:space="preserve"> Suite</w:t>
      </w:r>
    </w:p>
    <w:p w14:paraId="6AE94628" w14:textId="06F54B0F" w:rsidR="0089755F" w:rsidRPr="00812EBC" w:rsidRDefault="007D0DD5" w:rsidP="00B85F2C">
      <w:pPr>
        <w:pStyle w:val="CETListbullets"/>
        <w:tabs>
          <w:tab w:val="left" w:pos="2970"/>
        </w:tabs>
        <w:spacing w:after="240"/>
        <w:ind w:left="0" w:firstLine="0"/>
      </w:pPr>
      <w:r w:rsidRPr="00812EBC">
        <w:t xml:space="preserve">As described in Section 2, the initial input to define the feedstock (WP, </w:t>
      </w:r>
      <w:r w:rsidR="00623C20" w:rsidRPr="00812EBC">
        <w:t>PAT) for</w:t>
      </w:r>
      <w:r w:rsidRPr="00812EBC">
        <w:t xml:space="preserve"> </w:t>
      </w:r>
      <w:proofErr w:type="spellStart"/>
      <w:r w:rsidR="00652EA8" w:rsidRPr="00812EBC">
        <w:t>GasDS</w:t>
      </w:r>
      <w:proofErr w:type="spellEnd"/>
      <w:r w:rsidR="00652EA8" w:rsidRPr="00812EBC">
        <w:t xml:space="preserve"> </w:t>
      </w:r>
      <w:r w:rsidRPr="00812EBC">
        <w:t xml:space="preserve">is the </w:t>
      </w:r>
      <w:r w:rsidR="00652EA8" w:rsidRPr="00812EBC">
        <w:t xml:space="preserve">lignocellulosic composition. The </w:t>
      </w:r>
      <w:r w:rsidRPr="00812EBC">
        <w:t xml:space="preserve">reference </w:t>
      </w:r>
      <w:r w:rsidR="00652EA8" w:rsidRPr="00812EBC">
        <w:t xml:space="preserve">work </w:t>
      </w:r>
      <w:r w:rsidR="00652EA8" w:rsidRPr="00812EBC">
        <w:fldChar w:fldCharType="begin"/>
      </w:r>
      <w:r w:rsidR="00652EA8" w:rsidRPr="00812EBC">
        <w:instrText xml:space="preserve"> ADDIN ZOTERO_ITEM CSL_CITATION {"citationID":"lxg50qT7","properties":{"formattedCitation":"(Bove et al., 2019)","plainCitation":"(Bove et al., 2019)","noteIndex":0},"citationItems":[{"id":152,"uris":["http://zotero.org/users/local/kxtbsN7x/items/B9HEPRRJ"],"itemData":{"id":152,"type":"article-journal","abstract":"Abstract\n            \n              \n              \n                The initial setting up and preliminary tests on a square</w:instrText>
      </w:r>
      <w:r w:rsidR="00652EA8" w:rsidRPr="00812EBC">
        <w:rPr>
          <w:rFonts w:ascii="Cambria Math" w:hAnsi="Cambria Math" w:cs="Cambria Math"/>
        </w:rPr>
        <w:instrText>‐</w:instrText>
      </w:r>
      <w:r w:rsidR="00652EA8" w:rsidRPr="00812EBC">
        <w:instrText>based spouted bed gasifier at pilot scale (20</w:instrText>
      </w:r>
      <w:r w:rsidR="00652EA8" w:rsidRPr="00812EBC">
        <w:rPr>
          <w:rFonts w:cs="Arial"/>
        </w:rPr>
        <w:instrText> </w:instrText>
      </w:r>
      <w:r w:rsidR="00652EA8" w:rsidRPr="00812EBC">
        <w:instrText>kW\n                th\n                ) have been investigated. The novel plant is composed of: a squared</w:instrText>
      </w:r>
      <w:r w:rsidR="00652EA8" w:rsidRPr="00812EBC">
        <w:rPr>
          <w:rFonts w:ascii="Cambria Math" w:hAnsi="Cambria Math" w:cs="Cambria Math"/>
        </w:rPr>
        <w:instrText>‐</w:instrText>
      </w:r>
      <w:r w:rsidR="00652EA8" w:rsidRPr="00812EBC">
        <w:instrText>base spouted bed unit, a feeding system to regulate the biomass mass inflow, an air pump, a clean</w:instrText>
      </w:r>
      <w:r w:rsidR="00652EA8" w:rsidRPr="00812EBC">
        <w:rPr>
          <w:rFonts w:ascii="Cambria Math" w:hAnsi="Cambria Math" w:cs="Cambria Math"/>
        </w:rPr>
        <w:instrText>‐</w:instrText>
      </w:r>
      <w:r w:rsidR="00652EA8" w:rsidRPr="00812EBC">
        <w:instrText>up system, and an online gas chromatograph analyzer to assess the quality of the produced gas. The profile of temperatures along the reactor has been monitored with different thermocouples during experimental tests. The start</w:instrText>
      </w:r>
      <w:r w:rsidR="00652EA8" w:rsidRPr="00812EBC">
        <w:rPr>
          <w:rFonts w:ascii="Cambria Math" w:hAnsi="Cambria Math" w:cs="Cambria Math"/>
        </w:rPr>
        <w:instrText>‐</w:instrText>
      </w:r>
      <w:r w:rsidR="00652EA8" w:rsidRPr="00812EBC">
        <w:instrText>up process has been optimized to reduce the time to achieve stationary conditions. Two different materials (wood pellets and prunings from apple trees) have been tested at different feeding rates. Wood pellets were used to validate the performance of the spouted bed reactor and afterwards, residues of prunings from apple trees were validated as a suitable potential feedstock for energy recovery purposes. In addition, a representative sample of char from wood pellet gasification has been collected and characterized. In particular, the properties of specific surface area, pore size, and pore distribution have been measured by the Brunauer</w:instrText>
      </w:r>
      <w:r w:rsidR="00652EA8" w:rsidRPr="00812EBC">
        <w:rPr>
          <w:rFonts w:ascii="Cambria Math" w:hAnsi="Cambria Math" w:cs="Cambria Math"/>
        </w:rPr>
        <w:instrText>‐</w:instrText>
      </w:r>
      <w:r w:rsidR="00652EA8" w:rsidRPr="00812EBC">
        <w:instrText>Emmett</w:instrText>
      </w:r>
      <w:r w:rsidR="00652EA8" w:rsidRPr="00812EBC">
        <w:rPr>
          <w:rFonts w:ascii="Cambria Math" w:hAnsi="Cambria Math" w:cs="Cambria Math"/>
        </w:rPr>
        <w:instrText>‐</w:instrText>
      </w:r>
      <w:r w:rsidR="00652EA8" w:rsidRPr="00812EBC">
        <w:instrText>Teller method. The obtained outcomes represent one of the few available results in literature using a square</w:instrText>
      </w:r>
      <w:r w:rsidR="00652EA8" w:rsidRPr="00812EBC">
        <w:rPr>
          <w:rFonts w:ascii="Cambria Math" w:hAnsi="Cambria Math" w:cs="Cambria Math"/>
        </w:rPr>
        <w:instrText>‐</w:instrText>
      </w:r>
      <w:r w:rsidR="00652EA8" w:rsidRPr="00812EBC">
        <w:instrText>based spouted bed reactor for the gasification of biomass at pilot scale.","container-title":"The Canadian Journal of Chemical Engineering","DOI":"10.1002/cjce.23223","ISSN":"0008-4034, 1939-019X","issue":"1","journalAbbreviation":"Can J Chem Eng","language":"en","page":"59-66","source":"DOI.org (Crossref)","title":"Preliminary tests for the thermo</w:instrText>
      </w:r>
      <w:r w:rsidR="00652EA8" w:rsidRPr="00812EBC">
        <w:rPr>
          <w:rFonts w:ascii="Cambria Math" w:hAnsi="Cambria Math" w:cs="Cambria Math"/>
        </w:rPr>
        <w:instrText>‐</w:instrText>
      </w:r>
      <w:r w:rsidR="00652EA8" w:rsidRPr="00812EBC">
        <w:instrText xml:space="preserve">chemical conversion of biomass in a spouted bed pilot plant","volume":"97","author":[{"family":"Bove","given":"Dario"},{"family":"Moliner","given":"Cristina"},{"family":"Curti","given":"Massimo"},{"family":"Baratieri","given":"Marco"},{"family":"Bosio","given":"Barbara"},{"family":"Rovero","given":"Giorgio"},{"family":"Arato","given":"Elisabetta"}],"issued":{"date-parts":[["2019",1]]}}}],"schema":"https://github.com/citation-style-language/schema/raw/master/csl-citation.json"} </w:instrText>
      </w:r>
      <w:r w:rsidR="00652EA8" w:rsidRPr="00812EBC">
        <w:fldChar w:fldCharType="separate"/>
      </w:r>
      <w:r w:rsidR="009F2993" w:rsidRPr="00812EBC">
        <w:rPr>
          <w:rFonts w:cs="Arial"/>
        </w:rPr>
        <w:t>(Bove et al., 2019)</w:t>
      </w:r>
      <w:r w:rsidR="00652EA8" w:rsidRPr="00812EBC">
        <w:fldChar w:fldCharType="end"/>
      </w:r>
      <w:r w:rsidR="00652EA8" w:rsidRPr="00812EBC">
        <w:t xml:space="preserve"> </w:t>
      </w:r>
      <w:r w:rsidR="00BB6307" w:rsidRPr="00812EBC">
        <w:t>did not</w:t>
      </w:r>
      <w:r w:rsidR="00652EA8" w:rsidRPr="00812EBC">
        <w:t xml:space="preserve"> provide th</w:t>
      </w:r>
      <w:r w:rsidR="0089755F" w:rsidRPr="00812EBC">
        <w:t xml:space="preserve">is </w:t>
      </w:r>
      <w:r w:rsidR="00652EA8" w:rsidRPr="00812EBC">
        <w:t xml:space="preserve">composition </w:t>
      </w:r>
      <w:r w:rsidRPr="00812EBC">
        <w:t xml:space="preserve">and its calculation was done with Microsoft Excel based program based on the </w:t>
      </w:r>
      <w:r w:rsidR="00652EA8" w:rsidRPr="00812EBC">
        <w:t>Proximate and Ultimate Analysis</w:t>
      </w:r>
      <w:r w:rsidRPr="00812EBC">
        <w:t xml:space="preserve"> (</w:t>
      </w:r>
      <w:r w:rsidR="003C601E" w:rsidRPr="00812EBC">
        <w:t>Table 1</w:t>
      </w:r>
      <w:r w:rsidRPr="00812EBC">
        <w:t>)</w:t>
      </w:r>
      <w:r w:rsidR="00652EA8" w:rsidRPr="00812EBC">
        <w:t>.</w:t>
      </w:r>
      <w:r w:rsidR="004D4C2E" w:rsidRPr="00812EBC">
        <w:t xml:space="preserve"> </w:t>
      </w:r>
    </w:p>
    <w:p w14:paraId="5577A87A" w14:textId="7114763D" w:rsidR="002A4E42" w:rsidRPr="00812EBC" w:rsidRDefault="002A4E42" w:rsidP="004C2BE6">
      <w:pPr>
        <w:rPr>
          <w:i/>
          <w:iCs/>
        </w:rPr>
      </w:pPr>
      <w:r w:rsidRPr="00812EBC">
        <w:rPr>
          <w:i/>
          <w:iCs/>
        </w:rPr>
        <w:t xml:space="preserve">Table 1. Inputs </w:t>
      </w:r>
      <w:r w:rsidR="009F2FC9" w:rsidRPr="00812EBC">
        <w:rPr>
          <w:i/>
          <w:iCs/>
        </w:rPr>
        <w:t>in</w:t>
      </w:r>
      <w:r w:rsidRPr="00812EBC">
        <w:rPr>
          <w:i/>
          <w:iCs/>
        </w:rPr>
        <w:t xml:space="preserve"> MS Excel program for calculation of lignocellulosic </w:t>
      </w:r>
      <w:r w:rsidR="00D84618" w:rsidRPr="00812EBC">
        <w:rPr>
          <w:i/>
          <w:iCs/>
        </w:rPr>
        <w:t xml:space="preserve">percentage </w:t>
      </w:r>
      <w:r w:rsidRPr="00812EBC">
        <w:rPr>
          <w:i/>
          <w:iCs/>
        </w:rPr>
        <w:t>composition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1440"/>
        <w:gridCol w:w="1440"/>
        <w:gridCol w:w="1512"/>
        <w:gridCol w:w="1451"/>
        <w:gridCol w:w="1451"/>
      </w:tblGrid>
      <w:tr w:rsidR="008945E4" w:rsidRPr="00812EBC" w14:paraId="52B9073F" w14:textId="77777777" w:rsidTr="00281D1E">
        <w:trPr>
          <w:trHeight w:val="60"/>
        </w:trPr>
        <w:tc>
          <w:tcPr>
            <w:tcW w:w="4373" w:type="dxa"/>
            <w:gridSpan w:val="3"/>
            <w:tcBorders>
              <w:top w:val="single" w:sz="18" w:space="0" w:color="76923C" w:themeColor="accent3" w:themeShade="BF"/>
            </w:tcBorders>
          </w:tcPr>
          <w:p w14:paraId="6C654F1C" w14:textId="77777777" w:rsidR="008945E4" w:rsidRPr="00812EBC" w:rsidRDefault="008945E4" w:rsidP="004C2BE6">
            <w:pPr>
              <w:tabs>
                <w:tab w:val="clear" w:pos="7100"/>
              </w:tabs>
              <w:spacing w:line="240" w:lineRule="auto"/>
              <w:jc w:val="left"/>
              <w:rPr>
                <w:rFonts w:cs="Arial"/>
                <w:color w:val="000000"/>
                <w:kern w:val="0"/>
                <w:szCs w:val="18"/>
                <w:lang w:val="en-US"/>
                <w14:ligatures w14:val="none"/>
              </w:rPr>
            </w:pPr>
            <w:r w:rsidRPr="00812EBC">
              <w:rPr>
                <w:rFonts w:cs="Arial"/>
                <w:color w:val="000000"/>
                <w:kern w:val="0"/>
                <w:szCs w:val="18"/>
                <w:lang w:val="en-US"/>
                <w14:ligatures w14:val="none"/>
              </w:rPr>
              <w:t>Inputs</w:t>
            </w:r>
          </w:p>
        </w:tc>
        <w:tc>
          <w:tcPr>
            <w:tcW w:w="4414" w:type="dxa"/>
            <w:gridSpan w:val="3"/>
            <w:tcBorders>
              <w:top w:val="single" w:sz="18" w:space="0" w:color="76923C" w:themeColor="accent3" w:themeShade="BF"/>
            </w:tcBorders>
          </w:tcPr>
          <w:p w14:paraId="0598D1E6" w14:textId="77777777" w:rsidR="008945E4" w:rsidRPr="00812EBC" w:rsidRDefault="008945E4" w:rsidP="004C2BE6">
            <w:pPr>
              <w:tabs>
                <w:tab w:val="clear" w:pos="7100"/>
              </w:tabs>
              <w:spacing w:line="240" w:lineRule="auto"/>
              <w:jc w:val="left"/>
              <w:rPr>
                <w:rFonts w:cs="Arial"/>
                <w:color w:val="000000"/>
                <w:kern w:val="0"/>
                <w:szCs w:val="18"/>
                <w:lang w:val="en-US"/>
                <w14:ligatures w14:val="none"/>
              </w:rPr>
            </w:pPr>
            <w:r w:rsidRPr="00812EBC">
              <w:rPr>
                <w:rFonts w:cs="Arial"/>
                <w:color w:val="000000"/>
                <w:kern w:val="0"/>
                <w:szCs w:val="18"/>
                <w:lang w:val="en-US"/>
                <w14:ligatures w14:val="none"/>
              </w:rPr>
              <w:t>Outputs</w:t>
            </w:r>
          </w:p>
        </w:tc>
      </w:tr>
      <w:tr w:rsidR="00281D1E" w:rsidRPr="00812EBC" w14:paraId="5FD24F49" w14:textId="77777777" w:rsidTr="00281D1E">
        <w:tc>
          <w:tcPr>
            <w:tcW w:w="1493" w:type="dxa"/>
            <w:tcBorders>
              <w:bottom w:val="single" w:sz="8" w:space="0" w:color="76923C" w:themeColor="accent3" w:themeShade="BF"/>
            </w:tcBorders>
          </w:tcPr>
          <w:p w14:paraId="1F57D98D" w14:textId="77777777" w:rsidR="008945E4" w:rsidRPr="00812EBC" w:rsidRDefault="008945E4" w:rsidP="004C2BE6">
            <w:pPr>
              <w:tabs>
                <w:tab w:val="clear" w:pos="7100"/>
              </w:tabs>
              <w:spacing w:line="240" w:lineRule="auto"/>
              <w:jc w:val="left"/>
              <w:rPr>
                <w:rFonts w:cs="Arial"/>
                <w:color w:val="000000"/>
                <w:kern w:val="0"/>
                <w:szCs w:val="18"/>
                <w:lang w:val="en-US"/>
                <w14:ligatures w14:val="none"/>
              </w:rPr>
            </w:pPr>
            <w:r w:rsidRPr="00812EBC">
              <w:rPr>
                <w:rFonts w:cs="Arial"/>
                <w:color w:val="000000"/>
                <w:kern w:val="0"/>
                <w:szCs w:val="18"/>
                <w:lang w:val="en-US"/>
                <w14:ligatures w14:val="none"/>
              </w:rPr>
              <w:t>Fractions</w:t>
            </w:r>
          </w:p>
        </w:tc>
        <w:tc>
          <w:tcPr>
            <w:tcW w:w="1440" w:type="dxa"/>
            <w:tcBorders>
              <w:bottom w:val="single" w:sz="8" w:space="0" w:color="76923C" w:themeColor="accent3" w:themeShade="BF"/>
            </w:tcBorders>
          </w:tcPr>
          <w:p w14:paraId="0841ABA6" w14:textId="7F2D6144" w:rsidR="00E13B0B" w:rsidRPr="00812EBC" w:rsidRDefault="008945E4" w:rsidP="00E13B0B">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WP</w:t>
            </w:r>
          </w:p>
        </w:tc>
        <w:tc>
          <w:tcPr>
            <w:tcW w:w="1440" w:type="dxa"/>
            <w:tcBorders>
              <w:bottom w:val="single" w:sz="8" w:space="0" w:color="76923C" w:themeColor="accent3" w:themeShade="BF"/>
            </w:tcBorders>
          </w:tcPr>
          <w:p w14:paraId="5A62C656" w14:textId="77777777"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PAT</w:t>
            </w:r>
          </w:p>
        </w:tc>
        <w:tc>
          <w:tcPr>
            <w:tcW w:w="1512" w:type="dxa"/>
            <w:tcBorders>
              <w:bottom w:val="single" w:sz="8" w:space="0" w:color="76923C" w:themeColor="accent3" w:themeShade="BF"/>
            </w:tcBorders>
          </w:tcPr>
          <w:p w14:paraId="1A5FB294" w14:textId="77777777" w:rsidR="008945E4" w:rsidRPr="00812EBC" w:rsidRDefault="008945E4" w:rsidP="004C2BE6">
            <w:pPr>
              <w:tabs>
                <w:tab w:val="clear" w:pos="7100"/>
              </w:tabs>
              <w:spacing w:line="240" w:lineRule="auto"/>
              <w:jc w:val="left"/>
              <w:rPr>
                <w:rFonts w:cs="Arial"/>
                <w:color w:val="000000"/>
                <w:kern w:val="0"/>
                <w:szCs w:val="18"/>
                <w:lang w:val="en-US"/>
                <w14:ligatures w14:val="none"/>
              </w:rPr>
            </w:pPr>
            <w:r w:rsidRPr="00812EBC">
              <w:rPr>
                <w:rFonts w:cs="Arial"/>
                <w:color w:val="000000"/>
                <w:kern w:val="0"/>
                <w:szCs w:val="18"/>
                <w:lang w:val="en-US"/>
                <w14:ligatures w14:val="none"/>
              </w:rPr>
              <w:t>Component</w:t>
            </w:r>
          </w:p>
        </w:tc>
        <w:tc>
          <w:tcPr>
            <w:tcW w:w="1451" w:type="dxa"/>
            <w:tcBorders>
              <w:bottom w:val="single" w:sz="8" w:space="0" w:color="76923C" w:themeColor="accent3" w:themeShade="BF"/>
            </w:tcBorders>
          </w:tcPr>
          <w:p w14:paraId="6452895E" w14:textId="77777777"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WP</w:t>
            </w:r>
          </w:p>
        </w:tc>
        <w:tc>
          <w:tcPr>
            <w:tcW w:w="1451" w:type="dxa"/>
            <w:tcBorders>
              <w:bottom w:val="single" w:sz="8" w:space="0" w:color="76923C" w:themeColor="accent3" w:themeShade="BF"/>
            </w:tcBorders>
          </w:tcPr>
          <w:p w14:paraId="4D6CBE6E" w14:textId="77777777"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PAT</w:t>
            </w:r>
          </w:p>
        </w:tc>
      </w:tr>
      <w:tr w:rsidR="00281D1E" w:rsidRPr="00812EBC" w14:paraId="68187A44" w14:textId="77777777" w:rsidTr="00281D1E">
        <w:tc>
          <w:tcPr>
            <w:tcW w:w="1493" w:type="dxa"/>
            <w:tcBorders>
              <w:top w:val="single" w:sz="8" w:space="0" w:color="76923C" w:themeColor="accent3" w:themeShade="BF"/>
            </w:tcBorders>
            <w:vAlign w:val="center"/>
          </w:tcPr>
          <w:p w14:paraId="22388EBE" w14:textId="77777777" w:rsidR="008945E4" w:rsidRPr="00812EBC" w:rsidRDefault="008945E4" w:rsidP="004C2BE6">
            <w:pPr>
              <w:tabs>
                <w:tab w:val="clear" w:pos="7100"/>
              </w:tabs>
              <w:spacing w:line="240" w:lineRule="auto"/>
              <w:jc w:val="left"/>
              <w:rPr>
                <w:rFonts w:cs="Arial"/>
                <w:color w:val="000000"/>
                <w:kern w:val="0"/>
                <w:szCs w:val="18"/>
                <w:lang w:val="en-US"/>
                <w14:ligatures w14:val="none"/>
              </w:rPr>
            </w:pPr>
            <w:r w:rsidRPr="00812EBC">
              <w:rPr>
                <w:rFonts w:cs="Arial"/>
                <w:color w:val="000000"/>
                <w:kern w:val="0"/>
                <w:szCs w:val="18"/>
                <w:lang w:val="en-US"/>
                <w14:ligatures w14:val="none"/>
              </w:rPr>
              <w:t>Carbon</w:t>
            </w:r>
          </w:p>
        </w:tc>
        <w:tc>
          <w:tcPr>
            <w:tcW w:w="1440" w:type="dxa"/>
            <w:tcBorders>
              <w:top w:val="single" w:sz="8" w:space="0" w:color="76923C" w:themeColor="accent3" w:themeShade="BF"/>
            </w:tcBorders>
            <w:vAlign w:val="center"/>
          </w:tcPr>
          <w:p w14:paraId="6EC8E616" w14:textId="0AF96BD0"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50.06 ± 0.70</w:t>
            </w:r>
            <w:r w:rsidR="00341D6E" w:rsidRPr="00812EBC">
              <w:rPr>
                <w:rFonts w:cs="Arial"/>
                <w:color w:val="000000"/>
                <w:kern w:val="0"/>
                <w:szCs w:val="18"/>
                <w:lang w:val="en-US"/>
                <w14:ligatures w14:val="none"/>
              </w:rPr>
              <w:t>%</w:t>
            </w:r>
          </w:p>
        </w:tc>
        <w:tc>
          <w:tcPr>
            <w:tcW w:w="1440" w:type="dxa"/>
            <w:tcBorders>
              <w:top w:val="single" w:sz="8" w:space="0" w:color="76923C" w:themeColor="accent3" w:themeShade="BF"/>
            </w:tcBorders>
            <w:vAlign w:val="center"/>
          </w:tcPr>
          <w:p w14:paraId="2C2FDCBE" w14:textId="3324827C"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48.88 ± 0.39</w:t>
            </w:r>
            <w:r w:rsidR="00341D6E" w:rsidRPr="00812EBC">
              <w:rPr>
                <w:rFonts w:cs="Arial"/>
                <w:color w:val="000000"/>
                <w:kern w:val="0"/>
                <w:szCs w:val="18"/>
                <w:lang w:val="en-US"/>
                <w14:ligatures w14:val="none"/>
              </w:rPr>
              <w:t>%</w:t>
            </w:r>
          </w:p>
        </w:tc>
        <w:tc>
          <w:tcPr>
            <w:tcW w:w="1512" w:type="dxa"/>
            <w:tcBorders>
              <w:top w:val="single" w:sz="8" w:space="0" w:color="76923C" w:themeColor="accent3" w:themeShade="BF"/>
            </w:tcBorders>
            <w:vAlign w:val="center"/>
          </w:tcPr>
          <w:p w14:paraId="43343D84" w14:textId="77777777" w:rsidR="008945E4" w:rsidRPr="00812EBC" w:rsidRDefault="008945E4" w:rsidP="004C2BE6">
            <w:pPr>
              <w:tabs>
                <w:tab w:val="clear" w:pos="7100"/>
              </w:tabs>
              <w:spacing w:line="240" w:lineRule="auto"/>
              <w:jc w:val="left"/>
              <w:rPr>
                <w:rFonts w:cs="Arial"/>
                <w:color w:val="000000"/>
                <w:kern w:val="0"/>
                <w:szCs w:val="18"/>
                <w:lang w:val="en-US"/>
                <w14:ligatures w14:val="none"/>
              </w:rPr>
            </w:pPr>
            <w:r w:rsidRPr="00812EBC">
              <w:rPr>
                <w:rFonts w:cs="Arial"/>
                <w:color w:val="000000"/>
                <w:kern w:val="0"/>
                <w:szCs w:val="18"/>
                <w:lang w:val="en-US"/>
                <w14:ligatures w14:val="none"/>
              </w:rPr>
              <w:t>CELL</w:t>
            </w:r>
          </w:p>
        </w:tc>
        <w:tc>
          <w:tcPr>
            <w:tcW w:w="1451" w:type="dxa"/>
            <w:tcBorders>
              <w:top w:val="single" w:sz="8" w:space="0" w:color="76923C" w:themeColor="accent3" w:themeShade="BF"/>
            </w:tcBorders>
            <w:vAlign w:val="center"/>
          </w:tcPr>
          <w:p w14:paraId="4628B849" w14:textId="77777777"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55.4%</w:t>
            </w:r>
          </w:p>
        </w:tc>
        <w:tc>
          <w:tcPr>
            <w:tcW w:w="1451" w:type="dxa"/>
            <w:tcBorders>
              <w:top w:val="single" w:sz="8" w:space="0" w:color="76923C" w:themeColor="accent3" w:themeShade="BF"/>
            </w:tcBorders>
            <w:vAlign w:val="center"/>
          </w:tcPr>
          <w:p w14:paraId="23329F5D" w14:textId="77777777"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59%</w:t>
            </w:r>
          </w:p>
        </w:tc>
      </w:tr>
      <w:tr w:rsidR="00281D1E" w:rsidRPr="00812EBC" w14:paraId="11589860" w14:textId="77777777" w:rsidTr="00281D1E">
        <w:tc>
          <w:tcPr>
            <w:tcW w:w="1493" w:type="dxa"/>
            <w:vAlign w:val="center"/>
          </w:tcPr>
          <w:p w14:paraId="0E17677C" w14:textId="77777777" w:rsidR="008945E4" w:rsidRPr="00812EBC" w:rsidRDefault="008945E4" w:rsidP="004C2BE6">
            <w:pPr>
              <w:tabs>
                <w:tab w:val="clear" w:pos="7100"/>
              </w:tabs>
              <w:spacing w:line="240" w:lineRule="auto"/>
              <w:jc w:val="left"/>
              <w:rPr>
                <w:rFonts w:cs="Arial"/>
                <w:color w:val="000000"/>
                <w:kern w:val="0"/>
                <w:szCs w:val="18"/>
                <w:lang w:val="en-US"/>
                <w14:ligatures w14:val="none"/>
              </w:rPr>
            </w:pPr>
            <w:r w:rsidRPr="00812EBC">
              <w:rPr>
                <w:rFonts w:cs="Arial"/>
                <w:color w:val="000000"/>
                <w:kern w:val="0"/>
                <w:szCs w:val="18"/>
                <w:lang w:val="en-US"/>
                <w14:ligatures w14:val="none"/>
              </w:rPr>
              <w:t>Hydrogen</w:t>
            </w:r>
          </w:p>
        </w:tc>
        <w:tc>
          <w:tcPr>
            <w:tcW w:w="1440" w:type="dxa"/>
            <w:vAlign w:val="center"/>
          </w:tcPr>
          <w:p w14:paraId="32E9BF4A" w14:textId="1DA9B2A7"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6.23 ± 0.08</w:t>
            </w:r>
            <w:r w:rsidR="00341D6E" w:rsidRPr="00812EBC">
              <w:rPr>
                <w:rFonts w:cs="Arial"/>
                <w:color w:val="000000"/>
                <w:kern w:val="0"/>
                <w:szCs w:val="18"/>
                <w:lang w:val="en-US"/>
                <w14:ligatures w14:val="none"/>
              </w:rPr>
              <w:t>%</w:t>
            </w:r>
          </w:p>
        </w:tc>
        <w:tc>
          <w:tcPr>
            <w:tcW w:w="1440" w:type="dxa"/>
            <w:vAlign w:val="center"/>
          </w:tcPr>
          <w:p w14:paraId="4C5C390C" w14:textId="1AAE9FBF"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5.71 ± 0.09</w:t>
            </w:r>
            <w:r w:rsidR="00341D6E" w:rsidRPr="00812EBC">
              <w:rPr>
                <w:rFonts w:cs="Arial"/>
                <w:color w:val="000000"/>
                <w:kern w:val="0"/>
                <w:szCs w:val="18"/>
                <w:lang w:val="en-US"/>
                <w14:ligatures w14:val="none"/>
              </w:rPr>
              <w:t>%</w:t>
            </w:r>
          </w:p>
        </w:tc>
        <w:tc>
          <w:tcPr>
            <w:tcW w:w="1512" w:type="dxa"/>
            <w:vAlign w:val="center"/>
          </w:tcPr>
          <w:p w14:paraId="09055FEC" w14:textId="77777777" w:rsidR="008945E4" w:rsidRPr="00812EBC" w:rsidRDefault="008945E4" w:rsidP="004C2BE6">
            <w:pPr>
              <w:tabs>
                <w:tab w:val="clear" w:pos="7100"/>
              </w:tabs>
              <w:spacing w:line="240" w:lineRule="auto"/>
              <w:jc w:val="left"/>
              <w:rPr>
                <w:rFonts w:cs="Arial"/>
                <w:color w:val="000000"/>
                <w:kern w:val="0"/>
                <w:szCs w:val="18"/>
                <w:lang w:val="en-US"/>
                <w14:ligatures w14:val="none"/>
              </w:rPr>
            </w:pPr>
            <w:r w:rsidRPr="00812EBC">
              <w:rPr>
                <w:rFonts w:cs="Arial"/>
                <w:color w:val="000000"/>
                <w:kern w:val="0"/>
                <w:szCs w:val="18"/>
                <w:lang w:val="en-US"/>
                <w14:ligatures w14:val="none"/>
              </w:rPr>
              <w:t>LIG</w:t>
            </w:r>
          </w:p>
        </w:tc>
        <w:tc>
          <w:tcPr>
            <w:tcW w:w="1451" w:type="dxa"/>
            <w:vAlign w:val="center"/>
          </w:tcPr>
          <w:p w14:paraId="2E3D9D0E" w14:textId="77777777"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w:t>
            </w:r>
          </w:p>
        </w:tc>
        <w:tc>
          <w:tcPr>
            <w:tcW w:w="1451" w:type="dxa"/>
            <w:vAlign w:val="center"/>
          </w:tcPr>
          <w:p w14:paraId="0CBEDE08" w14:textId="77777777"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18.1%</w:t>
            </w:r>
          </w:p>
        </w:tc>
      </w:tr>
      <w:tr w:rsidR="00281D1E" w:rsidRPr="00812EBC" w14:paraId="6657C2F5" w14:textId="77777777" w:rsidTr="00281D1E">
        <w:tc>
          <w:tcPr>
            <w:tcW w:w="1493" w:type="dxa"/>
            <w:vAlign w:val="center"/>
          </w:tcPr>
          <w:p w14:paraId="0EDA4896" w14:textId="77777777" w:rsidR="008945E4" w:rsidRPr="00812EBC" w:rsidRDefault="008945E4" w:rsidP="004C2BE6">
            <w:pPr>
              <w:tabs>
                <w:tab w:val="clear" w:pos="7100"/>
              </w:tabs>
              <w:spacing w:line="240" w:lineRule="auto"/>
              <w:jc w:val="left"/>
              <w:rPr>
                <w:rFonts w:cs="Arial"/>
                <w:color w:val="000000"/>
                <w:kern w:val="0"/>
                <w:szCs w:val="18"/>
                <w:lang w:val="en-US"/>
                <w14:ligatures w14:val="none"/>
              </w:rPr>
            </w:pPr>
            <w:r w:rsidRPr="00812EBC">
              <w:rPr>
                <w:rFonts w:cs="Arial"/>
                <w:color w:val="000000"/>
                <w:kern w:val="0"/>
                <w:szCs w:val="18"/>
                <w:lang w:val="en-US"/>
                <w14:ligatures w14:val="none"/>
              </w:rPr>
              <w:t>Oxygen</w:t>
            </w:r>
          </w:p>
        </w:tc>
        <w:tc>
          <w:tcPr>
            <w:tcW w:w="1440" w:type="dxa"/>
            <w:vAlign w:val="center"/>
          </w:tcPr>
          <w:p w14:paraId="671F4E53" w14:textId="12376AF7"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43.38 ± 0.68</w:t>
            </w:r>
            <w:r w:rsidR="00341D6E" w:rsidRPr="00812EBC">
              <w:rPr>
                <w:rFonts w:cs="Arial"/>
                <w:color w:val="000000"/>
                <w:kern w:val="0"/>
                <w:szCs w:val="18"/>
                <w:lang w:val="en-US"/>
                <w14:ligatures w14:val="none"/>
              </w:rPr>
              <w:t>%</w:t>
            </w:r>
          </w:p>
        </w:tc>
        <w:tc>
          <w:tcPr>
            <w:tcW w:w="1440" w:type="dxa"/>
            <w:vAlign w:val="center"/>
          </w:tcPr>
          <w:p w14:paraId="370CA9F5" w14:textId="38332DEA"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42.15 ± 0.53</w:t>
            </w:r>
            <w:r w:rsidR="00341D6E" w:rsidRPr="00812EBC">
              <w:rPr>
                <w:rFonts w:cs="Arial"/>
                <w:color w:val="000000"/>
                <w:kern w:val="0"/>
                <w:szCs w:val="18"/>
                <w:lang w:val="en-US"/>
                <w14:ligatures w14:val="none"/>
              </w:rPr>
              <w:t>%</w:t>
            </w:r>
          </w:p>
        </w:tc>
        <w:tc>
          <w:tcPr>
            <w:tcW w:w="1512" w:type="dxa"/>
            <w:vAlign w:val="center"/>
          </w:tcPr>
          <w:p w14:paraId="7BE0F3BE" w14:textId="77777777" w:rsidR="008945E4" w:rsidRPr="00812EBC" w:rsidRDefault="008945E4" w:rsidP="004C2BE6">
            <w:pPr>
              <w:tabs>
                <w:tab w:val="clear" w:pos="7100"/>
              </w:tabs>
              <w:spacing w:line="240" w:lineRule="auto"/>
              <w:jc w:val="left"/>
              <w:rPr>
                <w:rFonts w:cs="Arial"/>
                <w:color w:val="000000"/>
                <w:kern w:val="0"/>
                <w:szCs w:val="18"/>
                <w:lang w:val="en-US"/>
                <w14:ligatures w14:val="none"/>
              </w:rPr>
            </w:pPr>
            <w:r w:rsidRPr="00812EBC">
              <w:rPr>
                <w:rFonts w:cs="Arial"/>
                <w:color w:val="000000"/>
                <w:kern w:val="0"/>
                <w:szCs w:val="18"/>
                <w:lang w:val="en-US"/>
                <w14:ligatures w14:val="none"/>
              </w:rPr>
              <w:t>LIGH</w:t>
            </w:r>
          </w:p>
        </w:tc>
        <w:tc>
          <w:tcPr>
            <w:tcW w:w="1451" w:type="dxa"/>
            <w:vAlign w:val="center"/>
          </w:tcPr>
          <w:p w14:paraId="7FF3B4C2" w14:textId="77777777"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35.2%</w:t>
            </w:r>
          </w:p>
        </w:tc>
        <w:tc>
          <w:tcPr>
            <w:tcW w:w="1451" w:type="dxa"/>
            <w:vAlign w:val="center"/>
          </w:tcPr>
          <w:p w14:paraId="436A76AE" w14:textId="77777777"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19.6%</w:t>
            </w:r>
          </w:p>
        </w:tc>
      </w:tr>
      <w:tr w:rsidR="00281D1E" w:rsidRPr="00812EBC" w14:paraId="49BB0D3D" w14:textId="77777777" w:rsidTr="00281D1E">
        <w:tc>
          <w:tcPr>
            <w:tcW w:w="1493" w:type="dxa"/>
            <w:vAlign w:val="center"/>
          </w:tcPr>
          <w:p w14:paraId="4FDF115C" w14:textId="77777777" w:rsidR="008945E4" w:rsidRPr="00812EBC" w:rsidRDefault="008945E4" w:rsidP="004C2BE6">
            <w:pPr>
              <w:tabs>
                <w:tab w:val="clear" w:pos="7100"/>
              </w:tabs>
              <w:spacing w:line="240" w:lineRule="auto"/>
              <w:jc w:val="left"/>
              <w:rPr>
                <w:rFonts w:cs="Arial"/>
                <w:color w:val="000000"/>
                <w:kern w:val="0"/>
                <w:szCs w:val="18"/>
                <w:lang w:val="en-US"/>
                <w14:ligatures w14:val="none"/>
              </w:rPr>
            </w:pPr>
            <w:r w:rsidRPr="00812EBC">
              <w:rPr>
                <w:rFonts w:cs="Arial"/>
                <w:color w:val="000000"/>
                <w:kern w:val="0"/>
                <w:szCs w:val="18"/>
                <w:lang w:val="en-US"/>
                <w14:ligatures w14:val="none"/>
              </w:rPr>
              <w:t>Nitrogen</w:t>
            </w:r>
          </w:p>
        </w:tc>
        <w:tc>
          <w:tcPr>
            <w:tcW w:w="1440" w:type="dxa"/>
            <w:vAlign w:val="center"/>
          </w:tcPr>
          <w:p w14:paraId="3BA9E6E4" w14:textId="730F4558"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0.06 ± 0.05</w:t>
            </w:r>
            <w:r w:rsidR="00341D6E" w:rsidRPr="00812EBC">
              <w:rPr>
                <w:rFonts w:cs="Arial"/>
                <w:color w:val="000000"/>
                <w:kern w:val="0"/>
                <w:szCs w:val="18"/>
                <w:lang w:val="en-US"/>
                <w14:ligatures w14:val="none"/>
              </w:rPr>
              <w:t>%</w:t>
            </w:r>
          </w:p>
        </w:tc>
        <w:tc>
          <w:tcPr>
            <w:tcW w:w="1440" w:type="dxa"/>
            <w:vAlign w:val="center"/>
          </w:tcPr>
          <w:p w14:paraId="000B84F6" w14:textId="1E754772"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0.26 ± 0.05</w:t>
            </w:r>
            <w:r w:rsidR="00341D6E" w:rsidRPr="00812EBC">
              <w:rPr>
                <w:rFonts w:cs="Arial"/>
                <w:color w:val="000000"/>
                <w:kern w:val="0"/>
                <w:szCs w:val="18"/>
                <w:lang w:val="en-US"/>
                <w14:ligatures w14:val="none"/>
              </w:rPr>
              <w:t>%</w:t>
            </w:r>
          </w:p>
        </w:tc>
        <w:tc>
          <w:tcPr>
            <w:tcW w:w="1512" w:type="dxa"/>
            <w:vAlign w:val="center"/>
          </w:tcPr>
          <w:p w14:paraId="54F87375" w14:textId="0ADB6304" w:rsidR="008945E4" w:rsidRPr="00812EBC" w:rsidRDefault="008945E4" w:rsidP="004C2BE6">
            <w:pPr>
              <w:tabs>
                <w:tab w:val="clear" w:pos="7100"/>
              </w:tabs>
              <w:spacing w:line="240" w:lineRule="auto"/>
              <w:jc w:val="left"/>
              <w:rPr>
                <w:rFonts w:cs="Arial"/>
                <w:color w:val="000000"/>
                <w:kern w:val="0"/>
                <w:szCs w:val="18"/>
                <w:lang w:val="en-US"/>
                <w14:ligatures w14:val="none"/>
              </w:rPr>
            </w:pPr>
            <w:r w:rsidRPr="00812EBC">
              <w:rPr>
                <w:rFonts w:cs="Arial"/>
                <w:color w:val="000000"/>
                <w:kern w:val="0"/>
                <w:szCs w:val="18"/>
                <w:lang w:val="en-US"/>
                <w14:ligatures w14:val="none"/>
              </w:rPr>
              <w:t>ASH</w:t>
            </w:r>
          </w:p>
        </w:tc>
        <w:tc>
          <w:tcPr>
            <w:tcW w:w="1451" w:type="dxa"/>
            <w:vAlign w:val="center"/>
          </w:tcPr>
          <w:p w14:paraId="5A724225" w14:textId="77777777"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0.3%</w:t>
            </w:r>
          </w:p>
        </w:tc>
        <w:tc>
          <w:tcPr>
            <w:tcW w:w="1451" w:type="dxa"/>
            <w:vAlign w:val="center"/>
          </w:tcPr>
          <w:p w14:paraId="6C606978" w14:textId="77777777"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3.3%</w:t>
            </w:r>
          </w:p>
        </w:tc>
      </w:tr>
      <w:tr w:rsidR="00281D1E" w:rsidRPr="00812EBC" w14:paraId="269713E8" w14:textId="77777777" w:rsidTr="00281D1E">
        <w:tc>
          <w:tcPr>
            <w:tcW w:w="1493" w:type="dxa"/>
            <w:vAlign w:val="center"/>
          </w:tcPr>
          <w:p w14:paraId="27F7C5B0" w14:textId="77777777" w:rsidR="008945E4" w:rsidRPr="00812EBC" w:rsidRDefault="008945E4" w:rsidP="004C2BE6">
            <w:pPr>
              <w:tabs>
                <w:tab w:val="clear" w:pos="7100"/>
              </w:tabs>
              <w:spacing w:line="240" w:lineRule="auto"/>
              <w:jc w:val="left"/>
              <w:rPr>
                <w:rFonts w:cs="Arial"/>
                <w:color w:val="000000"/>
                <w:kern w:val="0"/>
                <w:szCs w:val="18"/>
                <w:lang w:val="en-US"/>
                <w14:ligatures w14:val="none"/>
              </w:rPr>
            </w:pPr>
            <w:r w:rsidRPr="00812EBC">
              <w:rPr>
                <w:rFonts w:cs="Arial"/>
                <w:color w:val="000000"/>
                <w:kern w:val="0"/>
                <w:szCs w:val="18"/>
                <w:lang w:val="en-US"/>
                <w14:ligatures w14:val="none"/>
              </w:rPr>
              <w:t>Sulphur</w:t>
            </w:r>
          </w:p>
        </w:tc>
        <w:tc>
          <w:tcPr>
            <w:tcW w:w="1440" w:type="dxa"/>
            <w:vAlign w:val="center"/>
          </w:tcPr>
          <w:p w14:paraId="6767B352" w14:textId="2BE422FA"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0.01 ± 0.16</w:t>
            </w:r>
            <w:r w:rsidR="00341D6E" w:rsidRPr="00812EBC">
              <w:rPr>
                <w:rFonts w:cs="Arial"/>
                <w:color w:val="000000"/>
                <w:kern w:val="0"/>
                <w:szCs w:val="18"/>
                <w:lang w:val="en-US"/>
                <w14:ligatures w14:val="none"/>
              </w:rPr>
              <w:t>%</w:t>
            </w:r>
          </w:p>
        </w:tc>
        <w:tc>
          <w:tcPr>
            <w:tcW w:w="1440" w:type="dxa"/>
            <w:vAlign w:val="center"/>
          </w:tcPr>
          <w:p w14:paraId="10574E72" w14:textId="1442A74D"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0.13 ± 0.07</w:t>
            </w:r>
            <w:r w:rsidR="00341D6E" w:rsidRPr="00812EBC">
              <w:rPr>
                <w:rFonts w:cs="Arial"/>
                <w:color w:val="000000"/>
                <w:kern w:val="0"/>
                <w:szCs w:val="18"/>
                <w:lang w:val="en-US"/>
                <w14:ligatures w14:val="none"/>
              </w:rPr>
              <w:t>%</w:t>
            </w:r>
          </w:p>
        </w:tc>
        <w:tc>
          <w:tcPr>
            <w:tcW w:w="1512" w:type="dxa"/>
            <w:vAlign w:val="center"/>
          </w:tcPr>
          <w:p w14:paraId="00693659" w14:textId="77777777" w:rsidR="008945E4" w:rsidRPr="00812EBC" w:rsidRDefault="008945E4" w:rsidP="004C2BE6">
            <w:pPr>
              <w:tabs>
                <w:tab w:val="clear" w:pos="7100"/>
              </w:tabs>
              <w:spacing w:line="240" w:lineRule="auto"/>
              <w:jc w:val="left"/>
              <w:rPr>
                <w:rFonts w:cs="Arial"/>
                <w:color w:val="000000"/>
                <w:kern w:val="0"/>
                <w:szCs w:val="18"/>
                <w:lang w:val="en-US"/>
                <w14:ligatures w14:val="none"/>
              </w:rPr>
            </w:pPr>
            <w:r w:rsidRPr="00812EBC">
              <w:rPr>
                <w:rFonts w:cs="Arial"/>
                <w:color w:val="000000"/>
                <w:kern w:val="0"/>
                <w:szCs w:val="18"/>
                <w:lang w:val="en-US"/>
                <w14:ligatures w14:val="none"/>
              </w:rPr>
              <w:t>HECELL</w:t>
            </w:r>
          </w:p>
        </w:tc>
        <w:tc>
          <w:tcPr>
            <w:tcW w:w="1451" w:type="dxa"/>
            <w:vAlign w:val="center"/>
          </w:tcPr>
          <w:p w14:paraId="5F569A05" w14:textId="77777777"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9.1%</w:t>
            </w:r>
          </w:p>
        </w:tc>
        <w:tc>
          <w:tcPr>
            <w:tcW w:w="1451" w:type="dxa"/>
            <w:vAlign w:val="center"/>
          </w:tcPr>
          <w:p w14:paraId="185F99AC" w14:textId="77777777"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w:t>
            </w:r>
          </w:p>
        </w:tc>
      </w:tr>
      <w:tr w:rsidR="00281D1E" w:rsidRPr="00812EBC" w14:paraId="5CFCE682" w14:textId="77777777" w:rsidTr="00281D1E">
        <w:tc>
          <w:tcPr>
            <w:tcW w:w="1493" w:type="dxa"/>
            <w:tcBorders>
              <w:bottom w:val="single" w:sz="18" w:space="0" w:color="76923C" w:themeColor="accent3" w:themeShade="BF"/>
            </w:tcBorders>
            <w:vAlign w:val="center"/>
          </w:tcPr>
          <w:p w14:paraId="0CE37C82" w14:textId="77777777" w:rsidR="008945E4" w:rsidRPr="00812EBC" w:rsidRDefault="008945E4" w:rsidP="004C2BE6">
            <w:pPr>
              <w:tabs>
                <w:tab w:val="clear" w:pos="7100"/>
              </w:tabs>
              <w:spacing w:line="240" w:lineRule="auto"/>
              <w:jc w:val="left"/>
              <w:rPr>
                <w:rFonts w:cs="Arial"/>
                <w:color w:val="000000"/>
                <w:kern w:val="0"/>
                <w:szCs w:val="18"/>
                <w:lang w:val="en-US"/>
                <w14:ligatures w14:val="none"/>
              </w:rPr>
            </w:pPr>
            <w:r w:rsidRPr="00812EBC">
              <w:rPr>
                <w:rFonts w:cs="Arial"/>
                <w:color w:val="000000"/>
                <w:kern w:val="0"/>
                <w:szCs w:val="18"/>
                <w:lang w:val="en-US"/>
                <w14:ligatures w14:val="none"/>
              </w:rPr>
              <w:t>Ash content</w:t>
            </w:r>
          </w:p>
        </w:tc>
        <w:tc>
          <w:tcPr>
            <w:tcW w:w="1440" w:type="dxa"/>
            <w:tcBorders>
              <w:bottom w:val="single" w:sz="18" w:space="0" w:color="76923C" w:themeColor="accent3" w:themeShade="BF"/>
            </w:tcBorders>
            <w:vAlign w:val="center"/>
          </w:tcPr>
          <w:p w14:paraId="0E2C36CF" w14:textId="6A1E9AC6"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0.26 ± 0.10</w:t>
            </w:r>
            <w:r w:rsidR="00341D6E" w:rsidRPr="00812EBC">
              <w:rPr>
                <w:rFonts w:cs="Arial"/>
                <w:color w:val="000000"/>
                <w:kern w:val="0"/>
                <w:szCs w:val="18"/>
                <w:lang w:val="en-US"/>
                <w14:ligatures w14:val="none"/>
              </w:rPr>
              <w:t>%</w:t>
            </w:r>
          </w:p>
        </w:tc>
        <w:tc>
          <w:tcPr>
            <w:tcW w:w="1440" w:type="dxa"/>
            <w:tcBorders>
              <w:bottom w:val="single" w:sz="18" w:space="0" w:color="76923C" w:themeColor="accent3" w:themeShade="BF"/>
            </w:tcBorders>
            <w:vAlign w:val="center"/>
          </w:tcPr>
          <w:p w14:paraId="513F63C9" w14:textId="5C18E201" w:rsidR="008945E4" w:rsidRPr="00812EBC" w:rsidRDefault="008945E4" w:rsidP="004C2BE6">
            <w:pPr>
              <w:tabs>
                <w:tab w:val="clear" w:pos="7100"/>
              </w:tabs>
              <w:spacing w:line="240" w:lineRule="auto"/>
              <w:jc w:val="center"/>
              <w:rPr>
                <w:rFonts w:cs="Arial"/>
                <w:color w:val="000000"/>
                <w:kern w:val="0"/>
                <w:szCs w:val="18"/>
                <w:lang w:val="en-US"/>
                <w14:ligatures w14:val="none"/>
              </w:rPr>
            </w:pPr>
            <w:r w:rsidRPr="00812EBC">
              <w:rPr>
                <w:rFonts w:cs="Arial"/>
                <w:color w:val="000000"/>
                <w:kern w:val="0"/>
                <w:szCs w:val="18"/>
                <w:lang w:val="en-US"/>
                <w14:ligatures w14:val="none"/>
              </w:rPr>
              <w:t>2.87 ± 0.11</w:t>
            </w:r>
            <w:r w:rsidR="00341D6E" w:rsidRPr="00812EBC">
              <w:rPr>
                <w:rFonts w:cs="Arial"/>
                <w:color w:val="000000"/>
                <w:kern w:val="0"/>
                <w:szCs w:val="18"/>
                <w:lang w:val="en-US"/>
                <w14:ligatures w14:val="none"/>
              </w:rPr>
              <w:t>%</w:t>
            </w:r>
          </w:p>
        </w:tc>
        <w:tc>
          <w:tcPr>
            <w:tcW w:w="1512" w:type="dxa"/>
            <w:tcBorders>
              <w:bottom w:val="single" w:sz="18" w:space="0" w:color="76923C" w:themeColor="accent3" w:themeShade="BF"/>
            </w:tcBorders>
          </w:tcPr>
          <w:p w14:paraId="07E405E4" w14:textId="77777777" w:rsidR="008945E4" w:rsidRPr="00812EBC" w:rsidRDefault="008945E4" w:rsidP="004C2BE6">
            <w:pPr>
              <w:tabs>
                <w:tab w:val="clear" w:pos="7100"/>
              </w:tabs>
              <w:spacing w:line="240" w:lineRule="auto"/>
              <w:jc w:val="left"/>
              <w:rPr>
                <w:rFonts w:cs="Arial"/>
                <w:color w:val="000000"/>
                <w:kern w:val="0"/>
                <w:szCs w:val="18"/>
                <w:lang w:val="en-US"/>
                <w14:ligatures w14:val="none"/>
              </w:rPr>
            </w:pPr>
          </w:p>
        </w:tc>
        <w:tc>
          <w:tcPr>
            <w:tcW w:w="1451" w:type="dxa"/>
            <w:tcBorders>
              <w:bottom w:val="single" w:sz="18" w:space="0" w:color="76923C" w:themeColor="accent3" w:themeShade="BF"/>
            </w:tcBorders>
          </w:tcPr>
          <w:p w14:paraId="51C2B692" w14:textId="77777777" w:rsidR="008945E4" w:rsidRPr="00812EBC" w:rsidRDefault="008945E4" w:rsidP="004C2BE6">
            <w:pPr>
              <w:tabs>
                <w:tab w:val="clear" w:pos="7100"/>
              </w:tabs>
              <w:spacing w:line="240" w:lineRule="auto"/>
              <w:jc w:val="center"/>
              <w:rPr>
                <w:rFonts w:cs="Arial"/>
                <w:color w:val="000000"/>
                <w:kern w:val="0"/>
                <w:szCs w:val="18"/>
                <w:lang w:val="en-US"/>
                <w14:ligatures w14:val="none"/>
              </w:rPr>
            </w:pPr>
          </w:p>
        </w:tc>
        <w:tc>
          <w:tcPr>
            <w:tcW w:w="1451" w:type="dxa"/>
            <w:tcBorders>
              <w:bottom w:val="single" w:sz="18" w:space="0" w:color="76923C" w:themeColor="accent3" w:themeShade="BF"/>
            </w:tcBorders>
          </w:tcPr>
          <w:p w14:paraId="35E2E877" w14:textId="77777777" w:rsidR="008945E4" w:rsidRPr="00812EBC" w:rsidRDefault="008945E4" w:rsidP="004C2BE6">
            <w:pPr>
              <w:tabs>
                <w:tab w:val="clear" w:pos="7100"/>
              </w:tabs>
              <w:spacing w:line="240" w:lineRule="auto"/>
              <w:jc w:val="center"/>
              <w:rPr>
                <w:rFonts w:cs="Arial"/>
                <w:color w:val="000000"/>
                <w:kern w:val="0"/>
                <w:szCs w:val="18"/>
                <w:lang w:val="en-US"/>
                <w14:ligatures w14:val="none"/>
              </w:rPr>
            </w:pPr>
          </w:p>
        </w:tc>
      </w:tr>
    </w:tbl>
    <w:p w14:paraId="3CCB14F2" w14:textId="32CD13A6" w:rsidR="00FA4074" w:rsidRPr="00812EBC" w:rsidRDefault="007D0DD5" w:rsidP="006B6DAA">
      <w:pPr>
        <w:pStyle w:val="CETListbullets"/>
        <w:tabs>
          <w:tab w:val="left" w:pos="2970"/>
        </w:tabs>
        <w:spacing w:after="240"/>
        <w:ind w:left="0" w:firstLine="0"/>
      </w:pPr>
      <w:r w:rsidRPr="00812EBC">
        <w:lastRenderedPageBreak/>
        <w:t xml:space="preserve">The obtained </w:t>
      </w:r>
      <w:r w:rsidR="001C276E" w:rsidRPr="00812EBC">
        <w:t xml:space="preserve">lignocellulosic composition </w:t>
      </w:r>
      <w:r w:rsidRPr="00812EBC">
        <w:t xml:space="preserve">was </w:t>
      </w:r>
      <w:r w:rsidR="001C276E" w:rsidRPr="00812EBC">
        <w:t xml:space="preserve">used as input along with </w:t>
      </w:r>
      <w:r w:rsidRPr="00812EBC">
        <w:t xml:space="preserve">air inflow rates </w:t>
      </w:r>
      <w:r w:rsidR="001C276E" w:rsidRPr="00812EBC">
        <w:t xml:space="preserve">in </w:t>
      </w:r>
      <w:proofErr w:type="spellStart"/>
      <w:r w:rsidR="001C276E" w:rsidRPr="00812EBC">
        <w:t>GasDS</w:t>
      </w:r>
      <w:proofErr w:type="spellEnd"/>
      <w:r w:rsidR="001C276E" w:rsidRPr="00812EBC">
        <w:t xml:space="preserve"> suite</w:t>
      </w:r>
      <w:r w:rsidRPr="00812EBC">
        <w:t xml:space="preserve"> (</w:t>
      </w:r>
      <w:r w:rsidR="00E71F8A" w:rsidRPr="00812EBC">
        <w:t>Table 2</w:t>
      </w:r>
      <w:r w:rsidRPr="00812EBC">
        <w:t>)</w:t>
      </w:r>
      <w:r w:rsidR="001C276E" w:rsidRPr="00812EBC">
        <w:t>.</w:t>
      </w:r>
      <w:r w:rsidR="00AA1321" w:rsidRPr="00812EBC">
        <w:t>The input values for particle properties, equipment properties</w:t>
      </w:r>
      <w:r w:rsidR="00464E77" w:rsidRPr="00812EBC">
        <w:t xml:space="preserve"> </w:t>
      </w:r>
      <w:r w:rsidR="00AA1321" w:rsidRPr="00812EBC">
        <w:t xml:space="preserve">and operating conditions were obtained from </w:t>
      </w:r>
      <w:r w:rsidR="00AA1321" w:rsidRPr="00812EBC">
        <w:fldChar w:fldCharType="begin"/>
      </w:r>
      <w:r w:rsidR="00AA1321" w:rsidRPr="00812EBC">
        <w:instrText xml:space="preserve"> ADDIN ZOTERO_ITEM CSL_CITATION {"citationID":"dxlWpA4n","properties":{"formattedCitation":"(Bove et al., 2019)","plainCitation":"(Bove et al., 2019)","noteIndex":0},"citationItems":[{"id":152,"uris":["http://zotero.org/users/local/kxtbsN7x/items/B9HEPRRJ"],"itemData":{"id":152,"type":"article-journal","abstract":"Abstract\n            \n              \n              \n                The initial setting up and preliminary tests on a square</w:instrText>
      </w:r>
      <w:r w:rsidR="00AA1321" w:rsidRPr="00812EBC">
        <w:rPr>
          <w:rFonts w:ascii="Cambria Math" w:hAnsi="Cambria Math" w:cs="Cambria Math"/>
        </w:rPr>
        <w:instrText>‐</w:instrText>
      </w:r>
      <w:r w:rsidR="00AA1321" w:rsidRPr="00812EBC">
        <w:instrText>based spouted bed gasifier at pilot scale (20</w:instrText>
      </w:r>
      <w:r w:rsidR="00AA1321" w:rsidRPr="00812EBC">
        <w:rPr>
          <w:rFonts w:cs="Arial"/>
        </w:rPr>
        <w:instrText> </w:instrText>
      </w:r>
      <w:r w:rsidR="00AA1321" w:rsidRPr="00812EBC">
        <w:instrText>kW\n                th\n                ) have been investigated. The novel plant is composed of: a squared</w:instrText>
      </w:r>
      <w:r w:rsidR="00AA1321" w:rsidRPr="00812EBC">
        <w:rPr>
          <w:rFonts w:ascii="Cambria Math" w:hAnsi="Cambria Math" w:cs="Cambria Math"/>
        </w:rPr>
        <w:instrText>‐</w:instrText>
      </w:r>
      <w:r w:rsidR="00AA1321" w:rsidRPr="00812EBC">
        <w:instrText>base spouted bed unit, a feeding system to regulate the biomass mass inflow, an air pump, a clean</w:instrText>
      </w:r>
      <w:r w:rsidR="00AA1321" w:rsidRPr="00812EBC">
        <w:rPr>
          <w:rFonts w:ascii="Cambria Math" w:hAnsi="Cambria Math" w:cs="Cambria Math"/>
        </w:rPr>
        <w:instrText>‐</w:instrText>
      </w:r>
      <w:r w:rsidR="00AA1321" w:rsidRPr="00812EBC">
        <w:instrText>up system, and an online gas chromatograph analyzer to assess the quality of the produced gas. The profile of temperatures along the reactor has been monitored with different thermocouples during experimental tests. The start</w:instrText>
      </w:r>
      <w:r w:rsidR="00AA1321" w:rsidRPr="00812EBC">
        <w:rPr>
          <w:rFonts w:ascii="Cambria Math" w:hAnsi="Cambria Math" w:cs="Cambria Math"/>
        </w:rPr>
        <w:instrText>‐</w:instrText>
      </w:r>
      <w:r w:rsidR="00AA1321" w:rsidRPr="00812EBC">
        <w:instrText>up process has been optimized to reduce the time to achieve stationary conditions. Two different materials (wood pellets and prunings from apple trees) have been tested at different feeding rates. Wood pellets were used to validate the performance of the spouted bed reactor and afterwards, residues of prunings from apple trees were validated as a suitable potential feedstock for energy recovery purposes. In addition, a representative sample of char from wood pellet gasification has been collected and characterized. In particular, the properties of specific surface area, pore size, and pore distribution have been measured by the Brunauer</w:instrText>
      </w:r>
      <w:r w:rsidR="00AA1321" w:rsidRPr="00812EBC">
        <w:rPr>
          <w:rFonts w:ascii="Cambria Math" w:hAnsi="Cambria Math" w:cs="Cambria Math"/>
        </w:rPr>
        <w:instrText>‐</w:instrText>
      </w:r>
      <w:r w:rsidR="00AA1321" w:rsidRPr="00812EBC">
        <w:instrText>Emmett</w:instrText>
      </w:r>
      <w:r w:rsidR="00AA1321" w:rsidRPr="00812EBC">
        <w:rPr>
          <w:rFonts w:ascii="Cambria Math" w:hAnsi="Cambria Math" w:cs="Cambria Math"/>
        </w:rPr>
        <w:instrText>‐</w:instrText>
      </w:r>
      <w:r w:rsidR="00AA1321" w:rsidRPr="00812EBC">
        <w:instrText>Teller method. The obtained outcomes represent one of the few available results in literature using a square</w:instrText>
      </w:r>
      <w:r w:rsidR="00AA1321" w:rsidRPr="00812EBC">
        <w:rPr>
          <w:rFonts w:ascii="Cambria Math" w:hAnsi="Cambria Math" w:cs="Cambria Math"/>
        </w:rPr>
        <w:instrText>‐</w:instrText>
      </w:r>
      <w:r w:rsidR="00AA1321" w:rsidRPr="00812EBC">
        <w:instrText>based spouted bed reactor for the gasification of biomass at pilot scale.","container-title":"The Canadian Journal of Chemical Engineering","DOI":"10.1002/cjce.23223","ISSN":"0008-4034, 1939-019X","issue":"1","journalAbbreviation":"Can J Chem Eng","language":"en","page":"59-66","source":"DOI.org (Crossref)","title":"Preliminary tests for the thermo</w:instrText>
      </w:r>
      <w:r w:rsidR="00AA1321" w:rsidRPr="00812EBC">
        <w:rPr>
          <w:rFonts w:ascii="Cambria Math" w:hAnsi="Cambria Math" w:cs="Cambria Math"/>
        </w:rPr>
        <w:instrText>‐</w:instrText>
      </w:r>
      <w:r w:rsidR="00AA1321" w:rsidRPr="00812EBC">
        <w:instrText xml:space="preserve">chemical conversion of biomass in a spouted bed pilot plant","volume":"97","author":[{"family":"Bove","given":"Dario"},{"family":"Moliner","given":"Cristina"},{"family":"Curti","given":"Massimo"},{"family":"Baratieri","given":"Marco"},{"family":"Bosio","given":"Barbara"},{"family":"Rovero","given":"Giorgio"},{"family":"Arato","given":"Elisabetta"}],"issued":{"date-parts":[["2019",1]]}}}],"schema":"https://github.com/citation-style-language/schema/raw/master/csl-citation.json"} </w:instrText>
      </w:r>
      <w:r w:rsidR="00AA1321" w:rsidRPr="00812EBC">
        <w:fldChar w:fldCharType="separate"/>
      </w:r>
      <w:r w:rsidR="009F2993" w:rsidRPr="00812EBC">
        <w:rPr>
          <w:rFonts w:cs="Arial"/>
        </w:rPr>
        <w:t>(Bove et al., 2019)</w:t>
      </w:r>
      <w:r w:rsidR="00AA1321" w:rsidRPr="00812EBC">
        <w:fldChar w:fldCharType="end"/>
      </w:r>
      <w:r w:rsidR="00AA1321" w:rsidRPr="00812EBC">
        <w:t xml:space="preserve"> while the information about components, reactions and output components are coded in </w:t>
      </w:r>
      <w:proofErr w:type="spellStart"/>
      <w:r w:rsidR="00AA1321" w:rsidRPr="00812EBC">
        <w:t>GasDS</w:t>
      </w:r>
      <w:proofErr w:type="spellEnd"/>
      <w:r w:rsidR="00AA1321" w:rsidRPr="00812EBC">
        <w:t>. Output values include solid and gaseous products along with temperature profiles and heating values.</w:t>
      </w:r>
    </w:p>
    <w:p w14:paraId="4D54CB98" w14:textId="4807EE14" w:rsidR="00BE05DC" w:rsidRPr="00812EBC" w:rsidRDefault="00C02913" w:rsidP="004C2BE6">
      <w:pPr>
        <w:rPr>
          <w:i/>
          <w:iCs/>
        </w:rPr>
      </w:pPr>
      <w:r w:rsidRPr="00812EBC">
        <w:rPr>
          <w:i/>
          <w:iCs/>
        </w:rPr>
        <w:t xml:space="preserve">Table 2. Inputs for Gasification WP &amp; PAT in </w:t>
      </w:r>
      <w:proofErr w:type="spellStart"/>
      <w:r w:rsidRPr="00812EBC">
        <w:rPr>
          <w:i/>
          <w:iCs/>
        </w:rPr>
        <w:t>GasDS</w:t>
      </w:r>
      <w:proofErr w:type="spellEnd"/>
      <w:r w:rsidRPr="00812EBC">
        <w:rPr>
          <w:i/>
          <w:iCs/>
        </w:rPr>
        <w:t xml:space="preserve"> program</w:t>
      </w:r>
    </w:p>
    <w:tbl>
      <w:tblPr>
        <w:tblStyle w:val="Grigliatabel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2710"/>
        <w:gridCol w:w="2376"/>
      </w:tblGrid>
      <w:tr w:rsidR="00B742D8" w:rsidRPr="00812EBC" w14:paraId="007178DB" w14:textId="77777777" w:rsidTr="00281D1E">
        <w:tc>
          <w:tcPr>
            <w:tcW w:w="3960" w:type="dxa"/>
            <w:tcBorders>
              <w:top w:val="single" w:sz="18" w:space="0" w:color="76923C" w:themeColor="accent3" w:themeShade="BF"/>
              <w:bottom w:val="single" w:sz="8" w:space="0" w:color="76923C" w:themeColor="accent3" w:themeShade="BF"/>
            </w:tcBorders>
          </w:tcPr>
          <w:p w14:paraId="594A9094"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Input Description</w:t>
            </w:r>
          </w:p>
        </w:tc>
        <w:tc>
          <w:tcPr>
            <w:tcW w:w="2880" w:type="dxa"/>
            <w:tcBorders>
              <w:top w:val="single" w:sz="18" w:space="0" w:color="76923C" w:themeColor="accent3" w:themeShade="BF"/>
              <w:bottom w:val="single" w:sz="8" w:space="0" w:color="76923C" w:themeColor="accent3" w:themeShade="BF"/>
            </w:tcBorders>
          </w:tcPr>
          <w:p w14:paraId="1C997175"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WP</w:t>
            </w:r>
          </w:p>
        </w:tc>
        <w:tc>
          <w:tcPr>
            <w:tcW w:w="2510" w:type="dxa"/>
            <w:tcBorders>
              <w:top w:val="single" w:sz="18" w:space="0" w:color="76923C" w:themeColor="accent3" w:themeShade="BF"/>
              <w:bottom w:val="single" w:sz="8" w:space="0" w:color="76923C" w:themeColor="accent3" w:themeShade="BF"/>
            </w:tcBorders>
          </w:tcPr>
          <w:p w14:paraId="45A25A5D"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PAT</w:t>
            </w:r>
          </w:p>
        </w:tc>
      </w:tr>
      <w:tr w:rsidR="00B742D8" w:rsidRPr="00812EBC" w14:paraId="7631B7DA" w14:textId="77777777" w:rsidTr="00281D1E">
        <w:tc>
          <w:tcPr>
            <w:tcW w:w="3960" w:type="dxa"/>
            <w:tcBorders>
              <w:top w:val="single" w:sz="8" w:space="0" w:color="76923C" w:themeColor="accent3" w:themeShade="BF"/>
            </w:tcBorders>
          </w:tcPr>
          <w:p w14:paraId="1C361F96" w14:textId="1488142B" w:rsidR="00B742D8" w:rsidRPr="00812EBC" w:rsidRDefault="00B742D8" w:rsidP="00281D1E">
            <w:pPr>
              <w:tabs>
                <w:tab w:val="clear" w:pos="7100"/>
              </w:tabs>
              <w:spacing w:line="240" w:lineRule="auto"/>
              <w:jc w:val="left"/>
              <w:rPr>
                <w:rFonts w:cs="Arial"/>
                <w:color w:val="000000"/>
                <w:szCs w:val="18"/>
                <w:lang w:val="en-US"/>
              </w:rPr>
            </w:pPr>
            <w:r w:rsidRPr="00812EBC">
              <w:rPr>
                <w:rFonts w:cs="Arial"/>
                <w:color w:val="000000"/>
                <w:szCs w:val="18"/>
                <w:lang w:val="en-US"/>
              </w:rPr>
              <w:t xml:space="preserve">Number </w:t>
            </w:r>
            <w:r w:rsidR="00367279" w:rsidRPr="00812EBC">
              <w:rPr>
                <w:rFonts w:cs="Arial"/>
                <w:color w:val="000000"/>
                <w:szCs w:val="18"/>
                <w:lang w:val="en-US"/>
              </w:rPr>
              <w:t>o</w:t>
            </w:r>
            <w:r w:rsidRPr="00812EBC">
              <w:rPr>
                <w:rFonts w:cs="Arial"/>
                <w:color w:val="000000"/>
                <w:szCs w:val="18"/>
                <w:lang w:val="en-US"/>
              </w:rPr>
              <w:t>f reactions</w:t>
            </w:r>
          </w:p>
        </w:tc>
        <w:tc>
          <w:tcPr>
            <w:tcW w:w="2880" w:type="dxa"/>
            <w:tcBorders>
              <w:top w:val="single" w:sz="8" w:space="0" w:color="76923C" w:themeColor="accent3" w:themeShade="BF"/>
            </w:tcBorders>
          </w:tcPr>
          <w:p w14:paraId="63666F8B"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50</w:t>
            </w:r>
          </w:p>
        </w:tc>
        <w:tc>
          <w:tcPr>
            <w:tcW w:w="2510" w:type="dxa"/>
            <w:tcBorders>
              <w:top w:val="single" w:sz="8" w:space="0" w:color="76923C" w:themeColor="accent3" w:themeShade="BF"/>
            </w:tcBorders>
          </w:tcPr>
          <w:p w14:paraId="6BD219B9"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50</w:t>
            </w:r>
          </w:p>
        </w:tc>
      </w:tr>
      <w:tr w:rsidR="00B742D8" w:rsidRPr="00812EBC" w14:paraId="2C6EC185" w14:textId="77777777" w:rsidTr="00CE7489">
        <w:tc>
          <w:tcPr>
            <w:tcW w:w="3960" w:type="dxa"/>
          </w:tcPr>
          <w:p w14:paraId="6C672AE4" w14:textId="77777777" w:rsidR="00B742D8" w:rsidRPr="00812EBC" w:rsidRDefault="00B742D8" w:rsidP="00281D1E">
            <w:pPr>
              <w:tabs>
                <w:tab w:val="clear" w:pos="7100"/>
              </w:tabs>
              <w:spacing w:line="240" w:lineRule="auto"/>
              <w:jc w:val="left"/>
              <w:rPr>
                <w:rFonts w:cs="Arial"/>
                <w:color w:val="000000"/>
                <w:szCs w:val="18"/>
                <w:lang w:val="en-US"/>
              </w:rPr>
            </w:pPr>
            <w:r w:rsidRPr="00812EBC">
              <w:rPr>
                <w:rFonts w:cs="Arial"/>
                <w:color w:val="000000"/>
                <w:szCs w:val="18"/>
                <w:lang w:val="en-US"/>
              </w:rPr>
              <w:t>Number of Particles</w:t>
            </w:r>
          </w:p>
        </w:tc>
        <w:tc>
          <w:tcPr>
            <w:tcW w:w="2880" w:type="dxa"/>
          </w:tcPr>
          <w:p w14:paraId="4CE5610B"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1</w:t>
            </w:r>
          </w:p>
        </w:tc>
        <w:tc>
          <w:tcPr>
            <w:tcW w:w="2510" w:type="dxa"/>
          </w:tcPr>
          <w:p w14:paraId="16C8B259"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1</w:t>
            </w:r>
          </w:p>
        </w:tc>
      </w:tr>
      <w:tr w:rsidR="00B742D8" w:rsidRPr="00812EBC" w14:paraId="7767584B" w14:textId="77777777" w:rsidTr="00CE7489">
        <w:tc>
          <w:tcPr>
            <w:tcW w:w="3960" w:type="dxa"/>
          </w:tcPr>
          <w:p w14:paraId="3002E635" w14:textId="77777777" w:rsidR="00B742D8" w:rsidRPr="00812EBC" w:rsidRDefault="00B742D8" w:rsidP="00281D1E">
            <w:pPr>
              <w:tabs>
                <w:tab w:val="clear" w:pos="7100"/>
              </w:tabs>
              <w:spacing w:line="240" w:lineRule="auto"/>
              <w:jc w:val="left"/>
              <w:rPr>
                <w:rFonts w:cs="Arial"/>
                <w:color w:val="000000"/>
                <w:szCs w:val="18"/>
                <w:lang w:val="en-US"/>
              </w:rPr>
            </w:pPr>
            <w:r w:rsidRPr="00812EBC">
              <w:rPr>
                <w:rFonts w:cs="Arial"/>
                <w:color w:val="000000"/>
                <w:szCs w:val="18"/>
                <w:lang w:val="en-US"/>
              </w:rPr>
              <w:t>Number of Particle sectors</w:t>
            </w:r>
          </w:p>
        </w:tc>
        <w:tc>
          <w:tcPr>
            <w:tcW w:w="2880" w:type="dxa"/>
          </w:tcPr>
          <w:p w14:paraId="7A463F64"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1</w:t>
            </w:r>
          </w:p>
        </w:tc>
        <w:tc>
          <w:tcPr>
            <w:tcW w:w="2510" w:type="dxa"/>
          </w:tcPr>
          <w:p w14:paraId="73FACBBF"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1</w:t>
            </w:r>
          </w:p>
        </w:tc>
      </w:tr>
      <w:tr w:rsidR="00B742D8" w:rsidRPr="00812EBC" w14:paraId="3DF35813" w14:textId="77777777" w:rsidTr="00CE7489">
        <w:tc>
          <w:tcPr>
            <w:tcW w:w="3960" w:type="dxa"/>
          </w:tcPr>
          <w:p w14:paraId="52B32377" w14:textId="77777777" w:rsidR="00B742D8" w:rsidRPr="00812EBC" w:rsidRDefault="00B742D8" w:rsidP="00281D1E">
            <w:pPr>
              <w:tabs>
                <w:tab w:val="clear" w:pos="7100"/>
              </w:tabs>
              <w:spacing w:line="240" w:lineRule="auto"/>
              <w:jc w:val="left"/>
              <w:rPr>
                <w:rFonts w:cs="Arial"/>
                <w:color w:val="000000"/>
                <w:szCs w:val="18"/>
                <w:lang w:val="en-US"/>
              </w:rPr>
            </w:pPr>
            <w:r w:rsidRPr="00812EBC">
              <w:rPr>
                <w:rFonts w:cs="Arial"/>
                <w:color w:val="000000"/>
                <w:szCs w:val="18"/>
                <w:lang w:val="en-US"/>
              </w:rPr>
              <w:t>Uniform Particles initial Temperature (K)</w:t>
            </w:r>
          </w:p>
        </w:tc>
        <w:tc>
          <w:tcPr>
            <w:tcW w:w="2880" w:type="dxa"/>
          </w:tcPr>
          <w:p w14:paraId="3D646D90"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300</w:t>
            </w:r>
          </w:p>
        </w:tc>
        <w:tc>
          <w:tcPr>
            <w:tcW w:w="2510" w:type="dxa"/>
          </w:tcPr>
          <w:p w14:paraId="50CC0547"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300</w:t>
            </w:r>
          </w:p>
        </w:tc>
      </w:tr>
      <w:tr w:rsidR="00B742D8" w:rsidRPr="00812EBC" w14:paraId="3104AF73" w14:textId="77777777" w:rsidTr="00CE7489">
        <w:tc>
          <w:tcPr>
            <w:tcW w:w="3960" w:type="dxa"/>
          </w:tcPr>
          <w:p w14:paraId="3B869E3B" w14:textId="77777777" w:rsidR="00B742D8" w:rsidRPr="00812EBC" w:rsidRDefault="00B742D8" w:rsidP="00281D1E">
            <w:pPr>
              <w:tabs>
                <w:tab w:val="clear" w:pos="7100"/>
              </w:tabs>
              <w:spacing w:line="240" w:lineRule="auto"/>
              <w:jc w:val="left"/>
              <w:rPr>
                <w:rFonts w:cs="Arial"/>
                <w:color w:val="000000"/>
                <w:szCs w:val="18"/>
                <w:lang w:val="en-US"/>
              </w:rPr>
            </w:pPr>
            <w:r w:rsidRPr="00812EBC">
              <w:rPr>
                <w:rFonts w:cs="Arial"/>
                <w:color w:val="000000"/>
                <w:szCs w:val="18"/>
                <w:lang w:val="en-US"/>
              </w:rPr>
              <w:t>Uniform initial Pressure (Ata)</w:t>
            </w:r>
          </w:p>
        </w:tc>
        <w:tc>
          <w:tcPr>
            <w:tcW w:w="2880" w:type="dxa"/>
          </w:tcPr>
          <w:p w14:paraId="3671024B"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1</w:t>
            </w:r>
          </w:p>
        </w:tc>
        <w:tc>
          <w:tcPr>
            <w:tcW w:w="2510" w:type="dxa"/>
          </w:tcPr>
          <w:p w14:paraId="2871CE51"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1</w:t>
            </w:r>
          </w:p>
        </w:tc>
      </w:tr>
      <w:tr w:rsidR="00B742D8" w:rsidRPr="00812EBC" w14:paraId="207302FC" w14:textId="77777777" w:rsidTr="00CE7489">
        <w:tc>
          <w:tcPr>
            <w:tcW w:w="3960" w:type="dxa"/>
          </w:tcPr>
          <w:p w14:paraId="1BCBA732" w14:textId="77777777" w:rsidR="00B742D8" w:rsidRPr="00812EBC" w:rsidRDefault="00B742D8" w:rsidP="00281D1E">
            <w:pPr>
              <w:tabs>
                <w:tab w:val="clear" w:pos="7100"/>
              </w:tabs>
              <w:spacing w:line="240" w:lineRule="auto"/>
              <w:jc w:val="left"/>
              <w:rPr>
                <w:rFonts w:cs="Arial"/>
                <w:color w:val="000000"/>
                <w:szCs w:val="18"/>
                <w:lang w:val="en-US"/>
              </w:rPr>
            </w:pPr>
            <w:r w:rsidRPr="00812EBC">
              <w:rPr>
                <w:rFonts w:cs="Arial"/>
                <w:color w:val="000000"/>
                <w:szCs w:val="18"/>
                <w:lang w:val="en-US"/>
              </w:rPr>
              <w:t>Equipment surface (m2)</w:t>
            </w:r>
          </w:p>
        </w:tc>
        <w:tc>
          <w:tcPr>
            <w:tcW w:w="2880" w:type="dxa"/>
          </w:tcPr>
          <w:p w14:paraId="6ED9E986"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2.12</w:t>
            </w:r>
          </w:p>
        </w:tc>
        <w:tc>
          <w:tcPr>
            <w:tcW w:w="2510" w:type="dxa"/>
          </w:tcPr>
          <w:p w14:paraId="38E0BB02"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2.12</w:t>
            </w:r>
          </w:p>
        </w:tc>
      </w:tr>
      <w:tr w:rsidR="00B742D8" w:rsidRPr="00812EBC" w14:paraId="12C87D71" w14:textId="77777777" w:rsidTr="00CE7489">
        <w:tc>
          <w:tcPr>
            <w:tcW w:w="3960" w:type="dxa"/>
          </w:tcPr>
          <w:p w14:paraId="77464D6B" w14:textId="77777777" w:rsidR="00B742D8" w:rsidRPr="00812EBC" w:rsidRDefault="00B742D8" w:rsidP="00281D1E">
            <w:pPr>
              <w:tabs>
                <w:tab w:val="clear" w:pos="7100"/>
              </w:tabs>
              <w:spacing w:line="240" w:lineRule="auto"/>
              <w:jc w:val="left"/>
              <w:rPr>
                <w:rFonts w:cs="Arial"/>
                <w:color w:val="000000"/>
                <w:szCs w:val="18"/>
                <w:lang w:val="en-US"/>
              </w:rPr>
            </w:pPr>
            <w:r w:rsidRPr="00812EBC">
              <w:rPr>
                <w:rFonts w:cs="Arial"/>
                <w:color w:val="000000"/>
                <w:szCs w:val="18"/>
                <w:lang w:val="en-US"/>
              </w:rPr>
              <w:t>Equipment Height (m)</w:t>
            </w:r>
          </w:p>
        </w:tc>
        <w:tc>
          <w:tcPr>
            <w:tcW w:w="2880" w:type="dxa"/>
          </w:tcPr>
          <w:p w14:paraId="5F14F3D6"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1.3</w:t>
            </w:r>
          </w:p>
        </w:tc>
        <w:tc>
          <w:tcPr>
            <w:tcW w:w="2510" w:type="dxa"/>
          </w:tcPr>
          <w:p w14:paraId="41DB3D39"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1.3</w:t>
            </w:r>
          </w:p>
        </w:tc>
      </w:tr>
      <w:tr w:rsidR="00B742D8" w:rsidRPr="00812EBC" w14:paraId="2D6E51A9" w14:textId="77777777" w:rsidTr="00CE7489">
        <w:tc>
          <w:tcPr>
            <w:tcW w:w="3960" w:type="dxa"/>
          </w:tcPr>
          <w:p w14:paraId="30810156" w14:textId="77777777" w:rsidR="00B742D8" w:rsidRPr="00812EBC" w:rsidRDefault="00B742D8" w:rsidP="00281D1E">
            <w:pPr>
              <w:tabs>
                <w:tab w:val="clear" w:pos="7100"/>
              </w:tabs>
              <w:spacing w:line="240" w:lineRule="auto"/>
              <w:jc w:val="left"/>
              <w:rPr>
                <w:rFonts w:cs="Arial"/>
                <w:color w:val="000000"/>
                <w:szCs w:val="18"/>
                <w:lang w:val="en-US"/>
              </w:rPr>
            </w:pPr>
            <w:r w:rsidRPr="00812EBC">
              <w:rPr>
                <w:rFonts w:cs="Arial"/>
                <w:color w:val="000000"/>
                <w:szCs w:val="18"/>
                <w:lang w:val="en-US"/>
              </w:rPr>
              <w:t>Number of Volume Elements</w:t>
            </w:r>
          </w:p>
        </w:tc>
        <w:tc>
          <w:tcPr>
            <w:tcW w:w="2880" w:type="dxa"/>
          </w:tcPr>
          <w:p w14:paraId="601D1D4D"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2</w:t>
            </w:r>
          </w:p>
        </w:tc>
        <w:tc>
          <w:tcPr>
            <w:tcW w:w="2510" w:type="dxa"/>
          </w:tcPr>
          <w:p w14:paraId="57FA03BD"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2</w:t>
            </w:r>
          </w:p>
        </w:tc>
      </w:tr>
      <w:tr w:rsidR="00B742D8" w:rsidRPr="00812EBC" w14:paraId="2946AAAE" w14:textId="77777777" w:rsidTr="00CE7489">
        <w:tc>
          <w:tcPr>
            <w:tcW w:w="3960" w:type="dxa"/>
          </w:tcPr>
          <w:p w14:paraId="7C3F9EBA" w14:textId="77777777" w:rsidR="00B742D8" w:rsidRPr="00812EBC" w:rsidRDefault="00B742D8" w:rsidP="00281D1E">
            <w:pPr>
              <w:tabs>
                <w:tab w:val="clear" w:pos="7100"/>
              </w:tabs>
              <w:spacing w:line="240" w:lineRule="auto"/>
              <w:jc w:val="left"/>
              <w:rPr>
                <w:rFonts w:cs="Arial"/>
                <w:color w:val="000000"/>
                <w:szCs w:val="18"/>
                <w:lang w:val="en-US"/>
              </w:rPr>
            </w:pPr>
            <w:r w:rsidRPr="00812EBC">
              <w:rPr>
                <w:rFonts w:cs="Arial"/>
                <w:color w:val="000000"/>
                <w:szCs w:val="18"/>
                <w:lang w:val="en-US"/>
              </w:rPr>
              <w:t>Feed Flow (Nm3/h)</w:t>
            </w:r>
          </w:p>
        </w:tc>
        <w:tc>
          <w:tcPr>
            <w:tcW w:w="2880" w:type="dxa"/>
          </w:tcPr>
          <w:p w14:paraId="2FB939B6"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17</w:t>
            </w:r>
          </w:p>
        </w:tc>
        <w:tc>
          <w:tcPr>
            <w:tcW w:w="2510" w:type="dxa"/>
          </w:tcPr>
          <w:p w14:paraId="6FE7C392"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17</w:t>
            </w:r>
          </w:p>
        </w:tc>
      </w:tr>
      <w:tr w:rsidR="00B742D8" w:rsidRPr="00812EBC" w14:paraId="14D205EF" w14:textId="77777777" w:rsidTr="00CE7489">
        <w:tc>
          <w:tcPr>
            <w:tcW w:w="3960" w:type="dxa"/>
          </w:tcPr>
          <w:p w14:paraId="170EABC2" w14:textId="77777777" w:rsidR="00B742D8" w:rsidRPr="00812EBC" w:rsidRDefault="00B742D8" w:rsidP="00281D1E">
            <w:pPr>
              <w:tabs>
                <w:tab w:val="clear" w:pos="7100"/>
              </w:tabs>
              <w:spacing w:line="240" w:lineRule="auto"/>
              <w:jc w:val="left"/>
              <w:rPr>
                <w:rFonts w:cs="Arial"/>
                <w:color w:val="000000"/>
                <w:szCs w:val="18"/>
                <w:lang w:val="en-US"/>
              </w:rPr>
            </w:pPr>
            <w:r w:rsidRPr="00812EBC">
              <w:rPr>
                <w:rFonts w:cs="Arial"/>
                <w:color w:val="000000"/>
                <w:szCs w:val="18"/>
                <w:lang w:val="en-US"/>
              </w:rPr>
              <w:t>Particle Diameter (m)</w:t>
            </w:r>
          </w:p>
        </w:tc>
        <w:tc>
          <w:tcPr>
            <w:tcW w:w="2880" w:type="dxa"/>
          </w:tcPr>
          <w:p w14:paraId="28DFDD16"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0.006</w:t>
            </w:r>
          </w:p>
        </w:tc>
        <w:tc>
          <w:tcPr>
            <w:tcW w:w="2510" w:type="dxa"/>
          </w:tcPr>
          <w:p w14:paraId="2F3163E5"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0.01</w:t>
            </w:r>
          </w:p>
        </w:tc>
      </w:tr>
      <w:tr w:rsidR="00B742D8" w:rsidRPr="00812EBC" w14:paraId="7AF7D3DA" w14:textId="77777777" w:rsidTr="00CE7489">
        <w:tc>
          <w:tcPr>
            <w:tcW w:w="3960" w:type="dxa"/>
          </w:tcPr>
          <w:p w14:paraId="583A6F13" w14:textId="77777777" w:rsidR="00B742D8" w:rsidRPr="00812EBC" w:rsidRDefault="00B742D8" w:rsidP="00281D1E">
            <w:pPr>
              <w:tabs>
                <w:tab w:val="clear" w:pos="7100"/>
              </w:tabs>
              <w:spacing w:line="240" w:lineRule="auto"/>
              <w:jc w:val="left"/>
              <w:rPr>
                <w:rFonts w:cs="Arial"/>
                <w:color w:val="000000"/>
                <w:szCs w:val="18"/>
                <w:lang w:val="en-US"/>
              </w:rPr>
            </w:pPr>
            <w:r w:rsidRPr="00812EBC">
              <w:rPr>
                <w:rFonts w:cs="Arial"/>
                <w:color w:val="000000"/>
                <w:szCs w:val="18"/>
                <w:lang w:val="en-US"/>
              </w:rPr>
              <w:t>Humidity</w:t>
            </w:r>
          </w:p>
        </w:tc>
        <w:tc>
          <w:tcPr>
            <w:tcW w:w="2880" w:type="dxa"/>
          </w:tcPr>
          <w:p w14:paraId="54C41028"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5.07</w:t>
            </w:r>
          </w:p>
        </w:tc>
        <w:tc>
          <w:tcPr>
            <w:tcW w:w="2510" w:type="dxa"/>
          </w:tcPr>
          <w:p w14:paraId="00ACA9B9"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8</w:t>
            </w:r>
          </w:p>
        </w:tc>
      </w:tr>
      <w:tr w:rsidR="00B742D8" w:rsidRPr="00812EBC" w14:paraId="343E6A53" w14:textId="77777777" w:rsidTr="00CE7489">
        <w:tc>
          <w:tcPr>
            <w:tcW w:w="3960" w:type="dxa"/>
          </w:tcPr>
          <w:p w14:paraId="10875480" w14:textId="77777777" w:rsidR="00B742D8" w:rsidRPr="00812EBC" w:rsidRDefault="00B742D8" w:rsidP="00281D1E">
            <w:pPr>
              <w:tabs>
                <w:tab w:val="clear" w:pos="7100"/>
              </w:tabs>
              <w:spacing w:line="240" w:lineRule="auto"/>
              <w:jc w:val="left"/>
              <w:rPr>
                <w:rFonts w:cs="Arial"/>
                <w:color w:val="000000"/>
                <w:szCs w:val="18"/>
                <w:lang w:val="en-US"/>
              </w:rPr>
            </w:pPr>
            <w:r w:rsidRPr="00812EBC">
              <w:rPr>
                <w:rFonts w:cs="Arial"/>
                <w:color w:val="000000"/>
                <w:szCs w:val="18"/>
                <w:lang w:val="en-US"/>
              </w:rPr>
              <w:t>Lignocellulosic Composition</w:t>
            </w:r>
          </w:p>
        </w:tc>
        <w:tc>
          <w:tcPr>
            <w:tcW w:w="2880" w:type="dxa"/>
          </w:tcPr>
          <w:p w14:paraId="32C16CB8"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Outputs from Table 1</w:t>
            </w:r>
          </w:p>
        </w:tc>
        <w:tc>
          <w:tcPr>
            <w:tcW w:w="2510" w:type="dxa"/>
          </w:tcPr>
          <w:p w14:paraId="4174ADDA"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Outputs from Table 1</w:t>
            </w:r>
          </w:p>
        </w:tc>
      </w:tr>
      <w:tr w:rsidR="00B742D8" w:rsidRPr="00812EBC" w14:paraId="3BBEAB90" w14:textId="77777777" w:rsidTr="00CE7489">
        <w:tc>
          <w:tcPr>
            <w:tcW w:w="3960" w:type="dxa"/>
          </w:tcPr>
          <w:p w14:paraId="5981BBBB" w14:textId="77777777" w:rsidR="00B742D8" w:rsidRPr="00812EBC" w:rsidRDefault="00B742D8" w:rsidP="00281D1E">
            <w:pPr>
              <w:tabs>
                <w:tab w:val="clear" w:pos="7100"/>
              </w:tabs>
              <w:spacing w:line="240" w:lineRule="auto"/>
              <w:jc w:val="left"/>
              <w:rPr>
                <w:rFonts w:cs="Arial"/>
                <w:color w:val="000000"/>
                <w:szCs w:val="18"/>
                <w:lang w:val="en-US"/>
              </w:rPr>
            </w:pPr>
            <w:r w:rsidRPr="00812EBC">
              <w:rPr>
                <w:rFonts w:cs="Arial"/>
                <w:color w:val="000000"/>
                <w:szCs w:val="18"/>
                <w:lang w:val="en-US"/>
              </w:rPr>
              <w:t>Total Analysis Time (s)</w:t>
            </w:r>
          </w:p>
        </w:tc>
        <w:tc>
          <w:tcPr>
            <w:tcW w:w="2880" w:type="dxa"/>
          </w:tcPr>
          <w:p w14:paraId="610BDD02"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500000</w:t>
            </w:r>
          </w:p>
        </w:tc>
        <w:tc>
          <w:tcPr>
            <w:tcW w:w="2510" w:type="dxa"/>
          </w:tcPr>
          <w:p w14:paraId="1F2A7B08"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500000</w:t>
            </w:r>
          </w:p>
        </w:tc>
      </w:tr>
      <w:tr w:rsidR="00B742D8" w:rsidRPr="00812EBC" w14:paraId="4C3FB6EE" w14:textId="77777777" w:rsidTr="00CE7489">
        <w:tc>
          <w:tcPr>
            <w:tcW w:w="3960" w:type="dxa"/>
          </w:tcPr>
          <w:p w14:paraId="1CC87BFF" w14:textId="77777777" w:rsidR="00B742D8" w:rsidRPr="00812EBC" w:rsidRDefault="00B742D8" w:rsidP="00281D1E">
            <w:pPr>
              <w:tabs>
                <w:tab w:val="clear" w:pos="7100"/>
              </w:tabs>
              <w:spacing w:line="240" w:lineRule="auto"/>
              <w:jc w:val="left"/>
              <w:rPr>
                <w:rFonts w:cs="Arial"/>
                <w:color w:val="000000"/>
                <w:szCs w:val="18"/>
                <w:lang w:val="en-US"/>
              </w:rPr>
            </w:pPr>
            <w:r w:rsidRPr="00812EBC">
              <w:rPr>
                <w:rFonts w:cs="Arial"/>
                <w:color w:val="000000"/>
                <w:szCs w:val="18"/>
                <w:lang w:val="en-US"/>
              </w:rPr>
              <w:t xml:space="preserve">Temperature for Gasification </w:t>
            </w:r>
          </w:p>
        </w:tc>
        <w:tc>
          <w:tcPr>
            <w:tcW w:w="2880" w:type="dxa"/>
          </w:tcPr>
          <w:p w14:paraId="5249A074"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1225.15</w:t>
            </w:r>
          </w:p>
        </w:tc>
        <w:tc>
          <w:tcPr>
            <w:tcW w:w="2510" w:type="dxa"/>
          </w:tcPr>
          <w:p w14:paraId="6D9D7288"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1225.15</w:t>
            </w:r>
          </w:p>
        </w:tc>
      </w:tr>
      <w:tr w:rsidR="00B742D8" w:rsidRPr="00812EBC" w14:paraId="4AB96B6B" w14:textId="77777777" w:rsidTr="00CE7489">
        <w:tc>
          <w:tcPr>
            <w:tcW w:w="3960" w:type="dxa"/>
          </w:tcPr>
          <w:p w14:paraId="4359951D" w14:textId="77777777" w:rsidR="00B742D8" w:rsidRPr="00812EBC" w:rsidRDefault="00B742D8" w:rsidP="00281D1E">
            <w:pPr>
              <w:tabs>
                <w:tab w:val="clear" w:pos="7100"/>
              </w:tabs>
              <w:spacing w:line="240" w:lineRule="auto"/>
              <w:jc w:val="left"/>
              <w:rPr>
                <w:rFonts w:cs="Arial"/>
                <w:color w:val="000000"/>
                <w:szCs w:val="18"/>
                <w:lang w:val="en-US"/>
              </w:rPr>
            </w:pPr>
            <w:r w:rsidRPr="00812EBC">
              <w:rPr>
                <w:rFonts w:cs="Arial"/>
                <w:color w:val="000000"/>
                <w:szCs w:val="18"/>
                <w:lang w:val="en-US"/>
              </w:rPr>
              <w:t>Reactor Model</w:t>
            </w:r>
          </w:p>
        </w:tc>
        <w:tc>
          <w:tcPr>
            <w:tcW w:w="2880" w:type="dxa"/>
          </w:tcPr>
          <w:p w14:paraId="5EBA4C68"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Continuous</w:t>
            </w:r>
          </w:p>
        </w:tc>
        <w:tc>
          <w:tcPr>
            <w:tcW w:w="2510" w:type="dxa"/>
          </w:tcPr>
          <w:p w14:paraId="2C120793"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Continuous</w:t>
            </w:r>
          </w:p>
        </w:tc>
      </w:tr>
      <w:tr w:rsidR="00B742D8" w:rsidRPr="00812EBC" w14:paraId="6A195E41" w14:textId="77777777" w:rsidTr="00281D1E">
        <w:tc>
          <w:tcPr>
            <w:tcW w:w="3960" w:type="dxa"/>
            <w:tcBorders>
              <w:bottom w:val="single" w:sz="18" w:space="0" w:color="76923C" w:themeColor="accent3" w:themeShade="BF"/>
            </w:tcBorders>
          </w:tcPr>
          <w:p w14:paraId="465AB99E" w14:textId="77777777" w:rsidR="00B742D8" w:rsidRPr="00812EBC" w:rsidRDefault="00B742D8" w:rsidP="00281D1E">
            <w:pPr>
              <w:tabs>
                <w:tab w:val="clear" w:pos="7100"/>
              </w:tabs>
              <w:spacing w:line="240" w:lineRule="auto"/>
              <w:jc w:val="left"/>
              <w:rPr>
                <w:rFonts w:cs="Arial"/>
                <w:color w:val="000000"/>
                <w:szCs w:val="18"/>
                <w:lang w:val="en-US"/>
              </w:rPr>
            </w:pPr>
            <w:r w:rsidRPr="00812EBC">
              <w:rPr>
                <w:rFonts w:cs="Arial"/>
                <w:color w:val="000000"/>
                <w:szCs w:val="18"/>
                <w:lang w:val="en-US"/>
              </w:rPr>
              <w:t>Fresh Solid Feed Top Up (g/min)</w:t>
            </w:r>
          </w:p>
        </w:tc>
        <w:tc>
          <w:tcPr>
            <w:tcW w:w="2880" w:type="dxa"/>
            <w:tcBorders>
              <w:bottom w:val="single" w:sz="18" w:space="0" w:color="76923C" w:themeColor="accent3" w:themeShade="BF"/>
            </w:tcBorders>
          </w:tcPr>
          <w:p w14:paraId="218FC2C2"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As per ER</w:t>
            </w:r>
          </w:p>
        </w:tc>
        <w:tc>
          <w:tcPr>
            <w:tcW w:w="2510" w:type="dxa"/>
            <w:tcBorders>
              <w:bottom w:val="single" w:sz="18" w:space="0" w:color="76923C" w:themeColor="accent3" w:themeShade="BF"/>
            </w:tcBorders>
          </w:tcPr>
          <w:p w14:paraId="232F5695" w14:textId="77777777" w:rsidR="00B742D8" w:rsidRPr="00812EBC" w:rsidRDefault="00B742D8" w:rsidP="004C2BE6">
            <w:pPr>
              <w:tabs>
                <w:tab w:val="clear" w:pos="7100"/>
              </w:tabs>
              <w:spacing w:line="240" w:lineRule="auto"/>
              <w:jc w:val="center"/>
              <w:rPr>
                <w:rFonts w:cs="Arial"/>
                <w:color w:val="000000"/>
                <w:szCs w:val="18"/>
                <w:lang w:val="en-US"/>
              </w:rPr>
            </w:pPr>
            <w:r w:rsidRPr="00812EBC">
              <w:rPr>
                <w:rFonts w:cs="Arial"/>
                <w:color w:val="000000"/>
                <w:szCs w:val="18"/>
                <w:lang w:val="en-US"/>
              </w:rPr>
              <w:t>As per ER</w:t>
            </w:r>
          </w:p>
        </w:tc>
      </w:tr>
    </w:tbl>
    <w:p w14:paraId="76CCC355" w14:textId="234C9DF7" w:rsidR="0057671D" w:rsidRPr="00812EBC" w:rsidRDefault="009E498E" w:rsidP="0057671D">
      <w:pPr>
        <w:pStyle w:val="CETHeading1"/>
      </w:pPr>
      <w:r w:rsidRPr="00812EBC">
        <w:t xml:space="preserve">Gasification </w:t>
      </w:r>
      <w:r w:rsidR="0057671D" w:rsidRPr="00812EBC">
        <w:t>Results</w:t>
      </w:r>
    </w:p>
    <w:p w14:paraId="1C99DCB9" w14:textId="79024F09" w:rsidR="00F079B1" w:rsidRPr="00812EBC" w:rsidRDefault="0089755F" w:rsidP="0089755F">
      <w:pPr>
        <w:spacing w:after="240"/>
      </w:pPr>
      <w:r w:rsidRPr="00812EBC">
        <w:t xml:space="preserve">Figure 1 and 2 compare gaseous outputs and Figure 3 and 4 the temperatures for PAT and WP, respectively. </w:t>
      </w:r>
      <w:r w:rsidR="000B6395" w:rsidRPr="00812EBC">
        <w:t>The air inflow was maintained constant (17 Nm</w:t>
      </w:r>
      <w:r w:rsidR="000B6395" w:rsidRPr="00812EBC">
        <w:rPr>
          <w:vertAlign w:val="superscript"/>
        </w:rPr>
        <w:t>3</w:t>
      </w:r>
      <w:r w:rsidR="000B6395" w:rsidRPr="00812EBC">
        <w:t xml:space="preserve">/h) and the biomass feed was varied to match all ER.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51"/>
      </w:tblGrid>
      <w:tr w:rsidR="00CF1C9A" w:rsidRPr="00812EBC" w14:paraId="018D1FA6" w14:textId="77777777" w:rsidTr="00FB756F">
        <w:tc>
          <w:tcPr>
            <w:tcW w:w="4536" w:type="dxa"/>
          </w:tcPr>
          <w:p w14:paraId="209EF9BE" w14:textId="50EEA58D" w:rsidR="00CF1C9A" w:rsidRPr="00812EBC" w:rsidRDefault="00767084" w:rsidP="00C259BB">
            <w:pPr>
              <w:jc w:val="center"/>
            </w:pPr>
            <w:r w:rsidRPr="00812EBC">
              <w:rPr>
                <w:noProof/>
              </w:rPr>
              <w:drawing>
                <wp:inline distT="0" distB="0" distL="0" distR="0" wp14:anchorId="4249C164" wp14:editId="162E9FF8">
                  <wp:extent cx="2359093" cy="16002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59093" cy="1600200"/>
                          </a:xfrm>
                          <a:prstGeom prst="rect">
                            <a:avLst/>
                          </a:prstGeom>
                        </pic:spPr>
                      </pic:pic>
                    </a:graphicData>
                  </a:graphic>
                </wp:inline>
              </w:drawing>
            </w:r>
          </w:p>
          <w:p w14:paraId="4A0D0FA4" w14:textId="31D8974E" w:rsidR="00CF1C9A" w:rsidRPr="00812EBC" w:rsidRDefault="00703DCE" w:rsidP="00C259BB">
            <w:pPr>
              <w:pStyle w:val="Paragrafoelenco"/>
              <w:ind w:left="435" w:right="735"/>
              <w:jc w:val="left"/>
            </w:pPr>
            <w:r w:rsidRPr="00812EBC">
              <w:rPr>
                <w:i/>
                <w:iCs/>
              </w:rPr>
              <w:t>Figure 1</w:t>
            </w:r>
            <w:r w:rsidR="00CF1C9A" w:rsidRPr="00812EBC">
              <w:rPr>
                <w:i/>
                <w:iCs/>
              </w:rPr>
              <w:t xml:space="preserve">: Trend for gaseous outputs from </w:t>
            </w:r>
            <w:proofErr w:type="spellStart"/>
            <w:r w:rsidR="00CF1C9A" w:rsidRPr="00812EBC">
              <w:rPr>
                <w:i/>
                <w:iCs/>
              </w:rPr>
              <w:t>GasDS</w:t>
            </w:r>
            <w:proofErr w:type="spellEnd"/>
            <w:r w:rsidR="00CF1C9A" w:rsidRPr="00812EBC">
              <w:rPr>
                <w:i/>
                <w:iCs/>
              </w:rPr>
              <w:t xml:space="preserve"> and Experimental values for PAT</w:t>
            </w:r>
          </w:p>
        </w:tc>
        <w:tc>
          <w:tcPr>
            <w:tcW w:w="4251" w:type="dxa"/>
          </w:tcPr>
          <w:p w14:paraId="46DF7E0B" w14:textId="51A53D61" w:rsidR="00CF1C9A" w:rsidRPr="00812EBC" w:rsidRDefault="00C259BB" w:rsidP="00C259BB">
            <w:pPr>
              <w:pStyle w:val="Paragrafoelenco"/>
              <w:ind w:left="0" w:right="-140"/>
              <w:jc w:val="center"/>
            </w:pPr>
            <w:r w:rsidRPr="00812EBC">
              <w:rPr>
                <w:noProof/>
              </w:rPr>
              <w:drawing>
                <wp:inline distT="0" distB="0" distL="0" distR="0" wp14:anchorId="4B309358" wp14:editId="7AC451D1">
                  <wp:extent cx="2296236" cy="16002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96236" cy="1600200"/>
                          </a:xfrm>
                          <a:prstGeom prst="rect">
                            <a:avLst/>
                          </a:prstGeom>
                        </pic:spPr>
                      </pic:pic>
                    </a:graphicData>
                  </a:graphic>
                </wp:inline>
              </w:drawing>
            </w:r>
          </w:p>
          <w:p w14:paraId="685D1678" w14:textId="77777777" w:rsidR="00EC526A" w:rsidRPr="00812EBC" w:rsidRDefault="00703DCE" w:rsidP="00C259BB">
            <w:pPr>
              <w:ind w:left="300" w:right="123"/>
              <w:jc w:val="left"/>
              <w:rPr>
                <w:i/>
                <w:iCs/>
              </w:rPr>
            </w:pPr>
            <w:r w:rsidRPr="00812EBC">
              <w:rPr>
                <w:i/>
                <w:iCs/>
              </w:rPr>
              <w:t>Figure 2</w:t>
            </w:r>
            <w:r w:rsidR="00EC526A" w:rsidRPr="00812EBC">
              <w:rPr>
                <w:i/>
                <w:iCs/>
              </w:rPr>
              <w:t xml:space="preserve">: Trend for gaseous outputs from </w:t>
            </w:r>
            <w:proofErr w:type="spellStart"/>
            <w:r w:rsidR="00EC526A" w:rsidRPr="00812EBC">
              <w:rPr>
                <w:i/>
                <w:iCs/>
              </w:rPr>
              <w:t>GasDS</w:t>
            </w:r>
            <w:proofErr w:type="spellEnd"/>
            <w:r w:rsidR="00EC526A" w:rsidRPr="00812EBC">
              <w:rPr>
                <w:i/>
                <w:iCs/>
              </w:rPr>
              <w:t xml:space="preserve"> and Experimental values for WP</w:t>
            </w:r>
          </w:p>
          <w:p w14:paraId="721DF000" w14:textId="3FCE4C97" w:rsidR="007A574F" w:rsidRPr="00812EBC" w:rsidRDefault="007A574F" w:rsidP="002C61B7">
            <w:pPr>
              <w:ind w:right="123"/>
              <w:jc w:val="left"/>
              <w:rPr>
                <w:i/>
                <w:iCs/>
              </w:rPr>
            </w:pPr>
          </w:p>
        </w:tc>
      </w:tr>
    </w:tbl>
    <w:p w14:paraId="1F54FA4A" w14:textId="45DB9015" w:rsidR="0089755F" w:rsidRPr="00812EBC" w:rsidRDefault="000B6395" w:rsidP="0089755F">
      <w:r w:rsidRPr="00812EBC">
        <w:t>For PAT, a</w:t>
      </w:r>
      <w:r w:rsidR="00DE689E" w:rsidRPr="00812EBC">
        <w:t>t ER</w:t>
      </w:r>
      <w:r w:rsidR="0089755F" w:rsidRPr="00812EBC">
        <w:t xml:space="preserve"> = </w:t>
      </w:r>
      <w:r w:rsidR="00DE689E" w:rsidRPr="00812EBC">
        <w:t>0.65, while some discrepancies are observed, the overall trends in component concentrations are consistent between the experimental and simulated datasets. Specifically, the simulated methane (CH</w:t>
      </w:r>
      <w:r w:rsidR="00DE689E" w:rsidRPr="00812EBC">
        <w:rPr>
          <w:vertAlign w:val="subscript"/>
        </w:rPr>
        <w:t>4</w:t>
      </w:r>
      <w:r w:rsidR="00DE689E" w:rsidRPr="00812EBC">
        <w:t xml:space="preserve">) concentration (0.06% v/v) is lower than </w:t>
      </w:r>
      <w:r w:rsidR="008330EB" w:rsidRPr="00812EBC">
        <w:t>experimental values</w:t>
      </w:r>
      <w:r w:rsidR="00DE689E" w:rsidRPr="00812EBC">
        <w:t xml:space="preserve"> (0.99% v/v). Despite this, both datasets show a minimal presence of CH</w:t>
      </w:r>
      <w:r w:rsidR="00DE689E" w:rsidRPr="00812EBC">
        <w:rPr>
          <w:vertAlign w:val="subscript"/>
        </w:rPr>
        <w:t>4</w:t>
      </w:r>
      <w:r w:rsidR="00DE689E" w:rsidRPr="00812EBC">
        <w:t xml:space="preserve"> at this ER. The simulated carbon monoxide (CO) concentration (12.01% v/v) exceeds the experimental value (5.88% v/v)</w:t>
      </w:r>
      <w:r w:rsidR="0089755F" w:rsidRPr="00812EBC">
        <w:t xml:space="preserve"> as well as the </w:t>
      </w:r>
      <w:r w:rsidR="00DE689E" w:rsidRPr="00812EBC">
        <w:t>hydrogen (H</w:t>
      </w:r>
      <w:r w:rsidR="00DE689E" w:rsidRPr="00812EBC">
        <w:rPr>
          <w:vertAlign w:val="subscript"/>
        </w:rPr>
        <w:t>2</w:t>
      </w:r>
      <w:r w:rsidR="00DE689E" w:rsidRPr="00812EBC">
        <w:t>) concentration (5.4% v/v vs. 3.01% v/v)</w:t>
      </w:r>
      <w:r w:rsidR="0089755F" w:rsidRPr="00812EBC">
        <w:t xml:space="preserve"> whereas</w:t>
      </w:r>
      <w:r w:rsidR="00DE689E" w:rsidRPr="00812EBC">
        <w:t xml:space="preserve"> </w:t>
      </w:r>
      <w:r w:rsidR="0089755F" w:rsidRPr="00812EBC">
        <w:t>t</w:t>
      </w:r>
      <w:r w:rsidR="00DE689E" w:rsidRPr="00812EBC">
        <w:t>he simulated carbon dioxide (CO</w:t>
      </w:r>
      <w:r w:rsidR="00DE689E" w:rsidRPr="00812EBC">
        <w:rPr>
          <w:vertAlign w:val="subscript"/>
        </w:rPr>
        <w:t>2</w:t>
      </w:r>
      <w:r w:rsidR="00DE689E" w:rsidRPr="00812EBC">
        <w:t>) concentration (1</w:t>
      </w:r>
      <w:r w:rsidR="00261095" w:rsidRPr="00812EBC">
        <w:t>3</w:t>
      </w:r>
      <w:r w:rsidR="00DE689E" w:rsidRPr="00812EBC">
        <w:t>.</w:t>
      </w:r>
      <w:r w:rsidR="00261095" w:rsidRPr="00812EBC">
        <w:t>78</w:t>
      </w:r>
      <w:r w:rsidR="00DE689E" w:rsidRPr="00812EBC">
        <w:t>% v/v) is lower than the experimental value (20.32% v/v).</w:t>
      </w:r>
      <w:r w:rsidR="00BD7E74" w:rsidRPr="00812EBC">
        <w:t xml:space="preserve"> </w:t>
      </w:r>
      <w:r w:rsidR="00D44B3F" w:rsidRPr="00812EBC">
        <w:t>At ER = 0.65, the system is closer to combustion conditions, where oxidation reactions lead to higher CO</w:t>
      </w:r>
      <w:r w:rsidR="00D44B3F" w:rsidRPr="00812EBC">
        <w:rPr>
          <w:vertAlign w:val="subscript"/>
        </w:rPr>
        <w:t>2</w:t>
      </w:r>
      <w:r w:rsidR="00D44B3F" w:rsidRPr="00812EBC">
        <w:t xml:space="preserve"> production than CO</w:t>
      </w:r>
      <w:r w:rsidR="0089755F" w:rsidRPr="00812EBC">
        <w:t>, as it is the case</w:t>
      </w:r>
      <w:r w:rsidR="00D44B3F" w:rsidRPr="00812EBC">
        <w:t>.</w:t>
      </w:r>
      <w:r w:rsidR="003A7A96" w:rsidRPr="00812EBC">
        <w:t xml:space="preserve"> </w:t>
      </w:r>
      <w:r w:rsidR="00D07206" w:rsidRPr="00812EBC">
        <w:t>At ER</w:t>
      </w:r>
      <w:r w:rsidR="0089755F" w:rsidRPr="00812EBC">
        <w:t xml:space="preserve"> = </w:t>
      </w:r>
      <w:r w:rsidR="00D07206" w:rsidRPr="00812EBC">
        <w:t>0.42, simulation results show improved agreement with experimental data. Concentrations of CH</w:t>
      </w:r>
      <w:r w:rsidR="00D07206" w:rsidRPr="00812EBC">
        <w:rPr>
          <w:vertAlign w:val="subscript"/>
        </w:rPr>
        <w:t>4</w:t>
      </w:r>
      <w:r w:rsidR="00D07206" w:rsidRPr="00812EBC">
        <w:t xml:space="preserve"> (</w:t>
      </w:r>
      <w:r w:rsidR="006C5466" w:rsidRPr="00812EBC">
        <w:t>4.12</w:t>
      </w:r>
      <w:r w:rsidR="00D07206" w:rsidRPr="00812EBC">
        <w:t>% v/v vs. 2.83% v/v), CO (16.98% v/v vs. 10.16% v/v), H</w:t>
      </w:r>
      <w:r w:rsidR="00D07206" w:rsidRPr="00812EBC">
        <w:rPr>
          <w:vertAlign w:val="subscript"/>
        </w:rPr>
        <w:t>2</w:t>
      </w:r>
      <w:r w:rsidR="00D07206" w:rsidRPr="00812EBC">
        <w:t xml:space="preserve"> (9.3% v/v vs. 4.75% v/v) </w:t>
      </w:r>
      <w:r w:rsidR="0089755F" w:rsidRPr="00812EBC">
        <w:t>and CO</w:t>
      </w:r>
      <w:r w:rsidR="0089755F" w:rsidRPr="00812EBC">
        <w:rPr>
          <w:vertAlign w:val="subscript"/>
        </w:rPr>
        <w:t>2</w:t>
      </w:r>
      <w:r w:rsidR="0089755F" w:rsidRPr="00812EBC">
        <w:t xml:space="preserve"> (12.85% v/v vs. 19.94% v/v) </w:t>
      </w:r>
      <w:r w:rsidR="00D07206" w:rsidRPr="00812EBC">
        <w:t>exhibit similar trends, with simulation</w:t>
      </w:r>
      <w:r w:rsidR="0089755F" w:rsidRPr="00812EBC">
        <w:t>s</w:t>
      </w:r>
      <w:r w:rsidR="00D07206" w:rsidRPr="00812EBC">
        <w:t xml:space="preserve"> overestimating CO and H</w:t>
      </w:r>
      <w:r w:rsidR="00D07206" w:rsidRPr="00812EBC">
        <w:rPr>
          <w:vertAlign w:val="subscript"/>
        </w:rPr>
        <w:t>2</w:t>
      </w:r>
      <w:r w:rsidR="0089755F" w:rsidRPr="00812EBC">
        <w:rPr>
          <w:vertAlign w:val="subscript"/>
        </w:rPr>
        <w:t xml:space="preserve"> </w:t>
      </w:r>
      <w:r w:rsidR="0089755F" w:rsidRPr="00812EBC">
        <w:t>and underestimating CO</w:t>
      </w:r>
      <w:r w:rsidR="0089755F" w:rsidRPr="00812EBC">
        <w:rPr>
          <w:vertAlign w:val="subscript"/>
        </w:rPr>
        <w:t>2</w:t>
      </w:r>
      <w:r w:rsidR="00D07206" w:rsidRPr="00812EBC">
        <w:t xml:space="preserve">. </w:t>
      </w:r>
      <w:r w:rsidR="0089755F" w:rsidRPr="00812EBC">
        <w:t>These results are also in agreement with other works, where an ER in the range of 0.2–0.34 favours the production of hydrogen-rich syngas with yields while higher ER promote increased CO</w:t>
      </w:r>
      <w:r w:rsidR="0089755F" w:rsidRPr="00812EBC">
        <w:rPr>
          <w:vertAlign w:val="subscript"/>
        </w:rPr>
        <w:t>2</w:t>
      </w:r>
      <w:r w:rsidR="0089755F" w:rsidRPr="00812EBC">
        <w:t xml:space="preserve"> formation at the expense of CO and H</w:t>
      </w:r>
      <w:r w:rsidR="0089755F" w:rsidRPr="00812EBC">
        <w:rPr>
          <w:vertAlign w:val="subscript"/>
        </w:rPr>
        <w:t>2</w:t>
      </w:r>
      <w:r w:rsidR="0089755F" w:rsidRPr="00812EBC">
        <w:t xml:space="preserve"> concentrations due to enhanced oxidation reactions </w:t>
      </w:r>
      <w:r w:rsidR="0089755F" w:rsidRPr="00812EBC">
        <w:fldChar w:fldCharType="begin"/>
      </w:r>
      <w:r w:rsidR="0089755F" w:rsidRPr="00812EBC">
        <w:instrText xml:space="preserve"> ADDIN ZOTERO_ITEM CSL_CITATION {"citationID":"c1nJWiQ8","properties":{"formattedCitation":"(Sidek et al., 2020)","plainCitation":"(Sidek et al., 2020)","noteIndex":0},"citationItems":[{"id":171,"uris":["http://zotero.org/users/local/kxtbsN7x/items/SGQ5JEKP"],"itemData":{"id":171,"type":"article-journal","abstract":"Abstract\n            Biomass gasification is one of the promising technologies for converting biomass into gaseous fuels. It is crucial to fully understand the influence of operation parameters and types of gasifier on the performance of biomass gasification. It also can provide useful information for a better design and operation of gasification process. The general overview on each types of gasifier are discussed where it can be classified into fixed bed and fluidized bed gasifiers. Most of the review from literature focuses more on the effects of temperature and equivalence ratio rather than gasifying agent. However, the review on the effect of gasifying agent is still limited whereas the effect of gasifying agent is also important as it influences the yield and composition of product gas. In the present work, the effects of gasifying agent, temperature and equivalence ratio on the gasification process were reviewed. Firstly, this article highlights the advantages and disadvantages of each gasifiers which consists of fixed bed and fluidized bed. Based on review, a detailed comparison was made in terms of syngas composition obtained by using steam, air, oxygen and carbon dioxide as gasifying agents in order to provide basic knowledge regarding the selection of gasifying agents. The effects of temperature and equivalence ratio (ER) on the gas composition, tar content and reaction rate were discussed and analyzed. Finally, guidelines on the operation parameters in terms of gasifying agent, temperature and equivalence ratio are suggested in the summary review.","container-title":"IOP Conference Series: Materials Science and Engineering","DOI":"10.1088/1757-899X/863/1/012028","ISSN":"1757-8981, 1757-899X","issue":"1","journalAbbreviation":"IOP Conf. Ser.: Mater. Sci. Eng.","page":"012028","source":"DOI.org (Crossref)","title":"Review on effects of gasifying agents, temperature and equivalence ratio in biomass gasification process","volume":"863","author":[{"family":"Sidek","given":"F N"},{"family":"Abdul Samad","given":"N A F"},{"family":"Saleh","given":"S"}],"issued":{"date-parts":[["2020",5,1]]}}}],"schema":"https://github.com/citation-style-language/schema/raw/master/csl-citation.json"} </w:instrText>
      </w:r>
      <w:r w:rsidR="0089755F" w:rsidRPr="00812EBC">
        <w:fldChar w:fldCharType="separate"/>
      </w:r>
      <w:r w:rsidR="009F2993" w:rsidRPr="00812EBC">
        <w:rPr>
          <w:rFonts w:cs="Arial"/>
        </w:rPr>
        <w:t>(Sidek et al., 2020)</w:t>
      </w:r>
      <w:r w:rsidR="0089755F" w:rsidRPr="00812EBC">
        <w:fldChar w:fldCharType="end"/>
      </w:r>
      <w:r w:rsidR="0089755F" w:rsidRPr="00812EBC">
        <w:t xml:space="preserve"> Similar trend of output gases has been seen by  </w:t>
      </w:r>
      <w:r w:rsidR="0089755F" w:rsidRPr="00812EBC">
        <w:fldChar w:fldCharType="begin"/>
      </w:r>
      <w:r w:rsidR="0089755F" w:rsidRPr="00812EBC">
        <w:instrText xml:space="preserve"> ADDIN ZOTERO_ITEM CSL_CITATION {"citationID":"u6lxvZuj","properties":{"formattedCitation":"(He et al., 2019)","plainCitation":"(He et al., 2019)","noteIndex":0},"citationItems":[{"id":49,"uris":["http://zotero.org/users/local/kxtbsN7x/items/QLMJNGBX"],"itemData":{"id":49,"type":"article-journal","container-title":"Water Research","DOI":"10.1016/j.watres.2019.04.060","ISSN":"00431354","journalAbbreviation":"Water Research","language":"en","page":"38-45","source":"DOI.org (Crossref)","title":"Municipal solid waste (MSW) landfill: A source of microplastics? -Evidence of microplastics in landfill leachate","title-short":"Municipal solid waste (MSW) landfill","volume":"159","author":[{"family":"He","given":"Pinjing"},{"family":"Chen","given":"Liyao"},{"family":"Shao","given":"Liming"},{"family":"Zhang","given":"Hua"},{"family":"Lü","given":"Fan"}],"issued":{"date-parts":[["2019",8]]}}}],"schema":"https://github.com/citation-style-language/schema/raw/master/csl-citation.json"} </w:instrText>
      </w:r>
      <w:r w:rsidR="0089755F" w:rsidRPr="00812EBC">
        <w:fldChar w:fldCharType="separate"/>
      </w:r>
      <w:r w:rsidR="009F2993" w:rsidRPr="00812EBC">
        <w:rPr>
          <w:rFonts w:cs="Arial"/>
        </w:rPr>
        <w:t>(He et al., 2019)</w:t>
      </w:r>
      <w:r w:rsidR="0089755F" w:rsidRPr="00812EBC">
        <w:fldChar w:fldCharType="end"/>
      </w:r>
      <w:r w:rsidR="0089755F" w:rsidRPr="00812EBC">
        <w:t xml:space="preserve"> by varying the equivalence ratio ER for gasification processes. </w:t>
      </w:r>
    </w:p>
    <w:p w14:paraId="6610F576" w14:textId="76230D25" w:rsidR="0089755F" w:rsidRPr="00812EBC" w:rsidRDefault="0049380F" w:rsidP="00A0450E">
      <w:pPr>
        <w:pStyle w:val="Paragrafoelenco"/>
        <w:ind w:left="0"/>
      </w:pPr>
      <w:r w:rsidRPr="00812EBC">
        <w:t>Similarly for WP</w:t>
      </w:r>
      <w:r w:rsidR="00297EED" w:rsidRPr="00812EBC">
        <w:t xml:space="preserve">, </w:t>
      </w:r>
      <w:r w:rsidR="00703DCE" w:rsidRPr="00812EBC">
        <w:t>Figure 2</w:t>
      </w:r>
      <w:r w:rsidR="00297EED" w:rsidRPr="00812EBC">
        <w:t xml:space="preserve"> shows the distribution of products </w:t>
      </w:r>
      <w:r w:rsidR="0089755F" w:rsidRPr="00812EBC">
        <w:t xml:space="preserve">for WP </w:t>
      </w:r>
      <w:r w:rsidR="00297EED" w:rsidRPr="00812EBC">
        <w:t>in the outlet gas and compares the result with experimental data.</w:t>
      </w:r>
      <w:r w:rsidRPr="00812EBC">
        <w:t xml:space="preserve"> </w:t>
      </w:r>
      <w:r w:rsidR="00987B33" w:rsidRPr="00812EBC">
        <w:t xml:space="preserve">When conditions are run </w:t>
      </w:r>
      <w:r w:rsidRPr="00812EBC">
        <w:t xml:space="preserve">at higher ER (e.g., 0.89), both the experimental data and the </w:t>
      </w:r>
      <w:r w:rsidRPr="00812EBC">
        <w:lastRenderedPageBreak/>
        <w:t>simulation show similar CO concentrations (1.99% v/v vs. 1.59% v/v), with a consistent trend of increasing CO as ER decreases. The CO</w:t>
      </w:r>
      <w:r w:rsidRPr="00812EBC">
        <w:rPr>
          <w:vertAlign w:val="subscript"/>
        </w:rPr>
        <w:t>2</w:t>
      </w:r>
      <w:r w:rsidRPr="00812EBC">
        <w:t xml:space="preserve"> concentrations show a similar decreasing trend in both datasets, though </w:t>
      </w:r>
      <w:proofErr w:type="spellStart"/>
      <w:r w:rsidRPr="00812EBC">
        <w:t>GasDS</w:t>
      </w:r>
      <w:proofErr w:type="spellEnd"/>
      <w:r w:rsidRPr="00812EBC">
        <w:t xml:space="preserve"> slightly underpredicts CO</w:t>
      </w:r>
      <w:r w:rsidRPr="00812EBC">
        <w:rPr>
          <w:vertAlign w:val="subscript"/>
        </w:rPr>
        <w:t>2</w:t>
      </w:r>
      <w:r w:rsidRPr="00812EBC">
        <w:t xml:space="preserve"> at lower ER.</w:t>
      </w:r>
      <w:r w:rsidR="00516F95" w:rsidRPr="00812EBC">
        <w:t xml:space="preserve"> </w:t>
      </w:r>
      <w:r w:rsidRPr="00812EBC">
        <w:t>CH</w:t>
      </w:r>
      <w:r w:rsidRPr="00812EBC">
        <w:rPr>
          <w:vertAlign w:val="subscript"/>
        </w:rPr>
        <w:t>4</w:t>
      </w:r>
      <w:r w:rsidRPr="00812EBC">
        <w:t xml:space="preserve"> concentrations are generally low in both cases, and while the simulation slightly underestimates CH</w:t>
      </w:r>
      <w:r w:rsidRPr="00812EBC">
        <w:rPr>
          <w:vertAlign w:val="subscript"/>
        </w:rPr>
        <w:t>4</w:t>
      </w:r>
      <w:r w:rsidRPr="00812EBC">
        <w:t xml:space="preserve">, the trend of increasing methane with decreasing ER is effectively captured by the </w:t>
      </w:r>
      <w:r w:rsidR="00516F95" w:rsidRPr="00812EBC">
        <w:t>model. Hydrogen</w:t>
      </w:r>
      <w:r w:rsidRPr="00812EBC">
        <w:t xml:space="preserve"> (H</w:t>
      </w:r>
      <w:r w:rsidRPr="00812EBC">
        <w:rPr>
          <w:vertAlign w:val="subscript"/>
        </w:rPr>
        <w:t>2</w:t>
      </w:r>
      <w:r w:rsidRPr="00812EBC">
        <w:t>) concentrations exhibit a larger discrepancy, particularly at ER 0.50, where the experimental data (0.46% v/v) deviates significantly from the expected trend, likely due to experimental error or measurement uncertainty. Beyond this point, both the experimental and simulated results show a similar upward trend in H</w:t>
      </w:r>
      <w:r w:rsidRPr="00812EBC">
        <w:rPr>
          <w:vertAlign w:val="subscript"/>
        </w:rPr>
        <w:t>2</w:t>
      </w:r>
      <w:r w:rsidRPr="00812EBC">
        <w:t xml:space="preserve"> concentration as ER decreases. This indicates that the overall behaviour of H</w:t>
      </w:r>
      <w:r w:rsidRPr="00812EBC">
        <w:rPr>
          <w:vertAlign w:val="subscript"/>
        </w:rPr>
        <w:t>2</w:t>
      </w:r>
      <w:r w:rsidRPr="00812EBC">
        <w:t xml:space="preserve"> production is well represented by the simulation, despite the anomaly at ER 0.50.</w:t>
      </w:r>
      <w:r w:rsidR="0089755F" w:rsidRPr="00812EBC">
        <w:t xml:space="preserve"> The comparison between </w:t>
      </w:r>
      <w:proofErr w:type="spellStart"/>
      <w:r w:rsidR="0089755F" w:rsidRPr="00812EBC">
        <w:t>GasDS</w:t>
      </w:r>
      <w:proofErr w:type="spellEnd"/>
      <w:r w:rsidR="0089755F" w:rsidRPr="00812EBC">
        <w:t xml:space="preserve"> and experimental results show better agreement at lower equivalence ratios (ER), where deviations are minimal. At higher ER values, significant discrepancies were observed. Interestingly, the temperature of reaction for WP (Figure 4) was better described at lower ER whereas at higher ER temperature was highly underestimated. This could be the motivation for the observed differences in the corresponding gas composition, as a different gasification system might be obtained due to the different considered temperature. This fact could be related to difficulties encountered in the experimental reactor where isolation or expected combustion reactions might not be performing as expected, and this also indicates that there is room for optimisation in the experimental system.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51"/>
      </w:tblGrid>
      <w:tr w:rsidR="0089755F" w:rsidRPr="00812EBC" w14:paraId="2876BDBE" w14:textId="77777777" w:rsidTr="00AE72A3">
        <w:tc>
          <w:tcPr>
            <w:tcW w:w="4536" w:type="dxa"/>
          </w:tcPr>
          <w:p w14:paraId="303C5722" w14:textId="77777777" w:rsidR="001710AF" w:rsidRPr="00812EBC" w:rsidRDefault="00EE3C78" w:rsidP="00EE3C78">
            <w:pPr>
              <w:pStyle w:val="Paragrafoelenco"/>
              <w:ind w:left="-20"/>
              <w:jc w:val="center"/>
              <w:rPr>
                <w:i/>
                <w:iCs/>
              </w:rPr>
            </w:pPr>
            <w:r w:rsidRPr="00812EBC">
              <w:rPr>
                <w:i/>
                <w:iCs/>
                <w:noProof/>
              </w:rPr>
              <w:drawing>
                <wp:inline distT="0" distB="0" distL="0" distR="0" wp14:anchorId="73F53913" wp14:editId="6E945993">
                  <wp:extent cx="2343654" cy="1618488"/>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3654" cy="1618488"/>
                          </a:xfrm>
                          <a:prstGeom prst="rect">
                            <a:avLst/>
                          </a:prstGeom>
                        </pic:spPr>
                      </pic:pic>
                    </a:graphicData>
                  </a:graphic>
                </wp:inline>
              </w:drawing>
            </w:r>
          </w:p>
          <w:p w14:paraId="33A5AE33" w14:textId="32E9039C" w:rsidR="0089755F" w:rsidRPr="00812EBC" w:rsidRDefault="0089755F" w:rsidP="001710AF">
            <w:pPr>
              <w:pStyle w:val="Paragrafoelenco"/>
              <w:ind w:left="435" w:right="195"/>
              <w:jc w:val="left"/>
              <w:rPr>
                <w:noProof/>
                <w:lang w:val="en-US" w:eastAsia="it-IT"/>
              </w:rPr>
            </w:pPr>
            <w:r w:rsidRPr="00812EBC">
              <w:rPr>
                <w:i/>
                <w:iCs/>
              </w:rPr>
              <w:t xml:space="preserve">Figure 3: Trend for Temperature Output from </w:t>
            </w:r>
            <w:proofErr w:type="spellStart"/>
            <w:r w:rsidRPr="00812EBC">
              <w:rPr>
                <w:i/>
                <w:iCs/>
              </w:rPr>
              <w:t>GasDS</w:t>
            </w:r>
            <w:proofErr w:type="spellEnd"/>
            <w:r w:rsidRPr="00812EBC">
              <w:rPr>
                <w:i/>
                <w:iCs/>
              </w:rPr>
              <w:t xml:space="preserve"> and Experimental values for PAT</w:t>
            </w:r>
          </w:p>
        </w:tc>
        <w:tc>
          <w:tcPr>
            <w:tcW w:w="4251" w:type="dxa"/>
          </w:tcPr>
          <w:p w14:paraId="394A99FE" w14:textId="77777777" w:rsidR="001710AF" w:rsidRPr="00812EBC" w:rsidRDefault="001710AF" w:rsidP="001710AF">
            <w:pPr>
              <w:pStyle w:val="Paragrafoelenco"/>
              <w:ind w:left="130"/>
              <w:jc w:val="center"/>
              <w:rPr>
                <w:i/>
                <w:iCs/>
              </w:rPr>
            </w:pPr>
            <w:r w:rsidRPr="00812EBC">
              <w:rPr>
                <w:i/>
                <w:iCs/>
                <w:noProof/>
              </w:rPr>
              <w:drawing>
                <wp:inline distT="0" distB="0" distL="0" distR="0" wp14:anchorId="49869E80" wp14:editId="0894F7A2">
                  <wp:extent cx="2343289" cy="1618488"/>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43289" cy="1618488"/>
                          </a:xfrm>
                          <a:prstGeom prst="rect">
                            <a:avLst/>
                          </a:prstGeom>
                        </pic:spPr>
                      </pic:pic>
                    </a:graphicData>
                  </a:graphic>
                </wp:inline>
              </w:drawing>
            </w:r>
          </w:p>
          <w:p w14:paraId="76189771" w14:textId="2DF208DC" w:rsidR="0089755F" w:rsidRPr="00812EBC" w:rsidRDefault="0089755F" w:rsidP="001710AF">
            <w:pPr>
              <w:pStyle w:val="Paragrafoelenco"/>
              <w:ind w:left="130"/>
              <w:jc w:val="left"/>
              <w:rPr>
                <w:i/>
                <w:iCs/>
              </w:rPr>
            </w:pPr>
            <w:r w:rsidRPr="00812EBC">
              <w:rPr>
                <w:i/>
                <w:iCs/>
              </w:rPr>
              <w:t xml:space="preserve">Figure 4: Trend for Temperature Output from </w:t>
            </w:r>
            <w:proofErr w:type="spellStart"/>
            <w:r w:rsidRPr="00812EBC">
              <w:rPr>
                <w:i/>
                <w:iCs/>
              </w:rPr>
              <w:t>GasDS</w:t>
            </w:r>
            <w:proofErr w:type="spellEnd"/>
            <w:r w:rsidRPr="00812EBC">
              <w:rPr>
                <w:i/>
                <w:iCs/>
              </w:rPr>
              <w:t xml:space="preserve"> and Experimental values for WP</w:t>
            </w:r>
          </w:p>
        </w:tc>
      </w:tr>
    </w:tbl>
    <w:p w14:paraId="3FDC796A" w14:textId="77777777" w:rsidR="0089755F" w:rsidRPr="00812EBC" w:rsidRDefault="0089755F" w:rsidP="00FB756F">
      <w:pPr>
        <w:pStyle w:val="Paragrafoelenco"/>
        <w:spacing w:after="240"/>
        <w:ind w:left="0"/>
      </w:pPr>
    </w:p>
    <w:p w14:paraId="2ADE7ED8" w14:textId="67A56708" w:rsidR="0089755F" w:rsidRPr="00812EBC" w:rsidRDefault="0089755F" w:rsidP="0089755F">
      <w:pPr>
        <w:pStyle w:val="Paragrafoelenco"/>
        <w:spacing w:after="240"/>
        <w:ind w:left="0"/>
      </w:pPr>
      <w:r w:rsidRPr="00812EBC">
        <w:t xml:space="preserve">Table 3 shows the comparison between experimental and simulated LHVs, together with the associated error values. Lower heating values (LHV) were calculated by using an equation provided by </w:t>
      </w:r>
      <w:r w:rsidRPr="00812EBC">
        <w:fldChar w:fldCharType="begin"/>
      </w:r>
      <w:r w:rsidR="009F2993" w:rsidRPr="00812EBC">
        <w:instrText xml:space="preserve"> ADDIN ZOTERO_ITEM CSL_CITATION {"citationID":"PeUsVfgG","properties":{"formattedCitation":"(Gai and Dong, 2012)","plainCitation":"(Gai and Dong, 2012)","noteIndex":0},"citationItems":[{"id":170,"uris":["http://zotero.org/users/local/kxtbsN7x/items/4FEGAEBC"],"itemData":{"id":170,"type":"article-journal","container-title":"International Journal of Hydrogen Energy","DOI":"10.1016/j.ijhydene.2011.12.031","ISSN":"03603199","issue":"6","journalAbbreviation":"International Journal of Hydrogen Energy","language":"en","license":"https://www.elsevier.com/tdm/userlicense/1.0/","page":"4935-4944","source":"DOI.org (Crossref)","title":"Experimental study on non-woody biomass gasification in a downdraft gasifier","volume":"37","author":[{"family":"Gai","given":"Chao"},{"family":"Dong","given":"Yuping"}],"issued":{"date-parts":[["2012",3]]}}}],"schema":"https://github.com/citation-style-language/schema/raw/master/csl-citation.json"} </w:instrText>
      </w:r>
      <w:r w:rsidRPr="00812EBC">
        <w:fldChar w:fldCharType="separate"/>
      </w:r>
      <w:r w:rsidR="009F2993" w:rsidRPr="00812EBC">
        <w:rPr>
          <w:rFonts w:cs="Arial"/>
        </w:rPr>
        <w:t>(Gai and Dong, 2012)</w:t>
      </w:r>
      <w:r w:rsidRPr="00812EBC">
        <w:fldChar w:fldCharType="end"/>
      </w:r>
      <w:r w:rsidRPr="00812EBC">
        <w:t>:</w:t>
      </w:r>
    </w:p>
    <w:p w14:paraId="34B4FE62" w14:textId="77777777" w:rsidR="0089755F" w:rsidRPr="00812EBC" w:rsidRDefault="0089755F" w:rsidP="0089755F">
      <w:pPr>
        <w:pStyle w:val="CETListbullets"/>
        <w:spacing w:before="240" w:after="240"/>
        <w:ind w:left="0" w:firstLine="0"/>
      </w:pPr>
      <w:r w:rsidRPr="00812EBC">
        <w:t>LHV = (0.126*x) + (0.108*y) + (0.358*z) [MJ/Nm</w:t>
      </w:r>
      <w:r w:rsidRPr="00812EBC">
        <w:rPr>
          <w:vertAlign w:val="superscript"/>
        </w:rPr>
        <w:t>3</w:t>
      </w:r>
      <w:r w:rsidRPr="00812EBC">
        <w:t>]</w:t>
      </w:r>
      <w:r w:rsidRPr="00812EBC">
        <w:tab/>
      </w:r>
      <w:r w:rsidRPr="00812EBC">
        <w:tab/>
      </w:r>
      <w:r w:rsidRPr="00812EBC">
        <w:tab/>
      </w:r>
      <w:r w:rsidRPr="00812EBC">
        <w:tab/>
      </w:r>
      <w:r w:rsidRPr="00812EBC">
        <w:tab/>
      </w:r>
      <w:r w:rsidRPr="00812EBC">
        <w:tab/>
      </w:r>
      <w:r w:rsidRPr="00812EBC">
        <w:tab/>
        <w:t>(1)</w:t>
      </w:r>
    </w:p>
    <w:p w14:paraId="1E8FCE3E" w14:textId="77777777" w:rsidR="0089755F" w:rsidRPr="00812EBC" w:rsidRDefault="0089755F" w:rsidP="0089755F">
      <w:pPr>
        <w:pStyle w:val="Paragrafoelenco"/>
        <w:spacing w:after="240"/>
        <w:ind w:left="0"/>
      </w:pPr>
      <w:r w:rsidRPr="00812EBC">
        <w:t>Where x, y and z are percentages of volume fraction of combustible compounds CH</w:t>
      </w:r>
      <w:r w:rsidRPr="00812EBC">
        <w:rPr>
          <w:vertAlign w:val="subscript"/>
        </w:rPr>
        <w:t>4</w:t>
      </w:r>
      <w:r w:rsidRPr="00812EBC">
        <w:t>, CO and H</w:t>
      </w:r>
      <w:r w:rsidRPr="00812EBC">
        <w:rPr>
          <w:vertAlign w:val="subscript"/>
        </w:rPr>
        <w:t>2</w:t>
      </w:r>
      <w:r w:rsidRPr="00812EBC">
        <w:t xml:space="preserve"> respectively</w:t>
      </w:r>
    </w:p>
    <w:p w14:paraId="57265B9A" w14:textId="39BC29BF" w:rsidR="000B6395" w:rsidRPr="00812EBC" w:rsidRDefault="009252D0" w:rsidP="000B6395">
      <w:pPr>
        <w:rPr>
          <w:i/>
          <w:iCs/>
        </w:rPr>
      </w:pPr>
      <w:bookmarkStart w:id="2" w:name="_Hlk185072641"/>
      <w:r w:rsidRPr="00812EBC">
        <w:rPr>
          <w:i/>
          <w:iCs/>
        </w:rPr>
        <w:t>Table 3</w:t>
      </w:r>
      <w:r w:rsidR="000B6395" w:rsidRPr="00812EBC">
        <w:rPr>
          <w:i/>
          <w:iCs/>
        </w:rPr>
        <w:t xml:space="preserve">: LHV Outputs comparison of </w:t>
      </w:r>
      <w:proofErr w:type="spellStart"/>
      <w:r w:rsidR="000B6395" w:rsidRPr="00812EBC">
        <w:rPr>
          <w:i/>
          <w:iCs/>
        </w:rPr>
        <w:t>GasDs</w:t>
      </w:r>
      <w:proofErr w:type="spellEnd"/>
      <w:r w:rsidR="000B6395" w:rsidRPr="00812EBC">
        <w:rPr>
          <w:i/>
          <w:iCs/>
        </w:rPr>
        <w:t xml:space="preserve"> and Experimental data for WP &amp; PAT at different ER</w:t>
      </w:r>
    </w:p>
    <w:tbl>
      <w:tblPr>
        <w:tblW w:w="5000" w:type="pct"/>
        <w:tblLook w:val="04A0" w:firstRow="1" w:lastRow="0" w:firstColumn="1" w:lastColumn="0" w:noHBand="0" w:noVBand="1"/>
      </w:tblPr>
      <w:tblGrid>
        <w:gridCol w:w="1244"/>
        <w:gridCol w:w="1238"/>
        <w:gridCol w:w="2020"/>
        <w:gridCol w:w="2150"/>
        <w:gridCol w:w="2144"/>
      </w:tblGrid>
      <w:tr w:rsidR="000B6395" w:rsidRPr="00812EBC" w14:paraId="0138D4C5" w14:textId="77777777" w:rsidTr="009B5270">
        <w:trPr>
          <w:trHeight w:val="233"/>
        </w:trPr>
        <w:tc>
          <w:tcPr>
            <w:tcW w:w="707" w:type="pct"/>
            <w:tcBorders>
              <w:top w:val="single" w:sz="18" w:space="0" w:color="76923C" w:themeColor="accent3" w:themeShade="BF"/>
              <w:bottom w:val="single" w:sz="12" w:space="0" w:color="76923C" w:themeColor="accent3" w:themeShade="BF"/>
            </w:tcBorders>
            <w:shd w:val="clear" w:color="auto" w:fill="auto"/>
            <w:vAlign w:val="center"/>
            <w:hideMark/>
          </w:tcPr>
          <w:p w14:paraId="759503AD" w14:textId="77777777" w:rsidR="000B6395" w:rsidRPr="00812EBC" w:rsidRDefault="000B6395" w:rsidP="00543A2E">
            <w:pPr>
              <w:tabs>
                <w:tab w:val="clear" w:pos="7100"/>
              </w:tabs>
              <w:spacing w:line="240" w:lineRule="auto"/>
              <w:jc w:val="center"/>
              <w:rPr>
                <w:rFonts w:cs="Arial"/>
                <w:color w:val="000000"/>
                <w:szCs w:val="18"/>
                <w:lang w:val="en-US"/>
              </w:rPr>
            </w:pPr>
            <w:r w:rsidRPr="00812EBC">
              <w:rPr>
                <w:rFonts w:cs="Arial"/>
                <w:color w:val="000000"/>
                <w:szCs w:val="18"/>
                <w:lang w:val="en-US"/>
              </w:rPr>
              <w:t>ER</w:t>
            </w:r>
          </w:p>
        </w:tc>
        <w:tc>
          <w:tcPr>
            <w:tcW w:w="704" w:type="pct"/>
            <w:tcBorders>
              <w:top w:val="single" w:sz="18" w:space="0" w:color="76923C" w:themeColor="accent3" w:themeShade="BF"/>
              <w:bottom w:val="single" w:sz="12" w:space="0" w:color="76923C" w:themeColor="accent3" w:themeShade="BF"/>
            </w:tcBorders>
            <w:shd w:val="clear" w:color="auto" w:fill="auto"/>
            <w:noWrap/>
            <w:vAlign w:val="center"/>
            <w:hideMark/>
          </w:tcPr>
          <w:p w14:paraId="70BAF0CA" w14:textId="77777777" w:rsidR="000B6395" w:rsidRPr="00812EBC" w:rsidRDefault="000B6395" w:rsidP="00543A2E">
            <w:pPr>
              <w:tabs>
                <w:tab w:val="clear" w:pos="7100"/>
              </w:tabs>
              <w:spacing w:line="240" w:lineRule="auto"/>
              <w:jc w:val="center"/>
              <w:rPr>
                <w:rFonts w:cs="Arial"/>
                <w:color w:val="000000"/>
                <w:szCs w:val="18"/>
                <w:lang w:val="en-US"/>
              </w:rPr>
            </w:pPr>
            <w:r w:rsidRPr="00812EBC">
              <w:rPr>
                <w:rFonts w:cs="Arial"/>
                <w:color w:val="000000"/>
                <w:szCs w:val="18"/>
                <w:lang w:val="en-US"/>
              </w:rPr>
              <w:t>Feed (g/min)</w:t>
            </w:r>
          </w:p>
        </w:tc>
        <w:tc>
          <w:tcPr>
            <w:tcW w:w="1148" w:type="pct"/>
            <w:tcBorders>
              <w:top w:val="single" w:sz="18" w:space="0" w:color="76923C" w:themeColor="accent3" w:themeShade="BF"/>
              <w:bottom w:val="single" w:sz="12" w:space="0" w:color="76923C" w:themeColor="accent3" w:themeShade="BF"/>
            </w:tcBorders>
            <w:shd w:val="clear" w:color="auto" w:fill="auto"/>
            <w:vAlign w:val="center"/>
            <w:hideMark/>
          </w:tcPr>
          <w:p w14:paraId="4EB479C8" w14:textId="77777777" w:rsidR="000B6395" w:rsidRPr="00812EBC" w:rsidRDefault="000B6395" w:rsidP="00543A2E">
            <w:pPr>
              <w:tabs>
                <w:tab w:val="clear" w:pos="7100"/>
              </w:tabs>
              <w:spacing w:line="240" w:lineRule="auto"/>
              <w:jc w:val="center"/>
              <w:rPr>
                <w:rFonts w:cs="Arial"/>
                <w:color w:val="000000"/>
                <w:szCs w:val="18"/>
                <w:lang w:val="en-US"/>
              </w:rPr>
            </w:pPr>
            <w:r w:rsidRPr="00812EBC">
              <w:rPr>
                <w:rFonts w:cs="Arial"/>
                <w:color w:val="000000"/>
                <w:szCs w:val="18"/>
                <w:lang w:val="en-US"/>
              </w:rPr>
              <w:t>LHV MJ/Nm</w:t>
            </w:r>
            <w:r w:rsidRPr="00812EBC">
              <w:rPr>
                <w:rFonts w:cs="Arial"/>
                <w:color w:val="000000"/>
                <w:szCs w:val="18"/>
                <w:vertAlign w:val="superscript"/>
                <w:lang w:val="en-US"/>
              </w:rPr>
              <w:t>3</w:t>
            </w:r>
          </w:p>
          <w:p w14:paraId="7CB0C5FE" w14:textId="77777777" w:rsidR="000B6395" w:rsidRPr="00812EBC" w:rsidRDefault="000B6395" w:rsidP="00543A2E">
            <w:pPr>
              <w:tabs>
                <w:tab w:val="clear" w:pos="7100"/>
              </w:tabs>
              <w:spacing w:line="240" w:lineRule="auto"/>
              <w:jc w:val="center"/>
              <w:rPr>
                <w:rFonts w:cs="Arial"/>
                <w:color w:val="000000"/>
                <w:szCs w:val="18"/>
                <w:lang w:val="en-US"/>
              </w:rPr>
            </w:pPr>
            <w:proofErr w:type="spellStart"/>
            <w:r w:rsidRPr="00812EBC">
              <w:rPr>
                <w:rFonts w:cs="Arial"/>
                <w:color w:val="000000"/>
                <w:szCs w:val="18"/>
                <w:lang w:val="en-US"/>
              </w:rPr>
              <w:t>GasDS</w:t>
            </w:r>
            <w:proofErr w:type="spellEnd"/>
          </w:p>
        </w:tc>
        <w:tc>
          <w:tcPr>
            <w:tcW w:w="1222" w:type="pct"/>
            <w:tcBorders>
              <w:top w:val="single" w:sz="18" w:space="0" w:color="76923C" w:themeColor="accent3" w:themeShade="BF"/>
              <w:bottom w:val="single" w:sz="12" w:space="0" w:color="76923C" w:themeColor="accent3" w:themeShade="BF"/>
            </w:tcBorders>
            <w:shd w:val="clear" w:color="auto" w:fill="auto"/>
            <w:vAlign w:val="center"/>
            <w:hideMark/>
          </w:tcPr>
          <w:p w14:paraId="24A8A766" w14:textId="77777777" w:rsidR="000B6395" w:rsidRPr="00812EBC" w:rsidRDefault="000B6395" w:rsidP="00543A2E">
            <w:pPr>
              <w:tabs>
                <w:tab w:val="clear" w:pos="7100"/>
              </w:tabs>
              <w:spacing w:line="240" w:lineRule="auto"/>
              <w:jc w:val="center"/>
              <w:rPr>
                <w:rFonts w:cs="Arial"/>
                <w:color w:val="000000"/>
                <w:szCs w:val="18"/>
                <w:lang w:val="en-US"/>
              </w:rPr>
            </w:pPr>
            <w:r w:rsidRPr="00812EBC">
              <w:rPr>
                <w:rFonts w:cs="Arial"/>
                <w:color w:val="000000"/>
                <w:szCs w:val="18"/>
                <w:lang w:val="en-US"/>
              </w:rPr>
              <w:t>LHV MJ/Nm</w:t>
            </w:r>
            <w:r w:rsidRPr="00812EBC">
              <w:rPr>
                <w:rFonts w:cs="Arial"/>
                <w:color w:val="000000"/>
                <w:szCs w:val="18"/>
                <w:vertAlign w:val="superscript"/>
                <w:lang w:val="en-US"/>
              </w:rPr>
              <w:t xml:space="preserve">3 </w:t>
            </w:r>
            <w:r w:rsidRPr="00812EBC">
              <w:rPr>
                <w:rFonts w:cs="Arial"/>
                <w:color w:val="000000"/>
                <w:szCs w:val="18"/>
                <w:lang w:val="en-US"/>
              </w:rPr>
              <w:t>Experimental</w:t>
            </w:r>
          </w:p>
        </w:tc>
        <w:tc>
          <w:tcPr>
            <w:tcW w:w="1220" w:type="pct"/>
            <w:tcBorders>
              <w:top w:val="single" w:sz="18" w:space="0" w:color="76923C" w:themeColor="accent3" w:themeShade="BF"/>
              <w:bottom w:val="single" w:sz="12" w:space="0" w:color="76923C" w:themeColor="accent3" w:themeShade="BF"/>
            </w:tcBorders>
            <w:vAlign w:val="center"/>
          </w:tcPr>
          <w:p w14:paraId="752AACEC" w14:textId="00D804B5" w:rsidR="000B6395" w:rsidRPr="00812EBC" w:rsidRDefault="000B6395" w:rsidP="00543A2E">
            <w:pPr>
              <w:tabs>
                <w:tab w:val="clear" w:pos="7100"/>
              </w:tabs>
              <w:spacing w:line="240" w:lineRule="auto"/>
              <w:jc w:val="center"/>
              <w:rPr>
                <w:rFonts w:cs="Arial"/>
                <w:color w:val="000000"/>
                <w:szCs w:val="18"/>
                <w:lang w:val="en-US"/>
              </w:rPr>
            </w:pPr>
            <w:r w:rsidRPr="00812EBC">
              <w:rPr>
                <w:rFonts w:cs="Arial"/>
                <w:color w:val="000000"/>
                <w:szCs w:val="18"/>
                <w:lang w:val="en-US"/>
              </w:rPr>
              <w:t>Error</w:t>
            </w:r>
            <w:r w:rsidR="0040608D" w:rsidRPr="00812EBC">
              <w:rPr>
                <w:rFonts w:cs="Arial"/>
                <w:color w:val="000000"/>
                <w:szCs w:val="18"/>
                <w:lang w:val="en-US"/>
              </w:rPr>
              <w:t xml:space="preserve"> %</w:t>
            </w:r>
          </w:p>
        </w:tc>
      </w:tr>
      <w:tr w:rsidR="000B6395" w:rsidRPr="00812EBC" w14:paraId="20583E9F" w14:textId="77777777" w:rsidTr="009B5270">
        <w:trPr>
          <w:trHeight w:val="290"/>
        </w:trPr>
        <w:tc>
          <w:tcPr>
            <w:tcW w:w="3780" w:type="pct"/>
            <w:gridSpan w:val="4"/>
            <w:tcBorders>
              <w:top w:val="single" w:sz="12" w:space="0" w:color="76923C" w:themeColor="accent3" w:themeShade="BF"/>
            </w:tcBorders>
            <w:shd w:val="clear" w:color="000000" w:fill="FFFFFF"/>
            <w:noWrap/>
            <w:vAlign w:val="center"/>
          </w:tcPr>
          <w:p w14:paraId="7C4746EE" w14:textId="77777777" w:rsidR="000B6395" w:rsidRPr="00812EBC" w:rsidRDefault="000B6395" w:rsidP="00543A2E">
            <w:pPr>
              <w:tabs>
                <w:tab w:val="clear" w:pos="7100"/>
              </w:tabs>
              <w:spacing w:line="240" w:lineRule="auto"/>
              <w:jc w:val="left"/>
              <w:rPr>
                <w:rFonts w:cs="Arial"/>
                <w:szCs w:val="18"/>
                <w:lang w:val="en-US"/>
              </w:rPr>
            </w:pPr>
            <w:r w:rsidRPr="00812EBC">
              <w:rPr>
                <w:rFonts w:cs="Arial"/>
                <w:szCs w:val="18"/>
                <w:lang w:val="en-US"/>
              </w:rPr>
              <w:t>PAT</w:t>
            </w:r>
          </w:p>
        </w:tc>
        <w:tc>
          <w:tcPr>
            <w:tcW w:w="1220" w:type="pct"/>
            <w:tcBorders>
              <w:top w:val="single" w:sz="12" w:space="0" w:color="76923C" w:themeColor="accent3" w:themeShade="BF"/>
            </w:tcBorders>
            <w:shd w:val="clear" w:color="000000" w:fill="FFFFFF"/>
            <w:vAlign w:val="center"/>
          </w:tcPr>
          <w:p w14:paraId="55790F99" w14:textId="77777777" w:rsidR="000B6395" w:rsidRPr="00812EBC" w:rsidRDefault="000B6395" w:rsidP="00543A2E">
            <w:pPr>
              <w:tabs>
                <w:tab w:val="clear" w:pos="7100"/>
              </w:tabs>
              <w:spacing w:line="240" w:lineRule="auto"/>
              <w:jc w:val="center"/>
              <w:rPr>
                <w:rFonts w:cs="Arial"/>
                <w:szCs w:val="18"/>
                <w:lang w:val="en-US"/>
              </w:rPr>
            </w:pPr>
          </w:p>
        </w:tc>
      </w:tr>
      <w:tr w:rsidR="000B6395" w:rsidRPr="00812EBC" w14:paraId="5DDAD5A5" w14:textId="77777777" w:rsidTr="009B5270">
        <w:trPr>
          <w:trHeight w:val="290"/>
        </w:trPr>
        <w:tc>
          <w:tcPr>
            <w:tcW w:w="707" w:type="pct"/>
            <w:shd w:val="clear" w:color="000000" w:fill="FFFFFF"/>
            <w:noWrap/>
            <w:vAlign w:val="center"/>
          </w:tcPr>
          <w:p w14:paraId="74670BA9"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0.65</w:t>
            </w:r>
          </w:p>
        </w:tc>
        <w:tc>
          <w:tcPr>
            <w:tcW w:w="704" w:type="pct"/>
            <w:shd w:val="clear" w:color="000000" w:fill="FFFFFF"/>
            <w:noWrap/>
            <w:vAlign w:val="center"/>
          </w:tcPr>
          <w:p w14:paraId="3037518D"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99</w:t>
            </w:r>
          </w:p>
        </w:tc>
        <w:tc>
          <w:tcPr>
            <w:tcW w:w="1148" w:type="pct"/>
            <w:shd w:val="clear" w:color="000000" w:fill="FFFFFF"/>
            <w:noWrap/>
            <w:vAlign w:val="center"/>
          </w:tcPr>
          <w:p w14:paraId="55404B23"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2.12</w:t>
            </w:r>
          </w:p>
        </w:tc>
        <w:tc>
          <w:tcPr>
            <w:tcW w:w="1222" w:type="pct"/>
            <w:shd w:val="clear" w:color="000000" w:fill="FFFFFF"/>
            <w:noWrap/>
            <w:vAlign w:val="center"/>
          </w:tcPr>
          <w:p w14:paraId="1E8F7168"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1.42</w:t>
            </w:r>
          </w:p>
        </w:tc>
        <w:tc>
          <w:tcPr>
            <w:tcW w:w="1220" w:type="pct"/>
            <w:shd w:val="clear" w:color="000000" w:fill="FFFFFF"/>
            <w:vAlign w:val="center"/>
          </w:tcPr>
          <w:p w14:paraId="7FFE67A3" w14:textId="59F414D9"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w:t>
            </w:r>
            <w:r w:rsidR="000155A1" w:rsidRPr="00812EBC">
              <w:rPr>
                <w:rFonts w:cs="Arial"/>
                <w:szCs w:val="18"/>
                <w:lang w:val="en-US"/>
              </w:rPr>
              <w:t>49</w:t>
            </w:r>
          </w:p>
        </w:tc>
      </w:tr>
      <w:tr w:rsidR="000B6395" w:rsidRPr="00812EBC" w14:paraId="206CDACC" w14:textId="77777777" w:rsidTr="009B5270">
        <w:trPr>
          <w:trHeight w:val="290"/>
        </w:trPr>
        <w:tc>
          <w:tcPr>
            <w:tcW w:w="707" w:type="pct"/>
            <w:shd w:val="clear" w:color="000000" w:fill="FFFFFF"/>
            <w:noWrap/>
            <w:vAlign w:val="center"/>
          </w:tcPr>
          <w:p w14:paraId="2F42F77B"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0.42</w:t>
            </w:r>
          </w:p>
        </w:tc>
        <w:tc>
          <w:tcPr>
            <w:tcW w:w="704" w:type="pct"/>
            <w:shd w:val="clear" w:color="000000" w:fill="FFFFFF"/>
            <w:noWrap/>
            <w:vAlign w:val="center"/>
          </w:tcPr>
          <w:p w14:paraId="371CE9AC"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150</w:t>
            </w:r>
          </w:p>
        </w:tc>
        <w:tc>
          <w:tcPr>
            <w:tcW w:w="1148" w:type="pct"/>
            <w:shd w:val="clear" w:color="000000" w:fill="FFFFFF"/>
            <w:noWrap/>
            <w:vAlign w:val="center"/>
          </w:tcPr>
          <w:p w14:paraId="6B3D49F7"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4.12</w:t>
            </w:r>
          </w:p>
        </w:tc>
        <w:tc>
          <w:tcPr>
            <w:tcW w:w="1222" w:type="pct"/>
            <w:shd w:val="clear" w:color="000000" w:fill="FFFFFF"/>
            <w:noWrap/>
            <w:vAlign w:val="center"/>
          </w:tcPr>
          <w:p w14:paraId="294B8ACF"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2.80</w:t>
            </w:r>
          </w:p>
        </w:tc>
        <w:tc>
          <w:tcPr>
            <w:tcW w:w="1220" w:type="pct"/>
            <w:shd w:val="clear" w:color="000000" w:fill="FFFFFF"/>
            <w:vAlign w:val="center"/>
          </w:tcPr>
          <w:p w14:paraId="5218E743" w14:textId="7DA37301"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w:t>
            </w:r>
            <w:r w:rsidR="0040608D" w:rsidRPr="00812EBC">
              <w:rPr>
                <w:rFonts w:cs="Arial"/>
                <w:szCs w:val="18"/>
                <w:lang w:val="en-US"/>
              </w:rPr>
              <w:t>47</w:t>
            </w:r>
          </w:p>
        </w:tc>
      </w:tr>
      <w:tr w:rsidR="000B6395" w:rsidRPr="00812EBC" w14:paraId="6447C6ED" w14:textId="77777777" w:rsidTr="009B5270">
        <w:trPr>
          <w:trHeight w:val="290"/>
        </w:trPr>
        <w:tc>
          <w:tcPr>
            <w:tcW w:w="3780" w:type="pct"/>
            <w:gridSpan w:val="4"/>
            <w:shd w:val="clear" w:color="000000" w:fill="FFFFFF"/>
            <w:noWrap/>
            <w:vAlign w:val="center"/>
          </w:tcPr>
          <w:p w14:paraId="0B127557" w14:textId="77777777" w:rsidR="000B6395" w:rsidRPr="00812EBC" w:rsidRDefault="000B6395" w:rsidP="00543A2E">
            <w:pPr>
              <w:tabs>
                <w:tab w:val="clear" w:pos="7100"/>
              </w:tabs>
              <w:spacing w:line="240" w:lineRule="auto"/>
              <w:jc w:val="left"/>
              <w:rPr>
                <w:rFonts w:cs="Arial"/>
                <w:szCs w:val="18"/>
                <w:lang w:val="en-US"/>
              </w:rPr>
            </w:pPr>
            <w:r w:rsidRPr="00812EBC">
              <w:rPr>
                <w:rFonts w:cs="Arial"/>
                <w:szCs w:val="18"/>
                <w:lang w:val="en-US"/>
              </w:rPr>
              <w:t>WP</w:t>
            </w:r>
          </w:p>
        </w:tc>
        <w:tc>
          <w:tcPr>
            <w:tcW w:w="1220" w:type="pct"/>
            <w:shd w:val="clear" w:color="000000" w:fill="FFFFFF"/>
            <w:vAlign w:val="center"/>
          </w:tcPr>
          <w:p w14:paraId="5E2C4B0B" w14:textId="77777777" w:rsidR="000B6395" w:rsidRPr="00812EBC" w:rsidRDefault="000B6395" w:rsidP="00543A2E">
            <w:pPr>
              <w:tabs>
                <w:tab w:val="clear" w:pos="7100"/>
              </w:tabs>
              <w:spacing w:line="240" w:lineRule="auto"/>
              <w:jc w:val="center"/>
              <w:rPr>
                <w:rFonts w:cs="Arial"/>
                <w:szCs w:val="18"/>
                <w:lang w:val="en-US"/>
              </w:rPr>
            </w:pPr>
          </w:p>
        </w:tc>
      </w:tr>
      <w:tr w:rsidR="000B6395" w:rsidRPr="00812EBC" w14:paraId="5BD19BF9" w14:textId="77777777" w:rsidTr="009B5270">
        <w:trPr>
          <w:trHeight w:val="290"/>
        </w:trPr>
        <w:tc>
          <w:tcPr>
            <w:tcW w:w="707" w:type="pct"/>
            <w:shd w:val="clear" w:color="000000" w:fill="FFFFFF"/>
            <w:noWrap/>
            <w:vAlign w:val="center"/>
          </w:tcPr>
          <w:p w14:paraId="30A75B73"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0.89</w:t>
            </w:r>
          </w:p>
        </w:tc>
        <w:tc>
          <w:tcPr>
            <w:tcW w:w="704" w:type="pct"/>
            <w:shd w:val="clear" w:color="000000" w:fill="FFFFFF"/>
            <w:noWrap/>
            <w:vAlign w:val="center"/>
          </w:tcPr>
          <w:p w14:paraId="1F6C0D17"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67</w:t>
            </w:r>
          </w:p>
        </w:tc>
        <w:tc>
          <w:tcPr>
            <w:tcW w:w="1148" w:type="pct"/>
            <w:shd w:val="clear" w:color="000000" w:fill="FFFFFF"/>
            <w:noWrap/>
            <w:vAlign w:val="center"/>
          </w:tcPr>
          <w:p w14:paraId="0F3EFBAF"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0.24</w:t>
            </w:r>
          </w:p>
        </w:tc>
        <w:tc>
          <w:tcPr>
            <w:tcW w:w="1222" w:type="pct"/>
            <w:shd w:val="clear" w:color="000000" w:fill="FFFFFF"/>
            <w:noWrap/>
            <w:vAlign w:val="center"/>
          </w:tcPr>
          <w:p w14:paraId="7E4A1142"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0.65</w:t>
            </w:r>
          </w:p>
        </w:tc>
        <w:tc>
          <w:tcPr>
            <w:tcW w:w="1220" w:type="pct"/>
            <w:shd w:val="clear" w:color="000000" w:fill="FFFFFF"/>
            <w:vAlign w:val="center"/>
          </w:tcPr>
          <w:p w14:paraId="7A850304" w14:textId="39F537CF"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-0.</w:t>
            </w:r>
            <w:r w:rsidR="00935660" w:rsidRPr="00812EBC">
              <w:rPr>
                <w:rFonts w:cs="Arial"/>
                <w:szCs w:val="18"/>
                <w:lang w:val="en-US"/>
              </w:rPr>
              <w:t>63</w:t>
            </w:r>
          </w:p>
        </w:tc>
      </w:tr>
      <w:tr w:rsidR="000B6395" w:rsidRPr="00812EBC" w14:paraId="2E6B4AD2" w14:textId="77777777" w:rsidTr="009B5270">
        <w:trPr>
          <w:trHeight w:val="290"/>
        </w:trPr>
        <w:tc>
          <w:tcPr>
            <w:tcW w:w="707" w:type="pct"/>
            <w:shd w:val="clear" w:color="000000" w:fill="FFFFFF"/>
            <w:noWrap/>
            <w:vAlign w:val="center"/>
          </w:tcPr>
          <w:p w14:paraId="1359927A"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0.75</w:t>
            </w:r>
          </w:p>
        </w:tc>
        <w:tc>
          <w:tcPr>
            <w:tcW w:w="704" w:type="pct"/>
            <w:shd w:val="clear" w:color="000000" w:fill="FFFFFF"/>
            <w:noWrap/>
            <w:vAlign w:val="center"/>
          </w:tcPr>
          <w:p w14:paraId="6E54FED3"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81</w:t>
            </w:r>
          </w:p>
        </w:tc>
        <w:tc>
          <w:tcPr>
            <w:tcW w:w="1148" w:type="pct"/>
            <w:shd w:val="clear" w:color="000000" w:fill="FFFFFF"/>
            <w:noWrap/>
            <w:vAlign w:val="center"/>
          </w:tcPr>
          <w:p w14:paraId="4DC0E0CF"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1.26</w:t>
            </w:r>
          </w:p>
        </w:tc>
        <w:tc>
          <w:tcPr>
            <w:tcW w:w="1222" w:type="pct"/>
            <w:shd w:val="clear" w:color="000000" w:fill="FFFFFF"/>
            <w:noWrap/>
            <w:vAlign w:val="center"/>
          </w:tcPr>
          <w:p w14:paraId="7B7D3E49"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1.15</w:t>
            </w:r>
          </w:p>
        </w:tc>
        <w:tc>
          <w:tcPr>
            <w:tcW w:w="1220" w:type="pct"/>
            <w:shd w:val="clear" w:color="000000" w:fill="FFFFFF"/>
            <w:vAlign w:val="center"/>
          </w:tcPr>
          <w:p w14:paraId="0ECB759A" w14:textId="7D1AA138"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w:t>
            </w:r>
            <w:r w:rsidR="0060482D" w:rsidRPr="00812EBC">
              <w:rPr>
                <w:rFonts w:cs="Arial"/>
                <w:szCs w:val="18"/>
                <w:lang w:val="en-US"/>
              </w:rPr>
              <w:t>9.5</w:t>
            </w:r>
          </w:p>
        </w:tc>
      </w:tr>
      <w:tr w:rsidR="000B6395" w:rsidRPr="00812EBC" w14:paraId="71D8DFBB" w14:textId="77777777" w:rsidTr="009B5270">
        <w:trPr>
          <w:trHeight w:val="290"/>
        </w:trPr>
        <w:tc>
          <w:tcPr>
            <w:tcW w:w="707" w:type="pct"/>
            <w:shd w:val="clear" w:color="000000" w:fill="FFFFFF"/>
            <w:noWrap/>
            <w:vAlign w:val="center"/>
          </w:tcPr>
          <w:p w14:paraId="652224C4"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0.65</w:t>
            </w:r>
          </w:p>
        </w:tc>
        <w:tc>
          <w:tcPr>
            <w:tcW w:w="704" w:type="pct"/>
            <w:shd w:val="clear" w:color="000000" w:fill="FFFFFF"/>
            <w:noWrap/>
            <w:vAlign w:val="center"/>
          </w:tcPr>
          <w:p w14:paraId="69E9622B"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93</w:t>
            </w:r>
          </w:p>
        </w:tc>
        <w:tc>
          <w:tcPr>
            <w:tcW w:w="1148" w:type="pct"/>
            <w:shd w:val="clear" w:color="000000" w:fill="FFFFFF"/>
            <w:noWrap/>
            <w:vAlign w:val="center"/>
          </w:tcPr>
          <w:p w14:paraId="39680C33"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2.01</w:t>
            </w:r>
          </w:p>
        </w:tc>
        <w:tc>
          <w:tcPr>
            <w:tcW w:w="1222" w:type="pct"/>
            <w:shd w:val="clear" w:color="000000" w:fill="FFFFFF"/>
            <w:noWrap/>
            <w:vAlign w:val="center"/>
          </w:tcPr>
          <w:p w14:paraId="67A8CEAD"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1.48</w:t>
            </w:r>
          </w:p>
        </w:tc>
        <w:tc>
          <w:tcPr>
            <w:tcW w:w="1220" w:type="pct"/>
            <w:shd w:val="clear" w:color="000000" w:fill="FFFFFF"/>
            <w:vAlign w:val="center"/>
          </w:tcPr>
          <w:p w14:paraId="520DADFF" w14:textId="4FCD7D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w:t>
            </w:r>
            <w:r w:rsidR="0060482D" w:rsidRPr="00812EBC">
              <w:rPr>
                <w:rFonts w:cs="Arial"/>
                <w:szCs w:val="18"/>
                <w:lang w:val="en-US"/>
              </w:rPr>
              <w:t>35</w:t>
            </w:r>
          </w:p>
        </w:tc>
      </w:tr>
      <w:tr w:rsidR="000B6395" w:rsidRPr="00812EBC" w14:paraId="681A4053" w14:textId="77777777" w:rsidTr="009B5270">
        <w:trPr>
          <w:trHeight w:val="290"/>
        </w:trPr>
        <w:tc>
          <w:tcPr>
            <w:tcW w:w="707" w:type="pct"/>
            <w:shd w:val="clear" w:color="000000" w:fill="FFFFFF"/>
            <w:noWrap/>
            <w:vAlign w:val="center"/>
          </w:tcPr>
          <w:p w14:paraId="280C0FCE"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0.58</w:t>
            </w:r>
          </w:p>
        </w:tc>
        <w:tc>
          <w:tcPr>
            <w:tcW w:w="704" w:type="pct"/>
            <w:shd w:val="clear" w:color="000000" w:fill="FFFFFF"/>
            <w:noWrap/>
            <w:vAlign w:val="center"/>
          </w:tcPr>
          <w:p w14:paraId="71C729E0"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405</w:t>
            </w:r>
          </w:p>
        </w:tc>
        <w:tc>
          <w:tcPr>
            <w:tcW w:w="1148" w:type="pct"/>
            <w:shd w:val="clear" w:color="000000" w:fill="FFFFFF"/>
            <w:noWrap/>
            <w:vAlign w:val="center"/>
          </w:tcPr>
          <w:p w14:paraId="009E60A1"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2.63</w:t>
            </w:r>
          </w:p>
        </w:tc>
        <w:tc>
          <w:tcPr>
            <w:tcW w:w="1222" w:type="pct"/>
            <w:shd w:val="clear" w:color="000000" w:fill="FFFFFF"/>
            <w:noWrap/>
            <w:vAlign w:val="center"/>
          </w:tcPr>
          <w:p w14:paraId="56EDA37B"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2.20</w:t>
            </w:r>
          </w:p>
        </w:tc>
        <w:tc>
          <w:tcPr>
            <w:tcW w:w="1220" w:type="pct"/>
            <w:shd w:val="clear" w:color="000000" w:fill="FFFFFF"/>
            <w:vAlign w:val="center"/>
          </w:tcPr>
          <w:p w14:paraId="75A578DA" w14:textId="132C0511"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w:t>
            </w:r>
            <w:r w:rsidR="00E17D7D" w:rsidRPr="00812EBC">
              <w:rPr>
                <w:rFonts w:cs="Arial"/>
                <w:szCs w:val="18"/>
                <w:lang w:val="en-US"/>
              </w:rPr>
              <w:t>19</w:t>
            </w:r>
          </w:p>
        </w:tc>
      </w:tr>
      <w:tr w:rsidR="000B6395" w:rsidRPr="00812EBC" w14:paraId="539E3CB0" w14:textId="77777777" w:rsidTr="009B5270">
        <w:trPr>
          <w:trHeight w:val="290"/>
        </w:trPr>
        <w:tc>
          <w:tcPr>
            <w:tcW w:w="707" w:type="pct"/>
            <w:shd w:val="clear" w:color="000000" w:fill="FFFFFF"/>
            <w:noWrap/>
            <w:vAlign w:val="center"/>
          </w:tcPr>
          <w:p w14:paraId="5222972E"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0.5</w:t>
            </w:r>
          </w:p>
        </w:tc>
        <w:tc>
          <w:tcPr>
            <w:tcW w:w="704" w:type="pct"/>
            <w:shd w:val="clear" w:color="000000" w:fill="FFFFFF"/>
            <w:noWrap/>
            <w:vAlign w:val="center"/>
          </w:tcPr>
          <w:p w14:paraId="140E9030"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120</w:t>
            </w:r>
          </w:p>
        </w:tc>
        <w:tc>
          <w:tcPr>
            <w:tcW w:w="1148" w:type="pct"/>
            <w:shd w:val="clear" w:color="000000" w:fill="FFFFFF"/>
            <w:noWrap/>
            <w:vAlign w:val="center"/>
          </w:tcPr>
          <w:p w14:paraId="0DBE3810"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3.26</w:t>
            </w:r>
          </w:p>
        </w:tc>
        <w:tc>
          <w:tcPr>
            <w:tcW w:w="1222" w:type="pct"/>
            <w:shd w:val="clear" w:color="000000" w:fill="FFFFFF"/>
            <w:noWrap/>
            <w:vAlign w:val="center"/>
          </w:tcPr>
          <w:p w14:paraId="5579813F"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2.07</w:t>
            </w:r>
          </w:p>
        </w:tc>
        <w:tc>
          <w:tcPr>
            <w:tcW w:w="1220" w:type="pct"/>
            <w:shd w:val="clear" w:color="000000" w:fill="FFFFFF"/>
            <w:vAlign w:val="center"/>
          </w:tcPr>
          <w:p w14:paraId="31603A02" w14:textId="3D898C1F"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w:t>
            </w:r>
            <w:r w:rsidR="006839D2" w:rsidRPr="00812EBC">
              <w:rPr>
                <w:rFonts w:cs="Arial"/>
                <w:szCs w:val="18"/>
                <w:lang w:val="en-US"/>
              </w:rPr>
              <w:t>57</w:t>
            </w:r>
          </w:p>
        </w:tc>
      </w:tr>
      <w:tr w:rsidR="000B6395" w:rsidRPr="00812EBC" w14:paraId="4506A6FA" w14:textId="77777777" w:rsidTr="009B5270">
        <w:trPr>
          <w:trHeight w:val="290"/>
        </w:trPr>
        <w:tc>
          <w:tcPr>
            <w:tcW w:w="707" w:type="pct"/>
            <w:shd w:val="clear" w:color="000000" w:fill="FFFFFF"/>
            <w:noWrap/>
            <w:vAlign w:val="center"/>
          </w:tcPr>
          <w:p w14:paraId="788AFD3B"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0.42</w:t>
            </w:r>
          </w:p>
        </w:tc>
        <w:tc>
          <w:tcPr>
            <w:tcW w:w="704" w:type="pct"/>
            <w:shd w:val="clear" w:color="000000" w:fill="FFFFFF"/>
            <w:noWrap/>
            <w:vAlign w:val="center"/>
          </w:tcPr>
          <w:p w14:paraId="0721C3B6"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145</w:t>
            </w:r>
          </w:p>
        </w:tc>
        <w:tc>
          <w:tcPr>
            <w:tcW w:w="1148" w:type="pct"/>
            <w:shd w:val="clear" w:color="000000" w:fill="FFFFFF"/>
            <w:noWrap/>
            <w:vAlign w:val="center"/>
          </w:tcPr>
          <w:p w14:paraId="355DD996"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4.13</w:t>
            </w:r>
          </w:p>
        </w:tc>
        <w:tc>
          <w:tcPr>
            <w:tcW w:w="1222" w:type="pct"/>
            <w:shd w:val="clear" w:color="000000" w:fill="FFFFFF"/>
            <w:noWrap/>
            <w:vAlign w:val="center"/>
          </w:tcPr>
          <w:p w14:paraId="6C71195E"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2.95</w:t>
            </w:r>
          </w:p>
        </w:tc>
        <w:tc>
          <w:tcPr>
            <w:tcW w:w="1220" w:type="pct"/>
            <w:shd w:val="clear" w:color="000000" w:fill="FFFFFF"/>
            <w:vAlign w:val="center"/>
          </w:tcPr>
          <w:p w14:paraId="49E72F19" w14:textId="25AFCBD4"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w:t>
            </w:r>
            <w:r w:rsidR="006839D2" w:rsidRPr="00812EBC">
              <w:rPr>
                <w:rFonts w:cs="Arial"/>
                <w:szCs w:val="18"/>
                <w:lang w:val="en-US"/>
              </w:rPr>
              <w:t>40</w:t>
            </w:r>
          </w:p>
        </w:tc>
      </w:tr>
      <w:tr w:rsidR="000B6395" w:rsidRPr="00812EBC" w14:paraId="7B6C0818" w14:textId="77777777" w:rsidTr="009B5270">
        <w:trPr>
          <w:trHeight w:val="290"/>
        </w:trPr>
        <w:tc>
          <w:tcPr>
            <w:tcW w:w="707" w:type="pct"/>
            <w:shd w:val="clear" w:color="000000" w:fill="FFFFFF"/>
            <w:noWrap/>
            <w:vAlign w:val="center"/>
          </w:tcPr>
          <w:p w14:paraId="2B4096F1"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0.34</w:t>
            </w:r>
          </w:p>
        </w:tc>
        <w:tc>
          <w:tcPr>
            <w:tcW w:w="704" w:type="pct"/>
            <w:shd w:val="clear" w:color="000000" w:fill="FFFFFF"/>
            <w:noWrap/>
            <w:vAlign w:val="center"/>
          </w:tcPr>
          <w:p w14:paraId="67EB7863"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176</w:t>
            </w:r>
          </w:p>
        </w:tc>
        <w:tc>
          <w:tcPr>
            <w:tcW w:w="1148" w:type="pct"/>
            <w:shd w:val="clear" w:color="000000" w:fill="FFFFFF"/>
            <w:noWrap/>
            <w:vAlign w:val="center"/>
          </w:tcPr>
          <w:p w14:paraId="4F7649D4"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5.02</w:t>
            </w:r>
          </w:p>
        </w:tc>
        <w:tc>
          <w:tcPr>
            <w:tcW w:w="1222" w:type="pct"/>
            <w:shd w:val="clear" w:color="000000" w:fill="FFFFFF"/>
            <w:noWrap/>
            <w:vAlign w:val="center"/>
          </w:tcPr>
          <w:p w14:paraId="07FB1805"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3.40</w:t>
            </w:r>
          </w:p>
        </w:tc>
        <w:tc>
          <w:tcPr>
            <w:tcW w:w="1220" w:type="pct"/>
            <w:shd w:val="clear" w:color="000000" w:fill="FFFFFF"/>
            <w:vAlign w:val="center"/>
          </w:tcPr>
          <w:p w14:paraId="46D52EAA" w14:textId="1E73E4D4"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w:t>
            </w:r>
            <w:r w:rsidR="00CD4C45" w:rsidRPr="00812EBC">
              <w:rPr>
                <w:rFonts w:cs="Arial"/>
                <w:szCs w:val="18"/>
                <w:lang w:val="en-US"/>
              </w:rPr>
              <w:t>47</w:t>
            </w:r>
          </w:p>
        </w:tc>
      </w:tr>
      <w:tr w:rsidR="000B6395" w:rsidRPr="00812EBC" w14:paraId="5C9E03C7" w14:textId="77777777" w:rsidTr="009B5270">
        <w:trPr>
          <w:trHeight w:val="290"/>
        </w:trPr>
        <w:tc>
          <w:tcPr>
            <w:tcW w:w="707" w:type="pct"/>
            <w:shd w:val="clear" w:color="000000" w:fill="FFFFFF"/>
            <w:noWrap/>
            <w:vAlign w:val="center"/>
          </w:tcPr>
          <w:p w14:paraId="7A7F86D6"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0.27</w:t>
            </w:r>
          </w:p>
        </w:tc>
        <w:tc>
          <w:tcPr>
            <w:tcW w:w="704" w:type="pct"/>
            <w:shd w:val="clear" w:color="000000" w:fill="FFFFFF"/>
            <w:noWrap/>
            <w:vAlign w:val="center"/>
          </w:tcPr>
          <w:p w14:paraId="0964C558"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223</w:t>
            </w:r>
          </w:p>
        </w:tc>
        <w:tc>
          <w:tcPr>
            <w:tcW w:w="1148" w:type="pct"/>
            <w:shd w:val="clear" w:color="000000" w:fill="FFFFFF"/>
            <w:noWrap/>
            <w:vAlign w:val="center"/>
          </w:tcPr>
          <w:p w14:paraId="79F36F59"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5.99</w:t>
            </w:r>
          </w:p>
        </w:tc>
        <w:tc>
          <w:tcPr>
            <w:tcW w:w="1222" w:type="pct"/>
            <w:shd w:val="clear" w:color="000000" w:fill="FFFFFF"/>
            <w:noWrap/>
            <w:vAlign w:val="center"/>
          </w:tcPr>
          <w:p w14:paraId="0B0393E2"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5.16</w:t>
            </w:r>
          </w:p>
        </w:tc>
        <w:tc>
          <w:tcPr>
            <w:tcW w:w="1220" w:type="pct"/>
            <w:shd w:val="clear" w:color="000000" w:fill="FFFFFF"/>
            <w:vAlign w:val="center"/>
          </w:tcPr>
          <w:p w14:paraId="234D03F8" w14:textId="58E39744"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w:t>
            </w:r>
            <w:r w:rsidR="00CD4C45" w:rsidRPr="00812EBC">
              <w:rPr>
                <w:rFonts w:cs="Arial"/>
                <w:szCs w:val="18"/>
                <w:lang w:val="en-US"/>
              </w:rPr>
              <w:t>16</w:t>
            </w:r>
          </w:p>
        </w:tc>
      </w:tr>
      <w:tr w:rsidR="000B6395" w:rsidRPr="00812EBC" w14:paraId="7D8B53BF" w14:textId="77777777" w:rsidTr="009B5270">
        <w:trPr>
          <w:trHeight w:val="290"/>
        </w:trPr>
        <w:tc>
          <w:tcPr>
            <w:tcW w:w="707" w:type="pct"/>
            <w:tcBorders>
              <w:bottom w:val="single" w:sz="18" w:space="0" w:color="76923C" w:themeColor="accent3" w:themeShade="BF"/>
            </w:tcBorders>
            <w:shd w:val="clear" w:color="000000" w:fill="FFFFFF"/>
            <w:noWrap/>
            <w:vAlign w:val="center"/>
          </w:tcPr>
          <w:p w14:paraId="3503DC75"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0.21</w:t>
            </w:r>
          </w:p>
        </w:tc>
        <w:tc>
          <w:tcPr>
            <w:tcW w:w="704" w:type="pct"/>
            <w:tcBorders>
              <w:bottom w:val="single" w:sz="18" w:space="0" w:color="76923C" w:themeColor="accent3" w:themeShade="BF"/>
            </w:tcBorders>
            <w:shd w:val="clear" w:color="000000" w:fill="FFFFFF"/>
            <w:noWrap/>
            <w:vAlign w:val="center"/>
          </w:tcPr>
          <w:p w14:paraId="702D554F"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286</w:t>
            </w:r>
          </w:p>
        </w:tc>
        <w:tc>
          <w:tcPr>
            <w:tcW w:w="1148" w:type="pct"/>
            <w:tcBorders>
              <w:bottom w:val="single" w:sz="18" w:space="0" w:color="76923C" w:themeColor="accent3" w:themeShade="BF"/>
            </w:tcBorders>
            <w:shd w:val="clear" w:color="000000" w:fill="FFFFFF"/>
            <w:noWrap/>
            <w:vAlign w:val="center"/>
          </w:tcPr>
          <w:p w14:paraId="162EAB9E"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7.21</w:t>
            </w:r>
          </w:p>
        </w:tc>
        <w:tc>
          <w:tcPr>
            <w:tcW w:w="1222" w:type="pct"/>
            <w:tcBorders>
              <w:bottom w:val="single" w:sz="18" w:space="0" w:color="76923C" w:themeColor="accent3" w:themeShade="BF"/>
            </w:tcBorders>
            <w:shd w:val="clear" w:color="000000" w:fill="FFFFFF"/>
            <w:noWrap/>
            <w:vAlign w:val="center"/>
          </w:tcPr>
          <w:p w14:paraId="177A7FE1" w14:textId="77777777"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4.53</w:t>
            </w:r>
          </w:p>
        </w:tc>
        <w:tc>
          <w:tcPr>
            <w:tcW w:w="1220" w:type="pct"/>
            <w:tcBorders>
              <w:bottom w:val="single" w:sz="18" w:space="0" w:color="76923C" w:themeColor="accent3" w:themeShade="BF"/>
            </w:tcBorders>
            <w:shd w:val="clear" w:color="000000" w:fill="FFFFFF"/>
            <w:vAlign w:val="center"/>
          </w:tcPr>
          <w:p w14:paraId="5188860C" w14:textId="3BEE3A38" w:rsidR="000B6395" w:rsidRPr="00812EBC" w:rsidRDefault="000B6395" w:rsidP="00543A2E">
            <w:pPr>
              <w:tabs>
                <w:tab w:val="clear" w:pos="7100"/>
              </w:tabs>
              <w:spacing w:line="240" w:lineRule="auto"/>
              <w:jc w:val="center"/>
              <w:rPr>
                <w:rFonts w:cs="Arial"/>
                <w:szCs w:val="18"/>
                <w:lang w:val="en-US"/>
              </w:rPr>
            </w:pPr>
            <w:r w:rsidRPr="00812EBC">
              <w:rPr>
                <w:rFonts w:cs="Arial"/>
                <w:szCs w:val="18"/>
                <w:lang w:val="en-US"/>
              </w:rPr>
              <w:t>+</w:t>
            </w:r>
            <w:r w:rsidR="000E3A3A" w:rsidRPr="00812EBC">
              <w:rPr>
                <w:rFonts w:cs="Arial"/>
                <w:szCs w:val="18"/>
                <w:lang w:val="en-US"/>
              </w:rPr>
              <w:t>58</w:t>
            </w:r>
          </w:p>
        </w:tc>
      </w:tr>
    </w:tbl>
    <w:bookmarkEnd w:id="2"/>
    <w:p w14:paraId="16E6A379" w14:textId="1E12C834" w:rsidR="0089755F" w:rsidRPr="00812EBC" w:rsidRDefault="0089755F" w:rsidP="0089755F">
      <w:r w:rsidRPr="00812EBC">
        <w:lastRenderedPageBreak/>
        <w:t>T</w:t>
      </w:r>
      <w:r w:rsidR="009B5270" w:rsidRPr="00812EBC">
        <w:t xml:space="preserve">he predicted LHV are consistently higher than the experimental values in all cases due to the discussed variations in gas composition, </w:t>
      </w:r>
      <w:r w:rsidRPr="00812EBC">
        <w:t>and</w:t>
      </w:r>
      <w:r w:rsidR="009B5270" w:rsidRPr="00812EBC">
        <w:t xml:space="preserve"> the trend of increasing LHV with decreasing ER is similarly captured in both datasets. Lower ER create fuel-rich conditions with limited oxygen, favouring partial oxidation and reactions like gasification and water-gas shift. This increases CO and H</w:t>
      </w:r>
      <w:r w:rsidR="009B5270" w:rsidRPr="00812EBC">
        <w:rPr>
          <w:vertAlign w:val="subscript"/>
        </w:rPr>
        <w:t>2</w:t>
      </w:r>
      <w:r w:rsidR="009B5270" w:rsidRPr="00812EBC">
        <w:t xml:space="preserve"> production while reducing CO</w:t>
      </w:r>
      <w:r w:rsidR="009B5270" w:rsidRPr="00812EBC">
        <w:rPr>
          <w:vertAlign w:val="subscript"/>
        </w:rPr>
        <w:t>2</w:t>
      </w:r>
      <w:r w:rsidR="009B5270" w:rsidRPr="00812EBC">
        <w:t xml:space="preserve">, enhancing syngas energy content and process efficiency </w:t>
      </w:r>
      <w:r w:rsidR="009B5270" w:rsidRPr="00812EBC">
        <w:fldChar w:fldCharType="begin"/>
      </w:r>
      <w:r w:rsidR="009F2993" w:rsidRPr="00812EBC">
        <w:instrText xml:space="preserve"> ADDIN ZOTERO_ITEM CSL_CITATION {"citationID":"8vVvfJno","properties":{"formattedCitation":"(Cerone and Zimbardi, 2021)","plainCitation":"(Cerone and Zimbardi, 2021)","noteIndex":0},"citationItems":[{"id":191,"uris":["http://zotero.org/users/local/kxtbsN7x/items/2GQPM6K3"],"itemData":{"id":191,"type":"article-journal","abstract":"Several experimental datasets available on the gasification of different lignocellulosic feedstocks were used to correlate the flow of gasifying agents with the performance of updraft gasification in an autothermic 200 kWth pilot plant. The feedstocks used included eucalyptus wood chips, torrefied eucalyptus and spruce chips, lignin rich residues from biorefined straw and reed, shells of almond and hazelnut, which were gasified in flows of air, air and steam, oxygen, oxygen and steam. Thermal profiles inside the gasifier and gas quality in terms of incondensable gas and tar content were recorded and used to calculate the energy efficiency of converting solid feedstock into gaseous and liquid carriers. Common behaviors and parametric functionalities were identified to better understand the process and the most efficient tools to achieve the desired products. In analyzing data, the ratio steam to biomass was reported in terms of the equivalence ratio, ER(H2O) i.e., the fraction of the stoichiometric quantity required to convert the feedstock into H2 and CO2. The use of steam was useful to stabilize the process and to tune the H2/CO ratio in the syngas which reached the value of 2.08 in the case of oxy-steam gasification of lignin rich residues at ER(H2O) of 0.25. Larger use of steam depressed the process by lowering the average temperature of the bed, which instead increased steadily with ER(O2). The production of tar depends on the biomass type and a substantial reduction can be achieved with the torrefaction pretreatment. The same effect was observed increasing the residence time of the syngas in the reactor, typically achieved using oxygen instead of air as main gasification flow or reducing the ER(H2O). Oxy-steam gasification of torrefied wood led to the best results in terms of cold gas efficiency and low heating value when carried out in the ranger 0.23–0.27 of both the ERs.","container-title":"Energies","DOI":"10.3390/en14092675","ISSN":"1996-1073","issue":"9","journalAbbreviation":"Energies","language":"en","license":"https://creativecommons.org/licenses/by/4.0/","page":"2675","source":"DOI.org (Crossref)","title":"Effects of Oxygen and Steam Equivalence Ratios on Updraft Gasification of Biomass","volume":"14","author":[{"family":"Cerone","given":"Nadia"},{"family":"Zimbardi","given":"Francesco"}],"issued":{"date-parts":[["2021",5,6]]}}}],"schema":"https://github.com/citation-style-language/schema/raw/master/csl-citation.json"} </w:instrText>
      </w:r>
      <w:r w:rsidR="009B5270" w:rsidRPr="00812EBC">
        <w:fldChar w:fldCharType="separate"/>
      </w:r>
      <w:r w:rsidR="009F2993" w:rsidRPr="00812EBC">
        <w:rPr>
          <w:rFonts w:cs="Arial"/>
        </w:rPr>
        <w:t>(Cerone and Zimbardi, 2021)</w:t>
      </w:r>
      <w:r w:rsidR="009B5270" w:rsidRPr="00812EBC">
        <w:fldChar w:fldCharType="end"/>
      </w:r>
      <w:r w:rsidRPr="00812EBC">
        <w:t xml:space="preserve">. </w:t>
      </w:r>
      <w:r w:rsidR="00696AD4" w:rsidRPr="00812EBC">
        <w:fldChar w:fldCharType="begin"/>
      </w:r>
      <w:r w:rsidR="00696AD4" w:rsidRPr="00812EBC">
        <w:instrText xml:space="preserve"> ADDIN ZOTERO_ITEM CSL_CITATION {"citationID":"VCAmjBl6","properties":{"formattedCitation":"(Puig-Gamero et al., 2021)","plainCitation":"(Puig-Gamero et al., 2021)","noteIndex":0},"citationItems":[{"id":200,"uris":["http://zotero.org/users/local/kxtbsN7x/items/KJ5ZXJFQ"],"itemData":{"id":200,"type":"article-journal","container-title":"Energy Conversion and Management","DOI":"10.1016/j.enconman.2021.113981","ISSN":"01968904","journalAbbreviation":"Energy Conversion and Management","language":"en","page":"113981","source":"DOI.org (Crossref)","title":"Simulation of biomass gasification in bubbling fluidized bed reactor using aspen plus®","volume":"235","author":[{"family":"Puig-Gamero","given":"M."},{"family":"Pio","given":"D.T."},{"family":"Tarelho","given":"L.A.C."},{"family":"Sánchez","given":"P."},{"family":"Sanchez-Silva","given":"L."}],"issued":{"date-parts":[["2021",5]]}}}],"schema":"https://github.com/citation-style-language/schema/raw/master/csl-citation.json"} </w:instrText>
      </w:r>
      <w:r w:rsidR="00696AD4" w:rsidRPr="00812EBC">
        <w:fldChar w:fldCharType="separate"/>
      </w:r>
      <w:r w:rsidR="00696AD4" w:rsidRPr="00812EBC">
        <w:rPr>
          <w:rFonts w:cs="Arial"/>
        </w:rPr>
        <w:t>(Puig-Gamero et al., 2021)</w:t>
      </w:r>
      <w:r w:rsidR="00696AD4" w:rsidRPr="00812EBC">
        <w:fldChar w:fldCharType="end"/>
      </w:r>
      <w:r w:rsidR="00AA722F" w:rsidRPr="00812EBC">
        <w:t xml:space="preserve"> simulated biomass gasificat</w:t>
      </w:r>
      <w:r w:rsidR="0016339A" w:rsidRPr="00812EBC">
        <w:t xml:space="preserve">ion in fluidized bed reactor </w:t>
      </w:r>
      <w:r w:rsidR="008E2F47" w:rsidRPr="00812EBC">
        <w:t>using A</w:t>
      </w:r>
      <w:r w:rsidR="00193D00" w:rsidRPr="00812EBC">
        <w:t xml:space="preserve">spen plus at varying </w:t>
      </w:r>
      <w:r w:rsidR="006002AB" w:rsidRPr="00812EBC">
        <w:t>temperatures</w:t>
      </w:r>
      <w:r w:rsidR="00690B0E" w:rsidRPr="00812EBC">
        <w:t xml:space="preserve">, ER values and varying feed stocks </w:t>
      </w:r>
      <w:r w:rsidR="004765ED" w:rsidRPr="00812EBC">
        <w:t xml:space="preserve">and similar trends </w:t>
      </w:r>
      <w:r w:rsidR="009F70BA" w:rsidRPr="00812EBC">
        <w:t>for output gases were observed</w:t>
      </w:r>
      <w:r w:rsidR="000A0990" w:rsidRPr="00812EBC">
        <w:t xml:space="preserve"> with slight overestimation </w:t>
      </w:r>
      <w:r w:rsidR="00A1557E" w:rsidRPr="00812EBC">
        <w:t>of H</w:t>
      </w:r>
      <w:r w:rsidR="00A1557E" w:rsidRPr="00812EBC">
        <w:rPr>
          <w:vertAlign w:val="subscript"/>
        </w:rPr>
        <w:t>2</w:t>
      </w:r>
      <w:r w:rsidR="008D1957" w:rsidRPr="00812EBC">
        <w:rPr>
          <w:vertAlign w:val="subscript"/>
        </w:rPr>
        <w:t>.</w:t>
      </w:r>
      <w:r w:rsidR="00E56F6C" w:rsidRPr="00812EBC">
        <w:t xml:space="preserve"> </w:t>
      </w:r>
      <w:r w:rsidR="00F608B7" w:rsidRPr="00812EBC">
        <w:t>Moreover,</w:t>
      </w:r>
      <w:r w:rsidR="00E56F6C" w:rsidRPr="00812EBC">
        <w:t xml:space="preserve"> </w:t>
      </w:r>
      <w:r w:rsidR="005F288D" w:rsidRPr="00812EBC">
        <w:t>b</w:t>
      </w:r>
      <w:r w:rsidR="00E56F6C" w:rsidRPr="00812EBC">
        <w:t>oth model</w:t>
      </w:r>
      <w:r w:rsidR="00F608B7" w:rsidRPr="00812EBC">
        <w:t>s</w:t>
      </w:r>
      <w:r w:rsidR="00E56F6C" w:rsidRPr="00812EBC">
        <w:t xml:space="preserve"> </w:t>
      </w:r>
      <w:r w:rsidR="00C95FD7" w:rsidRPr="00812EBC">
        <w:t>predicted</w:t>
      </w:r>
      <w:r w:rsidR="00E56F6C" w:rsidRPr="00812EBC">
        <w:t xml:space="preserve"> well for ER values near </w:t>
      </w:r>
      <w:r w:rsidR="00C95FD7" w:rsidRPr="00812EBC">
        <w:t>0.30.</w:t>
      </w:r>
    </w:p>
    <w:p w14:paraId="1F5A7E31" w14:textId="04BA4AB8" w:rsidR="00F3040A" w:rsidRPr="00812EBC" w:rsidRDefault="0089755F" w:rsidP="009252D0">
      <w:r w:rsidRPr="00812EBC">
        <w:t>Overall</w:t>
      </w:r>
      <w:r w:rsidR="0049380F" w:rsidRPr="00812EBC">
        <w:t xml:space="preserve">, </w:t>
      </w:r>
      <w:r w:rsidR="00D13673" w:rsidRPr="00812EBC">
        <w:t>although</w:t>
      </w:r>
      <w:r w:rsidR="0049380F" w:rsidRPr="00812EBC">
        <w:t xml:space="preserve"> </w:t>
      </w:r>
      <w:r w:rsidR="00A32E8C" w:rsidRPr="00812EBC">
        <w:t xml:space="preserve">quantitative </w:t>
      </w:r>
      <w:r w:rsidR="0049380F" w:rsidRPr="00812EBC">
        <w:t>discrepancies are observed, the trends in gas composition</w:t>
      </w:r>
      <w:r w:rsidR="007202F9" w:rsidRPr="00812EBC">
        <w:t xml:space="preserve"> </w:t>
      </w:r>
      <w:r w:rsidR="0049380F" w:rsidRPr="00812EBC">
        <w:t xml:space="preserve">and LHV are in good agreement between the simulation and experimental results. These findings validate </w:t>
      </w:r>
      <w:proofErr w:type="spellStart"/>
      <w:r w:rsidR="0049380F" w:rsidRPr="00812EBC">
        <w:t>GasD</w:t>
      </w:r>
      <w:r w:rsidR="006513F0" w:rsidRPr="00812EBC">
        <w:t>S</w:t>
      </w:r>
      <w:proofErr w:type="spellEnd"/>
      <w:r w:rsidR="0049380F" w:rsidRPr="00812EBC">
        <w:t xml:space="preserve"> as a valuable tool for simulating the gasification of biomass, with any observed differences likely stemming from experimental uncertainties</w:t>
      </w:r>
      <w:r w:rsidR="00A32E8C" w:rsidRPr="00812EBC">
        <w:t xml:space="preserve"> or difficulties to effectively describe the initial feedstock through its </w:t>
      </w:r>
      <w:r w:rsidRPr="00812EBC">
        <w:t>l</w:t>
      </w:r>
      <w:r w:rsidR="00CB12B3" w:rsidRPr="00812EBC">
        <w:t>ignocellu</w:t>
      </w:r>
      <w:r w:rsidR="007202F9" w:rsidRPr="00812EBC">
        <w:t>losic</w:t>
      </w:r>
      <w:r w:rsidR="00A32E8C" w:rsidRPr="00812EBC">
        <w:t xml:space="preserve"> composition</w:t>
      </w:r>
      <w:r w:rsidR="0049380F" w:rsidRPr="00812EBC">
        <w:t>.</w:t>
      </w:r>
    </w:p>
    <w:p w14:paraId="550B58AB" w14:textId="4F6C6636" w:rsidR="00150E2E" w:rsidRPr="00812EBC" w:rsidRDefault="00F55F5D" w:rsidP="00150E2E">
      <w:pPr>
        <w:pStyle w:val="CETHeading1"/>
      </w:pPr>
      <w:r w:rsidRPr="00812EBC">
        <w:t>C</w:t>
      </w:r>
      <w:r w:rsidR="00150E2E" w:rsidRPr="00812EBC">
        <w:t>onclusions</w:t>
      </w:r>
    </w:p>
    <w:p w14:paraId="62AD9414" w14:textId="28AD5F79" w:rsidR="007B580A" w:rsidRPr="00812EBC" w:rsidRDefault="006D19B6" w:rsidP="0089755F">
      <w:pPr>
        <w:pStyle w:val="CETBodytext"/>
      </w:pPr>
      <w:r w:rsidRPr="00812EBC">
        <w:t>The</w:t>
      </w:r>
      <w:r w:rsidR="0035526A" w:rsidRPr="00812EBC">
        <w:t xml:space="preserve"> comparison between experimental </w:t>
      </w:r>
      <w:r w:rsidR="00D026BE" w:rsidRPr="00812EBC">
        <w:t xml:space="preserve">data from the gasification of biomass </w:t>
      </w:r>
      <w:r w:rsidR="007D0DD5" w:rsidRPr="00812EBC">
        <w:t xml:space="preserve">and </w:t>
      </w:r>
      <w:r w:rsidRPr="00812EBC">
        <w:t xml:space="preserve">the </w:t>
      </w:r>
      <w:r w:rsidR="007D0DD5" w:rsidRPr="00812EBC">
        <w:t xml:space="preserve">simulated </w:t>
      </w:r>
      <w:proofErr w:type="spellStart"/>
      <w:r w:rsidR="0035526A" w:rsidRPr="00812EBC">
        <w:t>GasDS</w:t>
      </w:r>
      <w:proofErr w:type="spellEnd"/>
      <w:r w:rsidR="0035526A" w:rsidRPr="00812EBC">
        <w:t xml:space="preserve"> </w:t>
      </w:r>
      <w:r w:rsidR="007D0DD5" w:rsidRPr="00812EBC">
        <w:t xml:space="preserve">results </w:t>
      </w:r>
      <w:r w:rsidR="0035526A" w:rsidRPr="00812EBC">
        <w:t xml:space="preserve">reveals that the model accurately predicts the key trends in the gasification of </w:t>
      </w:r>
      <w:r w:rsidR="00354206" w:rsidRPr="00812EBC">
        <w:t xml:space="preserve">pruning of apple trees </w:t>
      </w:r>
      <w:r w:rsidR="00DC1EE7" w:rsidRPr="00812EBC">
        <w:t xml:space="preserve">(PAT) </w:t>
      </w:r>
      <w:r w:rsidR="00354206" w:rsidRPr="00812EBC">
        <w:t xml:space="preserve">and </w:t>
      </w:r>
      <w:r w:rsidR="0035526A" w:rsidRPr="00812EBC">
        <w:t>wood pellet</w:t>
      </w:r>
      <w:r w:rsidR="00DC1EE7" w:rsidRPr="00812EBC">
        <w:t xml:space="preserve"> (WP)</w:t>
      </w:r>
      <w:r w:rsidR="0035526A" w:rsidRPr="00812EBC">
        <w:t xml:space="preserve"> feed. While </w:t>
      </w:r>
      <w:r w:rsidR="00A32E8C" w:rsidRPr="00812EBC">
        <w:t>quantitative</w:t>
      </w:r>
      <w:r w:rsidR="0035526A" w:rsidRPr="00812EBC">
        <w:t xml:space="preserve"> discrepancies were observed, the overall trends in gas composition (CO, CO</w:t>
      </w:r>
      <w:r w:rsidR="0035526A" w:rsidRPr="00812EBC">
        <w:rPr>
          <w:vertAlign w:val="subscript"/>
        </w:rPr>
        <w:t>2</w:t>
      </w:r>
      <w:r w:rsidR="0035526A" w:rsidRPr="00812EBC">
        <w:t xml:space="preserve">, </w:t>
      </w:r>
      <w:r w:rsidR="00DC1EE7" w:rsidRPr="00812EBC">
        <w:t>CH</w:t>
      </w:r>
      <w:r w:rsidR="00DC1EE7" w:rsidRPr="00812EBC">
        <w:rPr>
          <w:vertAlign w:val="subscript"/>
        </w:rPr>
        <w:t>4</w:t>
      </w:r>
      <w:r w:rsidR="0035526A" w:rsidRPr="00812EBC">
        <w:t>, H</w:t>
      </w:r>
      <w:r w:rsidR="0035526A" w:rsidRPr="00812EBC">
        <w:rPr>
          <w:vertAlign w:val="subscript"/>
        </w:rPr>
        <w:t>2</w:t>
      </w:r>
      <w:r w:rsidR="0035526A" w:rsidRPr="00812EBC">
        <w:t>)</w:t>
      </w:r>
      <w:r w:rsidR="001D39FF" w:rsidRPr="00812EBC">
        <w:t xml:space="preserve">, temperature </w:t>
      </w:r>
      <w:r w:rsidR="0035526A" w:rsidRPr="00812EBC">
        <w:t xml:space="preserve">and lower heating value (LHV) </w:t>
      </w:r>
      <w:r w:rsidR="00A32E8C" w:rsidRPr="00812EBC">
        <w:t>we</w:t>
      </w:r>
      <w:r w:rsidR="0035526A" w:rsidRPr="00812EBC">
        <w:t xml:space="preserve">re in good agreement between the two datasets. </w:t>
      </w:r>
      <w:proofErr w:type="spellStart"/>
      <w:r w:rsidR="0035526A" w:rsidRPr="00812EBC">
        <w:t>GasDS</w:t>
      </w:r>
      <w:proofErr w:type="spellEnd"/>
      <w:r w:rsidR="0035526A" w:rsidRPr="00812EBC">
        <w:t xml:space="preserve"> generally captures the increasing CO and H</w:t>
      </w:r>
      <w:r w:rsidR="0035526A" w:rsidRPr="00812EBC">
        <w:rPr>
          <w:vertAlign w:val="subscript"/>
        </w:rPr>
        <w:t>2</w:t>
      </w:r>
      <w:r w:rsidR="0035526A" w:rsidRPr="00812EBC">
        <w:t xml:space="preserve"> with decreasing equivalence ratio (ER) and the corresponding decrease in CO</w:t>
      </w:r>
      <w:r w:rsidR="0035526A" w:rsidRPr="00812EBC">
        <w:rPr>
          <w:vertAlign w:val="subscript"/>
        </w:rPr>
        <w:t>2</w:t>
      </w:r>
      <w:r w:rsidR="0035526A" w:rsidRPr="00812EBC">
        <w:t>, albeit with slight overestimations or underestimations in certain components</w:t>
      </w:r>
      <w:r w:rsidR="009B188A" w:rsidRPr="00812EBC">
        <w:t>.</w:t>
      </w:r>
      <w:r w:rsidR="00A32E8C" w:rsidRPr="00812EBC">
        <w:t xml:space="preserve"> </w:t>
      </w:r>
      <w:r w:rsidR="0089755F" w:rsidRPr="00812EBC">
        <w:t xml:space="preserve"> </w:t>
      </w:r>
      <w:r w:rsidR="007B580A" w:rsidRPr="00812EBC">
        <w:t xml:space="preserve">These findings demonstrate that </w:t>
      </w:r>
      <w:proofErr w:type="spellStart"/>
      <w:r w:rsidR="007B580A" w:rsidRPr="00812EBC">
        <w:t>GasDS</w:t>
      </w:r>
      <w:proofErr w:type="spellEnd"/>
      <w:r w:rsidR="007B580A" w:rsidRPr="00812EBC">
        <w:t xml:space="preserve"> is a reliable tool for simulating biomass gasification processes, with any observed differences likely stemming from experimental uncertainties or assumptions about feedstock composition. By uniquely incorporating lignocellulosic composition-based kinetics (hemicellulose, cellulose, lignin), </w:t>
      </w:r>
      <w:proofErr w:type="spellStart"/>
      <w:r w:rsidR="007B580A" w:rsidRPr="00812EBC">
        <w:t>GasDS</w:t>
      </w:r>
      <w:proofErr w:type="spellEnd"/>
      <w:r w:rsidR="007B580A" w:rsidRPr="00812EBC">
        <w:t xml:space="preserve"> provides a more detailed representation of biomass feedstock and deeper insights into reaction pathways. Further enhancements, such as refining reaction kinetics and expanding the range of feedstock types, could improve its precision and applicability, supporting the advancement of biomass conversion processes and sustainable energy technologies.</w:t>
      </w:r>
    </w:p>
    <w:p w14:paraId="5561EC26" w14:textId="77777777" w:rsidR="0089755F" w:rsidRPr="00812EBC" w:rsidRDefault="0089755F" w:rsidP="007B580A">
      <w:pPr>
        <w:pStyle w:val="CETBodytext"/>
        <w:rPr>
          <w:b/>
          <w:bCs/>
        </w:rPr>
      </w:pPr>
    </w:p>
    <w:p w14:paraId="49B9C03C" w14:textId="7C72A647" w:rsidR="005A7164" w:rsidRPr="00812EBC" w:rsidRDefault="005A7164" w:rsidP="007B580A">
      <w:pPr>
        <w:pStyle w:val="CETBodytext"/>
        <w:rPr>
          <w:b/>
          <w:bCs/>
        </w:rPr>
      </w:pPr>
      <w:r w:rsidRPr="00812EBC">
        <w:rPr>
          <w:b/>
          <w:bCs/>
        </w:rPr>
        <w:t>Nomenclature</w:t>
      </w:r>
    </w:p>
    <w:tbl>
      <w:tblPr>
        <w:tblStyle w:val="Grigliatabella"/>
        <w:tblW w:w="9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3398"/>
        <w:gridCol w:w="2926"/>
      </w:tblGrid>
      <w:tr w:rsidR="0089755F" w:rsidRPr="00812EBC" w14:paraId="62212634" w14:textId="77777777" w:rsidTr="0089755F">
        <w:tc>
          <w:tcPr>
            <w:tcW w:w="3161" w:type="dxa"/>
          </w:tcPr>
          <w:p w14:paraId="4E6D57CD" w14:textId="4D012B87" w:rsidR="0089755F" w:rsidRPr="00812EBC" w:rsidRDefault="0089755F" w:rsidP="007B580A">
            <w:pPr>
              <w:pStyle w:val="CETBodytext"/>
              <w:rPr>
                <w:b/>
                <w:bCs/>
              </w:rPr>
            </w:pPr>
            <w:r w:rsidRPr="00812EBC">
              <w:t>PAT - Prunings of Apple Trees</w:t>
            </w:r>
          </w:p>
        </w:tc>
        <w:tc>
          <w:tcPr>
            <w:tcW w:w="3398" w:type="dxa"/>
          </w:tcPr>
          <w:p w14:paraId="53CE3062" w14:textId="57C40F33" w:rsidR="0089755F" w:rsidRPr="00812EBC" w:rsidRDefault="0089755F" w:rsidP="007B580A">
            <w:pPr>
              <w:pStyle w:val="CETBodytext"/>
              <w:rPr>
                <w:b/>
                <w:bCs/>
              </w:rPr>
            </w:pPr>
            <w:r w:rsidRPr="00812EBC">
              <w:t>WP - Wood Pellets</w:t>
            </w:r>
          </w:p>
        </w:tc>
        <w:tc>
          <w:tcPr>
            <w:tcW w:w="2926" w:type="dxa"/>
          </w:tcPr>
          <w:p w14:paraId="2823026F" w14:textId="08C933D7" w:rsidR="0089755F" w:rsidRPr="00812EBC" w:rsidRDefault="0089755F" w:rsidP="007B580A">
            <w:pPr>
              <w:pStyle w:val="CETBodytext"/>
              <w:rPr>
                <w:b/>
                <w:bCs/>
              </w:rPr>
            </w:pPr>
            <w:r w:rsidRPr="00812EBC">
              <w:t xml:space="preserve">LIG </w:t>
            </w:r>
            <w:r w:rsidR="00FD314F" w:rsidRPr="00812EBC">
              <w:t>–</w:t>
            </w:r>
            <w:r w:rsidRPr="00812EBC">
              <w:t xml:space="preserve"> Lignin</w:t>
            </w:r>
          </w:p>
        </w:tc>
      </w:tr>
      <w:tr w:rsidR="0089755F" w:rsidRPr="00812EBC" w14:paraId="60A93B64" w14:textId="77777777" w:rsidTr="0089755F">
        <w:tc>
          <w:tcPr>
            <w:tcW w:w="3161" w:type="dxa"/>
          </w:tcPr>
          <w:p w14:paraId="2CC3767A" w14:textId="28C11586" w:rsidR="0089755F" w:rsidRPr="00812EBC" w:rsidRDefault="0089755F" w:rsidP="007B580A">
            <w:pPr>
              <w:pStyle w:val="CETBodytext"/>
              <w:rPr>
                <w:b/>
                <w:bCs/>
              </w:rPr>
            </w:pPr>
            <w:r w:rsidRPr="00812EBC">
              <w:t>ER - Equivalence Ratio</w:t>
            </w:r>
          </w:p>
        </w:tc>
        <w:tc>
          <w:tcPr>
            <w:tcW w:w="3398" w:type="dxa"/>
          </w:tcPr>
          <w:p w14:paraId="61A4FB23" w14:textId="52BCC146" w:rsidR="0089755F" w:rsidRPr="00812EBC" w:rsidRDefault="0089755F" w:rsidP="007B580A">
            <w:pPr>
              <w:pStyle w:val="CETBodytext"/>
              <w:rPr>
                <w:b/>
                <w:bCs/>
              </w:rPr>
            </w:pPr>
            <w:r w:rsidRPr="00812EBC">
              <w:t>EU - European Union</w:t>
            </w:r>
          </w:p>
        </w:tc>
        <w:tc>
          <w:tcPr>
            <w:tcW w:w="2926" w:type="dxa"/>
          </w:tcPr>
          <w:p w14:paraId="11435F3C" w14:textId="234FABCB" w:rsidR="0089755F" w:rsidRPr="00812EBC" w:rsidRDefault="0089755F" w:rsidP="007B580A">
            <w:pPr>
              <w:pStyle w:val="CETBodytext"/>
              <w:rPr>
                <w:b/>
                <w:bCs/>
              </w:rPr>
            </w:pPr>
            <w:r w:rsidRPr="00812EBC">
              <w:t xml:space="preserve">CELL </w:t>
            </w:r>
            <w:r w:rsidR="00FD314F" w:rsidRPr="00812EBC">
              <w:t>–</w:t>
            </w:r>
            <w:r w:rsidRPr="00812EBC">
              <w:t xml:space="preserve"> Cellulose</w:t>
            </w:r>
          </w:p>
        </w:tc>
      </w:tr>
      <w:tr w:rsidR="0089755F" w:rsidRPr="00812EBC" w14:paraId="4FF011FA" w14:textId="77777777" w:rsidTr="0089755F">
        <w:tc>
          <w:tcPr>
            <w:tcW w:w="3161" w:type="dxa"/>
          </w:tcPr>
          <w:p w14:paraId="575846D1" w14:textId="32EE9FCB" w:rsidR="0089755F" w:rsidRPr="00812EBC" w:rsidRDefault="00005F9D" w:rsidP="007B580A">
            <w:pPr>
              <w:pStyle w:val="CETBodytext"/>
              <w:rPr>
                <w:b/>
                <w:bCs/>
              </w:rPr>
            </w:pPr>
            <w:r w:rsidRPr="00812EBC">
              <w:t>LHV - Lower heating Values</w:t>
            </w:r>
          </w:p>
        </w:tc>
        <w:tc>
          <w:tcPr>
            <w:tcW w:w="3398" w:type="dxa"/>
          </w:tcPr>
          <w:p w14:paraId="70A19172" w14:textId="17E0727A" w:rsidR="0089755F" w:rsidRPr="00812EBC" w:rsidRDefault="00005F9D" w:rsidP="007B580A">
            <w:pPr>
              <w:pStyle w:val="CETBodytext"/>
              <w:rPr>
                <w:b/>
                <w:bCs/>
              </w:rPr>
            </w:pPr>
            <w:r w:rsidRPr="00812EBC">
              <w:t>HECELL – Hemicellulose</w:t>
            </w:r>
          </w:p>
        </w:tc>
        <w:tc>
          <w:tcPr>
            <w:tcW w:w="2926" w:type="dxa"/>
          </w:tcPr>
          <w:p w14:paraId="0155B43C" w14:textId="6B95EE6D" w:rsidR="0089755F" w:rsidRPr="00812EBC" w:rsidRDefault="0089755F" w:rsidP="007B580A">
            <w:pPr>
              <w:pStyle w:val="CETBodytext"/>
              <w:rPr>
                <w:b/>
                <w:bCs/>
              </w:rPr>
            </w:pPr>
            <w:r w:rsidRPr="00812EBC">
              <w:t>LIGH - Lignin (Hydrolyzed)</w:t>
            </w:r>
          </w:p>
        </w:tc>
      </w:tr>
    </w:tbl>
    <w:p w14:paraId="7C9700DF" w14:textId="77777777" w:rsidR="00C860F7" w:rsidRPr="00812EBC" w:rsidRDefault="00150E2E" w:rsidP="00C860F7">
      <w:pPr>
        <w:pStyle w:val="CETHeading1"/>
      </w:pPr>
      <w:r w:rsidRPr="00812EBC">
        <w:t>Acknowledgments</w:t>
      </w:r>
    </w:p>
    <w:p w14:paraId="71AE9071" w14:textId="2E8DB751" w:rsidR="006236BB" w:rsidRPr="00812EBC" w:rsidRDefault="0009576C" w:rsidP="005F618A">
      <w:pPr>
        <w:pStyle w:val="CETBodytext"/>
      </w:pPr>
      <w:r w:rsidRPr="00812EBC">
        <w:t xml:space="preserve">EA acknowledges the project “Network 4 Energy Sustainable Transition—NEST” funded under the National Recovery and Resilience Plan (NRRP), Mission 4 Component 2 Investment 1.3—Call for Tender No. 1561 of 11.10.2022 of </w:t>
      </w:r>
      <w:proofErr w:type="spellStart"/>
      <w:r w:rsidRPr="00812EBC">
        <w:t>Ministero</w:t>
      </w:r>
      <w:proofErr w:type="spellEnd"/>
      <w:r w:rsidRPr="00812EBC">
        <w:t xml:space="preserve"> </w:t>
      </w:r>
      <w:proofErr w:type="spellStart"/>
      <w:r w:rsidRPr="00812EBC">
        <w:t>dell’Università</w:t>
      </w:r>
      <w:proofErr w:type="spellEnd"/>
      <w:r w:rsidRPr="00812EBC">
        <w:t xml:space="preserve"> e </w:t>
      </w:r>
      <w:proofErr w:type="spellStart"/>
      <w:r w:rsidRPr="00812EBC">
        <w:t>della</w:t>
      </w:r>
      <w:proofErr w:type="spellEnd"/>
      <w:r w:rsidRPr="00812EBC">
        <w:t xml:space="preserve"> </w:t>
      </w:r>
      <w:proofErr w:type="spellStart"/>
      <w:r w:rsidRPr="00812EBC">
        <w:t>Ricerca</w:t>
      </w:r>
      <w:proofErr w:type="spellEnd"/>
      <w:r w:rsidRPr="00812EBC">
        <w:t xml:space="preserve"> (MUR) and the PRIN 2022 funded by the European Union—</w:t>
      </w:r>
      <w:proofErr w:type="spellStart"/>
      <w:r w:rsidRPr="00812EBC">
        <w:t>NextGenerationEU</w:t>
      </w:r>
      <w:proofErr w:type="spellEnd"/>
      <w:r w:rsidRPr="00812EBC">
        <w:t>.</w:t>
      </w:r>
    </w:p>
    <w:p w14:paraId="5BA4BEC4" w14:textId="2C6BC14A" w:rsidR="00191D05" w:rsidRPr="00812EBC" w:rsidRDefault="00150E2E" w:rsidP="008A2F50">
      <w:pPr>
        <w:pStyle w:val="CETHeading1"/>
      </w:pPr>
      <w:r w:rsidRPr="00812EBC">
        <w:t>References</w:t>
      </w:r>
    </w:p>
    <w:p w14:paraId="5C71C7F9" w14:textId="77777777" w:rsidR="00696AD4" w:rsidRPr="00812EBC" w:rsidRDefault="008A2F50" w:rsidP="00752D55">
      <w:pPr>
        <w:pStyle w:val="Bibliografia"/>
        <w:ind w:left="360" w:hanging="360"/>
      </w:pPr>
      <w:r w:rsidRPr="00812EBC">
        <w:fldChar w:fldCharType="begin"/>
      </w:r>
      <w:r w:rsidR="009F2993" w:rsidRPr="00812EBC">
        <w:instrText xml:space="preserve"> ADDIN ZOTERO_BIBL {"uncited":[],"omitted":[],"custom":[]} CSL_BIBLIOGRAPHY </w:instrText>
      </w:r>
      <w:r w:rsidRPr="00812EBC">
        <w:fldChar w:fldCharType="separate"/>
      </w:r>
      <w:r w:rsidR="00696AD4" w:rsidRPr="00812EBC">
        <w:t>Ajorloo, M., Ghodrat, M., Scott, J., Strezov, V., 2022. Recent advances in thermodynamic analysis of biomass gasification: A review on numerical modelling and simulation. Journal of the Energy Institute 102, 395–419. https://doi.org/10.1016/j.joei.2022.05.003</w:t>
      </w:r>
    </w:p>
    <w:p w14:paraId="1411706E" w14:textId="77777777" w:rsidR="00696AD4" w:rsidRPr="00812EBC" w:rsidRDefault="00696AD4" w:rsidP="00752D55">
      <w:pPr>
        <w:pStyle w:val="Bibliografia"/>
        <w:ind w:left="360" w:hanging="360"/>
      </w:pPr>
      <w:r w:rsidRPr="00812EBC">
        <w:rPr>
          <w:lang w:val="it-IT"/>
        </w:rPr>
        <w:t xml:space="preserve">Bove, D., Moliner, C., Curti, M., Baratieri, M., Bosio, B., Rovero, G., Arato, E., 2019. </w:t>
      </w:r>
      <w:r w:rsidRPr="00812EBC">
        <w:t>Preliminary tests for the thermo</w:t>
      </w:r>
      <w:r w:rsidRPr="00812EBC">
        <w:rPr>
          <w:rFonts w:ascii="Cambria Math" w:hAnsi="Cambria Math" w:cs="Cambria Math"/>
        </w:rPr>
        <w:t>‐</w:t>
      </w:r>
      <w:r w:rsidRPr="00812EBC">
        <w:t>chemical conversion of biomass in a spouted bed pilot plant. Can J Chem Eng 97, 59–66. https://doi.org/10.1002/cjce.23223</w:t>
      </w:r>
    </w:p>
    <w:p w14:paraId="7C12DEAF" w14:textId="77777777" w:rsidR="00696AD4" w:rsidRPr="00812EBC" w:rsidRDefault="00696AD4" w:rsidP="00752D55">
      <w:pPr>
        <w:pStyle w:val="Bibliografia"/>
        <w:ind w:left="360" w:hanging="360"/>
      </w:pPr>
      <w:r w:rsidRPr="00812EBC">
        <w:t>Carozzo, V., Arato, E., Moliner, C., 2024. Review of Experimental Activities and Recent Developments of Spouted Bed Reactors at Different Operational Scales. Energies 17, 1046. https://doi.org/10.3390/en17051046</w:t>
      </w:r>
    </w:p>
    <w:p w14:paraId="7AF5DEA6" w14:textId="77777777" w:rsidR="00696AD4" w:rsidRPr="00812EBC" w:rsidRDefault="00696AD4" w:rsidP="00752D55">
      <w:pPr>
        <w:pStyle w:val="Bibliografia"/>
        <w:ind w:left="360" w:hanging="360"/>
        <w:rPr>
          <w:lang w:val="it-IT"/>
        </w:rPr>
      </w:pPr>
      <w:r w:rsidRPr="00812EBC">
        <w:t xml:space="preserve">Cerone, N., Zimbardi, F., 2021. Effects of Oxygen and Steam Equivalence Ratios on Updraft Gasification of Biomass. </w:t>
      </w:r>
      <w:r w:rsidRPr="00812EBC">
        <w:rPr>
          <w:lang w:val="it-IT"/>
        </w:rPr>
        <w:t>Energies 14, 2675. https://doi.org/10.3390/en14092675</w:t>
      </w:r>
    </w:p>
    <w:p w14:paraId="456B88E8" w14:textId="77777777" w:rsidR="00696AD4" w:rsidRPr="00812EBC" w:rsidRDefault="00696AD4" w:rsidP="00752D55">
      <w:pPr>
        <w:pStyle w:val="Bibliografia"/>
        <w:ind w:left="360" w:hanging="360"/>
      </w:pPr>
      <w:r w:rsidRPr="00812EBC">
        <w:rPr>
          <w:lang w:val="it-IT"/>
        </w:rPr>
        <w:t xml:space="preserve">Corbetta, M., Bassani, A., Manenti, F., Pirola, C., Maggio, E., Pettinau, A., Deiana, P., Pierucci, S., Ranzi, E., 2015. </w:t>
      </w:r>
      <w:r w:rsidRPr="00812EBC">
        <w:t>Multi-scale Kinetic Modeling and Experimental Investigation of Syngas Production from Coal Gasification in Updraft Gasifiers. Energy Fuels 29, 3972–3984. https://doi.org/10.1021/acs.energyfuels.5b00648</w:t>
      </w:r>
    </w:p>
    <w:p w14:paraId="496FF6D6" w14:textId="202146CF" w:rsidR="00696AD4" w:rsidRPr="00812EBC" w:rsidRDefault="00696AD4" w:rsidP="00752D55">
      <w:pPr>
        <w:pStyle w:val="Bibliografia"/>
        <w:ind w:left="360" w:hanging="360"/>
      </w:pPr>
      <w:r w:rsidRPr="00812EBC">
        <w:t>Economic instruments and separate collection systems — key strategies to increase recycling [WWW Document], 2023. European Environment Agency. URL https://www.eea.europa.eu/publications/economic-instruments-and-separate-collection/economic-instruments-and-separate-collection (accessed 12.9.24).</w:t>
      </w:r>
    </w:p>
    <w:p w14:paraId="675D3F50" w14:textId="77777777" w:rsidR="00696AD4" w:rsidRPr="00812EBC" w:rsidRDefault="00696AD4" w:rsidP="00752D55">
      <w:pPr>
        <w:pStyle w:val="Bibliografia"/>
        <w:ind w:left="360" w:hanging="360"/>
      </w:pPr>
      <w:r w:rsidRPr="00812EBC">
        <w:lastRenderedPageBreak/>
        <w:t>Fan, F., Wang, S., Yang, S., Hu, J., Wang, H., 2020. Numerical investigation of gas thermal property in the gasification process of a spouted bed gasifier. Applied Thermal Engineering 181, 115917. https://doi.org/10.1016/j.applthermaleng.2020.115917</w:t>
      </w:r>
    </w:p>
    <w:p w14:paraId="7F52DC84" w14:textId="77777777" w:rsidR="00696AD4" w:rsidRPr="00812EBC" w:rsidRDefault="00696AD4" w:rsidP="00752D55">
      <w:pPr>
        <w:pStyle w:val="Bibliografia"/>
        <w:ind w:left="360" w:hanging="360"/>
      </w:pPr>
      <w:r w:rsidRPr="00812EBC">
        <w:t>Gai, C., Dong, Y., 2012. Experimental study on non-woody biomass gasification in a downdraft gasifier. International Journal of Hydrogen Energy 37, 4935–4944. https://doi.org/10.1016/j.ijhydene.2011.12.031</w:t>
      </w:r>
    </w:p>
    <w:p w14:paraId="28E2A8D8" w14:textId="77777777" w:rsidR="00696AD4" w:rsidRPr="00812EBC" w:rsidRDefault="00696AD4" w:rsidP="00752D55">
      <w:pPr>
        <w:pStyle w:val="Bibliografia"/>
        <w:ind w:left="360" w:hanging="360"/>
      </w:pPr>
      <w:r w:rsidRPr="00812EBC">
        <w:t>Gallo Francesco, Manenti Flavio, 2023. Kinetic Modeling of Sewage Sludge Combustion and Gasification for Energy Generation. Chemical Engineering Transactions 105, 283–288. https://doi.org/10.3303/CET23105048</w:t>
      </w:r>
    </w:p>
    <w:p w14:paraId="1A7427BC" w14:textId="77777777" w:rsidR="00696AD4" w:rsidRPr="00812EBC" w:rsidRDefault="00696AD4" w:rsidP="00752D55">
      <w:pPr>
        <w:pStyle w:val="Bibliografia"/>
        <w:ind w:left="360" w:hanging="360"/>
      </w:pPr>
      <w:r w:rsidRPr="00812EBC">
        <w:t>Hanchate, N., Ramani, S., Mathpati, C.S., Dalvi, V.H., 2021. Biomass gasification using dual fluidized bed gasification systems: A review. Journal of Cleaner Production 280, 123148. https://doi.org/10.1016/j.jclepro.2020.123148</w:t>
      </w:r>
    </w:p>
    <w:p w14:paraId="752512C9" w14:textId="77777777" w:rsidR="00696AD4" w:rsidRPr="00812EBC" w:rsidRDefault="00696AD4" w:rsidP="00752D55">
      <w:pPr>
        <w:pStyle w:val="Bibliografia"/>
        <w:ind w:left="360" w:hanging="360"/>
        <w:rPr>
          <w:lang w:val="it-IT"/>
        </w:rPr>
      </w:pPr>
      <w:r w:rsidRPr="00812EBC">
        <w:t xml:space="preserve">He, P., Chen, L., Shao, L., Zhang, H., Lü, F., 2019. Municipal solid waste (MSW) landfill: A source of microplastics? -Evidence of microplastics in landfill leachate. </w:t>
      </w:r>
      <w:r w:rsidRPr="00812EBC">
        <w:rPr>
          <w:lang w:val="it-IT"/>
        </w:rPr>
        <w:t>Water Research 159, 38–45. https://doi.org/10.1016/j.watres.2019.04.060</w:t>
      </w:r>
    </w:p>
    <w:p w14:paraId="2A4EB1C4" w14:textId="77777777" w:rsidR="00696AD4" w:rsidRPr="00812EBC" w:rsidRDefault="00696AD4" w:rsidP="00752D55">
      <w:pPr>
        <w:pStyle w:val="Bibliografia"/>
        <w:ind w:left="360" w:hanging="360"/>
      </w:pPr>
      <w:r w:rsidRPr="00812EBC">
        <w:rPr>
          <w:lang w:val="it-IT"/>
        </w:rPr>
        <w:t xml:space="preserve">Lorenzo Cabianca, Andrea Bassani, Andre Furtado Amaral, Francesco Rossi, Giulia Bozzano, Eliseo Ranzi, Dries Telen, Filip Logist, Jan Van Impe, Flavio Manenti, 2016. </w:t>
      </w:r>
      <w:r w:rsidRPr="00812EBC">
        <w:t>Gasds: a kinetic-based package for biomass and coal gasification. Chemical Engineering Transactions 50, 247–252. https://doi.org/10.3303/CET1650042</w:t>
      </w:r>
    </w:p>
    <w:p w14:paraId="280672B6" w14:textId="77777777" w:rsidR="00696AD4" w:rsidRPr="00812EBC" w:rsidRDefault="00696AD4" w:rsidP="00752D55">
      <w:pPr>
        <w:pStyle w:val="Bibliografia"/>
        <w:ind w:left="360" w:hanging="360"/>
      </w:pPr>
      <w:r w:rsidRPr="00812EBC">
        <w:t>Marchelli, F., Moliner, C., Baratieri, M., Bosio, B., Arato, E., 2019. From equilibrium to kinetic modelling: The gasification of apple pruning residues in a spouted bed reactor. Presented at the European Biomass Conference and Exhibition Proceedings, pp. 813–820.</w:t>
      </w:r>
    </w:p>
    <w:p w14:paraId="1A6B8709" w14:textId="77777777" w:rsidR="00696AD4" w:rsidRPr="00812EBC" w:rsidRDefault="00696AD4" w:rsidP="00752D55">
      <w:pPr>
        <w:pStyle w:val="Bibliografia"/>
        <w:ind w:left="360" w:hanging="360"/>
      </w:pPr>
      <w:r w:rsidRPr="00812EBC">
        <w:t>Moliner, C., Bove, D., Bosio, B., Ribes, A., Arato, E., 2016. Simulation activities for the pseudo-equilibrium modelling of the gasification of agricultural residues. Presented at the European Biomass Conference and Exhibition Proceedings, pp. 934–940.</w:t>
      </w:r>
    </w:p>
    <w:p w14:paraId="2A2832B9" w14:textId="77777777" w:rsidR="00696AD4" w:rsidRPr="00812EBC" w:rsidRDefault="00696AD4" w:rsidP="00752D55">
      <w:pPr>
        <w:pStyle w:val="Bibliografia"/>
        <w:ind w:left="360" w:hanging="360"/>
      </w:pPr>
      <w:r w:rsidRPr="00812EBC">
        <w:rPr>
          <w:lang w:val="it-IT"/>
        </w:rPr>
        <w:t xml:space="preserve">Moliner, C., Carozzo, V., Arato, E., 2024. </w:t>
      </w:r>
      <w:r w:rsidRPr="00812EBC">
        <w:t>MODELLING OF BIOMASS GASIFICATION: COMPARISON BETWEEN FREE-LICENSED DWSIM AND A COMMERCIAL SOFTWARE. Presented at the European Biomass Conference and Exhibition Proceedings, pp. 543–548.</w:t>
      </w:r>
    </w:p>
    <w:p w14:paraId="632E9D80" w14:textId="77777777" w:rsidR="00696AD4" w:rsidRPr="00812EBC" w:rsidRDefault="00696AD4" w:rsidP="00752D55">
      <w:pPr>
        <w:pStyle w:val="Bibliografia"/>
        <w:ind w:left="360" w:hanging="360"/>
      </w:pPr>
      <w:r w:rsidRPr="00812EBC">
        <w:rPr>
          <w:lang w:val="it-IT"/>
        </w:rPr>
        <w:t xml:space="preserve">Moliner, C., Marchelli, F., Bosio, B., Arato, E., 2018. </w:t>
      </w:r>
      <w:r w:rsidRPr="00812EBC">
        <w:t>Simulation of the gasification of agricultural residues using coco simulator. Presented at the European Biomass Conference and Exhibition Proceedings, pp. 764–768.</w:t>
      </w:r>
    </w:p>
    <w:p w14:paraId="0E5D1D7B" w14:textId="77777777" w:rsidR="00696AD4" w:rsidRPr="00812EBC" w:rsidRDefault="00696AD4" w:rsidP="00752D55">
      <w:pPr>
        <w:pStyle w:val="Bibliografia"/>
        <w:ind w:left="360" w:hanging="360"/>
      </w:pPr>
      <w:r w:rsidRPr="00812EBC">
        <w:rPr>
          <w:lang w:val="it-IT"/>
        </w:rPr>
        <w:t xml:space="preserve">Moliner, C., Marchelli, F., Bosio, B., Arato, E., 2017. </w:t>
      </w:r>
      <w:r w:rsidRPr="00812EBC">
        <w:t>Modelling of Spouted and Spout-Fluid Beds: Key for Their Successful Scale Up. Energies 10, 1729. https://doi.org/10.3390/en10111729</w:t>
      </w:r>
    </w:p>
    <w:p w14:paraId="2540B354" w14:textId="77777777" w:rsidR="00696AD4" w:rsidRPr="00812EBC" w:rsidRDefault="00696AD4" w:rsidP="00752D55">
      <w:pPr>
        <w:pStyle w:val="Bibliografia"/>
        <w:ind w:left="360" w:hanging="360"/>
        <w:rPr>
          <w:lang w:val="it-IT"/>
        </w:rPr>
      </w:pPr>
      <w:r w:rsidRPr="00812EBC">
        <w:t xml:space="preserve">Mutlu, Ö.Ç., Zeng, T., 2020. Challenges and Opportunities of Modeling Biomass Gasification in Aspen Plus: A Review. </w:t>
      </w:r>
      <w:r w:rsidRPr="00812EBC">
        <w:rPr>
          <w:lang w:val="it-IT"/>
        </w:rPr>
        <w:t>Chem Eng &amp; Technol 43, 1674–1689. https://doi.org/10.1002/ceat.202000068</w:t>
      </w:r>
    </w:p>
    <w:p w14:paraId="3E2C6778" w14:textId="77777777" w:rsidR="00696AD4" w:rsidRPr="00812EBC" w:rsidRDefault="00696AD4" w:rsidP="00752D55">
      <w:pPr>
        <w:pStyle w:val="Bibliografia"/>
        <w:ind w:left="360" w:hanging="360"/>
      </w:pPr>
      <w:r w:rsidRPr="00812EBC">
        <w:rPr>
          <w:lang w:val="it-IT"/>
        </w:rPr>
        <w:t xml:space="preserve">Negri Francesco, Nova Anna, Basso Daniele, Manenti Flavio, 2022. </w:t>
      </w:r>
      <w:r w:rsidRPr="00812EBC">
        <w:t>Techno-Economic Analysis of Dimethyl Ether Biofuel Production Plant Based on Sewage Sludge Gasification. Chemical Engineering Transactions 94, 1087–1092. https://doi.org/10.3303/CET2294181</w:t>
      </w:r>
    </w:p>
    <w:p w14:paraId="488A4B26" w14:textId="77777777" w:rsidR="00696AD4" w:rsidRPr="00812EBC" w:rsidRDefault="00696AD4" w:rsidP="00752D55">
      <w:pPr>
        <w:pStyle w:val="Bibliografia"/>
        <w:ind w:left="360" w:hanging="360"/>
      </w:pPr>
      <w:r w:rsidRPr="00812EBC">
        <w:t>Puig-Gamero, M., Pio, D.T., Tarelho, L.A.C., Sánchez, P., Sanchez-Silva, L., 2021. Simulation of biomass gasification in bubbling fluidized bed reactor using aspen plus®. Energy Conversion and Management 235, 113981. https://doi.org/10.1016/j.enconman.2021.113981</w:t>
      </w:r>
    </w:p>
    <w:p w14:paraId="7C71C180" w14:textId="77777777" w:rsidR="00696AD4" w:rsidRPr="00812EBC" w:rsidRDefault="00696AD4" w:rsidP="00752D55">
      <w:pPr>
        <w:pStyle w:val="Bibliografia"/>
        <w:ind w:left="360" w:hanging="360"/>
      </w:pPr>
      <w:r w:rsidRPr="00812EBC">
        <w:t>Ranzi, E., Corbetta, M., Manenti, F., Pierucci, S., 2014. Kinetic modeling of the thermal degradation and combustion of biomass. Chemical Engineering Science 110, 2–12. https://doi.org/10.1016/j.ces.2013.08.014</w:t>
      </w:r>
    </w:p>
    <w:p w14:paraId="33193D64" w14:textId="77777777" w:rsidR="00696AD4" w:rsidRPr="00812EBC" w:rsidRDefault="00696AD4" w:rsidP="00752D55">
      <w:pPr>
        <w:pStyle w:val="Bibliografia"/>
        <w:ind w:left="360" w:hanging="360"/>
      </w:pPr>
      <w:r w:rsidRPr="00812EBC">
        <w:t>Ranzi, E., Debiagi, P.E.A., Frassoldati, A., 2017. Mathematical Modeling of Fast Biomass Pyrolysis and Bio-Oil Formation. Note I: Kinetic Mechanism of Biomass Pyrolysis. ACS Sustainable Chem. Eng. 5, 2867–2881. https://doi.org/10.1021/acssuschemeng.6b03096</w:t>
      </w:r>
    </w:p>
    <w:p w14:paraId="6A5502C3" w14:textId="77777777" w:rsidR="00696AD4" w:rsidRPr="00812EBC" w:rsidRDefault="00696AD4" w:rsidP="00752D55">
      <w:pPr>
        <w:pStyle w:val="Bibliografia"/>
        <w:ind w:left="360" w:hanging="360"/>
      </w:pPr>
      <w:r w:rsidRPr="00812EBC">
        <w:t>Santos, S.M., Assis, A.C., Gomes, L., Nobre, C., Brito, P., 2022. Waste Gasification Technologies: A Brief Overview. Waste 1, 140–165. https://doi.org/10.3390/waste1010011</w:t>
      </w:r>
    </w:p>
    <w:p w14:paraId="5A57E016" w14:textId="77777777" w:rsidR="00696AD4" w:rsidRPr="00812EBC" w:rsidRDefault="00696AD4" w:rsidP="00752D55">
      <w:pPr>
        <w:pStyle w:val="Bibliografia"/>
        <w:ind w:left="360" w:hanging="360"/>
      </w:pPr>
      <w:r w:rsidRPr="00812EBC">
        <w:t>Sidek, F.N., Abdul Samad, N.A.F., Saleh, S., 2020. Review on effects of gasifying agents, temperature and equivalence ratio in biomass gasification process. IOP Conf. Ser.: Mater. Sci. Eng. 863, 012028. https://doi.org/10.1088/1757-899X/863/1/012028</w:t>
      </w:r>
    </w:p>
    <w:p w14:paraId="783C7F62" w14:textId="77777777" w:rsidR="00696AD4" w:rsidRPr="00812EBC" w:rsidRDefault="00696AD4" w:rsidP="00752D55">
      <w:pPr>
        <w:pStyle w:val="Bibliografia"/>
        <w:ind w:left="360" w:hanging="360"/>
      </w:pPr>
      <w:r w:rsidRPr="00812EBC">
        <w:t>Suryawan, I.W.K., Lee, C.-H., 2024. Achieving zero waste for landfills by employing adaptive municipal solid waste management services. Ecological Indicators 165, 112191. https://doi.org/10.1016/j.ecolind.2024.112191</w:t>
      </w:r>
    </w:p>
    <w:p w14:paraId="43EFD92C" w14:textId="77777777" w:rsidR="00696AD4" w:rsidRPr="00812EBC" w:rsidRDefault="00696AD4" w:rsidP="00752D55">
      <w:pPr>
        <w:pStyle w:val="Bibliografia"/>
        <w:ind w:left="360" w:hanging="360"/>
      </w:pPr>
      <w:r w:rsidRPr="00812EBC">
        <w:t>Tezer, Ö., Karabağ, N., Öngen, A., Çolpan, C.Ö., Ayol, A., 2022. Biomass gasification for sustainable energy production: A review. International Journal of Hydrogen Energy 47, 15419–15433. https://doi.org/10.1016/j.ijhydene.2022.02.158</w:t>
      </w:r>
    </w:p>
    <w:p w14:paraId="636B4F83" w14:textId="77777777" w:rsidR="00696AD4" w:rsidRPr="00812EBC" w:rsidRDefault="00696AD4" w:rsidP="00752D55">
      <w:pPr>
        <w:pStyle w:val="Bibliografia"/>
        <w:ind w:left="360" w:hanging="360"/>
      </w:pPr>
      <w:r w:rsidRPr="00812EBC">
        <w:t>Ullah, K., Asaad, S.M., Inayat, A., 2024. Process Modelling and Optimization of Hydrogen Production from Biogas by Integrating DWSIM with Response Surface Methodology. Digital Chemical Engineering 100205. https://doi.org/10.1016/j.dche.2024.100205</w:t>
      </w:r>
    </w:p>
    <w:p w14:paraId="26D64F53" w14:textId="77777777" w:rsidR="00696AD4" w:rsidRPr="00812EBC" w:rsidRDefault="00696AD4" w:rsidP="00752D55">
      <w:pPr>
        <w:pStyle w:val="Bibliografia"/>
        <w:ind w:left="360" w:hanging="360"/>
      </w:pPr>
      <w:r w:rsidRPr="00812EBC">
        <w:t>Zhu, B., Jiang, X., Li, S., Zhu, M., 2024. An Overview of Recycling Phenolic Resin. Polymers 16, 1255. https://doi.org/10.3390/polym16091255</w:t>
      </w:r>
    </w:p>
    <w:p w14:paraId="6AF1A224" w14:textId="01299CC4" w:rsidR="008A2F50" w:rsidRPr="008A2F50" w:rsidRDefault="008A2F50" w:rsidP="00752D55">
      <w:pPr>
        <w:pStyle w:val="Bibliografia"/>
        <w:ind w:left="360" w:hanging="360"/>
      </w:pPr>
      <w:r w:rsidRPr="00812EBC">
        <w:fldChar w:fldCharType="end"/>
      </w:r>
    </w:p>
    <w:sectPr w:rsidR="008A2F50" w:rsidRPr="008A2F50" w:rsidSect="00B952AC">
      <w:type w:val="continuous"/>
      <w:pgSz w:w="11906" w:h="16838" w:code="9"/>
      <w:pgMar w:top="1699" w:right="1411" w:bottom="1699" w:left="1699" w:header="169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F07F7" w14:textId="77777777" w:rsidR="002C31B1" w:rsidRDefault="002C31B1" w:rsidP="004F5E36">
      <w:r>
        <w:separator/>
      </w:r>
    </w:p>
  </w:endnote>
  <w:endnote w:type="continuationSeparator" w:id="0">
    <w:p w14:paraId="495F7040" w14:textId="77777777" w:rsidR="002C31B1" w:rsidRDefault="002C31B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3FE34" w14:textId="77777777" w:rsidR="002C31B1" w:rsidRDefault="002C31B1" w:rsidP="004F5E36">
      <w:r>
        <w:separator/>
      </w:r>
    </w:p>
  </w:footnote>
  <w:footnote w:type="continuationSeparator" w:id="0">
    <w:p w14:paraId="41BB4340" w14:textId="77777777" w:rsidR="002C31B1" w:rsidRDefault="002C31B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C6D0B9BE"/>
    <w:lvl w:ilvl="0">
      <w:start w:val="1"/>
      <w:numFmt w:val="decimal"/>
      <w:suff w:val="space"/>
      <w:lvlText w:val="Chapter %1"/>
      <w:lvlJc w:val="left"/>
      <w:pPr>
        <w:ind w:left="0" w:firstLine="0"/>
      </w:pPr>
      <w:rPr>
        <w:rFonts w:hint="default"/>
        <w:lang w:val="en-US"/>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D6F1805"/>
    <w:multiLevelType w:val="hybridMultilevel"/>
    <w:tmpl w:val="5286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751607">
    <w:abstractNumId w:val="11"/>
  </w:num>
  <w:num w:numId="2" w16cid:durableId="1367220448">
    <w:abstractNumId w:val="8"/>
  </w:num>
  <w:num w:numId="3" w16cid:durableId="76023340">
    <w:abstractNumId w:val="3"/>
  </w:num>
  <w:num w:numId="4" w16cid:durableId="1850749856">
    <w:abstractNumId w:val="2"/>
  </w:num>
  <w:num w:numId="5" w16cid:durableId="550271843">
    <w:abstractNumId w:val="1"/>
  </w:num>
  <w:num w:numId="6" w16cid:durableId="1322654399">
    <w:abstractNumId w:val="0"/>
  </w:num>
  <w:num w:numId="7" w16cid:durableId="921061185">
    <w:abstractNumId w:val="9"/>
  </w:num>
  <w:num w:numId="8" w16cid:durableId="1348167710">
    <w:abstractNumId w:val="7"/>
  </w:num>
  <w:num w:numId="9" w16cid:durableId="1024593329">
    <w:abstractNumId w:val="6"/>
  </w:num>
  <w:num w:numId="10" w16cid:durableId="1559517262">
    <w:abstractNumId w:val="5"/>
  </w:num>
  <w:num w:numId="11" w16cid:durableId="1756392985">
    <w:abstractNumId w:val="4"/>
  </w:num>
  <w:num w:numId="12" w16cid:durableId="2067531015">
    <w:abstractNumId w:val="18"/>
  </w:num>
  <w:num w:numId="13" w16cid:durableId="1231043879">
    <w:abstractNumId w:val="13"/>
  </w:num>
  <w:num w:numId="14" w16cid:durableId="894271395">
    <w:abstractNumId w:val="19"/>
  </w:num>
  <w:num w:numId="15" w16cid:durableId="892346096">
    <w:abstractNumId w:val="21"/>
  </w:num>
  <w:num w:numId="16" w16cid:durableId="1158300485">
    <w:abstractNumId w:val="20"/>
  </w:num>
  <w:num w:numId="17" w16cid:durableId="2036493702">
    <w:abstractNumId w:val="12"/>
  </w:num>
  <w:num w:numId="18" w16cid:durableId="1004479275">
    <w:abstractNumId w:val="13"/>
    <w:lvlOverride w:ilvl="0">
      <w:startOverride w:val="1"/>
    </w:lvlOverride>
  </w:num>
  <w:num w:numId="19" w16cid:durableId="1839074487">
    <w:abstractNumId w:val="17"/>
  </w:num>
  <w:num w:numId="20" w16cid:durableId="129131864">
    <w:abstractNumId w:val="16"/>
  </w:num>
  <w:num w:numId="21" w16cid:durableId="1216820299">
    <w:abstractNumId w:val="15"/>
  </w:num>
  <w:num w:numId="22" w16cid:durableId="1107774482">
    <w:abstractNumId w:val="14"/>
  </w:num>
  <w:num w:numId="23" w16cid:durableId="1698505117">
    <w:abstractNumId w:val="10"/>
  </w:num>
  <w:num w:numId="24" w16cid:durableId="131218104">
    <w:abstractNumId w:val="22"/>
  </w:num>
  <w:num w:numId="25" w16cid:durableId="9715970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5F9D"/>
    <w:rsid w:val="000117CB"/>
    <w:rsid w:val="00012E37"/>
    <w:rsid w:val="000155A1"/>
    <w:rsid w:val="00017D1B"/>
    <w:rsid w:val="00020320"/>
    <w:rsid w:val="00022D59"/>
    <w:rsid w:val="0002681A"/>
    <w:rsid w:val="00027518"/>
    <w:rsid w:val="0003148D"/>
    <w:rsid w:val="00031EEC"/>
    <w:rsid w:val="0003259C"/>
    <w:rsid w:val="00032E40"/>
    <w:rsid w:val="00037166"/>
    <w:rsid w:val="00043B35"/>
    <w:rsid w:val="00051566"/>
    <w:rsid w:val="000515FB"/>
    <w:rsid w:val="000562A9"/>
    <w:rsid w:val="00062A9A"/>
    <w:rsid w:val="00065058"/>
    <w:rsid w:val="00065F2E"/>
    <w:rsid w:val="00067288"/>
    <w:rsid w:val="000760E7"/>
    <w:rsid w:val="00080448"/>
    <w:rsid w:val="00085BFD"/>
    <w:rsid w:val="00086C39"/>
    <w:rsid w:val="000875E8"/>
    <w:rsid w:val="00092B3C"/>
    <w:rsid w:val="000935D3"/>
    <w:rsid w:val="0009576C"/>
    <w:rsid w:val="000A03B2"/>
    <w:rsid w:val="000A0406"/>
    <w:rsid w:val="000A0990"/>
    <w:rsid w:val="000A0CF1"/>
    <w:rsid w:val="000A0F07"/>
    <w:rsid w:val="000A60ED"/>
    <w:rsid w:val="000A6406"/>
    <w:rsid w:val="000A69D4"/>
    <w:rsid w:val="000A7701"/>
    <w:rsid w:val="000B3220"/>
    <w:rsid w:val="000B3B38"/>
    <w:rsid w:val="000B6395"/>
    <w:rsid w:val="000C4F26"/>
    <w:rsid w:val="000C673E"/>
    <w:rsid w:val="000C6C05"/>
    <w:rsid w:val="000D0268"/>
    <w:rsid w:val="000D1854"/>
    <w:rsid w:val="000D29CA"/>
    <w:rsid w:val="000D2F86"/>
    <w:rsid w:val="000D342C"/>
    <w:rsid w:val="000D34BE"/>
    <w:rsid w:val="000E0B3C"/>
    <w:rsid w:val="000E102F"/>
    <w:rsid w:val="000E19E0"/>
    <w:rsid w:val="000E3376"/>
    <w:rsid w:val="000E36F1"/>
    <w:rsid w:val="000E3A3A"/>
    <w:rsid w:val="000E3A73"/>
    <w:rsid w:val="000E3EE7"/>
    <w:rsid w:val="000E414A"/>
    <w:rsid w:val="000E75FD"/>
    <w:rsid w:val="000E7A3A"/>
    <w:rsid w:val="000F093C"/>
    <w:rsid w:val="000F268B"/>
    <w:rsid w:val="000F32FF"/>
    <w:rsid w:val="000F3F02"/>
    <w:rsid w:val="000F533D"/>
    <w:rsid w:val="000F637D"/>
    <w:rsid w:val="000F787B"/>
    <w:rsid w:val="00103EC0"/>
    <w:rsid w:val="00113137"/>
    <w:rsid w:val="00114A5D"/>
    <w:rsid w:val="0012091F"/>
    <w:rsid w:val="00122947"/>
    <w:rsid w:val="00125EFE"/>
    <w:rsid w:val="00126BC2"/>
    <w:rsid w:val="001308B6"/>
    <w:rsid w:val="0013121F"/>
    <w:rsid w:val="00131A86"/>
    <w:rsid w:val="00131FE6"/>
    <w:rsid w:val="0013263F"/>
    <w:rsid w:val="001331DF"/>
    <w:rsid w:val="001347EC"/>
    <w:rsid w:val="00134DE4"/>
    <w:rsid w:val="0014034D"/>
    <w:rsid w:val="00140FE3"/>
    <w:rsid w:val="00144D16"/>
    <w:rsid w:val="0014520D"/>
    <w:rsid w:val="00150E2E"/>
    <w:rsid w:val="00150E59"/>
    <w:rsid w:val="00152DE3"/>
    <w:rsid w:val="00154F0B"/>
    <w:rsid w:val="001600A9"/>
    <w:rsid w:val="00160FF6"/>
    <w:rsid w:val="0016339A"/>
    <w:rsid w:val="00164CF9"/>
    <w:rsid w:val="0016595D"/>
    <w:rsid w:val="0016668E"/>
    <w:rsid w:val="001667A6"/>
    <w:rsid w:val="00166CA4"/>
    <w:rsid w:val="0017016E"/>
    <w:rsid w:val="001710AF"/>
    <w:rsid w:val="00173F93"/>
    <w:rsid w:val="00175D4F"/>
    <w:rsid w:val="001810BE"/>
    <w:rsid w:val="0018171E"/>
    <w:rsid w:val="00184AD6"/>
    <w:rsid w:val="00191D05"/>
    <w:rsid w:val="00192B49"/>
    <w:rsid w:val="00193D00"/>
    <w:rsid w:val="0019596A"/>
    <w:rsid w:val="001A2AFD"/>
    <w:rsid w:val="001A4AF7"/>
    <w:rsid w:val="001A5467"/>
    <w:rsid w:val="001A583C"/>
    <w:rsid w:val="001A7AE7"/>
    <w:rsid w:val="001B0349"/>
    <w:rsid w:val="001B0746"/>
    <w:rsid w:val="001B1E93"/>
    <w:rsid w:val="001B65C1"/>
    <w:rsid w:val="001B6A4B"/>
    <w:rsid w:val="001B71BF"/>
    <w:rsid w:val="001B74B9"/>
    <w:rsid w:val="001C0AD3"/>
    <w:rsid w:val="001C260F"/>
    <w:rsid w:val="001C276E"/>
    <w:rsid w:val="001C552A"/>
    <w:rsid w:val="001C5C3A"/>
    <w:rsid w:val="001C60F6"/>
    <w:rsid w:val="001C684B"/>
    <w:rsid w:val="001D09C1"/>
    <w:rsid w:val="001D0CFB"/>
    <w:rsid w:val="001D21AF"/>
    <w:rsid w:val="001D39FF"/>
    <w:rsid w:val="001D3D32"/>
    <w:rsid w:val="001D53FC"/>
    <w:rsid w:val="001D7D52"/>
    <w:rsid w:val="001E2CB3"/>
    <w:rsid w:val="001E4EDA"/>
    <w:rsid w:val="001E504C"/>
    <w:rsid w:val="001F1DBD"/>
    <w:rsid w:val="001F42A5"/>
    <w:rsid w:val="001F4C20"/>
    <w:rsid w:val="001F5710"/>
    <w:rsid w:val="001F716D"/>
    <w:rsid w:val="001F7B9D"/>
    <w:rsid w:val="00200CC2"/>
    <w:rsid w:val="00201C93"/>
    <w:rsid w:val="0020200F"/>
    <w:rsid w:val="0020237F"/>
    <w:rsid w:val="0020608A"/>
    <w:rsid w:val="002163DB"/>
    <w:rsid w:val="00222272"/>
    <w:rsid w:val="002224B4"/>
    <w:rsid w:val="00222992"/>
    <w:rsid w:val="00227690"/>
    <w:rsid w:val="002314C1"/>
    <w:rsid w:val="00234897"/>
    <w:rsid w:val="00237E93"/>
    <w:rsid w:val="002447EF"/>
    <w:rsid w:val="002463E1"/>
    <w:rsid w:val="002477AB"/>
    <w:rsid w:val="00250CE4"/>
    <w:rsid w:val="00251550"/>
    <w:rsid w:val="00253CA2"/>
    <w:rsid w:val="00261095"/>
    <w:rsid w:val="002615B4"/>
    <w:rsid w:val="00263B05"/>
    <w:rsid w:val="0027221A"/>
    <w:rsid w:val="00272C91"/>
    <w:rsid w:val="00275B61"/>
    <w:rsid w:val="00280B18"/>
    <w:rsid w:val="00280FAF"/>
    <w:rsid w:val="00281D1E"/>
    <w:rsid w:val="00282656"/>
    <w:rsid w:val="0028681B"/>
    <w:rsid w:val="002876C8"/>
    <w:rsid w:val="002914A5"/>
    <w:rsid w:val="00291910"/>
    <w:rsid w:val="00294B2D"/>
    <w:rsid w:val="00295EEE"/>
    <w:rsid w:val="00296709"/>
    <w:rsid w:val="00296B83"/>
    <w:rsid w:val="00297EED"/>
    <w:rsid w:val="002A0134"/>
    <w:rsid w:val="002A16E8"/>
    <w:rsid w:val="002A4E42"/>
    <w:rsid w:val="002B0F76"/>
    <w:rsid w:val="002B4015"/>
    <w:rsid w:val="002B78CE"/>
    <w:rsid w:val="002C15BA"/>
    <w:rsid w:val="002C2FB6"/>
    <w:rsid w:val="002C31B1"/>
    <w:rsid w:val="002C3290"/>
    <w:rsid w:val="002C61B7"/>
    <w:rsid w:val="002C7367"/>
    <w:rsid w:val="002D0DC0"/>
    <w:rsid w:val="002D13B8"/>
    <w:rsid w:val="002D1732"/>
    <w:rsid w:val="002D239D"/>
    <w:rsid w:val="002D56A3"/>
    <w:rsid w:val="002E5FA7"/>
    <w:rsid w:val="002E6612"/>
    <w:rsid w:val="002E72CE"/>
    <w:rsid w:val="002F3309"/>
    <w:rsid w:val="002F37E2"/>
    <w:rsid w:val="003008CE"/>
    <w:rsid w:val="003009B7"/>
    <w:rsid w:val="00300A02"/>
    <w:rsid w:val="00300E56"/>
    <w:rsid w:val="0030152C"/>
    <w:rsid w:val="0030469C"/>
    <w:rsid w:val="00304CE8"/>
    <w:rsid w:val="00305325"/>
    <w:rsid w:val="00314CF4"/>
    <w:rsid w:val="00321CA6"/>
    <w:rsid w:val="00323763"/>
    <w:rsid w:val="00323C5F"/>
    <w:rsid w:val="003276E6"/>
    <w:rsid w:val="0033107F"/>
    <w:rsid w:val="003321B0"/>
    <w:rsid w:val="00334C09"/>
    <w:rsid w:val="00341D6E"/>
    <w:rsid w:val="00344834"/>
    <w:rsid w:val="00353C86"/>
    <w:rsid w:val="00354206"/>
    <w:rsid w:val="0035526A"/>
    <w:rsid w:val="00356A19"/>
    <w:rsid w:val="003630FD"/>
    <w:rsid w:val="0036380B"/>
    <w:rsid w:val="00365EEC"/>
    <w:rsid w:val="00367279"/>
    <w:rsid w:val="003723D4"/>
    <w:rsid w:val="0037516D"/>
    <w:rsid w:val="00377CCF"/>
    <w:rsid w:val="00377D1B"/>
    <w:rsid w:val="00381905"/>
    <w:rsid w:val="00384CC8"/>
    <w:rsid w:val="00386D8C"/>
    <w:rsid w:val="003871FD"/>
    <w:rsid w:val="003920AE"/>
    <w:rsid w:val="00393552"/>
    <w:rsid w:val="00394763"/>
    <w:rsid w:val="003971C2"/>
    <w:rsid w:val="00397F57"/>
    <w:rsid w:val="003A1E30"/>
    <w:rsid w:val="003A2829"/>
    <w:rsid w:val="003A2961"/>
    <w:rsid w:val="003A2C96"/>
    <w:rsid w:val="003A427D"/>
    <w:rsid w:val="003A7A96"/>
    <w:rsid w:val="003A7D1C"/>
    <w:rsid w:val="003B304B"/>
    <w:rsid w:val="003B3146"/>
    <w:rsid w:val="003B49CD"/>
    <w:rsid w:val="003C4DD3"/>
    <w:rsid w:val="003C601E"/>
    <w:rsid w:val="003C69CE"/>
    <w:rsid w:val="003D1E02"/>
    <w:rsid w:val="003E3632"/>
    <w:rsid w:val="003E3FA9"/>
    <w:rsid w:val="003E75A8"/>
    <w:rsid w:val="003E77E3"/>
    <w:rsid w:val="003F015E"/>
    <w:rsid w:val="003F6CC3"/>
    <w:rsid w:val="00400414"/>
    <w:rsid w:val="004037B5"/>
    <w:rsid w:val="0040608D"/>
    <w:rsid w:val="0040677F"/>
    <w:rsid w:val="004067EA"/>
    <w:rsid w:val="00412ECA"/>
    <w:rsid w:val="0041446B"/>
    <w:rsid w:val="00420065"/>
    <w:rsid w:val="00430367"/>
    <w:rsid w:val="00430D0F"/>
    <w:rsid w:val="0044071E"/>
    <w:rsid w:val="0044329C"/>
    <w:rsid w:val="00443362"/>
    <w:rsid w:val="004435B4"/>
    <w:rsid w:val="004537D4"/>
    <w:rsid w:val="00453E24"/>
    <w:rsid w:val="00457456"/>
    <w:rsid w:val="004577FE"/>
    <w:rsid w:val="00457B9C"/>
    <w:rsid w:val="0046164A"/>
    <w:rsid w:val="004628D2"/>
    <w:rsid w:val="00462DCD"/>
    <w:rsid w:val="00462DD9"/>
    <w:rsid w:val="004648AD"/>
    <w:rsid w:val="00464E77"/>
    <w:rsid w:val="004703A9"/>
    <w:rsid w:val="004760DE"/>
    <w:rsid w:val="004763D7"/>
    <w:rsid w:val="004765ED"/>
    <w:rsid w:val="00481BCA"/>
    <w:rsid w:val="00485D5C"/>
    <w:rsid w:val="0049380F"/>
    <w:rsid w:val="004939B5"/>
    <w:rsid w:val="004A004E"/>
    <w:rsid w:val="004A24CF"/>
    <w:rsid w:val="004A2BE7"/>
    <w:rsid w:val="004B0AC2"/>
    <w:rsid w:val="004B113C"/>
    <w:rsid w:val="004B4283"/>
    <w:rsid w:val="004B42D3"/>
    <w:rsid w:val="004B450C"/>
    <w:rsid w:val="004B576A"/>
    <w:rsid w:val="004B7B0D"/>
    <w:rsid w:val="004C09DD"/>
    <w:rsid w:val="004C2BE6"/>
    <w:rsid w:val="004C3D1D"/>
    <w:rsid w:val="004C3D84"/>
    <w:rsid w:val="004C6DAF"/>
    <w:rsid w:val="004C7913"/>
    <w:rsid w:val="004D3CBE"/>
    <w:rsid w:val="004D4147"/>
    <w:rsid w:val="004D4C2E"/>
    <w:rsid w:val="004D53CF"/>
    <w:rsid w:val="004D6655"/>
    <w:rsid w:val="004E0926"/>
    <w:rsid w:val="004E2CCD"/>
    <w:rsid w:val="004E36AC"/>
    <w:rsid w:val="004E4DD6"/>
    <w:rsid w:val="004E5DD4"/>
    <w:rsid w:val="004E768D"/>
    <w:rsid w:val="004F0429"/>
    <w:rsid w:val="004F191F"/>
    <w:rsid w:val="004F5139"/>
    <w:rsid w:val="004F5E36"/>
    <w:rsid w:val="004F7428"/>
    <w:rsid w:val="005008A8"/>
    <w:rsid w:val="00507B47"/>
    <w:rsid w:val="00507BEF"/>
    <w:rsid w:val="00507CC9"/>
    <w:rsid w:val="005119A5"/>
    <w:rsid w:val="00514499"/>
    <w:rsid w:val="00516F95"/>
    <w:rsid w:val="00521E76"/>
    <w:rsid w:val="00523263"/>
    <w:rsid w:val="005278B7"/>
    <w:rsid w:val="00532016"/>
    <w:rsid w:val="0053353F"/>
    <w:rsid w:val="005346C8"/>
    <w:rsid w:val="00542983"/>
    <w:rsid w:val="00543E7D"/>
    <w:rsid w:val="00544647"/>
    <w:rsid w:val="00545C67"/>
    <w:rsid w:val="00547A68"/>
    <w:rsid w:val="00547EC8"/>
    <w:rsid w:val="005531C9"/>
    <w:rsid w:val="00554879"/>
    <w:rsid w:val="00560FD7"/>
    <w:rsid w:val="00570C43"/>
    <w:rsid w:val="00574E7E"/>
    <w:rsid w:val="00575F34"/>
    <w:rsid w:val="0057671D"/>
    <w:rsid w:val="00585910"/>
    <w:rsid w:val="00591B12"/>
    <w:rsid w:val="00592274"/>
    <w:rsid w:val="00592CC8"/>
    <w:rsid w:val="00593B51"/>
    <w:rsid w:val="00595D60"/>
    <w:rsid w:val="00596E9E"/>
    <w:rsid w:val="005A02C4"/>
    <w:rsid w:val="005A63CF"/>
    <w:rsid w:val="005A7164"/>
    <w:rsid w:val="005B0D7E"/>
    <w:rsid w:val="005B16D9"/>
    <w:rsid w:val="005B1E0D"/>
    <w:rsid w:val="005B2110"/>
    <w:rsid w:val="005B2D51"/>
    <w:rsid w:val="005B350B"/>
    <w:rsid w:val="005B3A84"/>
    <w:rsid w:val="005B3F9D"/>
    <w:rsid w:val="005B5FF7"/>
    <w:rsid w:val="005B61E6"/>
    <w:rsid w:val="005B6484"/>
    <w:rsid w:val="005C60A8"/>
    <w:rsid w:val="005C7510"/>
    <w:rsid w:val="005C77E1"/>
    <w:rsid w:val="005D1499"/>
    <w:rsid w:val="005D5FBA"/>
    <w:rsid w:val="005D668A"/>
    <w:rsid w:val="005D6A2F"/>
    <w:rsid w:val="005E0049"/>
    <w:rsid w:val="005E0592"/>
    <w:rsid w:val="005E1A82"/>
    <w:rsid w:val="005E3E1D"/>
    <w:rsid w:val="005E794C"/>
    <w:rsid w:val="005F0A28"/>
    <w:rsid w:val="005F0E5E"/>
    <w:rsid w:val="005F288D"/>
    <w:rsid w:val="005F37AC"/>
    <w:rsid w:val="005F618A"/>
    <w:rsid w:val="006002AB"/>
    <w:rsid w:val="00600535"/>
    <w:rsid w:val="006024B3"/>
    <w:rsid w:val="00602A66"/>
    <w:rsid w:val="0060482D"/>
    <w:rsid w:val="00606371"/>
    <w:rsid w:val="00606F64"/>
    <w:rsid w:val="00610CD6"/>
    <w:rsid w:val="00611972"/>
    <w:rsid w:val="00620DEE"/>
    <w:rsid w:val="00621F92"/>
    <w:rsid w:val="006226F4"/>
    <w:rsid w:val="0062280A"/>
    <w:rsid w:val="006231E1"/>
    <w:rsid w:val="006236BB"/>
    <w:rsid w:val="00623C20"/>
    <w:rsid w:val="00625639"/>
    <w:rsid w:val="00626342"/>
    <w:rsid w:val="00627043"/>
    <w:rsid w:val="00631B33"/>
    <w:rsid w:val="0063275F"/>
    <w:rsid w:val="0063683F"/>
    <w:rsid w:val="0064184D"/>
    <w:rsid w:val="00642277"/>
    <w:rsid w:val="006422CC"/>
    <w:rsid w:val="006456D2"/>
    <w:rsid w:val="00646773"/>
    <w:rsid w:val="006513F0"/>
    <w:rsid w:val="00651D18"/>
    <w:rsid w:val="00652A1F"/>
    <w:rsid w:val="00652EA8"/>
    <w:rsid w:val="00656A99"/>
    <w:rsid w:val="00656C38"/>
    <w:rsid w:val="0066006F"/>
    <w:rsid w:val="006608D9"/>
    <w:rsid w:val="00660B82"/>
    <w:rsid w:val="00660E3E"/>
    <w:rsid w:val="00662E74"/>
    <w:rsid w:val="006662EE"/>
    <w:rsid w:val="0066741A"/>
    <w:rsid w:val="006727ED"/>
    <w:rsid w:val="00675584"/>
    <w:rsid w:val="006761DE"/>
    <w:rsid w:val="006777C0"/>
    <w:rsid w:val="00680C23"/>
    <w:rsid w:val="006828B8"/>
    <w:rsid w:val="006839D2"/>
    <w:rsid w:val="00683E23"/>
    <w:rsid w:val="00686BE2"/>
    <w:rsid w:val="006909B1"/>
    <w:rsid w:val="00690B0E"/>
    <w:rsid w:val="006930B0"/>
    <w:rsid w:val="00693766"/>
    <w:rsid w:val="00696AD4"/>
    <w:rsid w:val="00696FF5"/>
    <w:rsid w:val="006A0A73"/>
    <w:rsid w:val="006A3281"/>
    <w:rsid w:val="006A6DE5"/>
    <w:rsid w:val="006A793D"/>
    <w:rsid w:val="006B445C"/>
    <w:rsid w:val="006B4888"/>
    <w:rsid w:val="006B6DAA"/>
    <w:rsid w:val="006B75DD"/>
    <w:rsid w:val="006C1D35"/>
    <w:rsid w:val="006C2E45"/>
    <w:rsid w:val="006C359C"/>
    <w:rsid w:val="006C3B9F"/>
    <w:rsid w:val="006C541D"/>
    <w:rsid w:val="006C5466"/>
    <w:rsid w:val="006C5579"/>
    <w:rsid w:val="006C70A8"/>
    <w:rsid w:val="006D19B6"/>
    <w:rsid w:val="006D6E8B"/>
    <w:rsid w:val="006D7209"/>
    <w:rsid w:val="006E085D"/>
    <w:rsid w:val="006E1808"/>
    <w:rsid w:val="006E18EC"/>
    <w:rsid w:val="006E737D"/>
    <w:rsid w:val="006E7A7F"/>
    <w:rsid w:val="00701811"/>
    <w:rsid w:val="0070308D"/>
    <w:rsid w:val="00703DCE"/>
    <w:rsid w:val="00705767"/>
    <w:rsid w:val="00707DD1"/>
    <w:rsid w:val="00710695"/>
    <w:rsid w:val="0071101D"/>
    <w:rsid w:val="00712F13"/>
    <w:rsid w:val="00713973"/>
    <w:rsid w:val="007202F9"/>
    <w:rsid w:val="00720A24"/>
    <w:rsid w:val="00720FAB"/>
    <w:rsid w:val="00732386"/>
    <w:rsid w:val="007350EA"/>
    <w:rsid w:val="0073514D"/>
    <w:rsid w:val="00735A2B"/>
    <w:rsid w:val="00743972"/>
    <w:rsid w:val="007447F3"/>
    <w:rsid w:val="00752D55"/>
    <w:rsid w:val="00754438"/>
    <w:rsid w:val="0075499F"/>
    <w:rsid w:val="00757179"/>
    <w:rsid w:val="00761940"/>
    <w:rsid w:val="007661C8"/>
    <w:rsid w:val="00767084"/>
    <w:rsid w:val="0077098D"/>
    <w:rsid w:val="00772EFD"/>
    <w:rsid w:val="00777F66"/>
    <w:rsid w:val="00785BF9"/>
    <w:rsid w:val="00791E0A"/>
    <w:rsid w:val="007931FA"/>
    <w:rsid w:val="0079686C"/>
    <w:rsid w:val="007A465D"/>
    <w:rsid w:val="007A4861"/>
    <w:rsid w:val="007A574F"/>
    <w:rsid w:val="007A7BBA"/>
    <w:rsid w:val="007B0C50"/>
    <w:rsid w:val="007B3879"/>
    <w:rsid w:val="007B3E1A"/>
    <w:rsid w:val="007B48F9"/>
    <w:rsid w:val="007B580A"/>
    <w:rsid w:val="007B744B"/>
    <w:rsid w:val="007C1A43"/>
    <w:rsid w:val="007C74C7"/>
    <w:rsid w:val="007D0951"/>
    <w:rsid w:val="007D0DD5"/>
    <w:rsid w:val="007D425A"/>
    <w:rsid w:val="007D4595"/>
    <w:rsid w:val="007D55E2"/>
    <w:rsid w:val="007D610D"/>
    <w:rsid w:val="007D6406"/>
    <w:rsid w:val="007E083F"/>
    <w:rsid w:val="007E1451"/>
    <w:rsid w:val="007E7FAE"/>
    <w:rsid w:val="007F3BCB"/>
    <w:rsid w:val="007F404C"/>
    <w:rsid w:val="007F6580"/>
    <w:rsid w:val="0080013E"/>
    <w:rsid w:val="00800977"/>
    <w:rsid w:val="00800C6B"/>
    <w:rsid w:val="00800CA0"/>
    <w:rsid w:val="00801759"/>
    <w:rsid w:val="00807743"/>
    <w:rsid w:val="00812EBC"/>
    <w:rsid w:val="00813288"/>
    <w:rsid w:val="0081602C"/>
    <w:rsid w:val="008168FC"/>
    <w:rsid w:val="008254E1"/>
    <w:rsid w:val="008269E1"/>
    <w:rsid w:val="00830996"/>
    <w:rsid w:val="00832C64"/>
    <w:rsid w:val="008330EB"/>
    <w:rsid w:val="008345F1"/>
    <w:rsid w:val="00834ACB"/>
    <w:rsid w:val="00840DD7"/>
    <w:rsid w:val="00855D0D"/>
    <w:rsid w:val="00864B03"/>
    <w:rsid w:val="00865B07"/>
    <w:rsid w:val="008667EA"/>
    <w:rsid w:val="00870DAF"/>
    <w:rsid w:val="00870FA4"/>
    <w:rsid w:val="00872CCB"/>
    <w:rsid w:val="0087637F"/>
    <w:rsid w:val="00877FC0"/>
    <w:rsid w:val="00881C04"/>
    <w:rsid w:val="00885B6D"/>
    <w:rsid w:val="00887686"/>
    <w:rsid w:val="008879B0"/>
    <w:rsid w:val="00892AD5"/>
    <w:rsid w:val="0089359C"/>
    <w:rsid w:val="00894221"/>
    <w:rsid w:val="008945E4"/>
    <w:rsid w:val="0089575C"/>
    <w:rsid w:val="0089755F"/>
    <w:rsid w:val="008A1512"/>
    <w:rsid w:val="008A2F50"/>
    <w:rsid w:val="008B12A9"/>
    <w:rsid w:val="008B1EA0"/>
    <w:rsid w:val="008B4AA5"/>
    <w:rsid w:val="008C0579"/>
    <w:rsid w:val="008C0E45"/>
    <w:rsid w:val="008C1681"/>
    <w:rsid w:val="008C21AA"/>
    <w:rsid w:val="008C34B3"/>
    <w:rsid w:val="008C3613"/>
    <w:rsid w:val="008D1957"/>
    <w:rsid w:val="008D32B9"/>
    <w:rsid w:val="008D433B"/>
    <w:rsid w:val="008D4A16"/>
    <w:rsid w:val="008D776B"/>
    <w:rsid w:val="008E2F47"/>
    <w:rsid w:val="008E4C7C"/>
    <w:rsid w:val="008E5401"/>
    <w:rsid w:val="008E566E"/>
    <w:rsid w:val="008F16FB"/>
    <w:rsid w:val="008F7A1E"/>
    <w:rsid w:val="0090161A"/>
    <w:rsid w:val="00901EB6"/>
    <w:rsid w:val="009027BF"/>
    <w:rsid w:val="009041F8"/>
    <w:rsid w:val="00904327"/>
    <w:rsid w:val="00904989"/>
    <w:rsid w:val="00904C62"/>
    <w:rsid w:val="00913C3C"/>
    <w:rsid w:val="0091566D"/>
    <w:rsid w:val="00922BA8"/>
    <w:rsid w:val="00924576"/>
    <w:rsid w:val="00924DAC"/>
    <w:rsid w:val="009252D0"/>
    <w:rsid w:val="00927058"/>
    <w:rsid w:val="0093013B"/>
    <w:rsid w:val="00930B39"/>
    <w:rsid w:val="00935660"/>
    <w:rsid w:val="00942750"/>
    <w:rsid w:val="00943E75"/>
    <w:rsid w:val="009450CE"/>
    <w:rsid w:val="009459BB"/>
    <w:rsid w:val="00947179"/>
    <w:rsid w:val="0095164B"/>
    <w:rsid w:val="009524CB"/>
    <w:rsid w:val="00952FDD"/>
    <w:rsid w:val="00953800"/>
    <w:rsid w:val="00954090"/>
    <w:rsid w:val="00955D77"/>
    <w:rsid w:val="00956579"/>
    <w:rsid w:val="009573E7"/>
    <w:rsid w:val="00963E05"/>
    <w:rsid w:val="00964A45"/>
    <w:rsid w:val="00965A4C"/>
    <w:rsid w:val="00967843"/>
    <w:rsid w:val="00967D54"/>
    <w:rsid w:val="009704E0"/>
    <w:rsid w:val="00971028"/>
    <w:rsid w:val="009774CE"/>
    <w:rsid w:val="00982086"/>
    <w:rsid w:val="00982772"/>
    <w:rsid w:val="009841E7"/>
    <w:rsid w:val="00987B33"/>
    <w:rsid w:val="00990C9B"/>
    <w:rsid w:val="00991F10"/>
    <w:rsid w:val="00993B84"/>
    <w:rsid w:val="009941C0"/>
    <w:rsid w:val="00994C6A"/>
    <w:rsid w:val="00996483"/>
    <w:rsid w:val="00996F5A"/>
    <w:rsid w:val="009A145B"/>
    <w:rsid w:val="009A201F"/>
    <w:rsid w:val="009B041A"/>
    <w:rsid w:val="009B188A"/>
    <w:rsid w:val="009B2549"/>
    <w:rsid w:val="009B5270"/>
    <w:rsid w:val="009B662D"/>
    <w:rsid w:val="009B6E57"/>
    <w:rsid w:val="009C040B"/>
    <w:rsid w:val="009C37C3"/>
    <w:rsid w:val="009C7C86"/>
    <w:rsid w:val="009D17B4"/>
    <w:rsid w:val="009D2FF7"/>
    <w:rsid w:val="009D6AC0"/>
    <w:rsid w:val="009E4228"/>
    <w:rsid w:val="009E498E"/>
    <w:rsid w:val="009E6151"/>
    <w:rsid w:val="009E7884"/>
    <w:rsid w:val="009E788A"/>
    <w:rsid w:val="009F0E08"/>
    <w:rsid w:val="009F2993"/>
    <w:rsid w:val="009F2FC9"/>
    <w:rsid w:val="009F5386"/>
    <w:rsid w:val="009F612C"/>
    <w:rsid w:val="009F70BA"/>
    <w:rsid w:val="009F7159"/>
    <w:rsid w:val="00A0450E"/>
    <w:rsid w:val="00A06CA2"/>
    <w:rsid w:val="00A079AE"/>
    <w:rsid w:val="00A1171E"/>
    <w:rsid w:val="00A1557E"/>
    <w:rsid w:val="00A1763D"/>
    <w:rsid w:val="00A17CEC"/>
    <w:rsid w:val="00A22F79"/>
    <w:rsid w:val="00A23569"/>
    <w:rsid w:val="00A27EF0"/>
    <w:rsid w:val="00A31E03"/>
    <w:rsid w:val="00A31F6E"/>
    <w:rsid w:val="00A32E8C"/>
    <w:rsid w:val="00A35A69"/>
    <w:rsid w:val="00A37331"/>
    <w:rsid w:val="00A42361"/>
    <w:rsid w:val="00A431CA"/>
    <w:rsid w:val="00A50B20"/>
    <w:rsid w:val="00A51390"/>
    <w:rsid w:val="00A53EB1"/>
    <w:rsid w:val="00A57043"/>
    <w:rsid w:val="00A60D13"/>
    <w:rsid w:val="00A7223D"/>
    <w:rsid w:val="00A72745"/>
    <w:rsid w:val="00A76EFC"/>
    <w:rsid w:val="00A83D68"/>
    <w:rsid w:val="00A84F59"/>
    <w:rsid w:val="00A85E11"/>
    <w:rsid w:val="00A8675D"/>
    <w:rsid w:val="00A87D50"/>
    <w:rsid w:val="00A91010"/>
    <w:rsid w:val="00A9313B"/>
    <w:rsid w:val="00A93F25"/>
    <w:rsid w:val="00A97F29"/>
    <w:rsid w:val="00AA1321"/>
    <w:rsid w:val="00AA3AF1"/>
    <w:rsid w:val="00AA3BF2"/>
    <w:rsid w:val="00AA4230"/>
    <w:rsid w:val="00AA702E"/>
    <w:rsid w:val="00AA722F"/>
    <w:rsid w:val="00AA76F7"/>
    <w:rsid w:val="00AA7D26"/>
    <w:rsid w:val="00AB0964"/>
    <w:rsid w:val="00AB3383"/>
    <w:rsid w:val="00AB5011"/>
    <w:rsid w:val="00AC2222"/>
    <w:rsid w:val="00AC29B6"/>
    <w:rsid w:val="00AC5152"/>
    <w:rsid w:val="00AC7368"/>
    <w:rsid w:val="00AD0ADE"/>
    <w:rsid w:val="00AD16B9"/>
    <w:rsid w:val="00AD39A5"/>
    <w:rsid w:val="00AD46C9"/>
    <w:rsid w:val="00AD7D68"/>
    <w:rsid w:val="00AE0190"/>
    <w:rsid w:val="00AE03A9"/>
    <w:rsid w:val="00AE377D"/>
    <w:rsid w:val="00AE50F1"/>
    <w:rsid w:val="00AE5FA0"/>
    <w:rsid w:val="00AE7F7F"/>
    <w:rsid w:val="00AF0EA2"/>
    <w:rsid w:val="00AF0EBA"/>
    <w:rsid w:val="00AF2463"/>
    <w:rsid w:val="00AF2C32"/>
    <w:rsid w:val="00AF2DC6"/>
    <w:rsid w:val="00B00ADC"/>
    <w:rsid w:val="00B013C0"/>
    <w:rsid w:val="00B01E06"/>
    <w:rsid w:val="00B02C8A"/>
    <w:rsid w:val="00B05403"/>
    <w:rsid w:val="00B14B03"/>
    <w:rsid w:val="00B17FBD"/>
    <w:rsid w:val="00B315A6"/>
    <w:rsid w:val="00B31813"/>
    <w:rsid w:val="00B31F6D"/>
    <w:rsid w:val="00B33365"/>
    <w:rsid w:val="00B34F00"/>
    <w:rsid w:val="00B36149"/>
    <w:rsid w:val="00B369C1"/>
    <w:rsid w:val="00B36FD4"/>
    <w:rsid w:val="00B37486"/>
    <w:rsid w:val="00B45205"/>
    <w:rsid w:val="00B514E3"/>
    <w:rsid w:val="00B57B36"/>
    <w:rsid w:val="00B57D77"/>
    <w:rsid w:val="00B57E6F"/>
    <w:rsid w:val="00B6252F"/>
    <w:rsid w:val="00B642C1"/>
    <w:rsid w:val="00B64382"/>
    <w:rsid w:val="00B66176"/>
    <w:rsid w:val="00B6653D"/>
    <w:rsid w:val="00B71EF9"/>
    <w:rsid w:val="00B73E05"/>
    <w:rsid w:val="00B742D8"/>
    <w:rsid w:val="00B8070D"/>
    <w:rsid w:val="00B81C01"/>
    <w:rsid w:val="00B85F2C"/>
    <w:rsid w:val="00B8686D"/>
    <w:rsid w:val="00B869C4"/>
    <w:rsid w:val="00B914F5"/>
    <w:rsid w:val="00B93F69"/>
    <w:rsid w:val="00B940E3"/>
    <w:rsid w:val="00B952AC"/>
    <w:rsid w:val="00BA00B0"/>
    <w:rsid w:val="00BA27E4"/>
    <w:rsid w:val="00BA28AE"/>
    <w:rsid w:val="00BA6EA9"/>
    <w:rsid w:val="00BA73EA"/>
    <w:rsid w:val="00BA74D6"/>
    <w:rsid w:val="00BA7AAF"/>
    <w:rsid w:val="00BB06B1"/>
    <w:rsid w:val="00BB1DDC"/>
    <w:rsid w:val="00BB1FC8"/>
    <w:rsid w:val="00BB6307"/>
    <w:rsid w:val="00BC068A"/>
    <w:rsid w:val="00BC2345"/>
    <w:rsid w:val="00BC2954"/>
    <w:rsid w:val="00BC30C9"/>
    <w:rsid w:val="00BC61B3"/>
    <w:rsid w:val="00BC6A18"/>
    <w:rsid w:val="00BD077D"/>
    <w:rsid w:val="00BD106C"/>
    <w:rsid w:val="00BD1483"/>
    <w:rsid w:val="00BD7E74"/>
    <w:rsid w:val="00BE05DC"/>
    <w:rsid w:val="00BE3758"/>
    <w:rsid w:val="00BE3E58"/>
    <w:rsid w:val="00BF13CE"/>
    <w:rsid w:val="00C00FF6"/>
    <w:rsid w:val="00C01616"/>
    <w:rsid w:val="00C0162B"/>
    <w:rsid w:val="00C02913"/>
    <w:rsid w:val="00C038E1"/>
    <w:rsid w:val="00C068ED"/>
    <w:rsid w:val="00C12BC7"/>
    <w:rsid w:val="00C1610D"/>
    <w:rsid w:val="00C20C09"/>
    <w:rsid w:val="00C22E0C"/>
    <w:rsid w:val="00C259BB"/>
    <w:rsid w:val="00C269A1"/>
    <w:rsid w:val="00C345B1"/>
    <w:rsid w:val="00C36056"/>
    <w:rsid w:val="00C3624D"/>
    <w:rsid w:val="00C40142"/>
    <w:rsid w:val="00C409D5"/>
    <w:rsid w:val="00C439BA"/>
    <w:rsid w:val="00C52C3C"/>
    <w:rsid w:val="00C5679E"/>
    <w:rsid w:val="00C57182"/>
    <w:rsid w:val="00C57863"/>
    <w:rsid w:val="00C62FF2"/>
    <w:rsid w:val="00C640AF"/>
    <w:rsid w:val="00C655FD"/>
    <w:rsid w:val="00C75407"/>
    <w:rsid w:val="00C7548F"/>
    <w:rsid w:val="00C81751"/>
    <w:rsid w:val="00C841C6"/>
    <w:rsid w:val="00C84B9F"/>
    <w:rsid w:val="00C860F7"/>
    <w:rsid w:val="00C870A8"/>
    <w:rsid w:val="00C9305B"/>
    <w:rsid w:val="00C94434"/>
    <w:rsid w:val="00C95FD7"/>
    <w:rsid w:val="00C97AC8"/>
    <w:rsid w:val="00C97CB2"/>
    <w:rsid w:val="00CA0D75"/>
    <w:rsid w:val="00CA1C95"/>
    <w:rsid w:val="00CA341B"/>
    <w:rsid w:val="00CA43A4"/>
    <w:rsid w:val="00CA5A9C"/>
    <w:rsid w:val="00CB1254"/>
    <w:rsid w:val="00CB12B3"/>
    <w:rsid w:val="00CB4EF1"/>
    <w:rsid w:val="00CB73BD"/>
    <w:rsid w:val="00CC2242"/>
    <w:rsid w:val="00CC4C20"/>
    <w:rsid w:val="00CC66DD"/>
    <w:rsid w:val="00CC6F2B"/>
    <w:rsid w:val="00CD3517"/>
    <w:rsid w:val="00CD4C45"/>
    <w:rsid w:val="00CD5FE2"/>
    <w:rsid w:val="00CD6E8D"/>
    <w:rsid w:val="00CD7F64"/>
    <w:rsid w:val="00CE2BDA"/>
    <w:rsid w:val="00CE3F28"/>
    <w:rsid w:val="00CE7C68"/>
    <w:rsid w:val="00CF1C9A"/>
    <w:rsid w:val="00CF334D"/>
    <w:rsid w:val="00CF44AD"/>
    <w:rsid w:val="00CF72C9"/>
    <w:rsid w:val="00D026BE"/>
    <w:rsid w:val="00D02B4C"/>
    <w:rsid w:val="00D040C4"/>
    <w:rsid w:val="00D044D1"/>
    <w:rsid w:val="00D04F47"/>
    <w:rsid w:val="00D07206"/>
    <w:rsid w:val="00D13673"/>
    <w:rsid w:val="00D16834"/>
    <w:rsid w:val="00D17519"/>
    <w:rsid w:val="00D20AD1"/>
    <w:rsid w:val="00D2582C"/>
    <w:rsid w:val="00D26023"/>
    <w:rsid w:val="00D32F98"/>
    <w:rsid w:val="00D36EDA"/>
    <w:rsid w:val="00D40812"/>
    <w:rsid w:val="00D40CEE"/>
    <w:rsid w:val="00D44B3F"/>
    <w:rsid w:val="00D46538"/>
    <w:rsid w:val="00D46B7E"/>
    <w:rsid w:val="00D525CC"/>
    <w:rsid w:val="00D53340"/>
    <w:rsid w:val="00D5746F"/>
    <w:rsid w:val="00D57C84"/>
    <w:rsid w:val="00D6057D"/>
    <w:rsid w:val="00D670F2"/>
    <w:rsid w:val="00D71640"/>
    <w:rsid w:val="00D721BC"/>
    <w:rsid w:val="00D82C6F"/>
    <w:rsid w:val="00D836C5"/>
    <w:rsid w:val="00D84576"/>
    <w:rsid w:val="00D84618"/>
    <w:rsid w:val="00D93204"/>
    <w:rsid w:val="00DA027C"/>
    <w:rsid w:val="00DA1399"/>
    <w:rsid w:val="00DA24C6"/>
    <w:rsid w:val="00DA2BE8"/>
    <w:rsid w:val="00DA4D7B"/>
    <w:rsid w:val="00DC0FBD"/>
    <w:rsid w:val="00DC1EE7"/>
    <w:rsid w:val="00DC2840"/>
    <w:rsid w:val="00DC32D2"/>
    <w:rsid w:val="00DC42E5"/>
    <w:rsid w:val="00DC67E2"/>
    <w:rsid w:val="00DC73EE"/>
    <w:rsid w:val="00DD271C"/>
    <w:rsid w:val="00DE18A1"/>
    <w:rsid w:val="00DE264A"/>
    <w:rsid w:val="00DE511C"/>
    <w:rsid w:val="00DE689E"/>
    <w:rsid w:val="00DF1373"/>
    <w:rsid w:val="00DF3405"/>
    <w:rsid w:val="00DF5072"/>
    <w:rsid w:val="00DF7D29"/>
    <w:rsid w:val="00E01D20"/>
    <w:rsid w:val="00E02D18"/>
    <w:rsid w:val="00E041E7"/>
    <w:rsid w:val="00E04947"/>
    <w:rsid w:val="00E06667"/>
    <w:rsid w:val="00E12B58"/>
    <w:rsid w:val="00E1384E"/>
    <w:rsid w:val="00E13B0B"/>
    <w:rsid w:val="00E14232"/>
    <w:rsid w:val="00E16DAE"/>
    <w:rsid w:val="00E1738F"/>
    <w:rsid w:val="00E17D7D"/>
    <w:rsid w:val="00E23549"/>
    <w:rsid w:val="00E23CA1"/>
    <w:rsid w:val="00E242C3"/>
    <w:rsid w:val="00E26419"/>
    <w:rsid w:val="00E33835"/>
    <w:rsid w:val="00E341DE"/>
    <w:rsid w:val="00E409A8"/>
    <w:rsid w:val="00E43B52"/>
    <w:rsid w:val="00E43C63"/>
    <w:rsid w:val="00E50632"/>
    <w:rsid w:val="00E50C12"/>
    <w:rsid w:val="00E56F6C"/>
    <w:rsid w:val="00E57616"/>
    <w:rsid w:val="00E631AA"/>
    <w:rsid w:val="00E65481"/>
    <w:rsid w:val="00E65B91"/>
    <w:rsid w:val="00E6781D"/>
    <w:rsid w:val="00E70611"/>
    <w:rsid w:val="00E71F8A"/>
    <w:rsid w:val="00E7209D"/>
    <w:rsid w:val="00E72CE3"/>
    <w:rsid w:val="00E72EAD"/>
    <w:rsid w:val="00E77223"/>
    <w:rsid w:val="00E819C0"/>
    <w:rsid w:val="00E8528B"/>
    <w:rsid w:val="00E85B94"/>
    <w:rsid w:val="00E91E4D"/>
    <w:rsid w:val="00E972D3"/>
    <w:rsid w:val="00E975A1"/>
    <w:rsid w:val="00E978D0"/>
    <w:rsid w:val="00EA3697"/>
    <w:rsid w:val="00EA379B"/>
    <w:rsid w:val="00EA4613"/>
    <w:rsid w:val="00EA59A1"/>
    <w:rsid w:val="00EA695F"/>
    <w:rsid w:val="00EA7F91"/>
    <w:rsid w:val="00EB07D1"/>
    <w:rsid w:val="00EB1523"/>
    <w:rsid w:val="00EB190F"/>
    <w:rsid w:val="00EB708D"/>
    <w:rsid w:val="00EC0E49"/>
    <w:rsid w:val="00EC101F"/>
    <w:rsid w:val="00EC1D9F"/>
    <w:rsid w:val="00EC2BA7"/>
    <w:rsid w:val="00EC4568"/>
    <w:rsid w:val="00EC51A5"/>
    <w:rsid w:val="00EC526A"/>
    <w:rsid w:val="00EC65E0"/>
    <w:rsid w:val="00ED0055"/>
    <w:rsid w:val="00ED19E6"/>
    <w:rsid w:val="00ED5019"/>
    <w:rsid w:val="00ED76CF"/>
    <w:rsid w:val="00EE0131"/>
    <w:rsid w:val="00EE17B0"/>
    <w:rsid w:val="00EE1B3B"/>
    <w:rsid w:val="00EE3C78"/>
    <w:rsid w:val="00EE74F2"/>
    <w:rsid w:val="00EF06D9"/>
    <w:rsid w:val="00EF2677"/>
    <w:rsid w:val="00EF3088"/>
    <w:rsid w:val="00EF48BD"/>
    <w:rsid w:val="00EF7F17"/>
    <w:rsid w:val="00F03DF5"/>
    <w:rsid w:val="00F06DA4"/>
    <w:rsid w:val="00F079B1"/>
    <w:rsid w:val="00F10848"/>
    <w:rsid w:val="00F1169C"/>
    <w:rsid w:val="00F1329E"/>
    <w:rsid w:val="00F20009"/>
    <w:rsid w:val="00F20F34"/>
    <w:rsid w:val="00F2258F"/>
    <w:rsid w:val="00F22A33"/>
    <w:rsid w:val="00F270D3"/>
    <w:rsid w:val="00F27AA2"/>
    <w:rsid w:val="00F3040A"/>
    <w:rsid w:val="00F3049E"/>
    <w:rsid w:val="00F30750"/>
    <w:rsid w:val="00F30C64"/>
    <w:rsid w:val="00F320A4"/>
    <w:rsid w:val="00F32BA2"/>
    <w:rsid w:val="00F32CDB"/>
    <w:rsid w:val="00F41EE4"/>
    <w:rsid w:val="00F472C1"/>
    <w:rsid w:val="00F531DC"/>
    <w:rsid w:val="00F5349E"/>
    <w:rsid w:val="00F55F5D"/>
    <w:rsid w:val="00F561D1"/>
    <w:rsid w:val="00F565FE"/>
    <w:rsid w:val="00F608B7"/>
    <w:rsid w:val="00F627D2"/>
    <w:rsid w:val="00F63186"/>
    <w:rsid w:val="00F63A70"/>
    <w:rsid w:val="00F63D8C"/>
    <w:rsid w:val="00F663B0"/>
    <w:rsid w:val="00F7534E"/>
    <w:rsid w:val="00F76536"/>
    <w:rsid w:val="00F800A2"/>
    <w:rsid w:val="00F80B89"/>
    <w:rsid w:val="00F80D5F"/>
    <w:rsid w:val="00F831D0"/>
    <w:rsid w:val="00F866D4"/>
    <w:rsid w:val="00F90D6C"/>
    <w:rsid w:val="00F92D16"/>
    <w:rsid w:val="00F92FB9"/>
    <w:rsid w:val="00F93EDF"/>
    <w:rsid w:val="00F941E4"/>
    <w:rsid w:val="00F94C6A"/>
    <w:rsid w:val="00FA1802"/>
    <w:rsid w:val="00FA1A19"/>
    <w:rsid w:val="00FA21D0"/>
    <w:rsid w:val="00FA4074"/>
    <w:rsid w:val="00FA5F5F"/>
    <w:rsid w:val="00FB0D58"/>
    <w:rsid w:val="00FB2149"/>
    <w:rsid w:val="00FB4F81"/>
    <w:rsid w:val="00FB5048"/>
    <w:rsid w:val="00FB68CF"/>
    <w:rsid w:val="00FB730C"/>
    <w:rsid w:val="00FB756F"/>
    <w:rsid w:val="00FC2695"/>
    <w:rsid w:val="00FC3E03"/>
    <w:rsid w:val="00FC3FC1"/>
    <w:rsid w:val="00FD0287"/>
    <w:rsid w:val="00FD314F"/>
    <w:rsid w:val="00FD3434"/>
    <w:rsid w:val="00FE0CF9"/>
    <w:rsid w:val="00FF1F68"/>
    <w:rsid w:val="00FF363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customStyle="1" w:styleId="UnresolvedMention1">
    <w:name w:val="Unresolved Mention1"/>
    <w:basedOn w:val="Carpredefinitoparagrafo"/>
    <w:uiPriority w:val="99"/>
    <w:semiHidden/>
    <w:unhideWhenUsed/>
    <w:rsid w:val="00C97CB2"/>
    <w:rPr>
      <w:color w:val="605E5C"/>
      <w:shd w:val="clear" w:color="auto" w:fill="E1DFDD"/>
    </w:rPr>
  </w:style>
  <w:style w:type="paragraph" w:styleId="Revisione">
    <w:name w:val="Revision"/>
    <w:hidden/>
    <w:uiPriority w:val="99"/>
    <w:semiHidden/>
    <w:rsid w:val="007D0DD5"/>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012E37"/>
    <w:rPr>
      <w:color w:val="605E5C"/>
      <w:shd w:val="clear" w:color="auto" w:fill="E1DFDD"/>
    </w:rPr>
  </w:style>
  <w:style w:type="table" w:customStyle="1" w:styleId="TableGrid1">
    <w:name w:val="Table Grid1"/>
    <w:basedOn w:val="Tabellanormale"/>
    <w:next w:val="Grigliatabella"/>
    <w:uiPriority w:val="39"/>
    <w:rsid w:val="008945E4"/>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42943">
      <w:bodyDiv w:val="1"/>
      <w:marLeft w:val="0"/>
      <w:marRight w:val="0"/>
      <w:marTop w:val="0"/>
      <w:marBottom w:val="0"/>
      <w:divBdr>
        <w:top w:val="none" w:sz="0" w:space="0" w:color="auto"/>
        <w:left w:val="none" w:sz="0" w:space="0" w:color="auto"/>
        <w:bottom w:val="none" w:sz="0" w:space="0" w:color="auto"/>
        <w:right w:val="none" w:sz="0" w:space="0" w:color="auto"/>
      </w:divBdr>
    </w:div>
    <w:div w:id="850725185">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984414">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6322">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7624905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uhammad.saadmansha@edu.unig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2DF19-B1F6-4034-86B9-57376CAF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6</Pages>
  <Words>10902</Words>
  <Characters>62145</Characters>
  <Application>Microsoft Office Word</Application>
  <DocSecurity>0</DocSecurity>
  <Lines>517</Lines>
  <Paragraphs>145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72902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Gaia Alessandra</cp:lastModifiedBy>
  <cp:revision>98</cp:revision>
  <cp:lastPrinted>2024-12-13T08:38:00Z</cp:lastPrinted>
  <dcterms:created xsi:type="dcterms:W3CDTF">2024-12-14T18:24:00Z</dcterms:created>
  <dcterms:modified xsi:type="dcterms:W3CDTF">2025-05-09T10:26:00Z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id="sF0sv5Nz"/&gt;&lt;style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ies>
</file>