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jc w:val="center"/>
        <w:tblBorders>
          <w:bottom w:val="single" w:sz="4" w:space="0" w:color="auto"/>
        </w:tblBorders>
        <w:tblLook w:val="01E0" w:firstRow="1" w:lastRow="1" w:firstColumn="1" w:lastColumn="1" w:noHBand="0" w:noVBand="0"/>
      </w:tblPr>
      <w:tblGrid>
        <w:gridCol w:w="6940"/>
        <w:gridCol w:w="1842"/>
      </w:tblGrid>
      <w:tr w:rsidR="000A03B2" w:rsidRPr="00441198" w14:paraId="2A131A54" w14:textId="77777777" w:rsidTr="00984E70">
        <w:trPr>
          <w:trHeight w:val="852"/>
          <w:jc w:val="center"/>
        </w:trPr>
        <w:tc>
          <w:tcPr>
            <w:tcW w:w="6940" w:type="dxa"/>
            <w:vMerge w:val="restart"/>
            <w:tcBorders>
              <w:right w:val="single" w:sz="4" w:space="0" w:color="auto"/>
            </w:tcBorders>
          </w:tcPr>
          <w:p w14:paraId="38C3D2BA" w14:textId="77777777" w:rsidR="000A03B2" w:rsidRPr="00441198" w:rsidRDefault="000A03B2" w:rsidP="00DE264A">
            <w:pPr>
              <w:tabs>
                <w:tab w:val="left" w:pos="-108"/>
              </w:tabs>
              <w:ind w:left="-108"/>
              <w:jc w:val="left"/>
              <w:rPr>
                <w:rFonts w:cs="Arial"/>
                <w:b/>
                <w:bCs/>
                <w:i/>
                <w:iCs/>
                <w:color w:val="000066"/>
                <w:sz w:val="12"/>
                <w:szCs w:val="12"/>
                <w:lang w:eastAsia="it-IT"/>
              </w:rPr>
            </w:pPr>
            <w:bookmarkStart w:id="0" w:name="_Hlk145068772"/>
            <w:r w:rsidRPr="00441198">
              <w:rPr>
                <w:rFonts w:ascii="AdvP6960" w:hAnsi="AdvP6960" w:cs="AdvP6960"/>
                <w:color w:val="241F20"/>
                <w:szCs w:val="18"/>
                <w:lang w:eastAsia="it-IT"/>
              </w:rPr>
              <w:drawing>
                <wp:inline distT="0" distB="0" distL="0" distR="0" wp14:anchorId="02B7C3D3" wp14:editId="5EE03112">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441198">
              <w:rPr>
                <w:rFonts w:ascii="AdvP6960" w:hAnsi="AdvP6960" w:cs="AdvP6960"/>
                <w:color w:val="241F20"/>
                <w:szCs w:val="18"/>
                <w:lang w:eastAsia="it-IT"/>
              </w:rPr>
              <w:t xml:space="preserve"> </w:t>
            </w:r>
            <w:r w:rsidRPr="00441198">
              <w:rPr>
                <w:rFonts w:cs="Arial"/>
                <w:b/>
                <w:bCs/>
                <w:i/>
                <w:iCs/>
                <w:color w:val="000066"/>
                <w:sz w:val="24"/>
                <w:szCs w:val="24"/>
                <w:lang w:eastAsia="it-IT"/>
              </w:rPr>
              <w:t>CHEMICAL ENGINEERING</w:t>
            </w:r>
            <w:r w:rsidRPr="00441198">
              <w:rPr>
                <w:rFonts w:cs="Arial"/>
                <w:b/>
                <w:bCs/>
                <w:i/>
                <w:iCs/>
                <w:color w:val="0033FF"/>
                <w:sz w:val="24"/>
                <w:szCs w:val="24"/>
                <w:lang w:eastAsia="it-IT"/>
              </w:rPr>
              <w:t xml:space="preserve"> </w:t>
            </w:r>
            <w:r w:rsidRPr="00441198">
              <w:rPr>
                <w:rFonts w:cs="Arial"/>
                <w:b/>
                <w:bCs/>
                <w:i/>
                <w:iCs/>
                <w:color w:val="666666"/>
                <w:sz w:val="24"/>
                <w:szCs w:val="24"/>
                <w:lang w:eastAsia="it-IT"/>
              </w:rPr>
              <w:t>TRANSACTIONS</w:t>
            </w:r>
            <w:r w:rsidRPr="00441198">
              <w:rPr>
                <w:color w:val="333333"/>
                <w:sz w:val="24"/>
                <w:szCs w:val="24"/>
                <w:lang w:eastAsia="it-IT"/>
              </w:rPr>
              <w:t xml:space="preserve"> </w:t>
            </w:r>
            <w:r w:rsidRPr="00441198">
              <w:rPr>
                <w:rFonts w:cs="Arial"/>
                <w:b/>
                <w:bCs/>
                <w:i/>
                <w:iCs/>
                <w:color w:val="000066"/>
                <w:sz w:val="27"/>
                <w:szCs w:val="27"/>
                <w:lang w:eastAsia="it-IT"/>
              </w:rPr>
              <w:br/>
            </w:r>
          </w:p>
          <w:p w14:paraId="4B780582" w14:textId="47EF826C" w:rsidR="000A03B2" w:rsidRPr="00441198" w:rsidRDefault="00A76EFC" w:rsidP="001D21AF">
            <w:pPr>
              <w:tabs>
                <w:tab w:val="left" w:pos="-108"/>
              </w:tabs>
              <w:ind w:left="-108"/>
              <w:rPr>
                <w:rFonts w:cs="Arial"/>
                <w:b/>
                <w:bCs/>
                <w:i/>
                <w:iCs/>
                <w:color w:val="000066"/>
                <w:sz w:val="22"/>
                <w:szCs w:val="22"/>
                <w:lang w:eastAsia="it-IT"/>
              </w:rPr>
            </w:pPr>
            <w:r w:rsidRPr="00441198">
              <w:rPr>
                <w:rFonts w:cs="Arial"/>
                <w:b/>
                <w:bCs/>
                <w:i/>
                <w:iCs/>
                <w:color w:val="000066"/>
                <w:sz w:val="22"/>
                <w:szCs w:val="22"/>
                <w:lang w:eastAsia="it-IT"/>
              </w:rPr>
              <w:t>VOL.</w:t>
            </w:r>
            <w:r w:rsidR="00785BF9" w:rsidRPr="00441198">
              <w:rPr>
                <w:rFonts w:cs="Arial"/>
                <w:b/>
                <w:bCs/>
                <w:i/>
                <w:iCs/>
                <w:color w:val="000066"/>
                <w:sz w:val="22"/>
                <w:szCs w:val="22"/>
                <w:lang w:eastAsia="it-IT"/>
              </w:rPr>
              <w:t xml:space="preserve"> </w:t>
            </w:r>
            <w:r w:rsidR="00994C6A" w:rsidRPr="00441198">
              <w:rPr>
                <w:rFonts w:cs="Arial"/>
                <w:b/>
                <w:bCs/>
                <w:i/>
                <w:iCs/>
                <w:color w:val="000066"/>
                <w:sz w:val="22"/>
                <w:szCs w:val="22"/>
                <w:lang w:eastAsia="it-IT"/>
              </w:rPr>
              <w:t>xxx</w:t>
            </w:r>
            <w:r w:rsidR="007B48F9" w:rsidRPr="00441198">
              <w:rPr>
                <w:rFonts w:cs="Arial"/>
                <w:b/>
                <w:bCs/>
                <w:i/>
                <w:iCs/>
                <w:color w:val="000066"/>
                <w:sz w:val="22"/>
                <w:szCs w:val="22"/>
                <w:lang w:eastAsia="it-IT"/>
              </w:rPr>
              <w:t>,</w:t>
            </w:r>
            <w:r w:rsidR="00FA5F5F" w:rsidRPr="00441198">
              <w:rPr>
                <w:rFonts w:cs="Arial"/>
                <w:b/>
                <w:bCs/>
                <w:i/>
                <w:iCs/>
                <w:color w:val="000066"/>
                <w:sz w:val="22"/>
                <w:szCs w:val="22"/>
                <w:lang w:eastAsia="it-IT"/>
              </w:rPr>
              <w:t xml:space="preserve"> </w:t>
            </w:r>
            <w:r w:rsidR="0030152C" w:rsidRPr="00441198">
              <w:rPr>
                <w:rFonts w:cs="Arial"/>
                <w:b/>
                <w:bCs/>
                <w:i/>
                <w:iCs/>
                <w:color w:val="000066"/>
                <w:sz w:val="22"/>
                <w:szCs w:val="22"/>
                <w:lang w:eastAsia="it-IT"/>
              </w:rPr>
              <w:t>202</w:t>
            </w:r>
            <w:r w:rsidR="00994C6A" w:rsidRPr="00441198">
              <w:rPr>
                <w:rFonts w:cs="Arial"/>
                <w:b/>
                <w:bCs/>
                <w:i/>
                <w:iCs/>
                <w:color w:val="000066"/>
                <w:sz w:val="22"/>
                <w:szCs w:val="22"/>
                <w:lang w:eastAsia="it-IT"/>
              </w:rPr>
              <w:t>5</w:t>
            </w:r>
          </w:p>
        </w:tc>
        <w:tc>
          <w:tcPr>
            <w:tcW w:w="1842" w:type="dxa"/>
            <w:tcBorders>
              <w:left w:val="single" w:sz="4" w:space="0" w:color="auto"/>
              <w:bottom w:val="nil"/>
              <w:right w:val="single" w:sz="4" w:space="0" w:color="auto"/>
            </w:tcBorders>
          </w:tcPr>
          <w:p w14:paraId="56782132" w14:textId="77777777" w:rsidR="000A03B2" w:rsidRPr="00441198" w:rsidRDefault="000A03B2" w:rsidP="00CD5FE2">
            <w:pPr>
              <w:spacing w:line="140" w:lineRule="atLeast"/>
              <w:jc w:val="right"/>
              <w:rPr>
                <w:rFonts w:cs="Arial"/>
                <w:sz w:val="14"/>
                <w:szCs w:val="14"/>
              </w:rPr>
            </w:pPr>
            <w:r w:rsidRPr="00441198">
              <w:rPr>
                <w:rFonts w:cs="Arial"/>
                <w:sz w:val="14"/>
                <w:szCs w:val="14"/>
              </w:rPr>
              <w:t>A publication of</w:t>
            </w:r>
          </w:p>
          <w:p w14:paraId="599E5441" w14:textId="77777777" w:rsidR="000A03B2" w:rsidRPr="00441198" w:rsidRDefault="000A03B2" w:rsidP="00CD5FE2">
            <w:pPr>
              <w:jc w:val="right"/>
            </w:pPr>
            <w:r w:rsidRPr="00441198">
              <w:rPr>
                <w:lang w:eastAsia="it-IT"/>
              </w:rPr>
              <w:drawing>
                <wp:inline distT="0" distB="0" distL="0" distR="0" wp14:anchorId="59C75AF4" wp14:editId="4FF92432">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0A03B2" w:rsidRPr="00441198" w14:paraId="380FA3CD" w14:textId="77777777" w:rsidTr="00984E70">
        <w:trPr>
          <w:trHeight w:val="567"/>
          <w:jc w:val="center"/>
        </w:trPr>
        <w:tc>
          <w:tcPr>
            <w:tcW w:w="6940" w:type="dxa"/>
            <w:vMerge/>
            <w:tcBorders>
              <w:right w:val="single" w:sz="4" w:space="0" w:color="auto"/>
            </w:tcBorders>
          </w:tcPr>
          <w:p w14:paraId="39E5E4C1" w14:textId="77777777" w:rsidR="000A03B2" w:rsidRPr="00441198" w:rsidRDefault="000A03B2" w:rsidP="00CD5FE2">
            <w:pPr>
              <w:tabs>
                <w:tab w:val="left" w:pos="-108"/>
              </w:tabs>
            </w:pPr>
          </w:p>
        </w:tc>
        <w:tc>
          <w:tcPr>
            <w:tcW w:w="1842" w:type="dxa"/>
            <w:tcBorders>
              <w:left w:val="single" w:sz="4" w:space="0" w:color="auto"/>
              <w:bottom w:val="nil"/>
              <w:right w:val="single" w:sz="4" w:space="0" w:color="auto"/>
            </w:tcBorders>
          </w:tcPr>
          <w:p w14:paraId="43858A98" w14:textId="77777777" w:rsidR="000A03B2" w:rsidRPr="00441198" w:rsidRDefault="000A03B2" w:rsidP="00CD5FE2">
            <w:pPr>
              <w:spacing w:line="140" w:lineRule="atLeast"/>
              <w:jc w:val="right"/>
              <w:rPr>
                <w:rFonts w:cs="Arial"/>
                <w:sz w:val="14"/>
                <w:szCs w:val="14"/>
              </w:rPr>
            </w:pPr>
            <w:r w:rsidRPr="00441198">
              <w:rPr>
                <w:rFonts w:cs="Arial"/>
                <w:sz w:val="14"/>
                <w:szCs w:val="14"/>
              </w:rPr>
              <w:t>The Italian Association</w:t>
            </w:r>
          </w:p>
          <w:p w14:paraId="7522B1D2" w14:textId="77777777" w:rsidR="000A03B2" w:rsidRPr="00441198" w:rsidRDefault="000A03B2" w:rsidP="00CD5FE2">
            <w:pPr>
              <w:spacing w:line="140" w:lineRule="atLeast"/>
              <w:jc w:val="right"/>
              <w:rPr>
                <w:rFonts w:cs="Arial"/>
                <w:sz w:val="14"/>
                <w:szCs w:val="14"/>
              </w:rPr>
            </w:pPr>
            <w:r w:rsidRPr="00441198">
              <w:rPr>
                <w:rFonts w:cs="Arial"/>
                <w:sz w:val="14"/>
                <w:szCs w:val="14"/>
              </w:rPr>
              <w:t>of Chemical Engineering</w:t>
            </w:r>
          </w:p>
          <w:p w14:paraId="4F0CC5DE" w14:textId="47FDB2FC" w:rsidR="000A03B2" w:rsidRPr="00441198" w:rsidRDefault="000D0268" w:rsidP="00CD5FE2">
            <w:pPr>
              <w:spacing w:line="140" w:lineRule="atLeast"/>
              <w:jc w:val="right"/>
              <w:rPr>
                <w:rFonts w:cs="Arial"/>
                <w:sz w:val="13"/>
                <w:szCs w:val="13"/>
              </w:rPr>
            </w:pPr>
            <w:r w:rsidRPr="00441198">
              <w:rPr>
                <w:rFonts w:cs="Arial"/>
                <w:sz w:val="13"/>
                <w:szCs w:val="13"/>
              </w:rPr>
              <w:t>Online at www.cetjournal.it</w:t>
            </w:r>
          </w:p>
        </w:tc>
      </w:tr>
      <w:tr w:rsidR="000A03B2" w:rsidRPr="00441198" w14:paraId="2D1B7169" w14:textId="77777777" w:rsidTr="00984E70">
        <w:trPr>
          <w:trHeight w:val="68"/>
          <w:jc w:val="center"/>
        </w:trPr>
        <w:tc>
          <w:tcPr>
            <w:tcW w:w="8782" w:type="dxa"/>
            <w:gridSpan w:val="2"/>
          </w:tcPr>
          <w:p w14:paraId="1D8DD3C9" w14:textId="025D7B18" w:rsidR="00AA7D26" w:rsidRPr="00441198" w:rsidRDefault="00AA7D26" w:rsidP="007D610D">
            <w:pPr>
              <w:ind w:left="-107"/>
              <w:outlineLvl w:val="2"/>
              <w:rPr>
                <w:rFonts w:ascii="Tahoma" w:hAnsi="Tahoma" w:cs="Tahoma"/>
                <w:color w:val="000000"/>
                <w:sz w:val="14"/>
                <w:szCs w:val="14"/>
                <w:shd w:val="clear" w:color="auto" w:fill="FFFFFF"/>
              </w:rPr>
            </w:pPr>
            <w:r w:rsidRPr="00441198">
              <w:rPr>
                <w:rFonts w:ascii="Tahoma" w:hAnsi="Tahoma" w:cs="Tahoma"/>
                <w:iCs/>
                <w:color w:val="333333"/>
                <w:sz w:val="14"/>
                <w:szCs w:val="14"/>
                <w:lang w:eastAsia="it-IT"/>
              </w:rPr>
              <w:t>Guest Editors:</w:t>
            </w:r>
            <w:r w:rsidR="007D610D" w:rsidRPr="00441198">
              <w:rPr>
                <w:rFonts w:ascii="Aptos" w:eastAsiaTheme="minorHAnsi" w:hAnsi="Aptos" w:cs="Aptos"/>
                <w:sz w:val="22"/>
                <w:szCs w:val="22"/>
                <w14:ligatures w14:val="standardContextual"/>
              </w:rPr>
              <w:t xml:space="preserve"> </w:t>
            </w:r>
            <w:r w:rsidR="007D610D" w:rsidRPr="00441198">
              <w:rPr>
                <w:rFonts w:ascii="Tahoma" w:hAnsi="Tahoma" w:cs="Tahoma"/>
                <w:color w:val="000000"/>
                <w:sz w:val="14"/>
                <w:szCs w:val="14"/>
                <w:shd w:val="clear" w:color="auto" w:fill="FFFFFF"/>
              </w:rPr>
              <w:t xml:space="preserve">Fabrizio Bezzo, </w:t>
            </w:r>
            <w:r w:rsidR="001D3D32" w:rsidRPr="00441198">
              <w:rPr>
                <w:rFonts w:ascii="Tahoma" w:hAnsi="Tahoma" w:cs="Tahoma"/>
                <w:color w:val="000000"/>
                <w:sz w:val="14"/>
                <w:szCs w:val="14"/>
                <w:shd w:val="clear" w:color="auto" w:fill="FFFFFF"/>
              </w:rPr>
              <w:t>Flavio Manenti</w:t>
            </w:r>
            <w:r w:rsidR="00304CE8" w:rsidRPr="00441198">
              <w:rPr>
                <w:rFonts w:ascii="Tahoma" w:hAnsi="Tahoma" w:cs="Tahoma"/>
                <w:color w:val="000000"/>
                <w:sz w:val="14"/>
                <w:szCs w:val="14"/>
                <w:shd w:val="clear" w:color="auto" w:fill="FFFFFF"/>
              </w:rPr>
              <w:t>,</w:t>
            </w:r>
            <w:r w:rsidR="001D3D32" w:rsidRPr="00441198">
              <w:rPr>
                <w:rFonts w:ascii="Tahoma" w:hAnsi="Tahoma" w:cs="Tahoma"/>
                <w:color w:val="000000"/>
                <w:sz w:val="14"/>
                <w:szCs w:val="14"/>
                <w:shd w:val="clear" w:color="auto" w:fill="FFFFFF"/>
              </w:rPr>
              <w:t xml:space="preserve"> </w:t>
            </w:r>
            <w:r w:rsidR="007D610D" w:rsidRPr="00441198">
              <w:rPr>
                <w:rFonts w:ascii="Tahoma" w:hAnsi="Tahoma" w:cs="Tahoma"/>
                <w:color w:val="000000"/>
                <w:sz w:val="14"/>
                <w:szCs w:val="14"/>
                <w:shd w:val="clear" w:color="auto" w:fill="FFFFFF"/>
              </w:rPr>
              <w:t>Gabriele Pannocchia, Almerinda di Benedetto</w:t>
            </w:r>
          </w:p>
          <w:p w14:paraId="1B0F1814" w14:textId="7C54DC3A" w:rsidR="000A03B2" w:rsidRPr="00441198" w:rsidRDefault="00AA7D26" w:rsidP="00AA7D26">
            <w:pPr>
              <w:tabs>
                <w:tab w:val="left" w:pos="-108"/>
              </w:tabs>
              <w:spacing w:line="140" w:lineRule="atLeast"/>
              <w:ind w:left="-107"/>
              <w:jc w:val="left"/>
            </w:pPr>
            <w:r w:rsidRPr="00441198">
              <w:rPr>
                <w:rFonts w:ascii="Tahoma" w:hAnsi="Tahoma" w:cs="Tahoma"/>
                <w:iCs/>
                <w:color w:val="333333"/>
                <w:sz w:val="14"/>
                <w:szCs w:val="14"/>
                <w:lang w:eastAsia="it-IT"/>
              </w:rPr>
              <w:t>Copyright © 202</w:t>
            </w:r>
            <w:r w:rsidR="00994C6A" w:rsidRPr="00441198">
              <w:rPr>
                <w:rFonts w:ascii="Tahoma" w:hAnsi="Tahoma" w:cs="Tahoma"/>
                <w:iCs/>
                <w:color w:val="333333"/>
                <w:sz w:val="14"/>
                <w:szCs w:val="14"/>
                <w:lang w:eastAsia="it-IT"/>
              </w:rPr>
              <w:t>5</w:t>
            </w:r>
            <w:r w:rsidRPr="00441198">
              <w:rPr>
                <w:rFonts w:ascii="Tahoma" w:hAnsi="Tahoma" w:cs="Tahoma"/>
                <w:iCs/>
                <w:color w:val="333333"/>
                <w:sz w:val="14"/>
                <w:szCs w:val="14"/>
                <w:lang w:eastAsia="it-IT"/>
              </w:rPr>
              <w:t>, AIDIC Servizi S.r.l.</w:t>
            </w:r>
            <w:r w:rsidRPr="00441198">
              <w:rPr>
                <w:rFonts w:ascii="Tahoma" w:hAnsi="Tahoma" w:cs="Tahoma"/>
                <w:iCs/>
                <w:color w:val="333333"/>
                <w:sz w:val="14"/>
                <w:szCs w:val="14"/>
                <w:lang w:eastAsia="it-IT"/>
              </w:rPr>
              <w:br/>
            </w:r>
            <w:r w:rsidRPr="00441198">
              <w:rPr>
                <w:rFonts w:ascii="Tahoma" w:hAnsi="Tahoma" w:cs="Tahoma"/>
                <w:b/>
                <w:iCs/>
                <w:color w:val="000000"/>
                <w:sz w:val="14"/>
                <w:szCs w:val="14"/>
                <w:lang w:eastAsia="it-IT"/>
              </w:rPr>
              <w:t>ISBN</w:t>
            </w:r>
            <w:r w:rsidRPr="00441198">
              <w:rPr>
                <w:rFonts w:ascii="Tahoma" w:hAnsi="Tahoma" w:cs="Tahoma"/>
                <w:iCs/>
                <w:color w:val="000000"/>
                <w:sz w:val="14"/>
                <w:szCs w:val="14"/>
                <w:lang w:eastAsia="it-IT"/>
              </w:rPr>
              <w:t xml:space="preserve"> </w:t>
            </w:r>
            <w:r w:rsidR="003B49CD" w:rsidRPr="00441198">
              <w:rPr>
                <w:rFonts w:ascii="Tahoma" w:hAnsi="Tahoma" w:cs="Tahoma"/>
                <w:sz w:val="14"/>
                <w:szCs w:val="14"/>
              </w:rPr>
              <w:t>979-12-81206-1</w:t>
            </w:r>
            <w:r w:rsidR="00994C6A" w:rsidRPr="00441198">
              <w:rPr>
                <w:rFonts w:ascii="Tahoma" w:hAnsi="Tahoma" w:cs="Tahoma"/>
                <w:sz w:val="14"/>
                <w:szCs w:val="14"/>
              </w:rPr>
              <w:t>7</w:t>
            </w:r>
            <w:r w:rsidR="003B49CD" w:rsidRPr="00441198">
              <w:rPr>
                <w:rFonts w:ascii="Tahoma" w:hAnsi="Tahoma" w:cs="Tahoma"/>
                <w:sz w:val="14"/>
                <w:szCs w:val="14"/>
              </w:rPr>
              <w:t>-</w:t>
            </w:r>
            <w:r w:rsidR="00994C6A" w:rsidRPr="00441198">
              <w:rPr>
                <w:rFonts w:ascii="Tahoma" w:hAnsi="Tahoma" w:cs="Tahoma"/>
                <w:sz w:val="14"/>
                <w:szCs w:val="14"/>
              </w:rPr>
              <w:t>5</w:t>
            </w:r>
            <w:r w:rsidRPr="00441198">
              <w:rPr>
                <w:rFonts w:ascii="Tahoma" w:hAnsi="Tahoma" w:cs="Tahoma"/>
                <w:iCs/>
                <w:color w:val="333333"/>
                <w:sz w:val="14"/>
                <w:szCs w:val="14"/>
                <w:lang w:eastAsia="it-IT"/>
              </w:rPr>
              <w:t xml:space="preserve">; </w:t>
            </w:r>
            <w:r w:rsidRPr="00441198">
              <w:rPr>
                <w:rFonts w:ascii="Tahoma" w:hAnsi="Tahoma" w:cs="Tahoma"/>
                <w:b/>
                <w:iCs/>
                <w:color w:val="333333"/>
                <w:sz w:val="14"/>
                <w:szCs w:val="14"/>
                <w:lang w:eastAsia="it-IT"/>
              </w:rPr>
              <w:t>ISSN</w:t>
            </w:r>
            <w:r w:rsidRPr="00441198">
              <w:rPr>
                <w:rFonts w:ascii="Tahoma" w:hAnsi="Tahoma" w:cs="Tahoma"/>
                <w:iCs/>
                <w:color w:val="333333"/>
                <w:sz w:val="14"/>
                <w:szCs w:val="14"/>
                <w:lang w:eastAsia="it-IT"/>
              </w:rPr>
              <w:t xml:space="preserve"> 2283-9216</w:t>
            </w:r>
          </w:p>
        </w:tc>
      </w:tr>
    </w:tbl>
    <w:bookmarkEnd w:id="0"/>
    <w:p w14:paraId="72D94DF7" w14:textId="77777777" w:rsidR="00984E70" w:rsidRPr="00441198" w:rsidRDefault="00984E70" w:rsidP="002A620F">
      <w:pPr>
        <w:pStyle w:val="CETTitle"/>
        <w:rPr>
          <w:noProof/>
        </w:rPr>
      </w:pPr>
      <w:r w:rsidRPr="00441198">
        <w:rPr>
          <w:noProof/>
        </w:rPr>
        <w:t>Density and Surface-Tension Modeling of Binary Mixtures containing a Deep Eutectic Solvent</w:t>
      </w:r>
    </w:p>
    <w:p w14:paraId="744A4554" w14:textId="4F797BA5" w:rsidR="00984E70" w:rsidRPr="009C6E8A" w:rsidRDefault="00984E70" w:rsidP="00984E70">
      <w:pPr>
        <w:pStyle w:val="CETAuthors"/>
        <w:jc w:val="center"/>
        <w:rPr>
          <w:lang w:val="es-MX"/>
        </w:rPr>
      </w:pPr>
      <w:r w:rsidRPr="009C6E8A">
        <w:rPr>
          <w:lang w:val="es-MX"/>
        </w:rPr>
        <w:t>Daniela Méndez-Díaz &amp; Ricardo Macías-Salinas</w:t>
      </w:r>
      <w:r w:rsidR="00441198" w:rsidRPr="009C6E8A">
        <w:rPr>
          <w:lang w:val="es-MX"/>
        </w:rPr>
        <w:t>*</w:t>
      </w:r>
    </w:p>
    <w:p w14:paraId="6052AAA3" w14:textId="7A82B8C3" w:rsidR="00984E70" w:rsidRPr="009C6E8A" w:rsidRDefault="00984E70" w:rsidP="00984E70">
      <w:pPr>
        <w:pStyle w:val="CETAddress"/>
        <w:jc w:val="both"/>
        <w:rPr>
          <w:lang w:val="es-MX"/>
        </w:rPr>
      </w:pPr>
      <w:r w:rsidRPr="009C6E8A">
        <w:rPr>
          <w:lang w:val="es-MX"/>
        </w:rPr>
        <w:t>SEPI-ESIQIE, Departamento de Ingeniería Química, Instituto Politécnico Nacional, UPALM, Zacatenco, Ciudad de México 07738</w:t>
      </w:r>
    </w:p>
    <w:p w14:paraId="5E692A9F" w14:textId="579D0BED" w:rsidR="00984E70" w:rsidRPr="00435EF2" w:rsidRDefault="00984E70" w:rsidP="00984E70">
      <w:pPr>
        <w:pStyle w:val="CETemail"/>
        <w:rPr>
          <w:rFonts w:cs="Arial"/>
          <w:lang w:val="es-MX"/>
        </w:rPr>
      </w:pPr>
      <w:r w:rsidRPr="00435EF2">
        <w:rPr>
          <w:rFonts w:cs="Arial"/>
          <w:lang w:val="es-MX"/>
        </w:rPr>
        <w:t xml:space="preserve">dmendezd1500@alumno.ipn.mx / </w:t>
      </w:r>
      <w:r w:rsidR="009C6E8A" w:rsidRPr="00435EF2">
        <w:rPr>
          <w:rFonts w:cs="Arial"/>
          <w:lang w:val="es-MX"/>
        </w:rPr>
        <w:t>*</w:t>
      </w:r>
      <w:r w:rsidRPr="00435EF2">
        <w:rPr>
          <w:rStyle w:val="Internetlink"/>
          <w:rFonts w:cs="Arial"/>
          <w:color w:val="000000"/>
          <w:u w:val="none"/>
          <w:lang w:val="es-MX"/>
        </w:rPr>
        <w:t>rms@ipn.mx</w:t>
      </w:r>
      <w:r w:rsidRPr="00435EF2">
        <w:rPr>
          <w:rStyle w:val="Internetlink"/>
          <w:rFonts w:cs="Arial"/>
          <w:color w:val="000000"/>
          <w:lang w:val="es-MX"/>
        </w:rPr>
        <w:t xml:space="preserve"> </w:t>
      </w:r>
    </w:p>
    <w:p w14:paraId="0394F5D3" w14:textId="77777777" w:rsidR="00984E70" w:rsidRPr="00435EF2" w:rsidRDefault="00984E70" w:rsidP="00984E70">
      <w:pPr>
        <w:pStyle w:val="Standard"/>
        <w:rPr>
          <w:rFonts w:ascii="Arial" w:hAnsi="Arial" w:cs="Arial"/>
          <w:noProof/>
          <w:lang w:val="es-MX"/>
        </w:rPr>
      </w:pPr>
    </w:p>
    <w:p w14:paraId="04A74DE3" w14:textId="77777777" w:rsidR="00984E70" w:rsidRDefault="00984E70" w:rsidP="00984E70">
      <w:pPr>
        <w:pStyle w:val="Standard"/>
        <w:rPr>
          <w:rFonts w:ascii="Arial" w:eastAsia="MS Mincho" w:hAnsi="Arial" w:cs="Arial"/>
          <w:noProof/>
          <w:sz w:val="18"/>
          <w:szCs w:val="18"/>
          <w:lang w:eastAsia="ja-JP"/>
        </w:rPr>
      </w:pPr>
      <w:bookmarkStart w:id="1" w:name="_Hlk184146614"/>
      <w:r w:rsidRPr="00435EF2">
        <w:rPr>
          <w:rFonts w:ascii="Arial" w:eastAsia="MS Mincho" w:hAnsi="Arial" w:cs="Arial"/>
          <w:noProof/>
          <w:sz w:val="18"/>
          <w:szCs w:val="18"/>
          <w:lang w:val="es-MX" w:eastAsia="ja-JP"/>
        </w:rPr>
        <w:t xml:space="preserve">   </w:t>
      </w:r>
      <w:r w:rsidRPr="00441198">
        <w:rPr>
          <w:rFonts w:ascii="Arial" w:eastAsia="MS Mincho" w:hAnsi="Arial" w:cs="Arial"/>
          <w:noProof/>
          <w:sz w:val="18"/>
          <w:szCs w:val="18"/>
          <w:lang w:eastAsia="ja-JP"/>
        </w:rPr>
        <w:t>In this work, the Gibbs adsorption equation (GAE) coupled with a cubic equation of state (CEoS: Soave-Redlich-Kwong or Peng-Robinson) was applied to represent the surface tension of binary solutions consisting of a polar, associating substance (e.g. water, ethanol and acetonitrile) and a deep eutectic solvent (e.g. choline chloride/urea and tetraethylammonium bromide/ethylene glycol) over the whole composition range, at atmospheric pressure, and within a temperature range varying from 10 to 35 °C. As a matter of fact, the main thermodynamic potentials (fugacity coefficients in the bulk and surface liquid phases) present in the resulting GAE-based model were estimated via the use of the CEoS which also served to model the experimental mixture density data of the aforementioned mixtures using various volume translation and refitting techniques, thus obtaining highly satisfactory results.</w:t>
      </w:r>
    </w:p>
    <w:bookmarkEnd w:id="1"/>
    <w:p w14:paraId="2163B3B7" w14:textId="208DA426" w:rsidR="00984E70" w:rsidRPr="00441198" w:rsidRDefault="00984E70" w:rsidP="00984E70">
      <w:pPr>
        <w:pStyle w:val="CETHeading1"/>
        <w:rPr>
          <w:noProof/>
          <w:lang w:val="en-GB"/>
        </w:rPr>
      </w:pPr>
      <w:r w:rsidRPr="00441198">
        <w:rPr>
          <w:noProof/>
          <w:lang w:val="en-GB"/>
        </w:rPr>
        <w:t>Introduction</w:t>
      </w:r>
    </w:p>
    <w:p w14:paraId="08F23A71" w14:textId="6B9C397A" w:rsidR="00984E70" w:rsidRPr="00441198" w:rsidRDefault="00984E70" w:rsidP="00984E70">
      <w:pPr>
        <w:pStyle w:val="CETBodytext"/>
        <w:rPr>
          <w:noProof/>
          <w:szCs w:val="18"/>
          <w:lang w:val="en-GB"/>
        </w:rPr>
      </w:pPr>
      <w:r w:rsidRPr="00441198">
        <w:rPr>
          <w:noProof/>
          <w:szCs w:val="18"/>
          <w:lang w:val="en-GB"/>
        </w:rPr>
        <w:t xml:space="preserve">   </w:t>
      </w:r>
      <w:bookmarkStart w:id="2" w:name="_Hlk184985893"/>
      <w:r w:rsidRPr="00441198">
        <w:rPr>
          <w:noProof/>
          <w:szCs w:val="18"/>
          <w:lang w:val="en-GB"/>
        </w:rPr>
        <w:t>Density and surface tension are fundamental properties in mixtures involving associating fluids, such as deep eutectic solvents (DESs), playing a pivotal role in various industrial applications. Density provides critical insights into volumetric behavior and molecular interactions, facilitating the design and optimization of separation equipment, chemical reactors, and energy storage systems</w:t>
      </w:r>
      <w:r w:rsidR="00B85EF2" w:rsidRPr="00441198">
        <w:rPr>
          <w:noProof/>
          <w:szCs w:val="18"/>
          <w:lang w:val="en-GB"/>
        </w:rPr>
        <w:t xml:space="preserve"> (Smith et al., 2005)</w:t>
      </w:r>
      <w:r w:rsidRPr="00441198">
        <w:rPr>
          <w:noProof/>
          <w:szCs w:val="18"/>
          <w:lang w:val="en-GB"/>
        </w:rPr>
        <w:t>. Surface tension, on the other hand, governs interfacial phenomena, impacting phase stability, mass transfer, and heat transfer processes</w:t>
      </w:r>
      <w:r w:rsidR="004E50D8" w:rsidRPr="00441198">
        <w:rPr>
          <w:noProof/>
          <w:szCs w:val="18"/>
          <w:lang w:val="en-GB"/>
        </w:rPr>
        <w:t xml:space="preserve"> (Rosen and Kunjappu, 2012)</w:t>
      </w:r>
      <w:r w:rsidRPr="00441198">
        <w:rPr>
          <w:noProof/>
          <w:szCs w:val="18"/>
          <w:lang w:val="en-GB"/>
        </w:rPr>
        <w:t>. These properties are indispensable in applications like liquid-liquid extraction, catalysis, distillation, and coatings, where precise control of interfacial behavior is essential</w:t>
      </w:r>
      <w:r w:rsidR="004E50D8" w:rsidRPr="00441198">
        <w:rPr>
          <w:noProof/>
          <w:szCs w:val="18"/>
          <w:lang w:val="en-GB"/>
        </w:rPr>
        <w:t xml:space="preserve"> (Shuler and Kargi, 2002)</w:t>
      </w:r>
      <w:r w:rsidRPr="00441198">
        <w:rPr>
          <w:noProof/>
          <w:szCs w:val="18"/>
          <w:lang w:val="en-GB"/>
        </w:rPr>
        <w:t>.</w:t>
      </w:r>
    </w:p>
    <w:p w14:paraId="4FB8B50D" w14:textId="419FD297" w:rsidR="00984E70" w:rsidRPr="00441198" w:rsidRDefault="00984E70" w:rsidP="00984E70">
      <w:pPr>
        <w:pStyle w:val="CETBodytext"/>
        <w:rPr>
          <w:noProof/>
          <w:szCs w:val="18"/>
          <w:lang w:val="en-GB"/>
        </w:rPr>
      </w:pPr>
      <w:r w:rsidRPr="00441198">
        <w:rPr>
          <w:noProof/>
          <w:szCs w:val="18"/>
          <w:lang w:val="en-GB"/>
        </w:rPr>
        <w:t xml:space="preserve">   In the context of DESs, density serves as an indicator of the molecular interactions between hydrogen bond donors (HBDs) and acceptors (HBAs), reflecting the structural organization of the fluid. Surface tension, meanwhile, influences the formation and stability of interfaces, which is critical in systems involving multi-phase equilibria or transfer processes</w:t>
      </w:r>
      <w:r w:rsidR="00B85EF2" w:rsidRPr="00441198">
        <w:rPr>
          <w:noProof/>
          <w:szCs w:val="18"/>
          <w:lang w:val="en-GB"/>
        </w:rPr>
        <w:t xml:space="preserve"> (</w:t>
      </w:r>
      <w:r w:rsidR="00B85EF2" w:rsidRPr="00441198">
        <w:rPr>
          <w:noProof/>
          <w:lang w:val="en-GB"/>
        </w:rPr>
        <w:t>Smith et al., 2014)</w:t>
      </w:r>
      <w:r w:rsidRPr="00441198">
        <w:rPr>
          <w:noProof/>
          <w:szCs w:val="18"/>
          <w:lang w:val="en-GB"/>
        </w:rPr>
        <w:t>. The accurate estimation of these properties is vital for the development and optimization of technologies that leverage the unique characteristics of DESs</w:t>
      </w:r>
      <w:r w:rsidR="00285FDA" w:rsidRPr="00441198">
        <w:rPr>
          <w:noProof/>
          <w:szCs w:val="18"/>
          <w:lang w:val="en-GB"/>
        </w:rPr>
        <w:t xml:space="preserve"> (Shahbaz et al., 2012)</w:t>
      </w:r>
      <w:r w:rsidRPr="00441198">
        <w:rPr>
          <w:noProof/>
          <w:szCs w:val="18"/>
          <w:lang w:val="en-GB"/>
        </w:rPr>
        <w:t>, such as their low toxicity, high tunability, and biodegradability</w:t>
      </w:r>
      <w:r w:rsidR="00285FDA" w:rsidRPr="00441198">
        <w:rPr>
          <w:noProof/>
          <w:szCs w:val="18"/>
          <w:lang w:val="en-GB"/>
        </w:rPr>
        <w:t xml:space="preserve"> (Zhao et al., 2007)</w:t>
      </w:r>
      <w:r w:rsidRPr="00441198">
        <w:rPr>
          <w:noProof/>
          <w:szCs w:val="18"/>
          <w:lang w:val="en-GB"/>
        </w:rPr>
        <w:t>.</w:t>
      </w:r>
    </w:p>
    <w:p w14:paraId="7C068FCE" w14:textId="6A9635E6" w:rsidR="00984E70" w:rsidRPr="00441198" w:rsidRDefault="00984E70" w:rsidP="00984E70">
      <w:pPr>
        <w:pStyle w:val="CETBodytext"/>
        <w:rPr>
          <w:noProof/>
          <w:szCs w:val="18"/>
          <w:lang w:val="en-GB"/>
        </w:rPr>
      </w:pPr>
      <w:r w:rsidRPr="00441198">
        <w:rPr>
          <w:noProof/>
          <w:szCs w:val="18"/>
          <w:lang w:val="en-GB"/>
        </w:rPr>
        <w:t xml:space="preserve">   To address the complexity of modeling such properties, this study focuses on the development of a robust thermodynamic framework capable of accurately predicting density and surface tension in binary mixtures containing DESs. The approach combines the Gibbs Adsorption Equation (GAE) with a cubic equation of state (CEoS), specifically Soave-Redlich-Kwong or Peng-Robinson, to model the thermophysical behavior of binary mixtures. These mixtures consist of a polar and associating component (e.g., water, ethanol, or acetonitrile) and a DES (e.g., choline chloride/urea or tetraethylammonium bromide/ethylene glycol), within a temperature range of 10 to 35 °C at atmospheric pressure </w:t>
      </w:r>
      <w:r w:rsidR="00964142" w:rsidRPr="00441198">
        <w:rPr>
          <w:noProof/>
          <w:szCs w:val="18"/>
          <w:lang w:val="en-GB"/>
        </w:rPr>
        <w:t>(Wei et al., 2023)</w:t>
      </w:r>
      <w:r w:rsidRPr="00441198">
        <w:rPr>
          <w:noProof/>
          <w:szCs w:val="18"/>
          <w:lang w:val="en-GB"/>
        </w:rPr>
        <w:t>.</w:t>
      </w:r>
    </w:p>
    <w:p w14:paraId="22C7DB1B" w14:textId="246DFB51" w:rsidR="00984E70" w:rsidRPr="00441198" w:rsidRDefault="00984E70" w:rsidP="00984E70">
      <w:pPr>
        <w:pStyle w:val="CETBodytext"/>
        <w:rPr>
          <w:noProof/>
          <w:szCs w:val="18"/>
          <w:lang w:val="en-GB"/>
        </w:rPr>
      </w:pPr>
      <w:r w:rsidRPr="00441198">
        <w:rPr>
          <w:noProof/>
          <w:szCs w:val="18"/>
          <w:lang w:val="en-GB"/>
        </w:rPr>
        <w:t xml:space="preserve">   The density model employs volume translation and parameter-fitting techniques to achieve high accuracy in reproducing experimental data. Simultaneously, the surface tension model uses mixing rules to incorporate compositional dependence into the attraction and repulsion parameters of the CEoS. This integration ensures a robust relationship between surface tension, temperature, and mixture composition.</w:t>
      </w:r>
    </w:p>
    <w:p w14:paraId="682D6BA7" w14:textId="39ACE686" w:rsidR="00984E70" w:rsidRDefault="00984E70" w:rsidP="00984E70">
      <w:pPr>
        <w:pStyle w:val="CETBodytext"/>
        <w:rPr>
          <w:noProof/>
          <w:szCs w:val="18"/>
          <w:lang w:val="en-GB"/>
        </w:rPr>
      </w:pPr>
      <w:r w:rsidRPr="00441198">
        <w:rPr>
          <w:noProof/>
          <w:szCs w:val="18"/>
          <w:lang w:val="en-GB"/>
        </w:rPr>
        <w:lastRenderedPageBreak/>
        <w:t xml:space="preserve">   The results demonstrate the model's ability to represent the complex behavior of DES-containing mixtures, offering a reliable tool for understanding and optimizing their thermophysical properties. These advancements are particularly relevant for sustainable processes and advanced engineering applications, such as green chemistry, solvent-based separations, and renewable energy systems.</w:t>
      </w:r>
    </w:p>
    <w:p w14:paraId="3187E57F" w14:textId="7C552E99" w:rsidR="00984E70" w:rsidRPr="00441198" w:rsidRDefault="00984E70" w:rsidP="00984E70">
      <w:pPr>
        <w:pStyle w:val="CETHeading1"/>
        <w:rPr>
          <w:noProof/>
          <w:lang w:val="en-GB"/>
        </w:rPr>
      </w:pPr>
      <w:bookmarkStart w:id="3" w:name="_Hlk184986023"/>
      <w:bookmarkEnd w:id="2"/>
      <w:r w:rsidRPr="00441198">
        <w:rPr>
          <w:noProof/>
          <w:lang w:val="en-GB"/>
        </w:rPr>
        <w:t>Description of the Model</w:t>
      </w:r>
      <w:bookmarkEnd w:id="3"/>
    </w:p>
    <w:p w14:paraId="457C0E55" w14:textId="77777777" w:rsidR="00984E70" w:rsidRPr="00441198" w:rsidRDefault="00984E70" w:rsidP="00984E70">
      <w:pPr>
        <w:pStyle w:val="CETBodytext"/>
        <w:rPr>
          <w:noProof/>
          <w:szCs w:val="18"/>
          <w:lang w:val="en-GB"/>
        </w:rPr>
      </w:pPr>
      <w:bookmarkStart w:id="4" w:name="_Hlk184986092"/>
      <w:r w:rsidRPr="00441198">
        <w:rPr>
          <w:noProof/>
          <w:szCs w:val="18"/>
          <w:lang w:val="en-GB"/>
        </w:rPr>
        <w:t xml:space="preserve">   This work presents the development of a thermodynamic models to estimate fundamental properties such as density and surface tension in mixtures containing deep eutectic solvents (DESs), which are treated as a pseudopure compound. The density model is based on a Cubic Equation of State (CEoS), such as Soave-Redlich-Kwong or Peng-Robinson, employing classical Van der Waals mixing rules and volume translation techniques to fit experimental data. Meanwhile, the surface tension model uses the Gibbs Adsorption Equation (GAE) coupled with the CEoS, establishing a relationship between volumetric properties and fugacity coefficients to accurately estimate surface tension in binary mixtures composed of polar and associative components, such as water, ethanol, and acetonitrile.</w:t>
      </w:r>
    </w:p>
    <w:bookmarkEnd w:id="4"/>
    <w:p w14:paraId="433E9A83" w14:textId="77777777" w:rsidR="00984E70" w:rsidRPr="00441198" w:rsidRDefault="00984E70" w:rsidP="00984E70">
      <w:pPr>
        <w:pStyle w:val="CETBodytext"/>
        <w:tabs>
          <w:tab w:val="clear" w:pos="7100"/>
          <w:tab w:val="right" w:pos="8787"/>
        </w:tabs>
        <w:spacing w:line="240" w:lineRule="auto"/>
        <w:rPr>
          <w:noProof/>
          <w:szCs w:val="18"/>
          <w:lang w:val="en-GB"/>
        </w:rPr>
      </w:pPr>
    </w:p>
    <w:p w14:paraId="53BA5FF1" w14:textId="29FF85F7" w:rsidR="00984E70" w:rsidRPr="00441198" w:rsidRDefault="002A620F" w:rsidP="002A620F">
      <w:pPr>
        <w:pStyle w:val="CETheadingx"/>
        <w:numPr>
          <w:ilvl w:val="0"/>
          <w:numId w:val="0"/>
        </w:numPr>
        <w:rPr>
          <w:noProof/>
          <w:lang w:val="en-GB"/>
        </w:rPr>
      </w:pPr>
      <w:bookmarkStart w:id="5" w:name="_Hlk184986167"/>
      <w:r w:rsidRPr="00441198">
        <w:rPr>
          <w:noProof/>
          <w:lang w:val="en-GB"/>
        </w:rPr>
        <w:t>2.</w:t>
      </w:r>
      <w:r w:rsidR="00984E70" w:rsidRPr="00441198">
        <w:rPr>
          <w:noProof/>
          <w:lang w:val="en-GB"/>
        </w:rPr>
        <w:t>1 Density Model</w:t>
      </w:r>
    </w:p>
    <w:p w14:paraId="2FFF7DEA" w14:textId="499A8223" w:rsidR="00984E70" w:rsidRPr="00441198" w:rsidRDefault="00984E70" w:rsidP="00984E70">
      <w:pPr>
        <w:pStyle w:val="CETBodytext"/>
        <w:rPr>
          <w:noProof/>
          <w:szCs w:val="18"/>
          <w:lang w:val="en-GB"/>
        </w:rPr>
      </w:pPr>
      <w:r w:rsidRPr="00441198">
        <w:rPr>
          <w:noProof/>
          <w:szCs w:val="18"/>
          <w:lang w:val="en-GB"/>
        </w:rPr>
        <w:t xml:space="preserve">   As previously mentioned, the proposed density model is developed using a cubic equation of state of the Peng-Robinson (PR) type, applied to both pure compounds and mixtures. To enhance the accuracy in representing the molar volume, a Péneloux-type volume correction factor is incorporated. Thus, the equation of state with the corrected volume is expressed as shown in Eq</w:t>
      </w:r>
      <w:r w:rsidR="00B85EF2" w:rsidRPr="00441198">
        <w:rPr>
          <w:noProof/>
          <w:szCs w:val="18"/>
          <w:lang w:val="en-GB"/>
        </w:rPr>
        <w:t>.</w:t>
      </w:r>
      <w:r w:rsidRPr="00441198">
        <w:rPr>
          <w:noProof/>
          <w:szCs w:val="18"/>
          <w:lang w:val="en-GB"/>
        </w:rPr>
        <w:t xml:space="preserve"> (1).</w:t>
      </w:r>
    </w:p>
    <w:p w14:paraId="778E39EB" w14:textId="77777777" w:rsidR="00984E70" w:rsidRPr="00441198" w:rsidRDefault="00984E70" w:rsidP="00984E70">
      <w:pPr>
        <w:pStyle w:val="Piedepgina"/>
        <w:tabs>
          <w:tab w:val="center" w:pos="4410"/>
          <w:tab w:val="right" w:pos="8730"/>
          <w:tab w:val="right" w:pos="8789"/>
        </w:tabs>
        <w:rPr>
          <w:rFonts w:cs="Arial"/>
          <w:szCs w:val="18"/>
        </w:rPr>
      </w:pPr>
    </w:p>
    <w:tbl>
      <w:tblPr>
        <w:tblW w:w="8777" w:type="dxa"/>
        <w:tblCellMar>
          <w:left w:w="10" w:type="dxa"/>
          <w:right w:w="10" w:type="dxa"/>
        </w:tblCellMar>
        <w:tblLook w:val="04A0" w:firstRow="1" w:lastRow="0" w:firstColumn="1" w:lastColumn="0" w:noHBand="0" w:noVBand="1"/>
      </w:tblPr>
      <w:tblGrid>
        <w:gridCol w:w="8188"/>
        <w:gridCol w:w="589"/>
      </w:tblGrid>
      <w:tr w:rsidR="00984E70" w:rsidRPr="00441198" w14:paraId="302D00AF" w14:textId="77777777" w:rsidTr="00D46ECB">
        <w:tc>
          <w:tcPr>
            <w:tcW w:w="8188" w:type="dxa"/>
            <w:shd w:val="clear" w:color="auto" w:fill="auto"/>
            <w:tcMar>
              <w:top w:w="0" w:type="dxa"/>
              <w:left w:w="108" w:type="dxa"/>
              <w:bottom w:w="0" w:type="dxa"/>
              <w:right w:w="108" w:type="dxa"/>
            </w:tcMar>
          </w:tcPr>
          <w:p w14:paraId="2650EA41" w14:textId="0AB92274" w:rsidR="00984E70" w:rsidRPr="00441198" w:rsidRDefault="00984E70" w:rsidP="00D46ECB">
            <w:pPr>
              <w:pStyle w:val="Standard"/>
              <w:spacing w:line="240" w:lineRule="auto"/>
              <w:jc w:val="left"/>
              <w:rPr>
                <w:rFonts w:ascii="Arial" w:hAnsi="Arial" w:cs="Arial"/>
                <w:noProof/>
                <w:sz w:val="18"/>
                <w:szCs w:val="18"/>
              </w:rPr>
            </w:pPr>
            <m:oMathPara>
              <m:oMathParaPr>
                <m:jc m:val="left"/>
              </m:oMathParaPr>
              <m:oMath>
                <m:r>
                  <w:rPr>
                    <w:rFonts w:ascii="Cambria Math" w:hAnsi="Cambria Math" w:cs="Arial"/>
                    <w:noProof/>
                    <w:sz w:val="18"/>
                    <w:szCs w:val="18"/>
                  </w:rPr>
                  <m:t>P=</m:t>
                </m:r>
                <m:f>
                  <m:fPr>
                    <m:ctrlPr>
                      <w:rPr>
                        <w:rFonts w:ascii="Cambria Math" w:hAnsi="Cambria Math" w:cs="Arial"/>
                        <w:noProof/>
                        <w:sz w:val="18"/>
                        <w:szCs w:val="18"/>
                      </w:rPr>
                    </m:ctrlPr>
                  </m:fPr>
                  <m:num>
                    <m:r>
                      <w:rPr>
                        <w:rFonts w:ascii="Cambria Math" w:hAnsi="Cambria Math" w:cs="Arial"/>
                        <w:noProof/>
                        <w:sz w:val="18"/>
                        <w:szCs w:val="18"/>
                      </w:rPr>
                      <m:t>RT</m:t>
                    </m:r>
                  </m:num>
                  <m:den>
                    <m:d>
                      <m:dPr>
                        <m:ctrlPr>
                          <w:rPr>
                            <w:rFonts w:ascii="Cambria Math" w:hAnsi="Cambria Math" w:cs="Arial"/>
                            <w:noProof/>
                            <w:sz w:val="18"/>
                            <w:szCs w:val="18"/>
                          </w:rPr>
                        </m:ctrlPr>
                      </m:dPr>
                      <m:e>
                        <m:sSub>
                          <m:sSubPr>
                            <m:ctrlPr>
                              <w:rPr>
                                <w:rFonts w:ascii="Cambria Math" w:hAnsi="Cambria Math" w:cs="Arial"/>
                                <w:noProof/>
                                <w:sz w:val="18"/>
                                <w:szCs w:val="18"/>
                              </w:rPr>
                            </m:ctrlPr>
                          </m:sSubPr>
                          <m:e>
                            <m:r>
                              <w:rPr>
                                <w:rFonts w:ascii="Cambria Math" w:hAnsi="Cambria Math" w:cs="Arial"/>
                                <w:noProof/>
                                <w:sz w:val="18"/>
                                <w:szCs w:val="18"/>
                              </w:rPr>
                              <m:t>V</m:t>
                            </m:r>
                          </m:e>
                          <m:sub>
                            <m:r>
                              <w:rPr>
                                <w:rFonts w:ascii="Cambria Math" w:hAnsi="Cambria Math" w:cs="Arial"/>
                                <w:noProof/>
                                <w:sz w:val="18"/>
                                <w:szCs w:val="18"/>
                              </w:rPr>
                              <m:t>corr</m:t>
                            </m:r>
                          </m:sub>
                        </m:sSub>
                        <m:r>
                          <w:rPr>
                            <w:rFonts w:ascii="Cambria Math" w:hAnsi="Cambria Math" w:cs="Arial"/>
                            <w:noProof/>
                            <w:sz w:val="18"/>
                            <w:szCs w:val="18"/>
                          </w:rPr>
                          <m:t>+c-b</m:t>
                        </m:r>
                      </m:e>
                    </m:d>
                  </m:den>
                </m:f>
                <m:r>
                  <w:rPr>
                    <w:rFonts w:ascii="Cambria Math" w:hAnsi="Cambria Math" w:cs="Arial"/>
                    <w:noProof/>
                    <w:sz w:val="18"/>
                    <w:szCs w:val="18"/>
                  </w:rPr>
                  <m:t>-</m:t>
                </m:r>
                <m:f>
                  <m:fPr>
                    <m:ctrlPr>
                      <w:rPr>
                        <w:rFonts w:ascii="Cambria Math" w:hAnsi="Cambria Math" w:cs="Arial"/>
                        <w:noProof/>
                        <w:sz w:val="18"/>
                        <w:szCs w:val="18"/>
                      </w:rPr>
                    </m:ctrlPr>
                  </m:fPr>
                  <m:num>
                    <m:r>
                      <w:rPr>
                        <w:rFonts w:ascii="Cambria Math" w:hAnsi="Cambria Math" w:cs="Arial"/>
                        <w:noProof/>
                        <w:sz w:val="18"/>
                        <w:szCs w:val="18"/>
                      </w:rPr>
                      <m:t>a</m:t>
                    </m:r>
                  </m:num>
                  <m:den>
                    <m:r>
                      <w:rPr>
                        <w:rFonts w:ascii="Cambria Math" w:hAnsi="Cambria Math" w:cs="Arial"/>
                        <w:noProof/>
                        <w:sz w:val="18"/>
                        <w:szCs w:val="18"/>
                      </w:rPr>
                      <m:t>(</m:t>
                    </m:r>
                    <m:sSub>
                      <m:sSubPr>
                        <m:ctrlPr>
                          <w:rPr>
                            <w:rFonts w:ascii="Cambria Math" w:hAnsi="Cambria Math" w:cs="Arial"/>
                            <w:noProof/>
                            <w:sz w:val="18"/>
                            <w:szCs w:val="18"/>
                          </w:rPr>
                        </m:ctrlPr>
                      </m:sSubPr>
                      <m:e>
                        <m:r>
                          <w:rPr>
                            <w:rFonts w:ascii="Cambria Math" w:hAnsi="Cambria Math" w:cs="Arial"/>
                            <w:noProof/>
                            <w:sz w:val="18"/>
                            <w:szCs w:val="18"/>
                          </w:rPr>
                          <m:t>V</m:t>
                        </m:r>
                      </m:e>
                      <m:sub>
                        <m:r>
                          <w:rPr>
                            <w:rFonts w:ascii="Cambria Math" w:hAnsi="Cambria Math" w:cs="Arial"/>
                            <w:noProof/>
                            <w:sz w:val="18"/>
                            <w:szCs w:val="18"/>
                          </w:rPr>
                          <m:t>corr</m:t>
                        </m:r>
                      </m:sub>
                    </m:sSub>
                    <m:r>
                      <w:rPr>
                        <w:rFonts w:ascii="Cambria Math" w:hAnsi="Cambria Math" w:cs="Arial"/>
                        <w:noProof/>
                        <w:sz w:val="18"/>
                        <w:szCs w:val="18"/>
                      </w:rPr>
                      <m:t>+c)</m:t>
                    </m:r>
                    <m:d>
                      <m:dPr>
                        <m:ctrlPr>
                          <w:rPr>
                            <w:rFonts w:ascii="Cambria Math" w:hAnsi="Cambria Math" w:cs="Arial"/>
                            <w:noProof/>
                            <w:sz w:val="18"/>
                            <w:szCs w:val="18"/>
                          </w:rPr>
                        </m:ctrlPr>
                      </m:dPr>
                      <m:e>
                        <m:sSub>
                          <m:sSubPr>
                            <m:ctrlPr>
                              <w:rPr>
                                <w:rFonts w:ascii="Cambria Math" w:hAnsi="Cambria Math" w:cs="Arial"/>
                                <w:noProof/>
                                <w:sz w:val="18"/>
                                <w:szCs w:val="18"/>
                              </w:rPr>
                            </m:ctrlPr>
                          </m:sSubPr>
                          <m:e>
                            <m:r>
                              <w:rPr>
                                <w:rFonts w:ascii="Cambria Math" w:hAnsi="Cambria Math" w:cs="Arial"/>
                                <w:noProof/>
                                <w:sz w:val="18"/>
                                <w:szCs w:val="18"/>
                              </w:rPr>
                              <m:t>V</m:t>
                            </m:r>
                          </m:e>
                          <m:sub>
                            <m:r>
                              <w:rPr>
                                <w:rFonts w:ascii="Cambria Math" w:hAnsi="Cambria Math" w:cs="Arial"/>
                                <w:noProof/>
                                <w:sz w:val="18"/>
                                <w:szCs w:val="18"/>
                              </w:rPr>
                              <m:t>corr</m:t>
                            </m:r>
                          </m:sub>
                        </m:sSub>
                        <m:r>
                          <w:rPr>
                            <w:rFonts w:ascii="Cambria Math" w:hAnsi="Cambria Math" w:cs="Arial"/>
                            <w:noProof/>
                            <w:sz w:val="18"/>
                            <w:szCs w:val="18"/>
                          </w:rPr>
                          <m:t>+c+b</m:t>
                        </m:r>
                      </m:e>
                    </m:d>
                    <m:r>
                      <w:rPr>
                        <w:rFonts w:ascii="Cambria Math" w:hAnsi="Cambria Math" w:cs="Arial"/>
                        <w:noProof/>
                        <w:sz w:val="18"/>
                        <w:szCs w:val="18"/>
                      </w:rPr>
                      <m:t>+b(</m:t>
                    </m:r>
                    <m:sSub>
                      <m:sSubPr>
                        <m:ctrlPr>
                          <w:rPr>
                            <w:rFonts w:ascii="Cambria Math" w:hAnsi="Cambria Math" w:cs="Arial"/>
                            <w:noProof/>
                            <w:sz w:val="18"/>
                            <w:szCs w:val="18"/>
                          </w:rPr>
                        </m:ctrlPr>
                      </m:sSubPr>
                      <m:e>
                        <m:r>
                          <w:rPr>
                            <w:rFonts w:ascii="Cambria Math" w:hAnsi="Cambria Math" w:cs="Arial"/>
                            <w:noProof/>
                            <w:sz w:val="18"/>
                            <w:szCs w:val="18"/>
                          </w:rPr>
                          <m:t>V</m:t>
                        </m:r>
                      </m:e>
                      <m:sub>
                        <m:r>
                          <w:rPr>
                            <w:rFonts w:ascii="Cambria Math" w:hAnsi="Cambria Math" w:cs="Arial"/>
                            <w:noProof/>
                            <w:sz w:val="18"/>
                            <w:szCs w:val="18"/>
                          </w:rPr>
                          <m:t>corr</m:t>
                        </m:r>
                      </m:sub>
                    </m:sSub>
                    <m:r>
                      <w:rPr>
                        <w:rFonts w:ascii="Cambria Math" w:hAnsi="Cambria Math" w:cs="Arial"/>
                        <w:noProof/>
                        <w:sz w:val="18"/>
                        <w:szCs w:val="18"/>
                      </w:rPr>
                      <m:t>+c-b)</m:t>
                    </m:r>
                  </m:den>
                </m:f>
              </m:oMath>
            </m:oMathPara>
          </w:p>
        </w:tc>
        <w:tc>
          <w:tcPr>
            <w:tcW w:w="589" w:type="dxa"/>
            <w:shd w:val="clear" w:color="auto" w:fill="auto"/>
            <w:tcMar>
              <w:top w:w="0" w:type="dxa"/>
              <w:left w:w="108" w:type="dxa"/>
              <w:bottom w:w="0" w:type="dxa"/>
              <w:right w:w="108" w:type="dxa"/>
            </w:tcMar>
            <w:vAlign w:val="center"/>
          </w:tcPr>
          <w:p w14:paraId="09377916" w14:textId="77777777" w:rsidR="00984E70" w:rsidRPr="00441198" w:rsidRDefault="00984E70" w:rsidP="00B85EF2">
            <w:pPr>
              <w:pStyle w:val="Standard"/>
              <w:spacing w:line="240" w:lineRule="auto"/>
              <w:jc w:val="right"/>
              <w:rPr>
                <w:rFonts w:ascii="Arial" w:hAnsi="Arial" w:cs="Arial"/>
                <w:noProof/>
                <w:kern w:val="3"/>
                <w:sz w:val="18"/>
                <w:szCs w:val="18"/>
              </w:rPr>
            </w:pPr>
            <w:r w:rsidRPr="00441198">
              <w:rPr>
                <w:rFonts w:ascii="Arial" w:hAnsi="Arial" w:cs="Arial"/>
                <w:noProof/>
                <w:kern w:val="3"/>
                <w:sz w:val="18"/>
                <w:szCs w:val="18"/>
              </w:rPr>
              <w:t>(1)</w:t>
            </w:r>
          </w:p>
        </w:tc>
      </w:tr>
      <w:tr w:rsidR="00984E70" w:rsidRPr="00441198" w14:paraId="1E8AD2FF" w14:textId="77777777" w:rsidTr="00D46ECB">
        <w:tc>
          <w:tcPr>
            <w:tcW w:w="8777" w:type="dxa"/>
            <w:gridSpan w:val="2"/>
            <w:shd w:val="clear" w:color="auto" w:fill="auto"/>
            <w:tcMar>
              <w:top w:w="0" w:type="dxa"/>
              <w:left w:w="108" w:type="dxa"/>
              <w:bottom w:w="0" w:type="dxa"/>
              <w:right w:w="108" w:type="dxa"/>
            </w:tcMar>
          </w:tcPr>
          <w:p w14:paraId="497FFC2F" w14:textId="77777777" w:rsidR="00984E70" w:rsidRPr="00441198" w:rsidRDefault="00984E70" w:rsidP="00D46ECB">
            <w:pPr>
              <w:pStyle w:val="CETBodytext"/>
              <w:rPr>
                <w:noProof/>
                <w:szCs w:val="18"/>
                <w:lang w:val="en-GB"/>
              </w:rPr>
            </w:pPr>
          </w:p>
          <w:p w14:paraId="4DFA8345" w14:textId="6B3E8B35" w:rsidR="00984E70" w:rsidRPr="00441198" w:rsidRDefault="00984E70" w:rsidP="00D46ECB">
            <w:pPr>
              <w:pStyle w:val="CETBodytext"/>
              <w:rPr>
                <w:noProof/>
                <w:szCs w:val="18"/>
                <w:lang w:val="en-GB"/>
              </w:rPr>
            </w:pPr>
            <w:r w:rsidRPr="00441198">
              <w:rPr>
                <w:noProof/>
                <w:szCs w:val="18"/>
                <w:lang w:val="en-GB"/>
              </w:rPr>
              <w:t xml:space="preserve">   Where the volume corrected according to Péneloux</w:t>
            </w:r>
            <w:r w:rsidR="00B85EF2" w:rsidRPr="00441198">
              <w:rPr>
                <w:noProof/>
                <w:szCs w:val="18"/>
                <w:lang w:val="en-GB"/>
              </w:rPr>
              <w:t xml:space="preserve"> et al. (1982) is</w:t>
            </w:r>
            <w:r w:rsidRPr="00441198">
              <w:rPr>
                <w:noProof/>
                <w:szCs w:val="18"/>
                <w:lang w:val="en-GB"/>
              </w:rPr>
              <w:t xml:space="preserve"> defined as shown in Eq</w:t>
            </w:r>
            <w:r w:rsidR="00B85EF2" w:rsidRPr="00441198">
              <w:rPr>
                <w:noProof/>
                <w:szCs w:val="18"/>
                <w:lang w:val="en-GB"/>
              </w:rPr>
              <w:t>.</w:t>
            </w:r>
            <w:r w:rsidRPr="00441198">
              <w:rPr>
                <w:noProof/>
                <w:szCs w:val="18"/>
                <w:lang w:val="en-GB"/>
              </w:rPr>
              <w:t xml:space="preserve"> (2).</w:t>
            </w:r>
          </w:p>
        </w:tc>
      </w:tr>
      <w:tr w:rsidR="00984E70" w:rsidRPr="00441198" w14:paraId="6766C124" w14:textId="77777777" w:rsidTr="00D46ECB">
        <w:trPr>
          <w:trHeight w:val="392"/>
        </w:trPr>
        <w:tc>
          <w:tcPr>
            <w:tcW w:w="8188" w:type="dxa"/>
            <w:shd w:val="clear" w:color="auto" w:fill="auto"/>
            <w:tcMar>
              <w:top w:w="0" w:type="dxa"/>
              <w:left w:w="108" w:type="dxa"/>
              <w:bottom w:w="0" w:type="dxa"/>
              <w:right w:w="108" w:type="dxa"/>
            </w:tcMar>
            <w:vAlign w:val="center"/>
          </w:tcPr>
          <w:p w14:paraId="4ECD4DD0" w14:textId="3BB64FE1" w:rsidR="00984E70" w:rsidRPr="00441198" w:rsidRDefault="00000000" w:rsidP="00D46ECB">
            <w:pPr>
              <w:pStyle w:val="Standard"/>
              <w:spacing w:line="240" w:lineRule="auto"/>
              <w:jc w:val="left"/>
              <w:rPr>
                <w:rFonts w:ascii="Arial" w:hAnsi="Arial" w:cs="Arial"/>
                <w:noProof/>
                <w:sz w:val="18"/>
                <w:szCs w:val="18"/>
              </w:rPr>
            </w:pPr>
            <m:oMathPara>
              <m:oMathParaPr>
                <m:jc m:val="left"/>
              </m:oMathParaPr>
              <m:oMath>
                <m:sSub>
                  <m:sSubPr>
                    <m:ctrlPr>
                      <w:rPr>
                        <w:rFonts w:ascii="Cambria Math" w:hAnsi="Cambria Math" w:cs="Arial"/>
                        <w:noProof/>
                        <w:sz w:val="18"/>
                        <w:szCs w:val="18"/>
                      </w:rPr>
                    </m:ctrlPr>
                  </m:sSubPr>
                  <m:e>
                    <m:r>
                      <m:rPr>
                        <m:sty m:val="p"/>
                      </m:rPr>
                      <w:rPr>
                        <w:rFonts w:ascii="Cambria Math" w:hAnsi="Cambria Math" w:cs="Arial"/>
                        <w:noProof/>
                        <w:sz w:val="18"/>
                        <w:szCs w:val="18"/>
                      </w:rPr>
                      <m:t>V</m:t>
                    </m:r>
                  </m:e>
                  <m:sub>
                    <m:r>
                      <m:rPr>
                        <m:sty m:val="p"/>
                      </m:rPr>
                      <w:rPr>
                        <w:rFonts w:ascii="Cambria Math" w:hAnsi="Cambria Math" w:cs="Arial"/>
                        <w:noProof/>
                        <w:sz w:val="18"/>
                        <w:szCs w:val="18"/>
                      </w:rPr>
                      <m:t>corr</m:t>
                    </m:r>
                  </m:sub>
                </m:sSub>
                <m:r>
                  <w:rPr>
                    <w:rFonts w:ascii="Cambria Math" w:hAnsi="Cambria Math" w:cs="Arial"/>
                    <w:noProof/>
                    <w:sz w:val="18"/>
                    <w:szCs w:val="18"/>
                  </w:rPr>
                  <m:t>=</m:t>
                </m:r>
                <m:r>
                  <m:rPr>
                    <m:sty m:val="p"/>
                  </m:rPr>
                  <w:rPr>
                    <w:rFonts w:ascii="Cambria Math" w:hAnsi="Cambria Math" w:cs="Arial"/>
                    <w:noProof/>
                    <w:sz w:val="18"/>
                    <w:szCs w:val="18"/>
                  </w:rPr>
                  <m:t>V</m:t>
                </m:r>
                <m:r>
                  <w:rPr>
                    <w:rFonts w:ascii="Cambria Math" w:hAnsi="Cambria Math" w:cs="Arial"/>
                    <w:noProof/>
                    <w:sz w:val="18"/>
                    <w:szCs w:val="18"/>
                  </w:rPr>
                  <m:t>-c</m:t>
                </m:r>
              </m:oMath>
            </m:oMathPara>
          </w:p>
        </w:tc>
        <w:tc>
          <w:tcPr>
            <w:tcW w:w="589" w:type="dxa"/>
            <w:shd w:val="clear" w:color="auto" w:fill="auto"/>
            <w:tcMar>
              <w:top w:w="0" w:type="dxa"/>
              <w:left w:w="108" w:type="dxa"/>
              <w:bottom w:w="0" w:type="dxa"/>
              <w:right w:w="108" w:type="dxa"/>
            </w:tcMar>
            <w:vAlign w:val="center"/>
          </w:tcPr>
          <w:p w14:paraId="352F01D9" w14:textId="77777777" w:rsidR="00984E70" w:rsidRPr="00441198" w:rsidRDefault="00984E70" w:rsidP="00B85EF2">
            <w:pPr>
              <w:pStyle w:val="Standard"/>
              <w:spacing w:line="240" w:lineRule="auto"/>
              <w:jc w:val="right"/>
              <w:rPr>
                <w:rFonts w:ascii="Arial" w:hAnsi="Arial" w:cs="Arial"/>
                <w:noProof/>
                <w:kern w:val="3"/>
                <w:sz w:val="18"/>
                <w:szCs w:val="18"/>
              </w:rPr>
            </w:pPr>
            <w:r w:rsidRPr="00441198">
              <w:rPr>
                <w:rFonts w:ascii="Arial" w:hAnsi="Arial" w:cs="Arial"/>
                <w:noProof/>
                <w:kern w:val="3"/>
                <w:sz w:val="18"/>
                <w:szCs w:val="18"/>
              </w:rPr>
              <w:t>(2)</w:t>
            </w:r>
          </w:p>
        </w:tc>
      </w:tr>
      <w:tr w:rsidR="00984E70" w:rsidRPr="00441198" w14:paraId="317414F1" w14:textId="77777777" w:rsidTr="00D46ECB">
        <w:tc>
          <w:tcPr>
            <w:tcW w:w="8777" w:type="dxa"/>
            <w:gridSpan w:val="2"/>
            <w:shd w:val="clear" w:color="auto" w:fill="auto"/>
            <w:tcMar>
              <w:top w:w="0" w:type="dxa"/>
              <w:left w:w="108" w:type="dxa"/>
              <w:bottom w:w="0" w:type="dxa"/>
              <w:right w:w="108" w:type="dxa"/>
            </w:tcMar>
          </w:tcPr>
          <w:p w14:paraId="6C0C5DB7" w14:textId="77777777" w:rsidR="00984E70" w:rsidRPr="00441198" w:rsidRDefault="00984E70" w:rsidP="00D46ECB">
            <w:pPr>
              <w:pStyle w:val="CETBodytext"/>
              <w:rPr>
                <w:noProof/>
                <w:szCs w:val="18"/>
                <w:lang w:val="en-GB"/>
              </w:rPr>
            </w:pPr>
            <w:r w:rsidRPr="00441198">
              <w:rPr>
                <w:noProof/>
                <w:szCs w:val="18"/>
                <w:lang w:val="en-GB"/>
              </w:rPr>
              <w:t xml:space="preserve">   Where </w:t>
            </w:r>
            <w:r w:rsidRPr="00441198">
              <w:rPr>
                <w:i/>
                <w:iCs/>
                <w:noProof/>
                <w:szCs w:val="18"/>
                <w:lang w:val="en-GB"/>
              </w:rPr>
              <w:t>V</w:t>
            </w:r>
            <w:r w:rsidRPr="00441198">
              <w:rPr>
                <w:noProof/>
                <w:szCs w:val="18"/>
                <w:lang w:val="en-GB"/>
              </w:rPr>
              <w:t xml:space="preserve"> is the molar volume obtained from the equation of state, and </w:t>
            </w:r>
            <w:r w:rsidRPr="00441198">
              <w:rPr>
                <w:i/>
                <w:iCs/>
                <w:noProof/>
                <w:szCs w:val="18"/>
                <w:lang w:val="en-GB"/>
              </w:rPr>
              <w:t>c</w:t>
            </w:r>
            <w:r w:rsidRPr="00441198">
              <w:rPr>
                <w:noProof/>
                <w:szCs w:val="18"/>
                <w:lang w:val="en-GB"/>
              </w:rPr>
              <w:t xml:space="preserve"> is the volume correction factor, which has a constant value for the fluid.</w:t>
            </w:r>
          </w:p>
        </w:tc>
      </w:tr>
      <w:tr w:rsidR="00984E70" w:rsidRPr="00441198" w14:paraId="6D3687B9" w14:textId="77777777" w:rsidTr="00D46ECB">
        <w:tc>
          <w:tcPr>
            <w:tcW w:w="8777" w:type="dxa"/>
            <w:gridSpan w:val="2"/>
            <w:shd w:val="clear" w:color="auto" w:fill="auto"/>
            <w:tcMar>
              <w:top w:w="0" w:type="dxa"/>
              <w:left w:w="108" w:type="dxa"/>
              <w:bottom w:w="0" w:type="dxa"/>
              <w:right w:w="108" w:type="dxa"/>
            </w:tcMar>
          </w:tcPr>
          <w:p w14:paraId="4D5424E9" w14:textId="77777777" w:rsidR="00984E70" w:rsidRPr="00441198" w:rsidRDefault="00984E70" w:rsidP="00D46ECB">
            <w:pPr>
              <w:pStyle w:val="CETBodytext"/>
              <w:rPr>
                <w:noProof/>
                <w:szCs w:val="18"/>
                <w:lang w:val="en-GB"/>
              </w:rPr>
            </w:pPr>
          </w:p>
          <w:p w14:paraId="3018E3CD" w14:textId="4C71F323" w:rsidR="00984E70" w:rsidRPr="00441198" w:rsidRDefault="00984E70" w:rsidP="00D46ECB">
            <w:pPr>
              <w:pStyle w:val="CETBodytext"/>
              <w:rPr>
                <w:noProof/>
                <w:szCs w:val="18"/>
                <w:lang w:val="en-GB"/>
              </w:rPr>
            </w:pPr>
            <w:r w:rsidRPr="00441198">
              <w:rPr>
                <w:noProof/>
                <w:szCs w:val="18"/>
                <w:lang w:val="en-GB"/>
              </w:rPr>
              <w:t xml:space="preserve">   </w:t>
            </w:r>
            <w:r w:rsidRPr="00441198">
              <w:rPr>
                <w:i/>
                <w:iCs/>
                <w:noProof/>
                <w:szCs w:val="18"/>
                <w:lang w:val="en-GB"/>
              </w:rPr>
              <w:t>a</w:t>
            </w:r>
            <w:r w:rsidRPr="00441198">
              <w:rPr>
                <w:noProof/>
                <w:szCs w:val="18"/>
                <w:lang w:val="en-GB"/>
              </w:rPr>
              <w:t xml:space="preserve">, the parameter representing the attraction between molecules, is calculated based on the critical properties and depends on the temperature (accounted for in the parameter </w:t>
            </w:r>
            <w:r w:rsidRPr="00441198">
              <w:rPr>
                <w:i/>
                <w:iCs/>
                <w:noProof/>
                <w:szCs w:val="18"/>
                <w:lang w:val="en-GB"/>
              </w:rPr>
              <w:t>α</w:t>
            </w:r>
            <w:r w:rsidRPr="00441198">
              <w:rPr>
                <w:noProof/>
                <w:szCs w:val="18"/>
                <w:lang w:val="en-GB"/>
              </w:rPr>
              <w:t>) and the acentric factor (</w:t>
            </w:r>
            <w:r w:rsidRPr="00441198">
              <w:rPr>
                <w:i/>
                <w:iCs/>
                <w:noProof/>
                <w:szCs w:val="18"/>
                <w:lang w:val="en-GB"/>
              </w:rPr>
              <w:t>ω</w:t>
            </w:r>
            <w:r w:rsidRPr="00441198">
              <w:rPr>
                <w:noProof/>
                <w:szCs w:val="18"/>
                <w:lang w:val="en-GB"/>
              </w:rPr>
              <w:t>), as shown in Eqs</w:t>
            </w:r>
            <w:r w:rsidR="00B85EF2" w:rsidRPr="00441198">
              <w:rPr>
                <w:noProof/>
                <w:szCs w:val="18"/>
                <w:lang w:val="en-GB"/>
              </w:rPr>
              <w:t>.</w:t>
            </w:r>
            <w:r w:rsidRPr="00441198">
              <w:rPr>
                <w:noProof/>
                <w:szCs w:val="18"/>
                <w:lang w:val="en-GB"/>
              </w:rPr>
              <w:t xml:space="preserve"> (3), (4), (5), (6), and (7).</w:t>
            </w:r>
          </w:p>
          <w:p w14:paraId="45E7EB31" w14:textId="77777777" w:rsidR="00984E70" w:rsidRPr="00441198" w:rsidRDefault="00984E70" w:rsidP="00D46ECB">
            <w:pPr>
              <w:pStyle w:val="CETBodytext"/>
              <w:rPr>
                <w:noProof/>
                <w:szCs w:val="18"/>
                <w:lang w:val="en-GB"/>
              </w:rPr>
            </w:pPr>
          </w:p>
        </w:tc>
      </w:tr>
      <w:tr w:rsidR="00984E70" w:rsidRPr="00441198" w14:paraId="2CC098AB" w14:textId="77777777" w:rsidTr="00D46ECB">
        <w:tc>
          <w:tcPr>
            <w:tcW w:w="8188" w:type="dxa"/>
            <w:shd w:val="clear" w:color="auto" w:fill="auto"/>
            <w:tcMar>
              <w:top w:w="0" w:type="dxa"/>
              <w:left w:w="108" w:type="dxa"/>
              <w:bottom w:w="0" w:type="dxa"/>
              <w:right w:w="108" w:type="dxa"/>
            </w:tcMar>
          </w:tcPr>
          <w:p w14:paraId="6001A4A3" w14:textId="533F6251" w:rsidR="00984E70" w:rsidRPr="00441198" w:rsidRDefault="00984E70" w:rsidP="00D46ECB">
            <w:pPr>
              <w:pStyle w:val="Standard"/>
              <w:jc w:val="left"/>
              <w:rPr>
                <w:rFonts w:ascii="Arial" w:hAnsi="Arial" w:cs="Arial"/>
                <w:noProof/>
                <w:sz w:val="18"/>
                <w:szCs w:val="18"/>
              </w:rPr>
            </w:pPr>
            <m:oMathPara>
              <m:oMathParaPr>
                <m:jc m:val="left"/>
              </m:oMathParaPr>
              <m:oMath>
                <m:r>
                  <m:rPr>
                    <m:sty m:val="p"/>
                  </m:rPr>
                  <w:rPr>
                    <w:rFonts w:ascii="Cambria Math" w:hAnsi="Cambria Math" w:cs="Arial"/>
                    <w:noProof/>
                    <w:sz w:val="18"/>
                    <w:szCs w:val="18"/>
                  </w:rPr>
                  <m:t>a</m:t>
                </m:r>
                <m:r>
                  <w:rPr>
                    <w:rFonts w:ascii="Cambria Math" w:hAnsi="Cambria Math" w:cs="Arial"/>
                    <w:noProof/>
                    <w:sz w:val="18"/>
                    <w:szCs w:val="18"/>
                  </w:rPr>
                  <m:t>=</m:t>
                </m:r>
                <m:sSub>
                  <m:sSubPr>
                    <m:ctrlPr>
                      <w:rPr>
                        <w:rFonts w:ascii="Cambria Math" w:hAnsi="Cambria Math" w:cs="Arial"/>
                        <w:noProof/>
                        <w:sz w:val="18"/>
                        <w:szCs w:val="18"/>
                      </w:rPr>
                    </m:ctrlPr>
                  </m:sSubPr>
                  <m:e>
                    <m:r>
                      <m:rPr>
                        <m:sty m:val="p"/>
                      </m:rPr>
                      <w:rPr>
                        <w:rFonts w:ascii="Cambria Math" w:hAnsi="Cambria Math" w:cs="Arial"/>
                        <w:noProof/>
                        <w:sz w:val="18"/>
                        <w:szCs w:val="18"/>
                      </w:rPr>
                      <m:t>a</m:t>
                    </m:r>
                  </m:e>
                  <m:sub>
                    <m:r>
                      <m:rPr>
                        <m:sty m:val="p"/>
                      </m:rPr>
                      <w:rPr>
                        <w:rFonts w:ascii="Cambria Math" w:hAnsi="Cambria Math" w:cs="Arial"/>
                        <w:noProof/>
                        <w:sz w:val="18"/>
                        <w:szCs w:val="18"/>
                      </w:rPr>
                      <m:t>c</m:t>
                    </m:r>
                  </m:sub>
                </m:sSub>
                <m:r>
                  <m:rPr>
                    <m:sty m:val="p"/>
                  </m:rPr>
                  <w:rPr>
                    <w:rFonts w:ascii="Cambria Math" w:hAnsi="Cambria Math" w:cs="Arial"/>
                    <w:noProof/>
                    <w:sz w:val="18"/>
                    <w:szCs w:val="18"/>
                  </w:rPr>
                  <m:t>α</m:t>
                </m:r>
              </m:oMath>
            </m:oMathPara>
          </w:p>
          <w:p w14:paraId="3A15F8BA" w14:textId="68D55CEA" w:rsidR="00984E70" w:rsidRPr="00441198" w:rsidRDefault="00000000" w:rsidP="00D46ECB">
            <w:pPr>
              <w:pStyle w:val="Standard"/>
              <w:jc w:val="left"/>
              <w:rPr>
                <w:rFonts w:ascii="Arial" w:hAnsi="Arial" w:cs="Arial"/>
                <w:noProof/>
                <w:sz w:val="18"/>
                <w:szCs w:val="18"/>
              </w:rPr>
            </w:pPr>
            <m:oMathPara>
              <m:oMathParaPr>
                <m:jc m:val="left"/>
              </m:oMathParaPr>
              <m:oMath>
                <m:sSub>
                  <m:sSubPr>
                    <m:ctrlPr>
                      <w:rPr>
                        <w:rFonts w:ascii="Cambria Math" w:hAnsi="Cambria Math" w:cs="Arial"/>
                        <w:noProof/>
                        <w:sz w:val="18"/>
                        <w:szCs w:val="18"/>
                      </w:rPr>
                    </m:ctrlPr>
                  </m:sSubPr>
                  <m:e>
                    <m:r>
                      <m:rPr>
                        <m:sty m:val="p"/>
                      </m:rPr>
                      <w:rPr>
                        <w:rFonts w:ascii="Cambria Math" w:hAnsi="Cambria Math" w:cs="Arial"/>
                        <w:noProof/>
                        <w:sz w:val="18"/>
                        <w:szCs w:val="18"/>
                      </w:rPr>
                      <m:t>a</m:t>
                    </m:r>
                  </m:e>
                  <m:sub>
                    <m:r>
                      <m:rPr>
                        <m:sty m:val="p"/>
                      </m:rPr>
                      <w:rPr>
                        <w:rFonts w:ascii="Cambria Math" w:hAnsi="Cambria Math" w:cs="Arial"/>
                        <w:noProof/>
                        <w:sz w:val="18"/>
                        <w:szCs w:val="18"/>
                      </w:rPr>
                      <m:t>c</m:t>
                    </m:r>
                  </m:sub>
                </m:sSub>
                <m:r>
                  <w:rPr>
                    <w:rFonts w:ascii="Cambria Math" w:hAnsi="Cambria Math" w:cs="Arial"/>
                    <w:noProof/>
                    <w:sz w:val="18"/>
                    <w:szCs w:val="18"/>
                  </w:rPr>
                  <m:t>=0.45724</m:t>
                </m:r>
                <m:f>
                  <m:fPr>
                    <m:ctrlPr>
                      <w:rPr>
                        <w:rFonts w:ascii="Cambria Math" w:hAnsi="Cambria Math" w:cs="Arial"/>
                        <w:noProof/>
                        <w:sz w:val="18"/>
                        <w:szCs w:val="18"/>
                      </w:rPr>
                    </m:ctrlPr>
                  </m:fPr>
                  <m:num>
                    <m:sSup>
                      <m:sSupPr>
                        <m:ctrlPr>
                          <w:rPr>
                            <w:rFonts w:ascii="Cambria Math" w:hAnsi="Cambria Math" w:cs="Arial"/>
                            <w:noProof/>
                            <w:sz w:val="18"/>
                            <w:szCs w:val="18"/>
                          </w:rPr>
                        </m:ctrlPr>
                      </m:sSupPr>
                      <m:e>
                        <m:r>
                          <m:rPr>
                            <m:sty m:val="p"/>
                          </m:rPr>
                          <w:rPr>
                            <w:rFonts w:ascii="Cambria Math" w:hAnsi="Cambria Math" w:cs="Arial"/>
                            <w:noProof/>
                            <w:sz w:val="18"/>
                            <w:szCs w:val="18"/>
                          </w:rPr>
                          <m:t>R</m:t>
                        </m:r>
                      </m:e>
                      <m:sup>
                        <m:r>
                          <w:rPr>
                            <w:rFonts w:ascii="Cambria Math" w:hAnsi="Cambria Math" w:cs="Arial"/>
                            <w:noProof/>
                            <w:sz w:val="18"/>
                            <w:szCs w:val="18"/>
                          </w:rPr>
                          <m:t>2</m:t>
                        </m:r>
                      </m:sup>
                    </m:sSup>
                    <m:sSup>
                      <m:sSupPr>
                        <m:ctrlPr>
                          <w:rPr>
                            <w:rFonts w:ascii="Cambria Math" w:hAnsi="Cambria Math" w:cs="Arial"/>
                            <w:noProof/>
                            <w:sz w:val="18"/>
                            <w:szCs w:val="18"/>
                          </w:rPr>
                        </m:ctrlPr>
                      </m:sSupPr>
                      <m:e>
                        <m:r>
                          <m:rPr>
                            <m:sty m:val="p"/>
                          </m:rPr>
                          <w:rPr>
                            <w:rFonts w:ascii="Cambria Math" w:hAnsi="Cambria Math" w:cs="Arial"/>
                            <w:noProof/>
                            <w:sz w:val="18"/>
                            <w:szCs w:val="18"/>
                          </w:rPr>
                          <m:t>T</m:t>
                        </m:r>
                        <m:r>
                          <m:rPr>
                            <m:sty m:val="p"/>
                          </m:rPr>
                          <w:rPr>
                            <w:rFonts w:ascii="Cambria Math" w:hAnsi="Cambria Math" w:cs="Arial"/>
                            <w:noProof/>
                            <w:sz w:val="18"/>
                            <w:szCs w:val="18"/>
                            <w:vertAlign w:val="subscript"/>
                          </w:rPr>
                          <m:t>c</m:t>
                        </m:r>
                      </m:e>
                      <m:sup>
                        <m:r>
                          <w:rPr>
                            <w:rFonts w:ascii="Cambria Math" w:hAnsi="Cambria Math" w:cs="Arial"/>
                            <w:noProof/>
                            <w:sz w:val="18"/>
                            <w:szCs w:val="18"/>
                          </w:rPr>
                          <m:t>2</m:t>
                        </m:r>
                      </m:sup>
                    </m:sSup>
                  </m:num>
                  <m:den>
                    <m:r>
                      <m:rPr>
                        <m:sty m:val="p"/>
                      </m:rPr>
                      <w:rPr>
                        <w:rFonts w:ascii="Cambria Math" w:hAnsi="Cambria Math" w:cs="Arial"/>
                        <w:noProof/>
                        <w:sz w:val="18"/>
                        <w:szCs w:val="18"/>
                      </w:rPr>
                      <m:t>P</m:t>
                    </m:r>
                    <m:r>
                      <m:rPr>
                        <m:sty m:val="p"/>
                      </m:rPr>
                      <w:rPr>
                        <w:rFonts w:ascii="Cambria Math" w:hAnsi="Cambria Math" w:cs="Arial"/>
                        <w:noProof/>
                        <w:sz w:val="18"/>
                        <w:szCs w:val="18"/>
                        <w:vertAlign w:val="subscript"/>
                      </w:rPr>
                      <m:t>c</m:t>
                    </m:r>
                  </m:den>
                </m:f>
              </m:oMath>
            </m:oMathPara>
          </w:p>
          <w:p w14:paraId="77F3C68B" w14:textId="64E97E7A" w:rsidR="00984E70" w:rsidRPr="00441198" w:rsidRDefault="00984E70" w:rsidP="00D46ECB">
            <w:pPr>
              <w:pStyle w:val="Standard"/>
              <w:jc w:val="left"/>
              <w:rPr>
                <w:rFonts w:ascii="Arial" w:hAnsi="Arial" w:cs="Arial"/>
                <w:noProof/>
                <w:sz w:val="18"/>
                <w:szCs w:val="18"/>
              </w:rPr>
            </w:pPr>
            <m:oMathPara>
              <m:oMathParaPr>
                <m:jc m:val="left"/>
              </m:oMathParaPr>
              <m:oMath>
                <m:r>
                  <m:rPr>
                    <m:sty m:val="p"/>
                  </m:rPr>
                  <w:rPr>
                    <w:rFonts w:ascii="Cambria Math" w:hAnsi="Cambria Math" w:cs="Arial"/>
                    <w:noProof/>
                    <w:sz w:val="18"/>
                    <w:szCs w:val="18"/>
                  </w:rPr>
                  <m:t>α</m:t>
                </m:r>
                <m:r>
                  <w:rPr>
                    <w:rFonts w:ascii="Cambria Math" w:hAnsi="Cambria Math" w:cs="Arial"/>
                    <w:noProof/>
                    <w:sz w:val="18"/>
                    <w:szCs w:val="18"/>
                  </w:rPr>
                  <m:t>=</m:t>
                </m:r>
                <m:sSup>
                  <m:sSupPr>
                    <m:ctrlPr>
                      <w:rPr>
                        <w:rFonts w:ascii="Cambria Math" w:hAnsi="Cambria Math" w:cs="Arial"/>
                        <w:noProof/>
                        <w:sz w:val="18"/>
                        <w:szCs w:val="18"/>
                      </w:rPr>
                    </m:ctrlPr>
                  </m:sSupPr>
                  <m:e>
                    <m:d>
                      <m:dPr>
                        <m:begChr m:val="["/>
                        <m:endChr m:val="]"/>
                        <m:ctrlPr>
                          <w:rPr>
                            <w:rFonts w:ascii="Cambria Math" w:hAnsi="Cambria Math" w:cs="Arial"/>
                            <w:noProof/>
                            <w:sz w:val="18"/>
                            <w:szCs w:val="18"/>
                          </w:rPr>
                        </m:ctrlPr>
                      </m:dPr>
                      <m:e>
                        <m:r>
                          <w:rPr>
                            <w:rFonts w:ascii="Cambria Math" w:hAnsi="Cambria Math" w:cs="Arial"/>
                            <w:noProof/>
                            <w:sz w:val="18"/>
                            <w:szCs w:val="18"/>
                          </w:rPr>
                          <m:t>1+</m:t>
                        </m:r>
                        <m:r>
                          <m:rPr>
                            <m:sty m:val="p"/>
                          </m:rPr>
                          <w:rPr>
                            <w:rFonts w:ascii="Cambria Math" w:hAnsi="Cambria Math" w:cs="Arial"/>
                            <w:noProof/>
                            <w:sz w:val="18"/>
                            <w:szCs w:val="18"/>
                          </w:rPr>
                          <m:t>m</m:t>
                        </m:r>
                        <m:d>
                          <m:dPr>
                            <m:ctrlPr>
                              <w:rPr>
                                <w:rFonts w:ascii="Cambria Math" w:hAnsi="Cambria Math" w:cs="Arial"/>
                                <w:noProof/>
                                <w:sz w:val="18"/>
                                <w:szCs w:val="18"/>
                              </w:rPr>
                            </m:ctrlPr>
                          </m:dPr>
                          <m:e>
                            <m:r>
                              <w:rPr>
                                <w:rFonts w:ascii="Cambria Math" w:hAnsi="Cambria Math" w:cs="Arial"/>
                                <w:noProof/>
                                <w:sz w:val="18"/>
                                <w:szCs w:val="18"/>
                              </w:rPr>
                              <m:t>1-</m:t>
                            </m:r>
                            <m:rad>
                              <m:radPr>
                                <m:degHide m:val="1"/>
                                <m:ctrlPr>
                                  <w:rPr>
                                    <w:rFonts w:ascii="Cambria Math" w:hAnsi="Cambria Math" w:cs="Arial"/>
                                    <w:noProof/>
                                    <w:sz w:val="18"/>
                                    <w:szCs w:val="18"/>
                                  </w:rPr>
                                </m:ctrlPr>
                              </m:radPr>
                              <m:deg/>
                              <m:e>
                                <m:r>
                                  <m:rPr>
                                    <m:sty m:val="p"/>
                                  </m:rPr>
                                  <w:rPr>
                                    <w:rFonts w:ascii="Cambria Math" w:hAnsi="Cambria Math" w:cs="Arial"/>
                                    <w:noProof/>
                                    <w:sz w:val="18"/>
                                    <w:szCs w:val="18"/>
                                  </w:rPr>
                                  <m:t>Tr</m:t>
                                </m:r>
                              </m:e>
                            </m:rad>
                          </m:e>
                        </m:d>
                      </m:e>
                    </m:d>
                  </m:e>
                  <m:sup>
                    <m:r>
                      <w:rPr>
                        <w:rFonts w:ascii="Cambria Math" w:hAnsi="Cambria Math" w:cs="Arial"/>
                        <w:noProof/>
                        <w:sz w:val="18"/>
                        <w:szCs w:val="18"/>
                      </w:rPr>
                      <m:t>2</m:t>
                    </m:r>
                  </m:sup>
                </m:sSup>
              </m:oMath>
            </m:oMathPara>
          </w:p>
          <w:p w14:paraId="5E14AD91" w14:textId="5DF7DD27" w:rsidR="00984E70" w:rsidRPr="00441198" w:rsidRDefault="00984E70" w:rsidP="00D46ECB">
            <w:pPr>
              <w:pStyle w:val="Standard"/>
              <w:jc w:val="left"/>
              <w:rPr>
                <w:rFonts w:ascii="Arial" w:hAnsi="Arial" w:cs="Arial"/>
                <w:noProof/>
                <w:sz w:val="18"/>
                <w:szCs w:val="18"/>
              </w:rPr>
            </w:pPr>
            <m:oMathPara>
              <m:oMathParaPr>
                <m:jc m:val="left"/>
              </m:oMathParaPr>
              <m:oMath>
                <m:r>
                  <m:rPr>
                    <m:sty m:val="p"/>
                  </m:rPr>
                  <w:rPr>
                    <w:rFonts w:ascii="Cambria Math" w:hAnsi="Cambria Math" w:cs="Arial"/>
                    <w:noProof/>
                    <w:sz w:val="18"/>
                    <w:szCs w:val="18"/>
                  </w:rPr>
                  <m:t>m</m:t>
                </m:r>
                <m:r>
                  <w:rPr>
                    <w:rFonts w:ascii="Cambria Math" w:hAnsi="Cambria Math" w:cs="Arial"/>
                    <w:noProof/>
                    <w:sz w:val="18"/>
                    <w:szCs w:val="18"/>
                  </w:rPr>
                  <m:t>=0.37464+1.54226</m:t>
                </m:r>
                <m:r>
                  <m:rPr>
                    <m:sty m:val="p"/>
                  </m:rPr>
                  <w:rPr>
                    <w:rFonts w:ascii="Cambria Math" w:hAnsi="Cambria Math" w:cs="Arial"/>
                    <w:noProof/>
                    <w:sz w:val="18"/>
                    <w:szCs w:val="18"/>
                  </w:rPr>
                  <m:t>ω</m:t>
                </m:r>
                <m:r>
                  <w:rPr>
                    <w:rFonts w:ascii="Cambria Math" w:hAnsi="Cambria Math" w:cs="Arial"/>
                    <w:noProof/>
                    <w:sz w:val="18"/>
                    <w:szCs w:val="18"/>
                  </w:rPr>
                  <m:t>-0.269926</m:t>
                </m:r>
                <m:sSup>
                  <m:sSupPr>
                    <m:ctrlPr>
                      <w:rPr>
                        <w:rFonts w:ascii="Cambria Math" w:hAnsi="Cambria Math" w:cs="Arial"/>
                        <w:noProof/>
                        <w:sz w:val="18"/>
                        <w:szCs w:val="18"/>
                      </w:rPr>
                    </m:ctrlPr>
                  </m:sSupPr>
                  <m:e>
                    <m:r>
                      <m:rPr>
                        <m:sty m:val="p"/>
                      </m:rPr>
                      <w:rPr>
                        <w:rFonts w:ascii="Cambria Math" w:hAnsi="Cambria Math" w:cs="Arial"/>
                        <w:noProof/>
                        <w:sz w:val="18"/>
                        <w:szCs w:val="18"/>
                      </w:rPr>
                      <m:t>ω</m:t>
                    </m:r>
                  </m:e>
                  <m:sup>
                    <m:r>
                      <w:rPr>
                        <w:rFonts w:ascii="Cambria Math" w:hAnsi="Cambria Math" w:cs="Arial"/>
                        <w:noProof/>
                        <w:sz w:val="18"/>
                        <w:szCs w:val="18"/>
                      </w:rPr>
                      <m:t>2</m:t>
                    </m:r>
                  </m:sup>
                </m:sSup>
                <m:r>
                  <m:rPr>
                    <m:sty m:val="p"/>
                  </m:rPr>
                  <w:rPr>
                    <w:rFonts w:ascii="Cambria Math" w:hAnsi="Cambria Math" w:cs="Arial"/>
                    <w:noProof/>
                    <w:sz w:val="18"/>
                    <w:szCs w:val="18"/>
                  </w:rPr>
                  <m:t xml:space="preserve"> </m:t>
                </m:r>
                <m:r>
                  <w:rPr>
                    <w:rFonts w:ascii="Cambria Math" w:hAnsi="Cambria Math" w:cs="Arial"/>
                    <w:noProof/>
                    <w:sz w:val="18"/>
                    <w:szCs w:val="18"/>
                  </w:rPr>
                  <m:t>;</m:t>
                </m:r>
                <m:r>
                  <m:rPr>
                    <m:sty m:val="p"/>
                  </m:rPr>
                  <w:rPr>
                    <w:rFonts w:ascii="Cambria Math" w:hAnsi="Cambria Math" w:cs="Arial"/>
                    <w:noProof/>
                    <w:sz w:val="18"/>
                    <w:szCs w:val="18"/>
                  </w:rPr>
                  <m:t xml:space="preserve"> ω</m:t>
                </m:r>
                <m:r>
                  <w:rPr>
                    <w:rFonts w:ascii="Cambria Math" w:hAnsi="Cambria Math" w:cs="Arial"/>
                    <w:noProof/>
                    <w:sz w:val="18"/>
                    <w:szCs w:val="18"/>
                  </w:rPr>
                  <m:t>&lt;0.49</m:t>
                </m:r>
              </m:oMath>
            </m:oMathPara>
          </w:p>
          <w:p w14:paraId="5A53833E" w14:textId="53E16A69" w:rsidR="00984E70" w:rsidRPr="00441198" w:rsidRDefault="00984E70" w:rsidP="00D46ECB">
            <w:pPr>
              <w:pStyle w:val="Standard"/>
              <w:jc w:val="left"/>
              <w:rPr>
                <w:rFonts w:ascii="Arial" w:hAnsi="Arial" w:cs="Arial"/>
                <w:noProof/>
                <w:sz w:val="18"/>
                <w:szCs w:val="18"/>
              </w:rPr>
            </w:pPr>
            <m:oMathPara>
              <m:oMathParaPr>
                <m:jc m:val="left"/>
              </m:oMathParaPr>
              <m:oMath>
                <m:r>
                  <w:rPr>
                    <w:rFonts w:ascii="Cambria Math" w:hAnsi="Cambria Math" w:cs="Arial"/>
                    <w:noProof/>
                    <w:sz w:val="18"/>
                    <w:szCs w:val="18"/>
                  </w:rPr>
                  <m:t>m=0.3796+1.485ω-0.1644</m:t>
                </m:r>
                <m:sSup>
                  <m:sSupPr>
                    <m:ctrlPr>
                      <w:rPr>
                        <w:rFonts w:ascii="Cambria Math" w:hAnsi="Cambria Math" w:cs="Arial"/>
                        <w:noProof/>
                        <w:sz w:val="18"/>
                        <w:szCs w:val="18"/>
                      </w:rPr>
                    </m:ctrlPr>
                  </m:sSupPr>
                  <m:e>
                    <m:r>
                      <w:rPr>
                        <w:rFonts w:ascii="Cambria Math" w:hAnsi="Cambria Math" w:cs="Arial"/>
                        <w:noProof/>
                        <w:sz w:val="18"/>
                        <w:szCs w:val="18"/>
                      </w:rPr>
                      <m:t>ω</m:t>
                    </m:r>
                  </m:e>
                  <m:sup>
                    <m:r>
                      <w:rPr>
                        <w:rFonts w:ascii="Cambria Math" w:hAnsi="Cambria Math" w:cs="Arial"/>
                        <w:noProof/>
                        <w:sz w:val="18"/>
                        <w:szCs w:val="18"/>
                      </w:rPr>
                      <m:t>2</m:t>
                    </m:r>
                  </m:sup>
                </m:sSup>
                <m:r>
                  <w:rPr>
                    <w:rFonts w:ascii="Cambria Math" w:hAnsi="Cambria Math" w:cs="Arial"/>
                    <w:noProof/>
                    <w:sz w:val="18"/>
                    <w:szCs w:val="18"/>
                  </w:rPr>
                  <m:t>+0.0167</m:t>
                </m:r>
                <m:sSup>
                  <m:sSupPr>
                    <m:ctrlPr>
                      <w:rPr>
                        <w:rFonts w:ascii="Cambria Math" w:hAnsi="Cambria Math" w:cs="Arial"/>
                        <w:noProof/>
                        <w:sz w:val="18"/>
                        <w:szCs w:val="18"/>
                      </w:rPr>
                    </m:ctrlPr>
                  </m:sSupPr>
                  <m:e>
                    <m:r>
                      <w:rPr>
                        <w:rFonts w:ascii="Cambria Math" w:hAnsi="Cambria Math" w:cs="Arial"/>
                        <w:noProof/>
                        <w:sz w:val="18"/>
                        <w:szCs w:val="18"/>
                      </w:rPr>
                      <m:t>ω</m:t>
                    </m:r>
                  </m:e>
                  <m:sup>
                    <m:r>
                      <w:rPr>
                        <w:rFonts w:ascii="Cambria Math" w:hAnsi="Cambria Math" w:cs="Arial"/>
                        <w:noProof/>
                        <w:sz w:val="18"/>
                        <w:szCs w:val="18"/>
                      </w:rPr>
                      <m:t>3</m:t>
                    </m:r>
                  </m:sup>
                </m:sSup>
                <m:r>
                  <m:rPr>
                    <m:sty m:val="p"/>
                  </m:rPr>
                  <w:rPr>
                    <w:rFonts w:ascii="Cambria Math" w:hAnsi="Cambria Math" w:cs="Arial"/>
                    <w:noProof/>
                    <w:sz w:val="18"/>
                    <w:szCs w:val="18"/>
                  </w:rPr>
                  <m:t xml:space="preserve"> </m:t>
                </m:r>
                <m:r>
                  <w:rPr>
                    <w:rFonts w:ascii="Cambria Math" w:hAnsi="Cambria Math" w:cs="Arial"/>
                    <w:noProof/>
                    <w:sz w:val="18"/>
                    <w:szCs w:val="18"/>
                  </w:rPr>
                  <m:t>;</m:t>
                </m:r>
                <m:r>
                  <m:rPr>
                    <m:sty m:val="p"/>
                  </m:rPr>
                  <w:rPr>
                    <w:rFonts w:ascii="Cambria Math" w:hAnsi="Cambria Math" w:cs="Arial"/>
                    <w:noProof/>
                    <w:sz w:val="18"/>
                    <w:szCs w:val="18"/>
                  </w:rPr>
                  <m:t xml:space="preserve">  ω</m:t>
                </m:r>
                <m:r>
                  <w:rPr>
                    <w:rFonts w:ascii="Cambria Math" w:hAnsi="Cambria Math" w:cs="Arial"/>
                    <w:noProof/>
                    <w:sz w:val="18"/>
                    <w:szCs w:val="18"/>
                  </w:rPr>
                  <m:t>≥0.49</m:t>
                </m:r>
              </m:oMath>
            </m:oMathPara>
          </w:p>
          <w:p w14:paraId="50DECD1F" w14:textId="4637EE00" w:rsidR="00984E70" w:rsidRPr="00441198" w:rsidRDefault="00984E70" w:rsidP="00D46ECB">
            <w:pPr>
              <w:pStyle w:val="Standard"/>
              <w:jc w:val="center"/>
              <w:rPr>
                <w:rFonts w:ascii="Arial" w:hAnsi="Arial" w:cs="Arial"/>
                <w:noProof/>
                <w:sz w:val="18"/>
                <w:szCs w:val="18"/>
              </w:rPr>
            </w:pPr>
            <m:oMathPara>
              <m:oMathParaPr>
                <m:jc m:val="center"/>
              </m:oMathParaPr>
              <m:oMath>
                <m:r>
                  <m:rPr>
                    <m:sty m:val="p"/>
                  </m:rPr>
                  <w:rPr>
                    <w:rFonts w:ascii="Cambria Math" w:hAnsi="Cambria Math" w:cs="Arial"/>
                    <w:noProof/>
                    <w:sz w:val="18"/>
                    <w:szCs w:val="18"/>
                  </w:rPr>
                  <m:t xml:space="preserve"> </m:t>
                </m:r>
              </m:oMath>
            </m:oMathPara>
          </w:p>
        </w:tc>
        <w:tc>
          <w:tcPr>
            <w:tcW w:w="589" w:type="dxa"/>
            <w:shd w:val="clear" w:color="auto" w:fill="auto"/>
            <w:tcMar>
              <w:top w:w="0" w:type="dxa"/>
              <w:left w:w="108" w:type="dxa"/>
              <w:bottom w:w="0" w:type="dxa"/>
              <w:right w:w="108" w:type="dxa"/>
            </w:tcMar>
          </w:tcPr>
          <w:p w14:paraId="0E6FF1CF" w14:textId="77777777" w:rsidR="00984E70" w:rsidRPr="00441198" w:rsidRDefault="00984E70" w:rsidP="00B85EF2">
            <w:pPr>
              <w:pStyle w:val="Standard"/>
              <w:jc w:val="right"/>
              <w:rPr>
                <w:rFonts w:ascii="Arial" w:hAnsi="Arial" w:cs="Arial"/>
                <w:noProof/>
                <w:kern w:val="3"/>
                <w:sz w:val="18"/>
                <w:szCs w:val="18"/>
              </w:rPr>
            </w:pPr>
            <w:r w:rsidRPr="00441198">
              <w:rPr>
                <w:rFonts w:ascii="Arial" w:hAnsi="Arial" w:cs="Arial"/>
                <w:noProof/>
                <w:kern w:val="3"/>
                <w:sz w:val="18"/>
                <w:szCs w:val="18"/>
              </w:rPr>
              <w:t>(3)</w:t>
            </w:r>
          </w:p>
          <w:p w14:paraId="779C59FA" w14:textId="77777777" w:rsidR="00984E70" w:rsidRPr="00441198" w:rsidRDefault="00984E70" w:rsidP="00B85EF2">
            <w:pPr>
              <w:pStyle w:val="Standard"/>
              <w:jc w:val="right"/>
              <w:rPr>
                <w:rFonts w:ascii="Arial" w:hAnsi="Arial" w:cs="Arial"/>
                <w:noProof/>
                <w:kern w:val="3"/>
                <w:sz w:val="8"/>
                <w:szCs w:val="8"/>
              </w:rPr>
            </w:pPr>
          </w:p>
          <w:p w14:paraId="4434CC79" w14:textId="77777777" w:rsidR="00984E70" w:rsidRPr="00441198" w:rsidRDefault="00984E70" w:rsidP="00B85EF2">
            <w:pPr>
              <w:pStyle w:val="Standard"/>
              <w:jc w:val="right"/>
              <w:rPr>
                <w:rFonts w:ascii="Arial" w:hAnsi="Arial" w:cs="Arial"/>
                <w:noProof/>
                <w:kern w:val="3"/>
                <w:sz w:val="18"/>
                <w:szCs w:val="18"/>
              </w:rPr>
            </w:pPr>
            <w:r w:rsidRPr="00441198">
              <w:rPr>
                <w:rFonts w:ascii="Arial" w:hAnsi="Arial" w:cs="Arial"/>
                <w:noProof/>
                <w:kern w:val="3"/>
                <w:sz w:val="18"/>
                <w:szCs w:val="18"/>
              </w:rPr>
              <w:t>(4)</w:t>
            </w:r>
          </w:p>
          <w:p w14:paraId="38951327" w14:textId="77777777" w:rsidR="00984E70" w:rsidRPr="00441198" w:rsidRDefault="00984E70" w:rsidP="00B85EF2">
            <w:pPr>
              <w:pStyle w:val="Standard"/>
              <w:jc w:val="right"/>
              <w:rPr>
                <w:rFonts w:ascii="Arial" w:hAnsi="Arial" w:cs="Arial"/>
                <w:noProof/>
                <w:kern w:val="3"/>
                <w:sz w:val="18"/>
                <w:szCs w:val="18"/>
              </w:rPr>
            </w:pPr>
          </w:p>
          <w:p w14:paraId="4A0C86CD" w14:textId="77777777" w:rsidR="00984E70" w:rsidRPr="00441198" w:rsidRDefault="00984E70" w:rsidP="00B85EF2">
            <w:pPr>
              <w:pStyle w:val="Standard"/>
              <w:jc w:val="right"/>
              <w:rPr>
                <w:rFonts w:ascii="Arial" w:hAnsi="Arial" w:cs="Arial"/>
                <w:noProof/>
                <w:kern w:val="3"/>
                <w:sz w:val="18"/>
                <w:szCs w:val="18"/>
              </w:rPr>
            </w:pPr>
            <w:r w:rsidRPr="00441198">
              <w:rPr>
                <w:rFonts w:ascii="Arial" w:hAnsi="Arial" w:cs="Arial"/>
                <w:noProof/>
                <w:kern w:val="3"/>
                <w:sz w:val="18"/>
                <w:szCs w:val="18"/>
              </w:rPr>
              <w:t>(5)</w:t>
            </w:r>
          </w:p>
          <w:p w14:paraId="5D9C32D3" w14:textId="77777777" w:rsidR="00984E70" w:rsidRPr="00441198" w:rsidRDefault="00984E70" w:rsidP="00B85EF2">
            <w:pPr>
              <w:pStyle w:val="Standard"/>
              <w:jc w:val="right"/>
              <w:rPr>
                <w:rFonts w:ascii="Arial" w:hAnsi="Arial" w:cs="Arial"/>
                <w:noProof/>
                <w:kern w:val="3"/>
                <w:sz w:val="18"/>
                <w:szCs w:val="18"/>
              </w:rPr>
            </w:pPr>
            <w:r w:rsidRPr="00441198">
              <w:rPr>
                <w:rFonts w:ascii="Arial" w:hAnsi="Arial" w:cs="Arial"/>
                <w:noProof/>
                <w:kern w:val="3"/>
                <w:sz w:val="18"/>
                <w:szCs w:val="18"/>
              </w:rPr>
              <w:t>(6)</w:t>
            </w:r>
          </w:p>
          <w:p w14:paraId="332BA75E" w14:textId="77777777" w:rsidR="00984E70" w:rsidRPr="00441198" w:rsidRDefault="00984E70" w:rsidP="00B85EF2">
            <w:pPr>
              <w:pStyle w:val="Standard"/>
              <w:jc w:val="right"/>
              <w:rPr>
                <w:rFonts w:ascii="Arial" w:hAnsi="Arial" w:cs="Arial"/>
                <w:noProof/>
                <w:kern w:val="3"/>
                <w:sz w:val="18"/>
                <w:szCs w:val="18"/>
              </w:rPr>
            </w:pPr>
            <w:r w:rsidRPr="00441198">
              <w:rPr>
                <w:rFonts w:ascii="Arial" w:hAnsi="Arial" w:cs="Arial"/>
                <w:noProof/>
                <w:kern w:val="3"/>
                <w:sz w:val="18"/>
                <w:szCs w:val="18"/>
              </w:rPr>
              <w:t>(7)</w:t>
            </w:r>
          </w:p>
        </w:tc>
      </w:tr>
      <w:tr w:rsidR="00984E70" w:rsidRPr="00441198" w14:paraId="64B733E8" w14:textId="77777777" w:rsidTr="00D46ECB">
        <w:trPr>
          <w:trHeight w:val="535"/>
        </w:trPr>
        <w:tc>
          <w:tcPr>
            <w:tcW w:w="8777" w:type="dxa"/>
            <w:gridSpan w:val="2"/>
            <w:shd w:val="clear" w:color="auto" w:fill="auto"/>
            <w:tcMar>
              <w:top w:w="0" w:type="dxa"/>
              <w:left w:w="108" w:type="dxa"/>
              <w:bottom w:w="0" w:type="dxa"/>
              <w:right w:w="108" w:type="dxa"/>
            </w:tcMar>
          </w:tcPr>
          <w:p w14:paraId="73AD9197" w14:textId="4E29FDCC" w:rsidR="00984E70" w:rsidRPr="00441198" w:rsidRDefault="00984E70" w:rsidP="00D46ECB">
            <w:pPr>
              <w:pStyle w:val="CETBodytext"/>
              <w:rPr>
                <w:noProof/>
                <w:szCs w:val="18"/>
                <w:lang w:val="en-GB"/>
              </w:rPr>
            </w:pPr>
            <w:r w:rsidRPr="00441198">
              <w:rPr>
                <w:noProof/>
                <w:szCs w:val="18"/>
                <w:lang w:val="en-GB"/>
              </w:rPr>
              <w:t xml:space="preserve">   </w:t>
            </w:r>
            <w:r w:rsidRPr="00441198">
              <w:rPr>
                <w:i/>
                <w:iCs/>
                <w:noProof/>
                <w:szCs w:val="18"/>
                <w:lang w:val="en-GB"/>
              </w:rPr>
              <w:t>b</w:t>
            </w:r>
            <w:r w:rsidRPr="00441198">
              <w:rPr>
                <w:noProof/>
                <w:szCs w:val="18"/>
                <w:lang w:val="en-GB"/>
              </w:rPr>
              <w:t>, known as the molecular repulsion parameter, is described based on the critical properties of the compound, as shown in E</w:t>
            </w:r>
            <w:r w:rsidR="00B85EF2" w:rsidRPr="00441198">
              <w:rPr>
                <w:noProof/>
                <w:szCs w:val="18"/>
                <w:lang w:val="en-GB"/>
              </w:rPr>
              <w:t>q.</w:t>
            </w:r>
            <w:r w:rsidRPr="00441198">
              <w:rPr>
                <w:noProof/>
                <w:szCs w:val="18"/>
                <w:lang w:val="en-GB"/>
              </w:rPr>
              <w:t xml:space="preserve"> (8).</w:t>
            </w:r>
          </w:p>
        </w:tc>
      </w:tr>
      <w:tr w:rsidR="00984E70" w:rsidRPr="00441198" w14:paraId="6A9DF6E8" w14:textId="77777777" w:rsidTr="00D46ECB">
        <w:tc>
          <w:tcPr>
            <w:tcW w:w="8188" w:type="dxa"/>
            <w:shd w:val="clear" w:color="auto" w:fill="auto"/>
            <w:tcMar>
              <w:top w:w="0" w:type="dxa"/>
              <w:left w:w="108" w:type="dxa"/>
              <w:bottom w:w="0" w:type="dxa"/>
              <w:right w:w="108" w:type="dxa"/>
            </w:tcMar>
          </w:tcPr>
          <w:p w14:paraId="634F3467" w14:textId="005CB12C" w:rsidR="00984E70" w:rsidRPr="00441198" w:rsidRDefault="00984E70" w:rsidP="00D46ECB">
            <w:pPr>
              <w:pStyle w:val="Standard"/>
              <w:jc w:val="left"/>
              <w:rPr>
                <w:rFonts w:ascii="Arial" w:hAnsi="Arial" w:cs="Arial"/>
                <w:noProof/>
                <w:sz w:val="18"/>
                <w:szCs w:val="18"/>
              </w:rPr>
            </w:pPr>
            <m:oMathPara>
              <m:oMathParaPr>
                <m:jc m:val="left"/>
              </m:oMathParaPr>
              <m:oMath>
                <m:r>
                  <m:rPr>
                    <m:sty m:val="p"/>
                  </m:rPr>
                  <w:rPr>
                    <w:rFonts w:ascii="Cambria Math" w:hAnsi="Cambria Math" w:cs="Arial"/>
                    <w:noProof/>
                    <w:sz w:val="18"/>
                    <w:szCs w:val="18"/>
                  </w:rPr>
                  <m:t>b</m:t>
                </m:r>
                <m:r>
                  <w:rPr>
                    <w:rFonts w:ascii="Cambria Math" w:hAnsi="Cambria Math" w:cs="Arial"/>
                    <w:noProof/>
                    <w:sz w:val="18"/>
                    <w:szCs w:val="18"/>
                  </w:rPr>
                  <m:t>=0.0778</m:t>
                </m:r>
                <m:f>
                  <m:fPr>
                    <m:ctrlPr>
                      <w:rPr>
                        <w:rFonts w:ascii="Cambria Math" w:hAnsi="Cambria Math" w:cs="Arial"/>
                        <w:noProof/>
                        <w:sz w:val="18"/>
                        <w:szCs w:val="18"/>
                      </w:rPr>
                    </m:ctrlPr>
                  </m:fPr>
                  <m:num>
                    <m:r>
                      <m:rPr>
                        <m:sty m:val="p"/>
                      </m:rPr>
                      <w:rPr>
                        <w:rFonts w:ascii="Cambria Math" w:hAnsi="Cambria Math" w:cs="Arial"/>
                        <w:noProof/>
                        <w:sz w:val="18"/>
                        <w:szCs w:val="18"/>
                      </w:rPr>
                      <m:t>R Tc</m:t>
                    </m:r>
                  </m:num>
                  <m:den>
                    <m:r>
                      <m:rPr>
                        <m:sty m:val="p"/>
                      </m:rPr>
                      <w:rPr>
                        <w:rFonts w:ascii="Cambria Math" w:hAnsi="Cambria Math" w:cs="Arial"/>
                        <w:noProof/>
                        <w:sz w:val="18"/>
                        <w:szCs w:val="18"/>
                      </w:rPr>
                      <m:t>Pc</m:t>
                    </m:r>
                  </m:den>
                </m:f>
              </m:oMath>
            </m:oMathPara>
          </w:p>
        </w:tc>
        <w:tc>
          <w:tcPr>
            <w:tcW w:w="589" w:type="dxa"/>
            <w:shd w:val="clear" w:color="auto" w:fill="auto"/>
            <w:tcMar>
              <w:top w:w="0" w:type="dxa"/>
              <w:left w:w="108" w:type="dxa"/>
              <w:bottom w:w="0" w:type="dxa"/>
              <w:right w:w="108" w:type="dxa"/>
            </w:tcMar>
            <w:vAlign w:val="center"/>
          </w:tcPr>
          <w:p w14:paraId="709A4D8C" w14:textId="77777777" w:rsidR="00984E70" w:rsidRPr="00441198" w:rsidRDefault="00984E70" w:rsidP="00B85EF2">
            <w:pPr>
              <w:pStyle w:val="Standard"/>
              <w:jc w:val="right"/>
              <w:rPr>
                <w:rFonts w:ascii="Arial" w:hAnsi="Arial" w:cs="Arial"/>
                <w:noProof/>
                <w:kern w:val="3"/>
                <w:sz w:val="18"/>
                <w:szCs w:val="18"/>
              </w:rPr>
            </w:pPr>
            <w:r w:rsidRPr="00441198">
              <w:rPr>
                <w:rFonts w:ascii="Arial" w:hAnsi="Arial" w:cs="Arial"/>
                <w:noProof/>
                <w:kern w:val="3"/>
                <w:sz w:val="18"/>
                <w:szCs w:val="18"/>
              </w:rPr>
              <w:t>(8)</w:t>
            </w:r>
          </w:p>
        </w:tc>
      </w:tr>
      <w:tr w:rsidR="00984E70" w:rsidRPr="00441198" w14:paraId="26B9D183" w14:textId="77777777" w:rsidTr="00D46ECB">
        <w:tc>
          <w:tcPr>
            <w:tcW w:w="8777" w:type="dxa"/>
            <w:gridSpan w:val="2"/>
            <w:shd w:val="clear" w:color="auto" w:fill="auto"/>
            <w:tcMar>
              <w:top w:w="0" w:type="dxa"/>
              <w:left w:w="108" w:type="dxa"/>
              <w:bottom w:w="0" w:type="dxa"/>
              <w:right w:w="108" w:type="dxa"/>
            </w:tcMar>
          </w:tcPr>
          <w:p w14:paraId="491616A5" w14:textId="54BAEB0C" w:rsidR="00984E70" w:rsidRPr="00441198" w:rsidRDefault="00984E70" w:rsidP="00D46ECB">
            <w:pPr>
              <w:pStyle w:val="CETBodytext"/>
              <w:rPr>
                <w:noProof/>
                <w:szCs w:val="18"/>
                <w:lang w:val="en-GB"/>
              </w:rPr>
            </w:pPr>
            <w:r w:rsidRPr="00441198">
              <w:rPr>
                <w:noProof/>
                <w:szCs w:val="18"/>
                <w:lang w:val="en-GB"/>
              </w:rPr>
              <w:t xml:space="preserve">   The previously described calculation algorithm allows for determining the molar property for pure compounds. However, to extrapolate it to mixtures, it is necessary to incorporate mixing rules, whose purpose is to adjust the interaction parameters between the molecules of different components in the mixture, such as the attraction and repulsion terms of the equation of state, to accurately model the behavior of the mixture under various conditions of pressure, temperature, and composition. In this work, classical mixing rules of the Van der Waals type will be used, which account for the parameters of both compounds as well as their molar fractions in the mixture, as shown in Eqs</w:t>
            </w:r>
            <w:r w:rsidR="00B85EF2" w:rsidRPr="00441198">
              <w:rPr>
                <w:noProof/>
                <w:szCs w:val="18"/>
                <w:lang w:val="en-GB"/>
              </w:rPr>
              <w:t>.</w:t>
            </w:r>
            <w:r w:rsidRPr="00441198">
              <w:rPr>
                <w:noProof/>
                <w:szCs w:val="18"/>
                <w:lang w:val="en-GB"/>
              </w:rPr>
              <w:t xml:space="preserve"> (9), (10), and (11).</w:t>
            </w:r>
          </w:p>
          <w:p w14:paraId="6F6F9526" w14:textId="77777777" w:rsidR="00984E70" w:rsidRPr="00441198" w:rsidRDefault="00984E70" w:rsidP="00D46ECB">
            <w:pPr>
              <w:pStyle w:val="CETBodytext"/>
              <w:rPr>
                <w:noProof/>
                <w:szCs w:val="18"/>
                <w:lang w:val="en-GB"/>
              </w:rPr>
            </w:pPr>
          </w:p>
        </w:tc>
      </w:tr>
      <w:tr w:rsidR="00984E70" w:rsidRPr="00441198" w14:paraId="73C7356A" w14:textId="77777777" w:rsidTr="00D46ECB">
        <w:tc>
          <w:tcPr>
            <w:tcW w:w="8188" w:type="dxa"/>
            <w:shd w:val="clear" w:color="auto" w:fill="auto"/>
            <w:tcMar>
              <w:top w:w="0" w:type="dxa"/>
              <w:left w:w="108" w:type="dxa"/>
              <w:bottom w:w="0" w:type="dxa"/>
              <w:right w:w="108" w:type="dxa"/>
            </w:tcMar>
          </w:tcPr>
          <w:p w14:paraId="41A7480F" w14:textId="0291CBDC" w:rsidR="00984E70" w:rsidRPr="00441198" w:rsidRDefault="00000000" w:rsidP="00D46ECB">
            <w:pPr>
              <w:pStyle w:val="Standard"/>
              <w:jc w:val="left"/>
              <w:rPr>
                <w:rFonts w:ascii="Arial" w:hAnsi="Arial" w:cs="Arial"/>
                <w:noProof/>
                <w:sz w:val="18"/>
                <w:szCs w:val="18"/>
              </w:rPr>
            </w:pPr>
            <m:oMathPara>
              <m:oMathParaPr>
                <m:jc m:val="left"/>
              </m:oMathParaPr>
              <m:oMath>
                <m:sSub>
                  <m:sSubPr>
                    <m:ctrlPr>
                      <w:rPr>
                        <w:rFonts w:ascii="Cambria Math" w:hAnsi="Cambria Math" w:cs="Arial"/>
                        <w:noProof/>
                        <w:sz w:val="18"/>
                        <w:szCs w:val="18"/>
                      </w:rPr>
                    </m:ctrlPr>
                  </m:sSubPr>
                  <m:e>
                    <m:r>
                      <m:rPr>
                        <m:sty m:val="p"/>
                      </m:rPr>
                      <w:rPr>
                        <w:rFonts w:ascii="Cambria Math" w:hAnsi="Cambria Math" w:cs="Arial"/>
                        <w:noProof/>
                        <w:sz w:val="18"/>
                        <w:szCs w:val="18"/>
                      </w:rPr>
                      <m:t>a</m:t>
                    </m:r>
                  </m:e>
                  <m:sub>
                    <m:r>
                      <m:rPr>
                        <m:sty m:val="p"/>
                      </m:rPr>
                      <w:rPr>
                        <w:rFonts w:ascii="Cambria Math" w:hAnsi="Cambria Math" w:cs="Arial"/>
                        <w:noProof/>
                        <w:sz w:val="18"/>
                        <w:szCs w:val="18"/>
                      </w:rPr>
                      <m:t>m</m:t>
                    </m:r>
                  </m:sub>
                </m:sSub>
                <m:r>
                  <w:rPr>
                    <w:rFonts w:ascii="Cambria Math" w:hAnsi="Cambria Math" w:cs="Arial"/>
                    <w:noProof/>
                    <w:sz w:val="18"/>
                    <w:szCs w:val="18"/>
                  </w:rPr>
                  <m:t>=</m:t>
                </m:r>
                <m:nary>
                  <m:naryPr>
                    <m:chr m:val="∑"/>
                    <m:limLoc m:val="subSup"/>
                    <m:ctrlPr>
                      <w:rPr>
                        <w:rFonts w:ascii="Cambria Math" w:hAnsi="Cambria Math" w:cs="Arial"/>
                        <w:noProof/>
                        <w:sz w:val="18"/>
                        <w:szCs w:val="18"/>
                      </w:rPr>
                    </m:ctrlPr>
                  </m:naryPr>
                  <m:sub>
                    <m:r>
                      <m:rPr>
                        <m:sty m:val="p"/>
                      </m:rPr>
                      <w:rPr>
                        <w:rFonts w:ascii="Cambria Math" w:hAnsi="Cambria Math" w:cs="Arial"/>
                        <w:noProof/>
                        <w:sz w:val="18"/>
                        <w:szCs w:val="18"/>
                      </w:rPr>
                      <m:t>i</m:t>
                    </m:r>
                    <m:r>
                      <w:rPr>
                        <w:rFonts w:ascii="Cambria Math" w:hAnsi="Cambria Math" w:cs="Arial"/>
                        <w:noProof/>
                        <w:sz w:val="18"/>
                        <w:szCs w:val="18"/>
                      </w:rPr>
                      <m:t>=1</m:t>
                    </m:r>
                  </m:sub>
                  <m:sup>
                    <m:r>
                      <m:rPr>
                        <m:sty m:val="p"/>
                      </m:rPr>
                      <w:rPr>
                        <w:rFonts w:ascii="Cambria Math" w:hAnsi="Cambria Math" w:cs="Arial"/>
                        <w:noProof/>
                        <w:sz w:val="18"/>
                        <w:szCs w:val="18"/>
                      </w:rPr>
                      <m:t>n</m:t>
                    </m:r>
                  </m:sup>
                  <m:e>
                    <m:nary>
                      <m:naryPr>
                        <m:chr m:val="∑"/>
                        <m:limLoc m:val="subSup"/>
                        <m:ctrlPr>
                          <w:rPr>
                            <w:rFonts w:ascii="Cambria Math" w:hAnsi="Cambria Math" w:cs="Arial"/>
                            <w:noProof/>
                            <w:sz w:val="18"/>
                            <w:szCs w:val="18"/>
                          </w:rPr>
                        </m:ctrlPr>
                      </m:naryPr>
                      <m:sub>
                        <m:r>
                          <m:rPr>
                            <m:sty m:val="p"/>
                          </m:rPr>
                          <w:rPr>
                            <w:rFonts w:ascii="Cambria Math" w:hAnsi="Cambria Math" w:cs="Arial"/>
                            <w:noProof/>
                            <w:sz w:val="18"/>
                            <w:szCs w:val="18"/>
                          </w:rPr>
                          <m:t>j</m:t>
                        </m:r>
                        <m:r>
                          <w:rPr>
                            <w:rFonts w:ascii="Cambria Math" w:hAnsi="Cambria Math" w:cs="Arial"/>
                            <w:noProof/>
                            <w:sz w:val="18"/>
                            <w:szCs w:val="18"/>
                          </w:rPr>
                          <m:t>=1</m:t>
                        </m:r>
                      </m:sub>
                      <m:sup>
                        <m:r>
                          <m:rPr>
                            <m:sty m:val="p"/>
                          </m:rPr>
                          <w:rPr>
                            <w:rFonts w:ascii="Cambria Math" w:hAnsi="Cambria Math" w:cs="Arial"/>
                            <w:noProof/>
                            <w:sz w:val="18"/>
                            <w:szCs w:val="18"/>
                          </w:rPr>
                          <m:t>n</m:t>
                        </m:r>
                      </m:sup>
                      <m:e>
                        <m:sSub>
                          <m:sSubPr>
                            <m:ctrlPr>
                              <w:rPr>
                                <w:rFonts w:ascii="Cambria Math" w:hAnsi="Cambria Math" w:cs="Arial"/>
                                <w:noProof/>
                                <w:sz w:val="18"/>
                                <w:szCs w:val="18"/>
                              </w:rPr>
                            </m:ctrlPr>
                          </m:sSubPr>
                          <m:e>
                            <m:r>
                              <m:rPr>
                                <m:sty m:val="p"/>
                              </m:rPr>
                              <w:rPr>
                                <w:rFonts w:ascii="Cambria Math" w:hAnsi="Cambria Math" w:cs="Arial"/>
                                <w:noProof/>
                                <w:sz w:val="18"/>
                                <w:szCs w:val="18"/>
                              </w:rPr>
                              <m:t>x</m:t>
                            </m:r>
                          </m:e>
                          <m:sub>
                            <m:r>
                              <m:rPr>
                                <m:sty m:val="p"/>
                              </m:rPr>
                              <w:rPr>
                                <w:rFonts w:ascii="Cambria Math" w:hAnsi="Cambria Math" w:cs="Arial"/>
                                <w:noProof/>
                                <w:sz w:val="18"/>
                                <w:szCs w:val="18"/>
                              </w:rPr>
                              <m:t>i</m:t>
                            </m:r>
                          </m:sub>
                        </m:sSub>
                        <m:sSub>
                          <m:sSubPr>
                            <m:ctrlPr>
                              <w:rPr>
                                <w:rFonts w:ascii="Cambria Math" w:hAnsi="Cambria Math" w:cs="Arial"/>
                                <w:noProof/>
                                <w:sz w:val="18"/>
                                <w:szCs w:val="18"/>
                              </w:rPr>
                            </m:ctrlPr>
                          </m:sSubPr>
                          <m:e>
                            <m:r>
                              <m:rPr>
                                <m:sty m:val="p"/>
                              </m:rPr>
                              <w:rPr>
                                <w:rFonts w:ascii="Cambria Math" w:hAnsi="Cambria Math" w:cs="Arial"/>
                                <w:noProof/>
                                <w:sz w:val="18"/>
                                <w:szCs w:val="18"/>
                              </w:rPr>
                              <m:t>x</m:t>
                            </m:r>
                          </m:e>
                          <m:sub>
                            <m:r>
                              <m:rPr>
                                <m:sty m:val="p"/>
                              </m:rPr>
                              <w:rPr>
                                <w:rFonts w:ascii="Cambria Math" w:hAnsi="Cambria Math" w:cs="Arial"/>
                                <w:noProof/>
                                <w:sz w:val="18"/>
                                <w:szCs w:val="18"/>
                              </w:rPr>
                              <m:t>j</m:t>
                            </m:r>
                          </m:sub>
                        </m:sSub>
                        <m:rad>
                          <m:radPr>
                            <m:degHide m:val="1"/>
                            <m:ctrlPr>
                              <w:rPr>
                                <w:rFonts w:ascii="Cambria Math" w:hAnsi="Cambria Math" w:cs="Arial"/>
                                <w:noProof/>
                                <w:sz w:val="18"/>
                                <w:szCs w:val="18"/>
                              </w:rPr>
                            </m:ctrlPr>
                          </m:radPr>
                          <m:deg/>
                          <m:e>
                            <m:sSub>
                              <m:sSubPr>
                                <m:ctrlPr>
                                  <w:rPr>
                                    <w:rFonts w:ascii="Cambria Math" w:hAnsi="Cambria Math" w:cs="Arial"/>
                                    <w:noProof/>
                                    <w:sz w:val="18"/>
                                    <w:szCs w:val="18"/>
                                  </w:rPr>
                                </m:ctrlPr>
                              </m:sSubPr>
                              <m:e>
                                <m:r>
                                  <m:rPr>
                                    <m:sty m:val="p"/>
                                  </m:rPr>
                                  <w:rPr>
                                    <w:rFonts w:ascii="Cambria Math" w:hAnsi="Cambria Math" w:cs="Arial"/>
                                    <w:noProof/>
                                    <w:sz w:val="18"/>
                                    <w:szCs w:val="18"/>
                                  </w:rPr>
                                  <m:t>a</m:t>
                                </m:r>
                              </m:e>
                              <m:sub>
                                <m:r>
                                  <m:rPr>
                                    <m:sty m:val="p"/>
                                  </m:rPr>
                                  <w:rPr>
                                    <w:rFonts w:ascii="Cambria Math" w:hAnsi="Cambria Math" w:cs="Arial"/>
                                    <w:noProof/>
                                    <w:sz w:val="18"/>
                                    <w:szCs w:val="18"/>
                                  </w:rPr>
                                  <m:t>i</m:t>
                                </m:r>
                              </m:sub>
                            </m:sSub>
                            <m:sSub>
                              <m:sSubPr>
                                <m:ctrlPr>
                                  <w:rPr>
                                    <w:rFonts w:ascii="Cambria Math" w:hAnsi="Cambria Math" w:cs="Arial"/>
                                    <w:noProof/>
                                    <w:sz w:val="18"/>
                                    <w:szCs w:val="18"/>
                                  </w:rPr>
                                </m:ctrlPr>
                              </m:sSubPr>
                              <m:e>
                                <m:r>
                                  <m:rPr>
                                    <m:sty m:val="p"/>
                                  </m:rPr>
                                  <w:rPr>
                                    <w:rFonts w:ascii="Cambria Math" w:hAnsi="Cambria Math" w:cs="Arial"/>
                                    <w:noProof/>
                                    <w:sz w:val="18"/>
                                    <w:szCs w:val="18"/>
                                  </w:rPr>
                                  <m:t>a</m:t>
                                </m:r>
                              </m:e>
                              <m:sub>
                                <m:r>
                                  <m:rPr>
                                    <m:sty m:val="p"/>
                                  </m:rPr>
                                  <w:rPr>
                                    <w:rFonts w:ascii="Cambria Math" w:hAnsi="Cambria Math" w:cs="Arial"/>
                                    <w:noProof/>
                                    <w:sz w:val="18"/>
                                    <w:szCs w:val="18"/>
                                  </w:rPr>
                                  <m:t>j</m:t>
                                </m:r>
                              </m:sub>
                            </m:sSub>
                          </m:e>
                        </m:rad>
                        <m:d>
                          <m:dPr>
                            <m:ctrlPr>
                              <w:rPr>
                                <w:rFonts w:ascii="Cambria Math" w:hAnsi="Cambria Math" w:cs="Arial"/>
                                <w:noProof/>
                                <w:sz w:val="18"/>
                                <w:szCs w:val="18"/>
                              </w:rPr>
                            </m:ctrlPr>
                          </m:dPr>
                          <m:e>
                            <m:r>
                              <w:rPr>
                                <w:rFonts w:ascii="Cambria Math" w:hAnsi="Cambria Math" w:cs="Arial"/>
                                <w:noProof/>
                                <w:sz w:val="18"/>
                                <w:szCs w:val="18"/>
                              </w:rPr>
                              <m:t>1-</m:t>
                            </m:r>
                            <m:sSub>
                              <m:sSubPr>
                                <m:ctrlPr>
                                  <w:rPr>
                                    <w:rFonts w:ascii="Cambria Math" w:hAnsi="Cambria Math" w:cs="Arial"/>
                                    <w:noProof/>
                                    <w:sz w:val="18"/>
                                    <w:szCs w:val="18"/>
                                  </w:rPr>
                                </m:ctrlPr>
                              </m:sSubPr>
                              <m:e>
                                <m:r>
                                  <m:rPr>
                                    <m:sty m:val="p"/>
                                  </m:rPr>
                                  <w:rPr>
                                    <w:rFonts w:ascii="Cambria Math" w:hAnsi="Cambria Math" w:cs="Arial"/>
                                    <w:noProof/>
                                    <w:sz w:val="18"/>
                                    <w:szCs w:val="18"/>
                                  </w:rPr>
                                  <m:t>k</m:t>
                                </m:r>
                              </m:e>
                              <m:sub>
                                <m:r>
                                  <m:rPr>
                                    <m:sty m:val="p"/>
                                  </m:rPr>
                                  <w:rPr>
                                    <w:rFonts w:ascii="Cambria Math" w:hAnsi="Cambria Math" w:cs="Arial"/>
                                    <w:noProof/>
                                    <w:sz w:val="18"/>
                                    <w:szCs w:val="18"/>
                                  </w:rPr>
                                  <m:t>i</m:t>
                                </m:r>
                                <m:r>
                                  <w:rPr>
                                    <w:rFonts w:ascii="Cambria Math" w:hAnsi="Cambria Math" w:cs="Arial"/>
                                    <w:noProof/>
                                    <w:sz w:val="18"/>
                                    <w:szCs w:val="18"/>
                                  </w:rPr>
                                  <m:t>,</m:t>
                                </m:r>
                                <m:r>
                                  <m:rPr>
                                    <m:sty m:val="p"/>
                                  </m:rPr>
                                  <w:rPr>
                                    <w:rFonts w:ascii="Cambria Math" w:hAnsi="Cambria Math" w:cs="Arial"/>
                                    <w:noProof/>
                                    <w:sz w:val="18"/>
                                    <w:szCs w:val="18"/>
                                  </w:rPr>
                                  <m:t>j</m:t>
                                </m:r>
                              </m:sub>
                            </m:sSub>
                          </m:e>
                        </m:d>
                      </m:e>
                    </m:nary>
                  </m:e>
                </m:nary>
              </m:oMath>
            </m:oMathPara>
          </w:p>
          <w:p w14:paraId="49844D80" w14:textId="16402398" w:rsidR="00984E70" w:rsidRPr="00441198" w:rsidRDefault="00000000" w:rsidP="00D46ECB">
            <w:pPr>
              <w:pStyle w:val="Standard"/>
              <w:jc w:val="left"/>
              <w:rPr>
                <w:rFonts w:ascii="Arial" w:hAnsi="Arial" w:cs="Arial"/>
                <w:noProof/>
                <w:sz w:val="18"/>
                <w:szCs w:val="18"/>
              </w:rPr>
            </w:pPr>
            <m:oMathPara>
              <m:oMathParaPr>
                <m:jc m:val="left"/>
              </m:oMathParaPr>
              <m:oMath>
                <m:sSub>
                  <m:sSubPr>
                    <m:ctrlPr>
                      <w:rPr>
                        <w:rFonts w:ascii="Cambria Math" w:hAnsi="Cambria Math" w:cs="Arial"/>
                        <w:noProof/>
                        <w:sz w:val="18"/>
                        <w:szCs w:val="18"/>
                      </w:rPr>
                    </m:ctrlPr>
                  </m:sSubPr>
                  <m:e>
                    <m:r>
                      <m:rPr>
                        <m:sty m:val="p"/>
                      </m:rPr>
                      <w:rPr>
                        <w:rFonts w:ascii="Cambria Math" w:hAnsi="Cambria Math" w:cs="Arial"/>
                        <w:noProof/>
                        <w:sz w:val="18"/>
                        <w:szCs w:val="18"/>
                      </w:rPr>
                      <m:t>b</m:t>
                    </m:r>
                  </m:e>
                  <m:sub>
                    <m:r>
                      <m:rPr>
                        <m:sty m:val="p"/>
                      </m:rPr>
                      <w:rPr>
                        <w:rFonts w:ascii="Cambria Math" w:hAnsi="Cambria Math" w:cs="Arial"/>
                        <w:noProof/>
                        <w:sz w:val="18"/>
                        <w:szCs w:val="18"/>
                      </w:rPr>
                      <m:t>m</m:t>
                    </m:r>
                  </m:sub>
                </m:sSub>
                <m:r>
                  <w:rPr>
                    <w:rFonts w:ascii="Cambria Math" w:hAnsi="Cambria Math" w:cs="Arial"/>
                    <w:noProof/>
                    <w:sz w:val="18"/>
                    <w:szCs w:val="18"/>
                  </w:rPr>
                  <m:t>=</m:t>
                </m:r>
                <m:nary>
                  <m:naryPr>
                    <m:chr m:val="∑"/>
                    <m:limLoc m:val="subSup"/>
                    <m:ctrlPr>
                      <w:rPr>
                        <w:rFonts w:ascii="Cambria Math" w:hAnsi="Cambria Math" w:cs="Arial"/>
                        <w:noProof/>
                        <w:sz w:val="18"/>
                        <w:szCs w:val="18"/>
                      </w:rPr>
                    </m:ctrlPr>
                  </m:naryPr>
                  <m:sub>
                    <m:r>
                      <m:rPr>
                        <m:sty m:val="p"/>
                      </m:rPr>
                      <w:rPr>
                        <w:rFonts w:ascii="Cambria Math" w:hAnsi="Cambria Math" w:cs="Arial"/>
                        <w:noProof/>
                        <w:sz w:val="18"/>
                        <w:szCs w:val="18"/>
                      </w:rPr>
                      <m:t>i</m:t>
                    </m:r>
                    <m:r>
                      <w:rPr>
                        <w:rFonts w:ascii="Cambria Math" w:hAnsi="Cambria Math" w:cs="Arial"/>
                        <w:noProof/>
                        <w:sz w:val="18"/>
                        <w:szCs w:val="18"/>
                      </w:rPr>
                      <m:t>=1</m:t>
                    </m:r>
                  </m:sub>
                  <m:sup>
                    <m:r>
                      <m:rPr>
                        <m:sty m:val="p"/>
                      </m:rPr>
                      <w:rPr>
                        <w:rFonts w:ascii="Cambria Math" w:hAnsi="Cambria Math" w:cs="Arial"/>
                        <w:noProof/>
                        <w:sz w:val="18"/>
                        <w:szCs w:val="18"/>
                      </w:rPr>
                      <m:t>n</m:t>
                    </m:r>
                  </m:sup>
                  <m:e>
                    <m:nary>
                      <m:naryPr>
                        <m:chr m:val="∑"/>
                        <m:limLoc m:val="subSup"/>
                        <m:ctrlPr>
                          <w:rPr>
                            <w:rFonts w:ascii="Cambria Math" w:hAnsi="Cambria Math" w:cs="Arial"/>
                            <w:noProof/>
                            <w:sz w:val="18"/>
                            <w:szCs w:val="18"/>
                          </w:rPr>
                        </m:ctrlPr>
                      </m:naryPr>
                      <m:sub>
                        <m:r>
                          <m:rPr>
                            <m:sty m:val="p"/>
                          </m:rPr>
                          <w:rPr>
                            <w:rFonts w:ascii="Cambria Math" w:hAnsi="Cambria Math" w:cs="Arial"/>
                            <w:noProof/>
                            <w:sz w:val="18"/>
                            <w:szCs w:val="18"/>
                          </w:rPr>
                          <m:t>j</m:t>
                        </m:r>
                        <m:r>
                          <w:rPr>
                            <w:rFonts w:ascii="Cambria Math" w:hAnsi="Cambria Math" w:cs="Arial"/>
                            <w:noProof/>
                            <w:sz w:val="18"/>
                            <w:szCs w:val="18"/>
                          </w:rPr>
                          <m:t>=1</m:t>
                        </m:r>
                      </m:sub>
                      <m:sup>
                        <m:r>
                          <m:rPr>
                            <m:sty m:val="p"/>
                          </m:rPr>
                          <w:rPr>
                            <w:rFonts w:ascii="Cambria Math" w:hAnsi="Cambria Math" w:cs="Arial"/>
                            <w:noProof/>
                            <w:sz w:val="18"/>
                            <w:szCs w:val="18"/>
                          </w:rPr>
                          <m:t>n</m:t>
                        </m:r>
                      </m:sup>
                      <m:e>
                        <m:d>
                          <m:dPr>
                            <m:ctrlPr>
                              <w:rPr>
                                <w:rFonts w:ascii="Cambria Math" w:hAnsi="Cambria Math" w:cs="Arial"/>
                                <w:noProof/>
                                <w:sz w:val="18"/>
                                <w:szCs w:val="18"/>
                              </w:rPr>
                            </m:ctrlPr>
                          </m:dPr>
                          <m:e>
                            <m:f>
                              <m:fPr>
                                <m:ctrlPr>
                                  <w:rPr>
                                    <w:rFonts w:ascii="Cambria Math" w:hAnsi="Cambria Math" w:cs="Arial"/>
                                    <w:noProof/>
                                    <w:sz w:val="18"/>
                                    <w:szCs w:val="18"/>
                                  </w:rPr>
                                </m:ctrlPr>
                              </m:fPr>
                              <m:num>
                                <m:sSub>
                                  <m:sSubPr>
                                    <m:ctrlPr>
                                      <w:rPr>
                                        <w:rFonts w:ascii="Cambria Math" w:hAnsi="Cambria Math" w:cs="Arial"/>
                                        <w:noProof/>
                                        <w:sz w:val="18"/>
                                        <w:szCs w:val="18"/>
                                      </w:rPr>
                                    </m:ctrlPr>
                                  </m:sSubPr>
                                  <m:e>
                                    <m:r>
                                      <m:rPr>
                                        <m:sty m:val="p"/>
                                      </m:rPr>
                                      <w:rPr>
                                        <w:rFonts w:ascii="Cambria Math" w:hAnsi="Cambria Math" w:cs="Arial"/>
                                        <w:noProof/>
                                        <w:sz w:val="18"/>
                                        <w:szCs w:val="18"/>
                                      </w:rPr>
                                      <m:t>b</m:t>
                                    </m:r>
                                  </m:e>
                                  <m:sub>
                                    <m:r>
                                      <m:rPr>
                                        <m:sty m:val="p"/>
                                      </m:rPr>
                                      <w:rPr>
                                        <w:rFonts w:ascii="Cambria Math" w:hAnsi="Cambria Math" w:cs="Arial"/>
                                        <w:noProof/>
                                        <w:sz w:val="18"/>
                                        <w:szCs w:val="18"/>
                                      </w:rPr>
                                      <m:t>i</m:t>
                                    </m:r>
                                  </m:sub>
                                </m:sSub>
                                <m:r>
                                  <w:rPr>
                                    <w:rFonts w:ascii="Cambria Math" w:hAnsi="Cambria Math" w:cs="Arial"/>
                                    <w:noProof/>
                                    <w:sz w:val="18"/>
                                    <w:szCs w:val="18"/>
                                  </w:rPr>
                                  <m:t>+</m:t>
                                </m:r>
                                <m:sSub>
                                  <m:sSubPr>
                                    <m:ctrlPr>
                                      <w:rPr>
                                        <w:rFonts w:ascii="Cambria Math" w:hAnsi="Cambria Math" w:cs="Arial"/>
                                        <w:noProof/>
                                        <w:sz w:val="18"/>
                                        <w:szCs w:val="18"/>
                                      </w:rPr>
                                    </m:ctrlPr>
                                  </m:sSubPr>
                                  <m:e>
                                    <m:r>
                                      <m:rPr>
                                        <m:sty m:val="p"/>
                                      </m:rPr>
                                      <w:rPr>
                                        <w:rFonts w:ascii="Cambria Math" w:hAnsi="Cambria Math" w:cs="Arial"/>
                                        <w:noProof/>
                                        <w:sz w:val="18"/>
                                        <w:szCs w:val="18"/>
                                      </w:rPr>
                                      <m:t>b</m:t>
                                    </m:r>
                                  </m:e>
                                  <m:sub>
                                    <m:r>
                                      <m:rPr>
                                        <m:sty m:val="p"/>
                                      </m:rPr>
                                      <w:rPr>
                                        <w:rFonts w:ascii="Cambria Math" w:hAnsi="Cambria Math" w:cs="Arial"/>
                                        <w:noProof/>
                                        <w:sz w:val="18"/>
                                        <w:szCs w:val="18"/>
                                      </w:rPr>
                                      <m:t>j</m:t>
                                    </m:r>
                                  </m:sub>
                                </m:sSub>
                              </m:num>
                              <m:den>
                                <m:r>
                                  <w:rPr>
                                    <w:rFonts w:ascii="Cambria Math" w:hAnsi="Cambria Math" w:cs="Arial"/>
                                    <w:noProof/>
                                    <w:sz w:val="18"/>
                                    <w:szCs w:val="18"/>
                                  </w:rPr>
                                  <m:t>2</m:t>
                                </m:r>
                              </m:den>
                            </m:f>
                          </m:e>
                        </m:d>
                        <m:d>
                          <m:dPr>
                            <m:ctrlPr>
                              <w:rPr>
                                <w:rFonts w:ascii="Cambria Math" w:hAnsi="Cambria Math" w:cs="Arial"/>
                                <w:noProof/>
                                <w:sz w:val="18"/>
                                <w:szCs w:val="18"/>
                              </w:rPr>
                            </m:ctrlPr>
                          </m:dPr>
                          <m:e>
                            <m:r>
                              <w:rPr>
                                <w:rFonts w:ascii="Cambria Math" w:hAnsi="Cambria Math" w:cs="Arial"/>
                                <w:noProof/>
                                <w:sz w:val="18"/>
                                <w:szCs w:val="18"/>
                              </w:rPr>
                              <m:t>1-</m:t>
                            </m:r>
                            <m:sSub>
                              <m:sSubPr>
                                <m:ctrlPr>
                                  <w:rPr>
                                    <w:rFonts w:ascii="Cambria Math" w:hAnsi="Cambria Math" w:cs="Arial"/>
                                    <w:noProof/>
                                    <w:sz w:val="18"/>
                                    <w:szCs w:val="18"/>
                                  </w:rPr>
                                </m:ctrlPr>
                              </m:sSubPr>
                              <m:e>
                                <m:r>
                                  <m:rPr>
                                    <m:sty m:val="p"/>
                                  </m:rPr>
                                  <w:rPr>
                                    <w:rFonts w:ascii="Cambria Math" w:hAnsi="Cambria Math" w:cs="Arial"/>
                                    <w:noProof/>
                                    <w:sz w:val="18"/>
                                    <w:szCs w:val="18"/>
                                  </w:rPr>
                                  <m:t>l</m:t>
                                </m:r>
                              </m:e>
                              <m:sub>
                                <m:r>
                                  <m:rPr>
                                    <m:sty m:val="p"/>
                                  </m:rPr>
                                  <w:rPr>
                                    <w:rFonts w:ascii="Cambria Math" w:hAnsi="Cambria Math" w:cs="Arial"/>
                                    <w:noProof/>
                                    <w:sz w:val="18"/>
                                    <w:szCs w:val="18"/>
                                  </w:rPr>
                                  <m:t>i</m:t>
                                </m:r>
                                <m:r>
                                  <w:rPr>
                                    <w:rFonts w:ascii="Cambria Math" w:hAnsi="Cambria Math" w:cs="Arial"/>
                                    <w:noProof/>
                                    <w:sz w:val="18"/>
                                    <w:szCs w:val="18"/>
                                  </w:rPr>
                                  <m:t>,</m:t>
                                </m:r>
                                <m:r>
                                  <m:rPr>
                                    <m:sty m:val="p"/>
                                  </m:rPr>
                                  <w:rPr>
                                    <w:rFonts w:ascii="Cambria Math" w:hAnsi="Cambria Math" w:cs="Arial"/>
                                    <w:noProof/>
                                    <w:sz w:val="18"/>
                                    <w:szCs w:val="18"/>
                                  </w:rPr>
                                  <m:t>j</m:t>
                                </m:r>
                              </m:sub>
                            </m:sSub>
                          </m:e>
                        </m:d>
                      </m:e>
                    </m:nary>
                  </m:e>
                </m:nary>
              </m:oMath>
            </m:oMathPara>
          </w:p>
          <w:p w14:paraId="739E1079" w14:textId="0003437D" w:rsidR="00984E70" w:rsidRPr="00441198" w:rsidRDefault="00000000" w:rsidP="00D46ECB">
            <w:pPr>
              <w:pStyle w:val="Standard"/>
              <w:jc w:val="left"/>
              <w:rPr>
                <w:rFonts w:ascii="Arial" w:hAnsi="Arial" w:cs="Arial"/>
                <w:noProof/>
                <w:sz w:val="18"/>
                <w:szCs w:val="18"/>
              </w:rPr>
            </w:pPr>
            <m:oMathPara>
              <m:oMathParaPr>
                <m:jc m:val="left"/>
              </m:oMathParaPr>
              <m:oMath>
                <m:sSub>
                  <m:sSubPr>
                    <m:ctrlPr>
                      <w:rPr>
                        <w:rFonts w:ascii="Cambria Math" w:hAnsi="Cambria Math" w:cs="Arial"/>
                        <w:noProof/>
                        <w:sz w:val="18"/>
                        <w:szCs w:val="18"/>
                      </w:rPr>
                    </m:ctrlPr>
                  </m:sSubPr>
                  <m:e>
                    <m:r>
                      <m:rPr>
                        <m:sty m:val="p"/>
                      </m:rPr>
                      <w:rPr>
                        <w:rFonts w:ascii="Cambria Math" w:hAnsi="Cambria Math" w:cs="Arial"/>
                        <w:noProof/>
                        <w:sz w:val="18"/>
                        <w:szCs w:val="18"/>
                      </w:rPr>
                      <m:t>c</m:t>
                    </m:r>
                  </m:e>
                  <m:sub>
                    <m:r>
                      <m:rPr>
                        <m:sty m:val="p"/>
                      </m:rPr>
                      <w:rPr>
                        <w:rFonts w:ascii="Cambria Math" w:hAnsi="Cambria Math" w:cs="Arial"/>
                        <w:noProof/>
                        <w:sz w:val="18"/>
                        <w:szCs w:val="18"/>
                      </w:rPr>
                      <m:t>m</m:t>
                    </m:r>
                  </m:sub>
                </m:sSub>
                <m:r>
                  <w:rPr>
                    <w:rFonts w:ascii="Cambria Math" w:hAnsi="Cambria Math" w:cs="Arial"/>
                    <w:noProof/>
                    <w:sz w:val="18"/>
                    <w:szCs w:val="18"/>
                  </w:rPr>
                  <m:t>=</m:t>
                </m:r>
                <m:nary>
                  <m:naryPr>
                    <m:chr m:val="∑"/>
                    <m:limLoc m:val="subSup"/>
                    <m:ctrlPr>
                      <w:rPr>
                        <w:rFonts w:ascii="Cambria Math" w:hAnsi="Cambria Math" w:cs="Arial"/>
                        <w:noProof/>
                        <w:sz w:val="18"/>
                        <w:szCs w:val="18"/>
                      </w:rPr>
                    </m:ctrlPr>
                  </m:naryPr>
                  <m:sub>
                    <m:r>
                      <m:rPr>
                        <m:sty m:val="p"/>
                      </m:rPr>
                      <w:rPr>
                        <w:rFonts w:ascii="Cambria Math" w:hAnsi="Cambria Math" w:cs="Arial"/>
                        <w:noProof/>
                        <w:sz w:val="18"/>
                        <w:szCs w:val="18"/>
                      </w:rPr>
                      <m:t>i</m:t>
                    </m:r>
                    <m:r>
                      <w:rPr>
                        <w:rFonts w:ascii="Cambria Math" w:hAnsi="Cambria Math" w:cs="Arial"/>
                        <w:noProof/>
                        <w:sz w:val="18"/>
                        <w:szCs w:val="18"/>
                      </w:rPr>
                      <m:t>=1</m:t>
                    </m:r>
                  </m:sub>
                  <m:sup>
                    <m:r>
                      <m:rPr>
                        <m:sty m:val="p"/>
                      </m:rPr>
                      <w:rPr>
                        <w:rFonts w:ascii="Cambria Math" w:hAnsi="Cambria Math" w:cs="Arial"/>
                        <w:noProof/>
                        <w:sz w:val="18"/>
                        <w:szCs w:val="18"/>
                      </w:rPr>
                      <m:t>n</m:t>
                    </m:r>
                  </m:sup>
                  <m:e>
                    <m:sSub>
                      <m:sSubPr>
                        <m:ctrlPr>
                          <w:rPr>
                            <w:rFonts w:ascii="Cambria Math" w:hAnsi="Cambria Math" w:cs="Arial"/>
                            <w:noProof/>
                            <w:sz w:val="18"/>
                            <w:szCs w:val="18"/>
                          </w:rPr>
                        </m:ctrlPr>
                      </m:sSubPr>
                      <m:e>
                        <m:r>
                          <m:rPr>
                            <m:sty m:val="p"/>
                          </m:rPr>
                          <w:rPr>
                            <w:rFonts w:ascii="Cambria Math" w:hAnsi="Cambria Math" w:cs="Arial"/>
                            <w:noProof/>
                            <w:sz w:val="18"/>
                            <w:szCs w:val="18"/>
                          </w:rPr>
                          <m:t>x</m:t>
                        </m:r>
                      </m:e>
                      <m:sub>
                        <m:r>
                          <m:rPr>
                            <m:sty m:val="p"/>
                          </m:rPr>
                          <w:rPr>
                            <w:rFonts w:ascii="Cambria Math" w:hAnsi="Cambria Math" w:cs="Arial"/>
                            <w:noProof/>
                            <w:sz w:val="18"/>
                            <w:szCs w:val="18"/>
                          </w:rPr>
                          <m:t>i</m:t>
                        </m:r>
                      </m:sub>
                    </m:sSub>
                    <m:sSub>
                      <m:sSubPr>
                        <m:ctrlPr>
                          <w:rPr>
                            <w:rFonts w:ascii="Cambria Math" w:hAnsi="Cambria Math" w:cs="Arial"/>
                            <w:noProof/>
                            <w:sz w:val="18"/>
                            <w:szCs w:val="18"/>
                          </w:rPr>
                        </m:ctrlPr>
                      </m:sSubPr>
                      <m:e>
                        <m:r>
                          <m:rPr>
                            <m:sty m:val="p"/>
                          </m:rPr>
                          <w:rPr>
                            <w:rFonts w:ascii="Cambria Math" w:hAnsi="Cambria Math" w:cs="Arial"/>
                            <w:noProof/>
                            <w:sz w:val="18"/>
                            <w:szCs w:val="18"/>
                          </w:rPr>
                          <m:t>c</m:t>
                        </m:r>
                      </m:e>
                      <m:sub>
                        <m:r>
                          <m:rPr>
                            <m:sty m:val="p"/>
                          </m:rPr>
                          <w:rPr>
                            <w:rFonts w:ascii="Cambria Math" w:hAnsi="Cambria Math" w:cs="Arial"/>
                            <w:noProof/>
                            <w:sz w:val="18"/>
                            <w:szCs w:val="18"/>
                          </w:rPr>
                          <m:t>i</m:t>
                        </m:r>
                      </m:sub>
                    </m:sSub>
                  </m:e>
                </m:nary>
                <m:r>
                  <w:rPr>
                    <w:rFonts w:ascii="Cambria Math" w:hAnsi="Cambria Math" w:cs="Arial"/>
                    <w:noProof/>
                    <w:sz w:val="18"/>
                    <w:szCs w:val="18"/>
                  </w:rPr>
                  <m:t>=</m:t>
                </m:r>
                <m:sSub>
                  <m:sSubPr>
                    <m:ctrlPr>
                      <w:rPr>
                        <w:rFonts w:ascii="Cambria Math" w:hAnsi="Cambria Math" w:cs="Arial"/>
                        <w:noProof/>
                        <w:sz w:val="18"/>
                        <w:szCs w:val="18"/>
                      </w:rPr>
                    </m:ctrlPr>
                  </m:sSubPr>
                  <m:e>
                    <m:r>
                      <w:rPr>
                        <w:rFonts w:ascii="Cambria Math" w:hAnsi="Cambria Math" w:cs="Arial"/>
                        <w:noProof/>
                        <w:sz w:val="18"/>
                        <w:szCs w:val="18"/>
                      </w:rPr>
                      <m:t>x</m:t>
                    </m:r>
                  </m:e>
                  <m:sub>
                    <m:r>
                      <w:rPr>
                        <w:rFonts w:ascii="Cambria Math" w:hAnsi="Cambria Math" w:cs="Arial"/>
                        <w:noProof/>
                        <w:sz w:val="18"/>
                        <w:szCs w:val="18"/>
                      </w:rPr>
                      <m:t>a</m:t>
                    </m:r>
                  </m:sub>
                </m:sSub>
                <m:sSub>
                  <m:sSubPr>
                    <m:ctrlPr>
                      <w:rPr>
                        <w:rFonts w:ascii="Cambria Math" w:hAnsi="Cambria Math" w:cs="Arial"/>
                        <w:noProof/>
                        <w:sz w:val="18"/>
                        <w:szCs w:val="18"/>
                      </w:rPr>
                    </m:ctrlPr>
                  </m:sSubPr>
                  <m:e>
                    <m:r>
                      <w:rPr>
                        <w:rFonts w:ascii="Cambria Math" w:hAnsi="Cambria Math" w:cs="Arial"/>
                        <w:noProof/>
                        <w:sz w:val="18"/>
                        <w:szCs w:val="18"/>
                      </w:rPr>
                      <m:t>c</m:t>
                    </m:r>
                  </m:e>
                  <m:sub>
                    <m:r>
                      <w:rPr>
                        <w:rFonts w:ascii="Cambria Math" w:hAnsi="Cambria Math" w:cs="Arial"/>
                        <w:noProof/>
                        <w:sz w:val="18"/>
                        <w:szCs w:val="18"/>
                      </w:rPr>
                      <m:t>a</m:t>
                    </m:r>
                  </m:sub>
                </m:sSub>
                <m:r>
                  <w:rPr>
                    <w:rFonts w:ascii="Cambria Math" w:hAnsi="Cambria Math" w:cs="Arial"/>
                    <w:noProof/>
                    <w:sz w:val="18"/>
                    <w:szCs w:val="18"/>
                  </w:rPr>
                  <m:t xml:space="preserve">    ∴    </m:t>
                </m:r>
                <m:sSub>
                  <m:sSubPr>
                    <m:ctrlPr>
                      <w:rPr>
                        <w:rFonts w:ascii="Cambria Math" w:hAnsi="Cambria Math" w:cs="Arial"/>
                        <w:noProof/>
                        <w:sz w:val="18"/>
                        <w:szCs w:val="18"/>
                      </w:rPr>
                    </m:ctrlPr>
                  </m:sSubPr>
                  <m:e>
                    <m:r>
                      <w:rPr>
                        <w:rFonts w:ascii="Cambria Math" w:hAnsi="Cambria Math" w:cs="Arial"/>
                        <w:noProof/>
                        <w:sz w:val="18"/>
                        <w:szCs w:val="18"/>
                      </w:rPr>
                      <m:t>c</m:t>
                    </m:r>
                  </m:e>
                  <m:sub>
                    <m:r>
                      <w:rPr>
                        <w:rFonts w:ascii="Cambria Math" w:hAnsi="Cambria Math" w:cs="Arial"/>
                        <w:noProof/>
                        <w:sz w:val="18"/>
                        <w:szCs w:val="18"/>
                      </w:rPr>
                      <m:t>sep</m:t>
                    </m:r>
                  </m:sub>
                </m:sSub>
                <m:r>
                  <w:rPr>
                    <w:rFonts w:ascii="Cambria Math" w:hAnsi="Cambria Math" w:cs="Arial"/>
                    <w:noProof/>
                    <w:sz w:val="18"/>
                    <w:szCs w:val="18"/>
                  </w:rPr>
                  <m:t>=0</m:t>
                </m:r>
              </m:oMath>
            </m:oMathPara>
          </w:p>
        </w:tc>
        <w:tc>
          <w:tcPr>
            <w:tcW w:w="589" w:type="dxa"/>
            <w:shd w:val="clear" w:color="auto" w:fill="auto"/>
            <w:tcMar>
              <w:top w:w="0" w:type="dxa"/>
              <w:left w:w="108" w:type="dxa"/>
              <w:bottom w:w="0" w:type="dxa"/>
              <w:right w:w="108" w:type="dxa"/>
            </w:tcMar>
          </w:tcPr>
          <w:p w14:paraId="11EADE28" w14:textId="77777777" w:rsidR="00984E70" w:rsidRPr="00441198" w:rsidRDefault="00984E70" w:rsidP="00B85EF2">
            <w:pPr>
              <w:pStyle w:val="Standard"/>
              <w:jc w:val="right"/>
              <w:rPr>
                <w:rFonts w:ascii="Arial" w:hAnsi="Arial" w:cs="Arial"/>
                <w:noProof/>
                <w:kern w:val="3"/>
                <w:sz w:val="18"/>
                <w:szCs w:val="18"/>
              </w:rPr>
            </w:pPr>
            <w:r w:rsidRPr="00441198">
              <w:rPr>
                <w:rFonts w:ascii="Arial" w:hAnsi="Arial" w:cs="Arial"/>
                <w:noProof/>
                <w:kern w:val="3"/>
                <w:sz w:val="18"/>
                <w:szCs w:val="18"/>
              </w:rPr>
              <w:lastRenderedPageBreak/>
              <w:t>(9)</w:t>
            </w:r>
          </w:p>
          <w:p w14:paraId="7A596318" w14:textId="77777777" w:rsidR="00984E70" w:rsidRPr="00441198" w:rsidRDefault="00984E70" w:rsidP="00B85EF2">
            <w:pPr>
              <w:pStyle w:val="Standard"/>
              <w:jc w:val="right"/>
              <w:rPr>
                <w:rFonts w:ascii="Arial" w:hAnsi="Arial" w:cs="Arial"/>
                <w:noProof/>
                <w:kern w:val="3"/>
                <w:sz w:val="18"/>
                <w:szCs w:val="18"/>
              </w:rPr>
            </w:pPr>
          </w:p>
          <w:p w14:paraId="523B8342" w14:textId="77777777" w:rsidR="00984E70" w:rsidRPr="00441198" w:rsidRDefault="00984E70" w:rsidP="00B85EF2">
            <w:pPr>
              <w:pStyle w:val="Standard"/>
              <w:jc w:val="right"/>
              <w:rPr>
                <w:rFonts w:ascii="Arial" w:hAnsi="Arial" w:cs="Arial"/>
                <w:noProof/>
                <w:kern w:val="3"/>
                <w:sz w:val="10"/>
                <w:szCs w:val="10"/>
              </w:rPr>
            </w:pPr>
          </w:p>
          <w:p w14:paraId="3F298419" w14:textId="77777777" w:rsidR="00B85EF2" w:rsidRPr="00441198" w:rsidRDefault="00B85EF2" w:rsidP="00B85EF2">
            <w:pPr>
              <w:pStyle w:val="Standard"/>
              <w:jc w:val="right"/>
              <w:rPr>
                <w:rFonts w:ascii="Arial" w:hAnsi="Arial" w:cs="Arial"/>
                <w:noProof/>
                <w:kern w:val="3"/>
                <w:sz w:val="18"/>
                <w:szCs w:val="18"/>
              </w:rPr>
            </w:pPr>
          </w:p>
          <w:p w14:paraId="50275869" w14:textId="2C93DA46" w:rsidR="00984E70" w:rsidRPr="00441198" w:rsidRDefault="00984E70" w:rsidP="00B85EF2">
            <w:pPr>
              <w:pStyle w:val="Standard"/>
              <w:jc w:val="right"/>
              <w:rPr>
                <w:rFonts w:ascii="Arial" w:hAnsi="Arial" w:cs="Arial"/>
                <w:noProof/>
                <w:kern w:val="3"/>
                <w:sz w:val="18"/>
                <w:szCs w:val="18"/>
              </w:rPr>
            </w:pPr>
            <w:r w:rsidRPr="00441198">
              <w:rPr>
                <w:rFonts w:ascii="Arial" w:hAnsi="Arial" w:cs="Arial"/>
                <w:noProof/>
                <w:kern w:val="3"/>
                <w:sz w:val="18"/>
                <w:szCs w:val="18"/>
              </w:rPr>
              <w:lastRenderedPageBreak/>
              <w:t>(10)</w:t>
            </w:r>
          </w:p>
          <w:p w14:paraId="1077A165" w14:textId="77777777" w:rsidR="00984E70" w:rsidRPr="00441198" w:rsidRDefault="00984E70" w:rsidP="00B85EF2">
            <w:pPr>
              <w:pStyle w:val="Standard"/>
              <w:jc w:val="right"/>
              <w:rPr>
                <w:rFonts w:ascii="Arial" w:hAnsi="Arial" w:cs="Arial"/>
                <w:noProof/>
                <w:kern w:val="3"/>
                <w:sz w:val="22"/>
                <w:szCs w:val="22"/>
              </w:rPr>
            </w:pPr>
          </w:p>
          <w:p w14:paraId="58774CB9" w14:textId="77777777" w:rsidR="00984E70" w:rsidRPr="00441198" w:rsidRDefault="00984E70" w:rsidP="00B85EF2">
            <w:pPr>
              <w:pStyle w:val="Standard"/>
              <w:jc w:val="right"/>
              <w:rPr>
                <w:rFonts w:ascii="Arial" w:hAnsi="Arial" w:cs="Arial"/>
                <w:noProof/>
                <w:kern w:val="3"/>
                <w:sz w:val="18"/>
                <w:szCs w:val="18"/>
              </w:rPr>
            </w:pPr>
            <w:r w:rsidRPr="00441198">
              <w:rPr>
                <w:rFonts w:ascii="Arial" w:hAnsi="Arial" w:cs="Arial"/>
                <w:noProof/>
                <w:kern w:val="3"/>
                <w:sz w:val="18"/>
                <w:szCs w:val="18"/>
              </w:rPr>
              <w:t>(11)</w:t>
            </w:r>
          </w:p>
        </w:tc>
      </w:tr>
      <w:tr w:rsidR="00984E70" w:rsidRPr="00441198" w14:paraId="730D77BF" w14:textId="77777777" w:rsidTr="00D46ECB">
        <w:tc>
          <w:tcPr>
            <w:tcW w:w="8188" w:type="dxa"/>
            <w:shd w:val="clear" w:color="auto" w:fill="auto"/>
            <w:tcMar>
              <w:top w:w="0" w:type="dxa"/>
              <w:left w:w="108" w:type="dxa"/>
              <w:bottom w:w="0" w:type="dxa"/>
              <w:right w:w="108" w:type="dxa"/>
            </w:tcMar>
          </w:tcPr>
          <w:p w14:paraId="3C59060A" w14:textId="77777777" w:rsidR="00984E70" w:rsidRPr="00441198" w:rsidRDefault="00984E70" w:rsidP="00D46ECB">
            <w:pPr>
              <w:pStyle w:val="CETBodytext"/>
              <w:rPr>
                <w:noProof/>
                <w:szCs w:val="18"/>
                <w:lang w:val="en-GB"/>
              </w:rPr>
            </w:pPr>
          </w:p>
          <w:p w14:paraId="3E498214" w14:textId="1CD6A199" w:rsidR="00984E70" w:rsidRPr="00441198" w:rsidRDefault="00984E70" w:rsidP="00D46ECB">
            <w:pPr>
              <w:pStyle w:val="CETBodytext"/>
              <w:rPr>
                <w:noProof/>
                <w:szCs w:val="18"/>
                <w:lang w:val="en-GB"/>
              </w:rPr>
            </w:pPr>
            <w:r w:rsidRPr="00441198">
              <w:rPr>
                <w:noProof/>
                <w:szCs w:val="18"/>
                <w:lang w:val="en-GB"/>
              </w:rPr>
              <w:t xml:space="preserve">   Resulting in a PR-type CEoS modified for the mixture, as shown in E</w:t>
            </w:r>
            <w:r w:rsidR="00B85EF2" w:rsidRPr="00441198">
              <w:rPr>
                <w:noProof/>
                <w:szCs w:val="18"/>
                <w:lang w:val="en-GB"/>
              </w:rPr>
              <w:t>q.</w:t>
            </w:r>
            <w:r w:rsidRPr="00441198">
              <w:rPr>
                <w:noProof/>
                <w:szCs w:val="18"/>
                <w:lang w:val="en-GB"/>
              </w:rPr>
              <w:t xml:space="preserve"> (12).</w:t>
            </w:r>
          </w:p>
        </w:tc>
        <w:tc>
          <w:tcPr>
            <w:tcW w:w="589" w:type="dxa"/>
            <w:shd w:val="clear" w:color="auto" w:fill="auto"/>
            <w:tcMar>
              <w:top w:w="0" w:type="dxa"/>
              <w:left w:w="108" w:type="dxa"/>
              <w:bottom w:w="0" w:type="dxa"/>
              <w:right w:w="108" w:type="dxa"/>
            </w:tcMar>
          </w:tcPr>
          <w:p w14:paraId="251007F1" w14:textId="77777777" w:rsidR="00984E70" w:rsidRPr="00441198" w:rsidRDefault="00984E70" w:rsidP="00B85EF2">
            <w:pPr>
              <w:pStyle w:val="CETBodytext"/>
              <w:jc w:val="right"/>
              <w:rPr>
                <w:noProof/>
                <w:szCs w:val="18"/>
                <w:lang w:val="en-GB"/>
              </w:rPr>
            </w:pPr>
          </w:p>
        </w:tc>
      </w:tr>
      <w:tr w:rsidR="00984E70" w:rsidRPr="00441198" w14:paraId="77666AC2" w14:textId="77777777" w:rsidTr="00D46ECB">
        <w:tc>
          <w:tcPr>
            <w:tcW w:w="8188" w:type="dxa"/>
            <w:shd w:val="clear" w:color="auto" w:fill="auto"/>
            <w:tcMar>
              <w:top w:w="0" w:type="dxa"/>
              <w:left w:w="108" w:type="dxa"/>
              <w:bottom w:w="0" w:type="dxa"/>
              <w:right w:w="108" w:type="dxa"/>
            </w:tcMar>
          </w:tcPr>
          <w:p w14:paraId="66B7DA5D" w14:textId="5979F410" w:rsidR="00984E70" w:rsidRPr="00441198" w:rsidRDefault="00984E70" w:rsidP="00D46ECB">
            <w:pPr>
              <w:pStyle w:val="Standard"/>
              <w:jc w:val="left"/>
              <w:rPr>
                <w:rFonts w:ascii="Arial" w:hAnsi="Arial" w:cs="Arial"/>
                <w:noProof/>
                <w:sz w:val="18"/>
                <w:szCs w:val="18"/>
              </w:rPr>
            </w:pPr>
            <m:oMathPara>
              <m:oMathParaPr>
                <m:jc m:val="left"/>
              </m:oMathParaPr>
              <m:oMath>
                <m:r>
                  <w:rPr>
                    <w:rFonts w:ascii="Cambria Math" w:hAnsi="Cambria Math" w:cs="Arial"/>
                    <w:noProof/>
                    <w:sz w:val="18"/>
                    <w:szCs w:val="18"/>
                  </w:rPr>
                  <m:t>P=</m:t>
                </m:r>
                <m:f>
                  <m:fPr>
                    <m:ctrlPr>
                      <w:rPr>
                        <w:rFonts w:ascii="Cambria Math" w:hAnsi="Cambria Math" w:cs="Arial"/>
                        <w:noProof/>
                        <w:sz w:val="18"/>
                        <w:szCs w:val="18"/>
                      </w:rPr>
                    </m:ctrlPr>
                  </m:fPr>
                  <m:num>
                    <m:r>
                      <w:rPr>
                        <w:rFonts w:ascii="Cambria Math" w:hAnsi="Cambria Math" w:cs="Arial"/>
                        <w:noProof/>
                        <w:sz w:val="18"/>
                        <w:szCs w:val="18"/>
                      </w:rPr>
                      <m:t>RT</m:t>
                    </m:r>
                  </m:num>
                  <m:den>
                    <m:d>
                      <m:dPr>
                        <m:ctrlPr>
                          <w:rPr>
                            <w:rFonts w:ascii="Cambria Math" w:hAnsi="Cambria Math" w:cs="Arial"/>
                            <w:noProof/>
                            <w:sz w:val="18"/>
                            <w:szCs w:val="18"/>
                          </w:rPr>
                        </m:ctrlPr>
                      </m:dPr>
                      <m:e>
                        <m:sSub>
                          <m:sSubPr>
                            <m:ctrlPr>
                              <w:rPr>
                                <w:rFonts w:ascii="Cambria Math" w:hAnsi="Cambria Math" w:cs="Arial"/>
                                <w:noProof/>
                                <w:sz w:val="18"/>
                                <w:szCs w:val="18"/>
                              </w:rPr>
                            </m:ctrlPr>
                          </m:sSubPr>
                          <m:e>
                            <m:r>
                              <w:rPr>
                                <w:rFonts w:ascii="Cambria Math" w:hAnsi="Cambria Math" w:cs="Arial"/>
                                <w:noProof/>
                                <w:sz w:val="18"/>
                                <w:szCs w:val="18"/>
                              </w:rPr>
                              <m:t>V</m:t>
                            </m:r>
                          </m:e>
                          <m:sub>
                            <m:r>
                              <w:rPr>
                                <w:rFonts w:ascii="Cambria Math" w:hAnsi="Cambria Math" w:cs="Arial"/>
                                <w:noProof/>
                                <w:sz w:val="18"/>
                                <w:szCs w:val="18"/>
                              </w:rPr>
                              <m:t>corr,m</m:t>
                            </m:r>
                          </m:sub>
                        </m:sSub>
                        <m:r>
                          <w:rPr>
                            <w:rFonts w:ascii="Cambria Math" w:hAnsi="Cambria Math" w:cs="Arial"/>
                            <w:noProof/>
                            <w:sz w:val="18"/>
                            <w:szCs w:val="18"/>
                          </w:rPr>
                          <m:t>+</m:t>
                        </m:r>
                        <m:sSub>
                          <m:sSubPr>
                            <m:ctrlPr>
                              <w:rPr>
                                <w:rFonts w:ascii="Cambria Math" w:hAnsi="Cambria Math" w:cs="Arial"/>
                                <w:noProof/>
                                <w:sz w:val="18"/>
                                <w:szCs w:val="18"/>
                              </w:rPr>
                            </m:ctrlPr>
                          </m:sSubPr>
                          <m:e>
                            <m:r>
                              <w:rPr>
                                <w:rFonts w:ascii="Cambria Math" w:hAnsi="Cambria Math" w:cs="Arial"/>
                                <w:noProof/>
                                <w:sz w:val="18"/>
                                <w:szCs w:val="18"/>
                              </w:rPr>
                              <m:t>c</m:t>
                            </m:r>
                          </m:e>
                          <m:sub>
                            <m:r>
                              <w:rPr>
                                <w:rFonts w:ascii="Cambria Math" w:hAnsi="Cambria Math" w:cs="Arial"/>
                                <w:noProof/>
                                <w:sz w:val="18"/>
                                <w:szCs w:val="18"/>
                              </w:rPr>
                              <m:t>m</m:t>
                            </m:r>
                          </m:sub>
                        </m:sSub>
                        <m:r>
                          <w:rPr>
                            <w:rFonts w:ascii="Cambria Math" w:hAnsi="Cambria Math" w:cs="Arial"/>
                            <w:noProof/>
                            <w:sz w:val="18"/>
                            <w:szCs w:val="18"/>
                          </w:rPr>
                          <m:t>-</m:t>
                        </m:r>
                        <m:sSub>
                          <m:sSubPr>
                            <m:ctrlPr>
                              <w:rPr>
                                <w:rFonts w:ascii="Cambria Math" w:hAnsi="Cambria Math" w:cs="Arial"/>
                                <w:noProof/>
                                <w:sz w:val="18"/>
                                <w:szCs w:val="18"/>
                              </w:rPr>
                            </m:ctrlPr>
                          </m:sSubPr>
                          <m:e>
                            <m:r>
                              <w:rPr>
                                <w:rFonts w:ascii="Cambria Math" w:hAnsi="Cambria Math" w:cs="Arial"/>
                                <w:noProof/>
                                <w:sz w:val="18"/>
                                <w:szCs w:val="18"/>
                              </w:rPr>
                              <m:t>b</m:t>
                            </m:r>
                          </m:e>
                          <m:sub>
                            <m:r>
                              <w:rPr>
                                <w:rFonts w:ascii="Cambria Math" w:hAnsi="Cambria Math" w:cs="Arial"/>
                                <w:noProof/>
                                <w:sz w:val="18"/>
                                <w:szCs w:val="18"/>
                              </w:rPr>
                              <m:t>m</m:t>
                            </m:r>
                          </m:sub>
                        </m:sSub>
                      </m:e>
                    </m:d>
                  </m:den>
                </m:f>
                <m:r>
                  <w:rPr>
                    <w:rFonts w:ascii="Cambria Math" w:hAnsi="Cambria Math" w:cs="Arial"/>
                    <w:noProof/>
                    <w:sz w:val="18"/>
                    <w:szCs w:val="18"/>
                  </w:rPr>
                  <m:t>-</m:t>
                </m:r>
                <m:f>
                  <m:fPr>
                    <m:ctrlPr>
                      <w:rPr>
                        <w:rFonts w:ascii="Cambria Math" w:hAnsi="Cambria Math" w:cs="Arial"/>
                        <w:noProof/>
                        <w:sz w:val="18"/>
                        <w:szCs w:val="18"/>
                      </w:rPr>
                    </m:ctrlPr>
                  </m:fPr>
                  <m:num>
                    <m:sSub>
                      <m:sSubPr>
                        <m:ctrlPr>
                          <w:rPr>
                            <w:rFonts w:ascii="Cambria Math" w:hAnsi="Cambria Math" w:cs="Arial"/>
                            <w:noProof/>
                            <w:sz w:val="18"/>
                            <w:szCs w:val="18"/>
                          </w:rPr>
                        </m:ctrlPr>
                      </m:sSubPr>
                      <m:e>
                        <m:r>
                          <w:rPr>
                            <w:rFonts w:ascii="Cambria Math" w:hAnsi="Cambria Math" w:cs="Arial"/>
                            <w:noProof/>
                            <w:sz w:val="18"/>
                            <w:szCs w:val="18"/>
                          </w:rPr>
                          <m:t>a</m:t>
                        </m:r>
                      </m:e>
                      <m:sub>
                        <m:r>
                          <w:rPr>
                            <w:rFonts w:ascii="Cambria Math" w:hAnsi="Cambria Math" w:cs="Arial"/>
                            <w:noProof/>
                            <w:sz w:val="18"/>
                            <w:szCs w:val="18"/>
                          </w:rPr>
                          <m:t>m</m:t>
                        </m:r>
                      </m:sub>
                    </m:sSub>
                  </m:num>
                  <m:den>
                    <m:sSub>
                      <m:sSubPr>
                        <m:ctrlPr>
                          <w:rPr>
                            <w:rFonts w:ascii="Cambria Math" w:hAnsi="Cambria Math" w:cs="Arial"/>
                            <w:noProof/>
                            <w:sz w:val="18"/>
                            <w:szCs w:val="18"/>
                          </w:rPr>
                        </m:ctrlPr>
                      </m:sSubPr>
                      <m:e>
                        <m:r>
                          <w:rPr>
                            <w:rFonts w:ascii="Cambria Math" w:hAnsi="Cambria Math" w:cs="Arial"/>
                            <w:noProof/>
                            <w:sz w:val="18"/>
                            <w:szCs w:val="18"/>
                          </w:rPr>
                          <m:t>(V</m:t>
                        </m:r>
                      </m:e>
                      <m:sub>
                        <m:r>
                          <w:rPr>
                            <w:rFonts w:ascii="Cambria Math" w:hAnsi="Cambria Math" w:cs="Arial"/>
                            <w:noProof/>
                            <w:sz w:val="18"/>
                            <w:szCs w:val="18"/>
                          </w:rPr>
                          <m:t>corr,m</m:t>
                        </m:r>
                      </m:sub>
                    </m:sSub>
                    <m:r>
                      <w:rPr>
                        <w:rFonts w:ascii="Cambria Math" w:hAnsi="Cambria Math" w:cs="Arial"/>
                        <w:noProof/>
                        <w:sz w:val="18"/>
                        <w:szCs w:val="18"/>
                      </w:rPr>
                      <m:t>+</m:t>
                    </m:r>
                    <m:sSub>
                      <m:sSubPr>
                        <m:ctrlPr>
                          <w:rPr>
                            <w:rFonts w:ascii="Cambria Math" w:hAnsi="Cambria Math" w:cs="Arial"/>
                            <w:noProof/>
                            <w:sz w:val="18"/>
                            <w:szCs w:val="18"/>
                          </w:rPr>
                        </m:ctrlPr>
                      </m:sSubPr>
                      <m:e>
                        <m:r>
                          <w:rPr>
                            <w:rFonts w:ascii="Cambria Math" w:hAnsi="Cambria Math" w:cs="Arial"/>
                            <w:noProof/>
                            <w:sz w:val="18"/>
                            <w:szCs w:val="18"/>
                          </w:rPr>
                          <m:t>c</m:t>
                        </m:r>
                      </m:e>
                      <m:sub>
                        <m:r>
                          <w:rPr>
                            <w:rFonts w:ascii="Cambria Math" w:hAnsi="Cambria Math" w:cs="Arial"/>
                            <w:noProof/>
                            <w:sz w:val="18"/>
                            <w:szCs w:val="18"/>
                          </w:rPr>
                          <m:t>m</m:t>
                        </m:r>
                      </m:sub>
                    </m:sSub>
                    <m:r>
                      <w:rPr>
                        <w:rFonts w:ascii="Cambria Math" w:hAnsi="Cambria Math" w:cs="Arial"/>
                        <w:noProof/>
                        <w:sz w:val="18"/>
                        <w:szCs w:val="18"/>
                      </w:rPr>
                      <m:t>)</m:t>
                    </m:r>
                    <m:d>
                      <m:dPr>
                        <m:ctrlPr>
                          <w:rPr>
                            <w:rFonts w:ascii="Cambria Math" w:hAnsi="Cambria Math" w:cs="Arial"/>
                            <w:noProof/>
                            <w:sz w:val="18"/>
                            <w:szCs w:val="18"/>
                          </w:rPr>
                        </m:ctrlPr>
                      </m:dPr>
                      <m:e>
                        <m:sSub>
                          <m:sSubPr>
                            <m:ctrlPr>
                              <w:rPr>
                                <w:rFonts w:ascii="Cambria Math" w:hAnsi="Cambria Math" w:cs="Arial"/>
                                <w:noProof/>
                                <w:sz w:val="18"/>
                                <w:szCs w:val="18"/>
                              </w:rPr>
                            </m:ctrlPr>
                          </m:sSubPr>
                          <m:e>
                            <m:r>
                              <w:rPr>
                                <w:rFonts w:ascii="Cambria Math" w:hAnsi="Cambria Math" w:cs="Arial"/>
                                <w:noProof/>
                                <w:sz w:val="18"/>
                                <w:szCs w:val="18"/>
                              </w:rPr>
                              <m:t>V</m:t>
                            </m:r>
                          </m:e>
                          <m:sub>
                            <m:r>
                              <w:rPr>
                                <w:rFonts w:ascii="Cambria Math" w:hAnsi="Cambria Math" w:cs="Arial"/>
                                <w:noProof/>
                                <w:sz w:val="18"/>
                                <w:szCs w:val="18"/>
                              </w:rPr>
                              <m:t>corr,m</m:t>
                            </m:r>
                          </m:sub>
                        </m:sSub>
                        <m:r>
                          <w:rPr>
                            <w:rFonts w:ascii="Cambria Math" w:hAnsi="Cambria Math" w:cs="Arial"/>
                            <w:noProof/>
                            <w:sz w:val="18"/>
                            <w:szCs w:val="18"/>
                          </w:rPr>
                          <m:t>+</m:t>
                        </m:r>
                        <m:sSub>
                          <m:sSubPr>
                            <m:ctrlPr>
                              <w:rPr>
                                <w:rFonts w:ascii="Cambria Math" w:hAnsi="Cambria Math" w:cs="Arial"/>
                                <w:noProof/>
                                <w:sz w:val="18"/>
                                <w:szCs w:val="18"/>
                              </w:rPr>
                            </m:ctrlPr>
                          </m:sSubPr>
                          <m:e>
                            <m:r>
                              <w:rPr>
                                <w:rFonts w:ascii="Cambria Math" w:hAnsi="Cambria Math" w:cs="Arial"/>
                                <w:noProof/>
                                <w:sz w:val="18"/>
                                <w:szCs w:val="18"/>
                              </w:rPr>
                              <m:t>c</m:t>
                            </m:r>
                          </m:e>
                          <m:sub>
                            <m:r>
                              <w:rPr>
                                <w:rFonts w:ascii="Cambria Math" w:hAnsi="Cambria Math" w:cs="Arial"/>
                                <w:noProof/>
                                <w:sz w:val="18"/>
                                <w:szCs w:val="18"/>
                              </w:rPr>
                              <m:t>m</m:t>
                            </m:r>
                          </m:sub>
                        </m:sSub>
                        <m:r>
                          <w:rPr>
                            <w:rFonts w:ascii="Cambria Math" w:hAnsi="Cambria Math" w:cs="Arial"/>
                            <w:noProof/>
                            <w:sz w:val="18"/>
                            <w:szCs w:val="18"/>
                          </w:rPr>
                          <m:t>+</m:t>
                        </m:r>
                        <m:sSub>
                          <m:sSubPr>
                            <m:ctrlPr>
                              <w:rPr>
                                <w:rFonts w:ascii="Cambria Math" w:hAnsi="Cambria Math" w:cs="Arial"/>
                                <w:noProof/>
                                <w:sz w:val="18"/>
                                <w:szCs w:val="18"/>
                              </w:rPr>
                            </m:ctrlPr>
                          </m:sSubPr>
                          <m:e>
                            <m:r>
                              <w:rPr>
                                <w:rFonts w:ascii="Cambria Math" w:hAnsi="Cambria Math" w:cs="Arial"/>
                                <w:noProof/>
                                <w:sz w:val="18"/>
                                <w:szCs w:val="18"/>
                              </w:rPr>
                              <m:t>b</m:t>
                            </m:r>
                          </m:e>
                          <m:sub>
                            <m:r>
                              <w:rPr>
                                <w:rFonts w:ascii="Cambria Math" w:hAnsi="Cambria Math" w:cs="Arial"/>
                                <w:noProof/>
                                <w:sz w:val="18"/>
                                <w:szCs w:val="18"/>
                              </w:rPr>
                              <m:t>m</m:t>
                            </m:r>
                          </m:sub>
                        </m:sSub>
                      </m:e>
                    </m:d>
                    <m:r>
                      <w:rPr>
                        <w:rFonts w:ascii="Cambria Math" w:hAnsi="Cambria Math" w:cs="Arial"/>
                        <w:noProof/>
                        <w:sz w:val="18"/>
                        <w:szCs w:val="18"/>
                      </w:rPr>
                      <m:t>+</m:t>
                    </m:r>
                    <m:sSub>
                      <m:sSubPr>
                        <m:ctrlPr>
                          <w:rPr>
                            <w:rFonts w:ascii="Cambria Math" w:hAnsi="Cambria Math" w:cs="Arial"/>
                            <w:noProof/>
                            <w:sz w:val="18"/>
                            <w:szCs w:val="18"/>
                          </w:rPr>
                        </m:ctrlPr>
                      </m:sSubPr>
                      <m:e>
                        <m:r>
                          <w:rPr>
                            <w:rFonts w:ascii="Cambria Math" w:hAnsi="Cambria Math" w:cs="Arial"/>
                            <w:noProof/>
                            <w:sz w:val="18"/>
                            <w:szCs w:val="18"/>
                          </w:rPr>
                          <m:t>b</m:t>
                        </m:r>
                      </m:e>
                      <m:sub>
                        <m:r>
                          <w:rPr>
                            <w:rFonts w:ascii="Cambria Math" w:hAnsi="Cambria Math" w:cs="Arial"/>
                            <w:noProof/>
                            <w:sz w:val="18"/>
                            <w:szCs w:val="18"/>
                          </w:rPr>
                          <m:t>m</m:t>
                        </m:r>
                      </m:sub>
                    </m:sSub>
                    <m:r>
                      <w:rPr>
                        <w:rFonts w:ascii="Cambria Math" w:hAnsi="Cambria Math" w:cs="Arial"/>
                        <w:noProof/>
                        <w:sz w:val="18"/>
                        <w:szCs w:val="18"/>
                      </w:rPr>
                      <m:t>(</m:t>
                    </m:r>
                    <m:sSub>
                      <m:sSubPr>
                        <m:ctrlPr>
                          <w:rPr>
                            <w:rFonts w:ascii="Cambria Math" w:hAnsi="Cambria Math" w:cs="Arial"/>
                            <w:noProof/>
                            <w:sz w:val="18"/>
                            <w:szCs w:val="18"/>
                          </w:rPr>
                        </m:ctrlPr>
                      </m:sSubPr>
                      <m:e>
                        <m:r>
                          <w:rPr>
                            <w:rFonts w:ascii="Cambria Math" w:hAnsi="Cambria Math" w:cs="Arial"/>
                            <w:noProof/>
                            <w:sz w:val="18"/>
                            <w:szCs w:val="18"/>
                          </w:rPr>
                          <m:t>V</m:t>
                        </m:r>
                      </m:e>
                      <m:sub>
                        <m:r>
                          <w:rPr>
                            <w:rFonts w:ascii="Cambria Math" w:hAnsi="Cambria Math" w:cs="Arial"/>
                            <w:noProof/>
                            <w:sz w:val="18"/>
                            <w:szCs w:val="18"/>
                          </w:rPr>
                          <m:t>corr,m</m:t>
                        </m:r>
                      </m:sub>
                    </m:sSub>
                    <m:r>
                      <w:rPr>
                        <w:rFonts w:ascii="Cambria Math" w:hAnsi="Cambria Math" w:cs="Arial"/>
                        <w:noProof/>
                        <w:sz w:val="18"/>
                        <w:szCs w:val="18"/>
                      </w:rPr>
                      <m:t>+</m:t>
                    </m:r>
                    <m:sSub>
                      <m:sSubPr>
                        <m:ctrlPr>
                          <w:rPr>
                            <w:rFonts w:ascii="Cambria Math" w:hAnsi="Cambria Math" w:cs="Arial"/>
                            <w:noProof/>
                            <w:sz w:val="18"/>
                            <w:szCs w:val="18"/>
                          </w:rPr>
                        </m:ctrlPr>
                      </m:sSubPr>
                      <m:e>
                        <m:r>
                          <w:rPr>
                            <w:rFonts w:ascii="Cambria Math" w:hAnsi="Cambria Math" w:cs="Arial"/>
                            <w:noProof/>
                            <w:sz w:val="18"/>
                            <w:szCs w:val="18"/>
                          </w:rPr>
                          <m:t>c</m:t>
                        </m:r>
                      </m:e>
                      <m:sub>
                        <m:r>
                          <w:rPr>
                            <w:rFonts w:ascii="Cambria Math" w:hAnsi="Cambria Math" w:cs="Arial"/>
                            <w:noProof/>
                            <w:sz w:val="18"/>
                            <w:szCs w:val="18"/>
                          </w:rPr>
                          <m:t>m</m:t>
                        </m:r>
                      </m:sub>
                    </m:sSub>
                    <m:r>
                      <w:rPr>
                        <w:rFonts w:ascii="Cambria Math" w:hAnsi="Cambria Math" w:cs="Arial"/>
                        <w:noProof/>
                        <w:sz w:val="18"/>
                        <w:szCs w:val="18"/>
                      </w:rPr>
                      <m:t>-</m:t>
                    </m:r>
                    <m:sSub>
                      <m:sSubPr>
                        <m:ctrlPr>
                          <w:rPr>
                            <w:rFonts w:ascii="Cambria Math" w:hAnsi="Cambria Math" w:cs="Arial"/>
                            <w:noProof/>
                            <w:sz w:val="18"/>
                            <w:szCs w:val="18"/>
                          </w:rPr>
                        </m:ctrlPr>
                      </m:sSubPr>
                      <m:e>
                        <m:r>
                          <w:rPr>
                            <w:rFonts w:ascii="Cambria Math" w:hAnsi="Cambria Math" w:cs="Arial"/>
                            <w:noProof/>
                            <w:sz w:val="18"/>
                            <w:szCs w:val="18"/>
                          </w:rPr>
                          <m:t>b</m:t>
                        </m:r>
                      </m:e>
                      <m:sub>
                        <m:r>
                          <w:rPr>
                            <w:rFonts w:ascii="Cambria Math" w:hAnsi="Cambria Math" w:cs="Arial"/>
                            <w:noProof/>
                            <w:sz w:val="18"/>
                            <w:szCs w:val="18"/>
                          </w:rPr>
                          <m:t>m</m:t>
                        </m:r>
                      </m:sub>
                    </m:sSub>
                    <m:r>
                      <w:rPr>
                        <w:rFonts w:ascii="Cambria Math" w:hAnsi="Cambria Math" w:cs="Arial"/>
                        <w:noProof/>
                        <w:sz w:val="18"/>
                        <w:szCs w:val="18"/>
                      </w:rPr>
                      <m:t>)</m:t>
                    </m:r>
                  </m:den>
                </m:f>
              </m:oMath>
            </m:oMathPara>
          </w:p>
        </w:tc>
        <w:tc>
          <w:tcPr>
            <w:tcW w:w="589" w:type="dxa"/>
            <w:shd w:val="clear" w:color="auto" w:fill="auto"/>
            <w:tcMar>
              <w:top w:w="0" w:type="dxa"/>
              <w:left w:w="108" w:type="dxa"/>
              <w:bottom w:w="0" w:type="dxa"/>
              <w:right w:w="108" w:type="dxa"/>
            </w:tcMar>
            <w:vAlign w:val="center"/>
          </w:tcPr>
          <w:p w14:paraId="364104EB" w14:textId="77777777" w:rsidR="00984E70" w:rsidRPr="00441198" w:rsidRDefault="00984E70" w:rsidP="00B85EF2">
            <w:pPr>
              <w:pStyle w:val="Standard"/>
              <w:jc w:val="right"/>
              <w:rPr>
                <w:rFonts w:ascii="Arial" w:hAnsi="Arial" w:cs="Arial"/>
                <w:noProof/>
                <w:kern w:val="3"/>
                <w:sz w:val="18"/>
                <w:szCs w:val="18"/>
              </w:rPr>
            </w:pPr>
            <w:r w:rsidRPr="00441198">
              <w:rPr>
                <w:rFonts w:ascii="Arial" w:hAnsi="Arial" w:cs="Arial"/>
                <w:noProof/>
                <w:kern w:val="3"/>
                <w:sz w:val="18"/>
                <w:szCs w:val="18"/>
              </w:rPr>
              <w:t>(12)</w:t>
            </w:r>
          </w:p>
        </w:tc>
      </w:tr>
    </w:tbl>
    <w:p w14:paraId="2F1A87F1" w14:textId="77777777" w:rsidR="00984E70" w:rsidRPr="00441198" w:rsidRDefault="00984E70" w:rsidP="00984E70">
      <w:pPr>
        <w:pStyle w:val="Piedepgina"/>
        <w:tabs>
          <w:tab w:val="center" w:pos="4410"/>
          <w:tab w:val="right" w:pos="8730"/>
          <w:tab w:val="right" w:pos="8789"/>
        </w:tabs>
        <w:rPr>
          <w:rFonts w:cs="Arial"/>
          <w:szCs w:val="18"/>
        </w:rPr>
      </w:pPr>
    </w:p>
    <w:p w14:paraId="27DDFEF2" w14:textId="78F5B40E" w:rsidR="00984E70" w:rsidRPr="00441198" w:rsidRDefault="00984E70" w:rsidP="00984E70">
      <w:pPr>
        <w:pStyle w:val="CETBodytext"/>
        <w:rPr>
          <w:noProof/>
          <w:szCs w:val="18"/>
          <w:lang w:val="en-GB"/>
        </w:rPr>
      </w:pPr>
      <w:r w:rsidRPr="00441198">
        <w:rPr>
          <w:noProof/>
          <w:szCs w:val="18"/>
          <w:lang w:val="en-GB"/>
        </w:rPr>
        <w:t xml:space="preserve">   Solving iteratively using a minimization algorithm, which optimizes c for the organic solvent or water, P</w:t>
      </w:r>
      <w:r w:rsidRPr="00441198">
        <w:rPr>
          <w:noProof/>
          <w:szCs w:val="18"/>
          <w:vertAlign w:val="subscript"/>
          <w:lang w:val="en-GB"/>
        </w:rPr>
        <w:t>c</w:t>
      </w:r>
      <w:r w:rsidRPr="00441198">
        <w:rPr>
          <w:noProof/>
          <w:szCs w:val="18"/>
          <w:lang w:val="en-GB"/>
        </w:rPr>
        <w:t xml:space="preserve"> and T</w:t>
      </w:r>
      <w:r w:rsidRPr="00441198">
        <w:rPr>
          <w:noProof/>
          <w:szCs w:val="18"/>
          <w:vertAlign w:val="subscript"/>
          <w:lang w:val="en-GB"/>
        </w:rPr>
        <w:t>c</w:t>
      </w:r>
      <w:r w:rsidRPr="00441198">
        <w:rPr>
          <w:noProof/>
          <w:szCs w:val="18"/>
          <w:lang w:val="en-GB"/>
        </w:rPr>
        <w:t xml:space="preserve"> for the deep eutectic solvent, as well as the binary interaction parameters k</w:t>
      </w:r>
      <w:r w:rsidRPr="00441198">
        <w:rPr>
          <w:noProof/>
          <w:szCs w:val="18"/>
          <w:vertAlign w:val="subscript"/>
          <w:lang w:val="en-GB"/>
        </w:rPr>
        <w:t>i,j</w:t>
      </w:r>
      <w:r w:rsidRPr="00441198">
        <w:rPr>
          <w:noProof/>
          <w:szCs w:val="18"/>
          <w:lang w:val="en-GB"/>
        </w:rPr>
        <w:t xml:space="preserve"> and l</w:t>
      </w:r>
      <w:r w:rsidRPr="00441198">
        <w:rPr>
          <w:noProof/>
          <w:szCs w:val="18"/>
          <w:vertAlign w:val="subscript"/>
          <w:lang w:val="en-GB"/>
        </w:rPr>
        <w:t>i,j</w:t>
      </w:r>
      <w:r w:rsidRPr="00441198">
        <w:rPr>
          <w:noProof/>
          <w:szCs w:val="18"/>
          <w:lang w:val="en-GB"/>
        </w:rPr>
        <w:t xml:space="preserve"> for the mixture.</w:t>
      </w:r>
    </w:p>
    <w:p w14:paraId="0A8A4DF4" w14:textId="77777777" w:rsidR="00984E70" w:rsidRPr="00441198" w:rsidRDefault="00984E70" w:rsidP="00984E70">
      <w:pPr>
        <w:pStyle w:val="Piedepgina"/>
        <w:tabs>
          <w:tab w:val="center" w:pos="4410"/>
          <w:tab w:val="right" w:pos="8730"/>
          <w:tab w:val="right" w:pos="8789"/>
        </w:tabs>
        <w:rPr>
          <w:rFonts w:cs="Arial"/>
          <w:szCs w:val="18"/>
        </w:rPr>
      </w:pPr>
    </w:p>
    <w:p w14:paraId="76DD3A6A" w14:textId="3CB06AC8" w:rsidR="00984E70" w:rsidRPr="00441198" w:rsidRDefault="00984E70" w:rsidP="002A620F">
      <w:pPr>
        <w:pStyle w:val="CETheadingx"/>
        <w:numPr>
          <w:ilvl w:val="0"/>
          <w:numId w:val="0"/>
        </w:numPr>
        <w:rPr>
          <w:noProof/>
          <w:lang w:val="en-GB"/>
        </w:rPr>
      </w:pPr>
      <w:r w:rsidRPr="00441198">
        <w:rPr>
          <w:noProof/>
          <w:lang w:val="en-GB"/>
        </w:rPr>
        <w:t>2</w:t>
      </w:r>
      <w:r w:rsidR="002A620F" w:rsidRPr="00441198">
        <w:rPr>
          <w:noProof/>
          <w:lang w:val="en-GB"/>
        </w:rPr>
        <w:t>.2</w:t>
      </w:r>
      <w:r w:rsidRPr="00441198">
        <w:rPr>
          <w:noProof/>
          <w:lang w:val="en-GB"/>
        </w:rPr>
        <w:t xml:space="preserve"> Surface Tension Model</w:t>
      </w:r>
    </w:p>
    <w:p w14:paraId="2016FE3A" w14:textId="0A0E59AB" w:rsidR="00984E70" w:rsidRPr="00441198" w:rsidRDefault="00984E70" w:rsidP="00984E70">
      <w:pPr>
        <w:pStyle w:val="CETBodytext"/>
        <w:rPr>
          <w:noProof/>
          <w:szCs w:val="18"/>
          <w:lang w:val="en-GB"/>
        </w:rPr>
      </w:pPr>
      <w:r w:rsidRPr="00441198">
        <w:rPr>
          <w:noProof/>
          <w:szCs w:val="18"/>
          <w:lang w:val="en-GB"/>
        </w:rPr>
        <w:t xml:space="preserve">   The surface tension model is based on the Gibbs Adsorption Equation (GAE), which is modified to use fugacity coefficients instead of activity coefficients (Eq</w:t>
      </w:r>
      <w:r w:rsidR="00B85EF2" w:rsidRPr="00441198">
        <w:rPr>
          <w:noProof/>
          <w:szCs w:val="18"/>
          <w:lang w:val="en-GB"/>
        </w:rPr>
        <w:t>.</w:t>
      </w:r>
      <w:r w:rsidRPr="00441198">
        <w:rPr>
          <w:noProof/>
          <w:szCs w:val="18"/>
          <w:lang w:val="en-GB"/>
        </w:rPr>
        <w:t xml:space="preserve"> 13). This modification is justified as, in mixtures, both fugacity and activity describe the thermodynamic behavior of a component and are related through the chemical potential. Fugacity, which can be directly calculated using equations of state, represents an "effective pressure" and simplifies modeling in non-ideal systems by eliminating the need for additional empirical models for activity. This approach is particularly advantageous in systems where equations of state, such as Peng-Robinson, provide a reliable approximation of molecular interactions. The Peng-Robinson equation of state will be specifically used to calculate the fugacity coefficients required in this model.</w:t>
      </w:r>
    </w:p>
    <w:p w14:paraId="2D23CB84" w14:textId="77777777" w:rsidR="00984E70" w:rsidRPr="00441198" w:rsidRDefault="00984E70" w:rsidP="00984E70">
      <w:pPr>
        <w:pStyle w:val="Piedepgina"/>
        <w:tabs>
          <w:tab w:val="center" w:pos="4410"/>
          <w:tab w:val="right" w:pos="8730"/>
          <w:tab w:val="right" w:pos="8789"/>
        </w:tabs>
        <w:rPr>
          <w:rFonts w:cs="Arial"/>
          <w:szCs w:val="18"/>
        </w:rPr>
      </w:pPr>
    </w:p>
    <w:tbl>
      <w:tblPr>
        <w:tblW w:w="8897" w:type="dxa"/>
        <w:tblCellMar>
          <w:left w:w="10" w:type="dxa"/>
          <w:right w:w="10" w:type="dxa"/>
        </w:tblCellMar>
        <w:tblLook w:val="04A0" w:firstRow="1" w:lastRow="0" w:firstColumn="1" w:lastColumn="0" w:noHBand="0" w:noVBand="1"/>
      </w:tblPr>
      <w:tblGrid>
        <w:gridCol w:w="7944"/>
        <w:gridCol w:w="953"/>
      </w:tblGrid>
      <w:tr w:rsidR="00984E70" w:rsidRPr="00441198" w14:paraId="61AAC98D" w14:textId="77777777" w:rsidTr="00D46ECB">
        <w:tc>
          <w:tcPr>
            <w:tcW w:w="7944" w:type="dxa"/>
            <w:shd w:val="clear" w:color="auto" w:fill="auto"/>
            <w:tcMar>
              <w:top w:w="0" w:type="dxa"/>
              <w:left w:w="108" w:type="dxa"/>
              <w:bottom w:w="0" w:type="dxa"/>
              <w:right w:w="108" w:type="dxa"/>
            </w:tcMar>
          </w:tcPr>
          <w:p w14:paraId="514355A1" w14:textId="093AC803" w:rsidR="00984E70" w:rsidRPr="00441198" w:rsidRDefault="00000000" w:rsidP="00D46ECB">
            <w:pPr>
              <w:pStyle w:val="Standard"/>
              <w:spacing w:line="360" w:lineRule="auto"/>
              <w:jc w:val="left"/>
              <w:rPr>
                <w:rFonts w:ascii="Arial" w:hAnsi="Arial" w:cs="Arial"/>
                <w:noProof/>
                <w:sz w:val="18"/>
                <w:szCs w:val="18"/>
              </w:rPr>
            </w:pPr>
            <m:oMathPara>
              <m:oMathParaPr>
                <m:jc m:val="left"/>
              </m:oMathParaPr>
              <m:oMath>
                <m:sSub>
                  <m:sSubPr>
                    <m:ctrlPr>
                      <w:rPr>
                        <w:rFonts w:ascii="Cambria Math" w:hAnsi="Cambria Math" w:cs="Arial"/>
                        <w:i/>
                        <w:iCs/>
                        <w:noProof/>
                        <w:sz w:val="18"/>
                        <w:szCs w:val="18"/>
                      </w:rPr>
                    </m:ctrlPr>
                  </m:sSubPr>
                  <m:e>
                    <m:r>
                      <w:rPr>
                        <w:rFonts w:ascii="Cambria Math" w:hAnsi="Cambria Math" w:cs="Arial"/>
                        <w:noProof/>
                        <w:sz w:val="18"/>
                        <w:szCs w:val="18"/>
                      </w:rPr>
                      <m:t>σ</m:t>
                    </m:r>
                  </m:e>
                  <m:sub>
                    <m:r>
                      <w:rPr>
                        <w:rFonts w:ascii="Cambria Math" w:hAnsi="Cambria Math" w:cs="Arial"/>
                        <w:noProof/>
                        <w:sz w:val="18"/>
                        <w:szCs w:val="18"/>
                      </w:rPr>
                      <m:t>m</m:t>
                    </m:r>
                  </m:sub>
                </m:sSub>
                <m:r>
                  <w:rPr>
                    <w:rFonts w:ascii="Cambria Math" w:hAnsi="Cambria Math" w:cs="Arial"/>
                    <w:noProof/>
                    <w:sz w:val="18"/>
                    <w:szCs w:val="18"/>
                  </w:rPr>
                  <m:t>=</m:t>
                </m:r>
                <m:sSub>
                  <m:sSubPr>
                    <m:ctrlPr>
                      <w:rPr>
                        <w:rFonts w:ascii="Cambria Math" w:hAnsi="Cambria Math" w:cs="Arial"/>
                        <w:i/>
                        <w:iCs/>
                        <w:noProof/>
                        <w:sz w:val="18"/>
                        <w:szCs w:val="18"/>
                      </w:rPr>
                    </m:ctrlPr>
                  </m:sSubPr>
                  <m:e>
                    <m:r>
                      <w:rPr>
                        <w:rFonts w:ascii="Cambria Math" w:hAnsi="Cambria Math" w:cs="Arial"/>
                        <w:noProof/>
                        <w:sz w:val="18"/>
                        <w:szCs w:val="18"/>
                      </w:rPr>
                      <m:t>σ</m:t>
                    </m:r>
                  </m:e>
                  <m:sub>
                    <m:r>
                      <w:rPr>
                        <w:rFonts w:ascii="Cambria Math" w:hAnsi="Cambria Math" w:cs="Arial"/>
                        <w:noProof/>
                        <w:sz w:val="18"/>
                        <w:szCs w:val="18"/>
                      </w:rPr>
                      <m:t>i</m:t>
                    </m:r>
                  </m:sub>
                </m:sSub>
                <m:r>
                  <w:rPr>
                    <w:rFonts w:ascii="Cambria Math" w:hAnsi="Cambria Math" w:cs="Arial"/>
                    <w:noProof/>
                    <w:sz w:val="18"/>
                    <w:szCs w:val="18"/>
                  </w:rPr>
                  <m:t>+</m:t>
                </m:r>
                <m:f>
                  <m:fPr>
                    <m:ctrlPr>
                      <w:rPr>
                        <w:rFonts w:ascii="Cambria Math" w:hAnsi="Cambria Math" w:cs="Arial"/>
                        <w:i/>
                        <w:iCs/>
                        <w:noProof/>
                        <w:sz w:val="18"/>
                        <w:szCs w:val="18"/>
                      </w:rPr>
                    </m:ctrlPr>
                  </m:fPr>
                  <m:num>
                    <m:r>
                      <w:rPr>
                        <w:rFonts w:ascii="Cambria Math" w:hAnsi="Cambria Math" w:cs="Arial"/>
                        <w:noProof/>
                        <w:sz w:val="18"/>
                        <w:szCs w:val="18"/>
                      </w:rPr>
                      <m:t>RT</m:t>
                    </m:r>
                  </m:num>
                  <m:den>
                    <m:sSub>
                      <m:sSubPr>
                        <m:ctrlPr>
                          <w:rPr>
                            <w:rFonts w:ascii="Cambria Math" w:hAnsi="Cambria Math" w:cs="Arial"/>
                            <w:i/>
                            <w:iCs/>
                            <w:noProof/>
                            <w:sz w:val="18"/>
                            <w:szCs w:val="18"/>
                          </w:rPr>
                        </m:ctrlPr>
                      </m:sSubPr>
                      <m:e>
                        <m:r>
                          <w:rPr>
                            <w:rFonts w:ascii="Cambria Math" w:hAnsi="Cambria Math" w:cs="Arial"/>
                            <w:noProof/>
                            <w:sz w:val="18"/>
                            <w:szCs w:val="18"/>
                          </w:rPr>
                          <m:t>A</m:t>
                        </m:r>
                      </m:e>
                      <m:sub>
                        <m:r>
                          <w:rPr>
                            <w:rFonts w:ascii="Cambria Math" w:hAnsi="Cambria Math" w:cs="Arial"/>
                            <w:noProof/>
                            <w:sz w:val="18"/>
                            <w:szCs w:val="18"/>
                          </w:rPr>
                          <m:t>i</m:t>
                        </m:r>
                      </m:sub>
                    </m:sSub>
                  </m:den>
                </m:f>
                <m:func>
                  <m:funcPr>
                    <m:ctrlPr>
                      <w:rPr>
                        <w:rFonts w:ascii="Cambria Math" w:hAnsi="Cambria Math" w:cs="Arial"/>
                        <w:i/>
                        <w:iCs/>
                        <w:noProof/>
                        <w:sz w:val="18"/>
                        <w:szCs w:val="18"/>
                      </w:rPr>
                    </m:ctrlPr>
                  </m:funcPr>
                  <m:fName>
                    <m:r>
                      <m:rPr>
                        <m:sty m:val="p"/>
                      </m:rPr>
                      <w:rPr>
                        <w:rFonts w:ascii="Cambria Math" w:hAnsi="Cambria Math" w:cs="Arial"/>
                        <w:noProof/>
                        <w:sz w:val="18"/>
                        <w:szCs w:val="18"/>
                      </w:rPr>
                      <m:t>ln</m:t>
                    </m:r>
                  </m:fName>
                  <m:e>
                    <m:f>
                      <m:fPr>
                        <m:ctrlPr>
                          <w:rPr>
                            <w:rFonts w:ascii="Cambria Math" w:hAnsi="Cambria Math" w:cs="Arial"/>
                            <w:i/>
                            <w:iCs/>
                            <w:noProof/>
                            <w:sz w:val="18"/>
                            <w:szCs w:val="18"/>
                          </w:rPr>
                        </m:ctrlPr>
                      </m:fPr>
                      <m:num>
                        <m:sSub>
                          <m:sSubPr>
                            <m:ctrlPr>
                              <w:rPr>
                                <w:rFonts w:ascii="Cambria Math" w:hAnsi="Cambria Math" w:cs="Arial"/>
                                <w:i/>
                                <w:iCs/>
                                <w:noProof/>
                                <w:sz w:val="18"/>
                                <w:szCs w:val="18"/>
                              </w:rPr>
                            </m:ctrlPr>
                          </m:sSubPr>
                          <m:e>
                            <m:r>
                              <w:rPr>
                                <w:rFonts w:ascii="Cambria Math" w:hAnsi="Cambria Math" w:cs="Arial"/>
                                <w:noProof/>
                                <w:sz w:val="18"/>
                                <w:szCs w:val="18"/>
                              </w:rPr>
                              <m:t>x</m:t>
                            </m:r>
                          </m:e>
                          <m:sub>
                            <m:r>
                              <w:rPr>
                                <w:rFonts w:ascii="Cambria Math" w:hAnsi="Cambria Math" w:cs="Arial"/>
                                <w:noProof/>
                                <w:sz w:val="18"/>
                                <w:szCs w:val="18"/>
                              </w:rPr>
                              <m:t>i,s</m:t>
                            </m:r>
                          </m:sub>
                        </m:sSub>
                        <m:sSub>
                          <m:sSubPr>
                            <m:ctrlPr>
                              <w:rPr>
                                <w:rFonts w:ascii="Cambria Math" w:hAnsi="Cambria Math" w:cs="Arial"/>
                                <w:i/>
                                <w:iCs/>
                                <w:noProof/>
                                <w:sz w:val="18"/>
                                <w:szCs w:val="18"/>
                              </w:rPr>
                            </m:ctrlPr>
                          </m:sSubPr>
                          <m:e>
                            <m:r>
                              <w:rPr>
                                <w:rFonts w:ascii="Cambria Math" w:hAnsi="Cambria Math" w:cs="Arial"/>
                                <w:noProof/>
                                <w:sz w:val="18"/>
                                <w:szCs w:val="18"/>
                              </w:rPr>
                              <m:t>ϕ</m:t>
                            </m:r>
                            <m:r>
                              <m:rPr>
                                <m:nor/>
                              </m:rPr>
                              <w:rPr>
                                <w:rFonts w:ascii="Arial" w:hAnsi="Arial" w:cs="Arial"/>
                                <w:noProof/>
                                <w:sz w:val="18"/>
                                <w:szCs w:val="18"/>
                              </w:rPr>
                              <m:t> </m:t>
                            </m:r>
                          </m:e>
                          <m:sub>
                            <m:r>
                              <w:rPr>
                                <w:rFonts w:ascii="Cambria Math" w:hAnsi="Cambria Math" w:cs="Arial"/>
                                <w:noProof/>
                                <w:sz w:val="18"/>
                                <w:szCs w:val="18"/>
                              </w:rPr>
                              <m:t>i,s</m:t>
                            </m:r>
                          </m:sub>
                        </m:sSub>
                      </m:num>
                      <m:den>
                        <m:sSub>
                          <m:sSubPr>
                            <m:ctrlPr>
                              <w:rPr>
                                <w:rFonts w:ascii="Cambria Math" w:hAnsi="Cambria Math" w:cs="Arial"/>
                                <w:i/>
                                <w:iCs/>
                                <w:noProof/>
                                <w:sz w:val="18"/>
                                <w:szCs w:val="18"/>
                              </w:rPr>
                            </m:ctrlPr>
                          </m:sSubPr>
                          <m:e>
                            <m:r>
                              <w:rPr>
                                <w:rFonts w:ascii="Cambria Math" w:hAnsi="Cambria Math" w:cs="Arial"/>
                                <w:noProof/>
                                <w:sz w:val="18"/>
                                <w:szCs w:val="18"/>
                              </w:rPr>
                              <m:t>x</m:t>
                            </m:r>
                          </m:e>
                          <m:sub>
                            <m:r>
                              <w:rPr>
                                <w:rFonts w:ascii="Cambria Math" w:hAnsi="Cambria Math" w:cs="Arial"/>
                                <w:noProof/>
                                <w:sz w:val="18"/>
                                <w:szCs w:val="18"/>
                              </w:rPr>
                              <m:t>i,b</m:t>
                            </m:r>
                          </m:sub>
                        </m:sSub>
                        <m:r>
                          <w:rPr>
                            <w:rFonts w:ascii="Cambria Math" w:hAnsi="Cambria Math" w:cs="Arial"/>
                            <w:noProof/>
                            <w:sz w:val="18"/>
                            <w:szCs w:val="18"/>
                          </w:rPr>
                          <m:t> </m:t>
                        </m:r>
                        <m:sSub>
                          <m:sSubPr>
                            <m:ctrlPr>
                              <w:rPr>
                                <w:rFonts w:ascii="Cambria Math" w:hAnsi="Cambria Math" w:cs="Arial"/>
                                <w:i/>
                                <w:iCs/>
                                <w:noProof/>
                                <w:sz w:val="18"/>
                                <w:szCs w:val="18"/>
                              </w:rPr>
                            </m:ctrlPr>
                          </m:sSubPr>
                          <m:e>
                            <m:r>
                              <w:rPr>
                                <w:rFonts w:ascii="Cambria Math" w:hAnsi="Cambria Math" w:cs="Arial"/>
                                <w:noProof/>
                                <w:sz w:val="18"/>
                                <w:szCs w:val="18"/>
                              </w:rPr>
                              <m:t>ϕ</m:t>
                            </m:r>
                            <m:r>
                              <m:rPr>
                                <m:nor/>
                              </m:rPr>
                              <w:rPr>
                                <w:rFonts w:ascii="Arial" w:hAnsi="Arial" w:cs="Arial"/>
                                <w:noProof/>
                                <w:sz w:val="18"/>
                                <w:szCs w:val="18"/>
                              </w:rPr>
                              <m:t> </m:t>
                            </m:r>
                          </m:e>
                          <m:sub>
                            <m:r>
                              <w:rPr>
                                <w:rFonts w:ascii="Cambria Math" w:hAnsi="Cambria Math" w:cs="Arial"/>
                                <w:noProof/>
                                <w:sz w:val="18"/>
                                <w:szCs w:val="18"/>
                              </w:rPr>
                              <m:t>i,b</m:t>
                            </m:r>
                          </m:sub>
                        </m:sSub>
                      </m:den>
                    </m:f>
                  </m:e>
                </m:func>
              </m:oMath>
            </m:oMathPara>
          </w:p>
        </w:tc>
        <w:tc>
          <w:tcPr>
            <w:tcW w:w="953" w:type="dxa"/>
            <w:shd w:val="clear" w:color="auto" w:fill="auto"/>
            <w:tcMar>
              <w:top w:w="0" w:type="dxa"/>
              <w:left w:w="108" w:type="dxa"/>
              <w:bottom w:w="0" w:type="dxa"/>
              <w:right w:w="108" w:type="dxa"/>
            </w:tcMar>
            <w:vAlign w:val="center"/>
          </w:tcPr>
          <w:p w14:paraId="1F38D0B1" w14:textId="77777777" w:rsidR="00984E70" w:rsidRPr="00441198" w:rsidRDefault="00984E70" w:rsidP="00B85EF2">
            <w:pPr>
              <w:pStyle w:val="Standard"/>
              <w:jc w:val="right"/>
              <w:rPr>
                <w:rFonts w:ascii="Arial" w:hAnsi="Arial" w:cs="Arial"/>
                <w:noProof/>
                <w:kern w:val="3"/>
                <w:sz w:val="18"/>
                <w:szCs w:val="18"/>
              </w:rPr>
            </w:pPr>
            <w:r w:rsidRPr="00441198">
              <w:rPr>
                <w:rFonts w:ascii="Arial" w:hAnsi="Arial" w:cs="Arial"/>
                <w:noProof/>
                <w:kern w:val="3"/>
                <w:sz w:val="18"/>
                <w:szCs w:val="18"/>
              </w:rPr>
              <w:t>(13)</w:t>
            </w:r>
          </w:p>
        </w:tc>
      </w:tr>
      <w:tr w:rsidR="00984E70" w:rsidRPr="00441198" w14:paraId="4546B407" w14:textId="77777777" w:rsidTr="00D46ECB">
        <w:tc>
          <w:tcPr>
            <w:tcW w:w="8897" w:type="dxa"/>
            <w:gridSpan w:val="2"/>
            <w:shd w:val="clear" w:color="auto" w:fill="auto"/>
            <w:tcMar>
              <w:top w:w="0" w:type="dxa"/>
              <w:left w:w="108" w:type="dxa"/>
              <w:bottom w:w="0" w:type="dxa"/>
              <w:right w:w="108" w:type="dxa"/>
            </w:tcMar>
          </w:tcPr>
          <w:p w14:paraId="7003095A" w14:textId="22AA6B96" w:rsidR="00984E70" w:rsidRPr="00441198" w:rsidRDefault="00891787" w:rsidP="00D46ECB">
            <w:pPr>
              <w:pStyle w:val="CETBodytext"/>
              <w:ind w:left="-113" w:right="-113"/>
              <w:rPr>
                <w:noProof/>
                <w:szCs w:val="18"/>
                <w:lang w:val="en-GB"/>
              </w:rPr>
            </w:pPr>
            <w:r w:rsidRPr="00441198">
              <w:rPr>
                <w:noProof/>
                <w:szCs w:val="18"/>
                <w:lang w:val="en-GB"/>
              </w:rPr>
              <w:t xml:space="preserve">   </w:t>
            </w:r>
            <w:r w:rsidR="00984E70" w:rsidRPr="00441198">
              <w:rPr>
                <w:noProof/>
                <w:szCs w:val="18"/>
                <w:lang w:val="en-GB"/>
              </w:rPr>
              <w:t xml:space="preserve">Let </w:t>
            </w:r>
            <m:oMath>
              <m:sSub>
                <m:sSubPr>
                  <m:ctrlPr>
                    <w:rPr>
                      <w:rFonts w:ascii="Cambria Math" w:hAnsi="Cambria Math" w:cs="Arial"/>
                      <w:noProof/>
                      <w:szCs w:val="18"/>
                      <w:lang w:val="en-GB"/>
                    </w:rPr>
                  </m:ctrlPr>
                </m:sSubPr>
                <m:e>
                  <m:r>
                    <w:rPr>
                      <w:rFonts w:ascii="Cambria Math" w:hAnsi="Cambria Math"/>
                      <w:noProof/>
                      <w:szCs w:val="18"/>
                      <w:lang w:val="en-GB"/>
                    </w:rPr>
                    <m:t>σ</m:t>
                  </m:r>
                </m:e>
                <m:sub>
                  <m:r>
                    <w:rPr>
                      <w:rFonts w:ascii="Cambria Math" w:hAnsi="Cambria Math"/>
                      <w:noProof/>
                      <w:szCs w:val="18"/>
                      <w:lang w:val="en-GB"/>
                    </w:rPr>
                    <m:t>i</m:t>
                  </m:r>
                </m:sub>
              </m:sSub>
            </m:oMath>
            <w:r w:rsidR="00984E70" w:rsidRPr="00441198">
              <w:rPr>
                <w:noProof/>
                <w:szCs w:val="18"/>
                <w:lang w:val="en-GB"/>
              </w:rPr>
              <w:t xml:space="preserve">​ represent the surface tension of the pure compound, </w:t>
            </w:r>
            <m:oMath>
              <m:r>
                <w:rPr>
                  <w:rFonts w:ascii="Cambria Math" w:hAnsi="Cambria Math"/>
                  <w:noProof/>
                  <w:szCs w:val="18"/>
                  <w:lang w:val="en-GB"/>
                </w:rPr>
                <m:t>T</m:t>
              </m:r>
            </m:oMath>
            <w:r w:rsidR="00984E70" w:rsidRPr="00441198">
              <w:rPr>
                <w:noProof/>
                <w:szCs w:val="18"/>
                <w:lang w:val="en-GB"/>
              </w:rPr>
              <w:t xml:space="preserve"> the temperature, </w:t>
            </w:r>
            <m:oMath>
              <m:sSub>
                <m:sSubPr>
                  <m:ctrlPr>
                    <w:rPr>
                      <w:rFonts w:ascii="Cambria Math" w:hAnsi="Cambria Math" w:cs="Arial"/>
                      <w:noProof/>
                      <w:szCs w:val="18"/>
                      <w:lang w:val="en-GB"/>
                    </w:rPr>
                  </m:ctrlPr>
                </m:sSubPr>
                <m:e>
                  <m:r>
                    <w:rPr>
                      <w:rFonts w:ascii="Cambria Math" w:hAnsi="Cambria Math"/>
                      <w:noProof/>
                      <w:szCs w:val="18"/>
                      <w:lang w:val="en-GB"/>
                    </w:rPr>
                    <m:t>A</m:t>
                  </m:r>
                </m:e>
                <m:sub>
                  <m:r>
                    <w:rPr>
                      <w:rFonts w:ascii="Cambria Math" w:hAnsi="Cambria Math"/>
                      <w:noProof/>
                      <w:szCs w:val="18"/>
                      <w:lang w:val="en-GB"/>
                    </w:rPr>
                    <m:t>i</m:t>
                  </m:r>
                </m:sub>
              </m:sSub>
            </m:oMath>
            <w:r w:rsidR="00984E70" w:rsidRPr="00441198">
              <w:rPr>
                <w:noProof/>
                <w:szCs w:val="18"/>
                <w:lang w:val="en-GB"/>
              </w:rPr>
              <w:t xml:space="preserve">​ the molar surface area, </w:t>
            </w:r>
            <m:oMath>
              <m:sSub>
                <m:sSubPr>
                  <m:ctrlPr>
                    <w:rPr>
                      <w:rFonts w:ascii="Cambria Math" w:hAnsi="Cambria Math" w:cs="Arial"/>
                      <w:noProof/>
                      <w:szCs w:val="18"/>
                      <w:lang w:val="en-GB"/>
                    </w:rPr>
                  </m:ctrlPr>
                </m:sSubPr>
                <m:e>
                  <m:r>
                    <w:rPr>
                      <w:rFonts w:ascii="Cambria Math" w:hAnsi="Cambria Math"/>
                      <w:noProof/>
                      <w:szCs w:val="18"/>
                      <w:lang w:val="en-GB"/>
                    </w:rPr>
                    <m:t>x</m:t>
                  </m:r>
                </m:e>
                <m:sub>
                  <m:r>
                    <w:rPr>
                      <w:rFonts w:ascii="Cambria Math" w:hAnsi="Cambria Math"/>
                      <w:noProof/>
                      <w:szCs w:val="18"/>
                      <w:lang w:val="en-GB"/>
                    </w:rPr>
                    <m:t>i,s</m:t>
                  </m:r>
                </m:sub>
              </m:sSub>
            </m:oMath>
            <w:r w:rsidR="00984E70" w:rsidRPr="00441198">
              <w:rPr>
                <w:noProof/>
                <w:szCs w:val="18"/>
                <w:lang w:val="en-GB"/>
              </w:rPr>
              <w:t xml:space="preserve">​ and </w:t>
            </w:r>
            <m:oMath>
              <m:sSub>
                <m:sSubPr>
                  <m:ctrlPr>
                    <w:rPr>
                      <w:rFonts w:ascii="Cambria Math" w:hAnsi="Cambria Math" w:cs="Arial"/>
                      <w:noProof/>
                      <w:szCs w:val="18"/>
                      <w:lang w:val="en-GB"/>
                    </w:rPr>
                  </m:ctrlPr>
                </m:sSubPr>
                <m:e>
                  <m:r>
                    <w:rPr>
                      <w:rFonts w:ascii="Cambria Math" w:hAnsi="Cambria Math"/>
                      <w:noProof/>
                      <w:szCs w:val="18"/>
                      <w:lang w:val="en-GB"/>
                    </w:rPr>
                    <m:t>x</m:t>
                  </m:r>
                </m:e>
                <m:sub>
                  <m:r>
                    <w:rPr>
                      <w:rFonts w:ascii="Cambria Math" w:hAnsi="Cambria Math"/>
                      <w:noProof/>
                      <w:szCs w:val="18"/>
                      <w:lang w:val="en-GB"/>
                    </w:rPr>
                    <m:t>i,b</m:t>
                  </m:r>
                </m:sub>
              </m:sSub>
            </m:oMath>
            <w:r w:rsidR="00984E70" w:rsidRPr="00441198">
              <w:rPr>
                <w:noProof/>
                <w:szCs w:val="18"/>
                <w:lang w:val="en-GB"/>
              </w:rPr>
              <w:t xml:space="preserve"> the mole fractions of the compound in the surface and bulk phases, respectively, and </w:t>
            </w:r>
            <m:oMath>
              <m:sSub>
                <m:sSubPr>
                  <m:ctrlPr>
                    <w:rPr>
                      <w:rFonts w:ascii="Cambria Math" w:hAnsi="Cambria Math" w:cs="Arial"/>
                      <w:noProof/>
                      <w:szCs w:val="18"/>
                      <w:lang w:val="en-GB"/>
                    </w:rPr>
                  </m:ctrlPr>
                </m:sSubPr>
                <m:e>
                  <m:r>
                    <w:rPr>
                      <w:rFonts w:ascii="Cambria Math" w:hAnsi="Cambria Math"/>
                      <w:noProof/>
                      <w:szCs w:val="18"/>
                      <w:lang w:val="en-GB"/>
                    </w:rPr>
                    <m:t>ϕ</m:t>
                  </m:r>
                </m:e>
                <m:sub>
                  <m:r>
                    <w:rPr>
                      <w:rFonts w:ascii="Cambria Math" w:hAnsi="Cambria Math"/>
                      <w:noProof/>
                      <w:szCs w:val="18"/>
                      <w:lang w:val="en-GB"/>
                    </w:rPr>
                    <m:t>i,s</m:t>
                  </m:r>
                </m:sub>
              </m:sSub>
            </m:oMath>
            <w:r w:rsidR="00984E70" w:rsidRPr="00441198">
              <w:rPr>
                <w:noProof/>
                <w:szCs w:val="18"/>
                <w:lang w:val="en-GB"/>
              </w:rPr>
              <w:t xml:space="preserve">  and </w:t>
            </w:r>
            <m:oMath>
              <m:sSub>
                <m:sSubPr>
                  <m:ctrlPr>
                    <w:rPr>
                      <w:rFonts w:ascii="Cambria Math" w:hAnsi="Cambria Math" w:cs="Arial"/>
                      <w:noProof/>
                      <w:szCs w:val="18"/>
                      <w:lang w:val="en-GB"/>
                    </w:rPr>
                  </m:ctrlPr>
                </m:sSubPr>
                <m:e>
                  <m:r>
                    <w:rPr>
                      <w:rFonts w:ascii="Cambria Math" w:hAnsi="Cambria Math"/>
                      <w:noProof/>
                      <w:szCs w:val="18"/>
                      <w:lang w:val="en-GB"/>
                    </w:rPr>
                    <m:t>ϕ</m:t>
                  </m:r>
                </m:e>
                <m:sub>
                  <m:r>
                    <w:rPr>
                      <w:rFonts w:ascii="Cambria Math" w:hAnsi="Cambria Math"/>
                      <w:noProof/>
                      <w:szCs w:val="18"/>
                      <w:lang w:val="en-GB"/>
                    </w:rPr>
                    <m:t>i,b</m:t>
                  </m:r>
                </m:sub>
              </m:sSub>
            </m:oMath>
            <w:r w:rsidR="00984E70" w:rsidRPr="00441198">
              <w:rPr>
                <w:noProof/>
                <w:szCs w:val="18"/>
                <w:lang w:val="en-GB"/>
              </w:rPr>
              <w:t>​ the fugacity coefficients of the pure compound in the surface and bulk phases.</w:t>
            </w:r>
          </w:p>
          <w:p w14:paraId="3F8AA773" w14:textId="6A5A8DDF" w:rsidR="00984E70" w:rsidRPr="00441198" w:rsidRDefault="00891787" w:rsidP="00D46ECB">
            <w:pPr>
              <w:pStyle w:val="CETBodytext"/>
              <w:ind w:left="-113" w:right="-113"/>
              <w:rPr>
                <w:noProof/>
                <w:szCs w:val="18"/>
                <w:lang w:val="en-GB"/>
              </w:rPr>
            </w:pPr>
            <w:r w:rsidRPr="00441198">
              <w:rPr>
                <w:noProof/>
                <w:szCs w:val="18"/>
                <w:lang w:val="en-GB"/>
              </w:rPr>
              <w:t xml:space="preserve">   </w:t>
            </w:r>
            <w:r w:rsidR="00984E70" w:rsidRPr="00441198">
              <w:rPr>
                <w:noProof/>
                <w:szCs w:val="18"/>
                <w:lang w:val="en-GB"/>
              </w:rPr>
              <w:t>Considering a binary system composed of water or an organic solvent and a deep eutectic solvent treated as a pseudopure compound, the equation is specifically developed for both components.</w:t>
            </w:r>
          </w:p>
        </w:tc>
      </w:tr>
    </w:tbl>
    <w:p w14:paraId="6442F14C" w14:textId="0FB33DE7" w:rsidR="00984E70" w:rsidRDefault="00891787" w:rsidP="00984E70">
      <w:pPr>
        <w:pStyle w:val="CETBodytext"/>
        <w:ind w:right="-2"/>
        <w:rPr>
          <w:noProof/>
          <w:szCs w:val="18"/>
          <w:lang w:val="en-GB"/>
        </w:rPr>
      </w:pPr>
      <w:r w:rsidRPr="00441198">
        <w:rPr>
          <w:noProof/>
          <w:szCs w:val="18"/>
          <w:lang w:val="en-GB"/>
        </w:rPr>
        <w:t xml:space="preserve">   </w:t>
      </w:r>
      <w:r w:rsidR="00984E70" w:rsidRPr="00441198">
        <w:rPr>
          <w:noProof/>
          <w:szCs w:val="18"/>
          <w:lang w:val="en-GB"/>
        </w:rPr>
        <w:t>It is important to highlight the relevance of the molar surface area in the implementation of the GAE. Firstly, the initial estimated value significantly influences the convergence of the minimization process. Additionally, surface areas have only been reported for organic solvents and water</w:t>
      </w:r>
      <w:r w:rsidR="004E50D8" w:rsidRPr="00441198">
        <w:rPr>
          <w:noProof/>
          <w:szCs w:val="18"/>
          <w:lang w:val="en-GB"/>
        </w:rPr>
        <w:t xml:space="preserve"> (Tojo-Suarez et al., 1989)</w:t>
      </w:r>
      <w:r w:rsidR="00984E70" w:rsidRPr="00441198">
        <w:rPr>
          <w:noProof/>
          <w:szCs w:val="18"/>
          <w:lang w:val="en-GB"/>
        </w:rPr>
        <w:t>. Therefore, in the case of DESs, this value must be estimated using the Paquette method</w:t>
      </w:r>
      <w:r w:rsidR="004E50D8" w:rsidRPr="00441198">
        <w:rPr>
          <w:noProof/>
          <w:szCs w:val="18"/>
          <w:lang w:val="en-GB"/>
        </w:rPr>
        <w:t xml:space="preserve"> (Tojo-Suarez et al., 1989)</w:t>
      </w:r>
      <w:r w:rsidR="00984E70" w:rsidRPr="00441198">
        <w:rPr>
          <w:noProof/>
          <w:szCs w:val="18"/>
          <w:lang w:val="en-GB"/>
        </w:rPr>
        <w:t xml:space="preserve"> as a starting point and optimized during the adjustment process.</w:t>
      </w:r>
    </w:p>
    <w:bookmarkEnd w:id="5"/>
    <w:p w14:paraId="772FCC9E" w14:textId="39F2086F" w:rsidR="00984E70" w:rsidRPr="00441198" w:rsidRDefault="00984E70" w:rsidP="00984E70">
      <w:pPr>
        <w:pStyle w:val="CETHeading1"/>
        <w:rPr>
          <w:noProof/>
          <w:lang w:val="en-GB"/>
        </w:rPr>
      </w:pPr>
      <w:r w:rsidRPr="00441198">
        <w:rPr>
          <w:noProof/>
          <w:lang w:val="en-GB"/>
        </w:rPr>
        <w:t>Results and Discussion</w:t>
      </w:r>
    </w:p>
    <w:p w14:paraId="7FC9CBB2" w14:textId="03E182A7" w:rsidR="00984E70" w:rsidRPr="00441198" w:rsidRDefault="00984E70" w:rsidP="00984E70">
      <w:pPr>
        <w:pStyle w:val="CETBodytext"/>
        <w:rPr>
          <w:noProof/>
          <w:szCs w:val="18"/>
          <w:lang w:val="en-GB"/>
        </w:rPr>
      </w:pPr>
      <w:r w:rsidRPr="00441198">
        <w:rPr>
          <w:noProof/>
          <w:szCs w:val="18"/>
          <w:lang w:val="en-GB"/>
        </w:rPr>
        <w:t xml:space="preserve">   The model validation process requires a comparison between the calculated and experimental values. For this purpose, the system is composed of tetraethylammonium bromide (TEAB) as a hydrogen bond acceptor and ethylene glycol (EG) as a hydrogen bond donor, in a 1:3 proportion [TEAB (1) :</w:t>
      </w:r>
      <w:r w:rsidR="00A90141">
        <w:rPr>
          <w:noProof/>
          <w:szCs w:val="18"/>
          <w:lang w:val="en-GB"/>
        </w:rPr>
        <w:t xml:space="preserve"> </w:t>
      </w:r>
      <w:r w:rsidRPr="00441198">
        <w:rPr>
          <w:noProof/>
          <w:szCs w:val="18"/>
          <w:lang w:val="en-GB"/>
        </w:rPr>
        <w:t xml:space="preserve">(3) EG], is validated in mixtures with water, ethanol, and acetonitrile. The experimental data used corresponds to those reported by Wei et al. </w:t>
      </w:r>
      <w:r w:rsidR="004E50D8" w:rsidRPr="00441198">
        <w:rPr>
          <w:noProof/>
          <w:szCs w:val="18"/>
          <w:lang w:val="en-GB"/>
        </w:rPr>
        <w:t>(</w:t>
      </w:r>
      <w:r w:rsidRPr="00441198">
        <w:rPr>
          <w:noProof/>
          <w:szCs w:val="18"/>
          <w:lang w:val="en-GB"/>
        </w:rPr>
        <w:t>2023</w:t>
      </w:r>
      <w:r w:rsidR="004E50D8" w:rsidRPr="00441198">
        <w:rPr>
          <w:noProof/>
          <w:szCs w:val="18"/>
          <w:lang w:val="en-GB"/>
        </w:rPr>
        <w:t>)</w:t>
      </w:r>
      <w:r w:rsidRPr="00441198">
        <w:rPr>
          <w:noProof/>
          <w:szCs w:val="18"/>
          <w:lang w:val="en-GB"/>
        </w:rPr>
        <w:t>, under atmospheric pressure conditions, covering the entire composition range and a temperature range between 288.15 K and 318.15 K. For each system, the mean absolute deviation (%MAD), percentage bias (%BIAS), and maximum absolute percentage deviation (%MaxMAD) are evaluated as metrics for assessing the model's performance.</w:t>
      </w:r>
    </w:p>
    <w:p w14:paraId="7B986711" w14:textId="0B2B8022" w:rsidR="00984E70" w:rsidRPr="00441198" w:rsidRDefault="00984E70" w:rsidP="00984E70">
      <w:pPr>
        <w:pStyle w:val="CETBodytext"/>
        <w:rPr>
          <w:noProof/>
          <w:szCs w:val="18"/>
          <w:lang w:val="en-GB"/>
        </w:rPr>
      </w:pPr>
      <w:r w:rsidRPr="00441198">
        <w:rPr>
          <w:noProof/>
          <w:szCs w:val="18"/>
          <w:lang w:val="en-GB"/>
        </w:rPr>
        <w:t xml:space="preserve"> </w:t>
      </w:r>
      <w:r w:rsidR="00435EF2" w:rsidRPr="00441198">
        <w:rPr>
          <w:noProof/>
          <w:szCs w:val="18"/>
          <w:lang w:val="en-GB"/>
        </w:rPr>
        <w:t xml:space="preserve">   </w:t>
      </w:r>
      <w:r w:rsidRPr="00441198">
        <w:rPr>
          <w:noProof/>
          <w:szCs w:val="18"/>
          <w:lang w:val="en-GB"/>
        </w:rPr>
        <w:t xml:space="preserve">As described in the methodology, a significant portion of the calculations for the equation of state relies on the critical properties of pure compounds. For solvents, the values reported by NIST are used, while for DESs, a group contribution method of the Lee-Kesler type is employed, as reported and utilized by Boublia et al. </w:t>
      </w:r>
      <w:r w:rsidR="004E50D8" w:rsidRPr="00441198">
        <w:rPr>
          <w:noProof/>
          <w:szCs w:val="18"/>
          <w:lang w:val="en-GB"/>
        </w:rPr>
        <w:t>(</w:t>
      </w:r>
      <w:r w:rsidRPr="00441198">
        <w:rPr>
          <w:noProof/>
          <w:szCs w:val="18"/>
          <w:lang w:val="en-GB"/>
        </w:rPr>
        <w:t>2024</w:t>
      </w:r>
      <w:r w:rsidR="004E50D8" w:rsidRPr="00441198">
        <w:rPr>
          <w:noProof/>
          <w:szCs w:val="18"/>
          <w:lang w:val="en-GB"/>
        </w:rPr>
        <w:t>)</w:t>
      </w:r>
      <w:r w:rsidRPr="00441198">
        <w:rPr>
          <w:noProof/>
          <w:szCs w:val="18"/>
          <w:lang w:val="en-GB"/>
        </w:rPr>
        <w:t>.</w:t>
      </w:r>
    </w:p>
    <w:p w14:paraId="20B6FDAD" w14:textId="67651590" w:rsidR="00984E70" w:rsidRPr="00441198" w:rsidRDefault="00984E70" w:rsidP="00984E70">
      <w:pPr>
        <w:pStyle w:val="CETBodytext"/>
        <w:rPr>
          <w:noProof/>
          <w:szCs w:val="18"/>
          <w:lang w:val="en-GB"/>
        </w:rPr>
      </w:pPr>
      <w:r w:rsidRPr="00441198">
        <w:rPr>
          <w:noProof/>
          <w:szCs w:val="18"/>
          <w:lang w:val="en-GB"/>
        </w:rPr>
        <w:t xml:space="preserve">   </w:t>
      </w:r>
      <w:r w:rsidR="00435EF2" w:rsidRPr="00441198">
        <w:rPr>
          <w:noProof/>
          <w:szCs w:val="18"/>
          <w:lang w:val="en-GB"/>
        </w:rPr>
        <w:t xml:space="preserve"> </w:t>
      </w:r>
      <w:r w:rsidRPr="00441198">
        <w:rPr>
          <w:noProof/>
          <w:szCs w:val="18"/>
          <w:lang w:val="en-GB"/>
        </w:rPr>
        <w:t>The figures presented in this document provide a visual comparison between the experimental data reported by Wei et al. and the predictions made by the proposed models. Markers represent the experimental data, while colored lines correspond to the model predictions, allowing a clear evaluation of the agreement between the two.</w:t>
      </w:r>
    </w:p>
    <w:p w14:paraId="272E8B20" w14:textId="024019D8" w:rsidR="00984E70" w:rsidRPr="00441198" w:rsidRDefault="00984E70" w:rsidP="00984E70">
      <w:pPr>
        <w:pStyle w:val="CETBodytext"/>
        <w:rPr>
          <w:noProof/>
          <w:szCs w:val="18"/>
          <w:lang w:val="en-GB"/>
        </w:rPr>
      </w:pPr>
      <w:r w:rsidRPr="00441198">
        <w:rPr>
          <w:noProof/>
          <w:szCs w:val="18"/>
          <w:lang w:val="en-GB"/>
        </w:rPr>
        <w:t xml:space="preserve">   For the DES-water mixture, a notably non-ideal behavior is observed, primarily attributable to the nature of water. However, the model successfully captures this behavior, providing a satisfactory fit, as shown in Figure 1, with a mean absolute deviation (MAD) of 0.09%. Convergence values of </w:t>
      </w:r>
      <m:oMath>
        <m:sSub>
          <m:sSubPr>
            <m:ctrlPr>
              <w:rPr>
                <w:rFonts w:ascii="Cambria Math" w:hAnsi="Cambria Math" w:cs="Arial"/>
                <w:noProof/>
                <w:szCs w:val="18"/>
                <w:lang w:val="en-GB"/>
              </w:rPr>
            </m:ctrlPr>
          </m:sSubPr>
          <m:e>
            <m:r>
              <m:rPr>
                <m:sty m:val="p"/>
              </m:rPr>
              <w:rPr>
                <w:rFonts w:ascii="Cambria Math" w:hAnsi="Cambria Math"/>
                <w:noProof/>
                <w:szCs w:val="18"/>
                <w:lang w:val="en-GB"/>
              </w:rPr>
              <m:t>k</m:t>
            </m:r>
          </m:e>
          <m:sub>
            <m:r>
              <m:rPr>
                <m:sty m:val="p"/>
              </m:rPr>
              <w:rPr>
                <w:rFonts w:ascii="Cambria Math" w:hAnsi="Cambria Math"/>
                <w:noProof/>
                <w:szCs w:val="18"/>
                <w:lang w:val="en-GB"/>
              </w:rPr>
              <m:t>i</m:t>
            </m:r>
            <m:r>
              <w:rPr>
                <w:rFonts w:ascii="Cambria Math" w:hAnsi="Cambria Math"/>
                <w:noProof/>
                <w:szCs w:val="18"/>
                <w:lang w:val="en-GB"/>
              </w:rPr>
              <m:t>,</m:t>
            </m:r>
            <m:r>
              <m:rPr>
                <m:sty m:val="p"/>
              </m:rPr>
              <w:rPr>
                <w:rFonts w:ascii="Cambria Math" w:hAnsi="Cambria Math"/>
                <w:noProof/>
                <w:szCs w:val="18"/>
                <w:lang w:val="en-GB"/>
              </w:rPr>
              <m:t>j</m:t>
            </m:r>
          </m:sub>
        </m:sSub>
      </m:oMath>
      <w:r w:rsidRPr="00441198">
        <w:rPr>
          <w:noProof/>
          <w:szCs w:val="18"/>
          <w:lang w:val="en-GB"/>
        </w:rPr>
        <w:t xml:space="preserve">=−0.318214 and </w:t>
      </w:r>
      <m:oMath>
        <m:sSub>
          <m:sSubPr>
            <m:ctrlPr>
              <w:rPr>
                <w:rFonts w:ascii="Cambria Math" w:hAnsi="Cambria Math" w:cs="Arial"/>
                <w:noProof/>
                <w:szCs w:val="18"/>
                <w:lang w:val="en-GB"/>
              </w:rPr>
            </m:ctrlPr>
          </m:sSubPr>
          <m:e>
            <m:r>
              <m:rPr>
                <m:sty m:val="p"/>
              </m:rPr>
              <w:rPr>
                <w:rFonts w:ascii="Cambria Math" w:hAnsi="Cambria Math"/>
                <w:noProof/>
                <w:szCs w:val="18"/>
                <w:lang w:val="en-GB"/>
              </w:rPr>
              <m:t>l</m:t>
            </m:r>
          </m:e>
          <m:sub>
            <m:r>
              <m:rPr>
                <m:sty m:val="p"/>
              </m:rPr>
              <w:rPr>
                <w:rFonts w:ascii="Cambria Math" w:hAnsi="Cambria Math"/>
                <w:noProof/>
                <w:szCs w:val="18"/>
                <w:lang w:val="en-GB"/>
              </w:rPr>
              <m:t>i</m:t>
            </m:r>
            <m:r>
              <w:rPr>
                <w:rFonts w:ascii="Cambria Math" w:hAnsi="Cambria Math"/>
                <w:noProof/>
                <w:szCs w:val="18"/>
                <w:lang w:val="en-GB"/>
              </w:rPr>
              <m:t>,</m:t>
            </m:r>
            <m:r>
              <m:rPr>
                <m:sty m:val="p"/>
              </m:rPr>
              <w:rPr>
                <w:rFonts w:ascii="Cambria Math" w:hAnsi="Cambria Math"/>
                <w:noProof/>
                <w:szCs w:val="18"/>
                <w:lang w:val="en-GB"/>
              </w:rPr>
              <m:t>j</m:t>
            </m:r>
          </m:sub>
        </m:sSub>
      </m:oMath>
      <w:r w:rsidRPr="00441198">
        <w:rPr>
          <w:noProof/>
          <w:szCs w:val="18"/>
          <w:lang w:val="en-GB"/>
        </w:rPr>
        <w:t xml:space="preserve">=0.0142438l are obtained. In terms of surface tension, shown in Figure 2, the model achieves a MAD of 1.34%, with a maximum deviation of 2.86% at a DES mole fraction of 0.5. The optimized molar surface area for the DES is </w:t>
      </w:r>
      <w:r w:rsidRPr="00441198">
        <w:rPr>
          <w:noProof/>
          <w:szCs w:val="18"/>
          <w:lang w:val="en-GB"/>
        </w:rPr>
        <w:lastRenderedPageBreak/>
        <w:t>calculated as 6.23 x10</w:t>
      </w:r>
      <w:r w:rsidRPr="00441198">
        <w:rPr>
          <w:noProof/>
          <w:szCs w:val="18"/>
          <w:vertAlign w:val="superscript"/>
          <w:lang w:val="en-GB"/>
        </w:rPr>
        <w:t>8</w:t>
      </w:r>
      <w:r w:rsidRPr="00441198">
        <w:rPr>
          <w:noProof/>
          <w:szCs w:val="18"/>
          <w:lang w:val="en-GB"/>
        </w:rPr>
        <w:t xml:space="preserve"> cm</w:t>
      </w:r>
      <w:r w:rsidRPr="00441198">
        <w:rPr>
          <w:noProof/>
          <w:szCs w:val="18"/>
          <w:vertAlign w:val="superscript"/>
          <w:lang w:val="en-GB"/>
        </w:rPr>
        <w:t>2</w:t>
      </w:r>
      <w:r w:rsidRPr="00441198">
        <w:rPr>
          <w:noProof/>
          <w:szCs w:val="18"/>
          <w:lang w:val="en-GB"/>
        </w:rPr>
        <w:t>/mol, while the value for water is kept constant at 0.723 x10</w:t>
      </w:r>
      <w:r w:rsidRPr="00441198">
        <w:rPr>
          <w:noProof/>
          <w:szCs w:val="18"/>
          <w:vertAlign w:val="superscript"/>
          <w:lang w:val="en-GB"/>
        </w:rPr>
        <w:t>8</w:t>
      </w:r>
      <w:r w:rsidRPr="00441198">
        <w:rPr>
          <w:noProof/>
          <w:szCs w:val="18"/>
          <w:lang w:val="en-GB"/>
        </w:rPr>
        <w:t xml:space="preserve"> cm</w:t>
      </w:r>
      <w:r w:rsidRPr="00441198">
        <w:rPr>
          <w:noProof/>
          <w:szCs w:val="18"/>
          <w:vertAlign w:val="superscript"/>
          <w:lang w:val="en-GB"/>
        </w:rPr>
        <w:t>2</w:t>
      </w:r>
      <w:r w:rsidRPr="00441198">
        <w:rPr>
          <w:noProof/>
          <w:szCs w:val="18"/>
          <w:lang w:val="en-GB"/>
        </w:rPr>
        <w:t xml:space="preserve">/mol, as reported by </w:t>
      </w:r>
      <w:r w:rsidR="00285FDA" w:rsidRPr="00441198">
        <w:rPr>
          <w:noProof/>
          <w:szCs w:val="18"/>
          <w:lang w:val="en-GB"/>
        </w:rPr>
        <w:t>Tojo-</w:t>
      </w:r>
      <w:r w:rsidRPr="00441198">
        <w:rPr>
          <w:noProof/>
          <w:szCs w:val="18"/>
          <w:lang w:val="en-GB"/>
        </w:rPr>
        <w:t>Suárez et al</w:t>
      </w:r>
      <w:r w:rsidR="00285FDA" w:rsidRPr="00441198">
        <w:rPr>
          <w:noProof/>
          <w:szCs w:val="18"/>
          <w:lang w:val="en-GB"/>
        </w:rPr>
        <w:t>. (1989)</w:t>
      </w:r>
      <w:r w:rsidRPr="00441198">
        <w:rPr>
          <w:noProof/>
          <w:szCs w:val="18"/>
          <w:lang w:val="en-GB"/>
        </w:rPr>
        <w:t>.</w:t>
      </w:r>
    </w:p>
    <w:p w14:paraId="3F9C03B9" w14:textId="4E5D3E82" w:rsidR="00984E70" w:rsidRPr="00441198" w:rsidRDefault="00984E70" w:rsidP="00984E70">
      <w:pPr>
        <w:pStyle w:val="CETBodytext"/>
        <w:rPr>
          <w:noProof/>
          <w:szCs w:val="18"/>
          <w:lang w:val="en-GB"/>
        </w:rPr>
      </w:pPr>
      <w:r w:rsidRPr="00441198">
        <w:rPr>
          <w:noProof/>
          <w:szCs w:val="18"/>
          <w:lang w:val="en-GB"/>
        </w:rPr>
        <w:t xml:space="preserve">   The DES-ethanol system exhibits an even better fit than the previous system, primarily due to its closer behavior to ideality. The density shows a MAD of 0.03%, with </w:t>
      </w:r>
      <m:oMath>
        <m:sSub>
          <m:sSubPr>
            <m:ctrlPr>
              <w:rPr>
                <w:rFonts w:ascii="Cambria Math" w:hAnsi="Cambria Math" w:cs="Arial"/>
                <w:noProof/>
                <w:szCs w:val="18"/>
                <w:lang w:val="en-GB"/>
              </w:rPr>
            </m:ctrlPr>
          </m:sSubPr>
          <m:e>
            <m:r>
              <m:rPr>
                <m:sty m:val="p"/>
              </m:rPr>
              <w:rPr>
                <w:rFonts w:ascii="Cambria Math" w:hAnsi="Cambria Math"/>
                <w:noProof/>
                <w:szCs w:val="18"/>
                <w:lang w:val="en-GB"/>
              </w:rPr>
              <m:t>k</m:t>
            </m:r>
          </m:e>
          <m:sub>
            <m:r>
              <m:rPr>
                <m:sty m:val="p"/>
              </m:rPr>
              <w:rPr>
                <w:rFonts w:ascii="Cambria Math" w:hAnsi="Cambria Math"/>
                <w:noProof/>
                <w:szCs w:val="18"/>
                <w:lang w:val="en-GB"/>
              </w:rPr>
              <m:t>i</m:t>
            </m:r>
            <m:r>
              <w:rPr>
                <w:rFonts w:ascii="Cambria Math" w:hAnsi="Cambria Math"/>
                <w:noProof/>
                <w:szCs w:val="18"/>
                <w:lang w:val="en-GB"/>
              </w:rPr>
              <m:t>,</m:t>
            </m:r>
            <m:r>
              <m:rPr>
                <m:sty m:val="p"/>
              </m:rPr>
              <w:rPr>
                <w:rFonts w:ascii="Cambria Math" w:hAnsi="Cambria Math"/>
                <w:noProof/>
                <w:szCs w:val="18"/>
                <w:lang w:val="en-GB"/>
              </w:rPr>
              <m:t>j</m:t>
            </m:r>
          </m:sub>
        </m:sSub>
      </m:oMath>
      <w:r w:rsidRPr="00441198">
        <w:rPr>
          <w:noProof/>
          <w:szCs w:val="18"/>
          <w:lang w:val="en-GB"/>
        </w:rPr>
        <w:t xml:space="preserve">=−0.098143k and </w:t>
      </w:r>
      <m:oMath>
        <m:sSub>
          <m:sSubPr>
            <m:ctrlPr>
              <w:rPr>
                <w:rFonts w:ascii="Cambria Math" w:hAnsi="Cambria Math" w:cs="Arial"/>
                <w:noProof/>
                <w:szCs w:val="18"/>
                <w:lang w:val="en-GB"/>
              </w:rPr>
            </m:ctrlPr>
          </m:sSubPr>
          <m:e>
            <m:r>
              <m:rPr>
                <m:sty m:val="p"/>
              </m:rPr>
              <w:rPr>
                <w:rFonts w:ascii="Cambria Math" w:hAnsi="Cambria Math"/>
                <w:noProof/>
                <w:szCs w:val="18"/>
                <w:lang w:val="en-GB"/>
              </w:rPr>
              <m:t>l</m:t>
            </m:r>
          </m:e>
          <m:sub>
            <m:r>
              <m:rPr>
                <m:sty m:val="p"/>
              </m:rPr>
              <w:rPr>
                <w:rFonts w:ascii="Cambria Math" w:hAnsi="Cambria Math"/>
                <w:noProof/>
                <w:szCs w:val="18"/>
                <w:lang w:val="en-GB"/>
              </w:rPr>
              <m:t>i</m:t>
            </m:r>
            <m:r>
              <w:rPr>
                <w:rFonts w:ascii="Cambria Math" w:hAnsi="Cambria Math"/>
                <w:noProof/>
                <w:szCs w:val="18"/>
                <w:lang w:val="en-GB"/>
              </w:rPr>
              <m:t>,</m:t>
            </m:r>
            <m:r>
              <m:rPr>
                <m:sty m:val="p"/>
              </m:rPr>
              <w:rPr>
                <w:rFonts w:ascii="Cambria Math" w:hAnsi="Cambria Math"/>
                <w:noProof/>
                <w:szCs w:val="18"/>
                <w:lang w:val="en-GB"/>
              </w:rPr>
              <m:t>j</m:t>
            </m:r>
          </m:sub>
        </m:sSub>
      </m:oMath>
      <w:r w:rsidRPr="00441198">
        <w:rPr>
          <w:noProof/>
          <w:szCs w:val="18"/>
          <w:lang w:val="en-GB"/>
        </w:rPr>
        <w:t>=0.00953823l, as illustrated in Figure 3. The surface tension of this mixture achieves a MAD of 1.24% and a maximum deviation of 3.76%, particularly evident at higher DES mole fractions (Figure 4). The molar surface area for ethanol remains constant at 8.052 x10</w:t>
      </w:r>
      <w:r w:rsidRPr="00441198">
        <w:rPr>
          <w:noProof/>
          <w:szCs w:val="18"/>
          <w:vertAlign w:val="superscript"/>
          <w:lang w:val="en-GB"/>
        </w:rPr>
        <w:t>8</w:t>
      </w:r>
      <w:r w:rsidRPr="00441198">
        <w:rPr>
          <w:noProof/>
          <w:szCs w:val="18"/>
          <w:lang w:val="en-GB"/>
        </w:rPr>
        <w:t xml:space="preserve"> cm</w:t>
      </w:r>
      <w:r w:rsidRPr="00441198">
        <w:rPr>
          <w:noProof/>
          <w:szCs w:val="18"/>
          <w:vertAlign w:val="superscript"/>
          <w:lang w:val="en-GB"/>
        </w:rPr>
        <w:t>2</w:t>
      </w:r>
      <w:r w:rsidRPr="00441198">
        <w:rPr>
          <w:noProof/>
          <w:szCs w:val="18"/>
          <w:lang w:val="en-GB"/>
        </w:rPr>
        <w:t>/mol</w:t>
      </w:r>
      <w:r w:rsidR="00285FDA" w:rsidRPr="00441198">
        <w:rPr>
          <w:noProof/>
          <w:szCs w:val="18"/>
          <w:lang w:val="en-GB"/>
        </w:rPr>
        <w:t xml:space="preserve"> (Tojo-Suarez et al., 1989)</w:t>
      </w:r>
      <w:r w:rsidRPr="00441198">
        <w:rPr>
          <w:noProof/>
          <w:szCs w:val="18"/>
          <w:lang w:val="en-GB"/>
        </w:rPr>
        <w:t>, while that for DES is optimized to 3.30 x10</w:t>
      </w:r>
      <w:r w:rsidRPr="00441198">
        <w:rPr>
          <w:noProof/>
          <w:szCs w:val="18"/>
          <w:vertAlign w:val="superscript"/>
          <w:lang w:val="en-GB"/>
        </w:rPr>
        <w:t>8</w:t>
      </w:r>
      <w:r w:rsidRPr="00441198">
        <w:rPr>
          <w:noProof/>
          <w:szCs w:val="18"/>
          <w:lang w:val="en-GB"/>
        </w:rPr>
        <w:t xml:space="preserve"> cm</w:t>
      </w:r>
      <w:r w:rsidRPr="00441198">
        <w:rPr>
          <w:noProof/>
          <w:szCs w:val="18"/>
          <w:vertAlign w:val="superscript"/>
          <w:lang w:val="en-GB"/>
        </w:rPr>
        <w:t>2</w:t>
      </w:r>
      <w:r w:rsidRPr="00441198">
        <w:rPr>
          <w:noProof/>
          <w:szCs w:val="18"/>
          <w:lang w:val="en-GB"/>
        </w:rPr>
        <w:t>/mol.</w:t>
      </w:r>
    </w:p>
    <w:p w14:paraId="5F47936B" w14:textId="63CF3CAE" w:rsidR="00984E70" w:rsidRPr="00441198" w:rsidRDefault="00984E70" w:rsidP="00984E70">
      <w:pPr>
        <w:pStyle w:val="CETBodytext"/>
        <w:rPr>
          <w:noProof/>
          <w:szCs w:val="18"/>
          <w:lang w:val="en-GB"/>
        </w:rPr>
      </w:pPr>
      <w:r w:rsidRPr="00441198">
        <w:rPr>
          <w:noProof/>
          <w:szCs w:val="18"/>
          <w:lang w:val="en-GB"/>
        </w:rPr>
        <w:t xml:space="preserve">   Finally, the DES-acetonitrile system, like the DES-ethanol system, exhibits behavior closer to ideality, as shown in Figure 5. The density has a MAD of 0.15%, with the largest deviations observed at pure acetonitrile compositions at higher temperatures. The parameters obtained are </w:t>
      </w:r>
      <m:oMath>
        <m:sSub>
          <m:sSubPr>
            <m:ctrlPr>
              <w:rPr>
                <w:rFonts w:ascii="Cambria Math" w:hAnsi="Cambria Math" w:cs="Arial"/>
                <w:noProof/>
                <w:szCs w:val="18"/>
                <w:lang w:val="en-GB"/>
              </w:rPr>
            </m:ctrlPr>
          </m:sSubPr>
          <m:e>
            <m:r>
              <m:rPr>
                <m:sty m:val="p"/>
              </m:rPr>
              <w:rPr>
                <w:rFonts w:ascii="Cambria Math" w:hAnsi="Cambria Math"/>
                <w:noProof/>
                <w:szCs w:val="18"/>
                <w:lang w:val="en-GB"/>
              </w:rPr>
              <m:t>k</m:t>
            </m:r>
          </m:e>
          <m:sub>
            <m:r>
              <m:rPr>
                <m:sty m:val="p"/>
              </m:rPr>
              <w:rPr>
                <w:rFonts w:ascii="Cambria Math" w:hAnsi="Cambria Math"/>
                <w:noProof/>
                <w:szCs w:val="18"/>
                <w:lang w:val="en-GB"/>
              </w:rPr>
              <m:t>i</m:t>
            </m:r>
            <m:r>
              <w:rPr>
                <w:rFonts w:ascii="Cambria Math" w:hAnsi="Cambria Math"/>
                <w:noProof/>
                <w:szCs w:val="18"/>
                <w:lang w:val="en-GB"/>
              </w:rPr>
              <m:t>,</m:t>
            </m:r>
            <m:r>
              <m:rPr>
                <m:sty m:val="p"/>
              </m:rPr>
              <w:rPr>
                <w:rFonts w:ascii="Cambria Math" w:hAnsi="Cambria Math"/>
                <w:noProof/>
                <w:szCs w:val="18"/>
                <w:lang w:val="en-GB"/>
              </w:rPr>
              <m:t>j</m:t>
            </m:r>
          </m:sub>
        </m:sSub>
      </m:oMath>
      <w:r w:rsidRPr="00441198">
        <w:rPr>
          <w:noProof/>
          <w:szCs w:val="18"/>
          <w:lang w:val="en-GB"/>
        </w:rPr>
        <w:t xml:space="preserve">=−0.058612 and </w:t>
      </w:r>
      <m:oMath>
        <m:sSub>
          <m:sSubPr>
            <m:ctrlPr>
              <w:rPr>
                <w:rFonts w:ascii="Cambria Math" w:hAnsi="Cambria Math" w:cs="Arial"/>
                <w:noProof/>
                <w:szCs w:val="18"/>
                <w:lang w:val="en-GB"/>
              </w:rPr>
            </m:ctrlPr>
          </m:sSubPr>
          <m:e>
            <m:r>
              <m:rPr>
                <m:sty m:val="p"/>
              </m:rPr>
              <w:rPr>
                <w:rFonts w:ascii="Cambria Math" w:hAnsi="Cambria Math"/>
                <w:noProof/>
                <w:szCs w:val="18"/>
                <w:lang w:val="en-GB"/>
              </w:rPr>
              <m:t>l</m:t>
            </m:r>
          </m:e>
          <m:sub>
            <m:r>
              <m:rPr>
                <m:sty m:val="p"/>
              </m:rPr>
              <w:rPr>
                <w:rFonts w:ascii="Cambria Math" w:hAnsi="Cambria Math"/>
                <w:noProof/>
                <w:szCs w:val="18"/>
                <w:lang w:val="en-GB"/>
              </w:rPr>
              <m:t>i</m:t>
            </m:r>
            <m:r>
              <w:rPr>
                <w:rFonts w:ascii="Cambria Math" w:hAnsi="Cambria Math"/>
                <w:noProof/>
                <w:szCs w:val="18"/>
                <w:lang w:val="en-GB"/>
              </w:rPr>
              <m:t>,</m:t>
            </m:r>
            <m:r>
              <m:rPr>
                <m:sty m:val="p"/>
              </m:rPr>
              <w:rPr>
                <w:rFonts w:ascii="Cambria Math" w:hAnsi="Cambria Math"/>
                <w:noProof/>
                <w:szCs w:val="18"/>
                <w:lang w:val="en-GB"/>
              </w:rPr>
              <m:t>j</m:t>
            </m:r>
          </m:sub>
        </m:sSub>
      </m:oMath>
      <w:r w:rsidRPr="00441198">
        <w:rPr>
          <w:noProof/>
          <w:szCs w:val="18"/>
          <w:lang w:val="en-GB"/>
        </w:rPr>
        <w:t>=−0.00029625l. Regarding surface tension (Figure 6), the mean absolute deviation is 1.06%, with a maximum deviation of 3.06%, notably at low DES mole fractions at high temperatures and at high mole fractions at low temperatures. The molar surface area for DES is optimized to 3.84 x10</w:t>
      </w:r>
      <w:r w:rsidRPr="00441198">
        <w:rPr>
          <w:noProof/>
          <w:szCs w:val="18"/>
          <w:vertAlign w:val="superscript"/>
          <w:lang w:val="en-GB"/>
        </w:rPr>
        <w:t>8</w:t>
      </w:r>
      <w:r w:rsidRPr="00441198">
        <w:rPr>
          <w:noProof/>
          <w:szCs w:val="18"/>
          <w:lang w:val="en-GB"/>
        </w:rPr>
        <w:t xml:space="preserve"> cm</w:t>
      </w:r>
      <w:r w:rsidRPr="00441198">
        <w:rPr>
          <w:noProof/>
          <w:szCs w:val="18"/>
          <w:vertAlign w:val="superscript"/>
          <w:lang w:val="en-GB"/>
        </w:rPr>
        <w:t>2</w:t>
      </w:r>
      <w:r w:rsidRPr="00441198">
        <w:rPr>
          <w:noProof/>
          <w:szCs w:val="18"/>
          <w:lang w:val="en-GB"/>
        </w:rPr>
        <w:t>/mol, while the value for acetonitrile is kept constant at 6.058 x10</w:t>
      </w:r>
      <w:r w:rsidRPr="00441198">
        <w:rPr>
          <w:noProof/>
          <w:szCs w:val="18"/>
          <w:vertAlign w:val="superscript"/>
          <w:lang w:val="en-GB"/>
        </w:rPr>
        <w:t>8</w:t>
      </w:r>
      <w:r w:rsidRPr="00441198">
        <w:rPr>
          <w:noProof/>
          <w:szCs w:val="18"/>
          <w:lang w:val="en-GB"/>
        </w:rPr>
        <w:t xml:space="preserve"> cm</w:t>
      </w:r>
      <w:r w:rsidRPr="00441198">
        <w:rPr>
          <w:noProof/>
          <w:szCs w:val="18"/>
          <w:vertAlign w:val="superscript"/>
          <w:lang w:val="en-GB"/>
        </w:rPr>
        <w:t>2</w:t>
      </w:r>
      <w:r w:rsidRPr="00441198">
        <w:rPr>
          <w:noProof/>
          <w:szCs w:val="18"/>
          <w:lang w:val="en-GB"/>
        </w:rPr>
        <w:t>/</w:t>
      </w:r>
      <w:r w:rsidR="00285FDA" w:rsidRPr="00441198">
        <w:rPr>
          <w:noProof/>
          <w:szCs w:val="18"/>
          <w:lang w:val="en-GB"/>
        </w:rPr>
        <w:t>mol (Tojo-Suarez et al., 1989)</w:t>
      </w:r>
      <w:r w:rsidRPr="00441198">
        <w:rPr>
          <w:noProof/>
          <w:szCs w:val="18"/>
          <w:lang w:val="en-GB"/>
        </w:rPr>
        <w:t>.</w:t>
      </w:r>
    </w:p>
    <w:p w14:paraId="3F2D9BF8" w14:textId="639BF447" w:rsidR="00F86FE8" w:rsidRPr="00441198" w:rsidRDefault="0089313D" w:rsidP="00984E70">
      <w:pPr>
        <w:pStyle w:val="CETBodytext"/>
        <w:rPr>
          <w:noProof/>
          <w:szCs w:val="18"/>
          <w:lang w:val="en-GB"/>
        </w:rPr>
      </w:pPr>
      <w:r w:rsidRPr="00441198">
        <w:rPr>
          <w:noProof/>
          <w:szCs w:val="18"/>
          <w:lang w:val="en-GB"/>
        </w:rPr>
        <w:t xml:space="preserve">   Table 1 summarizes the previously detailed information on the mean absolute deviation (%MAD) of the three evaluated systems for both models, facilitating a quantitative comparison of their accuracy and performance.</w:t>
      </w:r>
    </w:p>
    <w:p w14:paraId="40663950" w14:textId="7FEBDE99" w:rsidR="001708A2" w:rsidRPr="00441198" w:rsidRDefault="001708A2" w:rsidP="001708A2">
      <w:pPr>
        <w:pStyle w:val="CETTabletitle"/>
        <w:rPr>
          <w:noProof/>
        </w:rPr>
      </w:pPr>
      <w:r w:rsidRPr="00441198">
        <w:rPr>
          <w:noProof/>
        </w:rPr>
        <w:t xml:space="preserve">Table 1: </w:t>
      </w:r>
      <w:r w:rsidR="00EB16E5" w:rsidRPr="00441198">
        <w:rPr>
          <w:noProof/>
        </w:rPr>
        <w:t>Comparison of the mean absolute deviation (%MAD) of the evaluated models.</w:t>
      </w:r>
    </w:p>
    <w:tbl>
      <w:tblPr>
        <w:tblW w:w="0" w:type="auto"/>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1418"/>
        <w:gridCol w:w="1276"/>
        <w:gridCol w:w="1276"/>
        <w:gridCol w:w="1134"/>
        <w:gridCol w:w="284"/>
        <w:gridCol w:w="3117"/>
      </w:tblGrid>
      <w:tr w:rsidR="00435EF2" w:rsidRPr="00441198" w14:paraId="7C0F00C0" w14:textId="77777777" w:rsidTr="00A90141">
        <w:tc>
          <w:tcPr>
            <w:tcW w:w="1418" w:type="dxa"/>
            <w:tcBorders>
              <w:top w:val="single" w:sz="12" w:space="0" w:color="008000"/>
              <w:bottom w:val="single" w:sz="6" w:space="0" w:color="008000"/>
            </w:tcBorders>
            <w:shd w:val="clear" w:color="auto" w:fill="FFFFFF"/>
          </w:tcPr>
          <w:p w14:paraId="2CB18E73" w14:textId="0CEAE08E" w:rsidR="00435EF2" w:rsidRPr="00441198" w:rsidRDefault="00435EF2" w:rsidP="001708A2">
            <w:pPr>
              <w:pStyle w:val="CETBodytext"/>
              <w:jc w:val="center"/>
              <w:rPr>
                <w:noProof/>
                <w:lang w:val="en-GB"/>
              </w:rPr>
            </w:pPr>
            <w:r w:rsidRPr="00441198">
              <w:rPr>
                <w:noProof/>
                <w:lang w:val="en-GB"/>
              </w:rPr>
              <w:t>System</w:t>
            </w:r>
          </w:p>
        </w:tc>
        <w:tc>
          <w:tcPr>
            <w:tcW w:w="1276" w:type="dxa"/>
            <w:tcBorders>
              <w:top w:val="single" w:sz="12" w:space="0" w:color="008000"/>
              <w:bottom w:val="single" w:sz="6" w:space="0" w:color="008000"/>
            </w:tcBorders>
            <w:shd w:val="clear" w:color="auto" w:fill="FFFFFF"/>
          </w:tcPr>
          <w:p w14:paraId="59D8B1D7" w14:textId="19C446F8" w:rsidR="00435EF2" w:rsidRPr="00441198" w:rsidRDefault="00382649" w:rsidP="001708A2">
            <w:pPr>
              <w:pStyle w:val="CETBodytext"/>
              <w:jc w:val="center"/>
              <w:rPr>
                <w:noProof/>
                <w:lang w:val="en-GB"/>
              </w:rPr>
            </w:pPr>
            <w:r>
              <w:rPr>
                <w:noProof/>
                <w:lang w:val="en-GB"/>
              </w:rPr>
              <w:t>Number of points</w:t>
            </w:r>
          </w:p>
        </w:tc>
        <w:tc>
          <w:tcPr>
            <w:tcW w:w="1276" w:type="dxa"/>
            <w:tcBorders>
              <w:top w:val="single" w:sz="12" w:space="0" w:color="008000"/>
              <w:bottom w:val="single" w:sz="6" w:space="0" w:color="008000"/>
            </w:tcBorders>
            <w:shd w:val="clear" w:color="auto" w:fill="FFFFFF"/>
          </w:tcPr>
          <w:p w14:paraId="32B2AA32" w14:textId="26EFD55A" w:rsidR="00435EF2" w:rsidRPr="00441198" w:rsidRDefault="00435EF2" w:rsidP="001708A2">
            <w:pPr>
              <w:pStyle w:val="CETBodytext"/>
              <w:jc w:val="center"/>
              <w:rPr>
                <w:noProof/>
                <w:lang w:val="en-GB"/>
              </w:rPr>
            </w:pPr>
            <w:r w:rsidRPr="00441198">
              <w:rPr>
                <w:noProof/>
                <w:lang w:val="en-GB"/>
              </w:rPr>
              <w:t>Density (%MAD)</w:t>
            </w:r>
          </w:p>
        </w:tc>
        <w:tc>
          <w:tcPr>
            <w:tcW w:w="1418" w:type="dxa"/>
            <w:gridSpan w:val="2"/>
            <w:tcBorders>
              <w:top w:val="single" w:sz="12" w:space="0" w:color="008000"/>
              <w:bottom w:val="single" w:sz="6" w:space="0" w:color="008000"/>
            </w:tcBorders>
            <w:shd w:val="clear" w:color="auto" w:fill="FFFFFF"/>
          </w:tcPr>
          <w:p w14:paraId="0B380088" w14:textId="7CE4C99D" w:rsidR="00435EF2" w:rsidRPr="00441198" w:rsidRDefault="00435EF2" w:rsidP="001708A2">
            <w:pPr>
              <w:pStyle w:val="CETBodytext"/>
              <w:jc w:val="center"/>
              <w:rPr>
                <w:noProof/>
                <w:lang w:val="en-GB"/>
              </w:rPr>
            </w:pPr>
            <w:r w:rsidRPr="00441198">
              <w:rPr>
                <w:noProof/>
                <w:lang w:val="en-GB"/>
              </w:rPr>
              <w:t>Surface Tension (%MAD)</w:t>
            </w:r>
          </w:p>
        </w:tc>
        <w:tc>
          <w:tcPr>
            <w:tcW w:w="3117" w:type="dxa"/>
            <w:tcBorders>
              <w:top w:val="single" w:sz="12" w:space="0" w:color="008000"/>
              <w:bottom w:val="single" w:sz="6" w:space="0" w:color="008000"/>
            </w:tcBorders>
            <w:shd w:val="clear" w:color="auto" w:fill="FFFFFF"/>
          </w:tcPr>
          <w:p w14:paraId="7E791601" w14:textId="01C20FF5" w:rsidR="00435EF2" w:rsidRPr="00441198" w:rsidRDefault="00435EF2" w:rsidP="001708A2">
            <w:pPr>
              <w:pStyle w:val="CETBodytext"/>
              <w:ind w:right="-1"/>
              <w:jc w:val="center"/>
              <w:rPr>
                <w:rFonts w:cs="Arial"/>
                <w:noProof/>
                <w:szCs w:val="18"/>
                <w:lang w:val="en-GB"/>
              </w:rPr>
            </w:pPr>
            <w:r w:rsidRPr="00441198">
              <w:rPr>
                <w:rFonts w:cs="Arial"/>
                <w:noProof/>
                <w:szCs w:val="18"/>
                <w:lang w:val="en-GB"/>
              </w:rPr>
              <w:t>Figure</w:t>
            </w:r>
          </w:p>
        </w:tc>
      </w:tr>
      <w:tr w:rsidR="00435EF2" w:rsidRPr="00441198" w14:paraId="2AE7CDAE" w14:textId="77777777" w:rsidTr="00A90141">
        <w:tc>
          <w:tcPr>
            <w:tcW w:w="1418" w:type="dxa"/>
            <w:shd w:val="clear" w:color="auto" w:fill="FFFFFF"/>
          </w:tcPr>
          <w:p w14:paraId="669CC6ED" w14:textId="1E51C79A" w:rsidR="00435EF2" w:rsidRPr="00441198" w:rsidRDefault="00435EF2" w:rsidP="00D46ECB">
            <w:pPr>
              <w:pStyle w:val="CETBodytext"/>
              <w:rPr>
                <w:noProof/>
                <w:lang w:val="en-GB"/>
              </w:rPr>
            </w:pPr>
            <w:r w:rsidRPr="00441198">
              <w:rPr>
                <w:noProof/>
                <w:lang w:val="en-GB"/>
              </w:rPr>
              <w:t>DES-Water</w:t>
            </w:r>
          </w:p>
        </w:tc>
        <w:tc>
          <w:tcPr>
            <w:tcW w:w="1276" w:type="dxa"/>
            <w:shd w:val="clear" w:color="auto" w:fill="FFFFFF"/>
          </w:tcPr>
          <w:p w14:paraId="3FCC5CC0" w14:textId="7BE11331" w:rsidR="00435EF2" w:rsidRPr="00441198" w:rsidRDefault="00BB0FBD" w:rsidP="001708A2">
            <w:pPr>
              <w:pStyle w:val="CETBodytext"/>
              <w:jc w:val="center"/>
              <w:rPr>
                <w:noProof/>
                <w:lang w:val="en-GB"/>
              </w:rPr>
            </w:pPr>
            <w:r>
              <w:rPr>
                <w:noProof/>
                <w:lang w:val="en-GB"/>
              </w:rPr>
              <w:t>70</w:t>
            </w:r>
          </w:p>
        </w:tc>
        <w:tc>
          <w:tcPr>
            <w:tcW w:w="1276" w:type="dxa"/>
            <w:shd w:val="clear" w:color="auto" w:fill="FFFFFF"/>
          </w:tcPr>
          <w:p w14:paraId="278851A2" w14:textId="692B5E45" w:rsidR="00435EF2" w:rsidRPr="00441198" w:rsidRDefault="00435EF2" w:rsidP="001708A2">
            <w:pPr>
              <w:pStyle w:val="CETBodytext"/>
              <w:jc w:val="center"/>
              <w:rPr>
                <w:noProof/>
                <w:lang w:val="en-GB"/>
              </w:rPr>
            </w:pPr>
            <w:r w:rsidRPr="00441198">
              <w:rPr>
                <w:noProof/>
                <w:lang w:val="en-GB"/>
              </w:rPr>
              <w:t>0.09</w:t>
            </w:r>
          </w:p>
        </w:tc>
        <w:tc>
          <w:tcPr>
            <w:tcW w:w="1134" w:type="dxa"/>
            <w:shd w:val="clear" w:color="auto" w:fill="FFFFFF"/>
          </w:tcPr>
          <w:p w14:paraId="33B07E08" w14:textId="1776BE36" w:rsidR="00435EF2" w:rsidRPr="00441198" w:rsidRDefault="00435EF2" w:rsidP="001708A2">
            <w:pPr>
              <w:pStyle w:val="CETBodytext"/>
              <w:jc w:val="center"/>
              <w:rPr>
                <w:noProof/>
                <w:lang w:val="en-GB"/>
              </w:rPr>
            </w:pPr>
            <w:r w:rsidRPr="00441198">
              <w:rPr>
                <w:noProof/>
                <w:lang w:val="en-GB"/>
              </w:rPr>
              <w:t>1.34</w:t>
            </w:r>
          </w:p>
        </w:tc>
        <w:tc>
          <w:tcPr>
            <w:tcW w:w="3401" w:type="dxa"/>
            <w:gridSpan w:val="2"/>
            <w:shd w:val="clear" w:color="auto" w:fill="FFFFFF"/>
          </w:tcPr>
          <w:p w14:paraId="14DFCC01" w14:textId="5DB82E56" w:rsidR="00435EF2" w:rsidRPr="00441198" w:rsidRDefault="00435EF2" w:rsidP="001708A2">
            <w:pPr>
              <w:pStyle w:val="CETBodytext"/>
              <w:ind w:right="-1"/>
              <w:jc w:val="center"/>
              <w:rPr>
                <w:rFonts w:cs="Arial"/>
                <w:noProof/>
                <w:szCs w:val="18"/>
                <w:lang w:val="en-GB"/>
              </w:rPr>
            </w:pPr>
            <w:r w:rsidRPr="00441198">
              <w:rPr>
                <w:rFonts w:cs="Arial"/>
                <w:noProof/>
                <w:szCs w:val="18"/>
                <w:lang w:val="en-GB"/>
              </w:rPr>
              <w:t>1 and 2, respectively</w:t>
            </w:r>
          </w:p>
        </w:tc>
      </w:tr>
      <w:tr w:rsidR="00435EF2" w:rsidRPr="00441198" w14:paraId="0F2A8E95" w14:textId="77777777" w:rsidTr="00A90141">
        <w:tc>
          <w:tcPr>
            <w:tcW w:w="1418" w:type="dxa"/>
            <w:shd w:val="clear" w:color="auto" w:fill="FFFFFF"/>
          </w:tcPr>
          <w:p w14:paraId="5C4F7C89" w14:textId="14FAD05B" w:rsidR="00435EF2" w:rsidRPr="00441198" w:rsidRDefault="00435EF2" w:rsidP="00D46ECB">
            <w:pPr>
              <w:pStyle w:val="CETBodytext"/>
              <w:ind w:right="-1"/>
              <w:rPr>
                <w:rFonts w:cs="Arial"/>
                <w:noProof/>
                <w:szCs w:val="18"/>
                <w:lang w:val="en-GB"/>
              </w:rPr>
            </w:pPr>
            <w:r w:rsidRPr="00441198">
              <w:rPr>
                <w:rFonts w:cs="Arial"/>
                <w:noProof/>
                <w:szCs w:val="18"/>
                <w:lang w:val="en-GB"/>
              </w:rPr>
              <w:t>DES-Ethanol</w:t>
            </w:r>
          </w:p>
        </w:tc>
        <w:tc>
          <w:tcPr>
            <w:tcW w:w="1276" w:type="dxa"/>
            <w:shd w:val="clear" w:color="auto" w:fill="FFFFFF"/>
          </w:tcPr>
          <w:p w14:paraId="41FA5481" w14:textId="1211DD2F" w:rsidR="00435EF2" w:rsidRPr="00441198" w:rsidRDefault="00BB0FBD" w:rsidP="001708A2">
            <w:pPr>
              <w:pStyle w:val="CETBodytext"/>
              <w:ind w:right="-1"/>
              <w:jc w:val="center"/>
              <w:rPr>
                <w:rFonts w:cs="Arial"/>
                <w:noProof/>
                <w:szCs w:val="18"/>
                <w:lang w:val="en-GB"/>
              </w:rPr>
            </w:pPr>
            <w:r>
              <w:rPr>
                <w:rFonts w:cs="Arial"/>
                <w:noProof/>
                <w:szCs w:val="18"/>
                <w:lang w:val="en-GB"/>
              </w:rPr>
              <w:t>70</w:t>
            </w:r>
          </w:p>
        </w:tc>
        <w:tc>
          <w:tcPr>
            <w:tcW w:w="1276" w:type="dxa"/>
            <w:shd w:val="clear" w:color="auto" w:fill="FFFFFF"/>
          </w:tcPr>
          <w:p w14:paraId="706984E9" w14:textId="1E0F09DE" w:rsidR="00435EF2" w:rsidRPr="00441198" w:rsidRDefault="00435EF2" w:rsidP="001708A2">
            <w:pPr>
              <w:pStyle w:val="CETBodytext"/>
              <w:ind w:right="-1"/>
              <w:jc w:val="center"/>
              <w:rPr>
                <w:rFonts w:cs="Arial"/>
                <w:noProof/>
                <w:szCs w:val="18"/>
                <w:lang w:val="en-GB"/>
              </w:rPr>
            </w:pPr>
            <w:r w:rsidRPr="00441198">
              <w:rPr>
                <w:rFonts w:cs="Arial"/>
                <w:noProof/>
                <w:szCs w:val="18"/>
                <w:lang w:val="en-GB"/>
              </w:rPr>
              <w:t>0.03</w:t>
            </w:r>
          </w:p>
        </w:tc>
        <w:tc>
          <w:tcPr>
            <w:tcW w:w="1134" w:type="dxa"/>
            <w:shd w:val="clear" w:color="auto" w:fill="FFFFFF"/>
          </w:tcPr>
          <w:p w14:paraId="1B1CC320" w14:textId="4FDA9E37" w:rsidR="00435EF2" w:rsidRPr="00441198" w:rsidRDefault="00435EF2" w:rsidP="001708A2">
            <w:pPr>
              <w:pStyle w:val="CETBodytext"/>
              <w:ind w:right="-1"/>
              <w:jc w:val="center"/>
              <w:rPr>
                <w:rFonts w:cs="Arial"/>
                <w:noProof/>
                <w:szCs w:val="18"/>
                <w:lang w:val="en-GB"/>
              </w:rPr>
            </w:pPr>
            <w:r w:rsidRPr="00441198">
              <w:rPr>
                <w:rFonts w:cs="Arial"/>
                <w:noProof/>
                <w:szCs w:val="18"/>
                <w:lang w:val="en-GB"/>
              </w:rPr>
              <w:t>1.24</w:t>
            </w:r>
          </w:p>
        </w:tc>
        <w:tc>
          <w:tcPr>
            <w:tcW w:w="3401" w:type="dxa"/>
            <w:gridSpan w:val="2"/>
            <w:shd w:val="clear" w:color="auto" w:fill="FFFFFF"/>
          </w:tcPr>
          <w:p w14:paraId="39766C6E" w14:textId="06566440" w:rsidR="00435EF2" w:rsidRPr="00441198" w:rsidRDefault="00435EF2" w:rsidP="001708A2">
            <w:pPr>
              <w:pStyle w:val="CETBodytext"/>
              <w:ind w:right="-1"/>
              <w:jc w:val="center"/>
              <w:rPr>
                <w:rFonts w:cs="Arial"/>
                <w:noProof/>
                <w:szCs w:val="18"/>
                <w:lang w:val="en-GB"/>
              </w:rPr>
            </w:pPr>
            <w:r w:rsidRPr="00441198">
              <w:rPr>
                <w:rFonts w:cs="Arial"/>
                <w:noProof/>
                <w:szCs w:val="18"/>
                <w:lang w:val="en-GB"/>
              </w:rPr>
              <w:t>3 and 4, respectively</w:t>
            </w:r>
          </w:p>
        </w:tc>
      </w:tr>
      <w:tr w:rsidR="00435EF2" w:rsidRPr="00441198" w14:paraId="3D5DACE4" w14:textId="77777777" w:rsidTr="00A90141">
        <w:tc>
          <w:tcPr>
            <w:tcW w:w="1418" w:type="dxa"/>
            <w:shd w:val="clear" w:color="auto" w:fill="FFFFFF"/>
          </w:tcPr>
          <w:p w14:paraId="19CA5F16" w14:textId="1DC805DF" w:rsidR="00435EF2" w:rsidRPr="00441198" w:rsidRDefault="00435EF2" w:rsidP="00D46ECB">
            <w:pPr>
              <w:pStyle w:val="CETBodytext"/>
              <w:ind w:right="-1"/>
              <w:rPr>
                <w:rFonts w:cs="Arial"/>
                <w:noProof/>
                <w:szCs w:val="18"/>
                <w:lang w:val="en-GB"/>
              </w:rPr>
            </w:pPr>
            <w:r w:rsidRPr="00441198">
              <w:rPr>
                <w:rFonts w:cs="Arial"/>
                <w:noProof/>
                <w:szCs w:val="18"/>
                <w:lang w:val="en-GB"/>
              </w:rPr>
              <w:t>DES-Acetonitrile</w:t>
            </w:r>
          </w:p>
        </w:tc>
        <w:tc>
          <w:tcPr>
            <w:tcW w:w="1276" w:type="dxa"/>
            <w:shd w:val="clear" w:color="auto" w:fill="FFFFFF"/>
          </w:tcPr>
          <w:p w14:paraId="032038E4" w14:textId="220DA545" w:rsidR="00435EF2" w:rsidRPr="00441198" w:rsidRDefault="00BB0FBD" w:rsidP="001708A2">
            <w:pPr>
              <w:pStyle w:val="CETBodytext"/>
              <w:ind w:right="-1"/>
              <w:jc w:val="center"/>
              <w:rPr>
                <w:rFonts w:cs="Arial"/>
                <w:noProof/>
                <w:szCs w:val="18"/>
                <w:lang w:val="en-GB"/>
              </w:rPr>
            </w:pPr>
            <w:r>
              <w:rPr>
                <w:rFonts w:cs="Arial"/>
                <w:noProof/>
                <w:szCs w:val="18"/>
                <w:lang w:val="en-GB"/>
              </w:rPr>
              <w:t>70</w:t>
            </w:r>
          </w:p>
        </w:tc>
        <w:tc>
          <w:tcPr>
            <w:tcW w:w="1276" w:type="dxa"/>
            <w:shd w:val="clear" w:color="auto" w:fill="FFFFFF"/>
          </w:tcPr>
          <w:p w14:paraId="03AE7E6D" w14:textId="3B889DF3" w:rsidR="00435EF2" w:rsidRPr="00441198" w:rsidRDefault="00435EF2" w:rsidP="001708A2">
            <w:pPr>
              <w:pStyle w:val="CETBodytext"/>
              <w:ind w:right="-1"/>
              <w:jc w:val="center"/>
              <w:rPr>
                <w:rFonts w:cs="Arial"/>
                <w:noProof/>
                <w:szCs w:val="18"/>
                <w:lang w:val="en-GB"/>
              </w:rPr>
            </w:pPr>
            <w:r w:rsidRPr="00441198">
              <w:rPr>
                <w:rFonts w:cs="Arial"/>
                <w:noProof/>
                <w:szCs w:val="18"/>
                <w:lang w:val="en-GB"/>
              </w:rPr>
              <w:t>0.15</w:t>
            </w:r>
          </w:p>
        </w:tc>
        <w:tc>
          <w:tcPr>
            <w:tcW w:w="1134" w:type="dxa"/>
            <w:shd w:val="clear" w:color="auto" w:fill="FFFFFF"/>
          </w:tcPr>
          <w:p w14:paraId="5834CE3F" w14:textId="4DA51C21" w:rsidR="00435EF2" w:rsidRPr="00441198" w:rsidRDefault="00435EF2" w:rsidP="001708A2">
            <w:pPr>
              <w:pStyle w:val="CETBodytext"/>
              <w:ind w:right="-1"/>
              <w:jc w:val="center"/>
              <w:rPr>
                <w:rFonts w:cs="Arial"/>
                <w:noProof/>
                <w:szCs w:val="18"/>
                <w:lang w:val="en-GB"/>
              </w:rPr>
            </w:pPr>
            <w:r w:rsidRPr="00441198">
              <w:rPr>
                <w:rFonts w:cs="Arial"/>
                <w:noProof/>
                <w:szCs w:val="18"/>
                <w:lang w:val="en-GB"/>
              </w:rPr>
              <w:t>1.06</w:t>
            </w:r>
          </w:p>
        </w:tc>
        <w:tc>
          <w:tcPr>
            <w:tcW w:w="3401" w:type="dxa"/>
            <w:gridSpan w:val="2"/>
            <w:shd w:val="clear" w:color="auto" w:fill="FFFFFF"/>
          </w:tcPr>
          <w:p w14:paraId="7CD93EFE" w14:textId="2D9F5A67" w:rsidR="00435EF2" w:rsidRPr="00441198" w:rsidRDefault="00435EF2" w:rsidP="001708A2">
            <w:pPr>
              <w:pStyle w:val="CETBodytext"/>
              <w:ind w:right="-1"/>
              <w:jc w:val="center"/>
              <w:rPr>
                <w:rFonts w:cs="Arial"/>
                <w:noProof/>
                <w:szCs w:val="18"/>
                <w:lang w:val="en-GB"/>
              </w:rPr>
            </w:pPr>
            <w:r w:rsidRPr="00441198">
              <w:rPr>
                <w:rFonts w:cs="Arial"/>
                <w:noProof/>
                <w:szCs w:val="18"/>
                <w:lang w:val="en-GB"/>
              </w:rPr>
              <w:t>5 and 6, respectively</w:t>
            </w:r>
          </w:p>
        </w:tc>
      </w:tr>
      <w:tr w:rsidR="00435EF2" w:rsidRPr="00382649" w14:paraId="41A521F4" w14:textId="77777777" w:rsidTr="00A90141">
        <w:tc>
          <w:tcPr>
            <w:tcW w:w="1418" w:type="dxa"/>
            <w:shd w:val="clear" w:color="auto" w:fill="FFFFFF"/>
          </w:tcPr>
          <w:p w14:paraId="69F16E36" w14:textId="0165EF36" w:rsidR="00435EF2" w:rsidRPr="00382649" w:rsidRDefault="00382649" w:rsidP="00D46ECB">
            <w:pPr>
              <w:pStyle w:val="CETBodytext"/>
              <w:ind w:right="-1"/>
              <w:rPr>
                <w:rFonts w:cs="Arial"/>
                <w:b/>
                <w:bCs/>
                <w:noProof/>
                <w:szCs w:val="18"/>
                <w:lang w:val="en-GB"/>
              </w:rPr>
            </w:pPr>
            <w:r w:rsidRPr="00382649">
              <w:rPr>
                <w:rFonts w:cs="Arial"/>
                <w:b/>
                <w:bCs/>
                <w:noProof/>
                <w:szCs w:val="18"/>
                <w:lang w:val="en-GB"/>
              </w:rPr>
              <w:t>OVERALL</w:t>
            </w:r>
          </w:p>
        </w:tc>
        <w:tc>
          <w:tcPr>
            <w:tcW w:w="1276" w:type="dxa"/>
            <w:shd w:val="clear" w:color="auto" w:fill="FFFFFF"/>
          </w:tcPr>
          <w:p w14:paraId="743E90F3" w14:textId="77777777" w:rsidR="00435EF2" w:rsidRPr="00382649" w:rsidRDefault="00435EF2" w:rsidP="001708A2">
            <w:pPr>
              <w:pStyle w:val="CETBodytext"/>
              <w:ind w:right="-1"/>
              <w:jc w:val="center"/>
              <w:rPr>
                <w:rFonts w:cs="Arial"/>
                <w:b/>
                <w:bCs/>
                <w:noProof/>
                <w:szCs w:val="18"/>
                <w:lang w:val="en-GB"/>
              </w:rPr>
            </w:pPr>
          </w:p>
        </w:tc>
        <w:tc>
          <w:tcPr>
            <w:tcW w:w="1276" w:type="dxa"/>
            <w:shd w:val="clear" w:color="auto" w:fill="FFFFFF"/>
          </w:tcPr>
          <w:p w14:paraId="6E1E0281" w14:textId="38F2A456" w:rsidR="00435EF2" w:rsidRPr="00382649" w:rsidRDefault="00BB0FBD" w:rsidP="001708A2">
            <w:pPr>
              <w:pStyle w:val="CETBodytext"/>
              <w:ind w:right="-1"/>
              <w:jc w:val="center"/>
              <w:rPr>
                <w:rFonts w:cs="Arial"/>
                <w:b/>
                <w:bCs/>
                <w:noProof/>
                <w:szCs w:val="18"/>
                <w:lang w:val="en-GB"/>
              </w:rPr>
            </w:pPr>
            <w:r>
              <w:rPr>
                <w:rFonts w:cs="Arial"/>
                <w:b/>
                <w:bCs/>
                <w:noProof/>
                <w:szCs w:val="18"/>
                <w:lang w:val="en-GB"/>
              </w:rPr>
              <w:t>0.09</w:t>
            </w:r>
          </w:p>
        </w:tc>
        <w:tc>
          <w:tcPr>
            <w:tcW w:w="1134" w:type="dxa"/>
            <w:shd w:val="clear" w:color="auto" w:fill="FFFFFF"/>
          </w:tcPr>
          <w:p w14:paraId="1052F67E" w14:textId="2B3245E0" w:rsidR="00435EF2" w:rsidRPr="00382649" w:rsidRDefault="00BB0FBD" w:rsidP="001708A2">
            <w:pPr>
              <w:pStyle w:val="CETBodytext"/>
              <w:ind w:right="-1"/>
              <w:jc w:val="center"/>
              <w:rPr>
                <w:rFonts w:cs="Arial"/>
                <w:b/>
                <w:bCs/>
                <w:noProof/>
                <w:szCs w:val="18"/>
                <w:lang w:val="en-GB"/>
              </w:rPr>
            </w:pPr>
            <w:r>
              <w:rPr>
                <w:rFonts w:cs="Arial"/>
                <w:b/>
                <w:bCs/>
                <w:noProof/>
                <w:szCs w:val="18"/>
                <w:lang w:val="en-GB"/>
              </w:rPr>
              <w:t>1.213</w:t>
            </w:r>
          </w:p>
        </w:tc>
        <w:tc>
          <w:tcPr>
            <w:tcW w:w="3401" w:type="dxa"/>
            <w:gridSpan w:val="2"/>
            <w:shd w:val="clear" w:color="auto" w:fill="FFFFFF"/>
          </w:tcPr>
          <w:p w14:paraId="59C6FB57" w14:textId="77777777" w:rsidR="00435EF2" w:rsidRPr="00382649" w:rsidRDefault="00435EF2" w:rsidP="001708A2">
            <w:pPr>
              <w:pStyle w:val="CETBodytext"/>
              <w:ind w:right="-1"/>
              <w:jc w:val="center"/>
              <w:rPr>
                <w:rFonts w:cs="Arial"/>
                <w:b/>
                <w:bCs/>
                <w:noProof/>
                <w:szCs w:val="18"/>
                <w:lang w:val="en-GB"/>
              </w:rPr>
            </w:pPr>
          </w:p>
        </w:tc>
      </w:tr>
    </w:tbl>
    <w:p w14:paraId="51FB8BAE" w14:textId="77777777" w:rsidR="001708A2" w:rsidRPr="00441198" w:rsidRDefault="001708A2" w:rsidP="00984E70">
      <w:pPr>
        <w:pStyle w:val="CETBodytext"/>
        <w:rPr>
          <w:noProof/>
          <w:szCs w:val="18"/>
          <w:lang w:val="en-GB"/>
        </w:rPr>
      </w:pPr>
    </w:p>
    <w:p w14:paraId="57EF4716" w14:textId="1F153D91" w:rsidR="00984E70" w:rsidRPr="00441198" w:rsidRDefault="00984E70" w:rsidP="00984E70">
      <w:pPr>
        <w:pStyle w:val="CETBodytext"/>
        <w:rPr>
          <w:noProof/>
          <w:szCs w:val="18"/>
          <w:lang w:val="en-GB"/>
        </w:rPr>
      </w:pPr>
      <w:r w:rsidRPr="00441198">
        <w:rPr>
          <w:noProof/>
          <w:szCs w:val="18"/>
          <w:lang w:val="en-GB"/>
        </w:rPr>
        <w:t xml:space="preserve">   Among the findings, the model exhibited higher sensitivity to the molecular attraction parameter (</w:t>
      </w:r>
      <m:oMath>
        <m:sSub>
          <m:sSubPr>
            <m:ctrlPr>
              <w:rPr>
                <w:rFonts w:ascii="Cambria Math" w:hAnsi="Cambria Math" w:cs="Arial"/>
                <w:noProof/>
                <w:szCs w:val="18"/>
                <w:lang w:val="en-GB"/>
              </w:rPr>
            </m:ctrlPr>
          </m:sSubPr>
          <m:e>
            <m:r>
              <m:rPr>
                <m:sty m:val="p"/>
              </m:rPr>
              <w:rPr>
                <w:rFonts w:ascii="Cambria Math" w:hAnsi="Cambria Math"/>
                <w:noProof/>
                <w:szCs w:val="18"/>
                <w:lang w:val="en-GB"/>
              </w:rPr>
              <m:t>k</m:t>
            </m:r>
          </m:e>
          <m:sub>
            <m:r>
              <m:rPr>
                <m:sty m:val="p"/>
              </m:rPr>
              <w:rPr>
                <w:rFonts w:ascii="Cambria Math" w:hAnsi="Cambria Math"/>
                <w:noProof/>
                <w:szCs w:val="18"/>
                <w:lang w:val="en-GB"/>
              </w:rPr>
              <m:t>i</m:t>
            </m:r>
            <m:r>
              <w:rPr>
                <w:rFonts w:ascii="Cambria Math" w:hAnsi="Cambria Math"/>
                <w:noProof/>
                <w:szCs w:val="18"/>
                <w:lang w:val="en-GB"/>
              </w:rPr>
              <m:t>,</m:t>
            </m:r>
            <m:r>
              <m:rPr>
                <m:sty m:val="p"/>
              </m:rPr>
              <w:rPr>
                <w:rFonts w:ascii="Cambria Math" w:hAnsi="Cambria Math"/>
                <w:noProof/>
                <w:szCs w:val="18"/>
                <w:lang w:val="en-GB"/>
              </w:rPr>
              <m:t>j</m:t>
            </m:r>
          </m:sub>
        </m:sSub>
      </m:oMath>
      <w:r w:rsidRPr="00441198">
        <w:rPr>
          <w:noProof/>
          <w:szCs w:val="18"/>
          <w:lang w:val="en-GB"/>
        </w:rPr>
        <w:t>​) compared to the repulsion parameter (</w:t>
      </w:r>
      <m:oMath>
        <m:sSub>
          <m:sSubPr>
            <m:ctrlPr>
              <w:rPr>
                <w:rFonts w:ascii="Cambria Math" w:hAnsi="Cambria Math" w:cs="Arial"/>
                <w:noProof/>
                <w:szCs w:val="18"/>
                <w:lang w:val="en-GB"/>
              </w:rPr>
            </m:ctrlPr>
          </m:sSubPr>
          <m:e>
            <m:r>
              <m:rPr>
                <m:sty m:val="p"/>
              </m:rPr>
              <w:rPr>
                <w:rFonts w:ascii="Cambria Math" w:hAnsi="Cambria Math"/>
                <w:noProof/>
                <w:szCs w:val="18"/>
                <w:lang w:val="en-GB"/>
              </w:rPr>
              <m:t>l</m:t>
            </m:r>
          </m:e>
          <m:sub>
            <m:r>
              <m:rPr>
                <m:sty m:val="p"/>
              </m:rPr>
              <w:rPr>
                <w:rFonts w:ascii="Cambria Math" w:hAnsi="Cambria Math"/>
                <w:noProof/>
                <w:szCs w:val="18"/>
                <w:lang w:val="en-GB"/>
              </w:rPr>
              <m:t>i</m:t>
            </m:r>
            <m:r>
              <w:rPr>
                <w:rFonts w:ascii="Cambria Math" w:hAnsi="Cambria Math"/>
                <w:noProof/>
                <w:szCs w:val="18"/>
                <w:lang w:val="en-GB"/>
              </w:rPr>
              <m:t>,</m:t>
            </m:r>
            <m:r>
              <m:rPr>
                <m:sty m:val="p"/>
              </m:rPr>
              <w:rPr>
                <w:rFonts w:ascii="Cambria Math" w:hAnsi="Cambria Math"/>
                <w:noProof/>
                <w:szCs w:val="18"/>
                <w:lang w:val="en-GB"/>
              </w:rPr>
              <m:t>j</m:t>
            </m:r>
          </m:sub>
        </m:sSub>
      </m:oMath>
      <w:r w:rsidRPr="00441198">
        <w:rPr>
          <w:noProof/>
          <w:szCs w:val="18"/>
          <w:lang w:val="en-GB"/>
        </w:rPr>
        <w:t xml:space="preserve">​). This suggests that the model could be simplified by assuming a zero value for </w:t>
      </w:r>
      <m:oMath>
        <m:sSub>
          <m:sSubPr>
            <m:ctrlPr>
              <w:rPr>
                <w:rFonts w:ascii="Cambria Math" w:hAnsi="Cambria Math" w:cs="Arial"/>
                <w:noProof/>
                <w:szCs w:val="18"/>
                <w:lang w:val="en-GB"/>
              </w:rPr>
            </m:ctrlPr>
          </m:sSubPr>
          <m:e>
            <m:r>
              <m:rPr>
                <m:sty m:val="p"/>
              </m:rPr>
              <w:rPr>
                <w:rFonts w:ascii="Cambria Math" w:hAnsi="Cambria Math"/>
                <w:noProof/>
                <w:szCs w:val="18"/>
                <w:lang w:val="en-GB"/>
              </w:rPr>
              <m:t>l</m:t>
            </m:r>
          </m:e>
          <m:sub>
            <m:r>
              <m:rPr>
                <m:sty m:val="p"/>
              </m:rPr>
              <w:rPr>
                <w:rFonts w:ascii="Cambria Math" w:hAnsi="Cambria Math"/>
                <w:noProof/>
                <w:szCs w:val="18"/>
                <w:lang w:val="en-GB"/>
              </w:rPr>
              <m:t>i</m:t>
            </m:r>
            <m:r>
              <w:rPr>
                <w:rFonts w:ascii="Cambria Math" w:hAnsi="Cambria Math"/>
                <w:noProof/>
                <w:szCs w:val="18"/>
                <w:lang w:val="en-GB"/>
              </w:rPr>
              <m:t>,</m:t>
            </m:r>
            <m:r>
              <m:rPr>
                <m:sty m:val="p"/>
              </m:rPr>
              <w:rPr>
                <w:rFonts w:ascii="Cambria Math" w:hAnsi="Cambria Math"/>
                <w:noProof/>
                <w:szCs w:val="18"/>
                <w:lang w:val="en-GB"/>
              </w:rPr>
              <m:t>j</m:t>
            </m:r>
          </m:sub>
        </m:sSub>
      </m:oMath>
      <w:r w:rsidRPr="00441198">
        <w:rPr>
          <w:noProof/>
          <w:szCs w:val="18"/>
          <w:lang w:val="en-GB"/>
        </w:rPr>
        <w:t>​, with preliminary results indicating good accuracy.</w:t>
      </w:r>
    </w:p>
    <w:p w14:paraId="72AF0848" w14:textId="4829D7E7" w:rsidR="00984E70" w:rsidRDefault="00984E70" w:rsidP="00984E70">
      <w:pPr>
        <w:pStyle w:val="CETBodytext"/>
        <w:rPr>
          <w:noProof/>
          <w:szCs w:val="18"/>
          <w:lang w:val="en-GB"/>
        </w:rPr>
      </w:pPr>
      <w:r w:rsidRPr="00441198">
        <w:rPr>
          <w:noProof/>
          <w:szCs w:val="18"/>
          <w:lang w:val="en-GB"/>
        </w:rPr>
        <w:tab/>
        <w:t xml:space="preserve">   Additionally, considering the non-ideal nature of the mixtures, primarily due to the presence of the solvents, it is proposed to quantify the agreement using excess properties, such as excess volume (</w:t>
      </w:r>
      <m:oMath>
        <m:sSub>
          <m:sSubPr>
            <m:ctrlPr>
              <w:rPr>
                <w:rFonts w:ascii="Cambria Math" w:hAnsi="Cambria Math" w:cs="Arial"/>
                <w:noProof/>
                <w:szCs w:val="18"/>
                <w:lang w:val="en-GB"/>
              </w:rPr>
            </m:ctrlPr>
          </m:sSubPr>
          <m:e>
            <m:r>
              <w:rPr>
                <w:rFonts w:ascii="Cambria Math" w:hAnsi="Cambria Math"/>
                <w:noProof/>
                <w:szCs w:val="18"/>
                <w:lang w:val="en-GB"/>
              </w:rPr>
              <m:t>V</m:t>
            </m:r>
          </m:e>
          <m:sub>
            <m:r>
              <w:rPr>
                <w:rFonts w:ascii="Cambria Math" w:hAnsi="Cambria Math"/>
                <w:noProof/>
                <w:szCs w:val="18"/>
                <w:lang w:val="en-GB"/>
              </w:rPr>
              <m:t>EX</m:t>
            </m:r>
          </m:sub>
        </m:sSub>
      </m:oMath>
      <w:r w:rsidRPr="00441198">
        <w:rPr>
          <w:noProof/>
          <w:szCs w:val="18"/>
          <w:lang w:val="en-GB"/>
        </w:rPr>
        <w:t>​) and excess surface tension (</w:t>
      </w:r>
      <m:oMath>
        <m:sSub>
          <m:sSubPr>
            <m:ctrlPr>
              <w:rPr>
                <w:rFonts w:ascii="Cambria Math" w:hAnsi="Cambria Math" w:cs="Arial"/>
                <w:noProof/>
                <w:szCs w:val="18"/>
                <w:lang w:val="en-GB"/>
              </w:rPr>
            </m:ctrlPr>
          </m:sSubPr>
          <m:e>
            <m:r>
              <w:rPr>
                <w:rFonts w:ascii="Cambria Math" w:hAnsi="Cambria Math"/>
                <w:noProof/>
                <w:szCs w:val="18"/>
                <w:lang w:val="en-GB"/>
              </w:rPr>
              <m:t>γ</m:t>
            </m:r>
          </m:e>
          <m:sub>
            <m:r>
              <w:rPr>
                <w:rFonts w:ascii="Cambria Math" w:hAnsi="Cambria Math"/>
                <w:noProof/>
                <w:szCs w:val="18"/>
                <w:lang w:val="en-GB"/>
              </w:rPr>
              <m:t>EX</m:t>
            </m:r>
          </m:sub>
        </m:sSub>
      </m:oMath>
      <w:r w:rsidRPr="00441198">
        <w:rPr>
          <w:noProof/>
          <w:szCs w:val="18"/>
          <w:lang w:val="en-GB"/>
        </w:rPr>
        <w:t>​). These properties can be useful for a more detailed evaluation of the agreement between experimental and calculated data, as well as for identifying potential areas for model improvement.</w:t>
      </w:r>
    </w:p>
    <w:p w14:paraId="3DD2DEF5" w14:textId="77777777" w:rsidR="00A90141" w:rsidRDefault="00A90141" w:rsidP="00984E70">
      <w:pPr>
        <w:pStyle w:val="CETBodytext"/>
        <w:rPr>
          <w:noProof/>
          <w:szCs w:val="18"/>
          <w:lang w:val="en-GB"/>
        </w:rPr>
      </w:pPr>
    </w:p>
    <w:p w14:paraId="21BDA7F7" w14:textId="77777777" w:rsidR="00A90141" w:rsidRDefault="00A90141" w:rsidP="00984E70">
      <w:pPr>
        <w:pStyle w:val="CETBodytext"/>
        <w:rPr>
          <w:noProof/>
          <w:szCs w:val="18"/>
          <w:lang w:val="en-GB"/>
        </w:rPr>
      </w:pPr>
    </w:p>
    <w:p w14:paraId="7DD7A070" w14:textId="77777777" w:rsidR="00A90141" w:rsidRPr="00441198" w:rsidRDefault="00A90141" w:rsidP="00984E70">
      <w:pPr>
        <w:pStyle w:val="CETBodytext"/>
        <w:rPr>
          <w:noProof/>
          <w:szCs w:val="18"/>
          <w:lang w:val="en-GB"/>
        </w:rPr>
      </w:pPr>
    </w:p>
    <w:p w14:paraId="3746E2CA" w14:textId="22980854" w:rsidR="00984E70" w:rsidRPr="00441198" w:rsidRDefault="003E6674" w:rsidP="00984E70">
      <w:pPr>
        <w:pStyle w:val="CETBodytext"/>
        <w:rPr>
          <w:noProof/>
          <w:szCs w:val="18"/>
          <w:lang w:val="en-GB"/>
        </w:rPr>
      </w:pPr>
      <w:r>
        <w:rPr>
          <w:noProof/>
        </w:rPr>
        <w:drawing>
          <wp:inline distT="0" distB="0" distL="0" distR="0" wp14:anchorId="3D8439DC" wp14:editId="463EA30A">
            <wp:extent cx="2750865" cy="2833200"/>
            <wp:effectExtent l="0" t="0" r="0" b="5715"/>
            <wp:docPr id="177337915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3379150" name=""/>
                    <pic:cNvPicPr/>
                  </pic:nvPicPr>
                  <pic:blipFill>
                    <a:blip r:embed="rId10"/>
                    <a:stretch>
                      <a:fillRect/>
                    </a:stretch>
                  </pic:blipFill>
                  <pic:spPr>
                    <a:xfrm>
                      <a:off x="0" y="0"/>
                      <a:ext cx="2750865" cy="2833200"/>
                    </a:xfrm>
                    <a:prstGeom prst="rect">
                      <a:avLst/>
                    </a:prstGeom>
                  </pic:spPr>
                </pic:pic>
              </a:graphicData>
            </a:graphic>
          </wp:inline>
        </w:drawing>
      </w:r>
      <w:r w:rsidR="00984E70" w:rsidRPr="00441198">
        <w:rPr>
          <w:noProof/>
          <w:szCs w:val="18"/>
          <w:lang w:val="en-GB"/>
        </w:rPr>
        <w:t xml:space="preserve"> </w:t>
      </w:r>
      <w:r w:rsidR="00984E70" w:rsidRPr="00441198">
        <w:rPr>
          <w:noProof/>
          <w:szCs w:val="18"/>
          <w:lang w:val="en-GB"/>
        </w:rPr>
        <w:drawing>
          <wp:inline distT="0" distB="0" distL="0" distR="0" wp14:anchorId="3BDF93A9" wp14:editId="6179A613">
            <wp:extent cx="2750820" cy="2834640"/>
            <wp:effectExtent l="0" t="0" r="0" b="3810"/>
            <wp:docPr id="91506556" name="Imagen 5" descr="Diagra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Diagrama&#10;&#10;Descripción generada automáticamente con confianza medi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50820" cy="2834640"/>
                    </a:xfrm>
                    <a:prstGeom prst="rect">
                      <a:avLst/>
                    </a:prstGeom>
                    <a:noFill/>
                    <a:ln>
                      <a:noFill/>
                    </a:ln>
                  </pic:spPr>
                </pic:pic>
              </a:graphicData>
            </a:graphic>
          </wp:inline>
        </w:drawing>
      </w:r>
    </w:p>
    <w:p w14:paraId="245629EA" w14:textId="250B00F9" w:rsidR="00A90141" w:rsidRPr="00441198" w:rsidRDefault="00984E70" w:rsidP="00984E70">
      <w:pPr>
        <w:pStyle w:val="CETBodytext"/>
        <w:rPr>
          <w:rStyle w:val="CETCaptionCarattere"/>
          <w:noProof/>
        </w:rPr>
      </w:pPr>
      <w:r w:rsidRPr="00441198">
        <w:rPr>
          <w:rStyle w:val="CETCaptionCarattere"/>
          <w:noProof/>
        </w:rPr>
        <w:t xml:space="preserve">        </w:t>
      </w:r>
      <w:r w:rsidR="002E1148">
        <w:rPr>
          <w:rStyle w:val="CETCaptionCarattere"/>
          <w:noProof/>
        </w:rPr>
        <w:t xml:space="preserve">       </w:t>
      </w:r>
      <w:r w:rsidRPr="00441198">
        <w:rPr>
          <w:rStyle w:val="CETCaptionCarattere"/>
          <w:noProof/>
        </w:rPr>
        <w:t>Figure 1: Density of DES-water mixture                    Figure 2: Surface tension of DES-water mixture</w:t>
      </w:r>
    </w:p>
    <w:p w14:paraId="4FF64A23" w14:textId="3F966FD7" w:rsidR="00984E70" w:rsidRPr="00441198" w:rsidRDefault="002E1148" w:rsidP="00984E70">
      <w:pPr>
        <w:pStyle w:val="CETBodytext"/>
        <w:rPr>
          <w:noProof/>
          <w:szCs w:val="18"/>
          <w:lang w:val="en-GB"/>
        </w:rPr>
      </w:pPr>
      <w:r>
        <w:rPr>
          <w:noProof/>
        </w:rPr>
        <w:lastRenderedPageBreak/>
        <w:drawing>
          <wp:inline distT="0" distB="0" distL="0" distR="0" wp14:anchorId="094D6C4B" wp14:editId="644C6FC8">
            <wp:extent cx="2750865" cy="2833200"/>
            <wp:effectExtent l="0" t="0" r="0" b="5715"/>
            <wp:docPr id="5646471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64713" name=""/>
                    <pic:cNvPicPr/>
                  </pic:nvPicPr>
                  <pic:blipFill>
                    <a:blip r:embed="rId12"/>
                    <a:stretch>
                      <a:fillRect/>
                    </a:stretch>
                  </pic:blipFill>
                  <pic:spPr>
                    <a:xfrm>
                      <a:off x="0" y="0"/>
                      <a:ext cx="2750865" cy="2833200"/>
                    </a:xfrm>
                    <a:prstGeom prst="rect">
                      <a:avLst/>
                    </a:prstGeom>
                  </pic:spPr>
                </pic:pic>
              </a:graphicData>
            </a:graphic>
          </wp:inline>
        </w:drawing>
      </w:r>
      <w:r w:rsidR="00984E70" w:rsidRPr="00441198">
        <w:rPr>
          <w:noProof/>
          <w:szCs w:val="18"/>
          <w:lang w:val="en-GB"/>
        </w:rPr>
        <w:drawing>
          <wp:inline distT="0" distB="0" distL="0" distR="0" wp14:anchorId="5E2CFC13" wp14:editId="20896E10">
            <wp:extent cx="2750820" cy="2834640"/>
            <wp:effectExtent l="0" t="0" r="0" b="3810"/>
            <wp:docPr id="1950059332" name="Imagen 3" descr="Gráfico, Gráfico de líne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Gráfico, Gráfico de líneas&#10;&#10;Descripción generada automáticament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50820" cy="2834640"/>
                    </a:xfrm>
                    <a:prstGeom prst="rect">
                      <a:avLst/>
                    </a:prstGeom>
                    <a:noFill/>
                    <a:ln>
                      <a:noFill/>
                    </a:ln>
                  </pic:spPr>
                </pic:pic>
              </a:graphicData>
            </a:graphic>
          </wp:inline>
        </w:drawing>
      </w:r>
    </w:p>
    <w:p w14:paraId="3686FBFA" w14:textId="77777777" w:rsidR="00984E70" w:rsidRPr="00441198" w:rsidRDefault="00984E70" w:rsidP="00984E70">
      <w:pPr>
        <w:pStyle w:val="CETBodytext"/>
        <w:rPr>
          <w:rStyle w:val="CETCaptionCarattere"/>
          <w:noProof/>
        </w:rPr>
      </w:pPr>
      <w:r w:rsidRPr="00441198">
        <w:rPr>
          <w:rStyle w:val="CETCaptionCarattere"/>
          <w:noProof/>
        </w:rPr>
        <w:t xml:space="preserve">             Figure 3: Density of DES-ethanol mixture               Figure 4: Surface tension of DES-ethanol mixture</w:t>
      </w:r>
    </w:p>
    <w:p w14:paraId="737D88CC" w14:textId="77777777" w:rsidR="00984E70" w:rsidRPr="00441198" w:rsidRDefault="00984E70" w:rsidP="00984E70">
      <w:pPr>
        <w:pStyle w:val="CETBodytext"/>
        <w:rPr>
          <w:noProof/>
          <w:szCs w:val="18"/>
          <w:lang w:val="en-GB"/>
        </w:rPr>
      </w:pPr>
    </w:p>
    <w:p w14:paraId="31F5F84A" w14:textId="77777777" w:rsidR="00984E70" w:rsidRDefault="00984E70" w:rsidP="00984E70">
      <w:pPr>
        <w:pStyle w:val="CETBodytext"/>
        <w:rPr>
          <w:noProof/>
          <w:szCs w:val="18"/>
          <w:lang w:val="en-GB"/>
        </w:rPr>
      </w:pPr>
    </w:p>
    <w:p w14:paraId="35E5D813" w14:textId="77777777" w:rsidR="00D5285C" w:rsidRPr="00441198" w:rsidRDefault="00D5285C" w:rsidP="00984E70">
      <w:pPr>
        <w:pStyle w:val="CETBodytext"/>
        <w:rPr>
          <w:noProof/>
          <w:szCs w:val="18"/>
          <w:lang w:val="en-GB"/>
        </w:rPr>
      </w:pPr>
    </w:p>
    <w:p w14:paraId="4443043A" w14:textId="0C20348F" w:rsidR="00984E70" w:rsidRPr="00441198" w:rsidRDefault="00984E70" w:rsidP="00984E70">
      <w:pPr>
        <w:pStyle w:val="CETBodytext"/>
        <w:rPr>
          <w:noProof/>
          <w:szCs w:val="18"/>
          <w:lang w:val="en-GB"/>
        </w:rPr>
      </w:pPr>
      <w:r w:rsidRPr="00441198">
        <w:rPr>
          <w:noProof/>
          <w:szCs w:val="18"/>
          <w:lang w:val="en-GB"/>
        </w:rPr>
        <w:t xml:space="preserve"> </w:t>
      </w:r>
      <w:r w:rsidR="00ED584C">
        <w:rPr>
          <w:noProof/>
        </w:rPr>
        <w:drawing>
          <wp:inline distT="0" distB="0" distL="0" distR="0" wp14:anchorId="4A8D08A6" wp14:editId="22B05465">
            <wp:extent cx="2750865" cy="2833200"/>
            <wp:effectExtent l="0" t="0" r="0" b="5715"/>
            <wp:docPr id="6206183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61830" name=""/>
                    <pic:cNvPicPr/>
                  </pic:nvPicPr>
                  <pic:blipFill>
                    <a:blip r:embed="rId14"/>
                    <a:stretch>
                      <a:fillRect/>
                    </a:stretch>
                  </pic:blipFill>
                  <pic:spPr>
                    <a:xfrm>
                      <a:off x="0" y="0"/>
                      <a:ext cx="2750865" cy="2833200"/>
                    </a:xfrm>
                    <a:prstGeom prst="rect">
                      <a:avLst/>
                    </a:prstGeom>
                  </pic:spPr>
                </pic:pic>
              </a:graphicData>
            </a:graphic>
          </wp:inline>
        </w:drawing>
      </w:r>
      <w:r w:rsidRPr="00441198">
        <w:rPr>
          <w:noProof/>
          <w:szCs w:val="18"/>
          <w:lang w:val="en-GB"/>
        </w:rPr>
        <w:drawing>
          <wp:inline distT="0" distB="0" distL="0" distR="0" wp14:anchorId="73C8A11A" wp14:editId="119C252B">
            <wp:extent cx="2750820" cy="2834640"/>
            <wp:effectExtent l="0" t="0" r="0" b="3810"/>
            <wp:docPr id="1299551684" name="Imagen 1" descr="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Gráfico&#10;&#10;Descripción generada automáticament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50820" cy="2834640"/>
                    </a:xfrm>
                    <a:prstGeom prst="rect">
                      <a:avLst/>
                    </a:prstGeom>
                    <a:noFill/>
                    <a:ln>
                      <a:noFill/>
                    </a:ln>
                  </pic:spPr>
                </pic:pic>
              </a:graphicData>
            </a:graphic>
          </wp:inline>
        </w:drawing>
      </w:r>
    </w:p>
    <w:p w14:paraId="5A05FAA3" w14:textId="2457AD5C" w:rsidR="00984E70" w:rsidRPr="00441198" w:rsidRDefault="00984E70" w:rsidP="00984E70">
      <w:pPr>
        <w:pStyle w:val="CETBodytext"/>
        <w:rPr>
          <w:rStyle w:val="CETCaptionCarattere"/>
          <w:noProof/>
        </w:rPr>
      </w:pPr>
      <w:r w:rsidRPr="00441198">
        <w:rPr>
          <w:rStyle w:val="CETCaptionCarattere"/>
          <w:noProof/>
        </w:rPr>
        <w:t xml:space="preserve">          Figure 5: Density of DES-acetonitrile mixture         Figure 6: Surface tension of DES-acetonitrile mixture</w:t>
      </w:r>
    </w:p>
    <w:p w14:paraId="326D29B0" w14:textId="0DB1B22A" w:rsidR="00984E70" w:rsidRPr="00441198" w:rsidRDefault="00381229" w:rsidP="00381229">
      <w:pPr>
        <w:pStyle w:val="CETBodytext"/>
        <w:tabs>
          <w:tab w:val="clear" w:pos="7100"/>
          <w:tab w:val="left" w:pos="6163"/>
        </w:tabs>
        <w:rPr>
          <w:rStyle w:val="CETCaptionCarattere"/>
          <w:noProof/>
        </w:rPr>
      </w:pPr>
      <w:r w:rsidRPr="00441198">
        <w:rPr>
          <w:rStyle w:val="CETCaptionCarattere"/>
          <w:noProof/>
        </w:rPr>
        <w:tab/>
      </w:r>
    </w:p>
    <w:p w14:paraId="0BCA39C5" w14:textId="77777777" w:rsidR="00381229" w:rsidRPr="00441198" w:rsidRDefault="00381229" w:rsidP="00381229">
      <w:pPr>
        <w:pStyle w:val="CETHeading1"/>
        <w:rPr>
          <w:noProof/>
          <w:lang w:val="en-GB"/>
        </w:rPr>
      </w:pPr>
      <w:r w:rsidRPr="00441198">
        <w:rPr>
          <w:noProof/>
          <w:lang w:val="en-GB"/>
        </w:rPr>
        <w:t>Conclusions</w:t>
      </w:r>
    </w:p>
    <w:p w14:paraId="56DF5B98" w14:textId="082B4D5C" w:rsidR="009245AA" w:rsidRPr="00435EF2" w:rsidRDefault="009245AA" w:rsidP="009245AA">
      <w:pPr>
        <w:pStyle w:val="CETBodytext"/>
        <w:rPr>
          <w:szCs w:val="18"/>
        </w:rPr>
      </w:pPr>
      <w:r w:rsidRPr="009245AA">
        <w:rPr>
          <w:noProof/>
          <w:szCs w:val="18"/>
          <w:lang w:val="en-GB"/>
        </w:rPr>
        <w:t xml:space="preserve">   </w:t>
      </w:r>
      <w:r w:rsidRPr="00435EF2">
        <w:rPr>
          <w:szCs w:val="18"/>
        </w:rPr>
        <w:t>The proposed models for density and surface tension exhibit promising results, accurately capturing the thermophysical properties of binary systems containing deep eutectic solvents (DES) in mixtures with water, ethanol, and acetonitrile. Further validation is recommended to extend their applicability across a broader range of compositions and temperatures.</w:t>
      </w:r>
    </w:p>
    <w:p w14:paraId="51C9C988" w14:textId="28D01245" w:rsidR="009245AA" w:rsidRPr="00435EF2" w:rsidRDefault="009245AA" w:rsidP="009245AA">
      <w:pPr>
        <w:pStyle w:val="CETBodytext"/>
        <w:rPr>
          <w:szCs w:val="18"/>
        </w:rPr>
      </w:pPr>
      <w:r w:rsidRPr="00435EF2">
        <w:rPr>
          <w:noProof/>
          <w:szCs w:val="18"/>
          <w:lang w:val="en-GB"/>
        </w:rPr>
        <w:t xml:space="preserve">   </w:t>
      </w:r>
      <w:r w:rsidRPr="00435EF2">
        <w:rPr>
          <w:szCs w:val="18"/>
        </w:rPr>
        <w:t>For pure compounds, the density model has shown high reliability, with minimal deviations. Notably, the DES-ethanol system achieved an absolute mean deviation of 0.03%, while the DES-water system, despite its strong non-ideality, had a %MAD of 0.09%, demonstrating the model’s ability to handle associative systems. The highest deviation, 0.15%, was observed for DES-acetonitrile.</w:t>
      </w:r>
    </w:p>
    <w:p w14:paraId="45455526" w14:textId="589659E6" w:rsidR="009245AA" w:rsidRPr="00435EF2" w:rsidRDefault="009245AA" w:rsidP="009245AA">
      <w:pPr>
        <w:pStyle w:val="CETBodytext"/>
        <w:rPr>
          <w:szCs w:val="18"/>
        </w:rPr>
      </w:pPr>
      <w:r w:rsidRPr="00435EF2">
        <w:rPr>
          <w:noProof/>
          <w:szCs w:val="18"/>
          <w:lang w:val="en-GB"/>
        </w:rPr>
        <w:t xml:space="preserve">   </w:t>
      </w:r>
      <w:r w:rsidRPr="00435EF2">
        <w:rPr>
          <w:szCs w:val="18"/>
        </w:rPr>
        <w:t xml:space="preserve">The surface tension model also performed well, with molar surface area as a key optimization variable. The lowest deviation was observed for DES-acetonitrile (%MAD of 1.06%), while DES-water had the highest </w:t>
      </w:r>
      <w:r w:rsidRPr="00435EF2">
        <w:rPr>
          <w:szCs w:val="18"/>
        </w:rPr>
        <w:lastRenderedPageBreak/>
        <w:t>(1.34%), highlighting the influence of solvent interactions. The maximum error reached 3.76% for DES-ethanol at high DES mole fractions.</w:t>
      </w:r>
    </w:p>
    <w:p w14:paraId="0FE07E7B" w14:textId="2470E152" w:rsidR="009245AA" w:rsidRPr="00435EF2" w:rsidRDefault="009245AA" w:rsidP="009245AA">
      <w:pPr>
        <w:pStyle w:val="CETBodytext"/>
        <w:rPr>
          <w:szCs w:val="18"/>
        </w:rPr>
      </w:pPr>
      <w:r w:rsidRPr="00435EF2">
        <w:rPr>
          <w:noProof/>
          <w:szCs w:val="18"/>
          <w:lang w:val="en-GB"/>
        </w:rPr>
        <w:t xml:space="preserve">   </w:t>
      </w:r>
      <w:r w:rsidRPr="00435EF2">
        <w:rPr>
          <w:szCs w:val="18"/>
        </w:rPr>
        <w:t>The model showed greater sensitivity to the attraction parameter (</w:t>
      </w:r>
      <m:oMath>
        <m:sSub>
          <m:sSubPr>
            <m:ctrlPr>
              <w:rPr>
                <w:rFonts w:ascii="Cambria Math" w:hAnsi="Cambria Math" w:cs="Arial"/>
                <w:noProof/>
                <w:szCs w:val="18"/>
                <w:lang w:val="en-GB"/>
              </w:rPr>
            </m:ctrlPr>
          </m:sSubPr>
          <m:e>
            <m:r>
              <m:rPr>
                <m:sty m:val="p"/>
              </m:rPr>
              <w:rPr>
                <w:rFonts w:ascii="Cambria Math" w:hAnsi="Cambria Math"/>
                <w:noProof/>
                <w:szCs w:val="18"/>
                <w:lang w:val="en-GB"/>
              </w:rPr>
              <m:t>k</m:t>
            </m:r>
          </m:e>
          <m:sub>
            <m:r>
              <m:rPr>
                <m:sty m:val="p"/>
              </m:rPr>
              <w:rPr>
                <w:rFonts w:ascii="Cambria Math" w:hAnsi="Cambria Math"/>
                <w:noProof/>
                <w:szCs w:val="18"/>
                <w:lang w:val="en-GB"/>
              </w:rPr>
              <m:t>i</m:t>
            </m:r>
            <m:r>
              <w:rPr>
                <w:rFonts w:ascii="Cambria Math" w:hAnsi="Cambria Math"/>
                <w:noProof/>
                <w:szCs w:val="18"/>
                <w:lang w:val="en-GB"/>
              </w:rPr>
              <m:t>,</m:t>
            </m:r>
            <m:r>
              <m:rPr>
                <m:sty m:val="p"/>
              </m:rPr>
              <w:rPr>
                <w:rFonts w:ascii="Cambria Math" w:hAnsi="Cambria Math"/>
                <w:noProof/>
                <w:szCs w:val="18"/>
                <w:lang w:val="en-GB"/>
              </w:rPr>
              <m:t>j</m:t>
            </m:r>
          </m:sub>
        </m:sSub>
      </m:oMath>
      <w:r w:rsidRPr="00435EF2">
        <w:rPr>
          <w:szCs w:val="18"/>
        </w:rPr>
        <w:t>​) than the repulsion parameter (</w:t>
      </w:r>
      <m:oMath>
        <m:sSub>
          <m:sSubPr>
            <m:ctrlPr>
              <w:rPr>
                <w:rFonts w:ascii="Cambria Math" w:hAnsi="Cambria Math" w:cs="Arial"/>
                <w:noProof/>
                <w:szCs w:val="18"/>
                <w:lang w:val="en-GB"/>
              </w:rPr>
            </m:ctrlPr>
          </m:sSubPr>
          <m:e>
            <m:r>
              <m:rPr>
                <m:sty m:val="p"/>
              </m:rPr>
              <w:rPr>
                <w:rFonts w:ascii="Cambria Math" w:hAnsi="Cambria Math"/>
                <w:noProof/>
                <w:szCs w:val="18"/>
                <w:lang w:val="en-GB"/>
              </w:rPr>
              <m:t>l</m:t>
            </m:r>
          </m:e>
          <m:sub>
            <m:r>
              <m:rPr>
                <m:sty m:val="p"/>
              </m:rPr>
              <w:rPr>
                <w:rFonts w:ascii="Cambria Math" w:hAnsi="Cambria Math"/>
                <w:noProof/>
                <w:szCs w:val="18"/>
                <w:lang w:val="en-GB"/>
              </w:rPr>
              <m:t>i</m:t>
            </m:r>
            <m:r>
              <w:rPr>
                <w:rFonts w:ascii="Cambria Math" w:hAnsi="Cambria Math"/>
                <w:noProof/>
                <w:szCs w:val="18"/>
                <w:lang w:val="en-GB"/>
              </w:rPr>
              <m:t>,</m:t>
            </m:r>
            <m:r>
              <m:rPr>
                <m:sty m:val="p"/>
              </m:rPr>
              <w:rPr>
                <w:rFonts w:ascii="Cambria Math" w:hAnsi="Cambria Math"/>
                <w:noProof/>
                <w:szCs w:val="18"/>
                <w:lang w:val="en-GB"/>
              </w:rPr>
              <m:t>j</m:t>
            </m:r>
          </m:sub>
        </m:sSub>
      </m:oMath>
      <w:r w:rsidRPr="00435EF2">
        <w:rPr>
          <w:szCs w:val="18"/>
        </w:rPr>
        <w:t xml:space="preserve">), suggesting that setting </w:t>
      </w:r>
      <m:oMath>
        <m:sSub>
          <m:sSubPr>
            <m:ctrlPr>
              <w:rPr>
                <w:rFonts w:ascii="Cambria Math" w:hAnsi="Cambria Math" w:cs="Arial"/>
                <w:noProof/>
                <w:szCs w:val="18"/>
                <w:lang w:val="en-GB"/>
              </w:rPr>
            </m:ctrlPr>
          </m:sSubPr>
          <m:e>
            <m:r>
              <m:rPr>
                <m:sty m:val="p"/>
              </m:rPr>
              <w:rPr>
                <w:rFonts w:ascii="Cambria Math" w:hAnsi="Cambria Math"/>
                <w:noProof/>
                <w:szCs w:val="18"/>
                <w:lang w:val="en-GB"/>
              </w:rPr>
              <m:t>l</m:t>
            </m:r>
          </m:e>
          <m:sub>
            <m:r>
              <m:rPr>
                <m:sty m:val="p"/>
              </m:rPr>
              <w:rPr>
                <w:rFonts w:ascii="Cambria Math" w:hAnsi="Cambria Math"/>
                <w:noProof/>
                <w:szCs w:val="18"/>
                <w:lang w:val="en-GB"/>
              </w:rPr>
              <m:t>i</m:t>
            </m:r>
            <m:r>
              <w:rPr>
                <w:rFonts w:ascii="Cambria Math" w:hAnsi="Cambria Math"/>
                <w:noProof/>
                <w:szCs w:val="18"/>
                <w:lang w:val="en-GB"/>
              </w:rPr>
              <m:t>,</m:t>
            </m:r>
            <m:r>
              <m:rPr>
                <m:sty m:val="p"/>
              </m:rPr>
              <w:rPr>
                <w:rFonts w:ascii="Cambria Math" w:hAnsi="Cambria Math"/>
                <w:noProof/>
                <w:szCs w:val="18"/>
                <w:lang w:val="en-GB"/>
              </w:rPr>
              <m:t>j</m:t>
            </m:r>
          </m:sub>
        </m:sSub>
      </m:oMath>
      <w:r w:rsidRPr="00435EF2">
        <w:rPr>
          <w:szCs w:val="18"/>
        </w:rPr>
        <w:t xml:space="preserve">​ to zero could simplify the model without compromising accuracy. Additionally, excess properties analysis revealed that negative </w:t>
      </w:r>
      <m:oMath>
        <m:sSub>
          <m:sSubPr>
            <m:ctrlPr>
              <w:rPr>
                <w:rFonts w:ascii="Cambria Math" w:hAnsi="Cambria Math" w:cs="Arial"/>
                <w:noProof/>
                <w:szCs w:val="18"/>
                <w:lang w:val="en-GB"/>
              </w:rPr>
            </m:ctrlPr>
          </m:sSubPr>
          <m:e>
            <m:r>
              <w:rPr>
                <w:rFonts w:ascii="Cambria Math" w:hAnsi="Cambria Math"/>
                <w:noProof/>
                <w:szCs w:val="18"/>
                <w:lang w:val="en-GB"/>
              </w:rPr>
              <m:t>V</m:t>
            </m:r>
          </m:e>
          <m:sub>
            <m:r>
              <w:rPr>
                <w:rFonts w:ascii="Cambria Math" w:hAnsi="Cambria Math"/>
                <w:noProof/>
                <w:szCs w:val="18"/>
                <w:lang w:val="en-GB"/>
              </w:rPr>
              <m:t>EX</m:t>
            </m:r>
          </m:sub>
        </m:sSub>
      </m:oMath>
      <w:r w:rsidRPr="00435EF2">
        <w:rPr>
          <w:szCs w:val="18"/>
        </w:rPr>
        <w:t xml:space="preserve"> values indicate strong intermolecular attraction, reinforcing the predominance of </w:t>
      </w:r>
      <m:oMath>
        <m:sSub>
          <m:sSubPr>
            <m:ctrlPr>
              <w:rPr>
                <w:rFonts w:ascii="Cambria Math" w:hAnsi="Cambria Math" w:cs="Arial"/>
                <w:noProof/>
                <w:szCs w:val="18"/>
                <w:lang w:val="en-GB"/>
              </w:rPr>
            </m:ctrlPr>
          </m:sSubPr>
          <m:e>
            <m:r>
              <m:rPr>
                <m:sty m:val="p"/>
              </m:rPr>
              <w:rPr>
                <w:rFonts w:ascii="Cambria Math" w:hAnsi="Cambria Math"/>
                <w:noProof/>
                <w:szCs w:val="18"/>
                <w:lang w:val="en-GB"/>
              </w:rPr>
              <m:t>k</m:t>
            </m:r>
          </m:e>
          <m:sub>
            <m:r>
              <m:rPr>
                <m:sty m:val="p"/>
              </m:rPr>
              <w:rPr>
                <w:rFonts w:ascii="Cambria Math" w:hAnsi="Cambria Math"/>
                <w:noProof/>
                <w:szCs w:val="18"/>
                <w:lang w:val="en-GB"/>
              </w:rPr>
              <m:t>i</m:t>
            </m:r>
            <m:r>
              <w:rPr>
                <w:rFonts w:ascii="Cambria Math" w:hAnsi="Cambria Math"/>
                <w:noProof/>
                <w:szCs w:val="18"/>
                <w:lang w:val="en-GB"/>
              </w:rPr>
              <m:t>,</m:t>
            </m:r>
            <m:r>
              <m:rPr>
                <m:sty m:val="p"/>
              </m:rPr>
              <w:rPr>
                <w:rFonts w:ascii="Cambria Math" w:hAnsi="Cambria Math"/>
                <w:noProof/>
                <w:szCs w:val="18"/>
                <w:lang w:val="en-GB"/>
              </w:rPr>
              <m:t>j</m:t>
            </m:r>
          </m:sub>
        </m:sSub>
      </m:oMath>
      <w:r w:rsidRPr="00435EF2">
        <w:rPr>
          <w:szCs w:val="18"/>
        </w:rPr>
        <w:t>​ in capturing these interactions.</w:t>
      </w:r>
    </w:p>
    <w:p w14:paraId="3260E8D6" w14:textId="5F3F8B8D" w:rsidR="009245AA" w:rsidRPr="009245AA" w:rsidRDefault="003275D2" w:rsidP="009245AA">
      <w:pPr>
        <w:pStyle w:val="CETBodytext"/>
        <w:rPr>
          <w:szCs w:val="18"/>
        </w:rPr>
      </w:pPr>
      <w:r w:rsidRPr="00435EF2">
        <w:rPr>
          <w:noProof/>
          <w:szCs w:val="18"/>
          <w:lang w:val="en-GB"/>
        </w:rPr>
        <w:t xml:space="preserve">   </w:t>
      </w:r>
      <w:r w:rsidR="009245AA" w:rsidRPr="00435EF2">
        <w:rPr>
          <w:szCs w:val="18"/>
        </w:rPr>
        <w:t>Despite its strong predictive capabilities, further refinement is needed. The limited availability of experimental data for DESs remains a challenge, restricting broader validation. Future work should focus on expanding experimental datasets and incorporating a temperature-dependent parameter to improve accuracy in highly non-ideal systems. Enhancing these aspects will strengthen the model’s relevance for sustainable processes and advanced engineering applications involving DESs.</w:t>
      </w:r>
    </w:p>
    <w:p w14:paraId="20E5230D" w14:textId="77777777" w:rsidR="00984E70" w:rsidRPr="00441198" w:rsidRDefault="00984E70" w:rsidP="00984E70">
      <w:pPr>
        <w:pStyle w:val="CETHeading1"/>
        <w:rPr>
          <w:noProof/>
          <w:lang w:val="en-GB"/>
        </w:rPr>
      </w:pPr>
      <w:r w:rsidRPr="00441198">
        <w:rPr>
          <w:noProof/>
          <w:lang w:val="en-GB"/>
        </w:rPr>
        <w:t>References</w:t>
      </w:r>
    </w:p>
    <w:p w14:paraId="117E6299" w14:textId="541EB505" w:rsidR="00984E70" w:rsidRPr="00441198" w:rsidRDefault="00984E70" w:rsidP="00984E70">
      <w:pPr>
        <w:pStyle w:val="CETReferencetext"/>
        <w:ind w:left="426" w:hanging="426"/>
        <w:rPr>
          <w:noProof/>
        </w:rPr>
      </w:pPr>
      <w:r w:rsidRPr="00441198">
        <w:rPr>
          <w:noProof/>
        </w:rPr>
        <w:t xml:space="preserve">1. </w:t>
      </w:r>
      <w:r w:rsidR="0019700F" w:rsidRPr="00441198">
        <w:rPr>
          <w:noProof/>
        </w:rPr>
        <w:t xml:space="preserve">Boublia, A., Lemaoui, T., Almustafa, G., Darwish, A. S., Benguerba, Y., Banat, F., &amp; AlNashef, I. M. (2023). Critical properties of ternary deep eutectic solvents using group contribution with extended Lee–Kesler mixing rules. </w:t>
      </w:r>
      <w:r w:rsidR="0019700F" w:rsidRPr="00441198">
        <w:rPr>
          <w:i/>
          <w:iCs/>
          <w:noProof/>
        </w:rPr>
        <w:t>ACS Omega, 8</w:t>
      </w:r>
      <w:r w:rsidR="0019700F" w:rsidRPr="00441198">
        <w:rPr>
          <w:noProof/>
        </w:rPr>
        <w:t>(14), 13177-13191.</w:t>
      </w:r>
      <w:r w:rsidR="00D5285C" w:rsidRPr="00441198">
        <w:rPr>
          <w:noProof/>
        </w:rPr>
        <w:t xml:space="preserve"> </w:t>
      </w:r>
    </w:p>
    <w:p w14:paraId="389935E3" w14:textId="56D7A186" w:rsidR="00984E70" w:rsidRPr="009C6E8A" w:rsidRDefault="00984E70" w:rsidP="00984E70">
      <w:pPr>
        <w:pStyle w:val="CETReferencetext"/>
        <w:ind w:left="426" w:hanging="426"/>
        <w:rPr>
          <w:noProof/>
          <w:lang w:val="es-MX"/>
        </w:rPr>
      </w:pPr>
      <w:r w:rsidRPr="00441198">
        <w:rPr>
          <w:noProof/>
        </w:rPr>
        <w:t xml:space="preserve">2. </w:t>
      </w:r>
      <w:r w:rsidR="0019700F" w:rsidRPr="00441198">
        <w:rPr>
          <w:noProof/>
        </w:rPr>
        <w:t xml:space="preserve">Péneloux, A., Rauzy, E., &amp; Fréze, R. (1982). A consistent correction for Redlich-Kwong-Soave volumes. </w:t>
      </w:r>
      <w:r w:rsidR="0019700F" w:rsidRPr="009C6E8A">
        <w:rPr>
          <w:i/>
          <w:iCs/>
          <w:noProof/>
          <w:lang w:val="es-MX"/>
        </w:rPr>
        <w:t>Fluid Phase Equilibria, 8</w:t>
      </w:r>
      <w:r w:rsidR="0019700F" w:rsidRPr="009C6E8A">
        <w:rPr>
          <w:noProof/>
          <w:lang w:val="es-MX"/>
        </w:rPr>
        <w:t>, 7–23.</w:t>
      </w:r>
    </w:p>
    <w:p w14:paraId="68B5290B" w14:textId="6B2C2FD1" w:rsidR="00984E70" w:rsidRPr="00441198" w:rsidRDefault="00984E70" w:rsidP="00984E70">
      <w:pPr>
        <w:pStyle w:val="CETReferencetext"/>
        <w:ind w:left="426" w:hanging="426"/>
        <w:rPr>
          <w:noProof/>
        </w:rPr>
      </w:pPr>
      <w:r w:rsidRPr="009C6E8A">
        <w:rPr>
          <w:noProof/>
          <w:lang w:val="es-MX"/>
        </w:rPr>
        <w:t xml:space="preserve">3. </w:t>
      </w:r>
      <w:r w:rsidR="0019700F" w:rsidRPr="009C6E8A">
        <w:rPr>
          <w:noProof/>
          <w:lang w:val="es-MX"/>
        </w:rPr>
        <w:t xml:space="preserve">Prausnitz, J. M., Lichtenthaler, R. N., &amp; de Azevedo, E. G. (1999). </w:t>
      </w:r>
      <w:r w:rsidR="0019700F" w:rsidRPr="00441198">
        <w:rPr>
          <w:i/>
          <w:iCs/>
          <w:noProof/>
        </w:rPr>
        <w:t>Molecular Thermodynamics of Fluid-Phase Equilibria</w:t>
      </w:r>
      <w:r w:rsidR="0019700F" w:rsidRPr="00441198">
        <w:rPr>
          <w:noProof/>
        </w:rPr>
        <w:t xml:space="preserve"> (3rd ed.). Prentice Hall.</w:t>
      </w:r>
    </w:p>
    <w:p w14:paraId="08F47433" w14:textId="65FE376E" w:rsidR="00984E70" w:rsidRPr="00441198" w:rsidRDefault="00984E70" w:rsidP="00984E70">
      <w:pPr>
        <w:pStyle w:val="CETReferencetext"/>
        <w:ind w:left="426" w:hanging="426"/>
        <w:rPr>
          <w:noProof/>
        </w:rPr>
      </w:pPr>
      <w:r w:rsidRPr="00441198">
        <w:rPr>
          <w:noProof/>
        </w:rPr>
        <w:t xml:space="preserve">4. </w:t>
      </w:r>
      <w:r w:rsidR="0019700F" w:rsidRPr="00441198">
        <w:rPr>
          <w:noProof/>
        </w:rPr>
        <w:t xml:space="preserve">Rosen, M. J., &amp; Kunjappu, J. T. (2012). </w:t>
      </w:r>
      <w:r w:rsidR="0019700F" w:rsidRPr="00441198">
        <w:rPr>
          <w:i/>
          <w:iCs/>
          <w:noProof/>
        </w:rPr>
        <w:t>Surfactants and Interfacial Phenomena</w:t>
      </w:r>
      <w:r w:rsidR="0019700F" w:rsidRPr="00441198">
        <w:rPr>
          <w:noProof/>
        </w:rPr>
        <w:t xml:space="preserve"> (4th ed.). Wiley.</w:t>
      </w:r>
    </w:p>
    <w:p w14:paraId="2D54D0A9" w14:textId="1521262E" w:rsidR="0019700F" w:rsidRPr="00441198" w:rsidRDefault="00984E70" w:rsidP="0019700F">
      <w:pPr>
        <w:pStyle w:val="CETReferencetext"/>
        <w:ind w:left="426" w:hanging="426"/>
        <w:rPr>
          <w:noProof/>
        </w:rPr>
      </w:pPr>
      <w:r w:rsidRPr="00441198">
        <w:rPr>
          <w:noProof/>
        </w:rPr>
        <w:t xml:space="preserve">5. </w:t>
      </w:r>
      <w:r w:rsidR="0019700F" w:rsidRPr="00441198">
        <w:rPr>
          <w:noProof/>
        </w:rPr>
        <w:t xml:space="preserve">Shahbaz, K., Mjalli, F. S., Hashim, M. A., &amp; AlNashef, I. M. (2012). Prediction of the surface tension of deep eutectic solvents. </w:t>
      </w:r>
      <w:r w:rsidR="0019700F" w:rsidRPr="00441198">
        <w:rPr>
          <w:i/>
          <w:iCs/>
          <w:noProof/>
        </w:rPr>
        <w:t>Fluid Phase Equilibria, 319</w:t>
      </w:r>
      <w:r w:rsidR="0019700F" w:rsidRPr="00441198">
        <w:rPr>
          <w:noProof/>
        </w:rPr>
        <w:t>, 48–54.</w:t>
      </w:r>
    </w:p>
    <w:p w14:paraId="0436827D" w14:textId="4D534C4D" w:rsidR="00984E70" w:rsidRPr="00441198" w:rsidRDefault="00984E70" w:rsidP="00984E70">
      <w:pPr>
        <w:pStyle w:val="CETReferencetext"/>
        <w:ind w:left="426" w:hanging="426"/>
        <w:rPr>
          <w:noProof/>
        </w:rPr>
      </w:pPr>
      <w:r w:rsidRPr="00441198">
        <w:rPr>
          <w:noProof/>
        </w:rPr>
        <w:t xml:space="preserve">6. </w:t>
      </w:r>
      <w:r w:rsidR="0019700F" w:rsidRPr="00441198">
        <w:rPr>
          <w:noProof/>
        </w:rPr>
        <w:t xml:space="preserve">Shuler, M. L., &amp; Kargi, F. (2002). </w:t>
      </w:r>
      <w:r w:rsidR="0019700F" w:rsidRPr="00441198">
        <w:rPr>
          <w:i/>
          <w:iCs/>
          <w:noProof/>
        </w:rPr>
        <w:t>Bioprocess Engineering: Basic Concepts</w:t>
      </w:r>
      <w:r w:rsidR="0019700F" w:rsidRPr="00441198">
        <w:rPr>
          <w:noProof/>
        </w:rPr>
        <w:t xml:space="preserve"> (2nd ed.). Prentice Hall.</w:t>
      </w:r>
    </w:p>
    <w:p w14:paraId="3A389D59" w14:textId="62D3120E" w:rsidR="00984E70" w:rsidRPr="00441198" w:rsidRDefault="00984E70" w:rsidP="00984E70">
      <w:pPr>
        <w:pStyle w:val="CETReferencetext"/>
        <w:ind w:left="426" w:hanging="426"/>
        <w:rPr>
          <w:noProof/>
        </w:rPr>
      </w:pPr>
      <w:r w:rsidRPr="00441198">
        <w:rPr>
          <w:noProof/>
        </w:rPr>
        <w:t xml:space="preserve">7. </w:t>
      </w:r>
      <w:r w:rsidR="0019700F" w:rsidRPr="00441198">
        <w:rPr>
          <w:noProof/>
        </w:rPr>
        <w:t xml:space="preserve">Smith, E. L., Abbott, A. P., &amp; Ryder, K. S. (2014). Deep eutectic solvents (DESs) and their applications. </w:t>
      </w:r>
      <w:r w:rsidR="0019700F" w:rsidRPr="00441198">
        <w:rPr>
          <w:i/>
          <w:iCs/>
          <w:noProof/>
        </w:rPr>
        <w:t>Chemical Reviews, 114</w:t>
      </w:r>
      <w:r w:rsidR="0019700F" w:rsidRPr="00441198">
        <w:rPr>
          <w:noProof/>
        </w:rPr>
        <w:t>(21), 11060–11082.</w:t>
      </w:r>
    </w:p>
    <w:p w14:paraId="28F9320E" w14:textId="288E583B" w:rsidR="00984E70" w:rsidRPr="00441198" w:rsidRDefault="00984E70" w:rsidP="00984E70">
      <w:pPr>
        <w:pStyle w:val="CETReferencetext"/>
        <w:ind w:left="426" w:hanging="426"/>
        <w:rPr>
          <w:noProof/>
        </w:rPr>
      </w:pPr>
      <w:r w:rsidRPr="00441198">
        <w:rPr>
          <w:noProof/>
        </w:rPr>
        <w:t xml:space="preserve">8. </w:t>
      </w:r>
      <w:r w:rsidR="0019700F" w:rsidRPr="00441198">
        <w:rPr>
          <w:noProof/>
        </w:rPr>
        <w:t xml:space="preserve">Smith, J. M., Van Ness, H. C., &amp; Abbott, M. M. (2005). </w:t>
      </w:r>
      <w:r w:rsidR="0019700F" w:rsidRPr="00441198">
        <w:rPr>
          <w:i/>
          <w:iCs/>
          <w:noProof/>
        </w:rPr>
        <w:t>Introduction to Chemical Engineering Thermodynamics</w:t>
      </w:r>
      <w:r w:rsidR="0019700F" w:rsidRPr="00441198">
        <w:rPr>
          <w:noProof/>
        </w:rPr>
        <w:t xml:space="preserve"> (7th ed.). McGraw-Hill.</w:t>
      </w:r>
    </w:p>
    <w:p w14:paraId="7B020AF0" w14:textId="63C22476" w:rsidR="00984E70" w:rsidRPr="00441198" w:rsidRDefault="00984E70" w:rsidP="00984E70">
      <w:pPr>
        <w:pStyle w:val="CETReferencetext"/>
        <w:ind w:left="426" w:hanging="426"/>
        <w:rPr>
          <w:noProof/>
        </w:rPr>
      </w:pPr>
      <w:r w:rsidRPr="00441198">
        <w:rPr>
          <w:noProof/>
        </w:rPr>
        <w:t xml:space="preserve">9. </w:t>
      </w:r>
      <w:r w:rsidR="0019700F" w:rsidRPr="00441198">
        <w:rPr>
          <w:noProof/>
        </w:rPr>
        <w:t xml:space="preserve">Tojo Suarez, J., Torres Marchal, C., &amp; Rasmussen, P. (1989). Prediction of surface tension of nonelectrolyte solutions. </w:t>
      </w:r>
      <w:r w:rsidR="0019700F" w:rsidRPr="00441198">
        <w:rPr>
          <w:i/>
          <w:iCs/>
          <w:noProof/>
        </w:rPr>
        <w:t>Chemical Engineering Science, 14</w:t>
      </w:r>
      <w:r w:rsidR="0019700F" w:rsidRPr="00441198">
        <w:rPr>
          <w:noProof/>
        </w:rPr>
        <w:t>(3), 782–786.</w:t>
      </w:r>
    </w:p>
    <w:p w14:paraId="186AA0CF" w14:textId="74995AE1" w:rsidR="00984E70" w:rsidRPr="00441198" w:rsidRDefault="00984E70" w:rsidP="00984E70">
      <w:pPr>
        <w:pStyle w:val="CETReferencetext"/>
        <w:ind w:left="426" w:hanging="426"/>
        <w:rPr>
          <w:noProof/>
        </w:rPr>
      </w:pPr>
      <w:r w:rsidRPr="00441198">
        <w:rPr>
          <w:noProof/>
        </w:rPr>
        <w:t xml:space="preserve">10. </w:t>
      </w:r>
      <w:r w:rsidR="0019700F" w:rsidRPr="00441198">
        <w:rPr>
          <w:noProof/>
        </w:rPr>
        <w:t xml:space="preserve">Wei, J., Sun, X., Zhang, Y., Gao, P., Ren, C., Fang, D., &amp; Li, L. (2023). Thermophysical properties of pseudo-binary mixtures of choline chloride-ethylene glycol-based deep eutectic solvent with acetonitrile, ethanol, and water. </w:t>
      </w:r>
      <w:r w:rsidR="0019700F" w:rsidRPr="00441198">
        <w:rPr>
          <w:i/>
          <w:iCs/>
          <w:noProof/>
        </w:rPr>
        <w:t>Journal of Thermal Analysis and Calorimetry, 144</w:t>
      </w:r>
      <w:r w:rsidR="0019700F" w:rsidRPr="00441198">
        <w:rPr>
          <w:noProof/>
        </w:rPr>
        <w:t xml:space="preserve">(1), 1234-1250. </w:t>
      </w:r>
    </w:p>
    <w:p w14:paraId="4DA7F659" w14:textId="08CF7933" w:rsidR="00984E70" w:rsidRPr="00441198" w:rsidRDefault="00984E70" w:rsidP="00984E70">
      <w:pPr>
        <w:pStyle w:val="CETReferencetext"/>
        <w:ind w:left="426" w:hanging="426"/>
        <w:rPr>
          <w:noProof/>
        </w:rPr>
      </w:pPr>
      <w:r w:rsidRPr="00441198">
        <w:rPr>
          <w:noProof/>
        </w:rPr>
        <w:t xml:space="preserve">11. </w:t>
      </w:r>
      <w:r w:rsidR="0019700F" w:rsidRPr="00441198">
        <w:rPr>
          <w:noProof/>
        </w:rPr>
        <w:t xml:space="preserve">Zhao, D., Liao, Y., &amp; Zhang, Z. (2007). Ionic Liquids as Green Solvents: Applications in Green Chemistry. </w:t>
      </w:r>
      <w:r w:rsidR="0019700F" w:rsidRPr="00441198">
        <w:rPr>
          <w:i/>
          <w:iCs/>
          <w:noProof/>
        </w:rPr>
        <w:t>Chemical Reviews, 107</w:t>
      </w:r>
      <w:r w:rsidR="0019700F" w:rsidRPr="00441198">
        <w:rPr>
          <w:noProof/>
        </w:rPr>
        <w:t>(6), 2465–2514.</w:t>
      </w:r>
    </w:p>
    <w:p w14:paraId="3FA2834F" w14:textId="77777777" w:rsidR="00984E70" w:rsidRPr="00441198" w:rsidRDefault="00984E70" w:rsidP="00984E70">
      <w:pPr>
        <w:pStyle w:val="Piedepgina"/>
        <w:tabs>
          <w:tab w:val="right" w:pos="8782"/>
        </w:tabs>
        <w:rPr>
          <w:rFonts w:cs="Arial"/>
          <w:szCs w:val="18"/>
        </w:rPr>
      </w:pPr>
    </w:p>
    <w:p w14:paraId="19C4FC68" w14:textId="77777777" w:rsidR="004628D2" w:rsidRDefault="004628D2" w:rsidP="00984E70">
      <w:pPr>
        <w:pStyle w:val="Standard"/>
        <w:jc w:val="center"/>
      </w:pPr>
    </w:p>
    <w:sectPr w:rsidR="004628D2" w:rsidSect="00DC73EE">
      <w:type w:val="continuous"/>
      <w:pgSz w:w="11906" w:h="16838" w:code="9"/>
      <w:pgMar w:top="1701" w:right="1418" w:bottom="1701" w:left="1701" w:header="1701" w:footer="0"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F380D8" w14:textId="77777777" w:rsidR="00FD6A23" w:rsidRPr="00441198" w:rsidRDefault="00FD6A23" w:rsidP="004F5E36">
      <w:r w:rsidRPr="00441198">
        <w:separator/>
      </w:r>
    </w:p>
  </w:endnote>
  <w:endnote w:type="continuationSeparator" w:id="0">
    <w:p w14:paraId="197D37C8" w14:textId="77777777" w:rsidR="00FD6A23" w:rsidRPr="00441198" w:rsidRDefault="00FD6A23" w:rsidP="004F5E36">
      <w:r w:rsidRPr="00441198">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dvP6960">
    <w:altName w:val="Cambria"/>
    <w:panose1 w:val="00000000000000000000"/>
    <w:charset w:val="4D"/>
    <w:family w:val="roman"/>
    <w:notTrueType/>
    <w:pitch w:val="default"/>
    <w:sig w:usb0="00000003" w:usb1="00000000" w:usb2="00000000" w:usb3="00000000" w:csb0="00000001" w:csb1="00000000"/>
  </w:font>
  <w:font w:name="Aptos">
    <w:charset w:val="00"/>
    <w:family w:val="swiss"/>
    <w:pitch w:val="variable"/>
    <w:sig w:usb0="20000287" w:usb1="0000000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9D63C7" w14:textId="77777777" w:rsidR="00FD6A23" w:rsidRPr="00441198" w:rsidRDefault="00FD6A23" w:rsidP="004F5E36">
      <w:r w:rsidRPr="00441198">
        <w:separator/>
      </w:r>
    </w:p>
  </w:footnote>
  <w:footnote w:type="continuationSeparator" w:id="0">
    <w:p w14:paraId="059D9237" w14:textId="77777777" w:rsidR="00FD6A23" w:rsidRPr="00441198" w:rsidRDefault="00FD6A23" w:rsidP="004F5E36">
      <w:r w:rsidRPr="00441198">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558AF15E"/>
    <w:lvl w:ilvl="0">
      <w:start w:val="1"/>
      <w:numFmt w:val="decimal"/>
      <w:pStyle w:val="Listaconnmeros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Listaconnmeros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Listaconnmeros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Listaconnmeros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Listaconvietas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Listaconvietas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Listaconvietas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Listaconvietas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Listaconnmeros"/>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Listaconvietas"/>
      <w:lvlText w:val=""/>
      <w:lvlJc w:val="left"/>
      <w:pPr>
        <w:tabs>
          <w:tab w:val="num" w:pos="360"/>
        </w:tabs>
        <w:ind w:left="360" w:hanging="360"/>
      </w:pPr>
      <w:rPr>
        <w:rFonts w:ascii="Symbol" w:hAnsi="Symbol" w:hint="default"/>
      </w:rPr>
    </w:lvl>
  </w:abstractNum>
  <w:abstractNum w:abstractNumId="10" w15:restartNumberingAfterBreak="0">
    <w:nsid w:val="12266B64"/>
    <w:multiLevelType w:val="hybridMultilevel"/>
    <w:tmpl w:val="059214A0"/>
    <w:lvl w:ilvl="0" w:tplc="04100003">
      <w:start w:val="1"/>
      <w:numFmt w:val="bullet"/>
      <w:lvlText w:val="o"/>
      <w:lvlJc w:val="left"/>
      <w:pPr>
        <w:tabs>
          <w:tab w:val="num" w:pos="1080"/>
        </w:tabs>
        <w:ind w:left="1080" w:hanging="360"/>
      </w:pPr>
      <w:rPr>
        <w:rFonts w:ascii="Courier New" w:hAnsi="Courier New" w:cs="Courier New" w:hint="default"/>
      </w:rPr>
    </w:lvl>
    <w:lvl w:ilvl="1" w:tplc="04100003">
      <w:start w:val="1"/>
      <w:numFmt w:val="bullet"/>
      <w:lvlText w:val="o"/>
      <w:lvlJc w:val="left"/>
      <w:pPr>
        <w:tabs>
          <w:tab w:val="num" w:pos="1800"/>
        </w:tabs>
        <w:ind w:left="1800" w:hanging="360"/>
      </w:pPr>
      <w:rPr>
        <w:rFonts w:ascii="Courier New" w:hAnsi="Courier New" w:cs="Courier New" w:hint="default"/>
      </w:rPr>
    </w:lvl>
    <w:lvl w:ilvl="2" w:tplc="04100005">
      <w:start w:val="1"/>
      <w:numFmt w:val="bullet"/>
      <w:lvlText w:val=""/>
      <w:lvlJc w:val="left"/>
      <w:pPr>
        <w:tabs>
          <w:tab w:val="num" w:pos="2520"/>
        </w:tabs>
        <w:ind w:left="2520" w:hanging="360"/>
      </w:pPr>
      <w:rPr>
        <w:rFonts w:ascii="Wingdings" w:hAnsi="Wingdings" w:hint="default"/>
      </w:rPr>
    </w:lvl>
    <w:lvl w:ilvl="3" w:tplc="04100001" w:tentative="1">
      <w:start w:val="1"/>
      <w:numFmt w:val="bullet"/>
      <w:lvlText w:val=""/>
      <w:lvlJc w:val="left"/>
      <w:pPr>
        <w:tabs>
          <w:tab w:val="num" w:pos="3240"/>
        </w:tabs>
        <w:ind w:left="3240" w:hanging="360"/>
      </w:pPr>
      <w:rPr>
        <w:rFonts w:ascii="Symbol" w:hAnsi="Symbol" w:hint="default"/>
      </w:rPr>
    </w:lvl>
    <w:lvl w:ilvl="4" w:tplc="04100003" w:tentative="1">
      <w:start w:val="1"/>
      <w:numFmt w:val="bullet"/>
      <w:lvlText w:val="o"/>
      <w:lvlJc w:val="left"/>
      <w:pPr>
        <w:tabs>
          <w:tab w:val="num" w:pos="3960"/>
        </w:tabs>
        <w:ind w:left="3960" w:hanging="360"/>
      </w:pPr>
      <w:rPr>
        <w:rFonts w:ascii="Courier New" w:hAnsi="Courier New" w:cs="Courier New" w:hint="default"/>
      </w:rPr>
    </w:lvl>
    <w:lvl w:ilvl="5" w:tplc="04100005" w:tentative="1">
      <w:start w:val="1"/>
      <w:numFmt w:val="bullet"/>
      <w:lvlText w:val=""/>
      <w:lvlJc w:val="left"/>
      <w:pPr>
        <w:tabs>
          <w:tab w:val="num" w:pos="4680"/>
        </w:tabs>
        <w:ind w:left="4680" w:hanging="360"/>
      </w:pPr>
      <w:rPr>
        <w:rFonts w:ascii="Wingdings" w:hAnsi="Wingdings" w:hint="default"/>
      </w:rPr>
    </w:lvl>
    <w:lvl w:ilvl="6" w:tplc="04100001" w:tentative="1">
      <w:start w:val="1"/>
      <w:numFmt w:val="bullet"/>
      <w:lvlText w:val=""/>
      <w:lvlJc w:val="left"/>
      <w:pPr>
        <w:tabs>
          <w:tab w:val="num" w:pos="5400"/>
        </w:tabs>
        <w:ind w:left="5400" w:hanging="360"/>
      </w:pPr>
      <w:rPr>
        <w:rFonts w:ascii="Symbol" w:hAnsi="Symbol" w:hint="default"/>
      </w:rPr>
    </w:lvl>
    <w:lvl w:ilvl="7" w:tplc="04100003" w:tentative="1">
      <w:start w:val="1"/>
      <w:numFmt w:val="bullet"/>
      <w:lvlText w:val="o"/>
      <w:lvlJc w:val="left"/>
      <w:pPr>
        <w:tabs>
          <w:tab w:val="num" w:pos="6120"/>
        </w:tabs>
        <w:ind w:left="6120" w:hanging="360"/>
      </w:pPr>
      <w:rPr>
        <w:rFonts w:ascii="Courier New" w:hAnsi="Courier New" w:cs="Courier New" w:hint="default"/>
      </w:rPr>
    </w:lvl>
    <w:lvl w:ilvl="8" w:tplc="0410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2438217E"/>
    <w:multiLevelType w:val="multilevel"/>
    <w:tmpl w:val="F17228D6"/>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pStyle w:val="CETheadingx"/>
      <w:suff w:val="space"/>
      <w:lvlText w:val="%2.%3"/>
      <w:lvlJc w:val="left"/>
      <w:pPr>
        <w:ind w:left="0" w:firstLine="0"/>
      </w:pPr>
      <w:rPr>
        <w:rFonts w:hint="default"/>
      </w:rPr>
    </w:lvl>
    <w:lvl w:ilvl="3">
      <w:start w:val="1"/>
      <w:numFmt w:val="decimal"/>
      <w:pStyle w:val="Tablabsica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2" w15:restartNumberingAfterBreak="0">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39C329B9"/>
    <w:multiLevelType w:val="hybridMultilevel"/>
    <w:tmpl w:val="A2E6C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6" w15:restartNumberingAfterBreak="0">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9"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15:restartNumberingAfterBreak="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15:restartNumberingAfterBreak="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6F6848C2"/>
    <w:multiLevelType w:val="multilevel"/>
    <w:tmpl w:val="D74C18D6"/>
    <w:styleLink w:val="WW8Num1"/>
    <w:lvl w:ilvl="0">
      <w:start w:val="1"/>
      <w:numFmt w:val="none"/>
      <w:lvlText w:val="%1."/>
      <w:lvlJc w:val="left"/>
      <w:pPr>
        <w:ind w:left="720" w:hanging="360"/>
      </w:pPr>
    </w:lvl>
    <w:lvl w:ilvl="1">
      <w:start w:val="1"/>
      <w:numFmt w:val="none"/>
      <w:lvlText w:val="."/>
      <w:lvlJc w:val="left"/>
      <w:pPr>
        <w:ind w:left="1080" w:hanging="360"/>
      </w:pPr>
    </w:lvl>
    <w:lvl w:ilvl="2">
      <w:start w:val="1"/>
      <w:numFmt w:val="none"/>
      <w:lvlText w:val="."/>
      <w:lvlJc w:val="left"/>
      <w:pPr>
        <w:ind w:left="1440" w:hanging="360"/>
      </w:pPr>
    </w:lvl>
    <w:lvl w:ilvl="3">
      <w:start w:val="1"/>
      <w:numFmt w:val="none"/>
      <w:lvlText w:val="."/>
      <w:lvlJc w:val="left"/>
      <w:pPr>
        <w:ind w:left="1800" w:hanging="360"/>
      </w:pPr>
    </w:lvl>
    <w:lvl w:ilvl="4">
      <w:start w:val="1"/>
      <w:numFmt w:val="none"/>
      <w:lvlText w:val="."/>
      <w:lvlJc w:val="left"/>
      <w:pPr>
        <w:ind w:left="2160" w:hanging="360"/>
      </w:pPr>
    </w:lvl>
    <w:lvl w:ilvl="5">
      <w:start w:val="1"/>
      <w:numFmt w:val="none"/>
      <w:lvlText w:val="."/>
      <w:lvlJc w:val="left"/>
      <w:pPr>
        <w:ind w:left="2520" w:hanging="360"/>
      </w:pPr>
    </w:lvl>
    <w:lvl w:ilvl="6">
      <w:start w:val="1"/>
      <w:numFmt w:val="none"/>
      <w:lvlText w:val="."/>
      <w:lvlJc w:val="left"/>
      <w:pPr>
        <w:ind w:left="2880" w:hanging="360"/>
      </w:pPr>
    </w:lvl>
    <w:lvl w:ilvl="7">
      <w:start w:val="1"/>
      <w:numFmt w:val="none"/>
      <w:lvlText w:val="."/>
      <w:lvlJc w:val="left"/>
      <w:pPr>
        <w:ind w:left="3240" w:hanging="360"/>
      </w:pPr>
    </w:lvl>
    <w:lvl w:ilvl="8">
      <w:start w:val="1"/>
      <w:numFmt w:val="none"/>
      <w:lvlText w:val="."/>
      <w:lvlJc w:val="left"/>
      <w:pPr>
        <w:ind w:left="3600" w:hanging="360"/>
      </w:pPr>
    </w:lvl>
  </w:abstractNum>
  <w:num w:numId="1" w16cid:durableId="1316882765">
    <w:abstractNumId w:val="11"/>
  </w:num>
  <w:num w:numId="2" w16cid:durableId="1954094313">
    <w:abstractNumId w:val="8"/>
  </w:num>
  <w:num w:numId="3" w16cid:durableId="2001083081">
    <w:abstractNumId w:val="3"/>
  </w:num>
  <w:num w:numId="4" w16cid:durableId="665287687">
    <w:abstractNumId w:val="2"/>
  </w:num>
  <w:num w:numId="5" w16cid:durableId="1763211618">
    <w:abstractNumId w:val="1"/>
  </w:num>
  <w:num w:numId="6" w16cid:durableId="733351894">
    <w:abstractNumId w:val="0"/>
  </w:num>
  <w:num w:numId="7" w16cid:durableId="1265187038">
    <w:abstractNumId w:val="9"/>
  </w:num>
  <w:num w:numId="8" w16cid:durableId="458382672">
    <w:abstractNumId w:val="7"/>
  </w:num>
  <w:num w:numId="9" w16cid:durableId="652636510">
    <w:abstractNumId w:val="6"/>
  </w:num>
  <w:num w:numId="10" w16cid:durableId="1972591888">
    <w:abstractNumId w:val="5"/>
  </w:num>
  <w:num w:numId="11" w16cid:durableId="1179278139">
    <w:abstractNumId w:val="4"/>
  </w:num>
  <w:num w:numId="12" w16cid:durableId="1575509198">
    <w:abstractNumId w:val="18"/>
  </w:num>
  <w:num w:numId="13" w16cid:durableId="695733619">
    <w:abstractNumId w:val="13"/>
  </w:num>
  <w:num w:numId="14" w16cid:durableId="145903400">
    <w:abstractNumId w:val="19"/>
  </w:num>
  <w:num w:numId="15" w16cid:durableId="19162326">
    <w:abstractNumId w:val="21"/>
  </w:num>
  <w:num w:numId="16" w16cid:durableId="1977102699">
    <w:abstractNumId w:val="20"/>
  </w:num>
  <w:num w:numId="17" w16cid:durableId="860774865">
    <w:abstractNumId w:val="12"/>
  </w:num>
  <w:num w:numId="18" w16cid:durableId="313221457">
    <w:abstractNumId w:val="13"/>
    <w:lvlOverride w:ilvl="0">
      <w:startOverride w:val="1"/>
    </w:lvlOverride>
  </w:num>
  <w:num w:numId="19" w16cid:durableId="534971577">
    <w:abstractNumId w:val="17"/>
  </w:num>
  <w:num w:numId="20" w16cid:durableId="1150947773">
    <w:abstractNumId w:val="16"/>
  </w:num>
  <w:num w:numId="21" w16cid:durableId="124660497">
    <w:abstractNumId w:val="15"/>
  </w:num>
  <w:num w:numId="22" w16cid:durableId="2099861471">
    <w:abstractNumId w:val="14"/>
  </w:num>
  <w:num w:numId="23" w16cid:durableId="84351335">
    <w:abstractNumId w:val="10"/>
  </w:num>
  <w:num w:numId="24" w16cid:durableId="2059619564">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0"/>
  <w:autoFormatOverride/>
  <w:styleLockTheme/>
  <w:styleLockQFSet/>
  <w:defaultTabStop w:val="708"/>
  <w:hyphenationZone w:val="283"/>
  <w:clickAndTypeStyle w:val="CETBodytext"/>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TI0NzezsDA3M7MwMTJW0lEKTi0uzszPAymwrAUAugS3IywAAAA="/>
  </w:docVars>
  <w:rsids>
    <w:rsidRoot w:val="000E414A"/>
    <w:rsid w:val="000027C0"/>
    <w:rsid w:val="000052FB"/>
    <w:rsid w:val="00005A19"/>
    <w:rsid w:val="000117CB"/>
    <w:rsid w:val="00021D75"/>
    <w:rsid w:val="0003148D"/>
    <w:rsid w:val="00031EEC"/>
    <w:rsid w:val="000452CC"/>
    <w:rsid w:val="00051566"/>
    <w:rsid w:val="000562A9"/>
    <w:rsid w:val="00062A9A"/>
    <w:rsid w:val="00065058"/>
    <w:rsid w:val="00086C39"/>
    <w:rsid w:val="000A03B2"/>
    <w:rsid w:val="000D0268"/>
    <w:rsid w:val="000D34BE"/>
    <w:rsid w:val="000E0B3C"/>
    <w:rsid w:val="000E102F"/>
    <w:rsid w:val="000E36F1"/>
    <w:rsid w:val="000E3A73"/>
    <w:rsid w:val="000E414A"/>
    <w:rsid w:val="000E75FD"/>
    <w:rsid w:val="000F093C"/>
    <w:rsid w:val="000F787B"/>
    <w:rsid w:val="0012091F"/>
    <w:rsid w:val="00126BC2"/>
    <w:rsid w:val="001308B6"/>
    <w:rsid w:val="0013121F"/>
    <w:rsid w:val="00131FE6"/>
    <w:rsid w:val="0013263F"/>
    <w:rsid w:val="001331DF"/>
    <w:rsid w:val="00134DE4"/>
    <w:rsid w:val="0014034D"/>
    <w:rsid w:val="00140FE3"/>
    <w:rsid w:val="00144D16"/>
    <w:rsid w:val="00150E59"/>
    <w:rsid w:val="00152DE3"/>
    <w:rsid w:val="00164CF9"/>
    <w:rsid w:val="0016668E"/>
    <w:rsid w:val="001667A6"/>
    <w:rsid w:val="001708A2"/>
    <w:rsid w:val="0018171E"/>
    <w:rsid w:val="00184AD6"/>
    <w:rsid w:val="0019700F"/>
    <w:rsid w:val="001A4AF7"/>
    <w:rsid w:val="001B0349"/>
    <w:rsid w:val="001B1E93"/>
    <w:rsid w:val="001B65C1"/>
    <w:rsid w:val="001C260F"/>
    <w:rsid w:val="001C5C3A"/>
    <w:rsid w:val="001C684B"/>
    <w:rsid w:val="001D0CFB"/>
    <w:rsid w:val="001D21AF"/>
    <w:rsid w:val="001D3D32"/>
    <w:rsid w:val="001D53FC"/>
    <w:rsid w:val="001F42A5"/>
    <w:rsid w:val="001F7B9D"/>
    <w:rsid w:val="00201C93"/>
    <w:rsid w:val="002224B4"/>
    <w:rsid w:val="002447EF"/>
    <w:rsid w:val="00251550"/>
    <w:rsid w:val="00263B05"/>
    <w:rsid w:val="0027221A"/>
    <w:rsid w:val="00275B61"/>
    <w:rsid w:val="00280FAF"/>
    <w:rsid w:val="00282656"/>
    <w:rsid w:val="002853C8"/>
    <w:rsid w:val="00285FDA"/>
    <w:rsid w:val="00296B83"/>
    <w:rsid w:val="002A620F"/>
    <w:rsid w:val="002B4015"/>
    <w:rsid w:val="002B78CE"/>
    <w:rsid w:val="002B7EFB"/>
    <w:rsid w:val="002C2FB6"/>
    <w:rsid w:val="002E1148"/>
    <w:rsid w:val="002E5FA7"/>
    <w:rsid w:val="002E667B"/>
    <w:rsid w:val="002F3309"/>
    <w:rsid w:val="003008CE"/>
    <w:rsid w:val="003009B7"/>
    <w:rsid w:val="00300E56"/>
    <w:rsid w:val="0030152C"/>
    <w:rsid w:val="0030469C"/>
    <w:rsid w:val="00304CE8"/>
    <w:rsid w:val="00320B53"/>
    <w:rsid w:val="00321CA6"/>
    <w:rsid w:val="00323763"/>
    <w:rsid w:val="00323C5F"/>
    <w:rsid w:val="003275D2"/>
    <w:rsid w:val="00334C09"/>
    <w:rsid w:val="00343C57"/>
    <w:rsid w:val="003723D4"/>
    <w:rsid w:val="00381229"/>
    <w:rsid w:val="00381905"/>
    <w:rsid w:val="00382649"/>
    <w:rsid w:val="00384CC8"/>
    <w:rsid w:val="003871FD"/>
    <w:rsid w:val="003A1E30"/>
    <w:rsid w:val="003A2829"/>
    <w:rsid w:val="003A632E"/>
    <w:rsid w:val="003A7D1C"/>
    <w:rsid w:val="003B304B"/>
    <w:rsid w:val="003B3146"/>
    <w:rsid w:val="003B49CD"/>
    <w:rsid w:val="003D1E02"/>
    <w:rsid w:val="003E6674"/>
    <w:rsid w:val="003F015E"/>
    <w:rsid w:val="00400414"/>
    <w:rsid w:val="0041446B"/>
    <w:rsid w:val="00435EF2"/>
    <w:rsid w:val="0044071E"/>
    <w:rsid w:val="00441198"/>
    <w:rsid w:val="0044329C"/>
    <w:rsid w:val="00453E24"/>
    <w:rsid w:val="00457456"/>
    <w:rsid w:val="004577FE"/>
    <w:rsid w:val="00457B9C"/>
    <w:rsid w:val="0046164A"/>
    <w:rsid w:val="004628D2"/>
    <w:rsid w:val="00462DCD"/>
    <w:rsid w:val="004648AD"/>
    <w:rsid w:val="004703A9"/>
    <w:rsid w:val="004760DE"/>
    <w:rsid w:val="004763D7"/>
    <w:rsid w:val="004A004E"/>
    <w:rsid w:val="004A24CF"/>
    <w:rsid w:val="004C3D1D"/>
    <w:rsid w:val="004C3D84"/>
    <w:rsid w:val="004C7913"/>
    <w:rsid w:val="004E4DD6"/>
    <w:rsid w:val="004E50D8"/>
    <w:rsid w:val="004F5E36"/>
    <w:rsid w:val="00507B47"/>
    <w:rsid w:val="00507BEF"/>
    <w:rsid w:val="00507CC9"/>
    <w:rsid w:val="005119A5"/>
    <w:rsid w:val="005278B7"/>
    <w:rsid w:val="00532016"/>
    <w:rsid w:val="005346C8"/>
    <w:rsid w:val="00543E7D"/>
    <w:rsid w:val="00547A68"/>
    <w:rsid w:val="005531C9"/>
    <w:rsid w:val="00554879"/>
    <w:rsid w:val="00570C43"/>
    <w:rsid w:val="00592274"/>
    <w:rsid w:val="005B2110"/>
    <w:rsid w:val="005B350B"/>
    <w:rsid w:val="005B61E6"/>
    <w:rsid w:val="005C77E1"/>
    <w:rsid w:val="005D668A"/>
    <w:rsid w:val="005D6A2F"/>
    <w:rsid w:val="005E0592"/>
    <w:rsid w:val="005E1A82"/>
    <w:rsid w:val="005E34E6"/>
    <w:rsid w:val="005E794C"/>
    <w:rsid w:val="005F0A28"/>
    <w:rsid w:val="005F0E5E"/>
    <w:rsid w:val="00600535"/>
    <w:rsid w:val="00610CD6"/>
    <w:rsid w:val="00620DEE"/>
    <w:rsid w:val="00621F92"/>
    <w:rsid w:val="0062280A"/>
    <w:rsid w:val="006231E1"/>
    <w:rsid w:val="00625639"/>
    <w:rsid w:val="00626342"/>
    <w:rsid w:val="00631B33"/>
    <w:rsid w:val="0064184D"/>
    <w:rsid w:val="006422CC"/>
    <w:rsid w:val="00651D18"/>
    <w:rsid w:val="00660E3E"/>
    <w:rsid w:val="00662E74"/>
    <w:rsid w:val="00680C23"/>
    <w:rsid w:val="00683E23"/>
    <w:rsid w:val="00693766"/>
    <w:rsid w:val="006A3281"/>
    <w:rsid w:val="006A6DE5"/>
    <w:rsid w:val="006B4888"/>
    <w:rsid w:val="006C2E45"/>
    <w:rsid w:val="006C359C"/>
    <w:rsid w:val="006C5579"/>
    <w:rsid w:val="006D6E8B"/>
    <w:rsid w:val="006D7209"/>
    <w:rsid w:val="006E737D"/>
    <w:rsid w:val="00707DD1"/>
    <w:rsid w:val="00713973"/>
    <w:rsid w:val="00720A24"/>
    <w:rsid w:val="00732386"/>
    <w:rsid w:val="0073514D"/>
    <w:rsid w:val="007447F3"/>
    <w:rsid w:val="0075499F"/>
    <w:rsid w:val="007661C8"/>
    <w:rsid w:val="0077098D"/>
    <w:rsid w:val="00785BF9"/>
    <w:rsid w:val="007931FA"/>
    <w:rsid w:val="007A4861"/>
    <w:rsid w:val="007A7BBA"/>
    <w:rsid w:val="007B0C50"/>
    <w:rsid w:val="007B48F9"/>
    <w:rsid w:val="007C1A43"/>
    <w:rsid w:val="007C3BE6"/>
    <w:rsid w:val="007D0951"/>
    <w:rsid w:val="007D610D"/>
    <w:rsid w:val="0080013E"/>
    <w:rsid w:val="00801759"/>
    <w:rsid w:val="00813288"/>
    <w:rsid w:val="008168FC"/>
    <w:rsid w:val="00830996"/>
    <w:rsid w:val="008345F1"/>
    <w:rsid w:val="00864223"/>
    <w:rsid w:val="00865B07"/>
    <w:rsid w:val="008667EA"/>
    <w:rsid w:val="0087637F"/>
    <w:rsid w:val="00891787"/>
    <w:rsid w:val="00892AD5"/>
    <w:rsid w:val="00892B99"/>
    <w:rsid w:val="0089313D"/>
    <w:rsid w:val="008A1512"/>
    <w:rsid w:val="008D32B9"/>
    <w:rsid w:val="008D433B"/>
    <w:rsid w:val="008D4A16"/>
    <w:rsid w:val="008D5326"/>
    <w:rsid w:val="008E5401"/>
    <w:rsid w:val="008E566E"/>
    <w:rsid w:val="0090161A"/>
    <w:rsid w:val="00901EB6"/>
    <w:rsid w:val="009041F8"/>
    <w:rsid w:val="00904C62"/>
    <w:rsid w:val="00922BA8"/>
    <w:rsid w:val="009245AA"/>
    <w:rsid w:val="00924DAC"/>
    <w:rsid w:val="00927058"/>
    <w:rsid w:val="00942750"/>
    <w:rsid w:val="009450CE"/>
    <w:rsid w:val="009459BB"/>
    <w:rsid w:val="00947179"/>
    <w:rsid w:val="0095164B"/>
    <w:rsid w:val="00954090"/>
    <w:rsid w:val="009573E7"/>
    <w:rsid w:val="00963E05"/>
    <w:rsid w:val="00964142"/>
    <w:rsid w:val="00964A45"/>
    <w:rsid w:val="00967843"/>
    <w:rsid w:val="00967D54"/>
    <w:rsid w:val="00971028"/>
    <w:rsid w:val="00984E70"/>
    <w:rsid w:val="00993B84"/>
    <w:rsid w:val="00994C6A"/>
    <w:rsid w:val="00996483"/>
    <w:rsid w:val="00996F5A"/>
    <w:rsid w:val="009A6665"/>
    <w:rsid w:val="009B041A"/>
    <w:rsid w:val="009B6E57"/>
    <w:rsid w:val="009C37C3"/>
    <w:rsid w:val="009C6E8A"/>
    <w:rsid w:val="009C7C86"/>
    <w:rsid w:val="009D2FF7"/>
    <w:rsid w:val="009E7884"/>
    <w:rsid w:val="009E788A"/>
    <w:rsid w:val="009F0E08"/>
    <w:rsid w:val="00A079AE"/>
    <w:rsid w:val="00A1763D"/>
    <w:rsid w:val="00A17CEC"/>
    <w:rsid w:val="00A27EF0"/>
    <w:rsid w:val="00A42361"/>
    <w:rsid w:val="00A50891"/>
    <w:rsid w:val="00A50B20"/>
    <w:rsid w:val="00A51390"/>
    <w:rsid w:val="00A56369"/>
    <w:rsid w:val="00A60D13"/>
    <w:rsid w:val="00A7223D"/>
    <w:rsid w:val="00A72745"/>
    <w:rsid w:val="00A76EFC"/>
    <w:rsid w:val="00A8584B"/>
    <w:rsid w:val="00A87D50"/>
    <w:rsid w:val="00A90141"/>
    <w:rsid w:val="00A91010"/>
    <w:rsid w:val="00A97F29"/>
    <w:rsid w:val="00AA702E"/>
    <w:rsid w:val="00AA7D26"/>
    <w:rsid w:val="00AB0964"/>
    <w:rsid w:val="00AB5011"/>
    <w:rsid w:val="00AC7368"/>
    <w:rsid w:val="00AD16B9"/>
    <w:rsid w:val="00AE377D"/>
    <w:rsid w:val="00AF0EBA"/>
    <w:rsid w:val="00AF2463"/>
    <w:rsid w:val="00AF7B55"/>
    <w:rsid w:val="00B02C8A"/>
    <w:rsid w:val="00B17FBD"/>
    <w:rsid w:val="00B315A6"/>
    <w:rsid w:val="00B31813"/>
    <w:rsid w:val="00B33365"/>
    <w:rsid w:val="00B57B36"/>
    <w:rsid w:val="00B57E6F"/>
    <w:rsid w:val="00B80AD8"/>
    <w:rsid w:val="00B85EF2"/>
    <w:rsid w:val="00B8686D"/>
    <w:rsid w:val="00B93F69"/>
    <w:rsid w:val="00BB0FBD"/>
    <w:rsid w:val="00BB1DDC"/>
    <w:rsid w:val="00BC30C9"/>
    <w:rsid w:val="00BD077D"/>
    <w:rsid w:val="00BE3E58"/>
    <w:rsid w:val="00BF13CE"/>
    <w:rsid w:val="00C01616"/>
    <w:rsid w:val="00C0162B"/>
    <w:rsid w:val="00C068ED"/>
    <w:rsid w:val="00C22E0C"/>
    <w:rsid w:val="00C345B1"/>
    <w:rsid w:val="00C40142"/>
    <w:rsid w:val="00C52C3C"/>
    <w:rsid w:val="00C57182"/>
    <w:rsid w:val="00C57863"/>
    <w:rsid w:val="00C640AF"/>
    <w:rsid w:val="00C655FD"/>
    <w:rsid w:val="00C75407"/>
    <w:rsid w:val="00C841C6"/>
    <w:rsid w:val="00C870A8"/>
    <w:rsid w:val="00C94434"/>
    <w:rsid w:val="00CA0D75"/>
    <w:rsid w:val="00CA14A0"/>
    <w:rsid w:val="00CA1C95"/>
    <w:rsid w:val="00CA5A9C"/>
    <w:rsid w:val="00CC4C20"/>
    <w:rsid w:val="00CD3517"/>
    <w:rsid w:val="00CD5FE2"/>
    <w:rsid w:val="00CE7C68"/>
    <w:rsid w:val="00D02B4C"/>
    <w:rsid w:val="00D040C4"/>
    <w:rsid w:val="00D20AD1"/>
    <w:rsid w:val="00D2582C"/>
    <w:rsid w:val="00D46B7E"/>
    <w:rsid w:val="00D5285C"/>
    <w:rsid w:val="00D57C84"/>
    <w:rsid w:val="00D6057D"/>
    <w:rsid w:val="00D71640"/>
    <w:rsid w:val="00D836C5"/>
    <w:rsid w:val="00D84576"/>
    <w:rsid w:val="00D95023"/>
    <w:rsid w:val="00DA1399"/>
    <w:rsid w:val="00DA24C6"/>
    <w:rsid w:val="00DA4D7B"/>
    <w:rsid w:val="00DC2840"/>
    <w:rsid w:val="00DC73EE"/>
    <w:rsid w:val="00DD271C"/>
    <w:rsid w:val="00DE264A"/>
    <w:rsid w:val="00DE4A0A"/>
    <w:rsid w:val="00DF5072"/>
    <w:rsid w:val="00E02D18"/>
    <w:rsid w:val="00E041E7"/>
    <w:rsid w:val="00E23CA1"/>
    <w:rsid w:val="00E409A8"/>
    <w:rsid w:val="00E50C12"/>
    <w:rsid w:val="00E65B91"/>
    <w:rsid w:val="00E7209D"/>
    <w:rsid w:val="00E72EAD"/>
    <w:rsid w:val="00E77223"/>
    <w:rsid w:val="00E8528B"/>
    <w:rsid w:val="00E85B94"/>
    <w:rsid w:val="00E978D0"/>
    <w:rsid w:val="00EA4613"/>
    <w:rsid w:val="00EA7F91"/>
    <w:rsid w:val="00EB1523"/>
    <w:rsid w:val="00EB16E5"/>
    <w:rsid w:val="00EC0E49"/>
    <w:rsid w:val="00EC101F"/>
    <w:rsid w:val="00EC1D9F"/>
    <w:rsid w:val="00EC3A33"/>
    <w:rsid w:val="00ED584C"/>
    <w:rsid w:val="00EE0131"/>
    <w:rsid w:val="00EE17B0"/>
    <w:rsid w:val="00EF06D9"/>
    <w:rsid w:val="00F3049E"/>
    <w:rsid w:val="00F30C64"/>
    <w:rsid w:val="00F32BA2"/>
    <w:rsid w:val="00F32CDB"/>
    <w:rsid w:val="00F41EE4"/>
    <w:rsid w:val="00F565FE"/>
    <w:rsid w:val="00F62926"/>
    <w:rsid w:val="00F63A70"/>
    <w:rsid w:val="00F63D8C"/>
    <w:rsid w:val="00F7534E"/>
    <w:rsid w:val="00F858F7"/>
    <w:rsid w:val="00F86FE8"/>
    <w:rsid w:val="00F93EDF"/>
    <w:rsid w:val="00FA1802"/>
    <w:rsid w:val="00FA21D0"/>
    <w:rsid w:val="00FA5F5F"/>
    <w:rsid w:val="00FB730C"/>
    <w:rsid w:val="00FC2695"/>
    <w:rsid w:val="00FC3E03"/>
    <w:rsid w:val="00FC3FC1"/>
    <w:rsid w:val="00FD6A23"/>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AE0CC22"/>
  <w14:defaultImageDpi w14:val="330"/>
  <w15:docId w15:val="{0B95FB59-9D38-42B5-B090-D2348EE1E9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CET Top_page"/>
    <w:rsid w:val="00620DEE"/>
    <w:pPr>
      <w:tabs>
        <w:tab w:val="right" w:pos="7100"/>
      </w:tabs>
      <w:spacing w:after="0" w:line="264" w:lineRule="auto"/>
      <w:jc w:val="both"/>
    </w:pPr>
    <w:rPr>
      <w:rFonts w:ascii="Arial" w:eastAsia="Times New Roman" w:hAnsi="Arial" w:cs="Times New Roman"/>
      <w:noProof/>
      <w:sz w:val="18"/>
      <w:szCs w:val="20"/>
      <w:lang w:val="en-GB"/>
    </w:rPr>
  </w:style>
  <w:style w:type="paragraph" w:styleId="Ttulo1">
    <w:name w:val="heading 1"/>
    <w:basedOn w:val="CETHeading1"/>
    <w:next w:val="Normal"/>
    <w:link w:val="Ttulo1Car"/>
    <w:uiPriority w:val="9"/>
    <w:rsid w:val="004F5E36"/>
    <w:pPr>
      <w:tabs>
        <w:tab w:val="clear" w:pos="360"/>
        <w:tab w:val="right" w:pos="7100"/>
      </w:tabs>
      <w:jc w:val="both"/>
      <w:outlineLvl w:val="0"/>
    </w:pPr>
    <w:rPr>
      <w:lang w:val="en-GB"/>
    </w:rPr>
  </w:style>
  <w:style w:type="paragraph" w:styleId="Ttulo2">
    <w:name w:val="heading 2"/>
    <w:basedOn w:val="Normal"/>
    <w:next w:val="Normal"/>
    <w:link w:val="Ttulo2Car"/>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Ttulo9">
    <w:name w:val="heading 9"/>
    <w:basedOn w:val="Normal"/>
    <w:next w:val="Normal"/>
    <w:link w:val="Ttulo9Car"/>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tabs>
        <w:tab w:val="num" w:pos="360"/>
      </w:tabs>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FA5F5F"/>
    <w:pPr>
      <w:keepNext/>
      <w:numPr>
        <w:ilvl w:val="2"/>
        <w:numId w:val="1"/>
      </w:numPr>
      <w:suppressAutoHyphens/>
      <w:spacing w:before="12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labsica1">
    <w:name w:val="Table Simple 1"/>
    <w:basedOn w:val="Tablanormal"/>
    <w:semiHidden/>
    <w:rsid w:val="000E414A"/>
    <w:pPr>
      <w:numPr>
        <w:ilvl w:val="3"/>
        <w:numId w:val="1"/>
      </w:numPr>
      <w:tabs>
        <w:tab w:val="num" w:pos="360"/>
      </w:tabs>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F7534E"/>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FA5F5F"/>
    <w:rPr>
      <w:rFonts w:ascii="Arial" w:eastAsia="Times New Roman" w:hAnsi="Arial" w:cs="Times New Roman"/>
      <w:b/>
      <w:sz w:val="18"/>
      <w:szCs w:val="20"/>
      <w:lang w:val="en-US"/>
    </w:rPr>
  </w:style>
  <w:style w:type="character" w:customStyle="1" w:styleId="CETCaptionCarattere">
    <w:name w:val="CET Caption Carattere"/>
    <w:link w:val="CETCaption"/>
    <w:rsid w:val="00F7534E"/>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Refdecomentario">
    <w:name w:val="annotation reference"/>
    <w:basedOn w:val="Fuentedeprrafopredeter"/>
    <w:uiPriority w:val="99"/>
    <w:semiHidden/>
    <w:unhideWhenUsed/>
    <w:rsid w:val="004577FE"/>
    <w:rPr>
      <w:sz w:val="16"/>
      <w:szCs w:val="16"/>
    </w:rPr>
  </w:style>
  <w:style w:type="paragraph" w:styleId="Textodeglobo">
    <w:name w:val="Balloon Text"/>
    <w:basedOn w:val="Normal"/>
    <w:link w:val="TextodegloboCar"/>
    <w:uiPriority w:val="99"/>
    <w:semiHidden/>
    <w:unhideWhenUsed/>
    <w:rsid w:val="000D34BE"/>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D34BE"/>
    <w:rPr>
      <w:rFonts w:ascii="Tahoma" w:hAnsi="Tahoma" w:cs="Tahoma"/>
      <w:sz w:val="16"/>
      <w:szCs w:val="16"/>
    </w:rPr>
  </w:style>
  <w:style w:type="paragraph" w:styleId="Bibliografa">
    <w:name w:val="Bibliography"/>
    <w:basedOn w:val="CETReferencetext"/>
    <w:uiPriority w:val="37"/>
    <w:unhideWhenUsed/>
    <w:rsid w:val="00631B33"/>
    <w:pPr>
      <w:spacing w:line="240" w:lineRule="auto"/>
      <w:ind w:left="720" w:hanging="720"/>
    </w:pPr>
  </w:style>
  <w:style w:type="paragraph" w:styleId="Textoindependiente2">
    <w:name w:val="Body Text 2"/>
    <w:basedOn w:val="Normal"/>
    <w:link w:val="Textoindependiente2Car"/>
    <w:uiPriority w:val="99"/>
    <w:semiHidden/>
    <w:unhideWhenUsed/>
    <w:rsid w:val="0003148D"/>
    <w:pPr>
      <w:spacing w:after="120" w:line="480" w:lineRule="auto"/>
    </w:pPr>
  </w:style>
  <w:style w:type="character" w:customStyle="1" w:styleId="Textoindependiente2Car">
    <w:name w:val="Texto independiente 2 Car"/>
    <w:basedOn w:val="Fuentedeprrafopredeter"/>
    <w:link w:val="Textoindependiente2"/>
    <w:uiPriority w:val="99"/>
    <w:semiHidden/>
    <w:rsid w:val="0003148D"/>
  </w:style>
  <w:style w:type="paragraph" w:styleId="Textoindependiente3">
    <w:name w:val="Body Text 3"/>
    <w:basedOn w:val="Normal"/>
    <w:link w:val="Textoindependiente3Car"/>
    <w:uiPriority w:val="99"/>
    <w:semiHidden/>
    <w:unhideWhenUsed/>
    <w:rsid w:val="0003148D"/>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03148D"/>
    <w:rPr>
      <w:sz w:val="16"/>
      <w:szCs w:val="16"/>
    </w:rPr>
  </w:style>
  <w:style w:type="paragraph" w:styleId="Textoindependiente">
    <w:name w:val="Body Text"/>
    <w:basedOn w:val="Normal"/>
    <w:link w:val="TextoindependienteCar"/>
    <w:uiPriority w:val="99"/>
    <w:semiHidden/>
    <w:unhideWhenUsed/>
    <w:rsid w:val="0003148D"/>
    <w:pPr>
      <w:spacing w:after="120"/>
    </w:pPr>
  </w:style>
  <w:style w:type="character" w:customStyle="1" w:styleId="TextoindependienteCar">
    <w:name w:val="Texto independiente Car"/>
    <w:basedOn w:val="Fuentedeprrafopredeter"/>
    <w:link w:val="Textoindependiente"/>
    <w:uiPriority w:val="99"/>
    <w:semiHidden/>
    <w:rsid w:val="0003148D"/>
  </w:style>
  <w:style w:type="paragraph" w:styleId="Fecha">
    <w:name w:val="Date"/>
    <w:basedOn w:val="Normal"/>
    <w:next w:val="Normal"/>
    <w:link w:val="FechaCar"/>
    <w:uiPriority w:val="99"/>
    <w:semiHidden/>
    <w:unhideWhenUsed/>
    <w:rsid w:val="0003148D"/>
  </w:style>
  <w:style w:type="character" w:customStyle="1" w:styleId="FechaCar">
    <w:name w:val="Fecha Car"/>
    <w:basedOn w:val="Fuentedeprrafopredeter"/>
    <w:link w:val="Fecha"/>
    <w:uiPriority w:val="99"/>
    <w:semiHidden/>
    <w:rsid w:val="0003148D"/>
  </w:style>
  <w:style w:type="paragraph" w:styleId="Descripcin">
    <w:name w:val="caption"/>
    <w:basedOn w:val="Normal"/>
    <w:next w:val="Normal"/>
    <w:uiPriority w:val="35"/>
    <w:semiHidden/>
    <w:unhideWhenUsed/>
    <w:qFormat/>
    <w:rsid w:val="0003148D"/>
    <w:pPr>
      <w:spacing w:line="240" w:lineRule="auto"/>
    </w:pPr>
    <w:rPr>
      <w:b/>
      <w:bCs/>
      <w:color w:val="4F81BD" w:themeColor="accent1"/>
      <w:szCs w:val="18"/>
    </w:rPr>
  </w:style>
  <w:style w:type="paragraph" w:styleId="Lista">
    <w:name w:val="List"/>
    <w:basedOn w:val="Normal"/>
    <w:uiPriority w:val="99"/>
    <w:semiHidden/>
    <w:unhideWhenUsed/>
    <w:rsid w:val="0003148D"/>
    <w:pPr>
      <w:ind w:left="283" w:hanging="283"/>
      <w:contextualSpacing/>
    </w:pPr>
  </w:style>
  <w:style w:type="paragraph" w:styleId="Lista2">
    <w:name w:val="List 2"/>
    <w:basedOn w:val="Normal"/>
    <w:uiPriority w:val="99"/>
    <w:semiHidden/>
    <w:unhideWhenUsed/>
    <w:rsid w:val="0003148D"/>
    <w:pPr>
      <w:ind w:left="566" w:hanging="283"/>
      <w:contextualSpacing/>
    </w:pPr>
  </w:style>
  <w:style w:type="paragraph" w:styleId="Lista3">
    <w:name w:val="List 3"/>
    <w:basedOn w:val="Normal"/>
    <w:uiPriority w:val="99"/>
    <w:semiHidden/>
    <w:unhideWhenUsed/>
    <w:rsid w:val="0003148D"/>
    <w:pPr>
      <w:ind w:left="849" w:hanging="283"/>
      <w:contextualSpacing/>
    </w:pPr>
  </w:style>
  <w:style w:type="paragraph" w:styleId="Lista4">
    <w:name w:val="List 4"/>
    <w:basedOn w:val="Normal"/>
    <w:uiPriority w:val="99"/>
    <w:semiHidden/>
    <w:unhideWhenUsed/>
    <w:rsid w:val="0003148D"/>
    <w:pPr>
      <w:ind w:left="1132" w:hanging="283"/>
      <w:contextualSpacing/>
    </w:pPr>
  </w:style>
  <w:style w:type="paragraph" w:styleId="Lista5">
    <w:name w:val="List 5"/>
    <w:basedOn w:val="Normal"/>
    <w:uiPriority w:val="99"/>
    <w:semiHidden/>
    <w:unhideWhenUsed/>
    <w:rsid w:val="0003148D"/>
    <w:pPr>
      <w:ind w:left="1415" w:hanging="283"/>
      <w:contextualSpacing/>
    </w:pPr>
  </w:style>
  <w:style w:type="paragraph" w:styleId="Continuarlista">
    <w:name w:val="List Continue"/>
    <w:basedOn w:val="Normal"/>
    <w:uiPriority w:val="99"/>
    <w:semiHidden/>
    <w:unhideWhenUsed/>
    <w:rsid w:val="0003148D"/>
    <w:pPr>
      <w:spacing w:after="120"/>
      <w:ind w:left="283"/>
      <w:contextualSpacing/>
    </w:pPr>
  </w:style>
  <w:style w:type="paragraph" w:styleId="Continuarlista2">
    <w:name w:val="List Continue 2"/>
    <w:basedOn w:val="Normal"/>
    <w:uiPriority w:val="99"/>
    <w:semiHidden/>
    <w:unhideWhenUsed/>
    <w:rsid w:val="0003148D"/>
    <w:pPr>
      <w:spacing w:after="120"/>
      <w:ind w:left="566"/>
      <w:contextualSpacing/>
    </w:pPr>
  </w:style>
  <w:style w:type="paragraph" w:styleId="Continuarlista3">
    <w:name w:val="List Continue 3"/>
    <w:basedOn w:val="Normal"/>
    <w:uiPriority w:val="99"/>
    <w:semiHidden/>
    <w:unhideWhenUsed/>
    <w:rsid w:val="0003148D"/>
    <w:pPr>
      <w:spacing w:after="120"/>
      <w:ind w:left="849"/>
      <w:contextualSpacing/>
    </w:pPr>
  </w:style>
  <w:style w:type="paragraph" w:styleId="Continuarlista4">
    <w:name w:val="List Continue 4"/>
    <w:basedOn w:val="Normal"/>
    <w:uiPriority w:val="99"/>
    <w:semiHidden/>
    <w:unhideWhenUsed/>
    <w:rsid w:val="0003148D"/>
    <w:pPr>
      <w:spacing w:after="120"/>
      <w:ind w:left="1132"/>
      <w:contextualSpacing/>
    </w:pPr>
  </w:style>
  <w:style w:type="paragraph" w:styleId="Continuarlista5">
    <w:name w:val="List Continue 5"/>
    <w:basedOn w:val="Normal"/>
    <w:uiPriority w:val="99"/>
    <w:semiHidden/>
    <w:unhideWhenUsed/>
    <w:rsid w:val="0003148D"/>
    <w:pPr>
      <w:spacing w:after="120"/>
      <w:ind w:left="1415"/>
      <w:contextualSpacing/>
    </w:pPr>
  </w:style>
  <w:style w:type="paragraph" w:styleId="Firma">
    <w:name w:val="Signature"/>
    <w:basedOn w:val="Normal"/>
    <w:link w:val="FirmaCar"/>
    <w:uiPriority w:val="99"/>
    <w:semiHidden/>
    <w:unhideWhenUsed/>
    <w:rsid w:val="0003148D"/>
    <w:pPr>
      <w:spacing w:line="240" w:lineRule="auto"/>
      <w:ind w:left="4252"/>
    </w:pPr>
  </w:style>
  <w:style w:type="character" w:customStyle="1" w:styleId="FirmaCar">
    <w:name w:val="Firma Car"/>
    <w:basedOn w:val="Fuentedeprrafopredeter"/>
    <w:link w:val="Firma"/>
    <w:uiPriority w:val="99"/>
    <w:semiHidden/>
    <w:rsid w:val="0003148D"/>
  </w:style>
  <w:style w:type="paragraph" w:styleId="Firmadecorreoelectrnico">
    <w:name w:val="E-mail Signature"/>
    <w:basedOn w:val="Normal"/>
    <w:link w:val="FirmadecorreoelectrnicoCar"/>
    <w:uiPriority w:val="99"/>
    <w:semiHidden/>
    <w:unhideWhenUsed/>
    <w:rsid w:val="0003148D"/>
    <w:pPr>
      <w:spacing w:line="240" w:lineRule="auto"/>
    </w:pPr>
  </w:style>
  <w:style w:type="character" w:customStyle="1" w:styleId="FirmadecorreoelectrnicoCar">
    <w:name w:val="Firma de correo electrónico Car"/>
    <w:basedOn w:val="Fuentedeprrafopredeter"/>
    <w:link w:val="Firmadecorreoelectrnico"/>
    <w:uiPriority w:val="99"/>
    <w:semiHidden/>
    <w:rsid w:val="0003148D"/>
  </w:style>
  <w:style w:type="paragraph" w:styleId="Saludo">
    <w:name w:val="Salutation"/>
    <w:basedOn w:val="Normal"/>
    <w:next w:val="Normal"/>
    <w:link w:val="SaludoCar"/>
    <w:uiPriority w:val="99"/>
    <w:semiHidden/>
    <w:unhideWhenUsed/>
    <w:rsid w:val="0003148D"/>
  </w:style>
  <w:style w:type="character" w:customStyle="1" w:styleId="SaludoCar">
    <w:name w:val="Saludo Car"/>
    <w:basedOn w:val="Fuentedeprrafopredeter"/>
    <w:link w:val="Saludo"/>
    <w:uiPriority w:val="99"/>
    <w:semiHidden/>
    <w:rsid w:val="0003148D"/>
  </w:style>
  <w:style w:type="paragraph" w:styleId="Cierre">
    <w:name w:val="Closing"/>
    <w:basedOn w:val="Normal"/>
    <w:link w:val="CierreCar"/>
    <w:uiPriority w:val="99"/>
    <w:semiHidden/>
    <w:unhideWhenUsed/>
    <w:rsid w:val="0003148D"/>
    <w:pPr>
      <w:spacing w:line="240" w:lineRule="auto"/>
      <w:ind w:left="4252"/>
    </w:pPr>
  </w:style>
  <w:style w:type="character" w:customStyle="1" w:styleId="CierreCar">
    <w:name w:val="Cierre Car"/>
    <w:basedOn w:val="Fuentedeprrafopredeter"/>
    <w:link w:val="Cierre"/>
    <w:uiPriority w:val="99"/>
    <w:semiHidden/>
    <w:rsid w:val="0003148D"/>
  </w:style>
  <w:style w:type="paragraph" w:styleId="ndice1">
    <w:name w:val="index 1"/>
    <w:basedOn w:val="Normal"/>
    <w:next w:val="Normal"/>
    <w:autoRedefine/>
    <w:uiPriority w:val="99"/>
    <w:semiHidden/>
    <w:unhideWhenUsed/>
    <w:rsid w:val="0003148D"/>
    <w:pPr>
      <w:spacing w:line="240" w:lineRule="auto"/>
      <w:ind w:left="220" w:hanging="220"/>
    </w:pPr>
  </w:style>
  <w:style w:type="paragraph" w:styleId="ndice2">
    <w:name w:val="index 2"/>
    <w:basedOn w:val="Normal"/>
    <w:next w:val="Normal"/>
    <w:autoRedefine/>
    <w:uiPriority w:val="99"/>
    <w:semiHidden/>
    <w:unhideWhenUsed/>
    <w:rsid w:val="0003148D"/>
    <w:pPr>
      <w:spacing w:line="240" w:lineRule="auto"/>
      <w:ind w:left="440" w:hanging="220"/>
    </w:pPr>
  </w:style>
  <w:style w:type="paragraph" w:styleId="ndice3">
    <w:name w:val="index 3"/>
    <w:basedOn w:val="Normal"/>
    <w:next w:val="Normal"/>
    <w:autoRedefine/>
    <w:uiPriority w:val="99"/>
    <w:semiHidden/>
    <w:unhideWhenUsed/>
    <w:rsid w:val="0003148D"/>
    <w:pPr>
      <w:spacing w:line="240" w:lineRule="auto"/>
      <w:ind w:left="660" w:hanging="220"/>
    </w:pPr>
  </w:style>
  <w:style w:type="paragraph" w:styleId="ndice4">
    <w:name w:val="index 4"/>
    <w:basedOn w:val="Normal"/>
    <w:next w:val="Normal"/>
    <w:autoRedefine/>
    <w:uiPriority w:val="99"/>
    <w:semiHidden/>
    <w:unhideWhenUsed/>
    <w:rsid w:val="0003148D"/>
    <w:pPr>
      <w:spacing w:line="240" w:lineRule="auto"/>
      <w:ind w:left="880" w:hanging="220"/>
    </w:pPr>
  </w:style>
  <w:style w:type="paragraph" w:styleId="ndice5">
    <w:name w:val="index 5"/>
    <w:basedOn w:val="Normal"/>
    <w:next w:val="Normal"/>
    <w:autoRedefine/>
    <w:uiPriority w:val="99"/>
    <w:semiHidden/>
    <w:unhideWhenUsed/>
    <w:rsid w:val="0003148D"/>
    <w:pPr>
      <w:spacing w:line="240" w:lineRule="auto"/>
      <w:ind w:left="1100" w:hanging="220"/>
    </w:pPr>
  </w:style>
  <w:style w:type="paragraph" w:styleId="ndice6">
    <w:name w:val="index 6"/>
    <w:basedOn w:val="Normal"/>
    <w:next w:val="Normal"/>
    <w:autoRedefine/>
    <w:uiPriority w:val="99"/>
    <w:semiHidden/>
    <w:unhideWhenUsed/>
    <w:rsid w:val="0003148D"/>
    <w:pPr>
      <w:spacing w:line="240" w:lineRule="auto"/>
      <w:ind w:left="1320" w:hanging="220"/>
    </w:pPr>
  </w:style>
  <w:style w:type="paragraph" w:styleId="ndice7">
    <w:name w:val="index 7"/>
    <w:basedOn w:val="Normal"/>
    <w:next w:val="Normal"/>
    <w:autoRedefine/>
    <w:uiPriority w:val="99"/>
    <w:semiHidden/>
    <w:unhideWhenUsed/>
    <w:rsid w:val="0003148D"/>
    <w:pPr>
      <w:spacing w:line="240" w:lineRule="auto"/>
      <w:ind w:left="1540" w:hanging="220"/>
    </w:pPr>
  </w:style>
  <w:style w:type="paragraph" w:styleId="ndice8">
    <w:name w:val="index 8"/>
    <w:basedOn w:val="Normal"/>
    <w:next w:val="Normal"/>
    <w:autoRedefine/>
    <w:uiPriority w:val="99"/>
    <w:semiHidden/>
    <w:unhideWhenUsed/>
    <w:rsid w:val="0003148D"/>
    <w:pPr>
      <w:spacing w:line="240" w:lineRule="auto"/>
      <w:ind w:left="1760" w:hanging="220"/>
    </w:pPr>
  </w:style>
  <w:style w:type="paragraph" w:styleId="ndice9">
    <w:name w:val="index 9"/>
    <w:basedOn w:val="Normal"/>
    <w:next w:val="Normal"/>
    <w:autoRedefine/>
    <w:uiPriority w:val="99"/>
    <w:semiHidden/>
    <w:unhideWhenUsed/>
    <w:rsid w:val="0003148D"/>
    <w:pPr>
      <w:spacing w:line="240" w:lineRule="auto"/>
      <w:ind w:left="1980" w:hanging="220"/>
    </w:pPr>
  </w:style>
  <w:style w:type="paragraph" w:styleId="Tabladeilustraciones">
    <w:name w:val="table of figures"/>
    <w:basedOn w:val="Normal"/>
    <w:next w:val="Normal"/>
    <w:uiPriority w:val="99"/>
    <w:semiHidden/>
    <w:unhideWhenUsed/>
    <w:rsid w:val="0003148D"/>
  </w:style>
  <w:style w:type="paragraph" w:styleId="Textoconsangra">
    <w:name w:val="table of authorities"/>
    <w:basedOn w:val="Normal"/>
    <w:next w:val="Normal"/>
    <w:uiPriority w:val="99"/>
    <w:semiHidden/>
    <w:unhideWhenUsed/>
    <w:rsid w:val="0003148D"/>
    <w:pPr>
      <w:ind w:left="220" w:hanging="220"/>
    </w:pPr>
  </w:style>
  <w:style w:type="paragraph" w:styleId="Direccinsobre">
    <w:name w:val="envelope address"/>
    <w:basedOn w:val="Normal"/>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DireccinHTML">
    <w:name w:val="HTML Address"/>
    <w:basedOn w:val="Normal"/>
    <w:link w:val="DireccinHTMLCar"/>
    <w:uiPriority w:val="99"/>
    <w:semiHidden/>
    <w:unhideWhenUsed/>
    <w:rsid w:val="0003148D"/>
    <w:pPr>
      <w:spacing w:line="240" w:lineRule="auto"/>
    </w:pPr>
    <w:rPr>
      <w:i/>
      <w:iCs/>
    </w:rPr>
  </w:style>
  <w:style w:type="character" w:customStyle="1" w:styleId="DireccinHTMLCar">
    <w:name w:val="Dirección HTML Car"/>
    <w:basedOn w:val="Fuentedeprrafopredeter"/>
    <w:link w:val="DireccinHTML"/>
    <w:uiPriority w:val="99"/>
    <w:semiHidden/>
    <w:rsid w:val="0003148D"/>
    <w:rPr>
      <w:i/>
      <w:iCs/>
    </w:rPr>
  </w:style>
  <w:style w:type="paragraph" w:styleId="Remitedesobre">
    <w:name w:val="envelope return"/>
    <w:basedOn w:val="Normal"/>
    <w:uiPriority w:val="99"/>
    <w:semiHidden/>
    <w:unhideWhenUsed/>
    <w:rsid w:val="0003148D"/>
    <w:pPr>
      <w:spacing w:line="240" w:lineRule="auto"/>
    </w:pPr>
    <w:rPr>
      <w:rFonts w:asciiTheme="majorHAnsi" w:eastAsiaTheme="majorEastAsia" w:hAnsiTheme="majorHAnsi" w:cstheme="majorBidi"/>
    </w:rPr>
  </w:style>
  <w:style w:type="paragraph" w:styleId="Encabezadodemensaje">
    <w:name w:val="Message Header"/>
    <w:basedOn w:val="Normal"/>
    <w:link w:val="EncabezadodemensajeCar"/>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EncabezadodemensajeCar">
    <w:name w:val="Encabezado de mensaje Car"/>
    <w:basedOn w:val="Fuentedeprrafopredeter"/>
    <w:link w:val="Encabezadodemensaje"/>
    <w:uiPriority w:val="99"/>
    <w:semiHidden/>
    <w:rsid w:val="0003148D"/>
    <w:rPr>
      <w:rFonts w:asciiTheme="majorHAnsi" w:eastAsiaTheme="majorEastAsia" w:hAnsiTheme="majorHAnsi" w:cstheme="majorBidi"/>
      <w:sz w:val="24"/>
      <w:szCs w:val="24"/>
      <w:shd w:val="pct20" w:color="auto" w:fill="auto"/>
    </w:rPr>
  </w:style>
  <w:style w:type="paragraph" w:styleId="Encabezadodenota">
    <w:name w:val="Note Heading"/>
    <w:basedOn w:val="Normal"/>
    <w:next w:val="Normal"/>
    <w:link w:val="EncabezadodenotaCar"/>
    <w:uiPriority w:val="99"/>
    <w:semiHidden/>
    <w:unhideWhenUsed/>
    <w:rsid w:val="0003148D"/>
    <w:pPr>
      <w:spacing w:line="240" w:lineRule="auto"/>
    </w:pPr>
  </w:style>
  <w:style w:type="character" w:customStyle="1" w:styleId="EncabezadodenotaCar">
    <w:name w:val="Encabezado de nota Car"/>
    <w:basedOn w:val="Fuentedeprrafopredeter"/>
    <w:link w:val="Encabezadodenota"/>
    <w:uiPriority w:val="99"/>
    <w:semiHidden/>
    <w:rsid w:val="0003148D"/>
  </w:style>
  <w:style w:type="paragraph" w:styleId="Mapadeldocumento">
    <w:name w:val="Document Map"/>
    <w:basedOn w:val="Normal"/>
    <w:link w:val="MapadeldocumentoCar"/>
    <w:uiPriority w:val="99"/>
    <w:semiHidden/>
    <w:unhideWhenUsed/>
    <w:rsid w:val="0003148D"/>
    <w:pPr>
      <w:spacing w:line="240" w:lineRule="auto"/>
    </w:pPr>
    <w:rPr>
      <w:rFonts w:ascii="Tahoma" w:hAnsi="Tahoma" w:cs="Tahoma"/>
      <w:sz w:val="16"/>
      <w:szCs w:val="16"/>
    </w:rPr>
  </w:style>
  <w:style w:type="character" w:customStyle="1" w:styleId="MapadeldocumentoCar">
    <w:name w:val="Mapa del documento Car"/>
    <w:basedOn w:val="Fuentedeprrafopredeter"/>
    <w:link w:val="Mapadeldocumento"/>
    <w:uiPriority w:val="99"/>
    <w:semiHidden/>
    <w:rsid w:val="0003148D"/>
    <w:rPr>
      <w:rFonts w:ascii="Tahoma" w:hAnsi="Tahoma" w:cs="Tahoma"/>
      <w:sz w:val="16"/>
      <w:szCs w:val="16"/>
    </w:rPr>
  </w:style>
  <w:style w:type="paragraph" w:styleId="NormalWeb">
    <w:name w:val="Normal (Web)"/>
    <w:basedOn w:val="Normal"/>
    <w:uiPriority w:val="99"/>
    <w:semiHidden/>
    <w:unhideWhenUsed/>
    <w:rsid w:val="0003148D"/>
    <w:rPr>
      <w:sz w:val="24"/>
      <w:szCs w:val="24"/>
    </w:rPr>
  </w:style>
  <w:style w:type="paragraph" w:styleId="Listaconnmeros">
    <w:name w:val="List Number"/>
    <w:basedOn w:val="Normal"/>
    <w:uiPriority w:val="99"/>
    <w:semiHidden/>
    <w:unhideWhenUsed/>
    <w:rsid w:val="0003148D"/>
    <w:pPr>
      <w:numPr>
        <w:numId w:val="2"/>
      </w:numPr>
      <w:contextualSpacing/>
    </w:pPr>
  </w:style>
  <w:style w:type="paragraph" w:styleId="Listaconnmeros2">
    <w:name w:val="List Number 2"/>
    <w:basedOn w:val="Normal"/>
    <w:uiPriority w:val="99"/>
    <w:semiHidden/>
    <w:unhideWhenUsed/>
    <w:rsid w:val="0003148D"/>
    <w:pPr>
      <w:numPr>
        <w:numId w:val="3"/>
      </w:numPr>
      <w:contextualSpacing/>
    </w:pPr>
  </w:style>
  <w:style w:type="paragraph" w:styleId="Listaconnmeros3">
    <w:name w:val="List Number 3"/>
    <w:basedOn w:val="Normal"/>
    <w:uiPriority w:val="99"/>
    <w:semiHidden/>
    <w:unhideWhenUsed/>
    <w:rsid w:val="0003148D"/>
    <w:pPr>
      <w:numPr>
        <w:numId w:val="4"/>
      </w:numPr>
      <w:contextualSpacing/>
    </w:pPr>
  </w:style>
  <w:style w:type="paragraph" w:styleId="Listaconnmeros4">
    <w:name w:val="List Number 4"/>
    <w:basedOn w:val="Normal"/>
    <w:uiPriority w:val="99"/>
    <w:semiHidden/>
    <w:unhideWhenUsed/>
    <w:rsid w:val="0003148D"/>
    <w:pPr>
      <w:numPr>
        <w:numId w:val="5"/>
      </w:numPr>
      <w:contextualSpacing/>
    </w:pPr>
  </w:style>
  <w:style w:type="paragraph" w:styleId="Listaconnmeros5">
    <w:name w:val="List Number 5"/>
    <w:basedOn w:val="Normal"/>
    <w:uiPriority w:val="99"/>
    <w:semiHidden/>
    <w:unhideWhenUsed/>
    <w:rsid w:val="0003148D"/>
    <w:pPr>
      <w:numPr>
        <w:numId w:val="6"/>
      </w:numPr>
      <w:contextualSpacing/>
    </w:pPr>
  </w:style>
  <w:style w:type="paragraph" w:styleId="HTMLconformatoprevio">
    <w:name w:val="HTML Preformatted"/>
    <w:basedOn w:val="Normal"/>
    <w:link w:val="HTMLconformatoprevioCar"/>
    <w:uiPriority w:val="99"/>
    <w:semiHidden/>
    <w:unhideWhenUsed/>
    <w:rsid w:val="0003148D"/>
    <w:pPr>
      <w:spacing w:line="240" w:lineRule="auto"/>
    </w:pPr>
    <w:rPr>
      <w:rFonts w:ascii="Consolas" w:hAnsi="Consolas" w:cs="Consolas"/>
    </w:rPr>
  </w:style>
  <w:style w:type="character" w:customStyle="1" w:styleId="HTMLconformatoprevioCar">
    <w:name w:val="HTML con formato previo Car"/>
    <w:basedOn w:val="Fuentedeprrafopredeter"/>
    <w:link w:val="HTMLconformatoprevio"/>
    <w:uiPriority w:val="99"/>
    <w:semiHidden/>
    <w:rsid w:val="0003148D"/>
    <w:rPr>
      <w:rFonts w:ascii="Consolas" w:hAnsi="Consolas" w:cs="Consolas"/>
      <w:sz w:val="20"/>
      <w:szCs w:val="20"/>
    </w:rPr>
  </w:style>
  <w:style w:type="paragraph" w:styleId="Textoindependienteprimerasangra">
    <w:name w:val="Body Text First Indent"/>
    <w:basedOn w:val="Textoindependiente"/>
    <w:link w:val="TextoindependienteprimerasangraCar"/>
    <w:uiPriority w:val="99"/>
    <w:semiHidden/>
    <w:unhideWhenUsed/>
    <w:rsid w:val="0003148D"/>
    <w:pPr>
      <w:spacing w:after="200"/>
      <w:ind w:firstLine="360"/>
    </w:pPr>
  </w:style>
  <w:style w:type="character" w:customStyle="1" w:styleId="TextoindependienteprimerasangraCar">
    <w:name w:val="Texto independiente primera sangría Car"/>
    <w:basedOn w:val="TextoindependienteCar"/>
    <w:link w:val="Textoindependienteprimerasangra"/>
    <w:uiPriority w:val="99"/>
    <w:semiHidden/>
    <w:rsid w:val="0003148D"/>
  </w:style>
  <w:style w:type="paragraph" w:styleId="Sangradetextonormal">
    <w:name w:val="Body Text Indent"/>
    <w:basedOn w:val="Normal"/>
    <w:link w:val="SangradetextonormalCar"/>
    <w:uiPriority w:val="99"/>
    <w:semiHidden/>
    <w:unhideWhenUsed/>
    <w:rsid w:val="0003148D"/>
    <w:pPr>
      <w:spacing w:after="120"/>
      <w:ind w:left="283"/>
    </w:pPr>
  </w:style>
  <w:style w:type="character" w:customStyle="1" w:styleId="SangradetextonormalCar">
    <w:name w:val="Sangría de texto normal Car"/>
    <w:basedOn w:val="Fuentedeprrafopredeter"/>
    <w:link w:val="Sangradetextonormal"/>
    <w:uiPriority w:val="99"/>
    <w:semiHidden/>
    <w:rsid w:val="0003148D"/>
  </w:style>
  <w:style w:type="paragraph" w:styleId="Textoindependienteprimerasangra2">
    <w:name w:val="Body Text First Indent 2"/>
    <w:basedOn w:val="Sangradetextonormal"/>
    <w:link w:val="Textoindependienteprimerasangra2Car"/>
    <w:uiPriority w:val="99"/>
    <w:semiHidden/>
    <w:unhideWhenUsed/>
    <w:rsid w:val="0003148D"/>
    <w:pPr>
      <w:spacing w:after="200"/>
      <w:ind w:left="360" w:firstLine="360"/>
    </w:pPr>
  </w:style>
  <w:style w:type="character" w:customStyle="1" w:styleId="Textoindependienteprimerasangra2Car">
    <w:name w:val="Texto independiente primera sangría 2 Car"/>
    <w:basedOn w:val="SangradetextonormalCar"/>
    <w:link w:val="Textoindependienteprimerasangra2"/>
    <w:uiPriority w:val="99"/>
    <w:semiHidden/>
    <w:rsid w:val="0003148D"/>
  </w:style>
  <w:style w:type="paragraph" w:styleId="Listaconvietas">
    <w:name w:val="List Bullet"/>
    <w:basedOn w:val="Normal"/>
    <w:uiPriority w:val="99"/>
    <w:semiHidden/>
    <w:unhideWhenUsed/>
    <w:rsid w:val="0003148D"/>
    <w:pPr>
      <w:numPr>
        <w:numId w:val="7"/>
      </w:numPr>
      <w:contextualSpacing/>
    </w:pPr>
  </w:style>
  <w:style w:type="paragraph" w:styleId="Listaconvietas2">
    <w:name w:val="List Bullet 2"/>
    <w:basedOn w:val="Normal"/>
    <w:uiPriority w:val="99"/>
    <w:semiHidden/>
    <w:unhideWhenUsed/>
    <w:rsid w:val="0003148D"/>
    <w:pPr>
      <w:numPr>
        <w:numId w:val="8"/>
      </w:numPr>
      <w:contextualSpacing/>
    </w:pPr>
  </w:style>
  <w:style w:type="paragraph" w:styleId="Listaconvietas3">
    <w:name w:val="List Bullet 3"/>
    <w:basedOn w:val="Normal"/>
    <w:uiPriority w:val="99"/>
    <w:semiHidden/>
    <w:unhideWhenUsed/>
    <w:rsid w:val="0003148D"/>
    <w:pPr>
      <w:numPr>
        <w:numId w:val="9"/>
      </w:numPr>
      <w:contextualSpacing/>
    </w:pPr>
  </w:style>
  <w:style w:type="paragraph" w:styleId="Listaconvietas4">
    <w:name w:val="List Bullet 4"/>
    <w:basedOn w:val="Normal"/>
    <w:uiPriority w:val="99"/>
    <w:semiHidden/>
    <w:unhideWhenUsed/>
    <w:rsid w:val="0003148D"/>
    <w:pPr>
      <w:numPr>
        <w:numId w:val="10"/>
      </w:numPr>
      <w:contextualSpacing/>
    </w:pPr>
  </w:style>
  <w:style w:type="paragraph" w:styleId="Listaconvietas5">
    <w:name w:val="List Bullet 5"/>
    <w:basedOn w:val="Normal"/>
    <w:uiPriority w:val="99"/>
    <w:semiHidden/>
    <w:unhideWhenUsed/>
    <w:rsid w:val="0003148D"/>
    <w:pPr>
      <w:numPr>
        <w:numId w:val="11"/>
      </w:numPr>
      <w:contextualSpacing/>
    </w:pPr>
  </w:style>
  <w:style w:type="paragraph" w:styleId="Sangra2detindependiente">
    <w:name w:val="Body Text Indent 2"/>
    <w:basedOn w:val="Normal"/>
    <w:link w:val="Sangra2detindependienteCar"/>
    <w:uiPriority w:val="99"/>
    <w:semiHidden/>
    <w:unhideWhenUsed/>
    <w:rsid w:val="0003148D"/>
    <w:pPr>
      <w:spacing w:after="120" w:line="480" w:lineRule="auto"/>
      <w:ind w:left="283"/>
    </w:pPr>
  </w:style>
  <w:style w:type="character" w:customStyle="1" w:styleId="Sangra2detindependienteCar">
    <w:name w:val="Sangría 2 de t. independiente Car"/>
    <w:basedOn w:val="Fuentedeprrafopredeter"/>
    <w:link w:val="Sangra2detindependiente"/>
    <w:uiPriority w:val="99"/>
    <w:semiHidden/>
    <w:rsid w:val="0003148D"/>
  </w:style>
  <w:style w:type="paragraph" w:styleId="Sangra3detindependiente">
    <w:name w:val="Body Text Indent 3"/>
    <w:basedOn w:val="Normal"/>
    <w:link w:val="Sangra3detindependienteCar"/>
    <w:uiPriority w:val="99"/>
    <w:semiHidden/>
    <w:unhideWhenUsed/>
    <w:rsid w:val="0003148D"/>
    <w:pPr>
      <w:spacing w:after="120"/>
      <w:ind w:left="283"/>
    </w:pPr>
    <w:rPr>
      <w:sz w:val="16"/>
      <w:szCs w:val="16"/>
    </w:rPr>
  </w:style>
  <w:style w:type="character" w:customStyle="1" w:styleId="Sangra3detindependienteCar">
    <w:name w:val="Sangría 3 de t. independiente Car"/>
    <w:basedOn w:val="Fuentedeprrafopredeter"/>
    <w:link w:val="Sangra3detindependiente"/>
    <w:uiPriority w:val="99"/>
    <w:semiHidden/>
    <w:rsid w:val="0003148D"/>
    <w:rPr>
      <w:sz w:val="16"/>
      <w:szCs w:val="16"/>
    </w:rPr>
  </w:style>
  <w:style w:type="paragraph" w:styleId="Sangranormal">
    <w:name w:val="Normal Indent"/>
    <w:basedOn w:val="Normal"/>
    <w:uiPriority w:val="99"/>
    <w:semiHidden/>
    <w:unhideWhenUsed/>
    <w:rsid w:val="0003148D"/>
    <w:pPr>
      <w:ind w:left="720"/>
    </w:pPr>
  </w:style>
  <w:style w:type="paragraph" w:styleId="Textocomentario">
    <w:name w:val="annotation text"/>
    <w:basedOn w:val="Normal"/>
    <w:link w:val="TextocomentarioCar"/>
    <w:uiPriority w:val="99"/>
    <w:unhideWhenUsed/>
    <w:rsid w:val="0003148D"/>
    <w:pPr>
      <w:spacing w:line="240" w:lineRule="auto"/>
    </w:pPr>
  </w:style>
  <w:style w:type="character" w:customStyle="1" w:styleId="TextocomentarioCar">
    <w:name w:val="Texto comentario Car"/>
    <w:basedOn w:val="Fuentedeprrafopredeter"/>
    <w:link w:val="Textocomentario"/>
    <w:uiPriority w:val="99"/>
    <w:rsid w:val="0003148D"/>
    <w:rPr>
      <w:sz w:val="20"/>
      <w:szCs w:val="20"/>
    </w:rPr>
  </w:style>
  <w:style w:type="paragraph" w:styleId="Asuntodelcomentario">
    <w:name w:val="annotation subject"/>
    <w:basedOn w:val="Textocomentario"/>
    <w:next w:val="Textocomentario"/>
    <w:link w:val="AsuntodelcomentarioCar"/>
    <w:uiPriority w:val="99"/>
    <w:semiHidden/>
    <w:unhideWhenUsed/>
    <w:rsid w:val="0003148D"/>
    <w:rPr>
      <w:b/>
      <w:bCs/>
    </w:rPr>
  </w:style>
  <w:style w:type="character" w:customStyle="1" w:styleId="AsuntodelcomentarioCar">
    <w:name w:val="Asunto del comentario Car"/>
    <w:basedOn w:val="TextocomentarioCar"/>
    <w:link w:val="Asuntodelcomentario"/>
    <w:uiPriority w:val="99"/>
    <w:semiHidden/>
    <w:rsid w:val="0003148D"/>
    <w:rPr>
      <w:b/>
      <w:bCs/>
      <w:sz w:val="20"/>
      <w:szCs w:val="20"/>
    </w:rPr>
  </w:style>
  <w:style w:type="paragraph" w:styleId="TDC1">
    <w:name w:val="toc 1"/>
    <w:basedOn w:val="Normal"/>
    <w:next w:val="Normal"/>
    <w:autoRedefine/>
    <w:uiPriority w:val="39"/>
    <w:semiHidden/>
    <w:unhideWhenUsed/>
    <w:rsid w:val="0003148D"/>
    <w:pPr>
      <w:spacing w:after="100"/>
    </w:pPr>
  </w:style>
  <w:style w:type="paragraph" w:styleId="TDC2">
    <w:name w:val="toc 2"/>
    <w:basedOn w:val="Normal"/>
    <w:next w:val="Normal"/>
    <w:autoRedefine/>
    <w:uiPriority w:val="39"/>
    <w:semiHidden/>
    <w:unhideWhenUsed/>
    <w:rsid w:val="0003148D"/>
    <w:pPr>
      <w:spacing w:after="100"/>
      <w:ind w:left="220"/>
    </w:pPr>
  </w:style>
  <w:style w:type="paragraph" w:styleId="TDC3">
    <w:name w:val="toc 3"/>
    <w:basedOn w:val="Normal"/>
    <w:next w:val="Normal"/>
    <w:autoRedefine/>
    <w:uiPriority w:val="39"/>
    <w:semiHidden/>
    <w:unhideWhenUsed/>
    <w:rsid w:val="0003148D"/>
    <w:pPr>
      <w:spacing w:after="100"/>
      <w:ind w:left="440"/>
    </w:pPr>
  </w:style>
  <w:style w:type="paragraph" w:styleId="TDC4">
    <w:name w:val="toc 4"/>
    <w:basedOn w:val="Normal"/>
    <w:next w:val="Normal"/>
    <w:autoRedefine/>
    <w:uiPriority w:val="39"/>
    <w:semiHidden/>
    <w:unhideWhenUsed/>
    <w:rsid w:val="0003148D"/>
    <w:pPr>
      <w:spacing w:after="100"/>
      <w:ind w:left="660"/>
    </w:pPr>
  </w:style>
  <w:style w:type="paragraph" w:styleId="TDC5">
    <w:name w:val="toc 5"/>
    <w:basedOn w:val="Normal"/>
    <w:next w:val="Normal"/>
    <w:autoRedefine/>
    <w:uiPriority w:val="39"/>
    <w:semiHidden/>
    <w:unhideWhenUsed/>
    <w:rsid w:val="0003148D"/>
    <w:pPr>
      <w:spacing w:after="100"/>
      <w:ind w:left="880"/>
    </w:pPr>
  </w:style>
  <w:style w:type="paragraph" w:styleId="TDC6">
    <w:name w:val="toc 6"/>
    <w:basedOn w:val="Normal"/>
    <w:next w:val="Normal"/>
    <w:autoRedefine/>
    <w:uiPriority w:val="39"/>
    <w:semiHidden/>
    <w:unhideWhenUsed/>
    <w:rsid w:val="0003148D"/>
    <w:pPr>
      <w:spacing w:after="100"/>
      <w:ind w:left="1100"/>
    </w:pPr>
  </w:style>
  <w:style w:type="paragraph" w:styleId="TDC7">
    <w:name w:val="toc 7"/>
    <w:basedOn w:val="Normal"/>
    <w:next w:val="Normal"/>
    <w:autoRedefine/>
    <w:uiPriority w:val="39"/>
    <w:semiHidden/>
    <w:unhideWhenUsed/>
    <w:rsid w:val="0003148D"/>
    <w:pPr>
      <w:spacing w:after="100"/>
      <w:ind w:left="1320"/>
    </w:pPr>
  </w:style>
  <w:style w:type="paragraph" w:styleId="TDC8">
    <w:name w:val="toc 8"/>
    <w:basedOn w:val="Normal"/>
    <w:next w:val="Normal"/>
    <w:autoRedefine/>
    <w:uiPriority w:val="39"/>
    <w:semiHidden/>
    <w:unhideWhenUsed/>
    <w:rsid w:val="0003148D"/>
    <w:pPr>
      <w:spacing w:after="100"/>
      <w:ind w:left="1540"/>
    </w:pPr>
  </w:style>
  <w:style w:type="paragraph" w:styleId="TDC9">
    <w:name w:val="toc 9"/>
    <w:basedOn w:val="Normal"/>
    <w:next w:val="Normal"/>
    <w:autoRedefine/>
    <w:uiPriority w:val="39"/>
    <w:semiHidden/>
    <w:unhideWhenUsed/>
    <w:rsid w:val="0003148D"/>
    <w:pPr>
      <w:spacing w:after="100"/>
      <w:ind w:left="1760"/>
    </w:pPr>
  </w:style>
  <w:style w:type="paragraph" w:styleId="Textodebloque">
    <w:name w:val="Block Text"/>
    <w:basedOn w:val="Normal"/>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Textomacro">
    <w:name w:val="macro"/>
    <w:link w:val="TextomacroCar"/>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TextomacroCar">
    <w:name w:val="Texto macro Car"/>
    <w:basedOn w:val="Fuentedeprrafopredeter"/>
    <w:link w:val="Textomacro"/>
    <w:uiPriority w:val="99"/>
    <w:semiHidden/>
    <w:rsid w:val="0003148D"/>
    <w:rPr>
      <w:rFonts w:ascii="Consolas" w:hAnsi="Consolas" w:cs="Consolas"/>
      <w:sz w:val="20"/>
      <w:szCs w:val="20"/>
    </w:rPr>
  </w:style>
  <w:style w:type="paragraph" w:styleId="Textosinformato">
    <w:name w:val="Plain Text"/>
    <w:basedOn w:val="Normal"/>
    <w:link w:val="TextosinformatoCar"/>
    <w:uiPriority w:val="99"/>
    <w:semiHidden/>
    <w:unhideWhenUsed/>
    <w:rsid w:val="0003148D"/>
    <w:pPr>
      <w:spacing w:line="240" w:lineRule="auto"/>
    </w:pPr>
    <w:rPr>
      <w:rFonts w:ascii="Consolas" w:hAnsi="Consolas" w:cs="Consolas"/>
      <w:sz w:val="21"/>
      <w:szCs w:val="21"/>
    </w:rPr>
  </w:style>
  <w:style w:type="character" w:customStyle="1" w:styleId="TextosinformatoCar">
    <w:name w:val="Texto sin formato Car"/>
    <w:basedOn w:val="Fuentedeprrafopredeter"/>
    <w:link w:val="Textosinformato"/>
    <w:uiPriority w:val="99"/>
    <w:semiHidden/>
    <w:rsid w:val="0003148D"/>
    <w:rPr>
      <w:rFonts w:ascii="Consolas" w:hAnsi="Consolas" w:cs="Consolas"/>
      <w:sz w:val="21"/>
      <w:szCs w:val="21"/>
    </w:rPr>
  </w:style>
  <w:style w:type="paragraph" w:styleId="Textonotapie">
    <w:name w:val="footnote text"/>
    <w:basedOn w:val="Normal"/>
    <w:link w:val="TextonotapieCar"/>
    <w:uiPriority w:val="99"/>
    <w:semiHidden/>
    <w:unhideWhenUsed/>
    <w:rsid w:val="0003148D"/>
    <w:pPr>
      <w:spacing w:line="240" w:lineRule="auto"/>
    </w:pPr>
  </w:style>
  <w:style w:type="character" w:customStyle="1" w:styleId="TextonotapieCar">
    <w:name w:val="Texto nota pie Car"/>
    <w:basedOn w:val="Fuentedeprrafopredeter"/>
    <w:link w:val="Textonotapie"/>
    <w:uiPriority w:val="99"/>
    <w:semiHidden/>
    <w:rsid w:val="0003148D"/>
    <w:rPr>
      <w:sz w:val="20"/>
      <w:szCs w:val="20"/>
    </w:rPr>
  </w:style>
  <w:style w:type="paragraph" w:styleId="Textonotaalfinal">
    <w:name w:val="endnote text"/>
    <w:basedOn w:val="Normal"/>
    <w:link w:val="TextonotaalfinalCar"/>
    <w:uiPriority w:val="99"/>
    <w:semiHidden/>
    <w:unhideWhenUsed/>
    <w:rsid w:val="0003148D"/>
    <w:pPr>
      <w:spacing w:line="240" w:lineRule="auto"/>
    </w:pPr>
  </w:style>
  <w:style w:type="character" w:customStyle="1" w:styleId="TextonotaalfinalCar">
    <w:name w:val="Texto nota al final Car"/>
    <w:basedOn w:val="Fuentedeprrafopredeter"/>
    <w:link w:val="Textonotaalfinal"/>
    <w:uiPriority w:val="99"/>
    <w:semiHidden/>
    <w:rsid w:val="0003148D"/>
    <w:rPr>
      <w:sz w:val="20"/>
      <w:szCs w:val="20"/>
    </w:rPr>
  </w:style>
  <w:style w:type="character" w:customStyle="1" w:styleId="Ttulo1Car">
    <w:name w:val="Título 1 Car"/>
    <w:basedOn w:val="Fuentedeprrafopredeter"/>
    <w:link w:val="Ttulo1"/>
    <w:uiPriority w:val="9"/>
    <w:rsid w:val="004F5E36"/>
    <w:rPr>
      <w:rFonts w:ascii="Arial" w:eastAsia="Times New Roman" w:hAnsi="Arial" w:cs="Times New Roman"/>
      <w:b/>
      <w:sz w:val="20"/>
      <w:szCs w:val="20"/>
      <w:lang w:val="en-GB"/>
    </w:rPr>
  </w:style>
  <w:style w:type="character" w:customStyle="1" w:styleId="Ttulo2Car">
    <w:name w:val="Título 2 Car"/>
    <w:basedOn w:val="Fuentedeprrafopredeter"/>
    <w:link w:val="Ttulo2"/>
    <w:uiPriority w:val="9"/>
    <w:semiHidden/>
    <w:rsid w:val="0003148D"/>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uiPriority w:val="9"/>
    <w:semiHidden/>
    <w:rsid w:val="0003148D"/>
    <w:rPr>
      <w:rFonts w:asciiTheme="majorHAnsi" w:eastAsiaTheme="majorEastAsia" w:hAnsiTheme="majorHAnsi" w:cstheme="majorBidi"/>
      <w:b/>
      <w:bCs/>
      <w:color w:val="4F81BD" w:themeColor="accent1"/>
    </w:rPr>
  </w:style>
  <w:style w:type="character" w:customStyle="1" w:styleId="Ttulo4Car">
    <w:name w:val="Título 4 Car"/>
    <w:basedOn w:val="Fuentedeprrafopredeter"/>
    <w:link w:val="Ttulo4"/>
    <w:uiPriority w:val="9"/>
    <w:semiHidden/>
    <w:rsid w:val="0003148D"/>
    <w:rPr>
      <w:rFonts w:asciiTheme="majorHAnsi" w:eastAsiaTheme="majorEastAsia" w:hAnsiTheme="majorHAnsi" w:cstheme="majorBidi"/>
      <w:b/>
      <w:bCs/>
      <w:i/>
      <w:iCs/>
      <w:color w:val="4F81BD" w:themeColor="accent1"/>
    </w:rPr>
  </w:style>
  <w:style w:type="character" w:customStyle="1" w:styleId="Ttulo5Car">
    <w:name w:val="Título 5 Car"/>
    <w:basedOn w:val="Fuentedeprrafopredeter"/>
    <w:link w:val="Ttulo5"/>
    <w:uiPriority w:val="9"/>
    <w:semiHidden/>
    <w:rsid w:val="0003148D"/>
    <w:rPr>
      <w:rFonts w:asciiTheme="majorHAnsi" w:eastAsiaTheme="majorEastAsia" w:hAnsiTheme="majorHAnsi" w:cstheme="majorBidi"/>
      <w:color w:val="243F60" w:themeColor="accent1" w:themeShade="7F"/>
    </w:rPr>
  </w:style>
  <w:style w:type="character" w:customStyle="1" w:styleId="Ttulo6Car">
    <w:name w:val="Título 6 Car"/>
    <w:basedOn w:val="Fuentedeprrafopredeter"/>
    <w:link w:val="Ttulo6"/>
    <w:uiPriority w:val="9"/>
    <w:semiHidden/>
    <w:rsid w:val="0003148D"/>
    <w:rPr>
      <w:rFonts w:asciiTheme="majorHAnsi" w:eastAsiaTheme="majorEastAsia" w:hAnsiTheme="majorHAnsi" w:cstheme="majorBidi"/>
      <w:i/>
      <w:iCs/>
      <w:color w:val="243F60" w:themeColor="accent1" w:themeShade="7F"/>
    </w:rPr>
  </w:style>
  <w:style w:type="character" w:customStyle="1" w:styleId="Ttulo7Car">
    <w:name w:val="Título 7 Car"/>
    <w:basedOn w:val="Fuentedeprrafopredeter"/>
    <w:link w:val="Ttulo7"/>
    <w:uiPriority w:val="9"/>
    <w:semiHidden/>
    <w:rsid w:val="0003148D"/>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03148D"/>
    <w:rPr>
      <w:rFonts w:asciiTheme="majorHAnsi" w:eastAsiaTheme="majorEastAsia" w:hAnsiTheme="majorHAnsi" w:cstheme="majorBidi"/>
      <w:i/>
      <w:iCs/>
      <w:color w:val="404040" w:themeColor="text1" w:themeTint="BF"/>
      <w:sz w:val="20"/>
      <w:szCs w:val="20"/>
    </w:rPr>
  </w:style>
  <w:style w:type="paragraph" w:styleId="Ttulodendice">
    <w:name w:val="index heading"/>
    <w:basedOn w:val="Normal"/>
    <w:next w:val="ndice1"/>
    <w:uiPriority w:val="99"/>
    <w:semiHidden/>
    <w:unhideWhenUsed/>
    <w:rsid w:val="0003148D"/>
    <w:rPr>
      <w:rFonts w:asciiTheme="majorHAnsi" w:eastAsiaTheme="majorEastAsia" w:hAnsiTheme="majorHAnsi" w:cstheme="majorBidi"/>
      <w:b/>
      <w:bCs/>
    </w:rPr>
  </w:style>
  <w:style w:type="paragraph" w:styleId="Encabezadodelista">
    <w:name w:val="toa heading"/>
    <w:basedOn w:val="Normal"/>
    <w:next w:val="Normal"/>
    <w:uiPriority w:val="99"/>
    <w:semiHidden/>
    <w:unhideWhenUsed/>
    <w:rsid w:val="0003148D"/>
    <w:pPr>
      <w:spacing w:before="120"/>
    </w:pPr>
    <w:rPr>
      <w:rFonts w:asciiTheme="majorHAnsi" w:eastAsiaTheme="majorEastAsia" w:hAnsiTheme="majorHAnsi" w:cstheme="majorBidi"/>
      <w:b/>
      <w:bCs/>
      <w:sz w:val="24"/>
      <w:szCs w:val="24"/>
    </w:rPr>
  </w:style>
  <w:style w:type="paragraph" w:styleId="TtuloTDC">
    <w:name w:val="TOC Heading"/>
    <w:basedOn w:val="Ttulo1"/>
    <w:next w:val="Normal"/>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Fuentedeprrafopredeter"/>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Encabezado">
    <w:name w:val="header"/>
    <w:basedOn w:val="Normal"/>
    <w:link w:val="EncabezadoCar"/>
    <w:uiPriority w:val="99"/>
    <w:unhideWhenUsed/>
    <w:rsid w:val="005278B7"/>
    <w:pPr>
      <w:tabs>
        <w:tab w:val="clear" w:pos="7100"/>
        <w:tab w:val="center" w:pos="4819"/>
        <w:tab w:val="right" w:pos="9638"/>
      </w:tabs>
      <w:spacing w:line="240" w:lineRule="auto"/>
    </w:pPr>
  </w:style>
  <w:style w:type="character" w:customStyle="1" w:styleId="EncabezadoCar">
    <w:name w:val="Encabezado Car"/>
    <w:basedOn w:val="Fuentedeprrafopredeter"/>
    <w:link w:val="Encabezado"/>
    <w:uiPriority w:val="99"/>
    <w:rsid w:val="005278B7"/>
    <w:rPr>
      <w:rFonts w:ascii="Arial" w:eastAsia="Times New Roman" w:hAnsi="Arial" w:cs="Times New Roman"/>
      <w:sz w:val="18"/>
      <w:szCs w:val="20"/>
      <w:lang w:val="en-GB"/>
    </w:rPr>
  </w:style>
  <w:style w:type="paragraph" w:styleId="Piedepgina">
    <w:name w:val="footer"/>
    <w:basedOn w:val="Normal"/>
    <w:link w:val="PiedepginaCar"/>
    <w:unhideWhenUsed/>
    <w:rsid w:val="005278B7"/>
    <w:pPr>
      <w:tabs>
        <w:tab w:val="clear" w:pos="7100"/>
        <w:tab w:val="center" w:pos="4819"/>
        <w:tab w:val="right" w:pos="9638"/>
      </w:tabs>
      <w:spacing w:line="240" w:lineRule="auto"/>
    </w:pPr>
  </w:style>
  <w:style w:type="character" w:customStyle="1" w:styleId="PiedepginaCar">
    <w:name w:val="Pie de página Car"/>
    <w:basedOn w:val="Fuentedeprrafopredeter"/>
    <w:link w:val="Piedepgina"/>
    <w:uiPriority w:val="99"/>
    <w:rsid w:val="005278B7"/>
    <w:rPr>
      <w:rFonts w:ascii="Arial" w:eastAsia="Times New Roman" w:hAnsi="Arial" w:cs="Times New Roman"/>
      <w:sz w:val="18"/>
      <w:szCs w:val="20"/>
      <w:lang w:val="en-GB"/>
    </w:rPr>
  </w:style>
  <w:style w:type="table" w:styleId="Tablaconcuadrcula">
    <w:name w:val="Table Grid"/>
    <w:basedOn w:val="Tablanormal"/>
    <w:uiPriority w:val="5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904C62"/>
    <w:rPr>
      <w:color w:val="0000FF" w:themeColor="hyperlink"/>
      <w:u w:val="single"/>
    </w:rPr>
  </w:style>
  <w:style w:type="character" w:customStyle="1" w:styleId="eudoraheader">
    <w:name w:val="eudoraheader"/>
    <w:basedOn w:val="Fuentedeprrafopredeter"/>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pPr>
      <w:numPr>
        <w:ilvl w:val="0"/>
        <w:numId w:val="0"/>
      </w:numPr>
    </w:pPr>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 w:type="paragraph" w:styleId="Prrafodelista">
    <w:name w:val="List Paragraph"/>
    <w:basedOn w:val="Normal"/>
    <w:uiPriority w:val="34"/>
    <w:rsid w:val="00280FAF"/>
    <w:pPr>
      <w:ind w:left="720"/>
      <w:contextualSpacing/>
    </w:pPr>
  </w:style>
  <w:style w:type="character" w:customStyle="1" w:styleId="gmail-apple-converted-space">
    <w:name w:val="gmail-apple-converted-space"/>
    <w:basedOn w:val="Fuentedeprrafopredeter"/>
    <w:rsid w:val="00005A19"/>
  </w:style>
  <w:style w:type="paragraph" w:customStyle="1" w:styleId="Standard">
    <w:name w:val="Standard"/>
    <w:rsid w:val="00984E70"/>
    <w:pPr>
      <w:suppressAutoHyphens/>
      <w:autoSpaceDN w:val="0"/>
      <w:spacing w:after="0" w:line="264" w:lineRule="auto"/>
      <w:jc w:val="both"/>
      <w:textAlignment w:val="baseline"/>
    </w:pPr>
    <w:rPr>
      <w:rFonts w:ascii="Times New Roman" w:eastAsia="Times New Roman" w:hAnsi="Times New Roman" w:cs="Times New Roman"/>
      <w:sz w:val="20"/>
      <w:szCs w:val="20"/>
      <w:lang w:val="en-GB" w:eastAsia="zh-CN"/>
    </w:rPr>
  </w:style>
  <w:style w:type="character" w:customStyle="1" w:styleId="Internetlink">
    <w:name w:val="Internet link"/>
    <w:rsid w:val="00984E70"/>
    <w:rPr>
      <w:color w:val="0000FF"/>
      <w:u w:val="single"/>
    </w:rPr>
  </w:style>
  <w:style w:type="numbering" w:customStyle="1" w:styleId="WW8Num1">
    <w:name w:val="WW8Num1"/>
    <w:basedOn w:val="Sinlista"/>
    <w:rsid w:val="00984E70"/>
    <w:pPr>
      <w:numPr>
        <w:numId w:val="24"/>
      </w:numPr>
    </w:pPr>
  </w:style>
  <w:style w:type="character" w:styleId="Mencinsinresolver">
    <w:name w:val="Unresolved Mention"/>
    <w:basedOn w:val="Fuentedeprrafopredeter"/>
    <w:uiPriority w:val="99"/>
    <w:semiHidden/>
    <w:unhideWhenUsed/>
    <w:rsid w:val="0019700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0202458">
      <w:bodyDiv w:val="1"/>
      <w:marLeft w:val="0"/>
      <w:marRight w:val="0"/>
      <w:marTop w:val="0"/>
      <w:marBottom w:val="0"/>
      <w:divBdr>
        <w:top w:val="none" w:sz="0" w:space="0" w:color="auto"/>
        <w:left w:val="none" w:sz="0" w:space="0" w:color="auto"/>
        <w:bottom w:val="none" w:sz="0" w:space="0" w:color="auto"/>
        <w:right w:val="none" w:sz="0" w:space="0" w:color="auto"/>
      </w:divBdr>
    </w:div>
    <w:div w:id="206331574">
      <w:bodyDiv w:val="1"/>
      <w:marLeft w:val="0"/>
      <w:marRight w:val="0"/>
      <w:marTop w:val="0"/>
      <w:marBottom w:val="0"/>
      <w:divBdr>
        <w:top w:val="none" w:sz="0" w:space="0" w:color="auto"/>
        <w:left w:val="none" w:sz="0" w:space="0" w:color="auto"/>
        <w:bottom w:val="none" w:sz="0" w:space="0" w:color="auto"/>
        <w:right w:val="none" w:sz="0" w:space="0" w:color="auto"/>
      </w:divBdr>
    </w:div>
    <w:div w:id="493451188">
      <w:bodyDiv w:val="1"/>
      <w:marLeft w:val="0"/>
      <w:marRight w:val="0"/>
      <w:marTop w:val="0"/>
      <w:marBottom w:val="0"/>
      <w:divBdr>
        <w:top w:val="none" w:sz="0" w:space="0" w:color="auto"/>
        <w:left w:val="none" w:sz="0" w:space="0" w:color="auto"/>
        <w:bottom w:val="none" w:sz="0" w:space="0" w:color="auto"/>
        <w:right w:val="none" w:sz="0" w:space="0" w:color="auto"/>
      </w:divBdr>
    </w:div>
    <w:div w:id="503009413">
      <w:bodyDiv w:val="1"/>
      <w:marLeft w:val="0"/>
      <w:marRight w:val="0"/>
      <w:marTop w:val="0"/>
      <w:marBottom w:val="0"/>
      <w:divBdr>
        <w:top w:val="none" w:sz="0" w:space="0" w:color="auto"/>
        <w:left w:val="none" w:sz="0" w:space="0" w:color="auto"/>
        <w:bottom w:val="none" w:sz="0" w:space="0" w:color="auto"/>
        <w:right w:val="none" w:sz="0" w:space="0" w:color="auto"/>
      </w:divBdr>
    </w:div>
    <w:div w:id="521819219">
      <w:bodyDiv w:val="1"/>
      <w:marLeft w:val="0"/>
      <w:marRight w:val="0"/>
      <w:marTop w:val="0"/>
      <w:marBottom w:val="0"/>
      <w:divBdr>
        <w:top w:val="none" w:sz="0" w:space="0" w:color="auto"/>
        <w:left w:val="none" w:sz="0" w:space="0" w:color="auto"/>
        <w:bottom w:val="none" w:sz="0" w:space="0" w:color="auto"/>
        <w:right w:val="none" w:sz="0" w:space="0" w:color="auto"/>
      </w:divBdr>
    </w:div>
    <w:div w:id="550389140">
      <w:bodyDiv w:val="1"/>
      <w:marLeft w:val="0"/>
      <w:marRight w:val="0"/>
      <w:marTop w:val="0"/>
      <w:marBottom w:val="0"/>
      <w:divBdr>
        <w:top w:val="none" w:sz="0" w:space="0" w:color="auto"/>
        <w:left w:val="none" w:sz="0" w:space="0" w:color="auto"/>
        <w:bottom w:val="none" w:sz="0" w:space="0" w:color="auto"/>
        <w:right w:val="none" w:sz="0" w:space="0" w:color="auto"/>
      </w:divBdr>
    </w:div>
    <w:div w:id="702444666">
      <w:bodyDiv w:val="1"/>
      <w:marLeft w:val="0"/>
      <w:marRight w:val="0"/>
      <w:marTop w:val="0"/>
      <w:marBottom w:val="0"/>
      <w:divBdr>
        <w:top w:val="none" w:sz="0" w:space="0" w:color="auto"/>
        <w:left w:val="none" w:sz="0" w:space="0" w:color="auto"/>
        <w:bottom w:val="none" w:sz="0" w:space="0" w:color="auto"/>
        <w:right w:val="none" w:sz="0" w:space="0" w:color="auto"/>
      </w:divBdr>
    </w:div>
    <w:div w:id="770903637">
      <w:bodyDiv w:val="1"/>
      <w:marLeft w:val="0"/>
      <w:marRight w:val="0"/>
      <w:marTop w:val="0"/>
      <w:marBottom w:val="0"/>
      <w:divBdr>
        <w:top w:val="none" w:sz="0" w:space="0" w:color="auto"/>
        <w:left w:val="none" w:sz="0" w:space="0" w:color="auto"/>
        <w:bottom w:val="none" w:sz="0" w:space="0" w:color="auto"/>
        <w:right w:val="none" w:sz="0" w:space="0" w:color="auto"/>
      </w:divBdr>
    </w:div>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895129">
      <w:bodyDiv w:val="1"/>
      <w:marLeft w:val="0"/>
      <w:marRight w:val="0"/>
      <w:marTop w:val="0"/>
      <w:marBottom w:val="0"/>
      <w:divBdr>
        <w:top w:val="none" w:sz="0" w:space="0" w:color="auto"/>
        <w:left w:val="none" w:sz="0" w:space="0" w:color="auto"/>
        <w:bottom w:val="none" w:sz="0" w:space="0" w:color="auto"/>
        <w:right w:val="none" w:sz="0" w:space="0" w:color="auto"/>
      </w:divBdr>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0724661">
      <w:bodyDiv w:val="1"/>
      <w:marLeft w:val="0"/>
      <w:marRight w:val="0"/>
      <w:marTop w:val="0"/>
      <w:marBottom w:val="0"/>
      <w:divBdr>
        <w:top w:val="none" w:sz="0" w:space="0" w:color="auto"/>
        <w:left w:val="none" w:sz="0" w:space="0" w:color="auto"/>
        <w:bottom w:val="none" w:sz="0" w:space="0" w:color="auto"/>
        <w:right w:val="none" w:sz="0" w:space="0" w:color="auto"/>
      </w:divBdr>
    </w:div>
    <w:div w:id="1031220284">
      <w:bodyDiv w:val="1"/>
      <w:marLeft w:val="0"/>
      <w:marRight w:val="0"/>
      <w:marTop w:val="0"/>
      <w:marBottom w:val="0"/>
      <w:divBdr>
        <w:top w:val="none" w:sz="0" w:space="0" w:color="auto"/>
        <w:left w:val="none" w:sz="0" w:space="0" w:color="auto"/>
        <w:bottom w:val="none" w:sz="0" w:space="0" w:color="auto"/>
        <w:right w:val="none" w:sz="0" w:space="0" w:color="auto"/>
      </w:divBdr>
    </w:div>
    <w:div w:id="1161044956">
      <w:bodyDiv w:val="1"/>
      <w:marLeft w:val="0"/>
      <w:marRight w:val="0"/>
      <w:marTop w:val="0"/>
      <w:marBottom w:val="0"/>
      <w:divBdr>
        <w:top w:val="none" w:sz="0" w:space="0" w:color="auto"/>
        <w:left w:val="none" w:sz="0" w:space="0" w:color="auto"/>
        <w:bottom w:val="none" w:sz="0" w:space="0" w:color="auto"/>
        <w:right w:val="none" w:sz="0" w:space="0" w:color="auto"/>
      </w:divBdr>
    </w:div>
    <w:div w:id="1259020159">
      <w:bodyDiv w:val="1"/>
      <w:marLeft w:val="0"/>
      <w:marRight w:val="0"/>
      <w:marTop w:val="0"/>
      <w:marBottom w:val="0"/>
      <w:divBdr>
        <w:top w:val="none" w:sz="0" w:space="0" w:color="auto"/>
        <w:left w:val="none" w:sz="0" w:space="0" w:color="auto"/>
        <w:bottom w:val="none" w:sz="0" w:space="0" w:color="auto"/>
        <w:right w:val="none" w:sz="0" w:space="0" w:color="auto"/>
      </w:divBdr>
    </w:div>
    <w:div w:id="1368064460">
      <w:bodyDiv w:val="1"/>
      <w:marLeft w:val="0"/>
      <w:marRight w:val="0"/>
      <w:marTop w:val="0"/>
      <w:marBottom w:val="0"/>
      <w:divBdr>
        <w:top w:val="none" w:sz="0" w:space="0" w:color="auto"/>
        <w:left w:val="none" w:sz="0" w:space="0" w:color="auto"/>
        <w:bottom w:val="none" w:sz="0" w:space="0" w:color="auto"/>
        <w:right w:val="none" w:sz="0" w:space="0" w:color="auto"/>
      </w:divBdr>
    </w:div>
    <w:div w:id="1429156813">
      <w:bodyDiv w:val="1"/>
      <w:marLeft w:val="0"/>
      <w:marRight w:val="0"/>
      <w:marTop w:val="0"/>
      <w:marBottom w:val="0"/>
      <w:divBdr>
        <w:top w:val="none" w:sz="0" w:space="0" w:color="auto"/>
        <w:left w:val="none" w:sz="0" w:space="0" w:color="auto"/>
        <w:bottom w:val="none" w:sz="0" w:space="0" w:color="auto"/>
        <w:right w:val="none" w:sz="0" w:space="0" w:color="auto"/>
      </w:divBdr>
    </w:div>
    <w:div w:id="1489904563">
      <w:bodyDiv w:val="1"/>
      <w:marLeft w:val="0"/>
      <w:marRight w:val="0"/>
      <w:marTop w:val="0"/>
      <w:marBottom w:val="0"/>
      <w:divBdr>
        <w:top w:val="none" w:sz="0" w:space="0" w:color="auto"/>
        <w:left w:val="none" w:sz="0" w:space="0" w:color="auto"/>
        <w:bottom w:val="none" w:sz="0" w:space="0" w:color="auto"/>
        <w:right w:val="none" w:sz="0" w:space="0" w:color="auto"/>
      </w:divBdr>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491600">
      <w:bodyDiv w:val="1"/>
      <w:marLeft w:val="0"/>
      <w:marRight w:val="0"/>
      <w:marTop w:val="0"/>
      <w:marBottom w:val="0"/>
      <w:divBdr>
        <w:top w:val="none" w:sz="0" w:space="0" w:color="auto"/>
        <w:left w:val="none" w:sz="0" w:space="0" w:color="auto"/>
        <w:bottom w:val="none" w:sz="0" w:space="0" w:color="auto"/>
        <w:right w:val="none" w:sz="0" w:space="0" w:color="auto"/>
      </w:divBdr>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3983C9-6D0A-480C-BF79-A63BD3D99E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506</TotalTime>
  <Pages>6</Pages>
  <Words>2916</Words>
  <Characters>16039</Characters>
  <Application>Microsoft Office Word</Application>
  <DocSecurity>0</DocSecurity>
  <Lines>133</Lines>
  <Paragraphs>37</Paragraphs>
  <ScaleCrop>false</ScaleCrop>
  <HeadingPairs>
    <vt:vector size="6" baseType="variant">
      <vt:variant>
        <vt:lpstr>Título</vt:lpstr>
      </vt:variant>
      <vt:variant>
        <vt:i4>1</vt:i4>
      </vt:variant>
      <vt:variant>
        <vt:lpstr>Titolo</vt:lpstr>
      </vt:variant>
      <vt:variant>
        <vt:i4>1</vt:i4>
      </vt:variant>
      <vt:variant>
        <vt:lpstr>Title</vt:lpstr>
      </vt:variant>
      <vt:variant>
        <vt:i4>1</vt:i4>
      </vt:variant>
    </vt:vector>
  </HeadingPairs>
  <TitlesOfParts>
    <vt:vector size="3" baseType="lpstr">
      <vt:lpstr/>
      <vt:lpstr/>
      <vt:lpstr/>
    </vt:vector>
  </TitlesOfParts>
  <Company>Dipartimento CMIC - Politecnico di Milano</Company>
  <LinksUpToDate>false</LinksUpToDate>
  <CharactersWithSpaces>18918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raffaella</dc:creator>
  <cp:lastModifiedBy>Daniela Méndez Díaz</cp:lastModifiedBy>
  <cp:revision>12</cp:revision>
  <cp:lastPrinted>2015-05-12T18:31:00Z</cp:lastPrinted>
  <dcterms:created xsi:type="dcterms:W3CDTF">2025-02-04T18:24:00Z</dcterms:created>
  <dcterms:modified xsi:type="dcterms:W3CDTF">2025-03-04T19:37:00Z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ies>
</file>