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0C33C4" w14:paraId="2A131A54" w14:textId="77777777" w:rsidTr="00C86F54">
        <w:trPr>
          <w:trHeight w:val="852"/>
          <w:jc w:val="center"/>
        </w:trPr>
        <w:tc>
          <w:tcPr>
            <w:tcW w:w="6940" w:type="dxa"/>
            <w:vMerge w:val="restart"/>
            <w:tcBorders>
              <w:right w:val="single" w:sz="4" w:space="0" w:color="auto"/>
            </w:tcBorders>
          </w:tcPr>
          <w:p w14:paraId="38C3D2BA" w14:textId="77777777" w:rsidR="000A03B2" w:rsidRPr="000C33C4" w:rsidRDefault="000A03B2" w:rsidP="00DE264A">
            <w:pPr>
              <w:tabs>
                <w:tab w:val="left" w:pos="-108"/>
              </w:tabs>
              <w:ind w:left="-108"/>
              <w:jc w:val="left"/>
              <w:rPr>
                <w:rFonts w:cs="Arial"/>
                <w:b/>
                <w:bCs/>
                <w:i/>
                <w:iCs/>
                <w:color w:val="000066"/>
                <w:sz w:val="12"/>
                <w:szCs w:val="12"/>
                <w:lang w:eastAsia="it-IT"/>
              </w:rPr>
            </w:pPr>
            <w:r w:rsidRPr="000C33C4">
              <w:rPr>
                <w:rFonts w:ascii="AdvP6960" w:hAnsi="AdvP6960" w:cs="AdvP6960"/>
                <w:noProof/>
                <w:color w:val="241F20"/>
                <w:szCs w:val="18"/>
                <w:lang w:val="hu-HU" w:eastAsia="hu-HU"/>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0C33C4">
              <w:rPr>
                <w:rFonts w:ascii="AdvP6960" w:hAnsi="AdvP6960" w:cs="AdvP6960"/>
                <w:color w:val="241F20"/>
                <w:szCs w:val="18"/>
                <w:lang w:eastAsia="it-IT"/>
              </w:rPr>
              <w:t xml:space="preserve"> </w:t>
            </w:r>
            <w:r w:rsidRPr="000C33C4">
              <w:rPr>
                <w:rFonts w:cs="Arial"/>
                <w:b/>
                <w:bCs/>
                <w:i/>
                <w:iCs/>
                <w:color w:val="000066"/>
                <w:sz w:val="24"/>
                <w:szCs w:val="24"/>
                <w:lang w:eastAsia="it-IT"/>
              </w:rPr>
              <w:t>CHEMICAL ENGINEERING</w:t>
            </w:r>
            <w:r w:rsidRPr="000C33C4">
              <w:rPr>
                <w:rFonts w:cs="Arial"/>
                <w:b/>
                <w:bCs/>
                <w:i/>
                <w:iCs/>
                <w:color w:val="0033FF"/>
                <w:sz w:val="24"/>
                <w:szCs w:val="24"/>
                <w:lang w:eastAsia="it-IT"/>
              </w:rPr>
              <w:t xml:space="preserve"> </w:t>
            </w:r>
            <w:r w:rsidRPr="000C33C4">
              <w:rPr>
                <w:rFonts w:cs="Arial"/>
                <w:b/>
                <w:bCs/>
                <w:i/>
                <w:iCs/>
                <w:color w:val="666666"/>
                <w:sz w:val="24"/>
                <w:szCs w:val="24"/>
                <w:lang w:eastAsia="it-IT"/>
              </w:rPr>
              <w:t>TRANSACTIONS</w:t>
            </w:r>
            <w:r w:rsidRPr="000C33C4">
              <w:rPr>
                <w:color w:val="333333"/>
                <w:sz w:val="24"/>
                <w:szCs w:val="24"/>
                <w:lang w:eastAsia="it-IT"/>
              </w:rPr>
              <w:t xml:space="preserve"> </w:t>
            </w:r>
            <w:r w:rsidRPr="000C33C4">
              <w:rPr>
                <w:rFonts w:cs="Arial"/>
                <w:b/>
                <w:bCs/>
                <w:i/>
                <w:iCs/>
                <w:color w:val="000066"/>
                <w:sz w:val="27"/>
                <w:szCs w:val="27"/>
                <w:lang w:eastAsia="it-IT"/>
              </w:rPr>
              <w:br/>
            </w:r>
          </w:p>
          <w:p w14:paraId="4B780582" w14:textId="1B6576CF" w:rsidR="000A03B2" w:rsidRPr="000C33C4" w:rsidRDefault="00A76EFC" w:rsidP="001D21AF">
            <w:pPr>
              <w:tabs>
                <w:tab w:val="left" w:pos="-108"/>
              </w:tabs>
              <w:ind w:left="-108"/>
              <w:rPr>
                <w:rFonts w:cs="Arial"/>
                <w:b/>
                <w:bCs/>
                <w:i/>
                <w:iCs/>
                <w:color w:val="000066"/>
                <w:sz w:val="22"/>
                <w:szCs w:val="22"/>
                <w:lang w:eastAsia="it-IT"/>
              </w:rPr>
            </w:pPr>
            <w:r w:rsidRPr="000C33C4">
              <w:rPr>
                <w:rFonts w:cs="Arial"/>
                <w:b/>
                <w:bCs/>
                <w:i/>
                <w:iCs/>
                <w:color w:val="000066"/>
                <w:sz w:val="22"/>
                <w:szCs w:val="22"/>
                <w:lang w:eastAsia="it-IT"/>
              </w:rPr>
              <w:t xml:space="preserve">VOL. </w:t>
            </w:r>
            <w:r w:rsidR="008721F2">
              <w:rPr>
                <w:rFonts w:cs="Arial"/>
                <w:b/>
                <w:bCs/>
                <w:i/>
                <w:iCs/>
                <w:color w:val="000066"/>
                <w:sz w:val="22"/>
                <w:szCs w:val="22"/>
                <w:lang w:eastAsia="it-IT"/>
              </w:rPr>
              <w:t>xxx</w:t>
            </w:r>
            <w:r w:rsidR="007B48F9" w:rsidRPr="000C33C4">
              <w:rPr>
                <w:rFonts w:cs="Arial"/>
                <w:b/>
                <w:bCs/>
                <w:i/>
                <w:iCs/>
                <w:color w:val="000066"/>
                <w:sz w:val="22"/>
                <w:szCs w:val="22"/>
                <w:lang w:eastAsia="it-IT"/>
              </w:rPr>
              <w:t>,</w:t>
            </w:r>
            <w:r w:rsidR="00FA5F5F" w:rsidRPr="000C33C4">
              <w:rPr>
                <w:rFonts w:cs="Arial"/>
                <w:b/>
                <w:bCs/>
                <w:i/>
                <w:iCs/>
                <w:color w:val="000066"/>
                <w:sz w:val="22"/>
                <w:szCs w:val="22"/>
                <w:lang w:eastAsia="it-IT"/>
              </w:rPr>
              <w:t xml:space="preserve"> </w:t>
            </w:r>
            <w:r w:rsidR="0030152C" w:rsidRPr="000C33C4">
              <w:rPr>
                <w:rFonts w:cs="Arial"/>
                <w:b/>
                <w:bCs/>
                <w:i/>
                <w:iCs/>
                <w:color w:val="000066"/>
                <w:sz w:val="22"/>
                <w:szCs w:val="22"/>
                <w:lang w:eastAsia="it-IT"/>
              </w:rPr>
              <w:t>202</w:t>
            </w:r>
            <w:r w:rsidR="008721F2">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0C33C4" w:rsidRDefault="000A03B2" w:rsidP="00CD5FE2">
            <w:pPr>
              <w:spacing w:line="140" w:lineRule="atLeast"/>
              <w:jc w:val="right"/>
              <w:rPr>
                <w:rFonts w:cs="Arial"/>
                <w:sz w:val="14"/>
                <w:szCs w:val="14"/>
              </w:rPr>
            </w:pPr>
            <w:r w:rsidRPr="000C33C4">
              <w:rPr>
                <w:rFonts w:cs="Arial"/>
                <w:sz w:val="14"/>
                <w:szCs w:val="14"/>
              </w:rPr>
              <w:t>A publication of</w:t>
            </w:r>
          </w:p>
          <w:p w14:paraId="599E5441" w14:textId="77777777" w:rsidR="000A03B2" w:rsidRPr="000C33C4" w:rsidRDefault="000A03B2" w:rsidP="00CD5FE2">
            <w:pPr>
              <w:jc w:val="right"/>
            </w:pPr>
            <w:r w:rsidRPr="000C33C4">
              <w:rPr>
                <w:noProof/>
                <w:lang w:val="hu-HU" w:eastAsia="hu-HU"/>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0C33C4" w14:paraId="380FA3CD" w14:textId="77777777" w:rsidTr="00C86F54">
        <w:trPr>
          <w:trHeight w:val="567"/>
          <w:jc w:val="center"/>
        </w:trPr>
        <w:tc>
          <w:tcPr>
            <w:tcW w:w="6940" w:type="dxa"/>
            <w:vMerge/>
            <w:tcBorders>
              <w:right w:val="single" w:sz="4" w:space="0" w:color="auto"/>
            </w:tcBorders>
          </w:tcPr>
          <w:p w14:paraId="39E5E4C1" w14:textId="77777777" w:rsidR="000A03B2" w:rsidRPr="000C33C4"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0C33C4" w:rsidRDefault="000A03B2" w:rsidP="00CD5FE2">
            <w:pPr>
              <w:spacing w:line="140" w:lineRule="atLeast"/>
              <w:jc w:val="right"/>
              <w:rPr>
                <w:rFonts w:cs="Arial"/>
                <w:sz w:val="14"/>
                <w:szCs w:val="14"/>
              </w:rPr>
            </w:pPr>
            <w:r w:rsidRPr="000C33C4">
              <w:rPr>
                <w:rFonts w:cs="Arial"/>
                <w:sz w:val="14"/>
                <w:szCs w:val="14"/>
              </w:rPr>
              <w:t>The Italian Association</w:t>
            </w:r>
          </w:p>
          <w:p w14:paraId="7522B1D2" w14:textId="77777777" w:rsidR="000A03B2" w:rsidRPr="000C33C4" w:rsidRDefault="000A03B2" w:rsidP="00CD5FE2">
            <w:pPr>
              <w:spacing w:line="140" w:lineRule="atLeast"/>
              <w:jc w:val="right"/>
              <w:rPr>
                <w:rFonts w:cs="Arial"/>
                <w:sz w:val="14"/>
                <w:szCs w:val="14"/>
              </w:rPr>
            </w:pPr>
            <w:r w:rsidRPr="000C33C4">
              <w:rPr>
                <w:rFonts w:cs="Arial"/>
                <w:sz w:val="14"/>
                <w:szCs w:val="14"/>
              </w:rPr>
              <w:t>of Chemical Engineering</w:t>
            </w:r>
          </w:p>
          <w:p w14:paraId="4F0CC5DE" w14:textId="47FDB2FC" w:rsidR="000A03B2" w:rsidRPr="000C33C4" w:rsidRDefault="000D0268" w:rsidP="00CD5FE2">
            <w:pPr>
              <w:spacing w:line="140" w:lineRule="atLeast"/>
              <w:jc w:val="right"/>
              <w:rPr>
                <w:rFonts w:cs="Arial"/>
                <w:sz w:val="13"/>
                <w:szCs w:val="13"/>
              </w:rPr>
            </w:pPr>
            <w:r w:rsidRPr="000C33C4">
              <w:rPr>
                <w:rFonts w:cs="Arial"/>
                <w:sz w:val="13"/>
                <w:szCs w:val="13"/>
              </w:rPr>
              <w:t>Online at www.cetjournal.it</w:t>
            </w:r>
          </w:p>
        </w:tc>
      </w:tr>
      <w:tr w:rsidR="000A03B2" w:rsidRPr="000C33C4" w14:paraId="2D1B7169" w14:textId="77777777" w:rsidTr="00C86F54">
        <w:trPr>
          <w:trHeight w:val="68"/>
          <w:jc w:val="center"/>
        </w:trPr>
        <w:tc>
          <w:tcPr>
            <w:tcW w:w="8782" w:type="dxa"/>
            <w:gridSpan w:val="2"/>
          </w:tcPr>
          <w:p w14:paraId="56FD1377" w14:textId="77777777" w:rsidR="0006187D" w:rsidRPr="007D610D" w:rsidRDefault="0006187D" w:rsidP="0006187D">
            <w:pPr>
              <w:ind w:left="-107"/>
              <w:outlineLvl w:val="2"/>
              <w:rPr>
                <w:rFonts w:ascii="Tahoma" w:hAnsi="Tahoma" w:cs="Tahoma"/>
                <w:color w:val="000000"/>
                <w:sz w:val="14"/>
                <w:szCs w:val="14"/>
                <w:shd w:val="clear" w:color="auto" w:fill="FFFFFF"/>
                <w:lang w:val="it-IT"/>
              </w:rPr>
            </w:pPr>
            <w:r w:rsidRPr="007D610D">
              <w:rPr>
                <w:rFonts w:ascii="Tahoma" w:hAnsi="Tahoma" w:cs="Tahoma"/>
                <w:iCs/>
                <w:color w:val="333333"/>
                <w:sz w:val="14"/>
                <w:szCs w:val="14"/>
                <w:lang w:val="it-IT" w:eastAsia="it-IT"/>
              </w:rPr>
              <w:t>Guest Editors:</w:t>
            </w:r>
            <w:r w:rsidRPr="007D610D">
              <w:rPr>
                <w:rFonts w:ascii="Aptos" w:eastAsiaTheme="minorHAnsi" w:hAnsi="Aptos" w:cs="Aptos"/>
                <w:sz w:val="22"/>
                <w:szCs w:val="22"/>
                <w:lang w:val="it-IT"/>
                <w14:ligatures w14:val="standardContextual"/>
              </w:rPr>
              <w:t xml:space="preserve"> </w:t>
            </w:r>
            <w:r w:rsidRPr="007D610D">
              <w:rPr>
                <w:rFonts w:ascii="Tahoma" w:hAnsi="Tahoma" w:cs="Tahoma"/>
                <w:color w:val="000000"/>
                <w:sz w:val="14"/>
                <w:szCs w:val="14"/>
                <w:shd w:val="clear" w:color="auto" w:fill="FFFFFF"/>
                <w:lang w:val="it-IT"/>
              </w:rPr>
              <w:t xml:space="preserve">Fabrizio Bezzo, </w:t>
            </w:r>
            <w:r>
              <w:rPr>
                <w:rFonts w:ascii="Tahoma" w:hAnsi="Tahoma" w:cs="Tahoma"/>
                <w:color w:val="000000"/>
                <w:sz w:val="14"/>
                <w:szCs w:val="14"/>
                <w:shd w:val="clear" w:color="auto" w:fill="FFFFFF"/>
                <w:lang w:val="it-IT"/>
              </w:rPr>
              <w:t xml:space="preserve">Flavio Manenti, </w:t>
            </w:r>
            <w:r w:rsidRPr="007D610D">
              <w:rPr>
                <w:rFonts w:ascii="Tahoma" w:hAnsi="Tahoma" w:cs="Tahoma"/>
                <w:color w:val="000000"/>
                <w:sz w:val="14"/>
                <w:szCs w:val="14"/>
                <w:shd w:val="clear" w:color="auto" w:fill="FFFFFF"/>
                <w:lang w:val="it-IT"/>
              </w:rPr>
              <w:t>Gabriele Pannocchia, Almerinda di Benedetto</w:t>
            </w:r>
          </w:p>
          <w:p w14:paraId="1B0F1814" w14:textId="45E09E50" w:rsidR="000A03B2" w:rsidRPr="000C33C4" w:rsidRDefault="0006187D" w:rsidP="0006187D">
            <w:pPr>
              <w:tabs>
                <w:tab w:val="left" w:pos="-108"/>
              </w:tabs>
              <w:spacing w:line="140" w:lineRule="atLeast"/>
              <w:ind w:left="-107"/>
              <w:jc w:val="left"/>
            </w:pPr>
            <w:r>
              <w:rPr>
                <w:rFonts w:ascii="Tahoma" w:hAnsi="Tahoma" w:cs="Tahoma"/>
                <w:iCs/>
                <w:color w:val="333333"/>
                <w:sz w:val="14"/>
                <w:szCs w:val="14"/>
                <w:lang w:eastAsia="it-IT"/>
              </w:rPr>
              <w:t>Copyright © 2025</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Pr="000562A9">
              <w:rPr>
                <w:rFonts w:ascii="Tahoma" w:hAnsi="Tahoma" w:cs="Tahoma"/>
                <w:sz w:val="14"/>
                <w:szCs w:val="14"/>
              </w:rPr>
              <w:t>97</w:t>
            </w:r>
            <w:r>
              <w:rPr>
                <w:rFonts w:ascii="Tahoma" w:hAnsi="Tahoma" w:cs="Tahoma"/>
                <w:sz w:val="14"/>
                <w:szCs w:val="14"/>
              </w:rPr>
              <w:t>9</w:t>
            </w:r>
            <w:r w:rsidRPr="000562A9">
              <w:rPr>
                <w:rFonts w:ascii="Tahoma" w:hAnsi="Tahoma" w:cs="Tahoma"/>
                <w:sz w:val="14"/>
                <w:szCs w:val="14"/>
              </w:rPr>
              <w:t>-</w:t>
            </w:r>
            <w:r>
              <w:rPr>
                <w:rFonts w:ascii="Tahoma" w:hAnsi="Tahoma" w:cs="Tahoma"/>
                <w:sz w:val="14"/>
                <w:szCs w:val="14"/>
              </w:rPr>
              <w:t>12</w:t>
            </w:r>
            <w:r w:rsidRPr="000562A9">
              <w:rPr>
                <w:rFonts w:ascii="Tahoma" w:hAnsi="Tahoma" w:cs="Tahoma"/>
                <w:sz w:val="14"/>
                <w:szCs w:val="14"/>
              </w:rPr>
              <w:t>-</w:t>
            </w:r>
            <w:r>
              <w:rPr>
                <w:rFonts w:ascii="Tahoma" w:hAnsi="Tahoma" w:cs="Tahoma"/>
                <w:sz w:val="14"/>
                <w:szCs w:val="14"/>
              </w:rPr>
              <w:t>81206-17-5</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2E667253" w14:textId="169ED77F" w:rsidR="00E978D0" w:rsidRPr="000C33C4" w:rsidRDefault="004C2426" w:rsidP="00E978D0">
      <w:pPr>
        <w:pStyle w:val="CETTitle"/>
      </w:pPr>
      <w:r>
        <w:t>Enhancement of gas and hydrogen yield with mechanochemically activated catalysts</w:t>
      </w:r>
    </w:p>
    <w:p w14:paraId="0488FED2" w14:textId="2469B9E9" w:rsidR="00B57E6F" w:rsidRPr="000C33C4" w:rsidRDefault="0079303F" w:rsidP="00B57E6F">
      <w:pPr>
        <w:pStyle w:val="CETAuthors"/>
      </w:pPr>
      <w:r>
        <w:t>Alex Kis-Iván</w:t>
      </w:r>
      <w:r w:rsidRPr="000C33C4">
        <w:rPr>
          <w:vertAlign w:val="superscript"/>
        </w:rPr>
        <w:t>a</w:t>
      </w:r>
      <w:r>
        <w:t xml:space="preserve">, </w:t>
      </w:r>
      <w:r w:rsidR="004C2426">
        <w:t>Csilla Őze</w:t>
      </w:r>
      <w:r w:rsidR="00820FAB">
        <w:rPr>
          <w:vertAlign w:val="superscript"/>
        </w:rPr>
        <w:t>b</w:t>
      </w:r>
      <w:r w:rsidR="004C2426">
        <w:t>,</w:t>
      </w:r>
      <w:r w:rsidR="004C2426" w:rsidRPr="000C33C4">
        <w:t xml:space="preserve"> </w:t>
      </w:r>
      <w:r w:rsidR="00C86F54" w:rsidRPr="000C33C4">
        <w:t>Viktória Zsinka</w:t>
      </w:r>
      <w:r w:rsidR="00B57E6F" w:rsidRPr="000C33C4">
        <w:rPr>
          <w:vertAlign w:val="superscript"/>
        </w:rPr>
        <w:t>a</w:t>
      </w:r>
      <w:r w:rsidR="00C86F54" w:rsidRPr="000C33C4">
        <w:rPr>
          <w:vertAlign w:val="superscript"/>
        </w:rPr>
        <w:t>*</w:t>
      </w:r>
      <w:r w:rsidR="00C86F54" w:rsidRPr="000C33C4">
        <w:t>, Nobert Miskolczi</w:t>
      </w:r>
      <w:r w:rsidR="00C86F54" w:rsidRPr="000C33C4">
        <w:rPr>
          <w:vertAlign w:val="superscript"/>
        </w:rPr>
        <w:t>a</w:t>
      </w:r>
    </w:p>
    <w:p w14:paraId="6B2D21B3" w14:textId="702F1223" w:rsidR="00B57E6F" w:rsidRPr="000C33C4" w:rsidRDefault="00B57E6F" w:rsidP="00B57E6F">
      <w:pPr>
        <w:pStyle w:val="CETAddress"/>
      </w:pPr>
      <w:r w:rsidRPr="000C33C4">
        <w:rPr>
          <w:vertAlign w:val="superscript"/>
        </w:rPr>
        <w:t>a</w:t>
      </w:r>
      <w:r w:rsidR="00C86F54" w:rsidRPr="000C33C4">
        <w:t>Department of MOL Hydrocarbon and Coal Processing, Research Centre for Biochemical, Environmental and Chemical Engineering, University of Pannonia, Egyetem utca 10. Veszprém, Hungary</w:t>
      </w:r>
    </w:p>
    <w:p w14:paraId="21008494" w14:textId="6CC071C9" w:rsidR="00820FAB" w:rsidRPr="000C33C4" w:rsidRDefault="003A5458" w:rsidP="00820FAB">
      <w:pPr>
        <w:pStyle w:val="CETAddress"/>
      </w:pPr>
      <w:r>
        <w:rPr>
          <w:vertAlign w:val="superscript"/>
        </w:rPr>
        <w:t>b</w:t>
      </w:r>
      <w:r w:rsidRPr="003A5458">
        <w:t>Department of Materials Engineering</w:t>
      </w:r>
      <w:r w:rsidR="00820FAB" w:rsidRPr="000C33C4">
        <w:t xml:space="preserve">, </w:t>
      </w:r>
      <w:r w:rsidRPr="003A5458">
        <w:t>Technical Sciences Research and Development Center</w:t>
      </w:r>
      <w:r w:rsidR="00820FAB" w:rsidRPr="000C33C4">
        <w:t>, University of Pannonia, Egyetem utca 10. Veszprém, Hungary</w:t>
      </w:r>
    </w:p>
    <w:p w14:paraId="5B8ED957" w14:textId="77777777" w:rsidR="003A5458" w:rsidRDefault="003A5458" w:rsidP="003A5458">
      <w:pPr>
        <w:pStyle w:val="CETemail"/>
      </w:pPr>
      <w:hyperlink r:id="rId10" w:history="1">
        <w:r w:rsidRPr="00FB1BA2">
          <w:rPr>
            <w:rStyle w:val="Collegamentoipertestuale"/>
          </w:rPr>
          <w:t>zsinka.viktoria@mk.uni-pannon.hu</w:t>
        </w:r>
      </w:hyperlink>
    </w:p>
    <w:p w14:paraId="7C02FACE" w14:textId="0044A9A9" w:rsidR="00E3631A" w:rsidRPr="00E3631A" w:rsidRDefault="00E3631A" w:rsidP="00E3631A">
      <w:pPr>
        <w:pStyle w:val="CHISA"/>
        <w:jc w:val="both"/>
        <w:rPr>
          <w:color w:val="000000" w:themeColor="text1"/>
          <w:sz w:val="18"/>
          <w:szCs w:val="18"/>
          <w:lang w:val="en-US"/>
        </w:rPr>
      </w:pPr>
      <w:r w:rsidRPr="00E3631A">
        <w:rPr>
          <w:color w:val="000000" w:themeColor="text1"/>
          <w:sz w:val="18"/>
          <w:szCs w:val="18"/>
          <w:lang w:val="en-US"/>
        </w:rPr>
        <w:t>Mechanochemical activation of kaolin proved to be a promising method for enhancing hydrogen production during the thermochemical conversion of biomass. Kaolin is a naturally occurring aluminosilicate mineral in large quantities, generally exhibits low reactivity in its raw form. However, its activation by combined mechanical and chemical treatments transforms into a catalytically active material capable of promoting the production of hydrogen-rich gas. This process involves grinding</w:t>
      </w:r>
      <w:r w:rsidR="00BF19AC">
        <w:rPr>
          <w:color w:val="000000" w:themeColor="text1"/>
          <w:sz w:val="18"/>
          <w:szCs w:val="18"/>
          <w:lang w:val="en-US"/>
        </w:rPr>
        <w:t xml:space="preserve"> and</w:t>
      </w:r>
      <w:r w:rsidRPr="00E3631A">
        <w:rPr>
          <w:color w:val="000000" w:themeColor="text1"/>
          <w:sz w:val="18"/>
          <w:szCs w:val="18"/>
          <w:lang w:val="en-US"/>
        </w:rPr>
        <w:t xml:space="preserve"> often coupled with chemical additives, which induces structural deformations and increases the specific surface area, effectively improving the reactivity of kaolin in thermal reactions. The resulting mechanochemically activated kaolin provides an improved catalytic surface for hydrogen production in processes such as pyrolysis and gasification. Mechanically induced lattice defects and increased amorphization improve the catalytic efficiency of kaolin by exposing more active sites. At the same time, chemical treatments change the acidity of the kaolin and induce cation exchange, which promotes the breaking of hydrocarbon bonds. Studies have shown that mechanochemically activated kaolin promotes water-gas shift and reforming reactions, optimizing conditions for higher hydrogen selectivity and yield by improving reaction kinetics and reducing the formation of tar byproducts. This study highlights the potential </w:t>
      </w:r>
      <w:r w:rsidR="00BF19AC">
        <w:rPr>
          <w:color w:val="000000" w:themeColor="text1"/>
          <w:sz w:val="18"/>
          <w:szCs w:val="18"/>
          <w:lang w:val="en-US"/>
        </w:rPr>
        <w:t xml:space="preserve">application </w:t>
      </w:r>
      <w:r w:rsidRPr="00E3631A">
        <w:rPr>
          <w:color w:val="000000" w:themeColor="text1"/>
          <w:sz w:val="18"/>
          <w:szCs w:val="18"/>
          <w:lang w:val="en-US"/>
        </w:rPr>
        <w:t>of mechanochemically activated kaolin to promote biomass thermochemical processes for sustainable hydrogen production.</w:t>
      </w:r>
    </w:p>
    <w:p w14:paraId="65E374F9" w14:textId="6A9EA293" w:rsidR="00C86F54" w:rsidRPr="000C33C4" w:rsidRDefault="00C86F54" w:rsidP="00C86F54">
      <w:pPr>
        <w:pStyle w:val="CETBodytext"/>
        <w:rPr>
          <w:lang w:val="en-GB"/>
        </w:rPr>
      </w:pPr>
      <w:r w:rsidRPr="0079303F">
        <w:rPr>
          <w:b/>
          <w:lang w:val="en-GB"/>
        </w:rPr>
        <w:t>Keywords</w:t>
      </w:r>
      <w:r w:rsidRPr="000C33C4">
        <w:rPr>
          <w:lang w:val="en-GB"/>
        </w:rPr>
        <w:t xml:space="preserve">: </w:t>
      </w:r>
      <w:r w:rsidR="00E3631A">
        <w:rPr>
          <w:lang w:val="en-GB"/>
        </w:rPr>
        <w:t>mechanochemical activation, kaolin, hydrogen production, biomass gasification, catalyst</w:t>
      </w:r>
    </w:p>
    <w:p w14:paraId="476B2F2E" w14:textId="77777777" w:rsidR="00600535" w:rsidRDefault="00600535" w:rsidP="00600535">
      <w:pPr>
        <w:pStyle w:val="CETHeading1"/>
        <w:rPr>
          <w:lang w:val="en-GB"/>
        </w:rPr>
      </w:pPr>
      <w:r w:rsidRPr="000C33C4">
        <w:rPr>
          <w:lang w:val="en-GB"/>
        </w:rPr>
        <w:t>Introduction</w:t>
      </w:r>
    </w:p>
    <w:p w14:paraId="4733FD49" w14:textId="20AE95D6" w:rsidR="00D5720A" w:rsidRPr="00143035" w:rsidRDefault="00E3631A" w:rsidP="0079303F">
      <w:pPr>
        <w:pStyle w:val="CETBodytext"/>
        <w:spacing w:before="120" w:line="240" w:lineRule="auto"/>
        <w:contextualSpacing/>
        <w:rPr>
          <w:rFonts w:cs="Arial"/>
          <w:szCs w:val="18"/>
        </w:rPr>
      </w:pPr>
      <w:r w:rsidRPr="00E3631A">
        <w:rPr>
          <w:rFonts w:cs="Arial"/>
          <w:szCs w:val="18"/>
          <w:lang w:val="en-GB"/>
        </w:rPr>
        <w:t>Kaolin is a naturally occurring mineral, one of the main constituents of which is kaolinite, an aqueous aluminium silicate</w:t>
      </w:r>
      <w:r w:rsidR="00E9232E">
        <w:rPr>
          <w:rFonts w:cs="Arial"/>
          <w:szCs w:val="18"/>
          <w:lang w:val="en-GB"/>
        </w:rPr>
        <w:t xml:space="preserve"> </w:t>
      </w:r>
      <w:r w:rsidR="00241FD3">
        <w:rPr>
          <w:rFonts w:cs="Arial"/>
          <w:szCs w:val="18"/>
          <w:lang w:val="en-GB"/>
        </w:rPr>
        <w:t>(M. Parades, H. Murray, 1991)</w:t>
      </w:r>
      <w:r w:rsidR="00E9232E">
        <w:rPr>
          <w:rFonts w:cs="Arial"/>
          <w:szCs w:val="18"/>
          <w:lang w:val="en-GB"/>
        </w:rPr>
        <w:t xml:space="preserve">. </w:t>
      </w:r>
      <w:r w:rsidRPr="00E3631A">
        <w:rPr>
          <w:rFonts w:cs="Arial"/>
          <w:szCs w:val="18"/>
          <w:lang w:val="en-GB"/>
        </w:rPr>
        <w:t xml:space="preserve">In terms of structure, it is composed of octahedral sheets of alumina and tetrahedral sheets of silica. The OH groups present in the structure are converted </w:t>
      </w:r>
      <w:r w:rsidR="00BF19AC">
        <w:rPr>
          <w:rFonts w:cs="Arial"/>
          <w:szCs w:val="18"/>
          <w:lang w:val="en-GB"/>
        </w:rPr>
        <w:t xml:space="preserve">into gel water </w:t>
      </w:r>
      <w:r w:rsidRPr="00E3631A">
        <w:rPr>
          <w:rFonts w:cs="Arial"/>
          <w:szCs w:val="18"/>
          <w:lang w:val="en-GB"/>
        </w:rPr>
        <w:t xml:space="preserve">during </w:t>
      </w:r>
      <w:r w:rsidR="00BF19AC">
        <w:rPr>
          <w:rFonts w:cs="Arial"/>
          <w:szCs w:val="18"/>
          <w:lang w:val="en-GB"/>
        </w:rPr>
        <w:t xml:space="preserve">mechanochemical </w:t>
      </w:r>
      <w:r w:rsidR="0023511A">
        <w:rPr>
          <w:rFonts w:cs="Arial"/>
          <w:szCs w:val="18"/>
          <w:lang w:val="en-GB"/>
        </w:rPr>
        <w:t>activation</w:t>
      </w:r>
      <w:r w:rsidRPr="00E3631A">
        <w:rPr>
          <w:rFonts w:cs="Arial"/>
          <w:szCs w:val="18"/>
          <w:lang w:val="en-GB"/>
        </w:rPr>
        <w:t>.</w:t>
      </w:r>
      <w:r w:rsidRPr="00D5720A">
        <w:rPr>
          <w:rFonts w:cs="Arial"/>
          <w:szCs w:val="18"/>
        </w:rPr>
        <w:t xml:space="preserve"> Its composition is 46.54% SiO</w:t>
      </w:r>
      <w:r w:rsidRPr="00820FAB">
        <w:rPr>
          <w:rFonts w:cs="Arial"/>
          <w:szCs w:val="18"/>
          <w:vertAlign w:val="subscript"/>
        </w:rPr>
        <w:t>2</w:t>
      </w:r>
      <w:r w:rsidRPr="00D5720A">
        <w:rPr>
          <w:rFonts w:cs="Arial"/>
          <w:szCs w:val="18"/>
        </w:rPr>
        <w:t>, 39.5</w:t>
      </w:r>
      <w:r w:rsidR="00BF19AC">
        <w:rPr>
          <w:rFonts w:cs="Arial"/>
          <w:szCs w:val="18"/>
        </w:rPr>
        <w:t>0</w:t>
      </w:r>
      <w:r w:rsidRPr="00D5720A">
        <w:rPr>
          <w:rFonts w:cs="Arial"/>
          <w:szCs w:val="18"/>
        </w:rPr>
        <w:t>% Al</w:t>
      </w:r>
      <w:r w:rsidRPr="00820FAB">
        <w:rPr>
          <w:rFonts w:cs="Arial"/>
          <w:szCs w:val="18"/>
          <w:vertAlign w:val="subscript"/>
        </w:rPr>
        <w:t>2</w:t>
      </w:r>
      <w:r w:rsidRPr="00D5720A">
        <w:rPr>
          <w:rFonts w:cs="Arial"/>
          <w:szCs w:val="18"/>
        </w:rPr>
        <w:t>O</w:t>
      </w:r>
      <w:r w:rsidRPr="00820FAB">
        <w:rPr>
          <w:rFonts w:cs="Arial"/>
          <w:szCs w:val="18"/>
          <w:vertAlign w:val="subscript"/>
        </w:rPr>
        <w:t>3</w:t>
      </w:r>
      <w:r w:rsidRPr="00D5720A">
        <w:rPr>
          <w:rFonts w:cs="Arial"/>
          <w:szCs w:val="18"/>
        </w:rPr>
        <w:t xml:space="preserve"> and 13.96% water</w:t>
      </w:r>
      <w:r w:rsidR="00241FD3">
        <w:rPr>
          <w:rFonts w:cs="Arial"/>
          <w:szCs w:val="18"/>
        </w:rPr>
        <w:t xml:space="preserve"> </w:t>
      </w:r>
      <w:r w:rsidR="00241FD3">
        <w:rPr>
          <w:rFonts w:cs="Arial"/>
          <w:szCs w:val="18"/>
          <w:lang w:val="en-GB"/>
        </w:rPr>
        <w:t>(M. Parades</w:t>
      </w:r>
      <w:r w:rsidR="009B3C9E">
        <w:rPr>
          <w:rFonts w:cs="Arial"/>
          <w:szCs w:val="18"/>
          <w:lang w:val="en-GB"/>
        </w:rPr>
        <w:t xml:space="preserve"> and</w:t>
      </w:r>
      <w:r w:rsidR="00241FD3">
        <w:rPr>
          <w:rFonts w:cs="Arial"/>
          <w:szCs w:val="18"/>
          <w:lang w:val="en-GB"/>
        </w:rPr>
        <w:t xml:space="preserve"> H. Murray, 1991</w:t>
      </w:r>
      <w:r w:rsidR="00C41C41">
        <w:rPr>
          <w:rFonts w:cs="Arial"/>
          <w:szCs w:val="18"/>
          <w:lang w:val="en-GB"/>
        </w:rPr>
        <w:t>).</w:t>
      </w:r>
      <w:r w:rsidR="00C41C41">
        <w:rPr>
          <w:rFonts w:cs="Arial"/>
          <w:szCs w:val="18"/>
        </w:rPr>
        <w:t xml:space="preserve"> Its</w:t>
      </w:r>
      <w:r w:rsidRPr="00D5720A">
        <w:rPr>
          <w:rFonts w:cs="Arial"/>
          <w:szCs w:val="18"/>
        </w:rPr>
        <w:t xml:space="preserve"> first</w:t>
      </w:r>
      <w:r w:rsidR="005620CA">
        <w:rPr>
          <w:rFonts w:cs="Arial"/>
          <w:szCs w:val="18"/>
        </w:rPr>
        <w:t xml:space="preserve"> use </w:t>
      </w:r>
      <w:r w:rsidR="00C41C41">
        <w:rPr>
          <w:rFonts w:cs="Arial"/>
          <w:szCs w:val="18"/>
        </w:rPr>
        <w:t>was in</w:t>
      </w:r>
      <w:r w:rsidR="005620CA">
        <w:rPr>
          <w:rFonts w:cs="Arial"/>
          <w:szCs w:val="18"/>
        </w:rPr>
        <w:t xml:space="preserve"> </w:t>
      </w:r>
      <w:r w:rsidRPr="00D5720A">
        <w:rPr>
          <w:rFonts w:cs="Arial"/>
          <w:szCs w:val="18"/>
        </w:rPr>
        <w:t>porcelain production</w:t>
      </w:r>
      <w:r w:rsidR="004A2C86">
        <w:rPr>
          <w:rFonts w:cs="Arial"/>
          <w:szCs w:val="18"/>
        </w:rPr>
        <w:t xml:space="preserve"> (P. A. Schroeder, 2018)</w:t>
      </w:r>
      <w:r w:rsidRPr="00D5720A">
        <w:rPr>
          <w:rFonts w:cs="Arial"/>
          <w:szCs w:val="18"/>
        </w:rPr>
        <w:t>.</w:t>
      </w:r>
      <w:r w:rsidR="00051728">
        <w:rPr>
          <w:rFonts w:cs="Arial"/>
          <w:szCs w:val="18"/>
        </w:rPr>
        <w:t xml:space="preserve"> </w:t>
      </w:r>
      <w:r w:rsidR="005620CA">
        <w:rPr>
          <w:rFonts w:cs="Arial"/>
          <w:szCs w:val="18"/>
        </w:rPr>
        <w:t xml:space="preserve">The kaolin reserves of the </w:t>
      </w:r>
      <w:r w:rsidRPr="00D5720A">
        <w:rPr>
          <w:rFonts w:cs="Arial"/>
          <w:szCs w:val="18"/>
        </w:rPr>
        <w:t xml:space="preserve">World are currently estimated at 32 billion </w:t>
      </w:r>
      <w:r w:rsidR="00820FAB" w:rsidRPr="00D5720A">
        <w:rPr>
          <w:rFonts w:cs="Arial"/>
          <w:szCs w:val="18"/>
        </w:rPr>
        <w:t>tons</w:t>
      </w:r>
      <w:r w:rsidRPr="00D5720A">
        <w:rPr>
          <w:rFonts w:cs="Arial"/>
          <w:szCs w:val="18"/>
        </w:rPr>
        <w:t>,</w:t>
      </w:r>
      <w:r w:rsidR="005620CA">
        <w:rPr>
          <w:rFonts w:cs="Arial"/>
          <w:szCs w:val="18"/>
        </w:rPr>
        <w:t xml:space="preserve"> accounting for the largest share</w:t>
      </w:r>
      <w:r w:rsidR="00183F1D" w:rsidRPr="00D5720A">
        <w:rPr>
          <w:rFonts w:cs="Arial"/>
          <w:szCs w:val="18"/>
        </w:rPr>
        <w:t xml:space="preserve"> </w:t>
      </w:r>
      <w:r w:rsidRPr="00D5720A">
        <w:rPr>
          <w:rFonts w:cs="Arial"/>
          <w:szCs w:val="18"/>
        </w:rPr>
        <w:t>with Brazil, US, UK and Ukraine</w:t>
      </w:r>
      <w:r w:rsidR="005620CA">
        <w:rPr>
          <w:rFonts w:cs="Arial"/>
          <w:szCs w:val="18"/>
        </w:rPr>
        <w:t>, which equals of</w:t>
      </w:r>
      <w:r w:rsidRPr="00D5720A">
        <w:rPr>
          <w:rFonts w:cs="Arial"/>
          <w:szCs w:val="18"/>
        </w:rPr>
        <w:t xml:space="preserve"> 78% of world</w:t>
      </w:r>
      <w:r w:rsidR="005620CA">
        <w:rPr>
          <w:rFonts w:cs="Arial"/>
          <w:szCs w:val="18"/>
        </w:rPr>
        <w:t>’s</w:t>
      </w:r>
      <w:r w:rsidRPr="00D5720A">
        <w:rPr>
          <w:rFonts w:cs="Arial"/>
          <w:szCs w:val="18"/>
        </w:rPr>
        <w:t xml:space="preserve"> production</w:t>
      </w:r>
      <w:r w:rsidR="009B3C9E">
        <w:rPr>
          <w:rFonts w:cs="Arial"/>
          <w:szCs w:val="18"/>
        </w:rPr>
        <w:t xml:space="preserve"> (J. He et</w:t>
      </w:r>
      <w:r w:rsidR="00F31986">
        <w:rPr>
          <w:rFonts w:cs="Arial"/>
          <w:szCs w:val="18"/>
        </w:rPr>
        <w:t xml:space="preserve"> al., 2019)</w:t>
      </w:r>
      <w:r w:rsidR="009B3C9E">
        <w:rPr>
          <w:rFonts w:cs="Arial"/>
          <w:szCs w:val="18"/>
        </w:rPr>
        <w:t xml:space="preserve">. </w:t>
      </w:r>
      <w:r w:rsidRPr="00D5720A">
        <w:rPr>
          <w:rFonts w:cs="Arial"/>
          <w:szCs w:val="18"/>
        </w:rPr>
        <w:t xml:space="preserve">The kaolin market </w:t>
      </w:r>
      <w:r w:rsidR="005620CA">
        <w:rPr>
          <w:rFonts w:cs="Arial"/>
          <w:szCs w:val="18"/>
        </w:rPr>
        <w:t xml:space="preserve">has an </w:t>
      </w:r>
      <w:proofErr w:type="gramStart"/>
      <w:r w:rsidR="005620CA">
        <w:rPr>
          <w:rFonts w:cs="Arial"/>
          <w:szCs w:val="18"/>
        </w:rPr>
        <w:t>increment tendency</w:t>
      </w:r>
      <w:proofErr w:type="gramEnd"/>
      <w:r w:rsidR="005620CA">
        <w:rPr>
          <w:rFonts w:cs="Arial"/>
          <w:szCs w:val="18"/>
        </w:rPr>
        <w:t xml:space="preserve"> in the next few years, based on the statistics.</w:t>
      </w:r>
      <w:r w:rsidRPr="00D5720A">
        <w:rPr>
          <w:rFonts w:cs="Arial"/>
          <w:szCs w:val="18"/>
        </w:rPr>
        <w:t xml:space="preserve"> It is forecast</w:t>
      </w:r>
      <w:r w:rsidR="005620CA">
        <w:rPr>
          <w:rFonts w:cs="Arial"/>
          <w:szCs w:val="18"/>
        </w:rPr>
        <w:t>ed</w:t>
      </w:r>
      <w:r w:rsidRPr="00D5720A">
        <w:rPr>
          <w:rFonts w:cs="Arial"/>
          <w:szCs w:val="18"/>
        </w:rPr>
        <w:t xml:space="preserve"> to grow to</w:t>
      </w:r>
      <w:r w:rsidR="005620CA">
        <w:rPr>
          <w:rFonts w:cs="Arial"/>
          <w:szCs w:val="18"/>
        </w:rPr>
        <w:t xml:space="preserve"> </w:t>
      </w:r>
      <w:r w:rsidRPr="00D5720A">
        <w:rPr>
          <w:rFonts w:cs="Arial"/>
          <w:szCs w:val="18"/>
        </w:rPr>
        <w:t>14.67 billion</w:t>
      </w:r>
      <w:r w:rsidR="005620CA">
        <w:rPr>
          <w:rFonts w:cs="Arial"/>
          <w:szCs w:val="18"/>
        </w:rPr>
        <w:t xml:space="preserve"> USD</w:t>
      </w:r>
      <w:r w:rsidRPr="00D5720A">
        <w:rPr>
          <w:rFonts w:cs="Arial"/>
          <w:szCs w:val="18"/>
        </w:rPr>
        <w:t xml:space="preserve"> by 2028 </w:t>
      </w:r>
      <w:r w:rsidR="005620CA">
        <w:rPr>
          <w:rFonts w:cs="Arial"/>
          <w:szCs w:val="18"/>
        </w:rPr>
        <w:t>with</w:t>
      </w:r>
      <w:r w:rsidRPr="00D5720A">
        <w:rPr>
          <w:rFonts w:cs="Arial"/>
          <w:szCs w:val="18"/>
        </w:rPr>
        <w:t xml:space="preserve"> a compound annual growth rate (CAGR) of nearly 9%. </w:t>
      </w:r>
      <w:r w:rsidR="00C41C41">
        <w:rPr>
          <w:rFonts w:cs="Arial"/>
          <w:szCs w:val="18"/>
        </w:rPr>
        <w:t>I</w:t>
      </w:r>
      <w:r w:rsidR="00D5720A" w:rsidRPr="00D5720A">
        <w:rPr>
          <w:rFonts w:cs="Arial"/>
          <w:szCs w:val="18"/>
        </w:rPr>
        <w:t xml:space="preserve">n terms of use, more and more sectors are starting to </w:t>
      </w:r>
      <w:r w:rsidR="005620CA">
        <w:rPr>
          <w:rFonts w:cs="Arial"/>
          <w:szCs w:val="18"/>
        </w:rPr>
        <w:t xml:space="preserve">utilize </w:t>
      </w:r>
      <w:r w:rsidR="00D5720A" w:rsidRPr="00D5720A">
        <w:rPr>
          <w:rFonts w:cs="Arial"/>
          <w:szCs w:val="18"/>
        </w:rPr>
        <w:t xml:space="preserve">it. In the past, it was most widely </w:t>
      </w:r>
      <w:r w:rsidR="005620CA">
        <w:rPr>
          <w:rFonts w:cs="Arial"/>
          <w:szCs w:val="18"/>
        </w:rPr>
        <w:t xml:space="preserve">applied </w:t>
      </w:r>
      <w:r w:rsidR="00D5720A" w:rsidRPr="00D5720A">
        <w:rPr>
          <w:rFonts w:cs="Arial"/>
          <w:szCs w:val="18"/>
        </w:rPr>
        <w:t xml:space="preserve">in ceramics and paper production, but agriculture, cosmetics, </w:t>
      </w:r>
      <w:proofErr w:type="spellStart"/>
      <w:r w:rsidR="00D5720A" w:rsidRPr="00D5720A">
        <w:rPr>
          <w:rFonts w:cs="Arial"/>
          <w:szCs w:val="18"/>
        </w:rPr>
        <w:t>bioceramics</w:t>
      </w:r>
      <w:proofErr w:type="spellEnd"/>
      <w:r w:rsidR="00D5720A" w:rsidRPr="00D5720A">
        <w:rPr>
          <w:rFonts w:cs="Arial"/>
          <w:szCs w:val="18"/>
        </w:rPr>
        <w:t xml:space="preserve"> and medical applications have also become important markets</w:t>
      </w:r>
      <w:r w:rsidR="00F31986">
        <w:rPr>
          <w:rFonts w:cs="Arial"/>
          <w:szCs w:val="18"/>
        </w:rPr>
        <w:t xml:space="preserve"> (H. H. Murray, 2006, P</w:t>
      </w:r>
      <w:proofErr w:type="gramStart"/>
      <w:r w:rsidR="00F31986">
        <w:rPr>
          <w:rFonts w:cs="Arial"/>
          <w:szCs w:val="18"/>
        </w:rPr>
        <w:t>. A</w:t>
      </w:r>
      <w:proofErr w:type="gramEnd"/>
      <w:r w:rsidR="00F31986">
        <w:rPr>
          <w:rFonts w:cs="Arial"/>
          <w:szCs w:val="18"/>
        </w:rPr>
        <w:t>. Alaba</w:t>
      </w:r>
      <w:r w:rsidR="00B01625">
        <w:rPr>
          <w:rFonts w:cs="Arial"/>
          <w:szCs w:val="18"/>
        </w:rPr>
        <w:t xml:space="preserve"> </w:t>
      </w:r>
      <w:r w:rsidR="009B3C9E">
        <w:rPr>
          <w:rFonts w:cs="Arial"/>
          <w:szCs w:val="18"/>
        </w:rPr>
        <w:t>et al.</w:t>
      </w:r>
      <w:r w:rsidR="00F31986">
        <w:rPr>
          <w:rFonts w:cs="Arial"/>
          <w:szCs w:val="18"/>
        </w:rPr>
        <w:t>, 2015)</w:t>
      </w:r>
      <w:r w:rsidR="0079303F">
        <w:rPr>
          <w:rFonts w:cs="Arial"/>
          <w:szCs w:val="18"/>
        </w:rPr>
        <w:t xml:space="preserve">. </w:t>
      </w:r>
      <w:r w:rsidR="00D5720A" w:rsidRPr="00D5720A">
        <w:rPr>
          <w:rFonts w:cs="Arial"/>
          <w:szCs w:val="18"/>
        </w:rPr>
        <w:t xml:space="preserve">Agglomerates have been used as catalysts since the 1930s, but </w:t>
      </w:r>
      <w:r w:rsidR="00C41C41" w:rsidRPr="00D5720A">
        <w:rPr>
          <w:rFonts w:cs="Arial"/>
          <w:szCs w:val="18"/>
        </w:rPr>
        <w:t>several</w:t>
      </w:r>
      <w:r w:rsidR="00D5720A" w:rsidRPr="00D5720A">
        <w:rPr>
          <w:rFonts w:cs="Arial"/>
          <w:szCs w:val="18"/>
        </w:rPr>
        <w:t xml:space="preserve"> obstacles have </w:t>
      </w:r>
      <w:r w:rsidR="005620CA">
        <w:rPr>
          <w:rFonts w:cs="Arial"/>
          <w:szCs w:val="18"/>
        </w:rPr>
        <w:t xml:space="preserve">inhibited </w:t>
      </w:r>
      <w:r w:rsidR="00D5720A" w:rsidRPr="00D5720A">
        <w:rPr>
          <w:rFonts w:cs="Arial"/>
          <w:szCs w:val="18"/>
        </w:rPr>
        <w:t>their widespread use</w:t>
      </w:r>
      <w:r w:rsidR="00B01625">
        <w:rPr>
          <w:rFonts w:cs="Arial"/>
          <w:szCs w:val="18"/>
        </w:rPr>
        <w:t xml:space="preserve"> (P</w:t>
      </w:r>
      <w:proofErr w:type="gramStart"/>
      <w:r w:rsidR="00B01625">
        <w:rPr>
          <w:rFonts w:cs="Arial"/>
          <w:szCs w:val="18"/>
        </w:rPr>
        <w:t>. A</w:t>
      </w:r>
      <w:proofErr w:type="gramEnd"/>
      <w:r w:rsidR="00B01625">
        <w:rPr>
          <w:rFonts w:cs="Arial"/>
          <w:szCs w:val="18"/>
        </w:rPr>
        <w:t>. Alaba et al., 2015)</w:t>
      </w:r>
      <w:r w:rsidR="00D5720A" w:rsidRPr="00D5720A">
        <w:rPr>
          <w:rFonts w:cs="Arial"/>
          <w:szCs w:val="18"/>
        </w:rPr>
        <w:t xml:space="preserve">. Kaolin has been used in many industrial processes, such as photocatalysis </w:t>
      </w:r>
      <w:r w:rsidR="00B01625">
        <w:rPr>
          <w:rFonts w:cs="Arial"/>
          <w:szCs w:val="18"/>
        </w:rPr>
        <w:t>(P. Hu, H. Yang, 2013)</w:t>
      </w:r>
      <w:r w:rsidR="00D5720A" w:rsidRPr="00D5720A">
        <w:rPr>
          <w:rFonts w:cs="Arial"/>
          <w:szCs w:val="18"/>
        </w:rPr>
        <w:t xml:space="preserve">, ion exchange </w:t>
      </w:r>
      <w:r w:rsidR="00B01625">
        <w:rPr>
          <w:rFonts w:cs="Arial"/>
          <w:szCs w:val="18"/>
        </w:rPr>
        <w:t xml:space="preserve">(K. G. </w:t>
      </w:r>
      <w:proofErr w:type="spellStart"/>
      <w:r w:rsidR="00B01625">
        <w:rPr>
          <w:rFonts w:cs="Arial"/>
          <w:szCs w:val="18"/>
        </w:rPr>
        <w:t>Bhattacharrya</w:t>
      </w:r>
      <w:proofErr w:type="spellEnd"/>
      <w:r w:rsidR="00B01625">
        <w:rPr>
          <w:rFonts w:cs="Arial"/>
          <w:szCs w:val="18"/>
        </w:rPr>
        <w:t>, S. S. Gupta, 2011)</w:t>
      </w:r>
      <w:r w:rsidR="00D5720A" w:rsidRPr="00D5720A">
        <w:rPr>
          <w:rFonts w:cs="Arial"/>
          <w:szCs w:val="18"/>
        </w:rPr>
        <w:t xml:space="preserve"> or even adsorption </w:t>
      </w:r>
      <w:r w:rsidR="009B3C9E">
        <w:rPr>
          <w:rFonts w:cs="Arial"/>
          <w:szCs w:val="18"/>
        </w:rPr>
        <w:t>(Q. Zhuo et</w:t>
      </w:r>
      <w:r w:rsidR="00B01625">
        <w:rPr>
          <w:rFonts w:cs="Arial"/>
          <w:szCs w:val="18"/>
        </w:rPr>
        <w:t xml:space="preserve"> al., 2007)</w:t>
      </w:r>
      <w:r w:rsidR="00D5720A" w:rsidRPr="00D5720A">
        <w:rPr>
          <w:rFonts w:cs="Arial"/>
          <w:szCs w:val="18"/>
        </w:rPr>
        <w:t xml:space="preserve">, but there are limitations that make its use difficult, such as impurities, porosity and low surface area </w:t>
      </w:r>
      <w:r w:rsidR="0083400D">
        <w:rPr>
          <w:rFonts w:cs="Arial"/>
          <w:szCs w:val="18"/>
        </w:rPr>
        <w:t>(A. K. Panda</w:t>
      </w:r>
      <w:r w:rsidR="009B3C9E">
        <w:rPr>
          <w:rFonts w:cs="Arial"/>
          <w:szCs w:val="18"/>
        </w:rPr>
        <w:t xml:space="preserve"> and</w:t>
      </w:r>
      <w:r w:rsidR="0083400D">
        <w:rPr>
          <w:rFonts w:cs="Arial"/>
          <w:szCs w:val="18"/>
        </w:rPr>
        <w:t xml:space="preserve"> RK Singh, 2011, A. Vaccari, 1999).</w:t>
      </w:r>
      <w:r w:rsidR="00D5720A" w:rsidRPr="00D5720A">
        <w:rPr>
          <w:rFonts w:cs="Arial"/>
          <w:szCs w:val="18"/>
        </w:rPr>
        <w:t xml:space="preserve"> To improve these properties, various modifications are required, such as thermal activation </w:t>
      </w:r>
      <w:r w:rsidR="0083400D">
        <w:rPr>
          <w:rFonts w:cs="Arial"/>
          <w:szCs w:val="18"/>
        </w:rPr>
        <w:t xml:space="preserve">(L. A. S. </w:t>
      </w:r>
      <w:proofErr w:type="spellStart"/>
      <w:r w:rsidR="0083400D">
        <w:rPr>
          <w:rFonts w:cs="Arial"/>
          <w:szCs w:val="18"/>
        </w:rPr>
        <w:t>do</w:t>
      </w:r>
      <w:proofErr w:type="spellEnd"/>
      <w:r w:rsidR="0083400D">
        <w:rPr>
          <w:rFonts w:cs="Arial"/>
          <w:szCs w:val="18"/>
        </w:rPr>
        <w:t xml:space="preserve"> Nacimento et al., 2011</w:t>
      </w:r>
      <w:r w:rsidR="00D5720A" w:rsidRPr="00D5720A">
        <w:rPr>
          <w:rFonts w:cs="Arial"/>
          <w:szCs w:val="18"/>
        </w:rPr>
        <w:t xml:space="preserve">, </w:t>
      </w:r>
      <w:r w:rsidR="009B3C9E">
        <w:rPr>
          <w:rFonts w:cs="Arial"/>
          <w:szCs w:val="18"/>
        </w:rPr>
        <w:t>E. Horváth et</w:t>
      </w:r>
      <w:r w:rsidR="0083400D">
        <w:rPr>
          <w:rFonts w:cs="Arial"/>
          <w:szCs w:val="18"/>
        </w:rPr>
        <w:t xml:space="preserve"> al., 2003)</w:t>
      </w:r>
      <w:r w:rsidR="00D5720A" w:rsidRPr="00D5720A">
        <w:rPr>
          <w:rFonts w:cs="Arial"/>
          <w:szCs w:val="18"/>
        </w:rPr>
        <w:t xml:space="preserve">, mechanochemical activation </w:t>
      </w:r>
      <w:r w:rsidR="0083400D">
        <w:rPr>
          <w:rFonts w:cs="Arial"/>
          <w:szCs w:val="18"/>
        </w:rPr>
        <w:t>(E. Horváth et al., 2003</w:t>
      </w:r>
      <w:r w:rsidR="00D5720A" w:rsidRPr="00D5720A">
        <w:rPr>
          <w:rFonts w:cs="Arial"/>
          <w:szCs w:val="18"/>
        </w:rPr>
        <w:t xml:space="preserve">, </w:t>
      </w:r>
      <w:r w:rsidR="0083400D">
        <w:rPr>
          <w:rFonts w:cs="Arial"/>
          <w:szCs w:val="18"/>
        </w:rPr>
        <w:t xml:space="preserve">V. </w:t>
      </w:r>
      <w:proofErr w:type="spellStart"/>
      <w:r w:rsidR="0083400D">
        <w:rPr>
          <w:rFonts w:cs="Arial"/>
          <w:szCs w:val="18"/>
        </w:rPr>
        <w:t>Vágvölgyi</w:t>
      </w:r>
      <w:proofErr w:type="spellEnd"/>
      <w:r w:rsidR="0083400D">
        <w:rPr>
          <w:rFonts w:cs="Arial"/>
          <w:szCs w:val="18"/>
        </w:rPr>
        <w:t xml:space="preserve"> </w:t>
      </w:r>
      <w:r w:rsidR="009B3C9E">
        <w:rPr>
          <w:rFonts w:cs="Arial"/>
          <w:szCs w:val="18"/>
        </w:rPr>
        <w:t>et al.</w:t>
      </w:r>
      <w:r w:rsidR="0083400D">
        <w:rPr>
          <w:rFonts w:cs="Arial"/>
          <w:szCs w:val="18"/>
        </w:rPr>
        <w:t>, 2008)</w:t>
      </w:r>
      <w:r w:rsidR="00D5720A" w:rsidRPr="00D5720A">
        <w:rPr>
          <w:rFonts w:cs="Arial"/>
          <w:szCs w:val="18"/>
        </w:rPr>
        <w:t xml:space="preserve"> or chemical activation (alkaline or organic or inorganic acid treatment) </w:t>
      </w:r>
      <w:r w:rsidR="0087451E">
        <w:rPr>
          <w:rFonts w:cs="Arial"/>
          <w:szCs w:val="18"/>
        </w:rPr>
        <w:t xml:space="preserve">(L. A. S. </w:t>
      </w:r>
      <w:proofErr w:type="spellStart"/>
      <w:r w:rsidR="0087451E">
        <w:rPr>
          <w:rFonts w:cs="Arial"/>
          <w:szCs w:val="18"/>
        </w:rPr>
        <w:t>do</w:t>
      </w:r>
      <w:proofErr w:type="spellEnd"/>
      <w:r w:rsidR="0087451E">
        <w:rPr>
          <w:rFonts w:cs="Arial"/>
          <w:szCs w:val="18"/>
        </w:rPr>
        <w:t xml:space="preserve"> Nacimento et al., 2011)</w:t>
      </w:r>
      <w:r w:rsidR="00D5720A" w:rsidRPr="00D5720A">
        <w:rPr>
          <w:rFonts w:cs="Arial"/>
          <w:szCs w:val="18"/>
        </w:rPr>
        <w:t>.</w:t>
      </w:r>
      <w:r w:rsidR="00051728">
        <w:rPr>
          <w:rFonts w:cs="Arial"/>
          <w:szCs w:val="18"/>
        </w:rPr>
        <w:t xml:space="preserve"> </w:t>
      </w:r>
      <w:r w:rsidR="00D5720A" w:rsidRPr="00D5720A">
        <w:t>During thermal treatment, the water content of the kaolin, which is present as physically bound</w:t>
      </w:r>
      <w:r w:rsidR="009B3C9E">
        <w:t>ed</w:t>
      </w:r>
      <w:r w:rsidR="00D5720A" w:rsidRPr="00D5720A">
        <w:t xml:space="preserve"> water, is removed</w:t>
      </w:r>
      <w:r w:rsidR="00BF19AC">
        <w:t xml:space="preserve"> </w:t>
      </w:r>
      <w:r w:rsidR="00D5720A" w:rsidRPr="00D5720A">
        <w:t>between 55</w:t>
      </w:r>
      <w:r w:rsidR="005620CA">
        <w:t xml:space="preserve">°C </w:t>
      </w:r>
      <w:r w:rsidR="00D5720A" w:rsidRPr="00D5720A">
        <w:t xml:space="preserve">and 80°C. A further change in the structure occurs at 450-600°C, when the </w:t>
      </w:r>
      <w:proofErr w:type="spellStart"/>
      <w:r w:rsidR="00D5720A" w:rsidRPr="00D5720A">
        <w:t>dehydroxylation</w:t>
      </w:r>
      <w:proofErr w:type="spellEnd"/>
      <w:r w:rsidR="00D5720A" w:rsidRPr="00D5720A">
        <w:t xml:space="preserve"> of the kaolinite particles </w:t>
      </w:r>
      <w:r w:rsidR="00D5720A" w:rsidRPr="00D5720A">
        <w:lastRenderedPageBreak/>
        <w:t xml:space="preserve">takes place according to the </w:t>
      </w:r>
      <w:r w:rsidR="005620CA">
        <w:t xml:space="preserve">following </w:t>
      </w:r>
      <w:r w:rsidR="00D5720A" w:rsidRPr="00D5720A">
        <w:t xml:space="preserve">reaction, resulting in </w:t>
      </w:r>
      <w:proofErr w:type="spellStart"/>
      <w:r w:rsidR="00D5720A" w:rsidRPr="00D5720A">
        <w:t>metakaolinite</w:t>
      </w:r>
      <w:proofErr w:type="spellEnd"/>
      <w:r w:rsidR="00D5720A" w:rsidRPr="00D5720A">
        <w:t xml:space="preserve"> </w:t>
      </w:r>
      <w:r w:rsidR="0087451E">
        <w:t>(</w:t>
      </w:r>
      <w:r w:rsidR="009B3C9E">
        <w:rPr>
          <w:rFonts w:cs="Arial"/>
          <w:szCs w:val="18"/>
        </w:rPr>
        <w:t xml:space="preserve">V. </w:t>
      </w:r>
      <w:proofErr w:type="spellStart"/>
      <w:r w:rsidR="009B3C9E">
        <w:rPr>
          <w:rFonts w:cs="Arial"/>
          <w:szCs w:val="18"/>
        </w:rPr>
        <w:t>Vágvölgyi</w:t>
      </w:r>
      <w:proofErr w:type="spellEnd"/>
      <w:r w:rsidR="009B3C9E">
        <w:rPr>
          <w:rFonts w:cs="Arial"/>
          <w:szCs w:val="18"/>
        </w:rPr>
        <w:t xml:space="preserve"> et. al, 2008, H. Cheng et</w:t>
      </w:r>
      <w:r w:rsidR="0087451E">
        <w:rPr>
          <w:rFonts w:cs="Arial"/>
          <w:szCs w:val="18"/>
        </w:rPr>
        <w:t xml:space="preserve"> al., 2012, E. Gasparini et al., 2013)</w:t>
      </w:r>
      <w:r w:rsidR="00A1357F">
        <w:t>.</w:t>
      </w:r>
    </w:p>
    <w:p w14:paraId="26F02EFC" w14:textId="674743A6" w:rsidR="00D5720A" w:rsidRPr="00D5720A" w:rsidRDefault="00D5720A" w:rsidP="0079303F">
      <w:pPr>
        <w:pStyle w:val="CETBodytext"/>
        <w:spacing w:before="120" w:after="120" w:line="240" w:lineRule="auto"/>
        <w:rPr>
          <w:rFonts w:cs="Arial"/>
          <w:szCs w:val="18"/>
        </w:rPr>
      </w:pPr>
      <m:oMathPara>
        <m:oMath>
          <m:r>
            <w:rPr>
              <w:rFonts w:ascii="Cambria Math" w:hAnsi="Cambria Math" w:cs="Arial"/>
              <w:szCs w:val="18"/>
            </w:rPr>
            <m:t>A</m:t>
          </m:r>
          <m:sSub>
            <m:sSubPr>
              <m:ctrlPr>
                <w:rPr>
                  <w:rFonts w:ascii="Cambria Math" w:hAnsi="Cambria Math" w:cs="Arial"/>
                  <w:i/>
                  <w:szCs w:val="18"/>
                </w:rPr>
              </m:ctrlPr>
            </m:sSubPr>
            <m:e>
              <m:r>
                <w:rPr>
                  <w:rFonts w:ascii="Cambria Math" w:hAnsi="Cambria Math" w:cs="Arial"/>
                  <w:szCs w:val="18"/>
                </w:rPr>
                <m:t>l</m:t>
              </m:r>
            </m:e>
            <m:sub>
              <m:r>
                <w:rPr>
                  <w:rFonts w:ascii="Cambria Math" w:hAnsi="Cambria Math" w:cs="Arial"/>
                  <w:szCs w:val="18"/>
                </w:rPr>
                <m:t>2</m:t>
              </m:r>
            </m:sub>
          </m:sSub>
          <m:r>
            <w:rPr>
              <w:rFonts w:ascii="Cambria Math" w:hAnsi="Cambria Math" w:cs="Arial"/>
              <w:szCs w:val="18"/>
            </w:rPr>
            <m:t>S</m:t>
          </m:r>
          <m:sSub>
            <m:sSubPr>
              <m:ctrlPr>
                <w:rPr>
                  <w:rFonts w:ascii="Cambria Math" w:hAnsi="Cambria Math" w:cs="Arial"/>
                  <w:i/>
                  <w:szCs w:val="18"/>
                </w:rPr>
              </m:ctrlPr>
            </m:sSubPr>
            <m:e>
              <m:r>
                <w:rPr>
                  <w:rFonts w:ascii="Cambria Math" w:hAnsi="Cambria Math" w:cs="Arial"/>
                  <w:szCs w:val="18"/>
                </w:rPr>
                <m:t>i</m:t>
              </m:r>
            </m:e>
            <m:sub>
              <m:r>
                <w:rPr>
                  <w:rFonts w:ascii="Cambria Math" w:hAnsi="Cambria Math" w:cs="Arial"/>
                  <w:szCs w:val="18"/>
                </w:rPr>
                <m:t>2</m:t>
              </m:r>
            </m:sub>
          </m:sSub>
          <m:sSub>
            <m:sSubPr>
              <m:ctrlPr>
                <w:rPr>
                  <w:rFonts w:ascii="Cambria Math" w:hAnsi="Cambria Math" w:cs="Arial"/>
                  <w:i/>
                  <w:szCs w:val="18"/>
                </w:rPr>
              </m:ctrlPr>
            </m:sSubPr>
            <m:e>
              <m:r>
                <w:rPr>
                  <w:rFonts w:ascii="Cambria Math" w:hAnsi="Cambria Math" w:cs="Arial"/>
                  <w:szCs w:val="18"/>
                </w:rPr>
                <m:t>O</m:t>
              </m:r>
            </m:e>
            <m:sub>
              <m:r>
                <w:rPr>
                  <w:rFonts w:ascii="Cambria Math" w:hAnsi="Cambria Math" w:cs="Arial"/>
                  <w:szCs w:val="18"/>
                </w:rPr>
                <m:t>5</m:t>
              </m:r>
            </m:sub>
          </m:sSub>
          <m:sSub>
            <m:sSubPr>
              <m:ctrlPr>
                <w:rPr>
                  <w:rFonts w:ascii="Cambria Math" w:hAnsi="Cambria Math" w:cs="Arial"/>
                  <w:i/>
                  <w:szCs w:val="18"/>
                </w:rPr>
              </m:ctrlPr>
            </m:sSubPr>
            <m:e>
              <m:d>
                <m:dPr>
                  <m:ctrlPr>
                    <w:rPr>
                      <w:rFonts w:ascii="Cambria Math" w:hAnsi="Cambria Math" w:cs="Arial"/>
                      <w:i/>
                      <w:szCs w:val="18"/>
                    </w:rPr>
                  </m:ctrlPr>
                </m:dPr>
                <m:e>
                  <m:r>
                    <w:rPr>
                      <w:rFonts w:ascii="Cambria Math" w:hAnsi="Cambria Math" w:cs="Arial"/>
                      <w:szCs w:val="18"/>
                    </w:rPr>
                    <m:t>OH</m:t>
                  </m:r>
                </m:e>
              </m:d>
            </m:e>
            <m:sub>
              <m:r>
                <w:rPr>
                  <w:rFonts w:ascii="Cambria Math" w:hAnsi="Cambria Math" w:cs="Arial"/>
                  <w:szCs w:val="18"/>
                </w:rPr>
                <m:t>4</m:t>
              </m:r>
            </m:sub>
          </m:sSub>
          <m:r>
            <w:rPr>
              <w:rFonts w:ascii="Cambria Math" w:hAnsi="Cambria Math" w:cs="Arial"/>
              <w:szCs w:val="18"/>
            </w:rPr>
            <m:t>→A</m:t>
          </m:r>
          <m:sSub>
            <m:sSubPr>
              <m:ctrlPr>
                <w:rPr>
                  <w:rFonts w:ascii="Cambria Math" w:hAnsi="Cambria Math" w:cs="Arial"/>
                  <w:i/>
                  <w:szCs w:val="18"/>
                </w:rPr>
              </m:ctrlPr>
            </m:sSubPr>
            <m:e>
              <m:r>
                <w:rPr>
                  <w:rFonts w:ascii="Cambria Math" w:hAnsi="Cambria Math" w:cs="Arial"/>
                  <w:szCs w:val="18"/>
                </w:rPr>
                <m:t>l</m:t>
              </m:r>
            </m:e>
            <m:sub>
              <m:r>
                <w:rPr>
                  <w:rFonts w:ascii="Cambria Math" w:hAnsi="Cambria Math" w:cs="Arial"/>
                  <w:szCs w:val="18"/>
                </w:rPr>
                <m:t>2</m:t>
              </m:r>
            </m:sub>
          </m:sSub>
          <m:sSub>
            <m:sSubPr>
              <m:ctrlPr>
                <w:rPr>
                  <w:rFonts w:ascii="Cambria Math" w:hAnsi="Cambria Math" w:cs="Arial"/>
                  <w:i/>
                  <w:szCs w:val="18"/>
                </w:rPr>
              </m:ctrlPr>
            </m:sSubPr>
            <m:e>
              <m:r>
                <w:rPr>
                  <w:rFonts w:ascii="Cambria Math" w:hAnsi="Cambria Math" w:cs="Arial"/>
                  <w:szCs w:val="18"/>
                </w:rPr>
                <m:t>O</m:t>
              </m:r>
            </m:e>
            <m:sub>
              <m:r>
                <w:rPr>
                  <w:rFonts w:ascii="Cambria Math" w:hAnsi="Cambria Math" w:cs="Arial"/>
                  <w:szCs w:val="18"/>
                </w:rPr>
                <m:t>3</m:t>
              </m:r>
            </m:sub>
          </m:sSub>
          <m:r>
            <w:rPr>
              <w:rFonts w:ascii="Cambria Math" w:hAnsi="Cambria Math" w:cs="Arial"/>
              <w:szCs w:val="18"/>
            </w:rPr>
            <m:t>∙2 Si</m:t>
          </m:r>
          <m:sSub>
            <m:sSubPr>
              <m:ctrlPr>
                <w:rPr>
                  <w:rFonts w:ascii="Cambria Math" w:hAnsi="Cambria Math" w:cs="Arial"/>
                  <w:i/>
                  <w:szCs w:val="18"/>
                </w:rPr>
              </m:ctrlPr>
            </m:sSubPr>
            <m:e>
              <m:r>
                <w:rPr>
                  <w:rFonts w:ascii="Cambria Math" w:hAnsi="Cambria Math" w:cs="Arial"/>
                  <w:szCs w:val="18"/>
                </w:rPr>
                <m:t>O</m:t>
              </m:r>
            </m:e>
            <m:sub>
              <m:r>
                <w:rPr>
                  <w:rFonts w:ascii="Cambria Math" w:hAnsi="Cambria Math" w:cs="Arial"/>
                  <w:szCs w:val="18"/>
                </w:rPr>
                <m:t>2</m:t>
              </m:r>
            </m:sub>
          </m:sSub>
          <m:r>
            <w:rPr>
              <w:rFonts w:ascii="Cambria Math" w:hAnsi="Cambria Math" w:cs="Arial"/>
              <w:szCs w:val="18"/>
            </w:rPr>
            <m:t xml:space="preserve">+2 </m:t>
          </m:r>
          <m:sSub>
            <m:sSubPr>
              <m:ctrlPr>
                <w:rPr>
                  <w:rFonts w:ascii="Cambria Math" w:hAnsi="Cambria Math" w:cs="Arial"/>
                  <w:i/>
                  <w:szCs w:val="18"/>
                </w:rPr>
              </m:ctrlPr>
            </m:sSubPr>
            <m:e>
              <m:r>
                <w:rPr>
                  <w:rFonts w:ascii="Cambria Math" w:hAnsi="Cambria Math" w:cs="Arial"/>
                  <w:szCs w:val="18"/>
                </w:rPr>
                <m:t>H</m:t>
              </m:r>
            </m:e>
            <m:sub>
              <m:r>
                <w:rPr>
                  <w:rFonts w:ascii="Cambria Math" w:hAnsi="Cambria Math" w:cs="Arial"/>
                  <w:szCs w:val="18"/>
                </w:rPr>
                <m:t>2</m:t>
              </m:r>
            </m:sub>
          </m:sSub>
          <m:r>
            <w:rPr>
              <w:rFonts w:ascii="Cambria Math" w:hAnsi="Cambria Math" w:cs="Arial"/>
              <w:szCs w:val="18"/>
            </w:rPr>
            <m:t>O</m:t>
          </m:r>
        </m:oMath>
      </m:oMathPara>
    </w:p>
    <w:p w14:paraId="38FB30A3" w14:textId="2333373C" w:rsidR="00D5720A" w:rsidRPr="00D5720A" w:rsidRDefault="00D5720A" w:rsidP="00D5720A">
      <w:pPr>
        <w:pStyle w:val="CETBodytext"/>
        <w:spacing w:before="120" w:line="240" w:lineRule="auto"/>
        <w:contextualSpacing/>
        <w:rPr>
          <w:rFonts w:cs="Arial"/>
          <w:szCs w:val="18"/>
          <w:lang w:val="en-GB"/>
        </w:rPr>
      </w:pPr>
      <w:r w:rsidRPr="00D5720A">
        <w:rPr>
          <w:rFonts w:cs="Arial"/>
          <w:szCs w:val="18"/>
          <w:lang w:val="en-GB"/>
        </w:rPr>
        <w:t>In contra</w:t>
      </w:r>
      <w:r w:rsidR="005620CA">
        <w:rPr>
          <w:rFonts w:cs="Arial"/>
          <w:szCs w:val="18"/>
          <w:lang w:val="en-GB"/>
        </w:rPr>
        <w:t>ry</w:t>
      </w:r>
      <w:r w:rsidRPr="00D5720A">
        <w:rPr>
          <w:rFonts w:cs="Arial"/>
          <w:szCs w:val="18"/>
          <w:lang w:val="en-GB"/>
        </w:rPr>
        <w:t>, during mechanochemical activation, the O-H, Al-OH, Al-O-Si and Si-O bonds are broken, the</w:t>
      </w:r>
      <w:r w:rsidR="005620CA">
        <w:rPr>
          <w:rFonts w:cs="Arial"/>
          <w:szCs w:val="18"/>
          <w:lang w:val="en-GB"/>
        </w:rPr>
        <w:t xml:space="preserve"> formation of water </w:t>
      </w:r>
      <w:r w:rsidR="003A5458">
        <w:rPr>
          <w:rFonts w:cs="Arial"/>
          <w:szCs w:val="18"/>
          <w:lang w:val="en-GB"/>
        </w:rPr>
        <w:t>occurred</w:t>
      </w:r>
      <w:r w:rsidR="005620CA">
        <w:rPr>
          <w:rFonts w:cs="Arial"/>
          <w:szCs w:val="18"/>
          <w:lang w:val="en-GB"/>
        </w:rPr>
        <w:t xml:space="preserve"> owing to the </w:t>
      </w:r>
      <w:r w:rsidRPr="00D5720A">
        <w:rPr>
          <w:rFonts w:cs="Arial"/>
          <w:szCs w:val="18"/>
          <w:lang w:val="en-GB"/>
        </w:rPr>
        <w:t xml:space="preserve">released OH groups </w:t>
      </w:r>
      <w:r w:rsidR="005620CA">
        <w:rPr>
          <w:rFonts w:cs="Arial"/>
          <w:szCs w:val="18"/>
          <w:lang w:val="en-GB"/>
        </w:rPr>
        <w:t>and</w:t>
      </w:r>
      <w:r w:rsidRPr="00D5720A">
        <w:rPr>
          <w:rFonts w:cs="Arial"/>
          <w:szCs w:val="18"/>
          <w:lang w:val="en-GB"/>
        </w:rPr>
        <w:t xml:space="preserve"> proton, which then remains in the system as gel water</w:t>
      </w:r>
      <w:r w:rsidR="005620CA">
        <w:rPr>
          <w:rFonts w:cs="Arial"/>
          <w:szCs w:val="18"/>
          <w:lang w:val="en-GB"/>
        </w:rPr>
        <w:t>, as the following equation</w:t>
      </w:r>
      <w:r w:rsidRPr="00D5720A">
        <w:rPr>
          <w:rFonts w:cs="Arial"/>
          <w:szCs w:val="18"/>
          <w:lang w:val="en-GB"/>
        </w:rPr>
        <w:t xml:space="preserve"> </w:t>
      </w:r>
      <w:r w:rsidR="009B3C9E">
        <w:rPr>
          <w:rFonts w:cs="Arial"/>
          <w:szCs w:val="18"/>
          <w:lang w:val="en-GB"/>
        </w:rPr>
        <w:t>(É. Makó et</w:t>
      </w:r>
      <w:r w:rsidR="00522F76">
        <w:rPr>
          <w:rFonts w:cs="Arial"/>
          <w:szCs w:val="18"/>
          <w:lang w:val="en-GB"/>
        </w:rPr>
        <w:t xml:space="preserve"> al., 2001)</w:t>
      </w:r>
      <w:r w:rsidRPr="00D5720A">
        <w:rPr>
          <w:rFonts w:cs="Arial"/>
          <w:szCs w:val="18"/>
          <w:lang w:val="en-GB"/>
        </w:rPr>
        <w:t>.</w:t>
      </w:r>
    </w:p>
    <w:p w14:paraId="7C55B061" w14:textId="26D66D14" w:rsidR="00D5720A" w:rsidRPr="00D5720A" w:rsidRDefault="00D5720A" w:rsidP="0079303F">
      <w:pPr>
        <w:pStyle w:val="CETBodytext"/>
        <w:spacing w:before="120" w:after="120" w:line="240" w:lineRule="auto"/>
        <w:rPr>
          <w:rFonts w:cs="Arial"/>
          <w:szCs w:val="18"/>
          <w:lang w:val="en-GB"/>
        </w:rPr>
      </w:pPr>
      <m:oMathPara>
        <m:oMath>
          <m:r>
            <w:rPr>
              <w:rFonts w:ascii="Cambria Math" w:hAnsi="Cambria Math" w:cs="Arial"/>
              <w:szCs w:val="18"/>
            </w:rPr>
            <m:t>O</m:t>
          </m:r>
          <m:sSup>
            <m:sSupPr>
              <m:ctrlPr>
                <w:rPr>
                  <w:rFonts w:ascii="Cambria Math" w:hAnsi="Cambria Math" w:cs="Arial"/>
                  <w:i/>
                  <w:szCs w:val="18"/>
                </w:rPr>
              </m:ctrlPr>
            </m:sSupPr>
            <m:e>
              <m:r>
                <w:rPr>
                  <w:rFonts w:ascii="Cambria Math" w:hAnsi="Cambria Math" w:cs="Arial"/>
                  <w:szCs w:val="18"/>
                </w:rPr>
                <m:t>H</m:t>
              </m:r>
            </m:e>
            <m:sup>
              <m:r>
                <w:rPr>
                  <w:rFonts w:ascii="Cambria Math" w:hAnsi="Cambria Math" w:cs="Arial"/>
                  <w:szCs w:val="18"/>
                </w:rPr>
                <m:t>-</m:t>
              </m:r>
            </m:sup>
          </m:sSup>
          <m:r>
            <w:rPr>
              <w:rFonts w:ascii="Cambria Math" w:hAnsi="Cambria Math" w:cs="Arial"/>
              <w:szCs w:val="18"/>
            </w:rPr>
            <m:t>→</m:t>
          </m:r>
          <m:sSup>
            <m:sSupPr>
              <m:ctrlPr>
                <w:rPr>
                  <w:rFonts w:ascii="Cambria Math" w:hAnsi="Cambria Math" w:cs="Arial"/>
                  <w:i/>
                  <w:szCs w:val="18"/>
                </w:rPr>
              </m:ctrlPr>
            </m:sSupPr>
            <m:e>
              <m:r>
                <w:rPr>
                  <w:rFonts w:ascii="Cambria Math" w:hAnsi="Cambria Math" w:cs="Arial"/>
                  <w:szCs w:val="18"/>
                </w:rPr>
                <m:t>H</m:t>
              </m:r>
            </m:e>
            <m:sup>
              <m:r>
                <w:rPr>
                  <w:rFonts w:ascii="Cambria Math" w:hAnsi="Cambria Math" w:cs="Arial"/>
                  <w:szCs w:val="18"/>
                </w:rPr>
                <m:t>+</m:t>
              </m:r>
            </m:sup>
          </m:sSup>
          <m:r>
            <w:rPr>
              <w:rFonts w:ascii="Cambria Math" w:hAnsi="Cambria Math" w:cs="Arial"/>
              <w:szCs w:val="18"/>
            </w:rPr>
            <m:t>+</m:t>
          </m:r>
          <m:sSup>
            <m:sSupPr>
              <m:ctrlPr>
                <w:rPr>
                  <w:rFonts w:ascii="Cambria Math" w:hAnsi="Cambria Math" w:cs="Arial"/>
                  <w:i/>
                  <w:szCs w:val="18"/>
                </w:rPr>
              </m:ctrlPr>
            </m:sSupPr>
            <m:e>
              <m:r>
                <w:rPr>
                  <w:rFonts w:ascii="Cambria Math" w:hAnsi="Cambria Math" w:cs="Arial"/>
                  <w:szCs w:val="18"/>
                </w:rPr>
                <m:t>O</m:t>
              </m:r>
            </m:e>
            <m:sup>
              <m:r>
                <w:rPr>
                  <w:rFonts w:ascii="Cambria Math" w:hAnsi="Cambria Math" w:cs="Arial"/>
                  <w:szCs w:val="18"/>
                </w:rPr>
                <m:t>2-</m:t>
              </m:r>
            </m:sup>
          </m:sSup>
          <m:r>
            <w:rPr>
              <w:rFonts w:ascii="Cambria Math" w:hAnsi="Cambria Math" w:cs="Arial"/>
              <w:szCs w:val="18"/>
            </w:rPr>
            <m:t>;</m:t>
          </m:r>
          <m:sSup>
            <m:sSupPr>
              <m:ctrlPr>
                <w:rPr>
                  <w:rFonts w:ascii="Cambria Math" w:hAnsi="Cambria Math" w:cs="Arial"/>
                  <w:i/>
                  <w:szCs w:val="18"/>
                </w:rPr>
              </m:ctrlPr>
            </m:sSupPr>
            <m:e>
              <m:r>
                <w:rPr>
                  <w:rFonts w:ascii="Cambria Math" w:hAnsi="Cambria Math" w:cs="Arial"/>
                  <w:szCs w:val="18"/>
                </w:rPr>
                <m:t>H</m:t>
              </m:r>
            </m:e>
            <m:sup>
              <m:r>
                <w:rPr>
                  <w:rFonts w:ascii="Cambria Math" w:hAnsi="Cambria Math" w:cs="Arial"/>
                  <w:szCs w:val="18"/>
                </w:rPr>
                <m:t>+</m:t>
              </m:r>
            </m:sup>
          </m:sSup>
          <m:r>
            <w:rPr>
              <w:rFonts w:ascii="Cambria Math" w:hAnsi="Cambria Math" w:cs="Arial"/>
              <w:szCs w:val="18"/>
            </w:rPr>
            <m:t>+O</m:t>
          </m:r>
          <m:sSup>
            <m:sSupPr>
              <m:ctrlPr>
                <w:rPr>
                  <w:rFonts w:ascii="Cambria Math" w:hAnsi="Cambria Math" w:cs="Arial"/>
                  <w:i/>
                  <w:szCs w:val="18"/>
                </w:rPr>
              </m:ctrlPr>
            </m:sSupPr>
            <m:e>
              <m:r>
                <w:rPr>
                  <w:rFonts w:ascii="Cambria Math" w:hAnsi="Cambria Math" w:cs="Arial"/>
                  <w:szCs w:val="18"/>
                </w:rPr>
                <m:t>H</m:t>
              </m:r>
            </m:e>
            <m:sup>
              <m:r>
                <w:rPr>
                  <w:rFonts w:ascii="Cambria Math" w:hAnsi="Cambria Math" w:cs="Arial"/>
                  <w:szCs w:val="18"/>
                </w:rPr>
                <m:t>-</m:t>
              </m:r>
            </m:sup>
          </m:sSup>
          <m:r>
            <w:rPr>
              <w:rFonts w:ascii="Cambria Math" w:hAnsi="Cambria Math" w:cs="Arial"/>
              <w:szCs w:val="18"/>
            </w:rPr>
            <m:t xml:space="preserve"> ⟷</m:t>
          </m:r>
          <m:sSub>
            <m:sSubPr>
              <m:ctrlPr>
                <w:rPr>
                  <w:rFonts w:ascii="Cambria Math" w:hAnsi="Cambria Math" w:cs="Arial"/>
                  <w:i/>
                  <w:szCs w:val="18"/>
                </w:rPr>
              </m:ctrlPr>
            </m:sSubPr>
            <m:e>
              <m:r>
                <w:rPr>
                  <w:rFonts w:ascii="Cambria Math" w:hAnsi="Cambria Math" w:cs="Arial"/>
                  <w:szCs w:val="18"/>
                </w:rPr>
                <m:t>H</m:t>
              </m:r>
            </m:e>
            <m:sub>
              <m:r>
                <w:rPr>
                  <w:rFonts w:ascii="Cambria Math" w:hAnsi="Cambria Math" w:cs="Arial"/>
                  <w:szCs w:val="18"/>
                </w:rPr>
                <m:t>2</m:t>
              </m:r>
            </m:sub>
          </m:sSub>
          <m:r>
            <w:rPr>
              <w:rFonts w:ascii="Cambria Math" w:hAnsi="Cambria Math" w:cs="Arial"/>
              <w:szCs w:val="18"/>
            </w:rPr>
            <m:t>O</m:t>
          </m:r>
        </m:oMath>
      </m:oMathPara>
    </w:p>
    <w:p w14:paraId="24164AD4" w14:textId="15000A69" w:rsidR="00D5720A" w:rsidRPr="00D5720A" w:rsidRDefault="009B3C9E" w:rsidP="00D5720A">
      <w:pPr>
        <w:pStyle w:val="CETBodytext"/>
        <w:spacing w:before="120" w:line="240" w:lineRule="auto"/>
        <w:contextualSpacing/>
        <w:rPr>
          <w:rFonts w:cs="Arial"/>
          <w:szCs w:val="18"/>
          <w:lang w:val="en-GB"/>
        </w:rPr>
      </w:pPr>
      <w:r>
        <w:rPr>
          <w:rFonts w:cs="Arial"/>
          <w:szCs w:val="18"/>
          <w:lang w:val="en-GB"/>
        </w:rPr>
        <w:t>Vahiddin et</w:t>
      </w:r>
      <w:r w:rsidR="00AC7AE9">
        <w:rPr>
          <w:rFonts w:cs="Arial"/>
          <w:szCs w:val="18"/>
          <w:lang w:val="en-GB"/>
        </w:rPr>
        <w:t xml:space="preserve"> al (2022) </w:t>
      </w:r>
      <w:r w:rsidR="00D5720A" w:rsidRPr="00D5720A">
        <w:rPr>
          <w:rFonts w:cs="Arial"/>
          <w:szCs w:val="18"/>
          <w:lang w:val="en-GB"/>
        </w:rPr>
        <w:t>reported that grinding time does not necessarily cause a reduction in sample particle size, but it does reduce the specific surface area and turns it into an amorphous material</w:t>
      </w:r>
      <w:r w:rsidR="00820FAB">
        <w:rPr>
          <w:rFonts w:cs="Arial"/>
          <w:szCs w:val="18"/>
          <w:lang w:val="en-GB"/>
        </w:rPr>
        <w:t xml:space="preserve"> </w:t>
      </w:r>
      <w:r w:rsidR="00522F76">
        <w:rPr>
          <w:rFonts w:cs="Arial"/>
          <w:szCs w:val="18"/>
          <w:lang w:val="en-GB"/>
        </w:rPr>
        <w:t xml:space="preserve">(Vahiddin </w:t>
      </w:r>
      <w:r>
        <w:rPr>
          <w:rFonts w:cs="Arial"/>
          <w:szCs w:val="18"/>
          <w:lang w:val="en-GB"/>
        </w:rPr>
        <w:t>et al.</w:t>
      </w:r>
      <w:r w:rsidR="00522F76">
        <w:rPr>
          <w:rFonts w:cs="Arial"/>
          <w:szCs w:val="18"/>
          <w:lang w:val="en-GB"/>
        </w:rPr>
        <w:t>, 2022).</w:t>
      </w:r>
      <w:r w:rsidR="00D5720A" w:rsidRPr="00D5720A">
        <w:rPr>
          <w:rFonts w:cs="Arial"/>
          <w:szCs w:val="18"/>
        </w:rPr>
        <w:t xml:space="preserve"> Mechanical activation increases the surface activity of kaolin and results in higher ion exchange capacity </w:t>
      </w:r>
      <w:r>
        <w:rPr>
          <w:rFonts w:cs="Arial"/>
          <w:szCs w:val="18"/>
        </w:rPr>
        <w:t xml:space="preserve">(L. A. S. </w:t>
      </w:r>
      <w:proofErr w:type="spellStart"/>
      <w:r>
        <w:rPr>
          <w:rFonts w:cs="Arial"/>
          <w:szCs w:val="18"/>
        </w:rPr>
        <w:t>do</w:t>
      </w:r>
      <w:proofErr w:type="spellEnd"/>
      <w:r>
        <w:rPr>
          <w:rFonts w:cs="Arial"/>
          <w:szCs w:val="18"/>
        </w:rPr>
        <w:t xml:space="preserve"> Nacimento et</w:t>
      </w:r>
      <w:r w:rsidR="00522F76">
        <w:rPr>
          <w:rFonts w:cs="Arial"/>
          <w:szCs w:val="18"/>
        </w:rPr>
        <w:t xml:space="preserve"> al., 2011,</w:t>
      </w:r>
      <w:r w:rsidR="004D7BEC">
        <w:rPr>
          <w:rFonts w:cs="Arial"/>
          <w:szCs w:val="18"/>
        </w:rPr>
        <w:t xml:space="preserve"> F. Dellisanti, G. </w:t>
      </w:r>
      <w:proofErr w:type="spellStart"/>
      <w:r w:rsidR="004D7BEC">
        <w:rPr>
          <w:rFonts w:cs="Arial"/>
          <w:szCs w:val="18"/>
        </w:rPr>
        <w:t>Valdré</w:t>
      </w:r>
      <w:proofErr w:type="spellEnd"/>
      <w:r w:rsidR="004D7BEC">
        <w:rPr>
          <w:rFonts w:cs="Arial"/>
          <w:szCs w:val="18"/>
        </w:rPr>
        <w:t>, 2012</w:t>
      </w:r>
      <w:r w:rsidR="00522F76">
        <w:rPr>
          <w:rFonts w:cs="Arial"/>
          <w:szCs w:val="18"/>
        </w:rPr>
        <w:t>).</w:t>
      </w:r>
      <w:r w:rsidR="00051728">
        <w:rPr>
          <w:rFonts w:cs="Arial"/>
          <w:szCs w:val="18"/>
        </w:rPr>
        <w:t xml:space="preserve"> </w:t>
      </w:r>
      <w:r w:rsidR="00D5720A" w:rsidRPr="00D5720A">
        <w:rPr>
          <w:rFonts w:cs="Arial"/>
          <w:szCs w:val="18"/>
          <w:lang w:val="en-GB"/>
        </w:rPr>
        <w:t>The ratio of silic</w:t>
      </w:r>
      <w:r w:rsidR="005620CA">
        <w:rPr>
          <w:rFonts w:cs="Arial"/>
          <w:szCs w:val="18"/>
          <w:lang w:val="en-GB"/>
        </w:rPr>
        <w:t>a</w:t>
      </w:r>
      <w:r w:rsidR="00D5720A" w:rsidRPr="00D5720A">
        <w:rPr>
          <w:rFonts w:cs="Arial"/>
          <w:szCs w:val="18"/>
          <w:lang w:val="en-GB"/>
        </w:rPr>
        <w:t xml:space="preserve"> to aluminium in the structure of kaolin can be modified by acid</w:t>
      </w:r>
      <w:r w:rsidR="005620CA">
        <w:rPr>
          <w:rFonts w:cs="Arial"/>
          <w:szCs w:val="18"/>
          <w:lang w:val="en-GB"/>
        </w:rPr>
        <w:t>s</w:t>
      </w:r>
      <w:r w:rsidR="00D5720A" w:rsidRPr="00D5720A">
        <w:rPr>
          <w:rFonts w:cs="Arial"/>
          <w:szCs w:val="18"/>
          <w:lang w:val="en-GB"/>
        </w:rPr>
        <w:t xml:space="preserve"> and </w:t>
      </w:r>
      <w:proofErr w:type="spellStart"/>
      <w:r w:rsidR="00D5720A" w:rsidRPr="00D5720A">
        <w:rPr>
          <w:rFonts w:cs="Arial"/>
          <w:szCs w:val="18"/>
          <w:lang w:val="en-GB"/>
        </w:rPr>
        <w:t>alkali</w:t>
      </w:r>
      <w:r w:rsidR="008539DA">
        <w:rPr>
          <w:rFonts w:cs="Arial"/>
          <w:szCs w:val="18"/>
          <w:lang w:val="en-GB"/>
        </w:rPr>
        <w:t>nes</w:t>
      </w:r>
      <w:proofErr w:type="spellEnd"/>
      <w:r w:rsidR="00D5720A" w:rsidRPr="00D5720A">
        <w:rPr>
          <w:rFonts w:cs="Arial"/>
          <w:szCs w:val="18"/>
          <w:lang w:val="en-GB"/>
        </w:rPr>
        <w:t xml:space="preserve">, </w:t>
      </w:r>
      <w:r w:rsidR="008539DA">
        <w:rPr>
          <w:rFonts w:cs="Arial"/>
          <w:szCs w:val="18"/>
          <w:lang w:val="en-GB"/>
        </w:rPr>
        <w:t xml:space="preserve">resulting in change of </w:t>
      </w:r>
      <w:r w:rsidR="00D5720A" w:rsidRPr="00D5720A">
        <w:rPr>
          <w:rFonts w:cs="Arial"/>
          <w:szCs w:val="18"/>
          <w:lang w:val="en-GB"/>
        </w:rPr>
        <w:t>the Si/Al ratio. Alkali</w:t>
      </w:r>
      <w:r w:rsidR="008539DA">
        <w:rPr>
          <w:rFonts w:cs="Arial"/>
          <w:szCs w:val="18"/>
          <w:lang w:val="en-GB"/>
        </w:rPr>
        <w:t>ne</w:t>
      </w:r>
      <w:r w:rsidR="00D5720A" w:rsidRPr="00D5720A">
        <w:rPr>
          <w:rFonts w:cs="Arial"/>
          <w:szCs w:val="18"/>
          <w:lang w:val="en-GB"/>
        </w:rPr>
        <w:t xml:space="preserve"> treatment decreases this ratio, causing</w:t>
      </w:r>
      <w:r w:rsidR="008539DA">
        <w:rPr>
          <w:rFonts w:cs="Arial"/>
          <w:szCs w:val="18"/>
          <w:lang w:val="en-GB"/>
        </w:rPr>
        <w:t xml:space="preserve"> a</w:t>
      </w:r>
      <w:r w:rsidR="00D5720A" w:rsidRPr="00D5720A">
        <w:rPr>
          <w:rFonts w:cs="Arial"/>
          <w:szCs w:val="18"/>
          <w:lang w:val="en-GB"/>
        </w:rPr>
        <w:t xml:space="preserve"> desilication of the structure. </w:t>
      </w:r>
      <w:r>
        <w:rPr>
          <w:rFonts w:cs="Arial"/>
          <w:szCs w:val="18"/>
          <w:lang w:val="en-GB"/>
        </w:rPr>
        <w:t>Dellisanti et</w:t>
      </w:r>
      <w:r w:rsidR="008B68C8">
        <w:rPr>
          <w:rFonts w:cs="Arial"/>
          <w:szCs w:val="18"/>
          <w:lang w:val="en-GB"/>
        </w:rPr>
        <w:t xml:space="preserve"> al. (2012)</w:t>
      </w:r>
      <w:r w:rsidR="00D5720A" w:rsidRPr="00D5720A">
        <w:rPr>
          <w:rFonts w:cs="Arial"/>
          <w:szCs w:val="18"/>
          <w:lang w:val="en-GB"/>
        </w:rPr>
        <w:t xml:space="preserve"> observed that treatment at 110°C with 3M sodium hydroxide increased the surface area from 23 m</w:t>
      </w:r>
      <w:r w:rsidR="00D5720A" w:rsidRPr="0079303F">
        <w:rPr>
          <w:rFonts w:cs="Arial"/>
          <w:szCs w:val="18"/>
          <w:vertAlign w:val="superscript"/>
        </w:rPr>
        <w:t>2</w:t>
      </w:r>
      <w:r w:rsidR="00D5720A" w:rsidRPr="00D5720A">
        <w:rPr>
          <w:rFonts w:cs="Arial"/>
          <w:szCs w:val="18"/>
          <w:lang w:val="en-GB"/>
        </w:rPr>
        <w:t>/g to 76 m</w:t>
      </w:r>
      <w:r w:rsidR="008539DA">
        <w:rPr>
          <w:rFonts w:cs="Arial"/>
          <w:szCs w:val="18"/>
          <w:vertAlign w:val="superscript"/>
          <w:lang w:val="en-GB"/>
        </w:rPr>
        <w:t>2</w:t>
      </w:r>
      <w:r w:rsidR="00D5720A" w:rsidRPr="00D5720A">
        <w:rPr>
          <w:rFonts w:cs="Arial"/>
          <w:szCs w:val="18"/>
          <w:lang w:val="en-GB"/>
        </w:rPr>
        <w:t xml:space="preserve">/g </w:t>
      </w:r>
      <w:r w:rsidR="004F3329">
        <w:rPr>
          <w:rFonts w:cs="Arial"/>
          <w:szCs w:val="18"/>
          <w:lang w:val="en-GB"/>
        </w:rPr>
        <w:t>(</w:t>
      </w:r>
      <w:r w:rsidR="004F3329">
        <w:rPr>
          <w:lang w:val="en-GB"/>
        </w:rPr>
        <w:t xml:space="preserve">F. Dellisanti, G. </w:t>
      </w:r>
      <w:proofErr w:type="spellStart"/>
      <w:r w:rsidR="004F3329">
        <w:rPr>
          <w:lang w:val="en-GB"/>
        </w:rPr>
        <w:t>Valdré</w:t>
      </w:r>
      <w:proofErr w:type="spellEnd"/>
      <w:r w:rsidR="004F3329">
        <w:rPr>
          <w:lang w:val="en-GB"/>
        </w:rPr>
        <w:t>, 2012)</w:t>
      </w:r>
      <w:r w:rsidR="00D5720A" w:rsidRPr="00D5720A">
        <w:rPr>
          <w:rFonts w:cs="Arial"/>
          <w:szCs w:val="18"/>
          <w:lang w:val="en-GB"/>
        </w:rPr>
        <w:t>.</w:t>
      </w:r>
      <w:r w:rsidR="004F3329">
        <w:rPr>
          <w:rFonts w:cs="Arial"/>
          <w:szCs w:val="18"/>
          <w:lang w:val="en-GB"/>
        </w:rPr>
        <w:t xml:space="preserve"> </w:t>
      </w:r>
      <w:proofErr w:type="spellStart"/>
      <w:r w:rsidR="00D5720A" w:rsidRPr="00D5720A">
        <w:rPr>
          <w:rFonts w:cs="Arial"/>
          <w:szCs w:val="18"/>
          <w:lang w:val="en-GB"/>
        </w:rPr>
        <w:t>Belver</w:t>
      </w:r>
      <w:proofErr w:type="spellEnd"/>
      <w:r w:rsidR="00D5720A" w:rsidRPr="00D5720A">
        <w:rPr>
          <w:rFonts w:cs="Arial"/>
          <w:szCs w:val="18"/>
          <w:lang w:val="en-GB"/>
        </w:rPr>
        <w:t xml:space="preserve"> et al. </w:t>
      </w:r>
      <w:r w:rsidR="00AC7AE9">
        <w:rPr>
          <w:rFonts w:cs="Arial"/>
          <w:szCs w:val="18"/>
          <w:lang w:val="en-GB"/>
        </w:rPr>
        <w:t xml:space="preserve">(2002) </w:t>
      </w:r>
      <w:r w:rsidR="00D5720A" w:rsidRPr="00D5720A">
        <w:rPr>
          <w:rFonts w:cs="Arial"/>
          <w:szCs w:val="18"/>
          <w:lang w:val="en-GB"/>
        </w:rPr>
        <w:t>used a solution of potassium hydroxide at 5 mol/dm</w:t>
      </w:r>
      <w:r w:rsidR="008539DA">
        <w:rPr>
          <w:rFonts w:cs="Arial"/>
          <w:szCs w:val="18"/>
          <w:vertAlign w:val="superscript"/>
          <w:lang w:val="en-GB"/>
        </w:rPr>
        <w:t>3</w:t>
      </w:r>
      <w:r w:rsidR="00D5720A" w:rsidRPr="00D5720A">
        <w:rPr>
          <w:rFonts w:cs="Arial"/>
          <w:szCs w:val="18"/>
          <w:lang w:val="en-GB"/>
        </w:rPr>
        <w:t>, treated the material at 90°C, calcined at 600°C for 6h and obtained results</w:t>
      </w:r>
      <w:r w:rsidR="008539DA">
        <w:rPr>
          <w:rFonts w:cs="Arial"/>
          <w:szCs w:val="18"/>
          <w:lang w:val="en-GB"/>
        </w:rPr>
        <w:t xml:space="preserve"> which showed the decrement </w:t>
      </w:r>
      <w:r w:rsidR="00D5720A" w:rsidRPr="00D5720A">
        <w:rPr>
          <w:rFonts w:cs="Arial"/>
          <w:szCs w:val="18"/>
          <w:lang w:val="en-GB"/>
        </w:rPr>
        <w:t>surface are</w:t>
      </w:r>
      <w:r w:rsidR="008539DA">
        <w:rPr>
          <w:rFonts w:cs="Arial"/>
          <w:szCs w:val="18"/>
          <w:lang w:val="en-GB"/>
        </w:rPr>
        <w:t xml:space="preserve"> </w:t>
      </w:r>
      <w:r w:rsidR="00D5720A" w:rsidRPr="00D5720A">
        <w:rPr>
          <w:rFonts w:cs="Arial"/>
          <w:szCs w:val="18"/>
          <w:lang w:val="en-GB"/>
        </w:rPr>
        <w:t>by more than a quarter (from 18 to 4.1 m</w:t>
      </w:r>
      <w:r w:rsidR="008539DA">
        <w:rPr>
          <w:rFonts w:cs="Arial"/>
          <w:szCs w:val="18"/>
          <w:vertAlign w:val="superscript"/>
          <w:lang w:val="en-GB"/>
        </w:rPr>
        <w:t>2</w:t>
      </w:r>
      <w:r w:rsidR="00D5720A" w:rsidRPr="00D5720A">
        <w:rPr>
          <w:rFonts w:cs="Arial"/>
          <w:szCs w:val="18"/>
          <w:lang w:val="en-GB"/>
        </w:rPr>
        <w:t xml:space="preserve">/g), </w:t>
      </w:r>
      <w:r w:rsidR="00820FAB">
        <w:rPr>
          <w:rFonts w:cs="Arial"/>
          <w:szCs w:val="18"/>
          <w:lang w:val="en-GB"/>
        </w:rPr>
        <w:t>while</w:t>
      </w:r>
      <w:r w:rsidR="00D5720A" w:rsidRPr="00D5720A">
        <w:rPr>
          <w:rFonts w:cs="Arial"/>
          <w:szCs w:val="18"/>
          <w:lang w:val="en-GB"/>
        </w:rPr>
        <w:t xml:space="preserve"> the Si/Al ratio changed minimally (from 1.783 to 1.74) </w:t>
      </w:r>
      <w:r w:rsidR="004D7BEC">
        <w:rPr>
          <w:rFonts w:cs="Arial"/>
          <w:szCs w:val="18"/>
          <w:lang w:val="en-GB"/>
        </w:rPr>
        <w:t>(</w:t>
      </w:r>
      <w:r w:rsidR="004D7BEC">
        <w:rPr>
          <w:rFonts w:cs="Arial"/>
          <w:szCs w:val="18"/>
        </w:rPr>
        <w:t xml:space="preserve">C. </w:t>
      </w:r>
      <w:proofErr w:type="spellStart"/>
      <w:r w:rsidR="004D7BEC">
        <w:rPr>
          <w:rFonts w:cs="Arial"/>
          <w:szCs w:val="18"/>
        </w:rPr>
        <w:t>Belver</w:t>
      </w:r>
      <w:proofErr w:type="spellEnd"/>
      <w:r w:rsidR="004D7BEC">
        <w:rPr>
          <w:rFonts w:cs="Arial"/>
          <w:szCs w:val="18"/>
        </w:rPr>
        <w:t xml:space="preserve"> </w:t>
      </w:r>
      <w:r>
        <w:rPr>
          <w:rFonts w:cs="Arial"/>
          <w:szCs w:val="18"/>
        </w:rPr>
        <w:t>et al.</w:t>
      </w:r>
      <w:r w:rsidR="004D7BEC">
        <w:rPr>
          <w:rFonts w:cs="Arial"/>
          <w:szCs w:val="18"/>
        </w:rPr>
        <w:t>, 2002)</w:t>
      </w:r>
      <w:r w:rsidR="00D5720A" w:rsidRPr="00D5720A">
        <w:rPr>
          <w:rFonts w:cs="Arial"/>
          <w:szCs w:val="18"/>
          <w:lang w:val="en-GB"/>
        </w:rPr>
        <w:t>.</w:t>
      </w:r>
      <w:r w:rsidR="00C41C41">
        <w:rPr>
          <w:rFonts w:cs="Arial"/>
          <w:szCs w:val="18"/>
          <w:lang w:val="en-GB"/>
        </w:rPr>
        <w:t xml:space="preserve"> </w:t>
      </w:r>
      <w:r w:rsidR="00D5720A" w:rsidRPr="00D5720A">
        <w:rPr>
          <w:rFonts w:cs="Arial"/>
          <w:szCs w:val="18"/>
        </w:rPr>
        <w:t xml:space="preserve">During acid treatment, </w:t>
      </w:r>
      <w:r w:rsidR="008539DA">
        <w:rPr>
          <w:rFonts w:cs="Arial"/>
          <w:szCs w:val="18"/>
        </w:rPr>
        <w:t>the</w:t>
      </w:r>
      <w:r w:rsidR="00D5720A" w:rsidRPr="00D5720A">
        <w:rPr>
          <w:rFonts w:cs="Arial"/>
          <w:szCs w:val="18"/>
        </w:rPr>
        <w:t xml:space="preserve"> dealumination reaction takes place and Al</w:t>
      </w:r>
      <w:r w:rsidR="00D5720A" w:rsidRPr="008539DA">
        <w:rPr>
          <w:rFonts w:cs="Arial"/>
          <w:szCs w:val="18"/>
          <w:vertAlign w:val="superscript"/>
        </w:rPr>
        <w:t>3+</w:t>
      </w:r>
      <w:r w:rsidR="00D5720A" w:rsidRPr="00D5720A">
        <w:rPr>
          <w:rFonts w:cs="Arial"/>
          <w:szCs w:val="18"/>
        </w:rPr>
        <w:t xml:space="preserve"> ions are removed from the system. </w:t>
      </w:r>
      <w:r w:rsidR="00D5720A" w:rsidRPr="00D5720A">
        <w:rPr>
          <w:rFonts w:cs="Arial"/>
          <w:szCs w:val="18"/>
          <w:lang w:val="en-GB"/>
        </w:rPr>
        <w:t xml:space="preserve">Metals are applied to the surface of the catalysts </w:t>
      </w:r>
      <w:r w:rsidR="00C41C41">
        <w:rPr>
          <w:rFonts w:cs="Arial"/>
          <w:szCs w:val="18"/>
          <w:lang w:val="en-GB"/>
        </w:rPr>
        <w:t>to</w:t>
      </w:r>
      <w:r w:rsidR="00D5720A" w:rsidRPr="00D5720A">
        <w:rPr>
          <w:rFonts w:cs="Arial"/>
          <w:szCs w:val="18"/>
          <w:lang w:val="en-GB"/>
        </w:rPr>
        <w:t xml:space="preserve"> increase the hydrogen yield. A</w:t>
      </w:r>
      <w:r w:rsidR="00C41C41">
        <w:rPr>
          <w:rFonts w:cs="Arial"/>
          <w:szCs w:val="18"/>
          <w:lang w:val="en-GB"/>
        </w:rPr>
        <w:t xml:space="preserve">n economic </w:t>
      </w:r>
      <w:r w:rsidR="00D5720A" w:rsidRPr="00D5720A">
        <w:rPr>
          <w:rFonts w:cs="Arial"/>
          <w:szCs w:val="18"/>
          <w:lang w:val="en-GB"/>
        </w:rPr>
        <w:t xml:space="preserve">option </w:t>
      </w:r>
      <w:r w:rsidR="008539DA">
        <w:rPr>
          <w:rFonts w:cs="Arial"/>
          <w:szCs w:val="18"/>
          <w:lang w:val="en-GB"/>
        </w:rPr>
        <w:t xml:space="preserve">could </w:t>
      </w:r>
      <w:r w:rsidR="00D5720A" w:rsidRPr="00D5720A">
        <w:rPr>
          <w:rFonts w:cs="Arial"/>
          <w:szCs w:val="18"/>
          <w:lang w:val="en-GB"/>
        </w:rPr>
        <w:t xml:space="preserve">be </w:t>
      </w:r>
      <w:r w:rsidR="008539DA">
        <w:rPr>
          <w:rFonts w:cs="Arial"/>
          <w:szCs w:val="18"/>
          <w:lang w:val="en-GB"/>
        </w:rPr>
        <w:t xml:space="preserve">the </w:t>
      </w:r>
      <w:r w:rsidR="00D5720A" w:rsidRPr="00D5720A">
        <w:rPr>
          <w:rFonts w:cs="Arial"/>
          <w:szCs w:val="18"/>
          <w:lang w:val="en-GB"/>
        </w:rPr>
        <w:t xml:space="preserve">nickel, which can also have a positive effect on </w:t>
      </w:r>
      <w:r w:rsidR="008539DA">
        <w:rPr>
          <w:rFonts w:cs="Arial"/>
          <w:szCs w:val="18"/>
          <w:lang w:val="en-GB"/>
        </w:rPr>
        <w:t xml:space="preserve">the increment of </w:t>
      </w:r>
      <w:r w:rsidR="00D5720A" w:rsidRPr="00D5720A">
        <w:rPr>
          <w:rFonts w:cs="Arial"/>
          <w:szCs w:val="18"/>
          <w:lang w:val="en-GB"/>
        </w:rPr>
        <w:t>the amount of hydrogen in the gas</w:t>
      </w:r>
      <w:r w:rsidR="008539DA">
        <w:rPr>
          <w:rFonts w:cs="Arial"/>
          <w:szCs w:val="18"/>
          <w:lang w:val="en-GB"/>
        </w:rPr>
        <w:t>eous</w:t>
      </w:r>
      <w:r w:rsidR="00D5720A" w:rsidRPr="00D5720A">
        <w:rPr>
          <w:rFonts w:cs="Arial"/>
          <w:szCs w:val="18"/>
          <w:lang w:val="en-GB"/>
        </w:rPr>
        <w:t xml:space="preserve"> product.</w:t>
      </w:r>
      <w:r w:rsidR="00C41C41">
        <w:rPr>
          <w:rFonts w:cs="Arial"/>
          <w:szCs w:val="18"/>
          <w:lang w:val="en-GB"/>
        </w:rPr>
        <w:t xml:space="preserve"> </w:t>
      </w:r>
      <w:r w:rsidR="00D5720A" w:rsidRPr="00D5720A">
        <w:rPr>
          <w:rFonts w:cs="Arial"/>
          <w:szCs w:val="18"/>
          <w:lang w:val="en-GB"/>
        </w:rPr>
        <w:t xml:space="preserve">In </w:t>
      </w:r>
      <w:r w:rsidR="003A5458">
        <w:rPr>
          <w:rFonts w:cs="Arial"/>
          <w:szCs w:val="18"/>
          <w:lang w:val="en-GB"/>
        </w:rPr>
        <w:t xml:space="preserve">a </w:t>
      </w:r>
      <w:r w:rsidR="00D5720A" w:rsidRPr="00D5720A">
        <w:rPr>
          <w:rFonts w:cs="Arial"/>
          <w:szCs w:val="18"/>
          <w:lang w:val="en-GB"/>
        </w:rPr>
        <w:t>study, various rare earth elements and nickel were investigated to increase the hydrogen yields on a fly ash-based zeolite substrate</w:t>
      </w:r>
      <w:r w:rsidR="00A32A85">
        <w:rPr>
          <w:rFonts w:cs="Arial"/>
          <w:szCs w:val="18"/>
          <w:lang w:val="en-GB"/>
        </w:rPr>
        <w:t xml:space="preserve"> while li</w:t>
      </w:r>
      <w:r w:rsidR="00D5720A" w:rsidRPr="00D5720A">
        <w:rPr>
          <w:rFonts w:cs="Arial"/>
          <w:szCs w:val="18"/>
          <w:lang w:val="en-GB"/>
        </w:rPr>
        <w:t>gnocellulosic biomass was used as feedstock. The combination of lanthanum and nickel was found to be the most effective combination and the most resistant to coking</w:t>
      </w:r>
      <w:r w:rsidR="004D7BEC">
        <w:rPr>
          <w:rFonts w:cs="Arial"/>
          <w:szCs w:val="18"/>
          <w:lang w:val="en-GB"/>
        </w:rPr>
        <w:t xml:space="preserve"> (R. Ryczkowski </w:t>
      </w:r>
      <w:r>
        <w:rPr>
          <w:rFonts w:cs="Arial"/>
          <w:szCs w:val="18"/>
          <w:lang w:val="en-GB"/>
        </w:rPr>
        <w:t>et al.</w:t>
      </w:r>
      <w:r w:rsidR="004D7BEC">
        <w:rPr>
          <w:rFonts w:cs="Arial"/>
          <w:szCs w:val="18"/>
          <w:lang w:val="en-GB"/>
        </w:rPr>
        <w:t>, 2021)</w:t>
      </w:r>
      <w:r w:rsidR="00D5720A" w:rsidRPr="00D5720A">
        <w:rPr>
          <w:rFonts w:cs="Arial"/>
          <w:szCs w:val="18"/>
          <w:lang w:val="en-GB"/>
        </w:rPr>
        <w:t>.</w:t>
      </w:r>
      <w:r w:rsidR="004A02BB">
        <w:rPr>
          <w:rFonts w:cs="Arial"/>
          <w:szCs w:val="18"/>
          <w:lang w:val="en-GB"/>
        </w:rPr>
        <w:t xml:space="preserve"> </w:t>
      </w:r>
    </w:p>
    <w:p w14:paraId="7FABED31" w14:textId="000098FF" w:rsidR="00D5720A" w:rsidRPr="00D5720A" w:rsidRDefault="00D5720A" w:rsidP="00D5720A">
      <w:pPr>
        <w:pStyle w:val="CETBodytext"/>
        <w:spacing w:before="120" w:line="240" w:lineRule="auto"/>
        <w:contextualSpacing/>
        <w:rPr>
          <w:rFonts w:cs="Arial"/>
          <w:szCs w:val="18"/>
          <w:lang w:val="en-GB"/>
        </w:rPr>
      </w:pPr>
      <w:r w:rsidRPr="00D5720A">
        <w:rPr>
          <w:rFonts w:cs="Arial"/>
          <w:szCs w:val="18"/>
          <w:lang w:val="en-GB"/>
        </w:rPr>
        <w:t>The aim of this research work is to produce zeolite-type catalysts from natural feedstock</w:t>
      </w:r>
      <w:r w:rsidR="00280217">
        <w:rPr>
          <w:rFonts w:cs="Arial"/>
          <w:szCs w:val="18"/>
          <w:lang w:val="en-GB"/>
        </w:rPr>
        <w:t xml:space="preserve"> (kaolin) with different procedures that can be resulted in </w:t>
      </w:r>
      <w:r w:rsidRPr="00D5720A">
        <w:rPr>
          <w:rFonts w:cs="Arial"/>
          <w:szCs w:val="18"/>
          <w:lang w:val="en-GB"/>
        </w:rPr>
        <w:t>high synthesis gas yields. Currently</w:t>
      </w:r>
      <w:r w:rsidR="00280217">
        <w:rPr>
          <w:rFonts w:cs="Arial"/>
          <w:szCs w:val="18"/>
          <w:lang w:val="en-GB"/>
        </w:rPr>
        <w:t xml:space="preserve"> </w:t>
      </w:r>
      <w:r w:rsidRPr="00D5720A">
        <w:rPr>
          <w:rFonts w:cs="Arial"/>
          <w:szCs w:val="18"/>
          <w:lang w:val="en-GB"/>
        </w:rPr>
        <w:t>the production of zeolite catalysts from kaolin in biomass gasification reaction</w:t>
      </w:r>
      <w:r w:rsidR="00280217">
        <w:rPr>
          <w:rFonts w:cs="Arial"/>
          <w:szCs w:val="18"/>
          <w:lang w:val="en-GB"/>
        </w:rPr>
        <w:t xml:space="preserve"> is a research gap</w:t>
      </w:r>
      <w:r w:rsidRPr="00D5720A">
        <w:rPr>
          <w:rFonts w:cs="Arial"/>
          <w:szCs w:val="18"/>
          <w:lang w:val="en-GB"/>
        </w:rPr>
        <w:t xml:space="preserve">. In </w:t>
      </w:r>
      <w:r w:rsidR="009B3C9E">
        <w:rPr>
          <w:rFonts w:cs="Arial"/>
          <w:szCs w:val="18"/>
          <w:lang w:val="en-GB"/>
        </w:rPr>
        <w:t>our work, the effect of mechano</w:t>
      </w:r>
      <w:r w:rsidRPr="00D5720A">
        <w:rPr>
          <w:rFonts w:cs="Arial"/>
          <w:szCs w:val="18"/>
          <w:lang w:val="en-GB"/>
        </w:rPr>
        <w:t>chemical and thermal activation</w:t>
      </w:r>
      <w:r w:rsidR="00280217">
        <w:rPr>
          <w:rFonts w:cs="Arial"/>
          <w:szCs w:val="18"/>
          <w:lang w:val="en-GB"/>
        </w:rPr>
        <w:t xml:space="preserve"> was investigated, also the effects on morphological changes caused </w:t>
      </w:r>
      <w:r w:rsidRPr="00D5720A">
        <w:rPr>
          <w:rFonts w:cs="Arial"/>
          <w:szCs w:val="18"/>
          <w:lang w:val="en-GB"/>
        </w:rPr>
        <w:t>by acid</w:t>
      </w:r>
      <w:r w:rsidR="00280217">
        <w:rPr>
          <w:rFonts w:cs="Arial"/>
          <w:szCs w:val="18"/>
          <w:lang w:val="en-GB"/>
        </w:rPr>
        <w:t>ic</w:t>
      </w:r>
      <w:r w:rsidRPr="00D5720A">
        <w:rPr>
          <w:rFonts w:cs="Arial"/>
          <w:szCs w:val="18"/>
          <w:lang w:val="en-GB"/>
        </w:rPr>
        <w:t xml:space="preserve"> and alkaline treatment, and the hydrogen generation capacity of nickel added during impregnation.</w:t>
      </w:r>
    </w:p>
    <w:p w14:paraId="5741900F" w14:textId="7484ED1C" w:rsidR="00453E24" w:rsidRDefault="00CC0308" w:rsidP="00453E24">
      <w:pPr>
        <w:pStyle w:val="CETHeading1"/>
      </w:pPr>
      <w:r w:rsidRPr="000C33C4">
        <w:t>Materials &amp; methods</w:t>
      </w:r>
    </w:p>
    <w:p w14:paraId="18BAFA6F" w14:textId="5EB11F10" w:rsidR="00453E24" w:rsidRPr="000C33C4" w:rsidRDefault="00CC0308" w:rsidP="00453E24">
      <w:pPr>
        <w:pStyle w:val="CETheadingx"/>
      </w:pPr>
      <w:r w:rsidRPr="000C33C4">
        <w:t>Raw material</w:t>
      </w:r>
    </w:p>
    <w:p w14:paraId="6AE7FC4A" w14:textId="5834BDCF" w:rsidR="004E0DDC" w:rsidRDefault="0058053A" w:rsidP="004E0DDC">
      <w:pPr>
        <w:pStyle w:val="CETBodytext"/>
      </w:pPr>
      <w:proofErr w:type="spellStart"/>
      <w:r w:rsidRPr="00D5720A">
        <w:t>Zettlitz</w:t>
      </w:r>
      <w:proofErr w:type="spellEnd"/>
      <w:r w:rsidRPr="00D5720A">
        <w:t xml:space="preserve"> kaolinite (</w:t>
      </w:r>
      <w:proofErr w:type="spellStart"/>
      <w:r w:rsidRPr="00D5720A">
        <w:t>Zettlitz</w:t>
      </w:r>
      <w:proofErr w:type="spellEnd"/>
      <w:r w:rsidRPr="00D5720A">
        <w:t>, Czech Republic, 91% kaolinite, 7% muscovite, 2% quartz) was used in th</w:t>
      </w:r>
      <w:r>
        <w:t>is</w:t>
      </w:r>
      <w:r w:rsidRPr="00D5720A">
        <w:t xml:space="preserve"> wo</w:t>
      </w:r>
      <w:r w:rsidR="009B3C9E">
        <w:t xml:space="preserve">rk. </w:t>
      </w:r>
      <w:r w:rsidRPr="00D5720A">
        <w:t>The kaolin was ground</w:t>
      </w:r>
      <w:r>
        <w:t>ed</w:t>
      </w:r>
      <w:r w:rsidRPr="00D5720A">
        <w:t xml:space="preserve"> for 30</w:t>
      </w:r>
      <w:r w:rsidR="009B3C9E">
        <w:t xml:space="preserve"> </w:t>
      </w:r>
      <w:r w:rsidRPr="00D5720A">
        <w:t xml:space="preserve">min in a planetary mill (Fritsch </w:t>
      </w:r>
      <w:proofErr w:type="spellStart"/>
      <w:r w:rsidRPr="00D5720A">
        <w:t>Pulverisette</w:t>
      </w:r>
      <w:proofErr w:type="spellEnd"/>
      <w:r w:rsidRPr="00D5720A">
        <w:t xml:space="preserve"> </w:t>
      </w:r>
      <w:r w:rsidR="00BF19AC">
        <w:t>5/4</w:t>
      </w:r>
      <w:r w:rsidRPr="00D5720A">
        <w:t>, 500 cm</w:t>
      </w:r>
      <w:r w:rsidRPr="0079303F">
        <w:rPr>
          <w:vertAlign w:val="superscript"/>
        </w:rPr>
        <w:t>3</w:t>
      </w:r>
      <w:r w:rsidRPr="00D5720A">
        <w:t xml:space="preserve"> volume, </w:t>
      </w:r>
      <w:r w:rsidR="00BF19AC">
        <w:t>stainless steel jar</w:t>
      </w:r>
      <w:r w:rsidRPr="00D5720A">
        <w:t xml:space="preserve">, 10 mm diameter </w:t>
      </w:r>
      <w:r w:rsidR="00BF19AC">
        <w:t xml:space="preserve">stainless steel </w:t>
      </w:r>
      <w:r w:rsidRPr="00D5720A">
        <w:t xml:space="preserve">ball), after which </w:t>
      </w:r>
      <w:r w:rsidR="00BF19AC">
        <w:t xml:space="preserve">it was </w:t>
      </w:r>
      <w:r w:rsidRPr="00D5720A">
        <w:t>modifi</w:t>
      </w:r>
      <w:r w:rsidR="00BF19AC">
        <w:t>ed</w:t>
      </w:r>
      <w:r w:rsidRPr="00D5720A">
        <w:t>. For reference, kaolin without mechanochemical activation was used.</w:t>
      </w:r>
      <w:r w:rsidR="0079303F">
        <w:t xml:space="preserve"> </w:t>
      </w:r>
      <w:r w:rsidRPr="00D5720A">
        <w:t>To impregnate the kaolin,</w:t>
      </w:r>
      <w:r>
        <w:t xml:space="preserve"> </w:t>
      </w:r>
      <w:r w:rsidRPr="00D5720A">
        <w:t>nickel</w:t>
      </w:r>
      <w:r w:rsidR="006E44FE">
        <w:t xml:space="preserve"> </w:t>
      </w:r>
      <w:r w:rsidRPr="00D5720A">
        <w:t>(II) nitrate (</w:t>
      </w:r>
      <w:proofErr w:type="spellStart"/>
      <w:r w:rsidRPr="00D5720A">
        <w:t>Thermo</w:t>
      </w:r>
      <w:proofErr w:type="spellEnd"/>
      <w:r w:rsidRPr="00D5720A">
        <w:t xml:space="preserve"> Scientific, </w:t>
      </w:r>
      <w:proofErr w:type="gramStart"/>
      <w:r w:rsidRPr="00D5720A">
        <w:t>Ni(</w:t>
      </w:r>
      <w:proofErr w:type="gramEnd"/>
      <w:r w:rsidRPr="00D5720A">
        <w:t>NO</w:t>
      </w:r>
      <w:r w:rsidRPr="0023511A">
        <w:rPr>
          <w:vertAlign w:val="subscript"/>
        </w:rPr>
        <w:t>3</w:t>
      </w:r>
      <w:r w:rsidRPr="00D5720A">
        <w:t>)</w:t>
      </w:r>
      <w:r w:rsidRPr="0023511A">
        <w:rPr>
          <w:vertAlign w:val="subscript"/>
        </w:rPr>
        <w:t>2</w:t>
      </w:r>
      <w:r w:rsidRPr="00D5720A">
        <w:t>∙6H</w:t>
      </w:r>
      <w:r w:rsidRPr="0023511A">
        <w:rPr>
          <w:vertAlign w:val="subscript"/>
        </w:rPr>
        <w:t>2</w:t>
      </w:r>
      <w:r w:rsidRPr="00D5720A">
        <w:t>O, 98%)</w:t>
      </w:r>
      <w:r>
        <w:t xml:space="preserve"> was used</w:t>
      </w:r>
      <w:r w:rsidR="00BF19AC">
        <w:t xml:space="preserve"> </w:t>
      </w:r>
      <w:r>
        <w:t xml:space="preserve">in </w:t>
      </w:r>
      <w:r w:rsidRPr="00D5720A">
        <w:t>a 1 M solution.</w:t>
      </w:r>
      <w:r w:rsidR="0079303F">
        <w:t xml:space="preserve"> </w:t>
      </w:r>
      <w:r w:rsidRPr="00ED1B7A">
        <w:t xml:space="preserve">For the alkaline and acidic treatment, sodium hydroxide (VWR </w:t>
      </w:r>
      <w:proofErr w:type="spellStart"/>
      <w:r w:rsidRPr="00ED1B7A">
        <w:t>Prolabo</w:t>
      </w:r>
      <w:proofErr w:type="spellEnd"/>
      <w:r w:rsidRPr="00ED1B7A">
        <w:t xml:space="preserve"> Chemicals, 99%) and hydrochloric acid </w:t>
      </w:r>
      <w:r w:rsidR="001A7E85">
        <w:t xml:space="preserve">(Gruppo </w:t>
      </w:r>
      <w:proofErr w:type="spellStart"/>
      <w:r w:rsidR="001A7E85">
        <w:t>Montedison</w:t>
      </w:r>
      <w:proofErr w:type="spellEnd"/>
      <w:r w:rsidR="001A7E85">
        <w:t xml:space="preserve">, </w:t>
      </w:r>
      <w:proofErr w:type="spellStart"/>
      <w:r w:rsidR="001A7E85">
        <w:t>Farmitalia</w:t>
      </w:r>
      <w:proofErr w:type="spellEnd"/>
      <w:r w:rsidR="001A7E85">
        <w:t xml:space="preserve"> Carlo Ebra </w:t>
      </w:r>
      <w:proofErr w:type="spellStart"/>
      <w:r w:rsidR="001A7E85">
        <w:t>S.r.l</w:t>
      </w:r>
      <w:proofErr w:type="spellEnd"/>
      <w:r w:rsidR="001A7E85">
        <w:t xml:space="preserve">., 37%) </w:t>
      </w:r>
      <w:r w:rsidRPr="00ED1B7A">
        <w:t>at a concentration of 2 M were used.</w:t>
      </w:r>
      <w:r w:rsidR="0079303F">
        <w:t xml:space="preserve"> </w:t>
      </w:r>
      <w:r w:rsidR="004E0DDC">
        <w:t xml:space="preserve">The applicability of the </w:t>
      </w:r>
      <w:r w:rsidR="00BF19AC">
        <w:t xml:space="preserve">natural sourced </w:t>
      </w:r>
      <w:r w:rsidR="004E0DDC">
        <w:t>catalysts</w:t>
      </w:r>
      <w:r w:rsidR="00BF19AC">
        <w:t xml:space="preserve"> </w:t>
      </w:r>
      <w:r w:rsidR="004E0DDC">
        <w:t xml:space="preserve">in gasification processes using maize agricultural biomass waste has been investigated. </w:t>
      </w:r>
      <w:r w:rsidR="00CE3915">
        <w:t xml:space="preserve">The biomass composition </w:t>
      </w:r>
      <w:r w:rsidR="00EE0BF0">
        <w:t>was determined by CHN</w:t>
      </w:r>
      <w:r w:rsidR="00BF19AC">
        <w:t>S-</w:t>
      </w:r>
      <w:r w:rsidR="00EE0BF0">
        <w:t>O analysis</w:t>
      </w:r>
      <w:r w:rsidR="004E0DDC">
        <w:t>. It contains significant amounts of carbon</w:t>
      </w:r>
      <w:r w:rsidR="00EE0BF0">
        <w:t xml:space="preserve"> (48.5%), oxygen (44.7%), hydrogen (6.3%) and </w:t>
      </w:r>
      <w:r w:rsidR="00BF19AC">
        <w:t>less</w:t>
      </w:r>
      <w:r w:rsidR="00EE0BF0">
        <w:t xml:space="preserve"> </w:t>
      </w:r>
      <w:r w:rsidR="004E0DDC">
        <w:t>nitrogen</w:t>
      </w:r>
      <w:r w:rsidR="00EE0BF0">
        <w:t xml:space="preserve"> (0.5%) and </w:t>
      </w:r>
      <w:proofErr w:type="spellStart"/>
      <w:r w:rsidR="00EE0BF0">
        <w:t>sulphur</w:t>
      </w:r>
      <w:proofErr w:type="spellEnd"/>
      <w:r w:rsidR="00EE0BF0">
        <w:t xml:space="preserve"> (1.0%)</w:t>
      </w:r>
      <w:r w:rsidR="004E0DDC">
        <w:t xml:space="preserve">. The volatile organic matter content </w:t>
      </w:r>
      <w:r w:rsidR="0023511A">
        <w:t>was</w:t>
      </w:r>
      <w:r w:rsidR="004E0DDC">
        <w:t xml:space="preserve"> </w:t>
      </w:r>
      <w:r w:rsidR="00EE0BF0">
        <w:t>75.0% with</w:t>
      </w:r>
      <w:r w:rsidR="00CE3915">
        <w:t xml:space="preserve"> </w:t>
      </w:r>
      <w:r w:rsidR="00EE0BF0">
        <w:t xml:space="preserve">6.5% moisture content, while the </w:t>
      </w:r>
      <w:proofErr w:type="gramStart"/>
      <w:r w:rsidR="00EE0BF0">
        <w:t>fix</w:t>
      </w:r>
      <w:proofErr w:type="gramEnd"/>
      <w:r w:rsidR="00EE0BF0">
        <w:t xml:space="preserve"> carbon </w:t>
      </w:r>
      <w:r w:rsidR="00BF19AC">
        <w:t>was</w:t>
      </w:r>
      <w:r w:rsidR="00EE0BF0">
        <w:t xml:space="preserve"> 16.2% and the ash content </w:t>
      </w:r>
      <w:r w:rsidR="00BF19AC">
        <w:t>was</w:t>
      </w:r>
      <w:r w:rsidR="00EE0BF0">
        <w:t xml:space="preserve"> 2.3%. Its heating value was close to 20</w:t>
      </w:r>
      <w:r w:rsidR="00CE3915">
        <w:t xml:space="preserve"> MJ/kg. </w:t>
      </w:r>
    </w:p>
    <w:p w14:paraId="0698593C" w14:textId="39C84C6F" w:rsidR="00CC0308" w:rsidRDefault="00CC0308" w:rsidP="00CC0308">
      <w:pPr>
        <w:pStyle w:val="CETheadingx"/>
      </w:pPr>
      <w:r w:rsidRPr="000C33C4">
        <w:t>Catalyst</w:t>
      </w:r>
      <w:r w:rsidR="001C14C7">
        <w:t xml:space="preserve"> production</w:t>
      </w:r>
    </w:p>
    <w:p w14:paraId="784DBF8C" w14:textId="04733657" w:rsidR="00ED1B7A" w:rsidRDefault="00ED1B7A" w:rsidP="00ED1B7A">
      <w:pPr>
        <w:pStyle w:val="CETBodytext"/>
      </w:pPr>
      <w:r w:rsidRPr="00ED1B7A">
        <w:t xml:space="preserve">The </w:t>
      </w:r>
      <w:r w:rsidR="005E1C78" w:rsidRPr="00ED1B7A">
        <w:t xml:space="preserve">process of catalyst production is illustrated in Figure </w:t>
      </w:r>
      <w:r w:rsidR="005E1C78">
        <w:t>1,</w:t>
      </w:r>
      <w:r w:rsidR="005E1C78" w:rsidRPr="00ED1B7A">
        <w:t xml:space="preserve"> </w:t>
      </w:r>
      <w:r w:rsidR="005E1C78">
        <w:t>where 30 min grinding time</w:t>
      </w:r>
      <w:r w:rsidR="005E1C78" w:rsidRPr="00ED1B7A">
        <w:t xml:space="preserve"> was tested and modifications were carried out</w:t>
      </w:r>
      <w:r w:rsidR="00117988">
        <w:t>.</w:t>
      </w:r>
      <w:r w:rsidR="00701908">
        <w:t xml:space="preserve"> </w:t>
      </w:r>
      <w:r w:rsidR="00701908" w:rsidRPr="00701908">
        <w:t>Grinding was necessary due to mechano-chemical activation</w:t>
      </w:r>
      <w:r w:rsidR="00701908">
        <w:t xml:space="preserve">. </w:t>
      </w:r>
      <w:r w:rsidR="0023511A">
        <w:t>Then it was</w:t>
      </w:r>
      <w:r w:rsidR="002C4A6C" w:rsidRPr="002C4A6C">
        <w:t xml:space="preserve"> calcined at 800°C in an oven for 2 hours. The purpose of the preliminary calcination is to form the </w:t>
      </w:r>
      <w:proofErr w:type="spellStart"/>
      <w:r w:rsidR="002C4A6C" w:rsidRPr="002C4A6C">
        <w:t>metakaolinite</w:t>
      </w:r>
      <w:proofErr w:type="spellEnd"/>
      <w:r w:rsidR="002C4A6C" w:rsidRPr="002C4A6C">
        <w:t xml:space="preserve"> structure.</w:t>
      </w:r>
      <w:r w:rsidR="002C4A6C">
        <w:t xml:space="preserve"> </w:t>
      </w:r>
      <w:r w:rsidR="002C4A6C" w:rsidRPr="002C4A6C">
        <w:t>After calcination, the material was placed in the apparatus shown in Figure 2 and stirred in nickel (II) nitrate solution</w:t>
      </w:r>
      <w:r w:rsidR="002C4A6C">
        <w:t xml:space="preserve"> at 85°C</w:t>
      </w:r>
      <w:r w:rsidR="002C4A6C" w:rsidRPr="002C4A6C">
        <w:t xml:space="preserve"> for 2 hours to transfer nickel to the surface</w:t>
      </w:r>
      <w:r w:rsidR="0023511A">
        <w:t>, owing to its</w:t>
      </w:r>
      <w:r w:rsidR="002C4A6C" w:rsidRPr="002C4A6C">
        <w:t xml:space="preserve"> positive effect on hydrogen production.</w:t>
      </w:r>
      <w:r w:rsidR="002C4A6C">
        <w:t xml:space="preserve"> </w:t>
      </w:r>
      <w:r w:rsidR="0023511A">
        <w:t>Eventually, the kaolin was</w:t>
      </w:r>
      <w:r w:rsidR="002C4A6C" w:rsidRPr="002C4A6C">
        <w:t xml:space="preserve"> divided into three parts</w:t>
      </w:r>
      <w:r w:rsidR="0023511A">
        <w:t xml:space="preserve"> (Figure 1)</w:t>
      </w:r>
      <w:r w:rsidR="002C4A6C" w:rsidRPr="002C4A6C">
        <w:t>.</w:t>
      </w:r>
    </w:p>
    <w:p w14:paraId="4AF7796B" w14:textId="77777777" w:rsidR="00C41C41" w:rsidRPr="00117988" w:rsidRDefault="00C41C41" w:rsidP="00117988">
      <w:pPr>
        <w:pStyle w:val="CETBodytext"/>
        <w:spacing w:before="120"/>
        <w:rPr>
          <w:noProof/>
          <w:lang w:val="hu-HU" w:eastAsia="hu-HU"/>
        </w:rPr>
      </w:pPr>
      <w:r w:rsidRPr="004E0DDC">
        <w:rPr>
          <w:noProof/>
          <w:lang w:val="hu-HU" w:eastAsia="hu-HU"/>
        </w:rPr>
        <w:drawing>
          <wp:inline distT="0" distB="0" distL="0" distR="0" wp14:anchorId="1539F9C7" wp14:editId="6C2FF2AD">
            <wp:extent cx="4047214" cy="678451"/>
            <wp:effectExtent l="0" t="0" r="0" b="7620"/>
            <wp:docPr id="1338483029" name="Kép 1" descr="A képen szöveg, Betűtípus, képernyőkép,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83029" name="Kép 1" descr="A képen szöveg, Betűtípus, képernyőkép, sor látható&#10;&#10;Automatikusan generált leírás"/>
                    <pic:cNvPicPr/>
                  </pic:nvPicPr>
                  <pic:blipFill>
                    <a:blip r:embed="rId11"/>
                    <a:stretch>
                      <a:fillRect/>
                    </a:stretch>
                  </pic:blipFill>
                  <pic:spPr>
                    <a:xfrm>
                      <a:off x="0" y="0"/>
                      <a:ext cx="4094562" cy="686388"/>
                    </a:xfrm>
                    <a:prstGeom prst="rect">
                      <a:avLst/>
                    </a:prstGeom>
                  </pic:spPr>
                </pic:pic>
              </a:graphicData>
            </a:graphic>
          </wp:inline>
        </w:drawing>
      </w:r>
    </w:p>
    <w:p w14:paraId="510C3230" w14:textId="5BEE2A69" w:rsidR="00820FAB" w:rsidRPr="00C54FF5" w:rsidRDefault="00C41C41" w:rsidP="00C54FF5">
      <w:pPr>
        <w:pStyle w:val="CETCaption"/>
        <w:spacing w:before="0" w:after="120"/>
        <w:jc w:val="left"/>
        <w:rPr>
          <w:rStyle w:val="CETCaptionCarattere"/>
          <w:i/>
        </w:rPr>
      </w:pPr>
      <w:r w:rsidRPr="00C54FF5">
        <w:rPr>
          <w:rStyle w:val="CETCaptionCarattere"/>
          <w:i/>
        </w:rPr>
        <w:t>Figure 1: the methods of the catalyst production</w:t>
      </w:r>
    </w:p>
    <w:p w14:paraId="4C388693" w14:textId="77777777" w:rsidR="00C41C41" w:rsidRDefault="00C41C41" w:rsidP="00C41C41">
      <w:pPr>
        <w:pStyle w:val="CETBodytext"/>
        <w:jc w:val="left"/>
      </w:pPr>
      <w:r w:rsidRPr="004C2426">
        <w:rPr>
          <w:noProof/>
          <w:lang w:val="hu-HU" w:eastAsia="hu-HU"/>
        </w:rPr>
        <w:lastRenderedPageBreak/>
        <w:drawing>
          <wp:inline distT="0" distB="0" distL="0" distR="0" wp14:anchorId="31ADACBD" wp14:editId="6EC8A679">
            <wp:extent cx="2266950" cy="1220900"/>
            <wp:effectExtent l="0" t="0" r="0" b="0"/>
            <wp:docPr id="961637929"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3202" t="32376" r="36042"/>
                    <a:stretch/>
                  </pic:blipFill>
                  <pic:spPr bwMode="auto">
                    <a:xfrm>
                      <a:off x="0" y="0"/>
                      <a:ext cx="2280210" cy="1228042"/>
                    </a:xfrm>
                    <a:prstGeom prst="rect">
                      <a:avLst/>
                    </a:prstGeom>
                    <a:noFill/>
                    <a:ln>
                      <a:noFill/>
                    </a:ln>
                    <a:extLst>
                      <a:ext uri="{53640926-AAD7-44D8-BBD7-CCE9431645EC}">
                        <a14:shadowObscured xmlns:a14="http://schemas.microsoft.com/office/drawing/2010/main"/>
                      </a:ext>
                    </a:extLst>
                  </pic:spPr>
                </pic:pic>
              </a:graphicData>
            </a:graphic>
          </wp:inline>
        </w:drawing>
      </w:r>
    </w:p>
    <w:p w14:paraId="2F8F90AB" w14:textId="77777777" w:rsidR="00C41C41" w:rsidRPr="00C54FF5" w:rsidRDefault="00C41C41" w:rsidP="00C54FF5">
      <w:pPr>
        <w:pStyle w:val="CETCaption"/>
        <w:spacing w:before="0" w:after="120"/>
        <w:jc w:val="left"/>
        <w:rPr>
          <w:rStyle w:val="CETCaptionCarattere"/>
          <w:i/>
          <w:iCs/>
        </w:rPr>
      </w:pPr>
      <w:r w:rsidRPr="00C54FF5">
        <w:rPr>
          <w:rStyle w:val="CETCaptionCarattere"/>
          <w:i/>
          <w:iCs/>
        </w:rPr>
        <w:t>Figure 2: Equipment used for impregnation and acid/alkali treatment</w:t>
      </w:r>
    </w:p>
    <w:p w14:paraId="0666DF41" w14:textId="195E0409" w:rsidR="00ED1B7A" w:rsidRDefault="005E1C78" w:rsidP="004C2426">
      <w:pPr>
        <w:pStyle w:val="CETBodytext"/>
      </w:pPr>
      <w:r>
        <w:t>The</w:t>
      </w:r>
      <w:r w:rsidR="00ED1B7A" w:rsidRPr="00ED1B7A">
        <w:t xml:space="preserve"> </w:t>
      </w:r>
      <w:r w:rsidRPr="00ED1B7A">
        <w:t xml:space="preserve">acid/alkali treatment </w:t>
      </w:r>
      <w:r>
        <w:t>was carried out with different</w:t>
      </w:r>
      <w:r w:rsidRPr="00ED1B7A">
        <w:t xml:space="preserve"> solutions</w:t>
      </w:r>
      <w:r>
        <w:t xml:space="preserve"> </w:t>
      </w:r>
      <w:r w:rsidR="002C4A6C">
        <w:t xml:space="preserve">(HCl and NaOH) </w:t>
      </w:r>
      <w:r w:rsidRPr="00ED1B7A">
        <w:t>with a concentration of 2 mol/dm</w:t>
      </w:r>
      <w:r>
        <w:rPr>
          <w:vertAlign w:val="superscript"/>
        </w:rPr>
        <w:t>3</w:t>
      </w:r>
      <w:r w:rsidRPr="00ED1B7A">
        <w:t xml:space="preserve"> and stirred at 80°C for 4 hours, </w:t>
      </w:r>
      <w:r>
        <w:t xml:space="preserve">to </w:t>
      </w:r>
      <w:r w:rsidRPr="00ED1B7A">
        <w:t>chang</w:t>
      </w:r>
      <w:r>
        <w:t>e</w:t>
      </w:r>
      <w:r w:rsidRPr="00ED1B7A">
        <w:t xml:space="preserve"> the Si/Al ratio</w:t>
      </w:r>
      <w:r>
        <w:t>. A</w:t>
      </w:r>
      <w:r w:rsidRPr="00ED1B7A">
        <w:t>fter impregnation and acid/alkaline treatments, the kaolin was always filtered on filter paper</w:t>
      </w:r>
      <w:r>
        <w:rPr>
          <w:rStyle w:val="Rimandocommento"/>
          <w:lang w:val="en-GB"/>
        </w:rPr>
        <w:t xml:space="preserve"> </w:t>
      </w:r>
      <w:r w:rsidRPr="00D21125">
        <w:rPr>
          <w:rStyle w:val="Rimandocommento"/>
          <w:sz w:val="18"/>
          <w:szCs w:val="18"/>
          <w:lang w:val="en-GB"/>
        </w:rPr>
        <w:t>and</w:t>
      </w:r>
      <w:r w:rsidRPr="00ED1B7A">
        <w:t xml:space="preserve"> dried in a drying oven</w:t>
      </w:r>
      <w:r w:rsidR="00701908">
        <w:t xml:space="preserve"> at 110°C</w:t>
      </w:r>
      <w:r w:rsidRPr="00ED1B7A">
        <w:t xml:space="preserve"> </w:t>
      </w:r>
      <w:r w:rsidR="00701908">
        <w:t>until</w:t>
      </w:r>
      <w:r w:rsidRPr="00ED1B7A">
        <w:t xml:space="preserve"> constant weight</w:t>
      </w:r>
      <w:r>
        <w:t>. C</w:t>
      </w:r>
      <w:r w:rsidRPr="00ED1B7A">
        <w:t>alcination after impregnation was carried out at 700°C for 3 hours, which is necessary for thermal reduction of nickel</w:t>
      </w:r>
      <w:r w:rsidR="00ED1B7A" w:rsidRPr="00ED1B7A">
        <w:t>.</w:t>
      </w:r>
    </w:p>
    <w:p w14:paraId="79F3CAF6" w14:textId="5642F651" w:rsidR="00CC0308" w:rsidRPr="00440400" w:rsidRDefault="00D349C4" w:rsidP="00CC0308">
      <w:pPr>
        <w:pStyle w:val="CETheadingx"/>
      </w:pPr>
      <w:r>
        <w:t>Gasification and pyrolysis process</w:t>
      </w:r>
    </w:p>
    <w:p w14:paraId="51CA6D56" w14:textId="07208363" w:rsidR="00B6382E" w:rsidRDefault="0087389D" w:rsidP="002851B3">
      <w:pPr>
        <w:pStyle w:val="CETBodytext"/>
      </w:pPr>
      <w:r w:rsidRPr="0087389D">
        <w:t xml:space="preserve">The gasification </w:t>
      </w:r>
      <w:r w:rsidR="00EE0BF0">
        <w:t>process</w:t>
      </w:r>
      <w:r w:rsidRPr="0087389D">
        <w:t xml:space="preserve"> was carried out in a </w:t>
      </w:r>
      <w:r w:rsidR="00EE0BF0">
        <w:t>two</w:t>
      </w:r>
      <w:r w:rsidRPr="0087389D">
        <w:t>-zone tub</w:t>
      </w:r>
      <w:r w:rsidR="00EE0BF0">
        <w:t>ular</w:t>
      </w:r>
      <w:r w:rsidRPr="0087389D">
        <w:t xml:space="preserve"> reactor</w:t>
      </w:r>
      <w:r w:rsidR="00361A33">
        <w:t xml:space="preserve"> as Figure 3</w:t>
      </w:r>
      <w:r w:rsidR="00EE0BF0">
        <w:t xml:space="preserve"> depicts</w:t>
      </w:r>
      <w:r w:rsidRPr="0087389D">
        <w:t xml:space="preserve">. 5 g of </w:t>
      </w:r>
      <w:r w:rsidR="00EE0BF0">
        <w:t>raw material was placed</w:t>
      </w:r>
      <w:r w:rsidRPr="0087389D">
        <w:t xml:space="preserve"> in the first zone at 800°C and 2.5 g of catalyst in the second zone at 700°C. The </w:t>
      </w:r>
      <w:r w:rsidR="00EE0BF0">
        <w:t>obtained gases</w:t>
      </w:r>
      <w:r w:rsidRPr="0087389D">
        <w:t xml:space="preserve"> were passed through silica gel to bind the moisture content of the gas and then the sample was collected in a gas bag. The experiment was carried out in a nitrogen atmosphere. </w:t>
      </w:r>
      <w:r w:rsidR="00EE0BF0">
        <w:t>P</w:t>
      </w:r>
      <w:r w:rsidRPr="0087389D">
        <w:t xml:space="preserve">eristaltic pump was used </w:t>
      </w:r>
      <w:r w:rsidR="003A5458">
        <w:t>to</w:t>
      </w:r>
      <w:r w:rsidR="00EE0BF0">
        <w:t xml:space="preserve"> add</w:t>
      </w:r>
      <w:r w:rsidRPr="0087389D">
        <w:t xml:space="preserve"> </w:t>
      </w:r>
      <w:r>
        <w:t>steam</w:t>
      </w:r>
      <w:r w:rsidRPr="0087389D">
        <w:t xml:space="preserve"> </w:t>
      </w:r>
      <w:r w:rsidR="00EE0BF0">
        <w:t>to the reaction,</w:t>
      </w:r>
      <w:r w:rsidRPr="0087389D">
        <w:t xml:space="preserve"> </w:t>
      </w:r>
      <w:r w:rsidR="00EE0BF0">
        <w:t xml:space="preserve">with </w:t>
      </w:r>
      <w:r w:rsidRPr="0087389D">
        <w:t>water flow rate 5 g/h.</w:t>
      </w:r>
    </w:p>
    <w:p w14:paraId="026550E8" w14:textId="2A86B5AB" w:rsidR="0087389D" w:rsidRPr="00361A33" w:rsidRDefault="00361A33" w:rsidP="00361A33">
      <w:pPr>
        <w:pStyle w:val="CETBodytext"/>
        <w:spacing w:before="120"/>
      </w:pPr>
      <w:r>
        <w:rPr>
          <w:noProof/>
          <w:lang w:val="hu-HU" w:eastAsia="hu-HU"/>
        </w:rPr>
        <w:drawing>
          <wp:inline distT="0" distB="0" distL="0" distR="0" wp14:anchorId="3E60CD90" wp14:editId="3EE1F48D">
            <wp:extent cx="3989105" cy="603111"/>
            <wp:effectExtent l="0" t="0" r="0" b="6985"/>
            <wp:docPr id="1543162106"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62106" name="Kép 7"/>
                    <pic:cNvPicPr/>
                  </pic:nvPicPr>
                  <pic:blipFill>
                    <a:blip r:embed="rId13"/>
                    <a:stretch>
                      <a:fillRect/>
                    </a:stretch>
                  </pic:blipFill>
                  <pic:spPr>
                    <a:xfrm>
                      <a:off x="0" y="0"/>
                      <a:ext cx="3989105" cy="603111"/>
                    </a:xfrm>
                    <a:prstGeom prst="rect">
                      <a:avLst/>
                    </a:prstGeom>
                  </pic:spPr>
                </pic:pic>
              </a:graphicData>
            </a:graphic>
          </wp:inline>
        </w:drawing>
      </w:r>
    </w:p>
    <w:p w14:paraId="3B9A29F2" w14:textId="6476B784" w:rsidR="006E64E1" w:rsidRPr="00D12F09" w:rsidRDefault="006E64E1" w:rsidP="0079303F">
      <w:pPr>
        <w:pStyle w:val="CETCaption"/>
        <w:spacing w:before="0"/>
        <w:jc w:val="left"/>
      </w:pPr>
      <w:r w:rsidRPr="00210E76">
        <w:rPr>
          <w:rStyle w:val="CETCaptionCarattere"/>
          <w:i/>
        </w:rPr>
        <w:t xml:space="preserve">Figure </w:t>
      </w:r>
      <w:r w:rsidR="00361A33" w:rsidRPr="00210E76">
        <w:rPr>
          <w:rStyle w:val="CETCaptionCarattere"/>
          <w:i/>
        </w:rPr>
        <w:t>3</w:t>
      </w:r>
      <w:r w:rsidRPr="00210E76">
        <w:rPr>
          <w:rStyle w:val="CETCaptionCarattere"/>
          <w:i/>
        </w:rPr>
        <w:t>: Schematic drawing of the equipment</w:t>
      </w:r>
    </w:p>
    <w:p w14:paraId="0897D658" w14:textId="72A1CF9B" w:rsidR="00CC0308" w:rsidRPr="00D12F09" w:rsidRDefault="00CC0308" w:rsidP="00CC0308">
      <w:pPr>
        <w:pStyle w:val="CETheadingx"/>
      </w:pPr>
      <w:r w:rsidRPr="00D12F09">
        <w:t>Product analysis</w:t>
      </w:r>
    </w:p>
    <w:p w14:paraId="373BAFD2" w14:textId="0DDF0565" w:rsidR="00A16E04" w:rsidRDefault="00A16E04" w:rsidP="00A16E04">
      <w:pPr>
        <w:pStyle w:val="CETBodytext"/>
      </w:pPr>
      <w:r>
        <w:t xml:space="preserve">DANI gas chromatograph </w:t>
      </w:r>
      <w:r w:rsidR="00EE0BF0">
        <w:t xml:space="preserve">was used </w:t>
      </w:r>
      <w:r>
        <w:t xml:space="preserve">to determine the results. The chromatograph is equipped with TCD and FID detectors. The instrument is equipped with Rtx-1 PONA column of 100 m length and 0.25 mm diameter, with a stationary phase film of 0.5 </w:t>
      </w:r>
      <w:proofErr w:type="spellStart"/>
      <w:r>
        <w:t>μm</w:t>
      </w:r>
      <w:proofErr w:type="spellEnd"/>
      <w:r>
        <w:t xml:space="preserve"> thickness on the inner surface of the column. The measurements were carried out under isothermal conditions at 35°C. The detector a</w:t>
      </w:r>
      <w:r w:rsidR="00EE0BF0">
        <w:t xml:space="preserve">nd injector temperature </w:t>
      </w:r>
      <w:r w:rsidR="00820FAB">
        <w:t>were</w:t>
      </w:r>
      <w:r w:rsidR="00EE0BF0">
        <w:t xml:space="preserve"> 230°C, while the TCD was 120</w:t>
      </w:r>
      <w:r>
        <w:t>°C with a heating rate of 15°C/min. Clarity software was used to evaluate the chromatograms.</w:t>
      </w:r>
    </w:p>
    <w:p w14:paraId="790919AC" w14:textId="093FFA0D" w:rsidR="00EE0BF0" w:rsidRDefault="00EE0BF0" w:rsidP="006E64E1">
      <w:pPr>
        <w:pStyle w:val="CETBodytext"/>
      </w:pPr>
      <w:r>
        <w:t>The morphology of the applied catalysts and adsorbents was examined using an FEI/</w:t>
      </w:r>
      <w:proofErr w:type="spellStart"/>
      <w:r>
        <w:t>ThermoFisher</w:t>
      </w:r>
      <w:proofErr w:type="spellEnd"/>
      <w:r>
        <w:t xml:space="preserve"> </w:t>
      </w:r>
      <w:proofErr w:type="spellStart"/>
      <w:r>
        <w:t>Apreo</w:t>
      </w:r>
      <w:proofErr w:type="spellEnd"/>
      <w:r>
        <w:t xml:space="preserve"> S LoVac scanning electron microscope, while their elemental composition was determined with an EDAX AMETEK Octane Elect Plus energy-dispersive X-ray analyzer.</w:t>
      </w:r>
    </w:p>
    <w:p w14:paraId="677EBFF0" w14:textId="6B6494CE" w:rsidR="00600535" w:rsidRDefault="00CC0308" w:rsidP="00600535">
      <w:pPr>
        <w:pStyle w:val="CETHeading1"/>
        <w:tabs>
          <w:tab w:val="clear" w:pos="360"/>
          <w:tab w:val="right" w:pos="7100"/>
        </w:tabs>
        <w:jc w:val="both"/>
        <w:rPr>
          <w:lang w:val="en-GB"/>
        </w:rPr>
      </w:pPr>
      <w:r w:rsidRPr="000C33C4">
        <w:rPr>
          <w:lang w:val="en-GB"/>
        </w:rPr>
        <w:t>Results &amp; discussion</w:t>
      </w:r>
    </w:p>
    <w:p w14:paraId="4E5F1074" w14:textId="273EF81D" w:rsidR="00180A2B" w:rsidRDefault="000B0456" w:rsidP="000B0456">
      <w:pPr>
        <w:pStyle w:val="CETheadingx"/>
      </w:pPr>
      <w:r>
        <w:t xml:space="preserve"> Gas analysis</w:t>
      </w:r>
    </w:p>
    <w:p w14:paraId="489EB5B4" w14:textId="172A71B0" w:rsidR="0023511A" w:rsidRDefault="00AC6D33" w:rsidP="0023511A">
      <w:pPr>
        <w:pStyle w:val="CETBodytext"/>
        <w:spacing w:before="120" w:after="120"/>
        <w:contextualSpacing/>
        <w:rPr>
          <w:lang w:val="en-GB"/>
        </w:rPr>
      </w:pPr>
      <w:r w:rsidRPr="00B6382E">
        <w:rPr>
          <w:lang w:val="en-GB"/>
        </w:rPr>
        <w:t xml:space="preserve">Figure </w:t>
      </w:r>
      <w:r w:rsidR="0023511A">
        <w:rPr>
          <w:lang w:val="en-GB"/>
        </w:rPr>
        <w:t>4</w:t>
      </w:r>
      <w:r w:rsidRPr="00B6382E">
        <w:rPr>
          <w:lang w:val="en-GB"/>
        </w:rPr>
        <w:t xml:space="preserve"> shows the composition of the gases. </w:t>
      </w:r>
      <w:r>
        <w:rPr>
          <w:lang w:val="en-GB"/>
        </w:rPr>
        <w:t>It was noted that</w:t>
      </w:r>
      <w:r w:rsidRPr="00B6382E">
        <w:rPr>
          <w:lang w:val="en-GB"/>
        </w:rPr>
        <w:t xml:space="preserve"> CO was the main component in all cases</w:t>
      </w:r>
      <w:r>
        <w:rPr>
          <w:lang w:val="en-GB"/>
        </w:rPr>
        <w:t>. As it shown in t</w:t>
      </w:r>
      <w:r w:rsidRPr="00B6382E">
        <w:rPr>
          <w:lang w:val="en-GB"/>
        </w:rPr>
        <w:t>he</w:t>
      </w:r>
      <w:r>
        <w:rPr>
          <w:lang w:val="en-GB"/>
        </w:rPr>
        <w:t xml:space="preserve"> Figure </w:t>
      </w:r>
      <w:r w:rsidR="0023511A">
        <w:rPr>
          <w:lang w:val="en-GB"/>
        </w:rPr>
        <w:t>4</w:t>
      </w:r>
      <w:r>
        <w:rPr>
          <w:lang w:val="en-GB"/>
        </w:rPr>
        <w:t>(b)</w:t>
      </w:r>
      <w:r w:rsidRPr="00B6382E">
        <w:rPr>
          <w:lang w:val="en-GB"/>
        </w:rPr>
        <w:t xml:space="preserve"> highest amount produced with the acid</w:t>
      </w:r>
      <w:r>
        <w:rPr>
          <w:lang w:val="en-GB"/>
        </w:rPr>
        <w:t>ic</w:t>
      </w:r>
      <w:r w:rsidRPr="00B6382E">
        <w:rPr>
          <w:lang w:val="en-GB"/>
        </w:rPr>
        <w:t xml:space="preserve"> catalyst</w:t>
      </w:r>
      <w:r>
        <w:rPr>
          <w:lang w:val="en-GB"/>
        </w:rPr>
        <w:t xml:space="preserve"> (42.7%)</w:t>
      </w:r>
      <w:r w:rsidRPr="00B6382E">
        <w:rPr>
          <w:lang w:val="en-GB"/>
        </w:rPr>
        <w:t xml:space="preserve"> and the lowest with the reference</w:t>
      </w:r>
      <w:r>
        <w:rPr>
          <w:lang w:val="en-GB"/>
        </w:rPr>
        <w:t xml:space="preserve"> (32.</w:t>
      </w:r>
      <w:r w:rsidR="00F911C0">
        <w:rPr>
          <w:lang w:val="en-GB"/>
        </w:rPr>
        <w:t>9%</w:t>
      </w:r>
      <w:r>
        <w:rPr>
          <w:lang w:val="en-GB"/>
        </w:rPr>
        <w:t>)</w:t>
      </w:r>
      <w:r w:rsidRPr="00B6382E">
        <w:rPr>
          <w:lang w:val="en-GB"/>
        </w:rPr>
        <w:t>. In addition,</w:t>
      </w:r>
      <w:r>
        <w:rPr>
          <w:lang w:val="en-GB"/>
        </w:rPr>
        <w:t xml:space="preserve"> as the Figure </w:t>
      </w:r>
      <w:r w:rsidR="0023511A">
        <w:rPr>
          <w:lang w:val="en-GB"/>
        </w:rPr>
        <w:t>4</w:t>
      </w:r>
      <w:r>
        <w:rPr>
          <w:lang w:val="en-GB"/>
        </w:rPr>
        <w:t>(a) shows,</w:t>
      </w:r>
      <w:r w:rsidRPr="00B6382E">
        <w:rPr>
          <w:lang w:val="en-GB"/>
        </w:rPr>
        <w:t xml:space="preserve"> the experiments with the reference catalyst</w:t>
      </w:r>
      <w:r>
        <w:rPr>
          <w:lang w:val="en-GB"/>
        </w:rPr>
        <w:t xml:space="preserve"> with steam</w:t>
      </w:r>
      <w:r w:rsidRPr="00B6382E">
        <w:rPr>
          <w:lang w:val="en-GB"/>
        </w:rPr>
        <w:t xml:space="preserve"> produced the most CO</w:t>
      </w:r>
      <w:r w:rsidRPr="00B6382E">
        <w:rPr>
          <w:vertAlign w:val="subscript"/>
          <w:lang w:val="en-GB"/>
        </w:rPr>
        <w:t>2</w:t>
      </w:r>
      <w:r w:rsidRPr="00B6382E">
        <w:rPr>
          <w:lang w:val="en-GB"/>
        </w:rPr>
        <w:t xml:space="preserve"> </w:t>
      </w:r>
      <w:r>
        <w:rPr>
          <w:lang w:val="en-GB"/>
        </w:rPr>
        <w:t xml:space="preserve">(28.4%) </w:t>
      </w:r>
      <w:r w:rsidRPr="00B6382E">
        <w:rPr>
          <w:lang w:val="en-GB"/>
        </w:rPr>
        <w:t>and the acid</w:t>
      </w:r>
      <w:r>
        <w:rPr>
          <w:lang w:val="en-GB"/>
        </w:rPr>
        <w:t>ic</w:t>
      </w:r>
      <w:r w:rsidRPr="00B6382E">
        <w:rPr>
          <w:lang w:val="en-GB"/>
        </w:rPr>
        <w:t xml:space="preserve"> catalyst the least</w:t>
      </w:r>
      <w:r>
        <w:rPr>
          <w:lang w:val="en-GB"/>
        </w:rPr>
        <w:t xml:space="preserve"> (7.</w:t>
      </w:r>
      <w:r w:rsidR="00F911C0">
        <w:rPr>
          <w:lang w:val="en-GB"/>
        </w:rPr>
        <w:t>2</w:t>
      </w:r>
      <w:r>
        <w:rPr>
          <w:lang w:val="en-GB"/>
        </w:rPr>
        <w:t>%) with steam</w:t>
      </w:r>
      <w:r w:rsidRPr="00B6382E">
        <w:rPr>
          <w:lang w:val="en-GB"/>
        </w:rPr>
        <w:t>.</w:t>
      </w:r>
      <w:r w:rsidR="0023511A" w:rsidRPr="0023511A">
        <w:rPr>
          <w:lang w:val="en-GB"/>
        </w:rPr>
        <w:t xml:space="preserve"> </w:t>
      </w:r>
      <w:r w:rsidR="0023511A" w:rsidRPr="00B6382E">
        <w:rPr>
          <w:lang w:val="en-GB"/>
        </w:rPr>
        <w:t>Furthermore, significant amounts of methane</w:t>
      </w:r>
      <w:r w:rsidR="0023511A">
        <w:rPr>
          <w:lang w:val="en-GB"/>
        </w:rPr>
        <w:t>, 29.4%</w:t>
      </w:r>
      <w:r w:rsidR="0023511A" w:rsidRPr="00B6382E">
        <w:rPr>
          <w:lang w:val="en-GB"/>
        </w:rPr>
        <w:t xml:space="preserve"> were produced with the acid</w:t>
      </w:r>
      <w:r w:rsidR="0023511A">
        <w:rPr>
          <w:lang w:val="en-GB"/>
        </w:rPr>
        <w:t>ic</w:t>
      </w:r>
      <w:r w:rsidR="0023511A" w:rsidRPr="00B6382E">
        <w:rPr>
          <w:lang w:val="en-GB"/>
        </w:rPr>
        <w:t xml:space="preserve"> catalyst</w:t>
      </w:r>
      <w:r w:rsidR="0023511A">
        <w:rPr>
          <w:lang w:val="en-GB"/>
        </w:rPr>
        <w:t xml:space="preserve"> without steam</w:t>
      </w:r>
      <w:r w:rsidR="0023511A" w:rsidRPr="00B6382E">
        <w:rPr>
          <w:lang w:val="en-GB"/>
        </w:rPr>
        <w:t xml:space="preserve">. The reference catalyst proved to be the best in terms of hydrogen yield, with almost 14% hydrogen produced without </w:t>
      </w:r>
      <w:r w:rsidR="0023511A">
        <w:rPr>
          <w:lang w:val="en-GB"/>
        </w:rPr>
        <w:t>steam and 21.0% hydrogen produced in the presence of steam</w:t>
      </w:r>
      <w:r w:rsidR="0023511A" w:rsidRPr="00B6382E">
        <w:rPr>
          <w:lang w:val="en-GB"/>
        </w:rPr>
        <w:t>. In c</w:t>
      </w:r>
      <w:r w:rsidR="0023511A">
        <w:rPr>
          <w:lang w:val="en-GB"/>
        </w:rPr>
        <w:t>ontrary</w:t>
      </w:r>
      <w:r w:rsidR="0023511A" w:rsidRPr="00B6382E">
        <w:rPr>
          <w:lang w:val="en-GB"/>
        </w:rPr>
        <w:t>, the acid-treated kaolin yielded 11.</w:t>
      </w:r>
      <w:r w:rsidR="0023511A">
        <w:rPr>
          <w:lang w:val="en-GB"/>
        </w:rPr>
        <w:t>9</w:t>
      </w:r>
      <w:r w:rsidR="0023511A" w:rsidRPr="00B6382E">
        <w:rPr>
          <w:lang w:val="en-GB"/>
        </w:rPr>
        <w:t xml:space="preserve">% hydrogen without </w:t>
      </w:r>
      <w:r w:rsidR="0023511A">
        <w:rPr>
          <w:lang w:val="en-GB"/>
        </w:rPr>
        <w:t>steam</w:t>
      </w:r>
      <w:r w:rsidR="0023511A" w:rsidRPr="00B6382E">
        <w:rPr>
          <w:lang w:val="en-GB"/>
        </w:rPr>
        <w:t xml:space="preserve"> and 17.1% hydrogen with </w:t>
      </w:r>
      <w:r w:rsidR="0023511A">
        <w:rPr>
          <w:lang w:val="en-GB"/>
        </w:rPr>
        <w:t>steam</w:t>
      </w:r>
      <w:r w:rsidR="0023511A" w:rsidRPr="00B6382E">
        <w:rPr>
          <w:lang w:val="en-GB"/>
        </w:rPr>
        <w:t>. The alkali modified catalyst produced 12.</w:t>
      </w:r>
      <w:r w:rsidR="0023511A">
        <w:rPr>
          <w:lang w:val="en-GB"/>
        </w:rPr>
        <w:t>5</w:t>
      </w:r>
      <w:r w:rsidR="0023511A" w:rsidRPr="00B6382E">
        <w:rPr>
          <w:lang w:val="en-GB"/>
        </w:rPr>
        <w:t>% hydrogen without and 16.</w:t>
      </w:r>
      <w:r w:rsidR="0023511A">
        <w:rPr>
          <w:lang w:val="en-GB"/>
        </w:rPr>
        <w:t>8</w:t>
      </w:r>
      <w:r w:rsidR="0023511A" w:rsidRPr="00B6382E">
        <w:rPr>
          <w:lang w:val="en-GB"/>
        </w:rPr>
        <w:t xml:space="preserve">% hydrogen with </w:t>
      </w:r>
      <w:r w:rsidR="0023511A">
        <w:rPr>
          <w:lang w:val="en-GB"/>
        </w:rPr>
        <w:t>steam</w:t>
      </w:r>
      <w:r w:rsidR="0023511A" w:rsidRPr="00B6382E">
        <w:rPr>
          <w:lang w:val="en-GB"/>
        </w:rPr>
        <w:t>.</w:t>
      </w:r>
      <w:r w:rsidR="0023511A">
        <w:rPr>
          <w:lang w:val="en-GB"/>
        </w:rPr>
        <w:t xml:space="preserve"> </w:t>
      </w:r>
    </w:p>
    <w:p w14:paraId="25C20206" w14:textId="1B02A71F" w:rsidR="0023511A" w:rsidRDefault="0023511A" w:rsidP="0023511A">
      <w:pPr>
        <w:pStyle w:val="CETBodytext"/>
        <w:spacing w:before="120" w:after="120"/>
        <w:contextualSpacing/>
        <w:rPr>
          <w:lang w:val="en-GB"/>
        </w:rPr>
      </w:pPr>
      <w:r w:rsidRPr="00440400">
        <w:rPr>
          <w:lang w:val="en-GB"/>
        </w:rPr>
        <w:t xml:space="preserve">Figure </w:t>
      </w:r>
      <w:r>
        <w:rPr>
          <w:lang w:val="en-GB"/>
        </w:rPr>
        <w:t>5</w:t>
      </w:r>
      <w:r w:rsidRPr="00440400">
        <w:rPr>
          <w:lang w:val="en-GB"/>
        </w:rPr>
        <w:t xml:space="preserve"> illustrates the product yields and the H</w:t>
      </w:r>
      <w:r w:rsidRPr="00440400">
        <w:rPr>
          <w:vertAlign w:val="subscript"/>
          <w:lang w:val="en-GB"/>
        </w:rPr>
        <w:t>2</w:t>
      </w:r>
      <w:r w:rsidRPr="00440400">
        <w:rPr>
          <w:lang w:val="en-GB"/>
        </w:rPr>
        <w:t>/CO ratio. In all cases, the products were consistently produced in almost the same amount</w:t>
      </w:r>
      <w:r>
        <w:rPr>
          <w:lang w:val="en-GB"/>
        </w:rPr>
        <w:t xml:space="preserve"> – the char was between 19.1-19.5%, the liquid phase was between 22.3-22.7% while the gas yield was about 58% – as </w:t>
      </w:r>
      <w:r w:rsidRPr="00440400">
        <w:rPr>
          <w:lang w:val="en-GB"/>
        </w:rPr>
        <w:t xml:space="preserve">the reactions were carried out under the same parameters in all cases. </w:t>
      </w:r>
    </w:p>
    <w:p w14:paraId="58B2E9B1" w14:textId="1ED475FA" w:rsidR="0023511A" w:rsidRDefault="0023511A" w:rsidP="0023511A">
      <w:pPr>
        <w:pStyle w:val="CETBodytext"/>
        <w:contextualSpacing/>
        <w:rPr>
          <w:lang w:val="en-GB"/>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5"/>
        <w:gridCol w:w="91"/>
        <w:gridCol w:w="2919"/>
        <w:gridCol w:w="108"/>
        <w:gridCol w:w="2824"/>
      </w:tblGrid>
      <w:tr w:rsidR="00AC6D33" w14:paraId="5D6D4748" w14:textId="77777777" w:rsidTr="0023511A">
        <w:tc>
          <w:tcPr>
            <w:tcW w:w="2936" w:type="dxa"/>
            <w:gridSpan w:val="2"/>
          </w:tcPr>
          <w:p w14:paraId="475D0E4B" w14:textId="77777777" w:rsidR="00AC6D33" w:rsidRDefault="00AC6D33" w:rsidP="00AE6F0B">
            <w:pPr>
              <w:spacing w:before="120" w:after="120"/>
              <w:jc w:val="center"/>
            </w:pPr>
            <w:r w:rsidRPr="00F82785">
              <w:rPr>
                <w:noProof/>
                <w:lang w:val="hu-HU" w:eastAsia="hu-HU"/>
              </w:rPr>
              <w:lastRenderedPageBreak/>
              <w:drawing>
                <wp:inline distT="0" distB="0" distL="0" distR="0" wp14:anchorId="4B7C0FDA" wp14:editId="6A00174E">
                  <wp:extent cx="1832286" cy="1800000"/>
                  <wp:effectExtent l="0" t="0" r="0" b="0"/>
                  <wp:docPr id="36906563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65636" name="Kép 1"/>
                          <pic:cNvPicPr/>
                        </pic:nvPicPr>
                        <pic:blipFill>
                          <a:blip r:embed="rId14">
                            <a:extLst>
                              <a:ext uri="{96DAC541-7B7A-43D3-8B79-37D633B846F1}">
                                <asvg:svgBlip xmlns:asvg="http://schemas.microsoft.com/office/drawing/2016/SVG/main" r:embed="rId15"/>
                              </a:ext>
                            </a:extLst>
                          </a:blip>
                          <a:stretch>
                            <a:fillRect/>
                          </a:stretch>
                        </pic:blipFill>
                        <pic:spPr>
                          <a:xfrm>
                            <a:off x="0" y="0"/>
                            <a:ext cx="1832286" cy="1800000"/>
                          </a:xfrm>
                          <a:prstGeom prst="rect">
                            <a:avLst/>
                          </a:prstGeom>
                        </pic:spPr>
                      </pic:pic>
                    </a:graphicData>
                  </a:graphic>
                </wp:inline>
              </w:drawing>
            </w:r>
          </w:p>
        </w:tc>
        <w:tc>
          <w:tcPr>
            <w:tcW w:w="2919" w:type="dxa"/>
          </w:tcPr>
          <w:p w14:paraId="57FA24C4" w14:textId="77777777" w:rsidR="00AC6D33" w:rsidRDefault="00AC6D33" w:rsidP="00AE6F0B">
            <w:pPr>
              <w:spacing w:before="120" w:after="120"/>
              <w:jc w:val="center"/>
            </w:pPr>
            <w:r w:rsidRPr="00F82785">
              <w:rPr>
                <w:noProof/>
                <w:lang w:val="hu-HU" w:eastAsia="hu-HU"/>
              </w:rPr>
              <w:drawing>
                <wp:inline distT="0" distB="0" distL="0" distR="0" wp14:anchorId="46CADA38" wp14:editId="336AC3B9">
                  <wp:extent cx="1828186" cy="1800000"/>
                  <wp:effectExtent l="0" t="0" r="635" b="0"/>
                  <wp:docPr id="160121488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214882" name="Kép 1"/>
                          <pic:cNvPicPr/>
                        </pic:nvPicPr>
                        <pic:blipFill>
                          <a:blip r:embed="rId16">
                            <a:extLst>
                              <a:ext uri="{96DAC541-7B7A-43D3-8B79-37D633B846F1}">
                                <asvg:svgBlip xmlns:asvg="http://schemas.microsoft.com/office/drawing/2016/SVG/main" r:embed="rId17"/>
                              </a:ext>
                            </a:extLst>
                          </a:blip>
                          <a:stretch>
                            <a:fillRect/>
                          </a:stretch>
                        </pic:blipFill>
                        <pic:spPr>
                          <a:xfrm>
                            <a:off x="0" y="0"/>
                            <a:ext cx="1828186" cy="1800000"/>
                          </a:xfrm>
                          <a:prstGeom prst="rect">
                            <a:avLst/>
                          </a:prstGeom>
                        </pic:spPr>
                      </pic:pic>
                    </a:graphicData>
                  </a:graphic>
                </wp:inline>
              </w:drawing>
            </w:r>
          </w:p>
        </w:tc>
        <w:tc>
          <w:tcPr>
            <w:tcW w:w="2932" w:type="dxa"/>
            <w:gridSpan w:val="2"/>
          </w:tcPr>
          <w:p w14:paraId="32616505" w14:textId="77777777" w:rsidR="00AC6D33" w:rsidRDefault="00AC6D33" w:rsidP="00AE6F0B">
            <w:pPr>
              <w:spacing w:before="120" w:after="120"/>
              <w:jc w:val="center"/>
            </w:pPr>
            <w:r w:rsidRPr="00F82785">
              <w:rPr>
                <w:noProof/>
                <w:lang w:val="hu-HU" w:eastAsia="hu-HU"/>
              </w:rPr>
              <w:drawing>
                <wp:inline distT="0" distB="0" distL="0" distR="0" wp14:anchorId="19197706" wp14:editId="28452B84">
                  <wp:extent cx="1828186" cy="1799998"/>
                  <wp:effectExtent l="0" t="0" r="635" b="0"/>
                  <wp:docPr id="121548063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80638" name="Kép 1"/>
                          <pic:cNvPicPr/>
                        </pic:nvPicPr>
                        <pic:blipFill>
                          <a:blip r:embed="rId18">
                            <a:extLst>
                              <a:ext uri="{96DAC541-7B7A-43D3-8B79-37D633B846F1}">
                                <asvg:svgBlip xmlns:asvg="http://schemas.microsoft.com/office/drawing/2016/SVG/main" r:embed="rId19"/>
                              </a:ext>
                            </a:extLst>
                          </a:blip>
                          <a:stretch>
                            <a:fillRect/>
                          </a:stretch>
                        </pic:blipFill>
                        <pic:spPr>
                          <a:xfrm>
                            <a:off x="0" y="0"/>
                            <a:ext cx="1828186" cy="1799998"/>
                          </a:xfrm>
                          <a:prstGeom prst="rect">
                            <a:avLst/>
                          </a:prstGeom>
                        </pic:spPr>
                      </pic:pic>
                    </a:graphicData>
                  </a:graphic>
                </wp:inline>
              </w:drawing>
            </w:r>
          </w:p>
        </w:tc>
      </w:tr>
      <w:tr w:rsidR="00AC6D33" w14:paraId="1E51FE54" w14:textId="77777777" w:rsidTr="0023511A">
        <w:tc>
          <w:tcPr>
            <w:tcW w:w="2851" w:type="dxa"/>
          </w:tcPr>
          <w:p w14:paraId="44548686" w14:textId="77777777" w:rsidR="00AC6D33" w:rsidRDefault="00AC6D33" w:rsidP="00AE6F0B">
            <w:pPr>
              <w:spacing w:line="240" w:lineRule="auto"/>
              <w:jc w:val="center"/>
            </w:pPr>
            <w:r>
              <w:t>(a)</w:t>
            </w:r>
          </w:p>
        </w:tc>
        <w:tc>
          <w:tcPr>
            <w:tcW w:w="3109" w:type="dxa"/>
            <w:gridSpan w:val="3"/>
          </w:tcPr>
          <w:p w14:paraId="79B995B2" w14:textId="77777777" w:rsidR="00AC6D33" w:rsidRDefault="00AC6D33" w:rsidP="00AE6F0B">
            <w:pPr>
              <w:jc w:val="center"/>
            </w:pPr>
            <w:r>
              <w:t>(b)</w:t>
            </w:r>
          </w:p>
        </w:tc>
        <w:tc>
          <w:tcPr>
            <w:tcW w:w="2827" w:type="dxa"/>
          </w:tcPr>
          <w:p w14:paraId="5FB0D7C1" w14:textId="77777777" w:rsidR="00AC6D33" w:rsidRDefault="00AC6D33" w:rsidP="00AE6F0B">
            <w:pPr>
              <w:jc w:val="center"/>
            </w:pPr>
            <w:r>
              <w:t>(c)</w:t>
            </w:r>
          </w:p>
        </w:tc>
      </w:tr>
      <w:tr w:rsidR="00AC6D33" w14:paraId="0D107598" w14:textId="77777777" w:rsidTr="00AE6F0B">
        <w:tc>
          <w:tcPr>
            <w:tcW w:w="8787" w:type="dxa"/>
            <w:gridSpan w:val="5"/>
          </w:tcPr>
          <w:p w14:paraId="4A968F9E" w14:textId="3BEF7A65" w:rsidR="0023511A" w:rsidRDefault="00AC6D33" w:rsidP="00AE6F0B">
            <w:pPr>
              <w:pStyle w:val="CETCaption"/>
              <w:spacing w:before="120" w:after="120"/>
            </w:pPr>
            <w:r>
              <w:t xml:space="preserve">Figure </w:t>
            </w:r>
            <w:r w:rsidR="00412C2E">
              <w:t>4</w:t>
            </w:r>
            <w:r>
              <w:t>: Gas compositions: (a) reference, (b) acidic, (c) alkaline</w:t>
            </w:r>
          </w:p>
        </w:tc>
      </w:tr>
    </w:tbl>
    <w:p w14:paraId="32EABF85" w14:textId="6BAD3E50" w:rsidR="0023511A" w:rsidRDefault="0023511A" w:rsidP="0023511A">
      <w:pPr>
        <w:pStyle w:val="CETBodytext"/>
        <w:spacing w:before="120" w:after="120"/>
        <w:contextualSpacing/>
        <w:rPr>
          <w:lang w:val="en-GB"/>
        </w:rPr>
      </w:pPr>
      <w:r w:rsidRPr="00440400">
        <w:rPr>
          <w:lang w:val="en-GB"/>
        </w:rPr>
        <w:t xml:space="preserve">The </w:t>
      </w:r>
      <w:r>
        <w:rPr>
          <w:lang w:val="en-GB"/>
        </w:rPr>
        <w:t xml:space="preserve">concentration </w:t>
      </w:r>
      <w:r w:rsidRPr="00440400">
        <w:rPr>
          <w:lang w:val="en-GB"/>
        </w:rPr>
        <w:t>of syngas was the highest with the acid</w:t>
      </w:r>
      <w:r>
        <w:rPr>
          <w:lang w:val="en-GB"/>
        </w:rPr>
        <w:t>ic</w:t>
      </w:r>
      <w:r w:rsidRPr="00440400">
        <w:rPr>
          <w:lang w:val="en-GB"/>
        </w:rPr>
        <w:t xml:space="preserve"> catalyst, more than 60%. The H</w:t>
      </w:r>
      <w:r w:rsidRPr="00440400">
        <w:rPr>
          <w:vertAlign w:val="subscript"/>
          <w:lang w:val="en-GB"/>
        </w:rPr>
        <w:t>2</w:t>
      </w:r>
      <w:r w:rsidRPr="00440400">
        <w:rPr>
          <w:lang w:val="en-GB"/>
        </w:rPr>
        <w:t xml:space="preserve">/CO ratio was outstanding </w:t>
      </w:r>
      <w:r>
        <w:rPr>
          <w:lang w:val="en-GB"/>
        </w:rPr>
        <w:t>during</w:t>
      </w:r>
      <w:r w:rsidRPr="00440400">
        <w:rPr>
          <w:lang w:val="en-GB"/>
        </w:rPr>
        <w:t xml:space="preserve"> the </w:t>
      </w:r>
      <w:r>
        <w:rPr>
          <w:lang w:val="en-GB"/>
        </w:rPr>
        <w:t>steam</w:t>
      </w:r>
      <w:r w:rsidRPr="00440400">
        <w:rPr>
          <w:lang w:val="en-GB"/>
        </w:rPr>
        <w:t xml:space="preserve"> measurement with the reference catalyst</w:t>
      </w:r>
      <w:r>
        <w:rPr>
          <w:lang w:val="en-GB"/>
        </w:rPr>
        <w:t>. W</w:t>
      </w:r>
      <w:r w:rsidRPr="00440400">
        <w:rPr>
          <w:lang w:val="en-GB"/>
        </w:rPr>
        <w:t xml:space="preserve">hile in the other cases this ratio was between </w:t>
      </w:r>
      <w:r>
        <w:rPr>
          <w:lang w:val="en-GB"/>
        </w:rPr>
        <w:t>0.3-0.4. I</w:t>
      </w:r>
      <w:r w:rsidRPr="00440400">
        <w:rPr>
          <w:lang w:val="en-GB"/>
        </w:rPr>
        <w:t xml:space="preserve">t was </w:t>
      </w:r>
      <w:r>
        <w:rPr>
          <w:lang w:val="en-GB"/>
        </w:rPr>
        <w:t>0.63</w:t>
      </w:r>
      <w:r w:rsidRPr="00440400">
        <w:rPr>
          <w:lang w:val="en-GB"/>
        </w:rPr>
        <w:t xml:space="preserve"> for the reference catalyst.</w:t>
      </w:r>
      <w:r>
        <w:rPr>
          <w:lang w:val="en-GB"/>
        </w:rPr>
        <w:t xml:space="preserve"> Regarding</w:t>
      </w:r>
      <w:r w:rsidRPr="00AA66A7">
        <w:rPr>
          <w:lang w:val="en-GB"/>
        </w:rPr>
        <w:t xml:space="preserve"> the </w:t>
      </w:r>
      <w:r>
        <w:rPr>
          <w:lang w:val="en-GB"/>
        </w:rPr>
        <w:t>CO/CO</w:t>
      </w:r>
      <w:r w:rsidRPr="00AA66A7">
        <w:rPr>
          <w:vertAlign w:val="subscript"/>
          <w:lang w:val="en-GB"/>
        </w:rPr>
        <w:t>2</w:t>
      </w:r>
      <w:r w:rsidRPr="00AA66A7">
        <w:rPr>
          <w:lang w:val="en-GB"/>
        </w:rPr>
        <w:t xml:space="preserve"> ratio, it can be observed that there was no</w:t>
      </w:r>
      <w:r>
        <w:rPr>
          <w:lang w:val="en-GB"/>
        </w:rPr>
        <w:t xml:space="preserve"> significant</w:t>
      </w:r>
      <w:r w:rsidRPr="00AA66A7">
        <w:rPr>
          <w:lang w:val="en-GB"/>
        </w:rPr>
        <w:t xml:space="preserve"> difference between the reference and the alkaline catalyst in the </w:t>
      </w:r>
      <w:r>
        <w:rPr>
          <w:lang w:val="en-GB"/>
        </w:rPr>
        <w:t>steam</w:t>
      </w:r>
      <w:r w:rsidRPr="00AA66A7">
        <w:rPr>
          <w:lang w:val="en-GB"/>
        </w:rPr>
        <w:t xml:space="preserve"> and </w:t>
      </w:r>
      <w:r>
        <w:rPr>
          <w:lang w:val="en-GB"/>
        </w:rPr>
        <w:t>steam</w:t>
      </w:r>
      <w:r w:rsidRPr="00AA66A7">
        <w:rPr>
          <w:lang w:val="en-GB"/>
        </w:rPr>
        <w:t>-free measurements, but the acid</w:t>
      </w:r>
      <w:r>
        <w:rPr>
          <w:lang w:val="en-GB"/>
        </w:rPr>
        <w:t>ic</w:t>
      </w:r>
      <w:r w:rsidRPr="00AA66A7">
        <w:rPr>
          <w:lang w:val="en-GB"/>
        </w:rPr>
        <w:t xml:space="preserve"> catalyst had a significantly higher ratio in</w:t>
      </w:r>
      <w:r>
        <w:rPr>
          <w:lang w:val="en-GB"/>
        </w:rPr>
        <w:t xml:space="preserve"> (6.08)</w:t>
      </w:r>
      <w:r w:rsidRPr="00AA66A7">
        <w:rPr>
          <w:lang w:val="en-GB"/>
        </w:rPr>
        <w:t xml:space="preserve"> </w:t>
      </w:r>
      <w:r>
        <w:rPr>
          <w:lang w:val="en-GB"/>
        </w:rPr>
        <w:t>with steam</w:t>
      </w:r>
      <w:r w:rsidRPr="00AA66A7">
        <w:rPr>
          <w:lang w:val="en-GB"/>
        </w:rPr>
        <w:t>.</w:t>
      </w:r>
    </w:p>
    <w:p w14:paraId="119BB352" w14:textId="6D3740F7" w:rsidR="00BD002C" w:rsidRDefault="00BD002C" w:rsidP="00FA6E7D">
      <w:pPr>
        <w:pStyle w:val="CETBodytext"/>
        <w:spacing w:before="120" w:after="120"/>
        <w:rPr>
          <w:lang w:val="en-GB"/>
        </w:rPr>
      </w:pPr>
      <w:r>
        <w:rPr>
          <w:noProof/>
          <w:lang w:val="hu-HU" w:eastAsia="hu-HU"/>
        </w:rPr>
        <w:drawing>
          <wp:inline distT="0" distB="0" distL="0" distR="0" wp14:anchorId="7AC965C3" wp14:editId="7D708658">
            <wp:extent cx="2469319" cy="1435292"/>
            <wp:effectExtent l="0" t="0" r="7620" b="0"/>
            <wp:docPr id="34196174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61744" name="Kép 1"/>
                    <pic:cNvPicPr>
                      <a:picLocks noChangeAspect="1" noChangeArrowheads="1"/>
                    </pic:cNvPicPr>
                  </pic:nvPicPr>
                  <pic:blipFill>
                    <a:blip r:embed="rId20">
                      <a:extLst>
                        <a:ext uri="{96DAC541-7B7A-43D3-8B79-37D633B846F1}">
                          <asvg:svgBlip xmlns:asvg="http://schemas.microsoft.com/office/drawing/2016/SVG/main" r:embed="rId21"/>
                        </a:ext>
                      </a:extLst>
                    </a:blip>
                    <a:stretch>
                      <a:fillRect/>
                    </a:stretch>
                  </pic:blipFill>
                  <pic:spPr bwMode="auto">
                    <a:xfrm>
                      <a:off x="0" y="0"/>
                      <a:ext cx="2469319" cy="1435292"/>
                    </a:xfrm>
                    <a:prstGeom prst="rect">
                      <a:avLst/>
                    </a:prstGeom>
                  </pic:spPr>
                </pic:pic>
              </a:graphicData>
            </a:graphic>
          </wp:inline>
        </w:drawing>
      </w:r>
    </w:p>
    <w:p w14:paraId="69106E7F" w14:textId="30241A86" w:rsidR="00FA6E7D" w:rsidRPr="00BD002C" w:rsidRDefault="00BD002C" w:rsidP="00C54FF5">
      <w:pPr>
        <w:pStyle w:val="CETCaption"/>
      </w:pPr>
      <w:r>
        <w:t xml:space="preserve">Figure </w:t>
      </w:r>
      <w:r w:rsidR="00412C2E">
        <w:t>5</w:t>
      </w:r>
      <w:r>
        <w:t>: H</w:t>
      </w:r>
      <w:r w:rsidRPr="00C54FF5">
        <w:rPr>
          <w:vertAlign w:val="subscript"/>
        </w:rPr>
        <w:t>2</w:t>
      </w:r>
      <w:r>
        <w:t>/CO and CO/CO</w:t>
      </w:r>
      <w:r w:rsidRPr="00C54FF5">
        <w:rPr>
          <w:vertAlign w:val="subscript"/>
        </w:rPr>
        <w:t>2</w:t>
      </w:r>
      <w:r>
        <w:t xml:space="preserve"> ratio in the gas product</w:t>
      </w:r>
    </w:p>
    <w:p w14:paraId="57BDEFF9" w14:textId="77777777" w:rsidR="00C54FF5" w:rsidRDefault="00C54FF5" w:rsidP="00C54FF5">
      <w:pPr>
        <w:pStyle w:val="CETheadingx"/>
      </w:pPr>
      <w:r>
        <w:t>Elemental composition</w:t>
      </w:r>
    </w:p>
    <w:p w14:paraId="2CAC1161" w14:textId="55D52F9D" w:rsidR="00C54FF5" w:rsidRPr="005E6D1D" w:rsidRDefault="00C54FF5" w:rsidP="00C54FF5">
      <w:pPr>
        <w:pStyle w:val="CETBodytext"/>
        <w:rPr>
          <w:b/>
        </w:rPr>
      </w:pPr>
      <w:r w:rsidRPr="005E6D1D">
        <w:t>Table</w:t>
      </w:r>
      <w:r>
        <w:t xml:space="preserve"> 1</w:t>
      </w:r>
      <w:r w:rsidRPr="005E6D1D">
        <w:t xml:space="preserve"> shows the elemental composition</w:t>
      </w:r>
      <w:r>
        <w:t xml:space="preserve"> of the produced catalysts</w:t>
      </w:r>
      <w:r w:rsidRPr="005E6D1D">
        <w:t>. The catalysts prepared by alkaline treatment have the highest Na content (9.35%), which suggests a Na-zeolite structure. The Si/Al ratio for the acid</w:t>
      </w:r>
      <w:r>
        <w:t>ic</w:t>
      </w:r>
      <w:r w:rsidRPr="005E6D1D">
        <w:t xml:space="preserve"> catalysts was 1.61, which is </w:t>
      </w:r>
      <w:r>
        <w:t>respectively</w:t>
      </w:r>
      <w:r w:rsidRPr="005E6D1D">
        <w:t xml:space="preserve"> the highest since a dealumination reaction t</w:t>
      </w:r>
      <w:r>
        <w:t>ook</w:t>
      </w:r>
      <w:r w:rsidRPr="005E6D1D">
        <w:t xml:space="preserve"> place. There is no significant difference in the ratio between the reference and the alkaline catalyst, but a decrease in the amount of Si (19.03</w:t>
      </w:r>
      <w:r w:rsidR="00066883">
        <w:t>%</w:t>
      </w:r>
      <w:r w:rsidRPr="005E6D1D">
        <w:t>) can be seen compared to the reference</w:t>
      </w:r>
      <w:r>
        <w:t xml:space="preserve"> (24.33</w:t>
      </w:r>
      <w:r w:rsidR="00066883">
        <w:t>%</w:t>
      </w:r>
      <w:r>
        <w:t>)</w:t>
      </w:r>
      <w:r w:rsidRPr="005E6D1D">
        <w:t xml:space="preserve">, due to the desilication that occurs during the alkaline treatment. </w:t>
      </w:r>
      <w:r w:rsidR="00AA53B5" w:rsidRPr="00680D3D">
        <w:t xml:space="preserve">These results show that the treatments after the impregnation step reduce the amount of metal added by impregnation, </w:t>
      </w:r>
      <w:r w:rsidR="0023511A">
        <w:t xml:space="preserve">suggesting that </w:t>
      </w:r>
      <w:r w:rsidR="00AA53B5" w:rsidRPr="00680D3D">
        <w:t xml:space="preserve">the solutions </w:t>
      </w:r>
      <w:proofErr w:type="gramStart"/>
      <w:r w:rsidR="00AA53B5" w:rsidRPr="00680D3D">
        <w:t>actually washing</w:t>
      </w:r>
      <w:proofErr w:type="gramEnd"/>
      <w:r w:rsidR="00AA53B5" w:rsidRPr="00680D3D">
        <w:t xml:space="preserve"> </w:t>
      </w:r>
      <w:r w:rsidR="0023511A">
        <w:t>off</w:t>
      </w:r>
      <w:r w:rsidR="00AA53B5" w:rsidRPr="00680D3D">
        <w:t xml:space="preserve"> the added</w:t>
      </w:r>
      <w:r w:rsidR="0023511A">
        <w:t xml:space="preserve"> </w:t>
      </w:r>
      <w:r w:rsidR="0023511A" w:rsidRPr="00680D3D">
        <w:t>nickel</w:t>
      </w:r>
      <w:r w:rsidRPr="005E6D1D">
        <w:t xml:space="preserve">. </w:t>
      </w:r>
    </w:p>
    <w:p w14:paraId="60237B9F" w14:textId="77777777" w:rsidR="00C54FF5" w:rsidRPr="00EC14C4" w:rsidRDefault="00C54FF5" w:rsidP="00C54FF5">
      <w:pPr>
        <w:pStyle w:val="CETTabletitle"/>
        <w:rPr>
          <w:b/>
        </w:rPr>
      </w:pPr>
      <w:r w:rsidRPr="00EC14C4">
        <w:t>Table</w:t>
      </w:r>
      <w:r>
        <w:t xml:space="preserve"> 1: Elemental composition of catalysts (weight %)</w:t>
      </w:r>
    </w:p>
    <w:tbl>
      <w:tblPr>
        <w:tblStyle w:val="Grigliatabella"/>
        <w:tblW w:w="0" w:type="auto"/>
        <w:tblBorders>
          <w:left w:val="none" w:sz="0" w:space="0" w:color="auto"/>
          <w:right w:val="none" w:sz="0" w:space="0" w:color="auto"/>
          <w:insideH w:val="none" w:sz="0" w:space="0" w:color="auto"/>
        </w:tblBorders>
        <w:tblLook w:val="04A0" w:firstRow="1" w:lastRow="0" w:firstColumn="1" w:lastColumn="0" w:noHBand="0" w:noVBand="1"/>
      </w:tblPr>
      <w:tblGrid>
        <w:gridCol w:w="476"/>
        <w:gridCol w:w="1418"/>
        <w:gridCol w:w="1058"/>
        <w:gridCol w:w="1068"/>
      </w:tblGrid>
      <w:tr w:rsidR="00C54FF5" w:rsidRPr="0088179F" w14:paraId="48A1AE10" w14:textId="77777777" w:rsidTr="00C54FF5">
        <w:tc>
          <w:tcPr>
            <w:tcW w:w="476" w:type="dxa"/>
            <w:tcBorders>
              <w:top w:val="single" w:sz="8" w:space="0" w:color="00B050"/>
              <w:bottom w:val="single" w:sz="8" w:space="0" w:color="00B050"/>
              <w:right w:val="nil"/>
            </w:tcBorders>
          </w:tcPr>
          <w:p w14:paraId="4C4A643E" w14:textId="77777777" w:rsidR="00C54FF5" w:rsidRPr="0088179F" w:rsidRDefault="00C54FF5" w:rsidP="00C54FF5">
            <w:pPr>
              <w:pStyle w:val="CETBodytext"/>
            </w:pPr>
          </w:p>
        </w:tc>
        <w:tc>
          <w:tcPr>
            <w:tcW w:w="1418" w:type="dxa"/>
            <w:tcBorders>
              <w:top w:val="single" w:sz="8" w:space="0" w:color="00B050"/>
              <w:left w:val="nil"/>
              <w:bottom w:val="single" w:sz="8" w:space="0" w:color="00B050"/>
              <w:right w:val="nil"/>
            </w:tcBorders>
          </w:tcPr>
          <w:p w14:paraId="5CF4846D" w14:textId="77777777" w:rsidR="00C54FF5" w:rsidRPr="0023511A" w:rsidRDefault="00C54FF5" w:rsidP="00C54FF5">
            <w:pPr>
              <w:pStyle w:val="CETBodytext"/>
              <w:rPr>
                <w:b/>
                <w:bCs/>
              </w:rPr>
            </w:pPr>
            <w:r w:rsidRPr="0023511A">
              <w:rPr>
                <w:b/>
                <w:bCs/>
              </w:rPr>
              <w:t>Reference</w:t>
            </w:r>
          </w:p>
        </w:tc>
        <w:tc>
          <w:tcPr>
            <w:tcW w:w="1058" w:type="dxa"/>
            <w:tcBorders>
              <w:top w:val="single" w:sz="8" w:space="0" w:color="00B050"/>
              <w:left w:val="nil"/>
              <w:bottom w:val="single" w:sz="8" w:space="0" w:color="00B050"/>
              <w:right w:val="nil"/>
            </w:tcBorders>
          </w:tcPr>
          <w:p w14:paraId="2B8924A3" w14:textId="77777777" w:rsidR="00C54FF5" w:rsidRPr="0023511A" w:rsidRDefault="00C54FF5" w:rsidP="00C54FF5">
            <w:pPr>
              <w:pStyle w:val="CETBodytext"/>
              <w:rPr>
                <w:b/>
                <w:bCs/>
              </w:rPr>
            </w:pPr>
            <w:r w:rsidRPr="0023511A">
              <w:rPr>
                <w:b/>
                <w:bCs/>
              </w:rPr>
              <w:t>Acidic</w:t>
            </w:r>
          </w:p>
        </w:tc>
        <w:tc>
          <w:tcPr>
            <w:tcW w:w="1068" w:type="dxa"/>
            <w:tcBorders>
              <w:top w:val="single" w:sz="8" w:space="0" w:color="00B050"/>
              <w:left w:val="nil"/>
              <w:bottom w:val="single" w:sz="8" w:space="0" w:color="00B050"/>
            </w:tcBorders>
          </w:tcPr>
          <w:p w14:paraId="474F4F4A" w14:textId="77777777" w:rsidR="00C54FF5" w:rsidRPr="0023511A" w:rsidRDefault="00C54FF5" w:rsidP="00C54FF5">
            <w:pPr>
              <w:pStyle w:val="CETBodytext"/>
              <w:rPr>
                <w:b/>
                <w:bCs/>
              </w:rPr>
            </w:pPr>
            <w:r w:rsidRPr="0023511A">
              <w:rPr>
                <w:b/>
                <w:bCs/>
              </w:rPr>
              <w:t>Alkaline</w:t>
            </w:r>
          </w:p>
        </w:tc>
      </w:tr>
      <w:tr w:rsidR="00C54FF5" w14:paraId="0560DE68" w14:textId="77777777" w:rsidTr="00C54FF5">
        <w:tc>
          <w:tcPr>
            <w:tcW w:w="476" w:type="dxa"/>
            <w:tcBorders>
              <w:top w:val="single" w:sz="8" w:space="0" w:color="00B050"/>
              <w:right w:val="nil"/>
            </w:tcBorders>
          </w:tcPr>
          <w:p w14:paraId="7D9F7007" w14:textId="77777777" w:rsidR="00C54FF5" w:rsidRPr="0023511A" w:rsidRDefault="00C54FF5" w:rsidP="00C54FF5">
            <w:pPr>
              <w:pStyle w:val="CETBodytext"/>
              <w:rPr>
                <w:b/>
                <w:bCs/>
              </w:rPr>
            </w:pPr>
            <w:r w:rsidRPr="0023511A">
              <w:rPr>
                <w:b/>
                <w:bCs/>
              </w:rPr>
              <w:t>Na</w:t>
            </w:r>
          </w:p>
        </w:tc>
        <w:tc>
          <w:tcPr>
            <w:tcW w:w="1418" w:type="dxa"/>
            <w:tcBorders>
              <w:top w:val="single" w:sz="8" w:space="0" w:color="00B050"/>
              <w:left w:val="nil"/>
              <w:right w:val="nil"/>
            </w:tcBorders>
          </w:tcPr>
          <w:p w14:paraId="6899C309" w14:textId="77777777" w:rsidR="00C54FF5" w:rsidRPr="00BD4800" w:rsidRDefault="00C54FF5" w:rsidP="0023511A">
            <w:pPr>
              <w:pStyle w:val="CETBodytext"/>
              <w:jc w:val="center"/>
              <w:rPr>
                <w:b/>
                <w:bCs/>
              </w:rPr>
            </w:pPr>
            <w:r>
              <w:rPr>
                <w:bCs/>
              </w:rPr>
              <w:t>-</w:t>
            </w:r>
          </w:p>
        </w:tc>
        <w:tc>
          <w:tcPr>
            <w:tcW w:w="1058" w:type="dxa"/>
            <w:tcBorders>
              <w:top w:val="single" w:sz="8" w:space="0" w:color="00B050"/>
              <w:left w:val="nil"/>
              <w:right w:val="nil"/>
            </w:tcBorders>
          </w:tcPr>
          <w:p w14:paraId="6DDC3245" w14:textId="77777777" w:rsidR="00C54FF5" w:rsidRPr="00BD4800" w:rsidRDefault="00C54FF5" w:rsidP="0023511A">
            <w:pPr>
              <w:pStyle w:val="CETBodytext"/>
              <w:jc w:val="center"/>
              <w:rPr>
                <w:b/>
                <w:bCs/>
              </w:rPr>
            </w:pPr>
            <w:r>
              <w:rPr>
                <w:bCs/>
              </w:rPr>
              <w:t>0.04</w:t>
            </w:r>
          </w:p>
        </w:tc>
        <w:tc>
          <w:tcPr>
            <w:tcW w:w="1068" w:type="dxa"/>
            <w:tcBorders>
              <w:top w:val="single" w:sz="8" w:space="0" w:color="00B050"/>
              <w:left w:val="nil"/>
            </w:tcBorders>
          </w:tcPr>
          <w:p w14:paraId="33816087" w14:textId="77777777" w:rsidR="00C54FF5" w:rsidRPr="00BD4800" w:rsidRDefault="00C54FF5" w:rsidP="0023511A">
            <w:pPr>
              <w:pStyle w:val="CETBodytext"/>
              <w:jc w:val="center"/>
              <w:rPr>
                <w:b/>
                <w:bCs/>
              </w:rPr>
            </w:pPr>
            <w:r>
              <w:rPr>
                <w:bCs/>
              </w:rPr>
              <w:t>9.35</w:t>
            </w:r>
          </w:p>
        </w:tc>
      </w:tr>
      <w:tr w:rsidR="00C54FF5" w14:paraId="7600A430" w14:textId="77777777" w:rsidTr="002F1AA4">
        <w:tc>
          <w:tcPr>
            <w:tcW w:w="476" w:type="dxa"/>
            <w:tcBorders>
              <w:right w:val="nil"/>
            </w:tcBorders>
          </w:tcPr>
          <w:p w14:paraId="7040FA92" w14:textId="77777777" w:rsidR="00C54FF5" w:rsidRPr="0023511A" w:rsidRDefault="00C54FF5" w:rsidP="00C54FF5">
            <w:pPr>
              <w:pStyle w:val="CETBodytext"/>
              <w:rPr>
                <w:b/>
                <w:bCs/>
              </w:rPr>
            </w:pPr>
            <w:r w:rsidRPr="0023511A">
              <w:rPr>
                <w:b/>
                <w:bCs/>
              </w:rPr>
              <w:t>Mg</w:t>
            </w:r>
          </w:p>
        </w:tc>
        <w:tc>
          <w:tcPr>
            <w:tcW w:w="1418" w:type="dxa"/>
            <w:tcBorders>
              <w:left w:val="nil"/>
              <w:right w:val="nil"/>
            </w:tcBorders>
          </w:tcPr>
          <w:p w14:paraId="07D99520" w14:textId="77777777" w:rsidR="00C54FF5" w:rsidRPr="00BD4800" w:rsidRDefault="00C54FF5" w:rsidP="0023511A">
            <w:pPr>
              <w:pStyle w:val="CETBodytext"/>
              <w:jc w:val="center"/>
              <w:rPr>
                <w:b/>
                <w:bCs/>
              </w:rPr>
            </w:pPr>
            <w:r>
              <w:rPr>
                <w:bCs/>
              </w:rPr>
              <w:t>0.19</w:t>
            </w:r>
          </w:p>
        </w:tc>
        <w:tc>
          <w:tcPr>
            <w:tcW w:w="1058" w:type="dxa"/>
            <w:tcBorders>
              <w:left w:val="nil"/>
              <w:right w:val="nil"/>
            </w:tcBorders>
          </w:tcPr>
          <w:p w14:paraId="413A9742" w14:textId="77777777" w:rsidR="00C54FF5" w:rsidRPr="00BD4800" w:rsidRDefault="00C54FF5" w:rsidP="0023511A">
            <w:pPr>
              <w:pStyle w:val="CETBodytext"/>
              <w:jc w:val="center"/>
              <w:rPr>
                <w:b/>
                <w:bCs/>
              </w:rPr>
            </w:pPr>
            <w:r>
              <w:rPr>
                <w:bCs/>
              </w:rPr>
              <w:t>0.27</w:t>
            </w:r>
          </w:p>
        </w:tc>
        <w:tc>
          <w:tcPr>
            <w:tcW w:w="1068" w:type="dxa"/>
            <w:tcBorders>
              <w:left w:val="nil"/>
            </w:tcBorders>
          </w:tcPr>
          <w:p w14:paraId="7FC9A660" w14:textId="27C7EBB0" w:rsidR="00C54FF5" w:rsidRPr="00BD4800" w:rsidRDefault="00C54FF5" w:rsidP="0023511A">
            <w:pPr>
              <w:pStyle w:val="CETBodytext"/>
              <w:jc w:val="center"/>
              <w:rPr>
                <w:b/>
                <w:bCs/>
              </w:rPr>
            </w:pPr>
            <w:r>
              <w:rPr>
                <w:bCs/>
              </w:rPr>
              <w:t>0.4</w:t>
            </w:r>
            <w:r w:rsidR="00BA072B">
              <w:rPr>
                <w:bCs/>
              </w:rPr>
              <w:t>0</w:t>
            </w:r>
          </w:p>
        </w:tc>
      </w:tr>
      <w:tr w:rsidR="00C54FF5" w14:paraId="72DAC82E" w14:textId="77777777" w:rsidTr="002F1AA4">
        <w:tc>
          <w:tcPr>
            <w:tcW w:w="476" w:type="dxa"/>
            <w:tcBorders>
              <w:right w:val="nil"/>
            </w:tcBorders>
          </w:tcPr>
          <w:p w14:paraId="11A7B442" w14:textId="77777777" w:rsidR="00C54FF5" w:rsidRPr="0023511A" w:rsidRDefault="00C54FF5" w:rsidP="00C54FF5">
            <w:pPr>
              <w:pStyle w:val="CETBodytext"/>
              <w:rPr>
                <w:b/>
                <w:bCs/>
              </w:rPr>
            </w:pPr>
            <w:r w:rsidRPr="0023511A">
              <w:rPr>
                <w:b/>
                <w:bCs/>
              </w:rPr>
              <w:t>Al</w:t>
            </w:r>
          </w:p>
        </w:tc>
        <w:tc>
          <w:tcPr>
            <w:tcW w:w="1418" w:type="dxa"/>
            <w:tcBorders>
              <w:left w:val="nil"/>
              <w:right w:val="nil"/>
            </w:tcBorders>
          </w:tcPr>
          <w:p w14:paraId="69BB1454" w14:textId="77777777" w:rsidR="00C54FF5" w:rsidRPr="00BD4800" w:rsidRDefault="00C54FF5" w:rsidP="0023511A">
            <w:pPr>
              <w:pStyle w:val="CETBodytext"/>
              <w:jc w:val="center"/>
              <w:rPr>
                <w:b/>
                <w:bCs/>
              </w:rPr>
            </w:pPr>
            <w:r>
              <w:rPr>
                <w:bCs/>
              </w:rPr>
              <w:t>22.44</w:t>
            </w:r>
          </w:p>
        </w:tc>
        <w:tc>
          <w:tcPr>
            <w:tcW w:w="1058" w:type="dxa"/>
            <w:tcBorders>
              <w:left w:val="nil"/>
              <w:right w:val="nil"/>
            </w:tcBorders>
          </w:tcPr>
          <w:p w14:paraId="4907B7E0" w14:textId="77777777" w:rsidR="00C54FF5" w:rsidRPr="00BD4800" w:rsidRDefault="00C54FF5" w:rsidP="0023511A">
            <w:pPr>
              <w:pStyle w:val="CETBodytext"/>
              <w:jc w:val="center"/>
              <w:rPr>
                <w:b/>
                <w:bCs/>
              </w:rPr>
            </w:pPr>
            <w:r>
              <w:rPr>
                <w:bCs/>
              </w:rPr>
              <w:t>17.46</w:t>
            </w:r>
          </w:p>
        </w:tc>
        <w:tc>
          <w:tcPr>
            <w:tcW w:w="1068" w:type="dxa"/>
            <w:tcBorders>
              <w:left w:val="nil"/>
            </w:tcBorders>
          </w:tcPr>
          <w:p w14:paraId="4825F2A7" w14:textId="77777777" w:rsidR="00C54FF5" w:rsidRPr="00BD4800" w:rsidRDefault="00C54FF5" w:rsidP="0023511A">
            <w:pPr>
              <w:pStyle w:val="CETBodytext"/>
              <w:jc w:val="center"/>
              <w:rPr>
                <w:b/>
                <w:bCs/>
              </w:rPr>
            </w:pPr>
            <w:r>
              <w:rPr>
                <w:bCs/>
              </w:rPr>
              <w:t>17.85</w:t>
            </w:r>
          </w:p>
        </w:tc>
      </w:tr>
      <w:tr w:rsidR="00C54FF5" w14:paraId="43E71D76" w14:textId="77777777" w:rsidTr="002F1AA4">
        <w:tc>
          <w:tcPr>
            <w:tcW w:w="476" w:type="dxa"/>
            <w:tcBorders>
              <w:right w:val="nil"/>
            </w:tcBorders>
          </w:tcPr>
          <w:p w14:paraId="4E3E92E8" w14:textId="77777777" w:rsidR="00C54FF5" w:rsidRPr="0023511A" w:rsidRDefault="00C54FF5" w:rsidP="00C54FF5">
            <w:pPr>
              <w:pStyle w:val="CETBodytext"/>
              <w:rPr>
                <w:b/>
                <w:bCs/>
              </w:rPr>
            </w:pPr>
            <w:r w:rsidRPr="0023511A">
              <w:rPr>
                <w:b/>
                <w:bCs/>
              </w:rPr>
              <w:t>Si</w:t>
            </w:r>
          </w:p>
        </w:tc>
        <w:tc>
          <w:tcPr>
            <w:tcW w:w="1418" w:type="dxa"/>
            <w:tcBorders>
              <w:left w:val="nil"/>
              <w:right w:val="nil"/>
            </w:tcBorders>
          </w:tcPr>
          <w:p w14:paraId="5196B468" w14:textId="77777777" w:rsidR="00C54FF5" w:rsidRPr="00BD4800" w:rsidRDefault="00C54FF5" w:rsidP="0023511A">
            <w:pPr>
              <w:pStyle w:val="CETBodytext"/>
              <w:jc w:val="center"/>
              <w:rPr>
                <w:b/>
                <w:bCs/>
              </w:rPr>
            </w:pPr>
            <w:r>
              <w:rPr>
                <w:bCs/>
              </w:rPr>
              <w:t>24.33</w:t>
            </w:r>
          </w:p>
        </w:tc>
        <w:tc>
          <w:tcPr>
            <w:tcW w:w="1058" w:type="dxa"/>
            <w:tcBorders>
              <w:left w:val="nil"/>
              <w:right w:val="nil"/>
            </w:tcBorders>
          </w:tcPr>
          <w:p w14:paraId="1D93E9BA" w14:textId="77777777" w:rsidR="00C54FF5" w:rsidRPr="00BD4800" w:rsidRDefault="00C54FF5" w:rsidP="0023511A">
            <w:pPr>
              <w:pStyle w:val="CETBodytext"/>
              <w:jc w:val="center"/>
              <w:rPr>
                <w:b/>
                <w:bCs/>
              </w:rPr>
            </w:pPr>
            <w:r>
              <w:rPr>
                <w:bCs/>
              </w:rPr>
              <w:t>28.02</w:t>
            </w:r>
          </w:p>
        </w:tc>
        <w:tc>
          <w:tcPr>
            <w:tcW w:w="1068" w:type="dxa"/>
            <w:tcBorders>
              <w:left w:val="nil"/>
            </w:tcBorders>
          </w:tcPr>
          <w:p w14:paraId="4E7A4648" w14:textId="77777777" w:rsidR="00C54FF5" w:rsidRPr="00BD4800" w:rsidRDefault="00C54FF5" w:rsidP="0023511A">
            <w:pPr>
              <w:pStyle w:val="CETBodytext"/>
              <w:jc w:val="center"/>
              <w:rPr>
                <w:b/>
                <w:bCs/>
              </w:rPr>
            </w:pPr>
            <w:r>
              <w:rPr>
                <w:bCs/>
              </w:rPr>
              <w:t>19.03</w:t>
            </w:r>
          </w:p>
        </w:tc>
      </w:tr>
      <w:tr w:rsidR="00C54FF5" w14:paraId="2AEEDEC4" w14:textId="77777777" w:rsidTr="002F1AA4">
        <w:tc>
          <w:tcPr>
            <w:tcW w:w="476" w:type="dxa"/>
            <w:tcBorders>
              <w:right w:val="nil"/>
            </w:tcBorders>
          </w:tcPr>
          <w:p w14:paraId="14620186" w14:textId="77777777" w:rsidR="00C54FF5" w:rsidRPr="0023511A" w:rsidRDefault="00C54FF5" w:rsidP="00C54FF5">
            <w:pPr>
              <w:pStyle w:val="CETBodytext"/>
              <w:rPr>
                <w:b/>
                <w:bCs/>
              </w:rPr>
            </w:pPr>
            <w:r w:rsidRPr="0023511A">
              <w:rPr>
                <w:b/>
                <w:bCs/>
              </w:rPr>
              <w:t>K</w:t>
            </w:r>
          </w:p>
        </w:tc>
        <w:tc>
          <w:tcPr>
            <w:tcW w:w="1418" w:type="dxa"/>
            <w:tcBorders>
              <w:left w:val="nil"/>
              <w:right w:val="nil"/>
            </w:tcBorders>
          </w:tcPr>
          <w:p w14:paraId="0EE13A5D" w14:textId="77777777" w:rsidR="00C54FF5" w:rsidRPr="00BD4800" w:rsidRDefault="00C54FF5" w:rsidP="0023511A">
            <w:pPr>
              <w:pStyle w:val="CETBodytext"/>
              <w:jc w:val="center"/>
              <w:rPr>
                <w:b/>
                <w:bCs/>
              </w:rPr>
            </w:pPr>
            <w:r>
              <w:rPr>
                <w:bCs/>
              </w:rPr>
              <w:t>0.65</w:t>
            </w:r>
          </w:p>
        </w:tc>
        <w:tc>
          <w:tcPr>
            <w:tcW w:w="1058" w:type="dxa"/>
            <w:tcBorders>
              <w:left w:val="nil"/>
              <w:right w:val="nil"/>
            </w:tcBorders>
          </w:tcPr>
          <w:p w14:paraId="7188BC9A" w14:textId="77777777" w:rsidR="00C54FF5" w:rsidRPr="00BD4800" w:rsidRDefault="00C54FF5" w:rsidP="0023511A">
            <w:pPr>
              <w:pStyle w:val="CETBodytext"/>
              <w:jc w:val="center"/>
              <w:rPr>
                <w:b/>
                <w:bCs/>
              </w:rPr>
            </w:pPr>
            <w:r>
              <w:rPr>
                <w:bCs/>
              </w:rPr>
              <w:t>0.66</w:t>
            </w:r>
          </w:p>
        </w:tc>
        <w:tc>
          <w:tcPr>
            <w:tcW w:w="1068" w:type="dxa"/>
            <w:tcBorders>
              <w:left w:val="nil"/>
            </w:tcBorders>
          </w:tcPr>
          <w:p w14:paraId="25B85057" w14:textId="77777777" w:rsidR="00C54FF5" w:rsidRPr="00BD4800" w:rsidRDefault="00C54FF5" w:rsidP="0023511A">
            <w:pPr>
              <w:pStyle w:val="CETBodytext"/>
              <w:jc w:val="center"/>
              <w:rPr>
                <w:b/>
                <w:bCs/>
              </w:rPr>
            </w:pPr>
            <w:r>
              <w:rPr>
                <w:bCs/>
              </w:rPr>
              <w:t>0.53</w:t>
            </w:r>
          </w:p>
        </w:tc>
      </w:tr>
      <w:tr w:rsidR="00C54FF5" w14:paraId="7296EB5D" w14:textId="77777777" w:rsidTr="002F1AA4">
        <w:tc>
          <w:tcPr>
            <w:tcW w:w="476" w:type="dxa"/>
            <w:tcBorders>
              <w:right w:val="nil"/>
            </w:tcBorders>
          </w:tcPr>
          <w:p w14:paraId="28E4D1C8" w14:textId="77777777" w:rsidR="00C54FF5" w:rsidRPr="0023511A" w:rsidRDefault="00C54FF5" w:rsidP="00C54FF5">
            <w:pPr>
              <w:pStyle w:val="CETBodytext"/>
              <w:rPr>
                <w:b/>
                <w:bCs/>
              </w:rPr>
            </w:pPr>
            <w:r w:rsidRPr="0023511A">
              <w:rPr>
                <w:b/>
                <w:bCs/>
              </w:rPr>
              <w:t>Ca</w:t>
            </w:r>
          </w:p>
        </w:tc>
        <w:tc>
          <w:tcPr>
            <w:tcW w:w="1418" w:type="dxa"/>
            <w:tcBorders>
              <w:left w:val="nil"/>
              <w:right w:val="nil"/>
            </w:tcBorders>
          </w:tcPr>
          <w:p w14:paraId="6D50B18E" w14:textId="77777777" w:rsidR="00C54FF5" w:rsidRPr="00BD4800" w:rsidRDefault="00C54FF5" w:rsidP="0023511A">
            <w:pPr>
              <w:pStyle w:val="CETBodytext"/>
              <w:jc w:val="center"/>
              <w:rPr>
                <w:b/>
                <w:bCs/>
              </w:rPr>
            </w:pPr>
            <w:r>
              <w:rPr>
                <w:bCs/>
              </w:rPr>
              <w:t>0.16</w:t>
            </w:r>
          </w:p>
        </w:tc>
        <w:tc>
          <w:tcPr>
            <w:tcW w:w="1058" w:type="dxa"/>
            <w:tcBorders>
              <w:left w:val="nil"/>
              <w:right w:val="nil"/>
            </w:tcBorders>
          </w:tcPr>
          <w:p w14:paraId="4BB894DD" w14:textId="77777777" w:rsidR="00C54FF5" w:rsidRPr="00BD4800" w:rsidRDefault="00C54FF5" w:rsidP="0023511A">
            <w:pPr>
              <w:pStyle w:val="CETBodytext"/>
              <w:jc w:val="center"/>
              <w:rPr>
                <w:b/>
                <w:bCs/>
              </w:rPr>
            </w:pPr>
            <w:r>
              <w:rPr>
                <w:bCs/>
              </w:rPr>
              <w:t>-</w:t>
            </w:r>
          </w:p>
        </w:tc>
        <w:tc>
          <w:tcPr>
            <w:tcW w:w="1068" w:type="dxa"/>
            <w:tcBorders>
              <w:left w:val="nil"/>
            </w:tcBorders>
          </w:tcPr>
          <w:p w14:paraId="0333BAEE" w14:textId="77777777" w:rsidR="00C54FF5" w:rsidRPr="00BD4800" w:rsidRDefault="00C54FF5" w:rsidP="0023511A">
            <w:pPr>
              <w:pStyle w:val="CETBodytext"/>
              <w:jc w:val="center"/>
              <w:rPr>
                <w:b/>
                <w:bCs/>
              </w:rPr>
            </w:pPr>
            <w:r>
              <w:rPr>
                <w:bCs/>
              </w:rPr>
              <w:t>-</w:t>
            </w:r>
          </w:p>
        </w:tc>
      </w:tr>
      <w:tr w:rsidR="00C54FF5" w14:paraId="04929327" w14:textId="77777777" w:rsidTr="002F1AA4">
        <w:tc>
          <w:tcPr>
            <w:tcW w:w="476" w:type="dxa"/>
            <w:tcBorders>
              <w:right w:val="nil"/>
            </w:tcBorders>
          </w:tcPr>
          <w:p w14:paraId="22D043C1" w14:textId="77777777" w:rsidR="00C54FF5" w:rsidRPr="0023511A" w:rsidRDefault="00C54FF5" w:rsidP="00C54FF5">
            <w:pPr>
              <w:pStyle w:val="CETBodytext"/>
              <w:rPr>
                <w:b/>
                <w:bCs/>
              </w:rPr>
            </w:pPr>
            <w:r w:rsidRPr="0023511A">
              <w:rPr>
                <w:b/>
                <w:bCs/>
              </w:rPr>
              <w:t>Fe</w:t>
            </w:r>
          </w:p>
        </w:tc>
        <w:tc>
          <w:tcPr>
            <w:tcW w:w="1418" w:type="dxa"/>
            <w:tcBorders>
              <w:left w:val="nil"/>
              <w:right w:val="nil"/>
            </w:tcBorders>
          </w:tcPr>
          <w:p w14:paraId="2AC3FBFC" w14:textId="77777777" w:rsidR="00C54FF5" w:rsidRPr="00BD4800" w:rsidRDefault="00C54FF5" w:rsidP="0023511A">
            <w:pPr>
              <w:pStyle w:val="CETBodytext"/>
              <w:jc w:val="center"/>
              <w:rPr>
                <w:b/>
                <w:bCs/>
              </w:rPr>
            </w:pPr>
            <w:r>
              <w:rPr>
                <w:bCs/>
              </w:rPr>
              <w:t>0.77</w:t>
            </w:r>
          </w:p>
        </w:tc>
        <w:tc>
          <w:tcPr>
            <w:tcW w:w="1058" w:type="dxa"/>
            <w:tcBorders>
              <w:left w:val="nil"/>
              <w:right w:val="nil"/>
            </w:tcBorders>
          </w:tcPr>
          <w:p w14:paraId="3BA6C737" w14:textId="77777777" w:rsidR="00C54FF5" w:rsidRPr="00BD4800" w:rsidRDefault="00C54FF5" w:rsidP="0023511A">
            <w:pPr>
              <w:pStyle w:val="CETBodytext"/>
              <w:jc w:val="center"/>
              <w:rPr>
                <w:b/>
                <w:bCs/>
              </w:rPr>
            </w:pPr>
            <w:r>
              <w:rPr>
                <w:bCs/>
              </w:rPr>
              <w:t>0.77</w:t>
            </w:r>
          </w:p>
        </w:tc>
        <w:tc>
          <w:tcPr>
            <w:tcW w:w="1068" w:type="dxa"/>
            <w:tcBorders>
              <w:left w:val="nil"/>
            </w:tcBorders>
          </w:tcPr>
          <w:p w14:paraId="08356C90" w14:textId="77777777" w:rsidR="00C54FF5" w:rsidRPr="00BD4800" w:rsidRDefault="00C54FF5" w:rsidP="0023511A">
            <w:pPr>
              <w:pStyle w:val="CETBodytext"/>
              <w:jc w:val="center"/>
              <w:rPr>
                <w:b/>
                <w:bCs/>
              </w:rPr>
            </w:pPr>
            <w:r>
              <w:rPr>
                <w:bCs/>
              </w:rPr>
              <w:t>0.68</w:t>
            </w:r>
          </w:p>
        </w:tc>
      </w:tr>
      <w:tr w:rsidR="00C54FF5" w14:paraId="08F7E2D6" w14:textId="77777777" w:rsidTr="002F1AA4">
        <w:tc>
          <w:tcPr>
            <w:tcW w:w="476" w:type="dxa"/>
            <w:tcBorders>
              <w:right w:val="nil"/>
            </w:tcBorders>
          </w:tcPr>
          <w:p w14:paraId="0623F38C" w14:textId="77777777" w:rsidR="00C54FF5" w:rsidRPr="0023511A" w:rsidRDefault="00C54FF5" w:rsidP="00C54FF5">
            <w:pPr>
              <w:pStyle w:val="CETBodytext"/>
              <w:rPr>
                <w:b/>
                <w:bCs/>
              </w:rPr>
            </w:pPr>
            <w:r w:rsidRPr="0023511A">
              <w:rPr>
                <w:b/>
                <w:bCs/>
              </w:rPr>
              <w:t>Ni</w:t>
            </w:r>
          </w:p>
        </w:tc>
        <w:tc>
          <w:tcPr>
            <w:tcW w:w="1418" w:type="dxa"/>
            <w:tcBorders>
              <w:left w:val="nil"/>
              <w:right w:val="nil"/>
            </w:tcBorders>
          </w:tcPr>
          <w:p w14:paraId="2C42F410" w14:textId="77777777" w:rsidR="00C54FF5" w:rsidRPr="00BD4800" w:rsidRDefault="00C54FF5" w:rsidP="0023511A">
            <w:pPr>
              <w:pStyle w:val="CETBodytext"/>
              <w:jc w:val="center"/>
              <w:rPr>
                <w:b/>
                <w:bCs/>
              </w:rPr>
            </w:pPr>
            <w:r>
              <w:rPr>
                <w:bCs/>
              </w:rPr>
              <w:t>2.45</w:t>
            </w:r>
          </w:p>
        </w:tc>
        <w:tc>
          <w:tcPr>
            <w:tcW w:w="1058" w:type="dxa"/>
            <w:tcBorders>
              <w:left w:val="nil"/>
              <w:right w:val="nil"/>
            </w:tcBorders>
          </w:tcPr>
          <w:p w14:paraId="1F99D81D" w14:textId="77777777" w:rsidR="00C54FF5" w:rsidRPr="00BD4800" w:rsidRDefault="00C54FF5" w:rsidP="0023511A">
            <w:pPr>
              <w:pStyle w:val="CETBodytext"/>
              <w:jc w:val="center"/>
              <w:rPr>
                <w:b/>
                <w:bCs/>
              </w:rPr>
            </w:pPr>
            <w:r>
              <w:rPr>
                <w:bCs/>
              </w:rPr>
              <w:t>0.85</w:t>
            </w:r>
          </w:p>
        </w:tc>
        <w:tc>
          <w:tcPr>
            <w:tcW w:w="1068" w:type="dxa"/>
            <w:tcBorders>
              <w:left w:val="nil"/>
            </w:tcBorders>
          </w:tcPr>
          <w:p w14:paraId="6C04A341" w14:textId="6FA91C40" w:rsidR="00C54FF5" w:rsidRPr="00066883" w:rsidRDefault="00066883" w:rsidP="0023511A">
            <w:pPr>
              <w:pStyle w:val="CETBodytext"/>
              <w:jc w:val="center"/>
            </w:pPr>
            <w:r w:rsidRPr="00066883">
              <w:t>1.17</w:t>
            </w:r>
          </w:p>
        </w:tc>
      </w:tr>
      <w:tr w:rsidR="00C54FF5" w14:paraId="60833451" w14:textId="77777777" w:rsidTr="00C54FF5">
        <w:tc>
          <w:tcPr>
            <w:tcW w:w="476" w:type="dxa"/>
            <w:tcBorders>
              <w:bottom w:val="single" w:sz="8" w:space="0" w:color="00B050"/>
              <w:right w:val="nil"/>
            </w:tcBorders>
          </w:tcPr>
          <w:p w14:paraId="28C5E6B6" w14:textId="77777777" w:rsidR="00C54FF5" w:rsidRPr="0023511A" w:rsidRDefault="00C54FF5" w:rsidP="00C54FF5">
            <w:pPr>
              <w:pStyle w:val="CETBodytext"/>
              <w:rPr>
                <w:b/>
                <w:bCs/>
              </w:rPr>
            </w:pPr>
            <w:r w:rsidRPr="0023511A">
              <w:rPr>
                <w:b/>
                <w:bCs/>
              </w:rPr>
              <w:t>O</w:t>
            </w:r>
          </w:p>
        </w:tc>
        <w:tc>
          <w:tcPr>
            <w:tcW w:w="1418" w:type="dxa"/>
            <w:tcBorders>
              <w:left w:val="nil"/>
              <w:bottom w:val="single" w:sz="8" w:space="0" w:color="00B050"/>
              <w:right w:val="nil"/>
            </w:tcBorders>
          </w:tcPr>
          <w:p w14:paraId="4B30AC15" w14:textId="77777777" w:rsidR="00C54FF5" w:rsidRPr="00BD4800" w:rsidRDefault="00C54FF5" w:rsidP="0023511A">
            <w:pPr>
              <w:pStyle w:val="CETBodytext"/>
              <w:jc w:val="center"/>
              <w:rPr>
                <w:b/>
                <w:bCs/>
              </w:rPr>
            </w:pPr>
            <w:r>
              <w:rPr>
                <w:bCs/>
              </w:rPr>
              <w:t>49.01</w:t>
            </w:r>
          </w:p>
        </w:tc>
        <w:tc>
          <w:tcPr>
            <w:tcW w:w="1058" w:type="dxa"/>
            <w:tcBorders>
              <w:left w:val="nil"/>
              <w:bottom w:val="single" w:sz="8" w:space="0" w:color="00B050"/>
              <w:right w:val="nil"/>
            </w:tcBorders>
          </w:tcPr>
          <w:p w14:paraId="254684E9" w14:textId="77777777" w:rsidR="00C54FF5" w:rsidRPr="00BD4800" w:rsidRDefault="00C54FF5" w:rsidP="0023511A">
            <w:pPr>
              <w:pStyle w:val="CETBodytext"/>
              <w:jc w:val="center"/>
              <w:rPr>
                <w:b/>
                <w:bCs/>
              </w:rPr>
            </w:pPr>
            <w:r>
              <w:rPr>
                <w:bCs/>
              </w:rPr>
              <w:t>51.82</w:t>
            </w:r>
          </w:p>
        </w:tc>
        <w:tc>
          <w:tcPr>
            <w:tcW w:w="1068" w:type="dxa"/>
            <w:tcBorders>
              <w:left w:val="nil"/>
              <w:bottom w:val="single" w:sz="8" w:space="0" w:color="00B050"/>
            </w:tcBorders>
          </w:tcPr>
          <w:p w14:paraId="1D65ABF9" w14:textId="71A9660F" w:rsidR="00C54FF5" w:rsidRPr="00066883" w:rsidRDefault="00066883" w:rsidP="0023511A">
            <w:pPr>
              <w:pStyle w:val="CETBodytext"/>
              <w:jc w:val="center"/>
            </w:pPr>
            <w:r w:rsidRPr="00066883">
              <w:t>50.99</w:t>
            </w:r>
          </w:p>
        </w:tc>
      </w:tr>
    </w:tbl>
    <w:p w14:paraId="3FDB359C" w14:textId="5AB3A12E" w:rsidR="000B0456" w:rsidRDefault="000B0456" w:rsidP="000B0456">
      <w:pPr>
        <w:pStyle w:val="CETheadingx"/>
      </w:pPr>
      <w:r>
        <w:lastRenderedPageBreak/>
        <w:t>Morphology</w:t>
      </w:r>
    </w:p>
    <w:p w14:paraId="2F68B08A" w14:textId="44D8C1ED" w:rsidR="00ED7C0B" w:rsidRDefault="00AF7EC8" w:rsidP="009F263B">
      <w:pPr>
        <w:pStyle w:val="CETBodytext"/>
      </w:pPr>
      <w:r w:rsidRPr="00AF7EC8">
        <w:t>The plate structure of the kaolin disappeared after 30 minutes of mechanochemical activation</w:t>
      </w:r>
      <w:r w:rsidR="00AC0A60">
        <w:t xml:space="preserve"> (</w:t>
      </w:r>
      <w:r w:rsidR="00AC0A60" w:rsidRPr="00AC0A60">
        <w:t xml:space="preserve">Figure </w:t>
      </w:r>
      <w:r w:rsidR="00701908">
        <w:t>6</w:t>
      </w:r>
      <w:r w:rsidR="0023511A">
        <w:t>(a)</w:t>
      </w:r>
      <w:r w:rsidR="00AC0A60">
        <w:t>)</w:t>
      </w:r>
      <w:r w:rsidRPr="00AF7EC8">
        <w:t xml:space="preserve">. The morphology of the kaolinite samples was not influenced by the acid treatment, neither </w:t>
      </w:r>
      <w:r>
        <w:t>after reaction wo. steam</w:t>
      </w:r>
      <w:r w:rsidRPr="00AF7EC8">
        <w:t xml:space="preserve"> after nor after </w:t>
      </w:r>
      <w:r>
        <w:t>steam gasification</w:t>
      </w:r>
      <w:r w:rsidRPr="00AF7EC8">
        <w:t xml:space="preserve">. </w:t>
      </w:r>
      <w:r w:rsidR="00AC0A60" w:rsidRPr="00AC0A60">
        <w:t xml:space="preserve">Figure </w:t>
      </w:r>
      <w:r w:rsidR="00701908">
        <w:t>6</w:t>
      </w:r>
      <w:r w:rsidR="0023511A">
        <w:t>(g)</w:t>
      </w:r>
      <w:r w:rsidR="00AC0A60" w:rsidRPr="00AC0A60">
        <w:t xml:space="preserve"> shows the appearance of spherical particles on the surface of the amorphous kaolin grains, which shows the formation of poorly crystallized Na</w:t>
      </w:r>
      <w:r w:rsidR="00AC0A60">
        <w:t>-</w:t>
      </w:r>
      <w:r w:rsidR="00AC0A60" w:rsidRPr="00AC0A60">
        <w:t xml:space="preserve">zeolite from the reaction of amorphized kaolin and NaOH. After reaction wo. </w:t>
      </w:r>
      <w:proofErr w:type="gramStart"/>
      <w:r w:rsidR="00AC0A60" w:rsidRPr="00AC0A60">
        <w:t>steam</w:t>
      </w:r>
      <w:proofErr w:type="gramEnd"/>
      <w:r w:rsidR="00AC0A60" w:rsidRPr="00AC0A60">
        <w:t xml:space="preserve"> and steam gasification (Figure </w:t>
      </w:r>
      <w:r w:rsidR="00701908">
        <w:t>6</w:t>
      </w:r>
      <w:r w:rsidR="0023511A">
        <w:t>(h)</w:t>
      </w:r>
      <w:r w:rsidR="00AC0A60" w:rsidRPr="00AC0A60">
        <w:t xml:space="preserve"> and Figure </w:t>
      </w:r>
      <w:r w:rsidR="00701908">
        <w:t>6</w:t>
      </w:r>
      <w:r w:rsidR="0023511A">
        <w:t>(</w:t>
      </w:r>
      <w:proofErr w:type="spellStart"/>
      <w:r w:rsidR="0023511A">
        <w:t>i</w:t>
      </w:r>
      <w:proofErr w:type="spellEnd"/>
      <w:r w:rsidR="0023511A">
        <w:t>)</w:t>
      </w:r>
      <w:r w:rsidR="00AC0A60" w:rsidRPr="00AC0A60">
        <w:t xml:space="preserve">), poorly crystallized Na-zeolite grains can still be observed. </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9"/>
        <w:gridCol w:w="2929"/>
        <w:gridCol w:w="2929"/>
      </w:tblGrid>
      <w:tr w:rsidR="00180A2B" w14:paraId="6711F7E3" w14:textId="77777777" w:rsidTr="0062792C">
        <w:trPr>
          <w:jc w:val="center"/>
        </w:trPr>
        <w:tc>
          <w:tcPr>
            <w:tcW w:w="2929" w:type="dxa"/>
          </w:tcPr>
          <w:p w14:paraId="3EF253F0" w14:textId="47A46B45" w:rsidR="00180A2B" w:rsidRDefault="00180A2B" w:rsidP="004A2681">
            <w:pPr>
              <w:jc w:val="center"/>
            </w:pPr>
            <w:r>
              <w:rPr>
                <w:noProof/>
                <w:lang w:val="hu-HU" w:eastAsia="hu-HU"/>
              </w:rPr>
              <w:drawing>
                <wp:inline distT="0" distB="0" distL="0" distR="0" wp14:anchorId="6B0CD26D" wp14:editId="65F19190">
                  <wp:extent cx="1769187" cy="1260000"/>
                  <wp:effectExtent l="0" t="0" r="2540" b="0"/>
                  <wp:docPr id="835504718" name="Kép 5" descr="A képen természet, kőszikla, kő, épüle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04718" name="Kép 5" descr="A képen természet, kőszikla, kő, épület látható&#10;&#10;Automatikusan generált leírá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69187" cy="1260000"/>
                          </a:xfrm>
                          <a:prstGeom prst="rect">
                            <a:avLst/>
                          </a:prstGeom>
                          <a:noFill/>
                          <a:ln>
                            <a:noFill/>
                          </a:ln>
                        </pic:spPr>
                      </pic:pic>
                    </a:graphicData>
                  </a:graphic>
                </wp:inline>
              </w:drawing>
            </w:r>
          </w:p>
        </w:tc>
        <w:tc>
          <w:tcPr>
            <w:tcW w:w="2929" w:type="dxa"/>
          </w:tcPr>
          <w:p w14:paraId="718AEB70" w14:textId="77777777" w:rsidR="00180A2B" w:rsidRDefault="00180A2B" w:rsidP="004A2681">
            <w:pPr>
              <w:jc w:val="center"/>
            </w:pPr>
            <w:r>
              <w:rPr>
                <w:noProof/>
                <w:lang w:val="hu-HU" w:eastAsia="hu-HU"/>
              </w:rPr>
              <w:drawing>
                <wp:inline distT="0" distB="0" distL="0" distR="0" wp14:anchorId="7F6A25CA" wp14:editId="2638A67A">
                  <wp:extent cx="1768644" cy="1260000"/>
                  <wp:effectExtent l="0" t="0" r="3175" b="0"/>
                  <wp:docPr id="1807632266" name="Kép 6" descr="A képen természet, zátony, kőszikla, kő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32266" name="Kép 6" descr="A képen természet, zátony, kőszikla, kő látható&#10;&#10;Automatikusan generált leírá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8644" cy="1260000"/>
                          </a:xfrm>
                          <a:prstGeom prst="rect">
                            <a:avLst/>
                          </a:prstGeom>
                          <a:noFill/>
                          <a:ln>
                            <a:noFill/>
                          </a:ln>
                        </pic:spPr>
                      </pic:pic>
                    </a:graphicData>
                  </a:graphic>
                </wp:inline>
              </w:drawing>
            </w:r>
          </w:p>
        </w:tc>
        <w:tc>
          <w:tcPr>
            <w:tcW w:w="2929" w:type="dxa"/>
          </w:tcPr>
          <w:p w14:paraId="79770BF0" w14:textId="77777777" w:rsidR="00180A2B" w:rsidRDefault="00180A2B" w:rsidP="004A2681">
            <w:pPr>
              <w:jc w:val="center"/>
            </w:pPr>
            <w:r>
              <w:rPr>
                <w:noProof/>
                <w:lang w:val="hu-HU" w:eastAsia="hu-HU"/>
              </w:rPr>
              <w:drawing>
                <wp:inline distT="0" distB="0" distL="0" distR="0" wp14:anchorId="665765F8" wp14:editId="41EFB828">
                  <wp:extent cx="1768644" cy="1260000"/>
                  <wp:effectExtent l="0" t="0" r="3175" b="0"/>
                  <wp:docPr id="454273417" name="Kép 7" descr="A képen zátony, kőszikla, kő, fekete-fehé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73417" name="Kép 7" descr="A képen zátony, kőszikla, kő, fekete-fehér látható&#10;&#10;Automatikusan generált leírá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8644" cy="1260000"/>
                          </a:xfrm>
                          <a:prstGeom prst="rect">
                            <a:avLst/>
                          </a:prstGeom>
                          <a:noFill/>
                          <a:ln>
                            <a:noFill/>
                          </a:ln>
                        </pic:spPr>
                      </pic:pic>
                    </a:graphicData>
                  </a:graphic>
                </wp:inline>
              </w:drawing>
            </w:r>
          </w:p>
        </w:tc>
      </w:tr>
      <w:tr w:rsidR="00180A2B" w14:paraId="667DD5FE" w14:textId="77777777" w:rsidTr="0062792C">
        <w:trPr>
          <w:jc w:val="center"/>
        </w:trPr>
        <w:tc>
          <w:tcPr>
            <w:tcW w:w="2929" w:type="dxa"/>
          </w:tcPr>
          <w:p w14:paraId="375FA97D" w14:textId="725D57EC" w:rsidR="00180A2B" w:rsidRDefault="00EC647E" w:rsidP="004A2681">
            <w:pPr>
              <w:jc w:val="center"/>
            </w:pPr>
            <w:r>
              <w:t>(a)</w:t>
            </w:r>
          </w:p>
        </w:tc>
        <w:tc>
          <w:tcPr>
            <w:tcW w:w="2929" w:type="dxa"/>
          </w:tcPr>
          <w:p w14:paraId="6BF5FB12" w14:textId="578CA106" w:rsidR="00180A2B" w:rsidRDefault="00EC647E" w:rsidP="004A2681">
            <w:pPr>
              <w:jc w:val="center"/>
            </w:pPr>
            <w:r>
              <w:t>(b)</w:t>
            </w:r>
          </w:p>
        </w:tc>
        <w:tc>
          <w:tcPr>
            <w:tcW w:w="2929" w:type="dxa"/>
          </w:tcPr>
          <w:p w14:paraId="56ADD980" w14:textId="27995188" w:rsidR="00180A2B" w:rsidRDefault="00EC647E" w:rsidP="004A2681">
            <w:pPr>
              <w:jc w:val="center"/>
            </w:pPr>
            <w:r>
              <w:t>(c)</w:t>
            </w:r>
          </w:p>
        </w:tc>
      </w:tr>
      <w:tr w:rsidR="00180A2B" w14:paraId="3A090923" w14:textId="77777777" w:rsidTr="0062792C">
        <w:trPr>
          <w:jc w:val="center"/>
        </w:trPr>
        <w:tc>
          <w:tcPr>
            <w:tcW w:w="2929" w:type="dxa"/>
          </w:tcPr>
          <w:p w14:paraId="7101C937" w14:textId="5FAD2C10" w:rsidR="00180A2B" w:rsidRPr="0018014A" w:rsidRDefault="0018014A" w:rsidP="0018014A">
            <w:pPr>
              <w:jc w:val="center"/>
              <w:rPr>
                <w:highlight w:val="red"/>
                <w:lang w:val="hu-HU"/>
              </w:rPr>
            </w:pPr>
            <w:r w:rsidRPr="000007C5">
              <w:rPr>
                <w:noProof/>
                <w:lang w:val="hu-HU" w:eastAsia="hu-HU"/>
              </w:rPr>
              <w:drawing>
                <wp:inline distT="0" distB="0" distL="0" distR="0" wp14:anchorId="43B13E58" wp14:editId="2B1F7CA1">
                  <wp:extent cx="1769195" cy="1260000"/>
                  <wp:effectExtent l="0" t="0" r="2540" b="0"/>
                  <wp:docPr id="1382003942"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9195" cy="1260000"/>
                          </a:xfrm>
                          <a:prstGeom prst="rect">
                            <a:avLst/>
                          </a:prstGeom>
                          <a:noFill/>
                          <a:ln>
                            <a:noFill/>
                          </a:ln>
                        </pic:spPr>
                      </pic:pic>
                    </a:graphicData>
                  </a:graphic>
                </wp:inline>
              </w:drawing>
            </w:r>
          </w:p>
        </w:tc>
        <w:tc>
          <w:tcPr>
            <w:tcW w:w="2929" w:type="dxa"/>
          </w:tcPr>
          <w:p w14:paraId="6C9140A2" w14:textId="11804971" w:rsidR="00180A2B" w:rsidRPr="0018014A" w:rsidRDefault="0018014A" w:rsidP="0018014A">
            <w:pPr>
              <w:jc w:val="center"/>
              <w:rPr>
                <w:highlight w:val="red"/>
                <w:lang w:val="hu-HU"/>
              </w:rPr>
            </w:pPr>
            <w:r w:rsidRPr="000007C5">
              <w:rPr>
                <w:noProof/>
                <w:lang w:val="hu-HU" w:eastAsia="hu-HU"/>
              </w:rPr>
              <w:drawing>
                <wp:inline distT="0" distB="0" distL="0" distR="0" wp14:anchorId="2DCAF173" wp14:editId="2BDE2E28">
                  <wp:extent cx="1769195" cy="1260000"/>
                  <wp:effectExtent l="0" t="0" r="2540" b="0"/>
                  <wp:docPr id="61795896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9195" cy="1260000"/>
                          </a:xfrm>
                          <a:prstGeom prst="rect">
                            <a:avLst/>
                          </a:prstGeom>
                          <a:noFill/>
                          <a:ln>
                            <a:noFill/>
                          </a:ln>
                        </pic:spPr>
                      </pic:pic>
                    </a:graphicData>
                  </a:graphic>
                </wp:inline>
              </w:drawing>
            </w:r>
          </w:p>
        </w:tc>
        <w:tc>
          <w:tcPr>
            <w:tcW w:w="2929" w:type="dxa"/>
          </w:tcPr>
          <w:p w14:paraId="7FCEC283" w14:textId="77912D64" w:rsidR="00180A2B" w:rsidRPr="00CE3915" w:rsidRDefault="0018014A" w:rsidP="004A2681">
            <w:pPr>
              <w:jc w:val="center"/>
              <w:rPr>
                <w:highlight w:val="red"/>
              </w:rPr>
            </w:pPr>
            <w:r w:rsidRPr="000007C5">
              <w:rPr>
                <w:noProof/>
                <w:lang w:val="hu-HU" w:eastAsia="hu-HU"/>
              </w:rPr>
              <w:drawing>
                <wp:inline distT="0" distB="0" distL="0" distR="0" wp14:anchorId="17875575" wp14:editId="6F59B622">
                  <wp:extent cx="1769195" cy="1260000"/>
                  <wp:effectExtent l="0" t="0" r="2540" b="0"/>
                  <wp:docPr id="206113914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69195" cy="1260000"/>
                          </a:xfrm>
                          <a:prstGeom prst="rect">
                            <a:avLst/>
                          </a:prstGeom>
                          <a:noFill/>
                          <a:ln>
                            <a:noFill/>
                          </a:ln>
                        </pic:spPr>
                      </pic:pic>
                    </a:graphicData>
                  </a:graphic>
                </wp:inline>
              </w:drawing>
            </w:r>
          </w:p>
        </w:tc>
      </w:tr>
      <w:tr w:rsidR="00180A2B" w14:paraId="4E4A9F87" w14:textId="77777777" w:rsidTr="0062792C">
        <w:trPr>
          <w:jc w:val="center"/>
        </w:trPr>
        <w:tc>
          <w:tcPr>
            <w:tcW w:w="2929" w:type="dxa"/>
          </w:tcPr>
          <w:p w14:paraId="3AE36F9E" w14:textId="186B0BDB" w:rsidR="00180A2B" w:rsidRDefault="00EC647E" w:rsidP="00180A2B">
            <w:pPr>
              <w:jc w:val="center"/>
            </w:pPr>
            <w:r>
              <w:t>(d)</w:t>
            </w:r>
          </w:p>
        </w:tc>
        <w:tc>
          <w:tcPr>
            <w:tcW w:w="2929" w:type="dxa"/>
          </w:tcPr>
          <w:p w14:paraId="423DCB54" w14:textId="25719414" w:rsidR="00180A2B" w:rsidRDefault="00EC647E" w:rsidP="00180A2B">
            <w:pPr>
              <w:jc w:val="center"/>
            </w:pPr>
            <w:r>
              <w:t>(e)</w:t>
            </w:r>
          </w:p>
        </w:tc>
        <w:tc>
          <w:tcPr>
            <w:tcW w:w="2929" w:type="dxa"/>
          </w:tcPr>
          <w:p w14:paraId="57AE2191" w14:textId="764628CE" w:rsidR="00180A2B" w:rsidRDefault="00EC647E" w:rsidP="00180A2B">
            <w:pPr>
              <w:jc w:val="center"/>
            </w:pPr>
            <w:r>
              <w:t>(f)</w:t>
            </w:r>
          </w:p>
        </w:tc>
      </w:tr>
      <w:tr w:rsidR="00180A2B" w14:paraId="7A328391" w14:textId="77777777" w:rsidTr="0062792C">
        <w:trPr>
          <w:jc w:val="center"/>
        </w:trPr>
        <w:tc>
          <w:tcPr>
            <w:tcW w:w="2929" w:type="dxa"/>
          </w:tcPr>
          <w:p w14:paraId="03E8FB2C" w14:textId="08A44579" w:rsidR="00180A2B" w:rsidRDefault="00180A2B" w:rsidP="004A2681">
            <w:pPr>
              <w:jc w:val="center"/>
            </w:pPr>
            <w:r>
              <w:rPr>
                <w:noProof/>
                <w:lang w:val="hu-HU" w:eastAsia="hu-HU"/>
              </w:rPr>
              <w:drawing>
                <wp:inline distT="0" distB="0" distL="0" distR="0" wp14:anchorId="2109E277" wp14:editId="1341A8DA">
                  <wp:extent cx="1768644" cy="1260000"/>
                  <wp:effectExtent l="0" t="0" r="3175" b="0"/>
                  <wp:docPr id="2045047384" name="Kép 4" descr="A képen fekete-fehér, liszt, monokró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47384" name="Kép 4" descr="A képen fekete-fehér, liszt, monokróm látható&#10;&#10;Automatikusan generált leírá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68644" cy="1260000"/>
                          </a:xfrm>
                          <a:prstGeom prst="rect">
                            <a:avLst/>
                          </a:prstGeom>
                          <a:noFill/>
                          <a:ln>
                            <a:noFill/>
                          </a:ln>
                        </pic:spPr>
                      </pic:pic>
                    </a:graphicData>
                  </a:graphic>
                </wp:inline>
              </w:drawing>
            </w:r>
          </w:p>
        </w:tc>
        <w:tc>
          <w:tcPr>
            <w:tcW w:w="2929" w:type="dxa"/>
          </w:tcPr>
          <w:p w14:paraId="1BF877B1" w14:textId="121D8897" w:rsidR="00180A2B" w:rsidRDefault="00180A2B" w:rsidP="004A2681">
            <w:pPr>
              <w:jc w:val="center"/>
            </w:pPr>
            <w:r>
              <w:rPr>
                <w:noProof/>
                <w:lang w:val="hu-HU" w:eastAsia="hu-HU"/>
              </w:rPr>
              <w:drawing>
                <wp:inline distT="0" distB="0" distL="0" distR="0" wp14:anchorId="120DC4F3" wp14:editId="35496BAE">
                  <wp:extent cx="1768642" cy="1260000"/>
                  <wp:effectExtent l="0" t="0" r="3175" b="0"/>
                  <wp:docPr id="358015569" name="Kép 2" descr="A képen zátony, természet, fekete-fehér, koral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15569" name="Kép 2" descr="A képen zátony, természet, fekete-fehér, korall látható&#10;&#10;Automatikusan generált leírá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8642" cy="1260000"/>
                          </a:xfrm>
                          <a:prstGeom prst="rect">
                            <a:avLst/>
                          </a:prstGeom>
                          <a:noFill/>
                          <a:ln>
                            <a:noFill/>
                          </a:ln>
                        </pic:spPr>
                      </pic:pic>
                    </a:graphicData>
                  </a:graphic>
                </wp:inline>
              </w:drawing>
            </w:r>
          </w:p>
        </w:tc>
        <w:tc>
          <w:tcPr>
            <w:tcW w:w="2929" w:type="dxa"/>
          </w:tcPr>
          <w:p w14:paraId="26147753" w14:textId="11B9898A" w:rsidR="00180A2B" w:rsidRDefault="00180A2B" w:rsidP="004A2681">
            <w:pPr>
              <w:jc w:val="center"/>
            </w:pPr>
            <w:r>
              <w:rPr>
                <w:noProof/>
                <w:lang w:val="hu-HU" w:eastAsia="hu-HU"/>
              </w:rPr>
              <w:drawing>
                <wp:inline distT="0" distB="0" distL="0" distR="0" wp14:anchorId="15DE28B6" wp14:editId="06CC7CBA">
                  <wp:extent cx="1768644" cy="1260000"/>
                  <wp:effectExtent l="0" t="0" r="3175" b="0"/>
                  <wp:docPr id="357536792" name="Kép 3" descr="A képen zátony, fa, fekete-fehér, természe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36792" name="Kép 3" descr="A képen zátony, fa, fekete-fehér, természet látható&#10;&#10;Automatikusan generált leírá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68644" cy="1260000"/>
                          </a:xfrm>
                          <a:prstGeom prst="rect">
                            <a:avLst/>
                          </a:prstGeom>
                          <a:noFill/>
                          <a:ln>
                            <a:noFill/>
                          </a:ln>
                        </pic:spPr>
                      </pic:pic>
                    </a:graphicData>
                  </a:graphic>
                </wp:inline>
              </w:drawing>
            </w:r>
          </w:p>
        </w:tc>
      </w:tr>
      <w:tr w:rsidR="00180A2B" w14:paraId="51B9F070" w14:textId="77777777" w:rsidTr="0062792C">
        <w:trPr>
          <w:jc w:val="center"/>
        </w:trPr>
        <w:tc>
          <w:tcPr>
            <w:tcW w:w="2929" w:type="dxa"/>
          </w:tcPr>
          <w:p w14:paraId="2B159785" w14:textId="2541D086" w:rsidR="00180A2B" w:rsidRDefault="00EC647E" w:rsidP="00180A2B">
            <w:pPr>
              <w:jc w:val="center"/>
            </w:pPr>
            <w:r>
              <w:t>(g)</w:t>
            </w:r>
          </w:p>
        </w:tc>
        <w:tc>
          <w:tcPr>
            <w:tcW w:w="2929" w:type="dxa"/>
          </w:tcPr>
          <w:p w14:paraId="7662A51A" w14:textId="48E58CBB" w:rsidR="00180A2B" w:rsidRDefault="00EC647E" w:rsidP="00180A2B">
            <w:pPr>
              <w:jc w:val="center"/>
            </w:pPr>
            <w:r>
              <w:t>(h)</w:t>
            </w:r>
          </w:p>
        </w:tc>
        <w:tc>
          <w:tcPr>
            <w:tcW w:w="2929" w:type="dxa"/>
          </w:tcPr>
          <w:p w14:paraId="4164C3D7" w14:textId="4C782C62" w:rsidR="00180A2B" w:rsidRDefault="00EC647E" w:rsidP="00180A2B">
            <w:pPr>
              <w:jc w:val="center"/>
            </w:pPr>
            <w:r>
              <w:t>(</w:t>
            </w:r>
            <w:proofErr w:type="spellStart"/>
            <w:r>
              <w:t>i</w:t>
            </w:r>
            <w:proofErr w:type="spellEnd"/>
            <w:r>
              <w:t>)</w:t>
            </w:r>
          </w:p>
        </w:tc>
      </w:tr>
      <w:tr w:rsidR="00180A2B" w14:paraId="7F7C3CEF" w14:textId="77777777" w:rsidTr="0062792C">
        <w:trPr>
          <w:jc w:val="center"/>
        </w:trPr>
        <w:tc>
          <w:tcPr>
            <w:tcW w:w="8787" w:type="dxa"/>
            <w:gridSpan w:val="3"/>
          </w:tcPr>
          <w:p w14:paraId="1E495CDD" w14:textId="33741A4D" w:rsidR="00180A2B" w:rsidRDefault="00180A2B" w:rsidP="00C54FF5">
            <w:pPr>
              <w:pStyle w:val="CETCaption"/>
            </w:pPr>
            <w:r>
              <w:t xml:space="preserve">Figure </w:t>
            </w:r>
            <w:r w:rsidR="00412C2E">
              <w:t>6</w:t>
            </w:r>
            <w:r>
              <w:t>: SEM images of the catalysts</w:t>
            </w:r>
            <w:r w:rsidR="00EC647E">
              <w:t xml:space="preserve">: </w:t>
            </w:r>
            <w:r w:rsidR="00744BCC">
              <w:t xml:space="preserve">reference: </w:t>
            </w:r>
            <w:r w:rsidR="00EC647E">
              <w:t xml:space="preserve">(a) before reaction, (b) after reaction wo. steam, (c) after steam </w:t>
            </w:r>
            <w:r w:rsidR="008B644C">
              <w:t>gasification</w:t>
            </w:r>
            <w:r w:rsidR="00744BCC">
              <w:t xml:space="preserve">, acidic: (d) before reaction, (e) after reaction wo. steam, (f) after steam </w:t>
            </w:r>
            <w:r w:rsidR="008B644C">
              <w:t>gasification</w:t>
            </w:r>
            <w:r w:rsidR="00744BCC">
              <w:t>, alkaline: (g) before reaction, (h) after reaction wo. steam, (</w:t>
            </w:r>
            <w:proofErr w:type="spellStart"/>
            <w:r w:rsidR="00744BCC">
              <w:t>i</w:t>
            </w:r>
            <w:proofErr w:type="spellEnd"/>
            <w:r w:rsidR="00744BCC">
              <w:t xml:space="preserve">) after steam </w:t>
            </w:r>
            <w:r w:rsidR="008B644C">
              <w:t>gasification</w:t>
            </w:r>
            <w:r w:rsidR="00744BCC">
              <w:t>, alkaline</w:t>
            </w:r>
          </w:p>
        </w:tc>
      </w:tr>
    </w:tbl>
    <w:p w14:paraId="09A0358F" w14:textId="708929E2" w:rsidR="0062792C" w:rsidRDefault="0062792C" w:rsidP="00E4413D">
      <w:pPr>
        <w:pStyle w:val="CETHeadingxx"/>
      </w:pPr>
      <w:r>
        <w:t>Conclusion</w:t>
      </w:r>
    </w:p>
    <w:p w14:paraId="57E4E639" w14:textId="2B3D7480" w:rsidR="00DA426E" w:rsidRPr="00DA426E" w:rsidRDefault="00DA426E" w:rsidP="004C2426">
      <w:pPr>
        <w:pStyle w:val="CETBodytext"/>
        <w:rPr>
          <w:b/>
        </w:rPr>
      </w:pPr>
      <w:r w:rsidRPr="00DA426E">
        <w:t xml:space="preserve">In this research, </w:t>
      </w:r>
      <w:r w:rsidR="00AF4D40">
        <w:t xml:space="preserve">modified </w:t>
      </w:r>
      <w:proofErr w:type="gramStart"/>
      <w:r w:rsidRPr="00DA426E">
        <w:t>kaolin</w:t>
      </w:r>
      <w:proofErr w:type="gramEnd"/>
      <w:r w:rsidRPr="00DA426E">
        <w:t xml:space="preserve"> with a grinding time of 30 min was used as catalysts. The processes involved pre-calcination of the </w:t>
      </w:r>
      <w:r w:rsidR="00C54FF5">
        <w:t>kaolin</w:t>
      </w:r>
      <w:r w:rsidRPr="00DA426E">
        <w:t xml:space="preserve"> and wet impregnation of nickel onto the surface to increase the hydrogen yield. </w:t>
      </w:r>
      <w:r w:rsidR="00B93353">
        <w:t xml:space="preserve">Then the samples </w:t>
      </w:r>
      <w:r w:rsidR="00C54FF5">
        <w:t>were</w:t>
      </w:r>
      <w:r w:rsidR="00B93353">
        <w:t xml:space="preserve"> </w:t>
      </w:r>
      <w:r w:rsidR="008538EE">
        <w:t>divided</w:t>
      </w:r>
      <w:r w:rsidRPr="00DA426E">
        <w:t xml:space="preserve"> into three groups: one part was treated with acid, another part with alkali</w:t>
      </w:r>
      <w:r w:rsidR="00C54FF5">
        <w:t>ne</w:t>
      </w:r>
      <w:r w:rsidRPr="00DA426E">
        <w:t xml:space="preserve"> to modify the Si/Al ratio, while a part was left unchanged for reference. In the last step, they were calcin</w:t>
      </w:r>
      <w:r w:rsidR="00B93353">
        <w:t>e</w:t>
      </w:r>
      <w:r w:rsidRPr="00DA426E">
        <w:t xml:space="preserve">d in a furnace to reduce the nickel. </w:t>
      </w:r>
      <w:r w:rsidR="00E637DC">
        <w:t>T</w:t>
      </w:r>
      <w:r w:rsidRPr="00DA426E">
        <w:t xml:space="preserve">he highest amount of hydrogen was </w:t>
      </w:r>
      <w:r w:rsidR="00AF4D40">
        <w:t>found</w:t>
      </w:r>
      <w:r w:rsidR="00AF4D40" w:rsidRPr="00DA426E">
        <w:t xml:space="preserve"> </w:t>
      </w:r>
      <w:r w:rsidRPr="00DA426E">
        <w:t xml:space="preserve">with the reference catalyst both </w:t>
      </w:r>
      <w:r w:rsidR="00AF4D40">
        <w:t xml:space="preserve">with and without </w:t>
      </w:r>
      <w:r w:rsidRPr="00DA426E">
        <w:t xml:space="preserve">steam. The change in the Si/Al ratio was reflected in the </w:t>
      </w:r>
      <w:r w:rsidR="00AF4D40">
        <w:t xml:space="preserve">less </w:t>
      </w:r>
      <w:r w:rsidRPr="00DA426E">
        <w:t>amount of CO</w:t>
      </w:r>
      <w:r w:rsidRPr="00B93353">
        <w:rPr>
          <w:vertAlign w:val="subscript"/>
        </w:rPr>
        <w:t>2</w:t>
      </w:r>
      <w:r w:rsidRPr="00DA426E">
        <w:t xml:space="preserve"> and CH</w:t>
      </w:r>
      <w:r w:rsidRPr="00B93353">
        <w:rPr>
          <w:vertAlign w:val="subscript"/>
        </w:rPr>
        <w:t>4</w:t>
      </w:r>
      <w:r w:rsidR="00AF4D40">
        <w:t>,</w:t>
      </w:r>
      <w:r w:rsidRPr="00DA426E">
        <w:t xml:space="preserve"> while the reaction with the acid catalyst produced </w:t>
      </w:r>
      <w:r w:rsidR="00C54FF5" w:rsidRPr="00DA426E">
        <w:t>a more</w:t>
      </w:r>
      <w:r w:rsidRPr="00DA426E">
        <w:t xml:space="preserve"> significant amount of methane</w:t>
      </w:r>
      <w:r w:rsidR="00AF4D40">
        <w:t xml:space="preserve"> and</w:t>
      </w:r>
      <w:r w:rsidRPr="00DA426E">
        <w:t xml:space="preserve"> the alkaline catalyst produced a larger amount of CO</w:t>
      </w:r>
      <w:r w:rsidRPr="00B93353">
        <w:rPr>
          <w:vertAlign w:val="subscript"/>
        </w:rPr>
        <w:t>2</w:t>
      </w:r>
      <w:r w:rsidRPr="00DA426E">
        <w:t xml:space="preserve">. </w:t>
      </w:r>
      <w:r w:rsidR="00DC7013" w:rsidRPr="00DC7013">
        <w:t xml:space="preserve">The amount of nickel cannot be correlated with the amount of hydrogen </w:t>
      </w:r>
      <w:r w:rsidR="00AF4D40">
        <w:t>yield</w:t>
      </w:r>
      <w:r w:rsidR="00DC7013" w:rsidRPr="00DC7013">
        <w:t xml:space="preserve">, </w:t>
      </w:r>
      <w:proofErr w:type="gramStart"/>
      <w:r w:rsidR="00DC7013" w:rsidRPr="00DC7013">
        <w:t>as while</w:t>
      </w:r>
      <w:proofErr w:type="gramEnd"/>
      <w:r w:rsidR="00DC7013" w:rsidRPr="00DC7013">
        <w:t xml:space="preserve"> most of the nickel was found on the alkaline catalyst. The composition of the gases may be more influenced by the structure formed than by the elemental composition.</w:t>
      </w:r>
      <w:r w:rsidR="00426BD9">
        <w:t xml:space="preserve"> </w:t>
      </w:r>
      <w:r w:rsidR="009F4155" w:rsidRPr="009F4155">
        <w:t xml:space="preserve">Most hydrogen is produced using reference </w:t>
      </w:r>
      <w:proofErr w:type="gramStart"/>
      <w:r w:rsidR="009F4155" w:rsidRPr="009F4155">
        <w:t>catalyst</w:t>
      </w:r>
      <w:proofErr w:type="gramEnd"/>
      <w:r w:rsidR="009F4155">
        <w:t xml:space="preserve"> with steam</w:t>
      </w:r>
      <w:r w:rsidR="009F4155" w:rsidRPr="009F4155">
        <w:t>. Acid and alkaline catalysts produced almost identical results.</w:t>
      </w:r>
    </w:p>
    <w:p w14:paraId="2842A913" w14:textId="684BFF56" w:rsidR="00E4413D" w:rsidRPr="000C33C4" w:rsidRDefault="00E4413D" w:rsidP="00F36F30">
      <w:pPr>
        <w:pStyle w:val="CETHeadingxx"/>
        <w:tabs>
          <w:tab w:val="left" w:pos="3868"/>
        </w:tabs>
      </w:pPr>
      <w:r w:rsidRPr="000C33C4">
        <w:lastRenderedPageBreak/>
        <w:t>Acknowledgments</w:t>
      </w:r>
    </w:p>
    <w:p w14:paraId="37D79292" w14:textId="2F30737C" w:rsidR="00D60B3C" w:rsidRDefault="00E4413D" w:rsidP="009B0D52">
      <w:pPr>
        <w:pStyle w:val="CETBodytext"/>
        <w:spacing w:after="240"/>
        <w:rPr>
          <w:b/>
          <w:bCs/>
          <w:sz w:val="20"/>
          <w:szCs w:val="22"/>
          <w:lang w:val="en-GB"/>
        </w:rPr>
      </w:pPr>
      <w:r w:rsidRPr="000C33C4">
        <w:t xml:space="preserve">Project no. RRF-2.3.1-21-2022-00009, titled National Laboratory for Renewable Energy has been implemented with the support provided by the Recovery and Resilience Facility of the </w:t>
      </w:r>
      <w:proofErr w:type="spellStart"/>
      <w:r w:rsidRPr="000C33C4">
        <w:t>Europian</w:t>
      </w:r>
      <w:proofErr w:type="spellEnd"/>
      <w:r w:rsidRPr="000C33C4">
        <w:t xml:space="preserve"> Union within the framework of </w:t>
      </w:r>
      <w:proofErr w:type="spellStart"/>
      <w:r w:rsidRPr="000C33C4">
        <w:t>Programme</w:t>
      </w:r>
      <w:proofErr w:type="spellEnd"/>
      <w:r w:rsidRPr="000C33C4">
        <w:t xml:space="preserve"> Széchenyi Plan Plus.</w:t>
      </w:r>
    </w:p>
    <w:p w14:paraId="65EB72BB" w14:textId="139E3803" w:rsidR="005620CA" w:rsidRDefault="005620CA" w:rsidP="005620CA">
      <w:pPr>
        <w:pStyle w:val="CETBodytext"/>
        <w:rPr>
          <w:b/>
          <w:bCs/>
          <w:sz w:val="20"/>
          <w:szCs w:val="22"/>
          <w:lang w:val="en-GB"/>
        </w:rPr>
      </w:pPr>
      <w:r w:rsidRPr="005620CA">
        <w:rPr>
          <w:b/>
          <w:bCs/>
          <w:sz w:val="20"/>
          <w:szCs w:val="22"/>
          <w:lang w:val="en-GB"/>
        </w:rPr>
        <w:t>References</w:t>
      </w:r>
    </w:p>
    <w:p w14:paraId="61200C36" w14:textId="77777777" w:rsidR="00EB5FCD" w:rsidRPr="00EB5FCD" w:rsidRDefault="00EB5FCD" w:rsidP="005620CA">
      <w:pPr>
        <w:pStyle w:val="CETBodytext"/>
        <w:rPr>
          <w:lang w:val="en-GB"/>
        </w:rPr>
      </w:pPr>
    </w:p>
    <w:p w14:paraId="2C8ED671" w14:textId="77777777" w:rsidR="00EB5FCD" w:rsidRPr="00EB5FCD" w:rsidRDefault="00EB5FCD" w:rsidP="00EB5FCD">
      <w:pPr>
        <w:pStyle w:val="CETBodytext"/>
        <w:ind w:left="284" w:hanging="284"/>
        <w:rPr>
          <w:lang w:val="en-GB"/>
        </w:rPr>
      </w:pPr>
      <w:r w:rsidRPr="00EB5FCD">
        <w:rPr>
          <w:lang w:val="en-GB"/>
        </w:rPr>
        <w:t xml:space="preserve">Achyut K. Panda, RK Singh, 2011, Catalytic performances of </w:t>
      </w:r>
      <w:proofErr w:type="spellStart"/>
      <w:r w:rsidRPr="00EB5FCD">
        <w:rPr>
          <w:lang w:val="en-GB"/>
        </w:rPr>
        <w:t>kaoline</w:t>
      </w:r>
      <w:proofErr w:type="spellEnd"/>
      <w:r w:rsidRPr="00EB5FCD">
        <w:rPr>
          <w:lang w:val="en-GB"/>
        </w:rPr>
        <w:t xml:space="preserve"> and silica alumina in the thermal degradation of polypropylene, Journal of Fuel Chemistry and Technology, Vol. 39, 198-202.</w:t>
      </w:r>
    </w:p>
    <w:p w14:paraId="7EC56C83" w14:textId="77777777" w:rsidR="00EB5FCD" w:rsidRPr="00EB5FCD" w:rsidRDefault="00EB5FCD" w:rsidP="00EB5FCD">
      <w:pPr>
        <w:pStyle w:val="CETBodytext"/>
        <w:ind w:left="284" w:hanging="284"/>
        <w:rPr>
          <w:lang w:val="en-GB"/>
        </w:rPr>
      </w:pPr>
      <w:r w:rsidRPr="00EB5FCD">
        <w:rPr>
          <w:lang w:val="en-GB"/>
        </w:rPr>
        <w:t>A. Vaccari, 1999, Clays and catalysis: a promising future, Applied Clay Science, Vol. 14, 161-198.</w:t>
      </w:r>
    </w:p>
    <w:p w14:paraId="76E0D805" w14:textId="77777777" w:rsidR="00EB5FCD" w:rsidRPr="00EB5FCD" w:rsidRDefault="00EB5FCD" w:rsidP="00EB5FCD">
      <w:pPr>
        <w:pStyle w:val="CETBodytext"/>
        <w:ind w:left="284" w:hanging="284"/>
        <w:rPr>
          <w:lang w:val="en-GB"/>
        </w:rPr>
      </w:pPr>
      <w:r w:rsidRPr="00EB5FCD">
        <w:rPr>
          <w:lang w:val="en-GB"/>
        </w:rPr>
        <w:t xml:space="preserve">Carolina </w:t>
      </w:r>
      <w:proofErr w:type="spellStart"/>
      <w:r w:rsidRPr="00EB5FCD">
        <w:rPr>
          <w:lang w:val="en-GB"/>
        </w:rPr>
        <w:t>Belver</w:t>
      </w:r>
      <w:proofErr w:type="spellEnd"/>
      <w:r w:rsidRPr="00EB5FCD">
        <w:rPr>
          <w:lang w:val="en-GB"/>
        </w:rPr>
        <w:t>, Miguel Angel Banares Munoz, Miguel Angel, Vincente, 2002, Chemical Activation of a Kaolinite under Acid and Alkaline Conditions, Chemistry of Materials, Vol. 14, 2033-2043.</w:t>
      </w:r>
    </w:p>
    <w:p w14:paraId="2ACC3087" w14:textId="77777777" w:rsidR="00EB5FCD" w:rsidRPr="00EB5FCD" w:rsidRDefault="00EB5FCD" w:rsidP="00EB5FCD">
      <w:pPr>
        <w:pStyle w:val="CETBodytext"/>
        <w:ind w:left="284" w:hanging="284"/>
        <w:rPr>
          <w:lang w:val="en-GB"/>
        </w:rPr>
      </w:pPr>
      <w:r w:rsidRPr="00EB5FCD">
        <w:rPr>
          <w:lang w:val="en-GB"/>
        </w:rPr>
        <w:t xml:space="preserve">Erzsébet Horváth, Ray L. Frost, Éva Makó, János Kristóf, Tamás Cseh, 2003, Thermal treatment of mechanochemically activated kaolinite, </w:t>
      </w:r>
      <w:proofErr w:type="spellStart"/>
      <w:r w:rsidRPr="00EB5FCD">
        <w:rPr>
          <w:lang w:val="en-GB"/>
        </w:rPr>
        <w:t>Thermochimica</w:t>
      </w:r>
      <w:proofErr w:type="spellEnd"/>
      <w:r w:rsidRPr="00EB5FCD">
        <w:rPr>
          <w:lang w:val="en-GB"/>
        </w:rPr>
        <w:t xml:space="preserve"> Acta, Vol. 404, 227-234.</w:t>
      </w:r>
    </w:p>
    <w:p w14:paraId="766E767E" w14:textId="77777777" w:rsidR="00EB5FCD" w:rsidRPr="00EB5FCD" w:rsidRDefault="00EB5FCD" w:rsidP="00EB5FCD">
      <w:pPr>
        <w:pStyle w:val="CETBodytext"/>
        <w:ind w:left="284" w:hanging="284"/>
        <w:rPr>
          <w:lang w:val="en-GB"/>
        </w:rPr>
      </w:pPr>
      <w:r w:rsidRPr="00EB5FCD">
        <w:rPr>
          <w:lang w:val="en-GB"/>
        </w:rPr>
        <w:t>Éva Makó, Ray L. Frost, János Kristóf, Erzsébet Horváth, 2001, The Effect of Quartz Content on the Mechanochemical Activation of Kaolinite, Journal of Colloid and Interface Science, 359-364.</w:t>
      </w:r>
    </w:p>
    <w:p w14:paraId="06C4BC9C" w14:textId="77777777" w:rsidR="00EB5FCD" w:rsidRPr="00EB5FCD" w:rsidRDefault="00EB5FCD" w:rsidP="00EB5FCD">
      <w:pPr>
        <w:pStyle w:val="CETBodytext"/>
        <w:ind w:left="284" w:hanging="284"/>
        <w:rPr>
          <w:lang w:val="en-GB"/>
        </w:rPr>
      </w:pPr>
      <w:r w:rsidRPr="00EB5FCD">
        <w:rPr>
          <w:lang w:val="en-GB"/>
        </w:rPr>
        <w:t xml:space="preserve">Francesco Dellisanti, Giovanni </w:t>
      </w:r>
      <w:proofErr w:type="spellStart"/>
      <w:r w:rsidRPr="00EB5FCD">
        <w:rPr>
          <w:lang w:val="en-GB"/>
        </w:rPr>
        <w:t>Valdré</w:t>
      </w:r>
      <w:proofErr w:type="spellEnd"/>
      <w:r w:rsidRPr="00EB5FCD">
        <w:rPr>
          <w:lang w:val="en-GB"/>
        </w:rPr>
        <w:t xml:space="preserve">, 2012, The role of </w:t>
      </w:r>
      <w:proofErr w:type="spellStart"/>
      <w:r w:rsidRPr="00EB5FCD">
        <w:rPr>
          <w:lang w:val="en-GB"/>
        </w:rPr>
        <w:t>microstrain</w:t>
      </w:r>
      <w:proofErr w:type="spellEnd"/>
      <w:r w:rsidRPr="00EB5FCD">
        <w:rPr>
          <w:lang w:val="en-GB"/>
        </w:rPr>
        <w:t xml:space="preserve"> on the </w:t>
      </w:r>
      <w:proofErr w:type="spellStart"/>
      <w:r w:rsidRPr="00EB5FCD">
        <w:rPr>
          <w:lang w:val="en-GB"/>
        </w:rPr>
        <w:t>thermostructural</w:t>
      </w:r>
      <w:proofErr w:type="spellEnd"/>
      <w:r w:rsidRPr="00EB5FCD">
        <w:rPr>
          <w:lang w:val="en-GB"/>
        </w:rPr>
        <w:t xml:space="preserve"> behaviour of industrial kaolin deformed by ball milling at low mechanical load, International Journal of Mineral Processing, Vol. 102-103, 69-77.</w:t>
      </w:r>
    </w:p>
    <w:p w14:paraId="44845176" w14:textId="77777777" w:rsidR="00EB5FCD" w:rsidRPr="00EB5FCD" w:rsidRDefault="00EB5FCD" w:rsidP="00EB5FCD">
      <w:pPr>
        <w:pStyle w:val="CETBodytext"/>
        <w:ind w:left="284" w:hanging="284"/>
        <w:rPr>
          <w:lang w:val="en-GB"/>
        </w:rPr>
      </w:pPr>
      <w:r w:rsidRPr="00EB5FCD">
        <w:rPr>
          <w:lang w:val="en-GB"/>
        </w:rPr>
        <w:t xml:space="preserve">Gasparini, E., Tarantino, S. C., </w:t>
      </w:r>
      <w:proofErr w:type="spellStart"/>
      <w:r w:rsidRPr="00EB5FCD">
        <w:rPr>
          <w:lang w:val="en-GB"/>
        </w:rPr>
        <w:t>Ghigna</w:t>
      </w:r>
      <w:proofErr w:type="spellEnd"/>
      <w:r w:rsidRPr="00EB5FCD">
        <w:rPr>
          <w:lang w:val="en-GB"/>
        </w:rPr>
        <w:t xml:space="preserve">, P., Riccardi, M. P., Cedillo-González, E. I., </w:t>
      </w:r>
      <w:proofErr w:type="spellStart"/>
      <w:r w:rsidRPr="00EB5FCD">
        <w:rPr>
          <w:lang w:val="en-GB"/>
        </w:rPr>
        <w:t>Siligardi</w:t>
      </w:r>
      <w:proofErr w:type="spellEnd"/>
      <w:r w:rsidRPr="00EB5FCD">
        <w:rPr>
          <w:lang w:val="en-GB"/>
        </w:rPr>
        <w:t xml:space="preserve">, C., Zema, M., 2013, Thermal </w:t>
      </w:r>
      <w:proofErr w:type="spellStart"/>
      <w:r w:rsidRPr="00EB5FCD">
        <w:rPr>
          <w:lang w:val="en-GB"/>
        </w:rPr>
        <w:t>Dehydroxylation</w:t>
      </w:r>
      <w:proofErr w:type="spellEnd"/>
      <w:r w:rsidRPr="00EB5FCD">
        <w:rPr>
          <w:lang w:val="en-GB"/>
        </w:rPr>
        <w:t xml:space="preserve"> of Kaolinite under Isothermal Conditions, Applied Clay Science, 417-425.</w:t>
      </w:r>
    </w:p>
    <w:p w14:paraId="2335FCD4" w14:textId="77777777" w:rsidR="00EB5FCD" w:rsidRPr="00EB5FCD" w:rsidRDefault="00EB5FCD" w:rsidP="00EB5FCD">
      <w:pPr>
        <w:pStyle w:val="CETBodytext"/>
        <w:ind w:left="284" w:hanging="284"/>
        <w:rPr>
          <w:lang w:val="en-GB"/>
        </w:rPr>
      </w:pPr>
      <w:r w:rsidRPr="00EB5FCD">
        <w:rPr>
          <w:lang w:val="en-GB"/>
        </w:rPr>
        <w:t>Haydn H. Murray, 2006, Chapter 5 Kaolin Application, Developments in Clay Science 2, Vol. 2, 85-109.</w:t>
      </w:r>
    </w:p>
    <w:p w14:paraId="69310623" w14:textId="77777777" w:rsidR="00EB5FCD" w:rsidRPr="00EB5FCD" w:rsidRDefault="00EB5FCD" w:rsidP="00EB5FCD">
      <w:pPr>
        <w:pStyle w:val="CETBodytext"/>
        <w:ind w:left="284" w:hanging="284"/>
        <w:rPr>
          <w:lang w:val="en-GB"/>
        </w:rPr>
      </w:pPr>
      <w:r w:rsidRPr="00EB5FCD">
        <w:rPr>
          <w:lang w:val="en-GB"/>
        </w:rPr>
        <w:t xml:space="preserve">Hongfei Cheng, Qinfu Liu, Jing Yang, Songjiang Ma, Ray L. Frost, 2012, The thermal </w:t>
      </w:r>
      <w:proofErr w:type="spellStart"/>
      <w:r w:rsidRPr="00EB5FCD">
        <w:rPr>
          <w:lang w:val="en-GB"/>
        </w:rPr>
        <w:t>behavior</w:t>
      </w:r>
      <w:proofErr w:type="spellEnd"/>
      <w:r w:rsidRPr="00EB5FCD">
        <w:rPr>
          <w:lang w:val="en-GB"/>
        </w:rPr>
        <w:t xml:space="preserve"> of kaolinite intercalation complexes-A review, </w:t>
      </w:r>
      <w:proofErr w:type="spellStart"/>
      <w:r w:rsidRPr="00EB5FCD">
        <w:rPr>
          <w:lang w:val="en-GB"/>
        </w:rPr>
        <w:t>Thermochimica</w:t>
      </w:r>
      <w:proofErr w:type="spellEnd"/>
      <w:r w:rsidRPr="00EB5FCD">
        <w:rPr>
          <w:lang w:val="en-GB"/>
        </w:rPr>
        <w:t xml:space="preserve"> Acta, Vol. 545, 1-13.</w:t>
      </w:r>
    </w:p>
    <w:p w14:paraId="18C5649A" w14:textId="77777777" w:rsidR="00EB5FCD" w:rsidRPr="00EB5FCD" w:rsidRDefault="00EB5FCD" w:rsidP="00EB5FCD">
      <w:pPr>
        <w:pStyle w:val="CETBodytext"/>
        <w:ind w:left="284" w:hanging="284"/>
        <w:rPr>
          <w:lang w:val="en-GB"/>
        </w:rPr>
      </w:pPr>
      <w:proofErr w:type="spellStart"/>
      <w:r w:rsidRPr="00EB5FCD">
        <w:rPr>
          <w:lang w:val="en-GB"/>
        </w:rPr>
        <w:t>Jingfeng</w:t>
      </w:r>
      <w:proofErr w:type="spellEnd"/>
      <w:r w:rsidRPr="00EB5FCD">
        <w:rPr>
          <w:lang w:val="en-GB"/>
        </w:rPr>
        <w:t xml:space="preserve"> He, Yake Yao, Wang Lu, Guanghui Long, Quiang Bai, Haifeng Wang, 2019, Cleaning and upgrading of coal-series kaolin fines via decarbonization using triboelectric separation, Journal of Cleaner Production, Vol. 228, 956-964.</w:t>
      </w:r>
    </w:p>
    <w:p w14:paraId="67B13365" w14:textId="77777777" w:rsidR="00EB5FCD" w:rsidRPr="00EB5FCD" w:rsidRDefault="00EB5FCD" w:rsidP="00EB5FCD">
      <w:pPr>
        <w:pStyle w:val="CETBodytext"/>
        <w:ind w:left="284" w:hanging="284"/>
        <w:rPr>
          <w:lang w:val="en-GB"/>
        </w:rPr>
      </w:pPr>
      <w:r w:rsidRPr="00EB5FCD">
        <w:rPr>
          <w:lang w:val="en-GB"/>
        </w:rPr>
        <w:t>Kaolin Global Market Report 2024; The Business Research Company; ID: 5769468</w:t>
      </w:r>
    </w:p>
    <w:p w14:paraId="140DA686" w14:textId="77777777" w:rsidR="00EB5FCD" w:rsidRPr="00EB5FCD" w:rsidRDefault="00EB5FCD" w:rsidP="00EB5FCD">
      <w:pPr>
        <w:pStyle w:val="CETBodytext"/>
        <w:ind w:left="284" w:hanging="284"/>
        <w:rPr>
          <w:lang w:val="en-GB"/>
        </w:rPr>
      </w:pPr>
      <w:r w:rsidRPr="00EB5FCD">
        <w:rPr>
          <w:lang w:val="en-GB"/>
        </w:rPr>
        <w:t xml:space="preserve">Krishna G. Bhattacharyya, Susmita Sen Gupta, 2011, Removal of </w:t>
      </w:r>
      <w:proofErr w:type="gramStart"/>
      <w:r w:rsidRPr="00EB5FCD">
        <w:rPr>
          <w:lang w:val="en-GB"/>
        </w:rPr>
        <w:t>Cu(</w:t>
      </w:r>
      <w:proofErr w:type="gramEnd"/>
      <w:r w:rsidRPr="00EB5FCD">
        <w:rPr>
          <w:lang w:val="en-GB"/>
        </w:rPr>
        <w:t>II) by natural and acid-activated clays: An insight of adsorption isotherm, kinetic and thermodynamics, Vol. 272, 66-75.</w:t>
      </w:r>
    </w:p>
    <w:p w14:paraId="6ABA2DAE" w14:textId="77777777" w:rsidR="00EB5FCD" w:rsidRPr="00EB5FCD" w:rsidRDefault="00EB5FCD" w:rsidP="00EB5FCD">
      <w:pPr>
        <w:pStyle w:val="CETBodytext"/>
        <w:ind w:left="284" w:hanging="284"/>
        <w:rPr>
          <w:lang w:val="en-GB"/>
        </w:rPr>
      </w:pPr>
      <w:r w:rsidRPr="00EB5FCD">
        <w:rPr>
          <w:lang w:val="en-GB"/>
        </w:rPr>
        <w:t>Luís Adriano S do Nascimento, Laura MZ Tito, Romulo S Angélica, Carlos EF Da Costa, José R Zamian, Geraldo N da Rocha Filho, 2011, Esterification of oleic acid over solid acid catalysts prepared from Amazon flint kaolin, Applied Catalysis B: Environmental, Vol. 101, 495-503.</w:t>
      </w:r>
    </w:p>
    <w:p w14:paraId="03776599" w14:textId="77777777" w:rsidR="00EB5FCD" w:rsidRPr="00EB5FCD" w:rsidRDefault="00EB5FCD" w:rsidP="00EB5FCD">
      <w:pPr>
        <w:pStyle w:val="CETBodytext"/>
        <w:ind w:left="284" w:hanging="284"/>
        <w:rPr>
          <w:lang w:val="en-GB"/>
        </w:rPr>
      </w:pPr>
      <w:r w:rsidRPr="00EB5FCD">
        <w:rPr>
          <w:lang w:val="en-GB"/>
        </w:rPr>
        <w:t xml:space="preserve">M. Paradas, K. Reid, H. Murray, 1991, Kaolin: processing, properties and applications, Applied Clay Science Vol. </w:t>
      </w:r>
      <w:proofErr w:type="gramStart"/>
      <w:r w:rsidRPr="00EB5FCD">
        <w:rPr>
          <w:lang w:val="en-GB"/>
        </w:rPr>
        <w:t>6,  87</w:t>
      </w:r>
      <w:proofErr w:type="gramEnd"/>
      <w:r w:rsidRPr="00EB5FCD">
        <w:rPr>
          <w:lang w:val="en-GB"/>
        </w:rPr>
        <w:t>-119.</w:t>
      </w:r>
    </w:p>
    <w:p w14:paraId="16815BF3" w14:textId="77777777" w:rsidR="00EB5FCD" w:rsidRPr="00EB5FCD" w:rsidRDefault="00EB5FCD" w:rsidP="00EB5FCD">
      <w:pPr>
        <w:pStyle w:val="CETBodytext"/>
        <w:ind w:left="284" w:hanging="284"/>
        <w:rPr>
          <w:lang w:val="en-GB"/>
        </w:rPr>
      </w:pPr>
      <w:r w:rsidRPr="00EB5FCD">
        <w:rPr>
          <w:lang w:val="en-GB"/>
        </w:rPr>
        <w:t>Paul A. Schroeder, Kaolin, 2018, University of Georgia.</w:t>
      </w:r>
    </w:p>
    <w:p w14:paraId="7BB14A0C" w14:textId="77777777" w:rsidR="00EB5FCD" w:rsidRPr="00EB5FCD" w:rsidRDefault="00EB5FCD" w:rsidP="00EB5FCD">
      <w:pPr>
        <w:pStyle w:val="CETBodytext"/>
        <w:ind w:left="284" w:hanging="284"/>
        <w:rPr>
          <w:lang w:val="en-GB"/>
        </w:rPr>
      </w:pPr>
      <w:r w:rsidRPr="00EB5FCD">
        <w:rPr>
          <w:lang w:val="en-GB"/>
        </w:rPr>
        <w:t xml:space="preserve">Peiwei Hu, </w:t>
      </w:r>
      <w:proofErr w:type="spellStart"/>
      <w:r w:rsidRPr="00EB5FCD">
        <w:rPr>
          <w:lang w:val="en-GB"/>
        </w:rPr>
        <w:t>Huaming</w:t>
      </w:r>
      <w:proofErr w:type="spellEnd"/>
      <w:r w:rsidRPr="00EB5FCD">
        <w:rPr>
          <w:lang w:val="en-GB"/>
        </w:rPr>
        <w:t xml:space="preserve"> Yang, 2013, Insight into the physicochemical aspects of </w:t>
      </w:r>
      <w:proofErr w:type="spellStart"/>
      <w:r w:rsidRPr="00EB5FCD">
        <w:rPr>
          <w:lang w:val="en-GB"/>
        </w:rPr>
        <w:t>kaolins</w:t>
      </w:r>
      <w:proofErr w:type="spellEnd"/>
      <w:r w:rsidRPr="00EB5FCD">
        <w:rPr>
          <w:lang w:val="en-GB"/>
        </w:rPr>
        <w:t xml:space="preserve"> with different morphologies, Applied Clay Science, Vol. 7458-65.</w:t>
      </w:r>
    </w:p>
    <w:p w14:paraId="5B72A738" w14:textId="77777777" w:rsidR="00EB5FCD" w:rsidRPr="00EB5FCD" w:rsidRDefault="00EB5FCD" w:rsidP="00EB5FCD">
      <w:pPr>
        <w:pStyle w:val="CETBodytext"/>
        <w:ind w:left="284" w:hanging="284"/>
        <w:rPr>
          <w:lang w:val="en-GB"/>
        </w:rPr>
      </w:pPr>
      <w:r w:rsidRPr="00EB5FCD">
        <w:rPr>
          <w:lang w:val="en-GB"/>
        </w:rPr>
        <w:t>Peter Adeniyi Alaba, Yahaya Muhammad Sani, Wan Mohd Ashri Wan Daud, 2015, Kaolinite Properties and Advances for Solid Acid and Basic Catalyst Synthesis, RCS Advances.</w:t>
      </w:r>
    </w:p>
    <w:p w14:paraId="5885E8BB" w14:textId="77777777" w:rsidR="00EB5FCD" w:rsidRPr="00EB5FCD" w:rsidRDefault="00EB5FCD" w:rsidP="00EB5FCD">
      <w:pPr>
        <w:pStyle w:val="CETBodytext"/>
        <w:ind w:left="284" w:hanging="284"/>
        <w:rPr>
          <w:lang w:val="en-GB"/>
        </w:rPr>
      </w:pPr>
      <w:proofErr w:type="spellStart"/>
      <w:r w:rsidRPr="00EB5FCD">
        <w:rPr>
          <w:lang w:val="en-GB"/>
        </w:rPr>
        <w:t>Qiongfang</w:t>
      </w:r>
      <w:proofErr w:type="spellEnd"/>
      <w:r w:rsidRPr="00EB5FCD">
        <w:rPr>
          <w:lang w:val="en-GB"/>
        </w:rPr>
        <w:t xml:space="preserve"> Zhuo, </w:t>
      </w:r>
      <w:proofErr w:type="spellStart"/>
      <w:r w:rsidRPr="00EB5FCD">
        <w:rPr>
          <w:lang w:val="en-GB"/>
        </w:rPr>
        <w:t>Hongzhu</w:t>
      </w:r>
      <w:proofErr w:type="spellEnd"/>
      <w:r w:rsidRPr="00EB5FCD">
        <w:rPr>
          <w:lang w:val="en-GB"/>
        </w:rPr>
        <w:t xml:space="preserve"> Ma, Bo Wang, Lin Gu, 2007, Catalytic decolorization of </w:t>
      </w:r>
      <w:proofErr w:type="gramStart"/>
      <w:r w:rsidRPr="00EB5FCD">
        <w:rPr>
          <w:lang w:val="en-GB"/>
        </w:rPr>
        <w:t>azo-stuff</w:t>
      </w:r>
      <w:proofErr w:type="gramEnd"/>
      <w:r w:rsidRPr="00EB5FCD">
        <w:rPr>
          <w:lang w:val="en-GB"/>
        </w:rPr>
        <w:t xml:space="preserve"> with electro-coagulation method assisted by cobalt phosphomolybdate modified kaolin, Journal of Hazardous Materials, Vol. 142, 81-87.</w:t>
      </w:r>
    </w:p>
    <w:p w14:paraId="243E4286" w14:textId="77777777" w:rsidR="00EB5FCD" w:rsidRPr="00EB5FCD" w:rsidRDefault="00EB5FCD" w:rsidP="00EB5FCD">
      <w:pPr>
        <w:pStyle w:val="CETBodytext"/>
        <w:ind w:left="284" w:hanging="284"/>
        <w:rPr>
          <w:lang w:val="en-GB"/>
        </w:rPr>
      </w:pPr>
      <w:r w:rsidRPr="00EB5FCD">
        <w:rPr>
          <w:lang w:val="en-GB"/>
        </w:rPr>
        <w:t>Robert Ryczkowski, Joanna Goscianska, Rafał Panek, Wojciech Franus, Kamila Przybysz, Jacek Grams, 2021, Sustainable nickel catalyst for the conversion of lignocellulosic biomass to H2-rich gas, International Journal of Hydrogen Energy, Vol. 46, 956-964.</w:t>
      </w:r>
    </w:p>
    <w:p w14:paraId="038ADA70" w14:textId="77777777" w:rsidR="00EB5FCD" w:rsidRPr="00EB5FCD" w:rsidRDefault="00EB5FCD" w:rsidP="00EB5FCD">
      <w:pPr>
        <w:pStyle w:val="CETBodytext"/>
        <w:ind w:left="284" w:hanging="284"/>
        <w:rPr>
          <w:lang w:val="en-GB"/>
        </w:rPr>
      </w:pPr>
      <w:r w:rsidRPr="00EB5FCD">
        <w:rPr>
          <w:lang w:val="en-GB"/>
        </w:rPr>
        <w:t xml:space="preserve">Vahiddin Alperen Baki, Xinyuan Ke, Andrew Heath, Juliana Calabria-Holley, </w:t>
      </w:r>
      <w:proofErr w:type="spellStart"/>
      <w:r w:rsidRPr="00EB5FCD">
        <w:rPr>
          <w:lang w:val="en-GB"/>
        </w:rPr>
        <w:t>Cemalettin</w:t>
      </w:r>
      <w:proofErr w:type="spellEnd"/>
      <w:r w:rsidRPr="00EB5FCD">
        <w:rPr>
          <w:lang w:val="en-GB"/>
        </w:rPr>
        <w:t xml:space="preserve"> Terzi, Murat Sirin, 2022, The impact of mechanochemical activation on the physicochemical properties and pozzolanic reactivity of kaolinite, muscovite and montmorillonite, Cement and Concrete Research; Vol. 162, 106962</w:t>
      </w:r>
    </w:p>
    <w:p w14:paraId="00EAA04E" w14:textId="77777777" w:rsidR="00EB5FCD" w:rsidRDefault="00EB5FCD" w:rsidP="00EB5FCD">
      <w:pPr>
        <w:pStyle w:val="CETBodytext"/>
        <w:ind w:left="284" w:hanging="284"/>
        <w:rPr>
          <w:lang w:val="en-GB"/>
        </w:rPr>
      </w:pPr>
      <w:r w:rsidRPr="00EB5FCD">
        <w:rPr>
          <w:lang w:val="en-GB"/>
        </w:rPr>
        <w:t xml:space="preserve">Veronika Vágvölgyi, József Kovács, Erzsébet Horváth, János Kristóf, Éva Makó, 2008, Investigation of mechanochemically modified kaolinite surfaces by </w:t>
      </w:r>
      <w:proofErr w:type="spellStart"/>
      <w:r w:rsidRPr="00EB5FCD">
        <w:rPr>
          <w:lang w:val="en-GB"/>
        </w:rPr>
        <w:t>thermoanalytical</w:t>
      </w:r>
      <w:proofErr w:type="spellEnd"/>
      <w:r w:rsidRPr="00EB5FCD">
        <w:rPr>
          <w:lang w:val="en-GB"/>
        </w:rPr>
        <w:t xml:space="preserve"> and spectroscopic methods, Journal of Colloid and Interface Science, Vol. 317, 523-529.</w:t>
      </w:r>
    </w:p>
    <w:p w14:paraId="64A00390" w14:textId="77777777" w:rsidR="00EB5FCD" w:rsidRDefault="00EB5FCD" w:rsidP="00EB5FCD">
      <w:pPr>
        <w:pStyle w:val="CETBodytext"/>
        <w:ind w:left="284" w:hanging="284"/>
        <w:rPr>
          <w:lang w:val="en-GB"/>
        </w:rPr>
      </w:pPr>
    </w:p>
    <w:p w14:paraId="38958A7F" w14:textId="77777777" w:rsidR="00A9622A" w:rsidRDefault="00A9622A" w:rsidP="00EB5FCD">
      <w:pPr>
        <w:pStyle w:val="CETBodytext"/>
        <w:ind w:left="284" w:hanging="284"/>
        <w:rPr>
          <w:lang w:val="en-GB"/>
        </w:rPr>
      </w:pPr>
    </w:p>
    <w:sectPr w:rsidR="00A9622A"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5CC356" w14:textId="77777777" w:rsidR="00C74203" w:rsidRDefault="00C74203" w:rsidP="004F5E36">
      <w:r>
        <w:separator/>
      </w:r>
    </w:p>
  </w:endnote>
  <w:endnote w:type="continuationSeparator" w:id="0">
    <w:p w14:paraId="55CE379F" w14:textId="77777777" w:rsidR="00C74203" w:rsidRDefault="00C74203"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5DADCF" w14:textId="77777777" w:rsidR="00C74203" w:rsidRDefault="00C74203" w:rsidP="004F5E36">
      <w:r>
        <w:separator/>
      </w:r>
    </w:p>
  </w:footnote>
  <w:footnote w:type="continuationSeparator" w:id="0">
    <w:p w14:paraId="56AF2836" w14:textId="77777777" w:rsidR="00C74203" w:rsidRDefault="00C74203"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4F6F2799"/>
    <w:multiLevelType w:val="hybridMultilevel"/>
    <w:tmpl w:val="8B7812B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3A745D9"/>
    <w:multiLevelType w:val="hybridMultilevel"/>
    <w:tmpl w:val="FFC2401C"/>
    <w:lvl w:ilvl="0" w:tplc="07021E40">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74620467">
    <w:abstractNumId w:val="10"/>
  </w:num>
  <w:num w:numId="2" w16cid:durableId="1688755367">
    <w:abstractNumId w:val="8"/>
  </w:num>
  <w:num w:numId="3" w16cid:durableId="1964532554">
    <w:abstractNumId w:val="3"/>
  </w:num>
  <w:num w:numId="4" w16cid:durableId="1943142822">
    <w:abstractNumId w:val="2"/>
  </w:num>
  <w:num w:numId="5" w16cid:durableId="301694392">
    <w:abstractNumId w:val="1"/>
  </w:num>
  <w:num w:numId="6" w16cid:durableId="1426420828">
    <w:abstractNumId w:val="0"/>
  </w:num>
  <w:num w:numId="7" w16cid:durableId="42488039">
    <w:abstractNumId w:val="9"/>
  </w:num>
  <w:num w:numId="8" w16cid:durableId="292836174">
    <w:abstractNumId w:val="7"/>
  </w:num>
  <w:num w:numId="9" w16cid:durableId="558328612">
    <w:abstractNumId w:val="6"/>
  </w:num>
  <w:num w:numId="10" w16cid:durableId="1671836685">
    <w:abstractNumId w:val="5"/>
  </w:num>
  <w:num w:numId="11" w16cid:durableId="205678530">
    <w:abstractNumId w:val="4"/>
  </w:num>
  <w:num w:numId="12" w16cid:durableId="1953128002">
    <w:abstractNumId w:val="18"/>
  </w:num>
  <w:num w:numId="13" w16cid:durableId="1292781448">
    <w:abstractNumId w:val="12"/>
  </w:num>
  <w:num w:numId="14" w16cid:durableId="1774012164">
    <w:abstractNumId w:val="19"/>
  </w:num>
  <w:num w:numId="15" w16cid:durableId="688944003">
    <w:abstractNumId w:val="22"/>
  </w:num>
  <w:num w:numId="16" w16cid:durableId="987323861">
    <w:abstractNumId w:val="21"/>
  </w:num>
  <w:num w:numId="17" w16cid:durableId="693506647">
    <w:abstractNumId w:val="11"/>
  </w:num>
  <w:num w:numId="18" w16cid:durableId="70203205">
    <w:abstractNumId w:val="12"/>
    <w:lvlOverride w:ilvl="0">
      <w:startOverride w:val="1"/>
    </w:lvlOverride>
  </w:num>
  <w:num w:numId="19" w16cid:durableId="255215614">
    <w:abstractNumId w:val="17"/>
  </w:num>
  <w:num w:numId="20" w16cid:durableId="593898522">
    <w:abstractNumId w:val="16"/>
  </w:num>
  <w:num w:numId="21" w16cid:durableId="1887907660">
    <w:abstractNumId w:val="14"/>
  </w:num>
  <w:num w:numId="22" w16cid:durableId="1505364748">
    <w:abstractNumId w:val="13"/>
  </w:num>
  <w:num w:numId="23" w16cid:durableId="1007637272">
    <w:abstractNumId w:val="15"/>
  </w:num>
  <w:num w:numId="24" w16cid:durableId="192734875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0449"/>
    <w:rsid w:val="000007C5"/>
    <w:rsid w:val="000027C0"/>
    <w:rsid w:val="000052FB"/>
    <w:rsid w:val="000117CB"/>
    <w:rsid w:val="00025002"/>
    <w:rsid w:val="0003148D"/>
    <w:rsid w:val="00031EEC"/>
    <w:rsid w:val="000431EA"/>
    <w:rsid w:val="00051566"/>
    <w:rsid w:val="00051728"/>
    <w:rsid w:val="000562A9"/>
    <w:rsid w:val="000565CE"/>
    <w:rsid w:val="0006187D"/>
    <w:rsid w:val="00062A9A"/>
    <w:rsid w:val="00065058"/>
    <w:rsid w:val="00066883"/>
    <w:rsid w:val="0008007B"/>
    <w:rsid w:val="00086C39"/>
    <w:rsid w:val="000912FC"/>
    <w:rsid w:val="00092DCE"/>
    <w:rsid w:val="000A03B2"/>
    <w:rsid w:val="000A21AC"/>
    <w:rsid w:val="000B0456"/>
    <w:rsid w:val="000C33C4"/>
    <w:rsid w:val="000D0268"/>
    <w:rsid w:val="000D34BE"/>
    <w:rsid w:val="000D6EEE"/>
    <w:rsid w:val="000E102F"/>
    <w:rsid w:val="000E36F1"/>
    <w:rsid w:val="000E3A73"/>
    <w:rsid w:val="000E414A"/>
    <w:rsid w:val="000E48E3"/>
    <w:rsid w:val="000F093C"/>
    <w:rsid w:val="000F1984"/>
    <w:rsid w:val="000F787B"/>
    <w:rsid w:val="00103C0D"/>
    <w:rsid w:val="00111C1D"/>
    <w:rsid w:val="00117988"/>
    <w:rsid w:val="0012091F"/>
    <w:rsid w:val="00123A95"/>
    <w:rsid w:val="00126BC2"/>
    <w:rsid w:val="001308B6"/>
    <w:rsid w:val="0013121F"/>
    <w:rsid w:val="00131FE6"/>
    <w:rsid w:val="0013263F"/>
    <w:rsid w:val="001331DF"/>
    <w:rsid w:val="00134DE4"/>
    <w:rsid w:val="00135206"/>
    <w:rsid w:val="001377B9"/>
    <w:rsid w:val="0014034D"/>
    <w:rsid w:val="00143035"/>
    <w:rsid w:val="00144D16"/>
    <w:rsid w:val="0015022B"/>
    <w:rsid w:val="00150E59"/>
    <w:rsid w:val="00152DE3"/>
    <w:rsid w:val="0015479E"/>
    <w:rsid w:val="00164CF9"/>
    <w:rsid w:val="001667A6"/>
    <w:rsid w:val="0018014A"/>
    <w:rsid w:val="00180A2B"/>
    <w:rsid w:val="001823C9"/>
    <w:rsid w:val="00183F1D"/>
    <w:rsid w:val="00184AD6"/>
    <w:rsid w:val="00187E94"/>
    <w:rsid w:val="00195A49"/>
    <w:rsid w:val="001A46CB"/>
    <w:rsid w:val="001A4AF7"/>
    <w:rsid w:val="001A4FA6"/>
    <w:rsid w:val="001A7DD6"/>
    <w:rsid w:val="001A7E85"/>
    <w:rsid w:val="001B0349"/>
    <w:rsid w:val="001B1E93"/>
    <w:rsid w:val="001B4EE7"/>
    <w:rsid w:val="001B65C1"/>
    <w:rsid w:val="001B66A5"/>
    <w:rsid w:val="001C14C7"/>
    <w:rsid w:val="001C684B"/>
    <w:rsid w:val="001D0CFB"/>
    <w:rsid w:val="001D21AF"/>
    <w:rsid w:val="001D53FC"/>
    <w:rsid w:val="001D719C"/>
    <w:rsid w:val="001E01BE"/>
    <w:rsid w:val="001E1B48"/>
    <w:rsid w:val="001E54CE"/>
    <w:rsid w:val="001F0741"/>
    <w:rsid w:val="001F42A5"/>
    <w:rsid w:val="001F7B9D"/>
    <w:rsid w:val="00201C93"/>
    <w:rsid w:val="00210E76"/>
    <w:rsid w:val="002224B4"/>
    <w:rsid w:val="00225C35"/>
    <w:rsid w:val="002261D9"/>
    <w:rsid w:val="002266B1"/>
    <w:rsid w:val="002274FF"/>
    <w:rsid w:val="0023511A"/>
    <w:rsid w:val="00241FD3"/>
    <w:rsid w:val="002447EF"/>
    <w:rsid w:val="00251550"/>
    <w:rsid w:val="002521C9"/>
    <w:rsid w:val="00263B05"/>
    <w:rsid w:val="00263B09"/>
    <w:rsid w:val="0027221A"/>
    <w:rsid w:val="00275B61"/>
    <w:rsid w:val="0027766B"/>
    <w:rsid w:val="00280217"/>
    <w:rsid w:val="00280FAF"/>
    <w:rsid w:val="00282656"/>
    <w:rsid w:val="002851B3"/>
    <w:rsid w:val="002877A3"/>
    <w:rsid w:val="00296B83"/>
    <w:rsid w:val="002B2CA3"/>
    <w:rsid w:val="002B4015"/>
    <w:rsid w:val="002B78CE"/>
    <w:rsid w:val="002C2FB6"/>
    <w:rsid w:val="002C4A6C"/>
    <w:rsid w:val="002C4E72"/>
    <w:rsid w:val="002E5FA7"/>
    <w:rsid w:val="002E6B19"/>
    <w:rsid w:val="002E76DA"/>
    <w:rsid w:val="002F25D2"/>
    <w:rsid w:val="002F3309"/>
    <w:rsid w:val="003008CE"/>
    <w:rsid w:val="003009B7"/>
    <w:rsid w:val="00300E56"/>
    <w:rsid w:val="0030152C"/>
    <w:rsid w:val="0030469C"/>
    <w:rsid w:val="00310164"/>
    <w:rsid w:val="00310F6B"/>
    <w:rsid w:val="00312786"/>
    <w:rsid w:val="00321CA6"/>
    <w:rsid w:val="00323763"/>
    <w:rsid w:val="00323C5F"/>
    <w:rsid w:val="003266A7"/>
    <w:rsid w:val="00334C09"/>
    <w:rsid w:val="00343C3D"/>
    <w:rsid w:val="00352795"/>
    <w:rsid w:val="00361A33"/>
    <w:rsid w:val="00372065"/>
    <w:rsid w:val="003723D4"/>
    <w:rsid w:val="00377E86"/>
    <w:rsid w:val="00381905"/>
    <w:rsid w:val="00383903"/>
    <w:rsid w:val="00384CC8"/>
    <w:rsid w:val="003871FD"/>
    <w:rsid w:val="00393B0B"/>
    <w:rsid w:val="003A0FAD"/>
    <w:rsid w:val="003A1E30"/>
    <w:rsid w:val="003A2829"/>
    <w:rsid w:val="003A5458"/>
    <w:rsid w:val="003A7D1C"/>
    <w:rsid w:val="003B0AB9"/>
    <w:rsid w:val="003B304B"/>
    <w:rsid w:val="003B3146"/>
    <w:rsid w:val="003C1285"/>
    <w:rsid w:val="003C325D"/>
    <w:rsid w:val="003D059E"/>
    <w:rsid w:val="003E5406"/>
    <w:rsid w:val="003F015E"/>
    <w:rsid w:val="003F7FA6"/>
    <w:rsid w:val="00400414"/>
    <w:rsid w:val="0040055D"/>
    <w:rsid w:val="004018E0"/>
    <w:rsid w:val="00401C24"/>
    <w:rsid w:val="00406003"/>
    <w:rsid w:val="00410DC8"/>
    <w:rsid w:val="00412C2E"/>
    <w:rsid w:val="0041446B"/>
    <w:rsid w:val="00426BD9"/>
    <w:rsid w:val="00440400"/>
    <w:rsid w:val="0044071E"/>
    <w:rsid w:val="004413C0"/>
    <w:rsid w:val="0044187E"/>
    <w:rsid w:val="0044329C"/>
    <w:rsid w:val="0044727B"/>
    <w:rsid w:val="00453E24"/>
    <w:rsid w:val="00456065"/>
    <w:rsid w:val="00457456"/>
    <w:rsid w:val="004577FE"/>
    <w:rsid w:val="00457B9C"/>
    <w:rsid w:val="0046164A"/>
    <w:rsid w:val="004628D2"/>
    <w:rsid w:val="00462DCD"/>
    <w:rsid w:val="004648AD"/>
    <w:rsid w:val="00465576"/>
    <w:rsid w:val="00466193"/>
    <w:rsid w:val="004703A9"/>
    <w:rsid w:val="00474EFF"/>
    <w:rsid w:val="004760DE"/>
    <w:rsid w:val="004763D7"/>
    <w:rsid w:val="004837F6"/>
    <w:rsid w:val="004841A7"/>
    <w:rsid w:val="00486584"/>
    <w:rsid w:val="00487AE0"/>
    <w:rsid w:val="00491D57"/>
    <w:rsid w:val="0049472F"/>
    <w:rsid w:val="004A004E"/>
    <w:rsid w:val="004A02BB"/>
    <w:rsid w:val="004A24CF"/>
    <w:rsid w:val="004A2C86"/>
    <w:rsid w:val="004A2D1A"/>
    <w:rsid w:val="004B1C7B"/>
    <w:rsid w:val="004B2C2E"/>
    <w:rsid w:val="004B78F4"/>
    <w:rsid w:val="004C2426"/>
    <w:rsid w:val="004C3304"/>
    <w:rsid w:val="004C3536"/>
    <w:rsid w:val="004C3D1D"/>
    <w:rsid w:val="004C3D84"/>
    <w:rsid w:val="004C7913"/>
    <w:rsid w:val="004D328E"/>
    <w:rsid w:val="004D7BEC"/>
    <w:rsid w:val="004E0DDC"/>
    <w:rsid w:val="004E4761"/>
    <w:rsid w:val="004E4DD6"/>
    <w:rsid w:val="004E51A4"/>
    <w:rsid w:val="004E7059"/>
    <w:rsid w:val="004F3329"/>
    <w:rsid w:val="004F43B2"/>
    <w:rsid w:val="004F5E36"/>
    <w:rsid w:val="00507B47"/>
    <w:rsid w:val="00507BEF"/>
    <w:rsid w:val="00507CC9"/>
    <w:rsid w:val="00510459"/>
    <w:rsid w:val="005119A5"/>
    <w:rsid w:val="0052140A"/>
    <w:rsid w:val="00522F76"/>
    <w:rsid w:val="005278B7"/>
    <w:rsid w:val="00532016"/>
    <w:rsid w:val="005346C8"/>
    <w:rsid w:val="005368EB"/>
    <w:rsid w:val="00543E7D"/>
    <w:rsid w:val="00547A68"/>
    <w:rsid w:val="005531C9"/>
    <w:rsid w:val="005620CA"/>
    <w:rsid w:val="00562D01"/>
    <w:rsid w:val="00563F2A"/>
    <w:rsid w:val="005673B1"/>
    <w:rsid w:val="00570C43"/>
    <w:rsid w:val="00574E61"/>
    <w:rsid w:val="0058053A"/>
    <w:rsid w:val="005837AF"/>
    <w:rsid w:val="00583E52"/>
    <w:rsid w:val="00585041"/>
    <w:rsid w:val="00585700"/>
    <w:rsid w:val="00586698"/>
    <w:rsid w:val="005877B0"/>
    <w:rsid w:val="00591379"/>
    <w:rsid w:val="00592531"/>
    <w:rsid w:val="005931D3"/>
    <w:rsid w:val="005A1FAD"/>
    <w:rsid w:val="005B2110"/>
    <w:rsid w:val="005B61E6"/>
    <w:rsid w:val="005C0469"/>
    <w:rsid w:val="005C77E1"/>
    <w:rsid w:val="005D3036"/>
    <w:rsid w:val="005D668A"/>
    <w:rsid w:val="005D6A2F"/>
    <w:rsid w:val="005D7035"/>
    <w:rsid w:val="005E083C"/>
    <w:rsid w:val="005E1A82"/>
    <w:rsid w:val="005E1C78"/>
    <w:rsid w:val="005E6D1D"/>
    <w:rsid w:val="005E794C"/>
    <w:rsid w:val="005E79C9"/>
    <w:rsid w:val="005F0A28"/>
    <w:rsid w:val="005F0E5E"/>
    <w:rsid w:val="00600535"/>
    <w:rsid w:val="00605748"/>
    <w:rsid w:val="006074D3"/>
    <w:rsid w:val="00610CD6"/>
    <w:rsid w:val="006114F4"/>
    <w:rsid w:val="0061297D"/>
    <w:rsid w:val="00620DEE"/>
    <w:rsid w:val="00621F92"/>
    <w:rsid w:val="0062280A"/>
    <w:rsid w:val="0062298C"/>
    <w:rsid w:val="0062473D"/>
    <w:rsid w:val="00624F6E"/>
    <w:rsid w:val="00625639"/>
    <w:rsid w:val="0062792C"/>
    <w:rsid w:val="00631B33"/>
    <w:rsid w:val="0064184D"/>
    <w:rsid w:val="006422CC"/>
    <w:rsid w:val="00647C92"/>
    <w:rsid w:val="00660E3E"/>
    <w:rsid w:val="00662E74"/>
    <w:rsid w:val="00666574"/>
    <w:rsid w:val="006731F6"/>
    <w:rsid w:val="0067468F"/>
    <w:rsid w:val="00677EDD"/>
    <w:rsid w:val="00680C23"/>
    <w:rsid w:val="00693496"/>
    <w:rsid w:val="00693766"/>
    <w:rsid w:val="006A3281"/>
    <w:rsid w:val="006A3F15"/>
    <w:rsid w:val="006B165C"/>
    <w:rsid w:val="006B4888"/>
    <w:rsid w:val="006C2E45"/>
    <w:rsid w:val="006C359C"/>
    <w:rsid w:val="006C5579"/>
    <w:rsid w:val="006D1CFE"/>
    <w:rsid w:val="006D6E8B"/>
    <w:rsid w:val="006E00DB"/>
    <w:rsid w:val="006E3204"/>
    <w:rsid w:val="006E44FE"/>
    <w:rsid w:val="006E64E1"/>
    <w:rsid w:val="006E737D"/>
    <w:rsid w:val="00701908"/>
    <w:rsid w:val="00701B1F"/>
    <w:rsid w:val="007127AA"/>
    <w:rsid w:val="00713973"/>
    <w:rsid w:val="00713B98"/>
    <w:rsid w:val="0071621F"/>
    <w:rsid w:val="00720A24"/>
    <w:rsid w:val="00724E03"/>
    <w:rsid w:val="00725A50"/>
    <w:rsid w:val="0073063F"/>
    <w:rsid w:val="00732386"/>
    <w:rsid w:val="0073514D"/>
    <w:rsid w:val="007445F3"/>
    <w:rsid w:val="007447F3"/>
    <w:rsid w:val="00744BCC"/>
    <w:rsid w:val="0075499F"/>
    <w:rsid w:val="007622DC"/>
    <w:rsid w:val="007661C8"/>
    <w:rsid w:val="0077098D"/>
    <w:rsid w:val="00775DE1"/>
    <w:rsid w:val="00777AD0"/>
    <w:rsid w:val="00781A11"/>
    <w:rsid w:val="00782529"/>
    <w:rsid w:val="0079303F"/>
    <w:rsid w:val="007931FA"/>
    <w:rsid w:val="0079747D"/>
    <w:rsid w:val="007A0AEB"/>
    <w:rsid w:val="007A4861"/>
    <w:rsid w:val="007A7BBA"/>
    <w:rsid w:val="007A7C34"/>
    <w:rsid w:val="007B0754"/>
    <w:rsid w:val="007B0C50"/>
    <w:rsid w:val="007B48F9"/>
    <w:rsid w:val="007C1A43"/>
    <w:rsid w:val="007C4E04"/>
    <w:rsid w:val="007D0951"/>
    <w:rsid w:val="007D2A8C"/>
    <w:rsid w:val="007D3202"/>
    <w:rsid w:val="007E143D"/>
    <w:rsid w:val="007F0FCD"/>
    <w:rsid w:val="007F6FFA"/>
    <w:rsid w:val="0080013E"/>
    <w:rsid w:val="00803B8A"/>
    <w:rsid w:val="00813288"/>
    <w:rsid w:val="008168FC"/>
    <w:rsid w:val="00820FAB"/>
    <w:rsid w:val="00822A64"/>
    <w:rsid w:val="00830996"/>
    <w:rsid w:val="0083400D"/>
    <w:rsid w:val="008345F1"/>
    <w:rsid w:val="00836268"/>
    <w:rsid w:val="008417A4"/>
    <w:rsid w:val="008451BF"/>
    <w:rsid w:val="00847E9A"/>
    <w:rsid w:val="008538EE"/>
    <w:rsid w:val="008539DA"/>
    <w:rsid w:val="00865B07"/>
    <w:rsid w:val="008667EA"/>
    <w:rsid w:val="008721F2"/>
    <w:rsid w:val="0087389D"/>
    <w:rsid w:val="0087451E"/>
    <w:rsid w:val="0087637F"/>
    <w:rsid w:val="0088179F"/>
    <w:rsid w:val="00892AD5"/>
    <w:rsid w:val="008A1512"/>
    <w:rsid w:val="008A2373"/>
    <w:rsid w:val="008A71FE"/>
    <w:rsid w:val="008B06DF"/>
    <w:rsid w:val="008B3597"/>
    <w:rsid w:val="008B3D2F"/>
    <w:rsid w:val="008B3D9E"/>
    <w:rsid w:val="008B644C"/>
    <w:rsid w:val="008B68C8"/>
    <w:rsid w:val="008B6F2F"/>
    <w:rsid w:val="008C23C8"/>
    <w:rsid w:val="008D063A"/>
    <w:rsid w:val="008D32B9"/>
    <w:rsid w:val="008D433B"/>
    <w:rsid w:val="008D4A16"/>
    <w:rsid w:val="008D7DBB"/>
    <w:rsid w:val="008E4426"/>
    <w:rsid w:val="008E566E"/>
    <w:rsid w:val="008F492F"/>
    <w:rsid w:val="0090161A"/>
    <w:rsid w:val="00901EB6"/>
    <w:rsid w:val="00903087"/>
    <w:rsid w:val="00904578"/>
    <w:rsid w:val="00904C62"/>
    <w:rsid w:val="0090681E"/>
    <w:rsid w:val="00922BA8"/>
    <w:rsid w:val="00924DAC"/>
    <w:rsid w:val="00927058"/>
    <w:rsid w:val="00931251"/>
    <w:rsid w:val="009405C8"/>
    <w:rsid w:val="00942750"/>
    <w:rsid w:val="009450CE"/>
    <w:rsid w:val="009459BB"/>
    <w:rsid w:val="00947179"/>
    <w:rsid w:val="0095164B"/>
    <w:rsid w:val="00954090"/>
    <w:rsid w:val="009573E7"/>
    <w:rsid w:val="00963D53"/>
    <w:rsid w:val="00963E05"/>
    <w:rsid w:val="00964A45"/>
    <w:rsid w:val="00964CD9"/>
    <w:rsid w:val="00967843"/>
    <w:rsid w:val="00967D54"/>
    <w:rsid w:val="00971028"/>
    <w:rsid w:val="009751A5"/>
    <w:rsid w:val="00976EAA"/>
    <w:rsid w:val="009833DD"/>
    <w:rsid w:val="009860D1"/>
    <w:rsid w:val="00987327"/>
    <w:rsid w:val="00993B84"/>
    <w:rsid w:val="00996483"/>
    <w:rsid w:val="00996F5A"/>
    <w:rsid w:val="009A12EB"/>
    <w:rsid w:val="009B041A"/>
    <w:rsid w:val="009B0D52"/>
    <w:rsid w:val="009B3C9E"/>
    <w:rsid w:val="009C2E90"/>
    <w:rsid w:val="009C37C3"/>
    <w:rsid w:val="009C7625"/>
    <w:rsid w:val="009C7C86"/>
    <w:rsid w:val="009D2FF7"/>
    <w:rsid w:val="009E517B"/>
    <w:rsid w:val="009E61F4"/>
    <w:rsid w:val="009E7884"/>
    <w:rsid w:val="009E788A"/>
    <w:rsid w:val="009F0E08"/>
    <w:rsid w:val="009F1237"/>
    <w:rsid w:val="009F263B"/>
    <w:rsid w:val="009F4155"/>
    <w:rsid w:val="009F418C"/>
    <w:rsid w:val="009F41C8"/>
    <w:rsid w:val="009F4650"/>
    <w:rsid w:val="00A11BBE"/>
    <w:rsid w:val="00A1357F"/>
    <w:rsid w:val="00A16E04"/>
    <w:rsid w:val="00A1763D"/>
    <w:rsid w:val="00A17CEC"/>
    <w:rsid w:val="00A22308"/>
    <w:rsid w:val="00A27AB8"/>
    <w:rsid w:val="00A27EF0"/>
    <w:rsid w:val="00A32A85"/>
    <w:rsid w:val="00A42361"/>
    <w:rsid w:val="00A44A49"/>
    <w:rsid w:val="00A50B20"/>
    <w:rsid w:val="00A51390"/>
    <w:rsid w:val="00A55401"/>
    <w:rsid w:val="00A60D13"/>
    <w:rsid w:val="00A64E35"/>
    <w:rsid w:val="00A7223D"/>
    <w:rsid w:val="00A72745"/>
    <w:rsid w:val="00A76EFC"/>
    <w:rsid w:val="00A81F7B"/>
    <w:rsid w:val="00A82E52"/>
    <w:rsid w:val="00A87D50"/>
    <w:rsid w:val="00A91010"/>
    <w:rsid w:val="00A9622A"/>
    <w:rsid w:val="00A97CD7"/>
    <w:rsid w:val="00A97F29"/>
    <w:rsid w:val="00AA53B5"/>
    <w:rsid w:val="00AA66A7"/>
    <w:rsid w:val="00AA702E"/>
    <w:rsid w:val="00AA7D26"/>
    <w:rsid w:val="00AB0964"/>
    <w:rsid w:val="00AB4440"/>
    <w:rsid w:val="00AB5011"/>
    <w:rsid w:val="00AC0A60"/>
    <w:rsid w:val="00AC2179"/>
    <w:rsid w:val="00AC6D33"/>
    <w:rsid w:val="00AC7368"/>
    <w:rsid w:val="00AC7AE9"/>
    <w:rsid w:val="00AD16B9"/>
    <w:rsid w:val="00AE3644"/>
    <w:rsid w:val="00AE377D"/>
    <w:rsid w:val="00AF092E"/>
    <w:rsid w:val="00AF0EBA"/>
    <w:rsid w:val="00AF273C"/>
    <w:rsid w:val="00AF3936"/>
    <w:rsid w:val="00AF4D40"/>
    <w:rsid w:val="00AF7EC8"/>
    <w:rsid w:val="00B01625"/>
    <w:rsid w:val="00B02C8A"/>
    <w:rsid w:val="00B06F2E"/>
    <w:rsid w:val="00B151C8"/>
    <w:rsid w:val="00B17FBD"/>
    <w:rsid w:val="00B315A6"/>
    <w:rsid w:val="00B31813"/>
    <w:rsid w:val="00B33365"/>
    <w:rsid w:val="00B35FEB"/>
    <w:rsid w:val="00B41ECE"/>
    <w:rsid w:val="00B542AB"/>
    <w:rsid w:val="00B5527A"/>
    <w:rsid w:val="00B56411"/>
    <w:rsid w:val="00B57B36"/>
    <w:rsid w:val="00B57E6F"/>
    <w:rsid w:val="00B6382E"/>
    <w:rsid w:val="00B71872"/>
    <w:rsid w:val="00B8686D"/>
    <w:rsid w:val="00B93353"/>
    <w:rsid w:val="00B93F69"/>
    <w:rsid w:val="00BA072B"/>
    <w:rsid w:val="00BA2904"/>
    <w:rsid w:val="00BB1DDC"/>
    <w:rsid w:val="00BB6E34"/>
    <w:rsid w:val="00BC30C9"/>
    <w:rsid w:val="00BC57CC"/>
    <w:rsid w:val="00BD002C"/>
    <w:rsid w:val="00BD077D"/>
    <w:rsid w:val="00BD4800"/>
    <w:rsid w:val="00BE3E58"/>
    <w:rsid w:val="00BE5A78"/>
    <w:rsid w:val="00BF19AC"/>
    <w:rsid w:val="00BF1C78"/>
    <w:rsid w:val="00BF2AFF"/>
    <w:rsid w:val="00C01616"/>
    <w:rsid w:val="00C0162B"/>
    <w:rsid w:val="00C068ED"/>
    <w:rsid w:val="00C21509"/>
    <w:rsid w:val="00C22E0C"/>
    <w:rsid w:val="00C241A8"/>
    <w:rsid w:val="00C345B1"/>
    <w:rsid w:val="00C35D7B"/>
    <w:rsid w:val="00C40142"/>
    <w:rsid w:val="00C41C41"/>
    <w:rsid w:val="00C52C3C"/>
    <w:rsid w:val="00C54FF5"/>
    <w:rsid w:val="00C57182"/>
    <w:rsid w:val="00C57863"/>
    <w:rsid w:val="00C620D4"/>
    <w:rsid w:val="00C640AF"/>
    <w:rsid w:val="00C655FD"/>
    <w:rsid w:val="00C6676B"/>
    <w:rsid w:val="00C70829"/>
    <w:rsid w:val="00C74203"/>
    <w:rsid w:val="00C74D50"/>
    <w:rsid w:val="00C75407"/>
    <w:rsid w:val="00C85FD7"/>
    <w:rsid w:val="00C86F54"/>
    <w:rsid w:val="00C870A8"/>
    <w:rsid w:val="00C940DA"/>
    <w:rsid w:val="00C94434"/>
    <w:rsid w:val="00C97B43"/>
    <w:rsid w:val="00CA0D75"/>
    <w:rsid w:val="00CA1C95"/>
    <w:rsid w:val="00CA5A9C"/>
    <w:rsid w:val="00CB4652"/>
    <w:rsid w:val="00CC0308"/>
    <w:rsid w:val="00CC4C20"/>
    <w:rsid w:val="00CC7D68"/>
    <w:rsid w:val="00CD2B4B"/>
    <w:rsid w:val="00CD3517"/>
    <w:rsid w:val="00CD567A"/>
    <w:rsid w:val="00CD5FE2"/>
    <w:rsid w:val="00CE3915"/>
    <w:rsid w:val="00CE7C68"/>
    <w:rsid w:val="00D01480"/>
    <w:rsid w:val="00D02B4C"/>
    <w:rsid w:val="00D03BE6"/>
    <w:rsid w:val="00D040C4"/>
    <w:rsid w:val="00D12F09"/>
    <w:rsid w:val="00D20AD1"/>
    <w:rsid w:val="00D21125"/>
    <w:rsid w:val="00D349C4"/>
    <w:rsid w:val="00D35BCB"/>
    <w:rsid w:val="00D37622"/>
    <w:rsid w:val="00D40E84"/>
    <w:rsid w:val="00D43FC3"/>
    <w:rsid w:val="00D46B7E"/>
    <w:rsid w:val="00D52D71"/>
    <w:rsid w:val="00D5720A"/>
    <w:rsid w:val="00D57C84"/>
    <w:rsid w:val="00D6057D"/>
    <w:rsid w:val="00D60B3C"/>
    <w:rsid w:val="00D705A0"/>
    <w:rsid w:val="00D71640"/>
    <w:rsid w:val="00D836C5"/>
    <w:rsid w:val="00D84576"/>
    <w:rsid w:val="00DA1399"/>
    <w:rsid w:val="00DA24C6"/>
    <w:rsid w:val="00DA426E"/>
    <w:rsid w:val="00DA4D7B"/>
    <w:rsid w:val="00DC03DE"/>
    <w:rsid w:val="00DC1CBA"/>
    <w:rsid w:val="00DC7013"/>
    <w:rsid w:val="00DD271C"/>
    <w:rsid w:val="00DD2CE3"/>
    <w:rsid w:val="00DE21F3"/>
    <w:rsid w:val="00DE264A"/>
    <w:rsid w:val="00DE724B"/>
    <w:rsid w:val="00DF5072"/>
    <w:rsid w:val="00E0116D"/>
    <w:rsid w:val="00E02D18"/>
    <w:rsid w:val="00E041E7"/>
    <w:rsid w:val="00E23CA1"/>
    <w:rsid w:val="00E35B5D"/>
    <w:rsid w:val="00E3631A"/>
    <w:rsid w:val="00E37589"/>
    <w:rsid w:val="00E409A8"/>
    <w:rsid w:val="00E4413D"/>
    <w:rsid w:val="00E50C12"/>
    <w:rsid w:val="00E637DC"/>
    <w:rsid w:val="00E645F2"/>
    <w:rsid w:val="00E65B91"/>
    <w:rsid w:val="00E66F14"/>
    <w:rsid w:val="00E7209D"/>
    <w:rsid w:val="00E72EAD"/>
    <w:rsid w:val="00E77223"/>
    <w:rsid w:val="00E803E5"/>
    <w:rsid w:val="00E82E48"/>
    <w:rsid w:val="00E8528B"/>
    <w:rsid w:val="00E85B94"/>
    <w:rsid w:val="00E9232E"/>
    <w:rsid w:val="00E978D0"/>
    <w:rsid w:val="00EA3555"/>
    <w:rsid w:val="00EA4613"/>
    <w:rsid w:val="00EA7F91"/>
    <w:rsid w:val="00EB1523"/>
    <w:rsid w:val="00EB16BA"/>
    <w:rsid w:val="00EB320F"/>
    <w:rsid w:val="00EB5FCD"/>
    <w:rsid w:val="00EC0E49"/>
    <w:rsid w:val="00EC101F"/>
    <w:rsid w:val="00EC14C4"/>
    <w:rsid w:val="00EC15B3"/>
    <w:rsid w:val="00EC1B78"/>
    <w:rsid w:val="00EC1D9F"/>
    <w:rsid w:val="00EC61D5"/>
    <w:rsid w:val="00EC647E"/>
    <w:rsid w:val="00ED1B7A"/>
    <w:rsid w:val="00ED1C8E"/>
    <w:rsid w:val="00ED4D16"/>
    <w:rsid w:val="00ED7508"/>
    <w:rsid w:val="00ED7C0B"/>
    <w:rsid w:val="00EE0131"/>
    <w:rsid w:val="00EE0BF0"/>
    <w:rsid w:val="00EE17B0"/>
    <w:rsid w:val="00EF06D9"/>
    <w:rsid w:val="00EF48A3"/>
    <w:rsid w:val="00EF7399"/>
    <w:rsid w:val="00F043C3"/>
    <w:rsid w:val="00F3049E"/>
    <w:rsid w:val="00F30C64"/>
    <w:rsid w:val="00F31986"/>
    <w:rsid w:val="00F32BA2"/>
    <w:rsid w:val="00F32CDB"/>
    <w:rsid w:val="00F36F30"/>
    <w:rsid w:val="00F37D24"/>
    <w:rsid w:val="00F4400D"/>
    <w:rsid w:val="00F565FE"/>
    <w:rsid w:val="00F63A70"/>
    <w:rsid w:val="00F63D8C"/>
    <w:rsid w:val="00F6482F"/>
    <w:rsid w:val="00F7289E"/>
    <w:rsid w:val="00F738F2"/>
    <w:rsid w:val="00F7534E"/>
    <w:rsid w:val="00F76227"/>
    <w:rsid w:val="00F77CB0"/>
    <w:rsid w:val="00F83AA3"/>
    <w:rsid w:val="00F911C0"/>
    <w:rsid w:val="00F93EDF"/>
    <w:rsid w:val="00FA1449"/>
    <w:rsid w:val="00FA1802"/>
    <w:rsid w:val="00FA21D0"/>
    <w:rsid w:val="00FA5F5F"/>
    <w:rsid w:val="00FA6E7D"/>
    <w:rsid w:val="00FA73C2"/>
    <w:rsid w:val="00FB730C"/>
    <w:rsid w:val="00FC2695"/>
    <w:rsid w:val="00FC3E03"/>
    <w:rsid w:val="00FC3FC1"/>
    <w:rsid w:val="00FC6052"/>
    <w:rsid w:val="00FC683A"/>
    <w:rsid w:val="00FD2000"/>
    <w:rsid w:val="00FE4167"/>
    <w:rsid w:val="00FF1264"/>
    <w:rsid w:val="00FF5C4F"/>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3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paragraph" w:customStyle="1" w:styleId="CHISA">
    <w:name w:val="CHISA"/>
    <w:rsid w:val="00E3631A"/>
    <w:pPr>
      <w:spacing w:after="0" w:line="240" w:lineRule="auto"/>
    </w:pPr>
    <w:rPr>
      <w:rFonts w:ascii="Arial" w:eastAsia="Times New Roman" w:hAnsi="Arial" w:cs="Arial"/>
      <w:szCs w:val="20"/>
      <w:lang w:val="en-GB"/>
    </w:rPr>
  </w:style>
  <w:style w:type="character" w:customStyle="1" w:styleId="Feloldatlanmegemlts1">
    <w:name w:val="Feloldatlan megemlítés1"/>
    <w:basedOn w:val="Carpredefinitoparagrafo"/>
    <w:uiPriority w:val="99"/>
    <w:semiHidden/>
    <w:unhideWhenUsed/>
    <w:rsid w:val="00D5720A"/>
    <w:rPr>
      <w:color w:val="605E5C"/>
      <w:shd w:val="clear" w:color="auto" w:fill="E1DFDD"/>
    </w:rPr>
  </w:style>
  <w:style w:type="paragraph" w:styleId="Revisione">
    <w:name w:val="Revision"/>
    <w:hidden/>
    <w:uiPriority w:val="99"/>
    <w:semiHidden/>
    <w:rsid w:val="005620CA"/>
    <w:pPr>
      <w:spacing w:after="0" w:line="240" w:lineRule="auto"/>
    </w:pPr>
    <w:rPr>
      <w:rFonts w:ascii="Arial" w:eastAsia="Times New Roman" w:hAnsi="Arial" w:cs="Times New Roman"/>
      <w:sz w:val="18"/>
      <w:szCs w:val="20"/>
      <w:lang w:val="en-GB"/>
    </w:rPr>
  </w:style>
  <w:style w:type="character" w:styleId="Collegamentovisitato">
    <w:name w:val="FollowedHyperlink"/>
    <w:basedOn w:val="Carpredefinitoparagrafo"/>
    <w:uiPriority w:val="99"/>
    <w:semiHidden/>
    <w:unhideWhenUsed/>
    <w:rsid w:val="00E9232E"/>
    <w:rPr>
      <w:color w:val="800080" w:themeColor="followedHyperlink"/>
      <w:u w:val="single"/>
    </w:rPr>
  </w:style>
  <w:style w:type="character" w:customStyle="1" w:styleId="Feloldatlanmegemlts2">
    <w:name w:val="Feloldatlan megemlítés2"/>
    <w:basedOn w:val="Carpredefinitoparagrafo"/>
    <w:uiPriority w:val="99"/>
    <w:semiHidden/>
    <w:unhideWhenUsed/>
    <w:rsid w:val="00352795"/>
    <w:rPr>
      <w:color w:val="605E5C"/>
      <w:shd w:val="clear" w:color="auto" w:fill="E1DFDD"/>
    </w:rPr>
  </w:style>
  <w:style w:type="character" w:customStyle="1" w:styleId="Feloldatlanmegemlts3">
    <w:name w:val="Feloldatlan megemlítés3"/>
    <w:basedOn w:val="Carpredefinitoparagrafo"/>
    <w:uiPriority w:val="99"/>
    <w:semiHidden/>
    <w:unhideWhenUsed/>
    <w:rsid w:val="00820F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4982375">
      <w:bodyDiv w:val="1"/>
      <w:marLeft w:val="0"/>
      <w:marRight w:val="0"/>
      <w:marTop w:val="0"/>
      <w:marBottom w:val="0"/>
      <w:divBdr>
        <w:top w:val="none" w:sz="0" w:space="0" w:color="auto"/>
        <w:left w:val="none" w:sz="0" w:space="0" w:color="auto"/>
        <w:bottom w:val="none" w:sz="0" w:space="0" w:color="auto"/>
        <w:right w:val="none" w:sz="0" w:space="0" w:color="auto"/>
      </w:divBdr>
    </w:div>
    <w:div w:id="633759227">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620144">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3807694">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251269">
      <w:bodyDiv w:val="1"/>
      <w:marLeft w:val="0"/>
      <w:marRight w:val="0"/>
      <w:marTop w:val="0"/>
      <w:marBottom w:val="0"/>
      <w:divBdr>
        <w:top w:val="none" w:sz="0" w:space="0" w:color="auto"/>
        <w:left w:val="none" w:sz="0" w:space="0" w:color="auto"/>
        <w:bottom w:val="none" w:sz="0" w:space="0" w:color="auto"/>
        <w:right w:val="none" w:sz="0" w:space="0" w:color="auto"/>
      </w:divBdr>
    </w:div>
    <w:div w:id="1344740757">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3697882">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459874">
      <w:bodyDiv w:val="1"/>
      <w:marLeft w:val="0"/>
      <w:marRight w:val="0"/>
      <w:marTop w:val="0"/>
      <w:marBottom w:val="0"/>
      <w:divBdr>
        <w:top w:val="none" w:sz="0" w:space="0" w:color="auto"/>
        <w:left w:val="none" w:sz="0" w:space="0" w:color="auto"/>
        <w:bottom w:val="none" w:sz="0" w:space="0" w:color="auto"/>
        <w:right w:val="none" w:sz="0" w:space="0" w:color="auto"/>
      </w:divBdr>
    </w:div>
    <w:div w:id="2038312451">
      <w:bodyDiv w:val="1"/>
      <w:marLeft w:val="0"/>
      <w:marRight w:val="0"/>
      <w:marTop w:val="0"/>
      <w:marBottom w:val="0"/>
      <w:divBdr>
        <w:top w:val="none" w:sz="0" w:space="0" w:color="auto"/>
        <w:left w:val="none" w:sz="0" w:space="0" w:color="auto"/>
        <w:bottom w:val="none" w:sz="0" w:space="0" w:color="auto"/>
        <w:right w:val="none" w:sz="0" w:space="0" w:color="auto"/>
      </w:divBdr>
    </w:div>
    <w:div w:id="2102145084">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sv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sv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hyperlink" Target="mailto:zsinka.viktoria@mk.uni-pannon.hu" TargetMode="External"/><Relationship Id="rId19" Type="http://schemas.openxmlformats.org/officeDocument/2006/relationships/image" Target="media/image11.sv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EF67B7-1E11-4EA3-B436-7E61957DD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3135</TotalTime>
  <Pages>1</Pages>
  <Words>3107</Words>
  <Characters>17711</Characters>
  <Application>Microsoft Office Word</Application>
  <DocSecurity>0</DocSecurity>
  <Lines>147</Lines>
  <Paragraphs>41</Paragraphs>
  <ScaleCrop>false</ScaleCrop>
  <HeadingPairs>
    <vt:vector size="6" baseType="variant">
      <vt:variant>
        <vt:lpstr>Cím</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Company>Dipartimento CMIC - Politecnico di Milano</Company>
  <LinksUpToDate>false</LinksUpToDate>
  <CharactersWithSpaces>20777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Gaia Alessandra</cp:lastModifiedBy>
  <cp:revision>50</cp:revision>
  <cp:lastPrinted>2015-05-12T18:31:00Z</cp:lastPrinted>
  <dcterms:created xsi:type="dcterms:W3CDTF">2024-12-23T18:08:00Z</dcterms:created>
  <dcterms:modified xsi:type="dcterms:W3CDTF">2025-05-10T13:32:00Z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