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6E7F870D">
        <w:trPr>
          <w:trHeight w:val="852"/>
          <w:jc w:val="center"/>
        </w:trPr>
        <w:tc>
          <w:tcPr>
            <w:tcW w:w="6946" w:type="dxa"/>
            <w:vMerge w:val="restart"/>
            <w:tcBorders>
              <w:right w:val="single" w:sz="4" w:space="0" w:color="auto"/>
            </w:tcBorders>
          </w:tcPr>
          <w:p w14:paraId="38C3D2BA" w14:textId="77777777" w:rsidR="000A03B2" w:rsidRPr="00B57B36" w:rsidRDefault="07BA7482" w:rsidP="00C60750">
            <w:pPr>
              <w:rPr>
                <w:rFonts w:cs="Arial"/>
                <w:b/>
                <w:bCs/>
                <w:i/>
                <w:iCs/>
                <w:color w:val="000066"/>
                <w:sz w:val="12"/>
                <w:szCs w:val="12"/>
                <w:lang w:eastAsia="it-IT"/>
              </w:rPr>
            </w:pPr>
            <w:bookmarkStart w:id="0" w:name="_Hlk145068772"/>
            <w:r>
              <w:rPr>
                <w:noProof/>
                <w:lang w:val="pt-BR" w:eastAsia="pt-BR"/>
              </w:rPr>
              <w:drawing>
                <wp:inline distT="0" distB="0" distL="0" distR="0" wp14:anchorId="02B7C3D3" wp14:editId="425C6EDB">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pic:nvPicPr>
                        <pic:blipFill>
                          <a:blip r:embed="rId8">
                            <a:extLst>
                              <a:ext uri="{28A0092B-C50C-407E-A947-70E740481C1C}">
                                <a14:useLocalDpi xmlns:a14="http://schemas.microsoft.com/office/drawing/2010/main" val="0"/>
                              </a:ext>
                            </a:extLst>
                          </a:blip>
                          <a:stretch>
                            <a:fillRect/>
                          </a:stretch>
                        </pic:blipFill>
                        <pic:spPr>
                          <a:xfrm>
                            <a:off x="0" y="0"/>
                            <a:ext cx="640080" cy="373380"/>
                          </a:xfrm>
                          <a:prstGeom prst="rect">
                            <a:avLst/>
                          </a:prstGeom>
                        </pic:spPr>
                      </pic:pic>
                    </a:graphicData>
                  </a:graphic>
                </wp:inline>
              </w:drawing>
            </w:r>
            <w:r w:rsidRPr="59739B99">
              <w:rPr>
                <w:rFonts w:ascii="AdvP6960" w:hAnsi="AdvP6960" w:cs="AdvP6960"/>
                <w:color w:val="241F20"/>
                <w:lang w:eastAsia="it-IT"/>
              </w:rPr>
              <w:t xml:space="preserve"> </w:t>
            </w:r>
            <w:r w:rsidRPr="59739B99">
              <w:rPr>
                <w:rFonts w:cs="Arial"/>
                <w:b/>
                <w:bCs/>
                <w:i/>
                <w:iCs/>
                <w:color w:val="000066"/>
                <w:sz w:val="24"/>
                <w:szCs w:val="24"/>
                <w:lang w:eastAsia="it-IT"/>
              </w:rPr>
              <w:t>CHEMICAL ENGINEERING</w:t>
            </w:r>
            <w:r w:rsidRPr="59739B99">
              <w:rPr>
                <w:rFonts w:cs="Arial"/>
                <w:b/>
                <w:bCs/>
                <w:i/>
                <w:iCs/>
                <w:color w:val="0033FF"/>
                <w:sz w:val="24"/>
                <w:szCs w:val="24"/>
                <w:lang w:eastAsia="it-IT"/>
              </w:rPr>
              <w:t xml:space="preserve"> </w:t>
            </w:r>
            <w:r w:rsidRPr="59739B99">
              <w:rPr>
                <w:rFonts w:cs="Arial"/>
                <w:b/>
                <w:bCs/>
                <w:i/>
                <w:iCs/>
                <w:color w:val="666666"/>
                <w:sz w:val="24"/>
                <w:szCs w:val="24"/>
                <w:lang w:eastAsia="it-IT"/>
              </w:rPr>
              <w:t>TRANSACTIONS</w:t>
            </w:r>
            <w:r w:rsidRPr="59739B99">
              <w:rPr>
                <w:color w:val="333333"/>
                <w:sz w:val="24"/>
                <w:szCs w:val="24"/>
                <w:lang w:eastAsia="it-IT"/>
              </w:rPr>
              <w:t xml:space="preserve"> </w:t>
            </w:r>
            <w:r w:rsidR="000A03B2">
              <w:br/>
            </w:r>
          </w:p>
          <w:p w14:paraId="4B780582" w14:textId="47EF826C"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994C6A">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994C6A">
              <w:rPr>
                <w:rFonts w:cs="Arial"/>
                <w:b/>
                <w:bCs/>
                <w:i/>
                <w:iCs/>
                <w:color w:val="000066"/>
                <w:sz w:val="22"/>
                <w:szCs w:val="22"/>
                <w:lang w:eastAsia="it-IT"/>
              </w:rPr>
              <w:t>5</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pt-BR" w:eastAsia="pt-BR"/>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6E7F870D">
        <w:trPr>
          <w:trHeight w:val="567"/>
          <w:jc w:val="center"/>
        </w:trPr>
        <w:tc>
          <w:tcPr>
            <w:tcW w:w="6946" w:type="dxa"/>
            <w:vMerge/>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6E7F870D">
        <w:trPr>
          <w:trHeight w:val="68"/>
          <w:jc w:val="center"/>
        </w:trPr>
        <w:tc>
          <w:tcPr>
            <w:tcW w:w="8789" w:type="dxa"/>
            <w:gridSpan w:val="2"/>
          </w:tcPr>
          <w:p w14:paraId="1D8DD3C9" w14:textId="025D7B18" w:rsidR="00AA7D26" w:rsidRPr="007D610D" w:rsidRDefault="00AA7D26" w:rsidP="007D610D">
            <w:pPr>
              <w:ind w:left="-107"/>
              <w:outlineLvl w:val="2"/>
              <w:rPr>
                <w:rFonts w:ascii="Tahoma" w:hAnsi="Tahoma" w:cs="Tahoma"/>
                <w:color w:val="000000"/>
                <w:sz w:val="14"/>
                <w:szCs w:val="14"/>
                <w:shd w:val="clear" w:color="auto" w:fill="FFFFFF"/>
                <w:lang w:val="it-IT"/>
              </w:rPr>
            </w:pPr>
            <w:r w:rsidRPr="007D610D">
              <w:rPr>
                <w:rFonts w:ascii="Tahoma" w:hAnsi="Tahoma" w:cs="Tahoma"/>
                <w:iCs/>
                <w:color w:val="333333"/>
                <w:sz w:val="14"/>
                <w:szCs w:val="14"/>
                <w:lang w:val="it-IT" w:eastAsia="it-IT"/>
              </w:rPr>
              <w:t>Guest Editors:</w:t>
            </w:r>
            <w:r w:rsidR="007D610D" w:rsidRPr="007D610D">
              <w:rPr>
                <w:rFonts w:ascii="Aptos" w:eastAsiaTheme="minorHAnsi" w:hAnsi="Aptos" w:cs="Aptos"/>
                <w:sz w:val="22"/>
                <w:szCs w:val="22"/>
                <w:lang w:val="it-IT"/>
                <w14:ligatures w14:val="standardContextual"/>
              </w:rPr>
              <w:t xml:space="preserve"> </w:t>
            </w:r>
            <w:r w:rsidR="007D610D" w:rsidRPr="007D610D">
              <w:rPr>
                <w:rFonts w:ascii="Tahoma" w:hAnsi="Tahoma" w:cs="Tahoma"/>
                <w:color w:val="000000"/>
                <w:sz w:val="14"/>
                <w:szCs w:val="14"/>
                <w:shd w:val="clear" w:color="auto" w:fill="FFFFFF"/>
                <w:lang w:val="it-IT"/>
              </w:rPr>
              <w:t xml:space="preserve">Fabrizio Bezzo, </w:t>
            </w:r>
            <w:r w:rsidR="001D3D32">
              <w:rPr>
                <w:rFonts w:ascii="Tahoma" w:hAnsi="Tahoma" w:cs="Tahoma"/>
                <w:color w:val="000000"/>
                <w:sz w:val="14"/>
                <w:szCs w:val="14"/>
                <w:shd w:val="clear" w:color="auto" w:fill="FFFFFF"/>
                <w:lang w:val="it-IT"/>
              </w:rPr>
              <w:t>Flavio Manenti</w:t>
            </w:r>
            <w:r w:rsidR="00304CE8">
              <w:rPr>
                <w:rFonts w:ascii="Tahoma" w:hAnsi="Tahoma" w:cs="Tahoma"/>
                <w:color w:val="000000"/>
                <w:sz w:val="14"/>
                <w:szCs w:val="14"/>
                <w:shd w:val="clear" w:color="auto" w:fill="FFFFFF"/>
                <w:lang w:val="it-IT"/>
              </w:rPr>
              <w:t>,</w:t>
            </w:r>
            <w:r w:rsidR="001D3D32">
              <w:rPr>
                <w:rFonts w:ascii="Tahoma" w:hAnsi="Tahoma" w:cs="Tahoma"/>
                <w:color w:val="000000"/>
                <w:sz w:val="14"/>
                <w:szCs w:val="14"/>
                <w:shd w:val="clear" w:color="auto" w:fill="FFFFFF"/>
                <w:lang w:val="it-IT"/>
              </w:rPr>
              <w:t xml:space="preserve"> </w:t>
            </w:r>
            <w:r w:rsidR="007D610D" w:rsidRPr="007D610D">
              <w:rPr>
                <w:rFonts w:ascii="Tahoma" w:hAnsi="Tahoma" w:cs="Tahoma"/>
                <w:color w:val="000000"/>
                <w:sz w:val="14"/>
                <w:szCs w:val="14"/>
                <w:shd w:val="clear" w:color="auto" w:fill="FFFFFF"/>
                <w:lang w:val="it-IT"/>
              </w:rPr>
              <w:t>Gabriele Pannocchia, Almerinda di Benedetto</w:t>
            </w:r>
          </w:p>
          <w:p w14:paraId="1B0F1814" w14:textId="7C54DC3A" w:rsidR="000A03B2" w:rsidRPr="00B57B36" w:rsidRDefault="2AC928F2" w:rsidP="6E7F870D">
            <w:pPr>
              <w:spacing w:line="140" w:lineRule="atLeast"/>
              <w:ind w:left="-107"/>
              <w:jc w:val="left"/>
              <w:rPr>
                <w:rFonts w:ascii="Tahoma" w:hAnsi="Tahoma" w:cs="Tahoma"/>
                <w:color w:val="333333"/>
                <w:sz w:val="14"/>
                <w:szCs w:val="14"/>
                <w:lang w:eastAsia="it-IT"/>
              </w:rPr>
            </w:pPr>
            <w:r w:rsidRPr="6E7F870D">
              <w:rPr>
                <w:rFonts w:ascii="Tahoma" w:hAnsi="Tahoma" w:cs="Tahoma"/>
                <w:color w:val="333333"/>
                <w:sz w:val="14"/>
                <w:szCs w:val="14"/>
                <w:lang w:eastAsia="it-IT"/>
              </w:rPr>
              <w:t>Copyright © 202</w:t>
            </w:r>
            <w:r w:rsidR="534701C8" w:rsidRPr="6E7F870D">
              <w:rPr>
                <w:rFonts w:ascii="Tahoma" w:hAnsi="Tahoma" w:cs="Tahoma"/>
                <w:color w:val="333333"/>
                <w:sz w:val="14"/>
                <w:szCs w:val="14"/>
                <w:lang w:eastAsia="it-IT"/>
              </w:rPr>
              <w:t>5</w:t>
            </w:r>
            <w:r w:rsidRPr="6E7F870D">
              <w:rPr>
                <w:rFonts w:ascii="Tahoma" w:hAnsi="Tahoma" w:cs="Tahoma"/>
                <w:color w:val="333333"/>
                <w:sz w:val="14"/>
                <w:szCs w:val="14"/>
                <w:lang w:eastAsia="it-IT"/>
              </w:rPr>
              <w:t>, AIDIC Servizi S.r.l.</w:t>
            </w:r>
            <w:r w:rsidR="00AA7D26">
              <w:br/>
            </w:r>
            <w:r w:rsidRPr="6E7F870D">
              <w:rPr>
                <w:rFonts w:ascii="Tahoma" w:hAnsi="Tahoma" w:cs="Tahoma"/>
                <w:b/>
                <w:bCs/>
                <w:color w:val="000000" w:themeColor="text1"/>
                <w:sz w:val="14"/>
                <w:szCs w:val="14"/>
                <w:lang w:eastAsia="it-IT"/>
              </w:rPr>
              <w:t>ISBN</w:t>
            </w:r>
            <w:r w:rsidRPr="6E7F870D">
              <w:rPr>
                <w:rFonts w:ascii="Tahoma" w:hAnsi="Tahoma" w:cs="Tahoma"/>
                <w:color w:val="000000" w:themeColor="text1"/>
                <w:sz w:val="14"/>
                <w:szCs w:val="14"/>
                <w:lang w:eastAsia="it-IT"/>
              </w:rPr>
              <w:t xml:space="preserve"> </w:t>
            </w:r>
            <w:r w:rsidR="3C08D204" w:rsidRPr="6E7F870D">
              <w:rPr>
                <w:rFonts w:ascii="Tahoma" w:hAnsi="Tahoma" w:cs="Tahoma"/>
                <w:sz w:val="14"/>
                <w:szCs w:val="14"/>
              </w:rPr>
              <w:t>979-12-81206-1</w:t>
            </w:r>
            <w:r w:rsidR="534701C8" w:rsidRPr="6E7F870D">
              <w:rPr>
                <w:rFonts w:ascii="Tahoma" w:hAnsi="Tahoma" w:cs="Tahoma"/>
                <w:sz w:val="14"/>
                <w:szCs w:val="14"/>
              </w:rPr>
              <w:t>7</w:t>
            </w:r>
            <w:r w:rsidR="3C08D204" w:rsidRPr="6E7F870D">
              <w:rPr>
                <w:rFonts w:ascii="Tahoma" w:hAnsi="Tahoma" w:cs="Tahoma"/>
                <w:sz w:val="14"/>
                <w:szCs w:val="14"/>
              </w:rPr>
              <w:t>-</w:t>
            </w:r>
            <w:r w:rsidR="534701C8" w:rsidRPr="6E7F870D">
              <w:rPr>
                <w:rFonts w:ascii="Tahoma" w:hAnsi="Tahoma" w:cs="Tahoma"/>
                <w:sz w:val="14"/>
                <w:szCs w:val="14"/>
              </w:rPr>
              <w:t>5</w:t>
            </w:r>
            <w:r w:rsidRPr="6E7F870D">
              <w:rPr>
                <w:rFonts w:ascii="Tahoma" w:hAnsi="Tahoma" w:cs="Tahoma"/>
                <w:color w:val="333333"/>
                <w:sz w:val="14"/>
                <w:szCs w:val="14"/>
                <w:lang w:eastAsia="it-IT"/>
              </w:rPr>
              <w:t xml:space="preserve">; </w:t>
            </w:r>
            <w:r w:rsidRPr="6E7F870D">
              <w:rPr>
                <w:rFonts w:ascii="Tahoma" w:hAnsi="Tahoma" w:cs="Tahoma"/>
                <w:b/>
                <w:bCs/>
                <w:color w:val="333333"/>
                <w:sz w:val="14"/>
                <w:szCs w:val="14"/>
                <w:lang w:eastAsia="it-IT"/>
              </w:rPr>
              <w:t>ISSN</w:t>
            </w:r>
            <w:r w:rsidRPr="6E7F870D">
              <w:rPr>
                <w:rFonts w:ascii="Tahoma" w:hAnsi="Tahoma" w:cs="Tahoma"/>
                <w:color w:val="333333"/>
                <w:sz w:val="14"/>
                <w:szCs w:val="14"/>
                <w:lang w:eastAsia="it-IT"/>
              </w:rPr>
              <w:t xml:space="preserve"> 2283-9216</w:t>
            </w:r>
            <w:bookmarkEnd w:id="0"/>
          </w:p>
        </w:tc>
      </w:tr>
    </w:tbl>
    <w:p w14:paraId="2E667253" w14:textId="24FFAB86" w:rsidR="00E978D0" w:rsidRPr="00B57B36" w:rsidRDefault="40D7734F" w:rsidP="6E7F870D">
      <w:pPr>
        <w:pStyle w:val="CETTitle"/>
        <w:rPr>
          <w:rFonts w:ascii="Calibri" w:eastAsia="Calibri" w:hAnsi="Calibri" w:cs="Calibri"/>
          <w:sz w:val="22"/>
          <w:szCs w:val="22"/>
        </w:rPr>
      </w:pPr>
      <w:r>
        <w:t xml:space="preserve">Predictive </w:t>
      </w:r>
      <w:r w:rsidR="5C99098D">
        <w:t xml:space="preserve">Modeling </w:t>
      </w:r>
      <w:r w:rsidR="00D523A6">
        <w:t>of</w:t>
      </w:r>
      <w:r w:rsidR="5C99098D">
        <w:t xml:space="preserve"> Phenolic Adsorption </w:t>
      </w:r>
      <w:r w:rsidR="00D523A6">
        <w:t>from</w:t>
      </w:r>
      <w:r w:rsidR="5C99098D">
        <w:t xml:space="preserve"> Yerba Mate Extract </w:t>
      </w:r>
      <w:r w:rsidR="00D523A6">
        <w:t>on</w:t>
      </w:r>
      <w:r w:rsidR="5C99098D">
        <w:t xml:space="preserve"> Commercial Activated Carbon</w:t>
      </w:r>
    </w:p>
    <w:p w14:paraId="6B2D21B3" w14:textId="24B5B74A" w:rsidR="00B57E6F" w:rsidRPr="000E0993" w:rsidRDefault="758B19E3" w:rsidP="3B382773">
      <w:pPr>
        <w:pStyle w:val="CETAuthors"/>
        <w:rPr>
          <w:vertAlign w:val="superscript"/>
          <w:lang w:val="pt-BR"/>
        </w:rPr>
      </w:pPr>
      <w:r w:rsidRPr="000E0993">
        <w:rPr>
          <w:lang w:val="pt-BR"/>
        </w:rPr>
        <w:t>Marina L. Kienteca</w:t>
      </w:r>
      <w:r w:rsidR="0530385E" w:rsidRPr="000E0993">
        <w:rPr>
          <w:vertAlign w:val="superscript"/>
          <w:lang w:val="pt-BR"/>
        </w:rPr>
        <w:t>*</w:t>
      </w:r>
      <w:r w:rsidRPr="000E0993">
        <w:rPr>
          <w:lang w:val="pt-BR"/>
        </w:rPr>
        <w:t>; Matheus S. T. Arantes; Myriam Lorena N. Cerutti; Vitor R. Silva</w:t>
      </w:r>
    </w:p>
    <w:p w14:paraId="3AA8543D" w14:textId="4552C0EA" w:rsidR="796D6F86" w:rsidRDefault="796D6F86" w:rsidP="3B382773">
      <w:pPr>
        <w:pStyle w:val="CETAddress"/>
      </w:pPr>
      <w:r w:rsidRPr="000E0993">
        <w:rPr>
          <w:lang w:val="pt-BR"/>
        </w:rPr>
        <w:t xml:space="preserve"> </w:t>
      </w:r>
      <w:r w:rsidR="2519F6DD" w:rsidRPr="3B382773">
        <w:t>Department of Chemical Engineering, Federal University of Paraná (UFPR)</w:t>
      </w:r>
    </w:p>
    <w:p w14:paraId="73F1267A" w14:textId="66CAF493" w:rsidR="00B57E6F" w:rsidRPr="00B57B36" w:rsidRDefault="402064D1" w:rsidP="00B57E6F">
      <w:pPr>
        <w:pStyle w:val="CETemail"/>
      </w:pPr>
      <w:r>
        <w:t xml:space="preserve"> </w:t>
      </w:r>
      <w:r w:rsidR="6A7F6F50">
        <w:t>marinakienteca</w:t>
      </w:r>
      <w:r>
        <w:t>@</w:t>
      </w:r>
      <w:r w:rsidR="1D5709BA">
        <w:t>ufpr</w:t>
      </w:r>
      <w:r>
        <w:t>.</w:t>
      </w:r>
      <w:r w:rsidR="1E7A2E33">
        <w:t>br</w:t>
      </w:r>
    </w:p>
    <w:p w14:paraId="080F485A" w14:textId="4563DEAC" w:rsidR="75FC9AFE" w:rsidRDefault="75FC9AFE" w:rsidP="00FA0D36">
      <w:pPr>
        <w:pStyle w:val="CETBodytext"/>
        <w:spacing w:line="22" w:lineRule="atLeast"/>
      </w:pPr>
      <w:r w:rsidRPr="3B382773">
        <w:t>Phenolic compounds are valued for their antioxidant properties, essential in reducing oxidative stress linked to chronic diseases. Rich in these compounds, yerba mate shows promise for antioxidant extraction. Adsorption techniques, particularly using commercial activated carbon</w:t>
      </w:r>
      <w:r w:rsidR="00563B08">
        <w:t xml:space="preserve"> (CAC)</w:t>
      </w:r>
      <w:r w:rsidRPr="3B382773">
        <w:t xml:space="preserve"> with high surface area and porosity, are critical for isolating such compounds. This study explores the adsorption of phenolic compounds from yerba mate extract onto activated carbon, employing batch kinetic analysis and predictive modeling. Using </w:t>
      </w:r>
      <w:r w:rsidR="002F597A" w:rsidRPr="59739B99">
        <w:rPr>
          <w:lang w:val="en-GB"/>
        </w:rPr>
        <w:t>the</w:t>
      </w:r>
      <w:r w:rsidR="002F597A">
        <w:rPr>
          <w:lang w:val="en-GB"/>
        </w:rPr>
        <w:t xml:space="preserve"> </w:t>
      </w:r>
      <w:r w:rsidR="002F597A" w:rsidRPr="00AA1A45">
        <w:rPr>
          <w:lang w:val="en-GB"/>
        </w:rPr>
        <w:t>three-factor-three-level</w:t>
      </w:r>
      <w:r w:rsidR="002F597A" w:rsidRPr="59739B99">
        <w:rPr>
          <w:lang w:val="en-GB"/>
        </w:rPr>
        <w:t xml:space="preserve"> Box-Behnken</w:t>
      </w:r>
      <w:r w:rsidR="002F597A">
        <w:rPr>
          <w:lang w:val="en-GB"/>
        </w:rPr>
        <w:t xml:space="preserve"> </w:t>
      </w:r>
      <w:r w:rsidR="002F597A" w:rsidRPr="59739B99">
        <w:rPr>
          <w:lang w:val="en-GB"/>
        </w:rPr>
        <w:t>experimental design</w:t>
      </w:r>
      <w:r w:rsidRPr="3B382773">
        <w:t xml:space="preserve">, variables such as temperature (25, 35, 45 ºC), initial phenolic concentration (25, 50, 75 mg TPC/L), and adsorbent mass-to-liquid volume ratio (0.5, 1, 1.5) were examined. Unlike single-variable studies, this approach offers a multifactorial model to optimize adsorption. Results showed a </w:t>
      </w:r>
      <w:r w:rsidR="008C4601">
        <w:t>9</w:t>
      </w:r>
      <w:r w:rsidR="001D2F10">
        <w:t>3</w:t>
      </w:r>
      <w:r w:rsidR="008C4601">
        <w:t>.</w:t>
      </w:r>
      <w:r w:rsidR="001D2F10">
        <w:t>3</w:t>
      </w:r>
      <w:r w:rsidRPr="3B382773">
        <w:t>% fit to the pseudo-</w:t>
      </w:r>
      <w:r w:rsidR="00661897">
        <w:t>second order</w:t>
      </w:r>
      <w:r w:rsidRPr="3B382773">
        <w:t xml:space="preserve"> kinetic model, indicating surface-mediated adsorption reliant on active site availability. This validates the efficacy of commercial activated carbon in such applications, suggesting future studies on </w:t>
      </w:r>
      <w:r w:rsidR="001921D2">
        <w:t>q</w:t>
      </w:r>
      <w:r w:rsidR="001921D2" w:rsidRPr="001921D2">
        <w:rPr>
          <w:vertAlign w:val="subscript"/>
        </w:rPr>
        <w:t>eq</w:t>
      </w:r>
      <w:r w:rsidRPr="3B382773">
        <w:t xml:space="preserve"> </w:t>
      </w:r>
      <w:r w:rsidR="001921D2">
        <w:t xml:space="preserve">generalized </w:t>
      </w:r>
      <w:r w:rsidRPr="3B382773">
        <w:t>models to enhance accuracy and efficiency in antioxidant recovery.</w:t>
      </w:r>
    </w:p>
    <w:p w14:paraId="476B2F2E" w14:textId="52B36035" w:rsidR="00600535" w:rsidRPr="00B57B36" w:rsidRDefault="1CA17398" w:rsidP="00FA0D36">
      <w:pPr>
        <w:pStyle w:val="CETHeading1"/>
        <w:spacing w:line="22" w:lineRule="atLeast"/>
        <w:rPr>
          <w:lang w:val="en-GB"/>
        </w:rPr>
      </w:pPr>
      <w:r w:rsidRPr="6E7F870D">
        <w:rPr>
          <w:lang w:val="en-GB"/>
        </w:rPr>
        <w:t>Introduction</w:t>
      </w:r>
    </w:p>
    <w:p w14:paraId="4543CAB5" w14:textId="03DDB787" w:rsidR="00AD1791" w:rsidRDefault="2E11CDE4" w:rsidP="00FA0D36">
      <w:pPr>
        <w:pStyle w:val="Textodecomentrio"/>
        <w:spacing w:line="22" w:lineRule="atLeast"/>
      </w:pPr>
      <w:r>
        <w:t>Yerba mate (Ilex paraguariensis)</w:t>
      </w:r>
      <w:r w:rsidR="008C4601">
        <w:t xml:space="preserve"> is a plant whose tea is a traditional </w:t>
      </w:r>
      <w:r>
        <w:t>South American beverage, particularly celebrated in Brazil, Argentina, Paraguay, and Uruguay, where it has been consumed for centuries</w:t>
      </w:r>
      <w:r w:rsidR="6403E805">
        <w:t xml:space="preserve"> </w:t>
      </w:r>
      <w:sdt>
        <w:sdtPr>
          <w:rPr>
            <w:color w:val="000000" w:themeColor="text1"/>
          </w:rPr>
          <w:tag w:val="MENDELEY_CITATION_v3_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"/>
          <w:id w:val="701995455"/>
          <w:placeholder>
            <w:docPart w:val="DefaultPlaceholder_-1854013440"/>
          </w:placeholder>
        </w:sdtPr>
        <w:sdtContent>
          <w:r w:rsidR="00532BF3" w:rsidRPr="0761191F">
            <w:rPr>
              <w:color w:val="000000" w:themeColor="text1"/>
            </w:rPr>
            <w:t>(Heck &amp; De Mejia, 2007)</w:t>
          </w:r>
        </w:sdtContent>
      </w:sdt>
      <w:r>
        <w:t>.</w:t>
      </w:r>
      <w:r w:rsidR="703FE440">
        <w:t xml:space="preserve"> </w:t>
      </w:r>
      <w:r w:rsidR="00AD1791">
        <w:t xml:space="preserve">Its rich cultural heritage and health benefits made yerba mate globally popular and its high concentration of bioactive compounds, especially phenolic compounds, exhibit strong antioxidant properties </w:t>
      </w:r>
      <w:sdt>
        <w:sdtPr>
          <w:tag w:val="MENDELEY_CITATION_v3_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"/>
          <w:id w:val="1448268726"/>
          <w:placeholder>
            <w:docPart w:val="F13D1B1D8A474CC7A9A148C5669ED0BD"/>
          </w:placeholder>
        </w:sdtPr>
        <w:sdtContent>
          <w:r w:rsidR="00532BF3" w:rsidRPr="00067DD3">
            <w:t>(Vieira et al., 2010)</w:t>
          </w:r>
        </w:sdtContent>
      </w:sdt>
      <w:r w:rsidR="00AD1791" w:rsidRPr="00067DD3">
        <w:t xml:space="preserve"> which are useful in mitigating oxidative stress, a contributor to numerous chronic health conditions </w:t>
      </w:r>
      <w:sdt>
        <w:sdtPr>
          <w:tag w:val="MENDELEY_CITATION_v3_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"/>
          <w:id w:val="925313945"/>
          <w:placeholder>
            <w:docPart w:val="B7F8FE2751804922B68B516410985CE8"/>
          </w:placeholder>
        </w:sdtPr>
        <w:sdtContent>
          <w:r w:rsidR="00532BF3" w:rsidRPr="00067DD3">
            <w:t>(Lorigooini et al., 2020)</w:t>
          </w:r>
        </w:sdtContent>
      </w:sdt>
      <w:r w:rsidR="00AD1791" w:rsidRPr="00067DD3">
        <w:t xml:space="preserve">. The extraction and isolation of these phenolic compounds are crucial for applications in pharmaceuticals, food, and cosmetics, where natural antioxidants are increasingly in demand </w:t>
      </w:r>
      <w:sdt>
        <w:sdtPr>
          <w:tag w:val="MENDELEY_CITATION_v3_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"/>
          <w:id w:val="1561436947"/>
          <w:placeholder>
            <w:docPart w:val="B7F8FE2751804922B68B516410985CE8"/>
          </w:placeholder>
        </w:sdtPr>
        <w:sdtContent>
          <w:r w:rsidR="00532BF3" w:rsidRPr="00067DD3">
            <w:t>(Maximize Market Research, 2023)</w:t>
          </w:r>
        </w:sdtContent>
      </w:sdt>
      <w:r w:rsidR="00AD1791" w:rsidRPr="00067DD3">
        <w:t>.</w:t>
      </w:r>
    </w:p>
    <w:p w14:paraId="17886FF2" w14:textId="6BD66818" w:rsidR="36FCEB0A" w:rsidRDefault="36FCEB0A" w:rsidP="00FA0D36">
      <w:pPr>
        <w:pStyle w:val="CETBodytext"/>
        <w:spacing w:line="22" w:lineRule="atLeast"/>
        <w:rPr>
          <w:lang w:val="en-GB"/>
        </w:rPr>
      </w:pPr>
      <w:r w:rsidRPr="00067DD3">
        <w:rPr>
          <w:lang w:val="en-GB"/>
        </w:rPr>
        <w:t xml:space="preserve">Adsorption techniques are widely used to isolate </w:t>
      </w:r>
      <w:r w:rsidR="2EF57B13" w:rsidRPr="00067DD3">
        <w:rPr>
          <w:lang w:val="en-GB"/>
        </w:rPr>
        <w:t>phenolic</w:t>
      </w:r>
      <w:r w:rsidRPr="00067DD3">
        <w:rPr>
          <w:lang w:val="en-GB"/>
        </w:rPr>
        <w:t xml:space="preserve"> compounds from plant extracts due to their efficiency in selectively capturing molecules from complex mixtures</w:t>
      </w:r>
      <w:r w:rsidR="4E1494A3" w:rsidRPr="00067DD3">
        <w:rPr>
          <w:lang w:val="en-GB"/>
        </w:rPr>
        <w:t xml:space="preserve"> </w:t>
      </w:r>
      <w:sdt>
        <w:sdtPr>
          <w:rPr>
            <w:lang w:val="en-GB"/>
          </w:rPr>
          <w:tag w:val="MENDELEY_CITATION_v3_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"/>
          <w:id w:val="340602688"/>
          <w:placeholder>
            <w:docPart w:val="DefaultPlaceholder_-1854013440"/>
          </w:placeholder>
        </w:sdtPr>
        <w:sdtContent>
          <w:r w:rsidR="00532BF3" w:rsidRPr="00067DD3">
            <w:rPr>
              <w:lang w:val="en-GB"/>
            </w:rPr>
            <w:t>(Bibi et al., 2023)</w:t>
          </w:r>
        </w:sdtContent>
      </w:sdt>
      <w:r w:rsidR="00BE0C9D" w:rsidRPr="00067DD3">
        <w:rPr>
          <w:lang w:val="en-GB"/>
        </w:rPr>
        <w:t>.</w:t>
      </w:r>
      <w:r w:rsidRPr="00067DD3">
        <w:rPr>
          <w:lang w:val="en-GB"/>
        </w:rPr>
        <w:t xml:space="preserve"> Additionally, </w:t>
      </w:r>
      <w:r w:rsidR="00563B08" w:rsidRPr="00067DD3">
        <w:rPr>
          <w:lang w:val="en-GB"/>
        </w:rPr>
        <w:t>commercial activated carbon (</w:t>
      </w:r>
      <w:r w:rsidRPr="00067DD3">
        <w:rPr>
          <w:lang w:val="en-GB"/>
        </w:rPr>
        <w:t>CAC</w:t>
      </w:r>
      <w:r w:rsidR="00563B08" w:rsidRPr="00067DD3">
        <w:rPr>
          <w:lang w:val="en-GB"/>
        </w:rPr>
        <w:t>)</w:t>
      </w:r>
      <w:r w:rsidRPr="00067DD3">
        <w:rPr>
          <w:lang w:val="en-GB"/>
        </w:rPr>
        <w:t xml:space="preserve"> is cost-effective and widely available</w:t>
      </w:r>
      <w:r w:rsidR="00BE0C9D" w:rsidRPr="00067DD3">
        <w:rPr>
          <w:lang w:val="en-GB"/>
        </w:rPr>
        <w:t xml:space="preserve"> </w:t>
      </w:r>
      <w:sdt>
        <w:sdtPr>
          <w:rPr>
            <w:lang w:val="en-GB"/>
          </w:rPr>
          <w:tag w:val="MENDELEY_CITATION_v3_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"/>
          <w:id w:val="797417160"/>
          <w:placeholder>
            <w:docPart w:val="DefaultPlaceholder_-1854013440"/>
          </w:placeholder>
        </w:sdtPr>
        <w:sdtContent>
          <w:r w:rsidR="00532BF3" w:rsidRPr="00067DD3">
            <w:rPr>
              <w:lang w:val="en-GB"/>
            </w:rPr>
            <w:t>(Hoseinzadeh Hesas et al., 2015</w:t>
          </w:r>
          <w:r w:rsidR="38D99A86" w:rsidRPr="00067DD3">
            <w:rPr>
              <w:lang w:val="en-GB"/>
            </w:rPr>
            <w:t xml:space="preserve">, </w:t>
          </w:r>
          <w:r w:rsidR="66BB9754" w:rsidRPr="00067DD3">
            <w:rPr>
              <w:lang w:val="en-GB"/>
            </w:rPr>
            <w:t>Bosh et al., 2021</w:t>
          </w:r>
          <w:r w:rsidR="00532BF3" w:rsidRPr="00067DD3">
            <w:rPr>
              <w:lang w:val="en-GB"/>
            </w:rPr>
            <w:t>)</w:t>
          </w:r>
        </w:sdtContent>
      </w:sdt>
      <w:r w:rsidR="00BF5820" w:rsidRPr="00067DD3">
        <w:rPr>
          <w:lang w:val="en-GB"/>
        </w:rPr>
        <w:t>.</w:t>
      </w:r>
      <w:r w:rsidRPr="00067DD3">
        <w:rPr>
          <w:lang w:val="en-GB"/>
        </w:rPr>
        <w:t xml:space="preserve"> Its proven efficacy in adsorbing organic compounds further justifies its use in this study</w:t>
      </w:r>
      <w:r w:rsidR="00BE0C9D" w:rsidRPr="0761191F">
        <w:rPr>
          <w:lang w:val="en-GB"/>
        </w:rPr>
        <w:t xml:space="preserve"> and</w:t>
      </w:r>
      <w:r w:rsidR="18969A1F" w:rsidRPr="0761191F">
        <w:rPr>
          <w:lang w:val="en-GB"/>
        </w:rPr>
        <w:t xml:space="preserve"> </w:t>
      </w:r>
      <w:r w:rsidR="00BE0C9D" w:rsidRPr="0761191F">
        <w:rPr>
          <w:lang w:val="en-GB"/>
        </w:rPr>
        <w:t>while adsorption processes for phenolic compounds in plant extracts have been extensively studied</w:t>
      </w:r>
      <w:r w:rsidR="0003174F" w:rsidRPr="0761191F">
        <w:rPr>
          <w:lang w:val="en-GB"/>
        </w:rPr>
        <w:t xml:space="preserve"> </w:t>
      </w:r>
      <w:sdt>
        <w:sdtPr>
          <w:rPr>
            <w:lang w:val="en-GB"/>
          </w:rPr>
          <w:tag w:val="MENDELEY_CITATION_v3_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"/>
          <w:id w:val="-1759447556"/>
          <w:placeholder>
            <w:docPart w:val="DefaultPlaceholder_-1854013440"/>
          </w:placeholder>
        </w:sdtPr>
        <w:sdtContent>
          <w:r w:rsidR="00532BF3" w:rsidRPr="00067DD3">
            <w:rPr>
              <w:lang w:val="en-GB"/>
            </w:rPr>
            <w:t>(XU et al., 2017)</w:t>
          </w:r>
        </w:sdtContent>
      </w:sdt>
      <w:r w:rsidR="18969A1F" w:rsidRPr="0761191F">
        <w:rPr>
          <w:lang w:val="en-GB"/>
        </w:rPr>
        <w:t>, limited research has focused specifically on optimizing this process for yerba mate using CAC</w:t>
      </w:r>
      <w:r w:rsidR="00563B08" w:rsidRPr="0761191F">
        <w:rPr>
          <w:lang w:val="en-GB"/>
        </w:rPr>
        <w:t>.</w:t>
      </w:r>
    </w:p>
    <w:p w14:paraId="76C584F7" w14:textId="1B644773" w:rsidR="18969A1F" w:rsidRDefault="18969A1F" w:rsidP="00FA0D36">
      <w:pPr>
        <w:pStyle w:val="CETBodytext"/>
        <w:spacing w:line="22" w:lineRule="atLeast"/>
        <w:rPr>
          <w:lang w:val="en-GB"/>
        </w:rPr>
      </w:pPr>
      <w:r w:rsidRPr="3B382773">
        <w:rPr>
          <w:lang w:val="en-GB"/>
        </w:rPr>
        <w:t>Many existing studies evaluate individual variables—such as temperature, concentration, or adsorbent mass—in isolation, without fully capturing the interactive effects between these factors on adsorption efficiency</w:t>
      </w:r>
      <w:r w:rsidR="0003174F">
        <w:rPr>
          <w:lang w:val="en-GB"/>
        </w:rPr>
        <w:t xml:space="preserve"> </w:t>
      </w:r>
      <w:sdt>
        <w:sdtPr>
          <w:rPr>
            <w:lang w:val="en-GB"/>
          </w:rPr>
          <w:tag w:val="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"/>
          <w:id w:val="641864638"/>
          <w:placeholder>
            <w:docPart w:val="DefaultPlaceholder_-1854013440"/>
          </w:placeholder>
        </w:sdtPr>
        <w:sdtContent>
          <w:r w:rsidR="00532BF3" w:rsidRPr="00067DD3">
            <w:rPr>
              <w:lang w:val="en-GB"/>
            </w:rPr>
            <w:t>(Ahmed et al., 2024; Melo et al., 2024; Sellaoui et al., 2019)</w:t>
          </w:r>
        </w:sdtContent>
      </w:sdt>
      <w:r w:rsidRPr="3B382773">
        <w:rPr>
          <w:lang w:val="en-GB"/>
        </w:rPr>
        <w:t xml:space="preserve">. This gap suggests a need for a more comprehensive approach that accounts for multiple variables simultaneously, enhancing our understanding of the adsorption kinetics and improving predictive accuracy. The objective of this study is to address this gap by examining the adsorption of phenolic compounds from yerba mate extract onto CAC through a batch kinetic analysis and multifactorial predictive </w:t>
      </w:r>
      <w:r w:rsidR="004917F5" w:rsidRPr="3B382773">
        <w:rPr>
          <w:lang w:val="en-GB"/>
        </w:rPr>
        <w:t>modelling</w:t>
      </w:r>
      <w:r w:rsidRPr="3B382773">
        <w:rPr>
          <w:lang w:val="en-GB"/>
        </w:rPr>
        <w:t>. By applying the Box-Behnken design, this research aims to develop a robust model that considers variable interactions, optimizing adsorption conditions and advancing the practical application of CAC in phenolic compound recovery.</w:t>
      </w:r>
    </w:p>
    <w:p w14:paraId="7716BD9A" w14:textId="1E60F61D" w:rsidR="683BACF5" w:rsidRDefault="683BACF5" w:rsidP="00FA0D36">
      <w:pPr>
        <w:pStyle w:val="CETHeading1"/>
        <w:spacing w:line="22" w:lineRule="atLeast"/>
      </w:pPr>
      <w:r>
        <w:t>Materials and Methods</w:t>
      </w:r>
    </w:p>
    <w:p w14:paraId="22C7D626" w14:textId="194DBBDA" w:rsidR="0655511F" w:rsidRDefault="0B33007C" w:rsidP="00FA0D36">
      <w:pPr>
        <w:pStyle w:val="CETBodytext"/>
        <w:spacing w:line="22" w:lineRule="atLeast"/>
      </w:pPr>
      <w:r>
        <w:t>This section is intended to describe the materials used as well as the methodology for preparing the</w:t>
      </w:r>
      <w:r w:rsidR="43C73FAC">
        <w:t xml:space="preserve"> yerba mate</w:t>
      </w:r>
      <w:r>
        <w:t xml:space="preserve"> </w:t>
      </w:r>
      <w:r w:rsidR="7F4703BC">
        <w:t>extract</w:t>
      </w:r>
      <w:r>
        <w:t xml:space="preserve">, </w:t>
      </w:r>
      <w:r w:rsidR="64EE3241">
        <w:t xml:space="preserve">phenolic </w:t>
      </w:r>
      <w:r>
        <w:t>adsorption and data processing</w:t>
      </w:r>
      <w:r w:rsidR="1839A57E">
        <w:t>, summarized in Fig</w:t>
      </w:r>
      <w:r w:rsidR="00515131">
        <w:t>ure</w:t>
      </w:r>
      <w:r w:rsidR="1839A57E">
        <w:t xml:space="preserve"> 1.</w:t>
      </w:r>
    </w:p>
    <w:p w14:paraId="59C13F71" w14:textId="77777777" w:rsidR="002A045C" w:rsidRDefault="002A045C" w:rsidP="00FA0D36">
      <w:pPr>
        <w:pStyle w:val="CETBodytext"/>
        <w:spacing w:line="22" w:lineRule="atLeast"/>
      </w:pPr>
    </w:p>
    <w:p w14:paraId="500AE94D" w14:textId="39B59B7E" w:rsidR="59739B99" w:rsidRDefault="002A045C" w:rsidP="00FA0D36">
      <w:pPr>
        <w:pStyle w:val="CETBodytext"/>
        <w:spacing w:line="22" w:lineRule="atLeast"/>
      </w:pPr>
      <w:r>
        <w:rPr>
          <w:noProof/>
          <w:lang w:val="pt-BR" w:eastAsia="pt-BR"/>
        </w:rPr>
        <w:lastRenderedPageBreak/>
        <w:drawing>
          <wp:inline distT="0" distB="0" distL="0" distR="0" wp14:anchorId="071B0DC3" wp14:editId="7231D2DA">
            <wp:extent cx="4801235" cy="1855974"/>
            <wp:effectExtent l="0" t="0" r="0" b="0"/>
            <wp:docPr id="17222872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15667" b="15627"/>
                    <a:stretch/>
                  </pic:blipFill>
                  <pic:spPr bwMode="auto">
                    <a:xfrm>
                      <a:off x="0" y="0"/>
                      <a:ext cx="4825861" cy="1865494"/>
                    </a:xfrm>
                    <a:prstGeom prst="rect">
                      <a:avLst/>
                    </a:prstGeom>
                    <a:noFill/>
                    <a:ln>
                      <a:noFill/>
                    </a:ln>
                    <a:extLst>
                      <a:ext uri="{53640926-AAD7-44D8-BBD7-CCE9431645EC}">
                        <a14:shadowObscured xmlns:a14="http://schemas.microsoft.com/office/drawing/2010/main"/>
                      </a:ext>
                    </a:extLst>
                  </pic:spPr>
                </pic:pic>
              </a:graphicData>
            </a:graphic>
          </wp:inline>
        </w:drawing>
      </w:r>
    </w:p>
    <w:p w14:paraId="33C4920D" w14:textId="1E3B1F9B" w:rsidR="59739B99" w:rsidRPr="00585024" w:rsidRDefault="1839A57E" w:rsidP="00FA0D36">
      <w:pPr>
        <w:spacing w:before="240" w:after="240" w:line="22" w:lineRule="atLeast"/>
        <w:rPr>
          <w:rFonts w:eastAsia="Arial" w:cs="Arial"/>
          <w:i/>
          <w:iCs/>
          <w:color w:val="000000" w:themeColor="text1"/>
          <w:szCs w:val="18"/>
        </w:rPr>
      </w:pPr>
      <w:r w:rsidRPr="59739B99">
        <w:rPr>
          <w:rStyle w:val="CETCaptionCarattere"/>
          <w:rFonts w:eastAsia="Arial" w:cs="Arial"/>
          <w:iCs/>
          <w:color w:val="000000" w:themeColor="text1"/>
          <w:szCs w:val="18"/>
        </w:rPr>
        <w:t xml:space="preserve">Figure 1: Steps in the </w:t>
      </w:r>
      <w:r w:rsidR="2968437C" w:rsidRPr="59739B99">
        <w:rPr>
          <w:rStyle w:val="CETCaptionCarattere"/>
          <w:rFonts w:eastAsia="Arial" w:cs="Arial"/>
          <w:iCs/>
          <w:color w:val="000000" w:themeColor="text1"/>
          <w:szCs w:val="18"/>
        </w:rPr>
        <w:t>yerba mate preparation, phenolic compounds extraction and adsorption</w:t>
      </w:r>
    </w:p>
    <w:p w14:paraId="2DFD4743" w14:textId="22318E4F" w:rsidR="1D96E243" w:rsidRDefault="1D96E243" w:rsidP="00FA0D36">
      <w:pPr>
        <w:pStyle w:val="CETheadingx"/>
        <w:spacing w:line="22" w:lineRule="atLeast"/>
        <w:rPr>
          <w:rFonts w:eastAsia="Arial" w:cs="Arial"/>
          <w:bCs/>
          <w:color w:val="000000" w:themeColor="text1"/>
          <w:szCs w:val="18"/>
        </w:rPr>
      </w:pPr>
      <w:r w:rsidRPr="59739B99">
        <w:rPr>
          <w:rFonts w:eastAsia="Arial" w:cs="Arial"/>
          <w:bCs/>
          <w:color w:val="000000" w:themeColor="text1"/>
          <w:szCs w:val="18"/>
        </w:rPr>
        <w:t>Materials</w:t>
      </w:r>
    </w:p>
    <w:p w14:paraId="2C6F37CD" w14:textId="22E99931" w:rsidR="59739B99" w:rsidRDefault="1D96E243" w:rsidP="00FA0D36">
      <w:pPr>
        <w:spacing w:line="22" w:lineRule="atLeast"/>
      </w:pPr>
      <w:r w:rsidRPr="59739B99">
        <w:t xml:space="preserve">The yerba mate used for extraction was milled and sieved </w:t>
      </w:r>
      <w:r w:rsidRPr="007D4A5F">
        <w:rPr>
          <w:i/>
          <w:iCs/>
        </w:rPr>
        <w:t>canchada</w:t>
      </w:r>
      <w:r w:rsidRPr="59739B99">
        <w:t xml:space="preserve"> yerba mate (40 mesh).  The gallic acid solutions used to construct the standard curve for total phenolic content analysis were prepared by diluting monohydrated gallic acid ((HO)</w:t>
      </w:r>
      <w:r w:rsidRPr="59739B99">
        <w:rPr>
          <w:rFonts w:ascii="Cambria Math" w:hAnsi="Cambria Math" w:cs="Cambria Math"/>
        </w:rPr>
        <w:t>₃</w:t>
      </w:r>
      <w:r w:rsidRPr="59739B99">
        <w:t>C</w:t>
      </w:r>
      <w:r w:rsidRPr="59739B99">
        <w:rPr>
          <w:rFonts w:ascii="Cambria Math" w:hAnsi="Cambria Math" w:cs="Cambria Math"/>
        </w:rPr>
        <w:t>₆</w:t>
      </w:r>
      <w:r w:rsidRPr="59739B99">
        <w:t>H</w:t>
      </w:r>
      <w:r w:rsidRPr="59739B99">
        <w:rPr>
          <w:rFonts w:ascii="Cambria Math" w:hAnsi="Cambria Math" w:cs="Cambria Math"/>
        </w:rPr>
        <w:t>₂</w:t>
      </w:r>
      <w:r w:rsidRPr="59739B99">
        <w:t>CO</w:t>
      </w:r>
      <w:r w:rsidRPr="59739B99">
        <w:rPr>
          <w:rFonts w:ascii="Cambria Math" w:hAnsi="Cambria Math" w:cs="Cambria Math"/>
        </w:rPr>
        <w:t>₂</w:t>
      </w:r>
      <w:r w:rsidRPr="59739B99">
        <w:t>H</w:t>
      </w:r>
      <w:r w:rsidRPr="59739B99">
        <w:rPr>
          <w:rFonts w:cs="Arial"/>
        </w:rPr>
        <w:t>·</w:t>
      </w:r>
      <w:r w:rsidRPr="59739B99">
        <w:t>H</w:t>
      </w:r>
      <w:r w:rsidRPr="59739B99">
        <w:rPr>
          <w:rFonts w:ascii="Cambria Math" w:hAnsi="Cambria Math" w:cs="Cambria Math"/>
        </w:rPr>
        <w:t>₂</w:t>
      </w:r>
      <w:r w:rsidRPr="59739B99">
        <w:t>O, Sigma Aldrich</w:t>
      </w:r>
      <w:r w:rsidR="00B564FB">
        <w:t>, 99% purity</w:t>
      </w:r>
      <w:r w:rsidRPr="59739B99">
        <w:t>). For the quantification of total phenolics, expressed as gallic acid equivalents by spectrophotometry, the following reagents were used: Folin-Ciocalteu reagent (</w:t>
      </w:r>
      <w:r w:rsidR="00B564FB">
        <w:t xml:space="preserve">2 N, </w:t>
      </w:r>
      <w:r w:rsidRPr="59739B99">
        <w:t>Sigma Aldrich) and calcium carbonate (</w:t>
      </w:r>
      <w:r w:rsidR="00B564FB">
        <w:t xml:space="preserve">analytical grade, </w:t>
      </w:r>
      <w:r w:rsidRPr="59739B99">
        <w:t>Sigma Aldrich)</w:t>
      </w:r>
      <w:r w:rsidR="000F7C6F">
        <w:t xml:space="preserve">. </w:t>
      </w:r>
      <w:r w:rsidR="000F7C6F" w:rsidRPr="000F7C6F">
        <w:t>All chemicals used were of analytical grade</w:t>
      </w:r>
      <w:r w:rsidRPr="59739B99">
        <w:t xml:space="preserve">. </w:t>
      </w:r>
      <w:r w:rsidR="00B564FB" w:rsidRPr="000857F0">
        <w:t xml:space="preserve">The </w:t>
      </w:r>
      <w:r w:rsidR="000857F0" w:rsidRPr="59739B99">
        <w:t xml:space="preserve">powdered </w:t>
      </w:r>
      <w:r w:rsidR="00B564FB" w:rsidRPr="000857F0">
        <w:t>activated carbon used in this study was a donation from the company ACT. It was physically activated using steam and has a surface area of 1002 m²/g, as specified by the supplier.</w:t>
      </w:r>
    </w:p>
    <w:p w14:paraId="7259AA36" w14:textId="77777777" w:rsidR="000857F0" w:rsidRPr="000857F0" w:rsidRDefault="000857F0" w:rsidP="00FA0D36">
      <w:pPr>
        <w:spacing w:line="22" w:lineRule="atLeast"/>
      </w:pPr>
    </w:p>
    <w:p w14:paraId="7E32D2B5" w14:textId="65B0550C" w:rsidR="656877EB" w:rsidRDefault="002F0E16" w:rsidP="00FA0D36">
      <w:pPr>
        <w:pStyle w:val="CETheadingx"/>
        <w:spacing w:line="22" w:lineRule="atLeast"/>
        <w:rPr>
          <w:rFonts w:eastAsia="Arial" w:cs="Arial"/>
          <w:bCs/>
          <w:color w:val="000000" w:themeColor="text1"/>
          <w:szCs w:val="18"/>
        </w:rPr>
      </w:pPr>
      <w:r>
        <w:rPr>
          <w:rFonts w:eastAsia="Arial" w:cs="Arial"/>
          <w:bCs/>
          <w:color w:val="000000" w:themeColor="text1"/>
          <w:szCs w:val="18"/>
        </w:rPr>
        <w:t>Yerba Mate extract and characterization</w:t>
      </w:r>
    </w:p>
    <w:p w14:paraId="70D5DD11" w14:textId="69D44C02" w:rsidR="1BC20A8B" w:rsidRDefault="1BC20A8B" w:rsidP="00FA0D36">
      <w:pPr>
        <w:spacing w:line="22" w:lineRule="atLeast"/>
      </w:pPr>
      <w:r w:rsidRPr="59739B99">
        <w:t xml:space="preserve">The preparation of the yerba mate extract is described by </w:t>
      </w:r>
      <w:r w:rsidR="121506BE" w:rsidRPr="59739B99">
        <w:t>a systematic process, summarized in Fig. 1 and extensively described by the following text.</w:t>
      </w:r>
    </w:p>
    <w:p w14:paraId="458B51AD" w14:textId="6B2DA062" w:rsidR="00AA1A45" w:rsidRDefault="121506BE" w:rsidP="00FA0D36">
      <w:pPr>
        <w:pStyle w:val="CETBodytext"/>
        <w:spacing w:line="22" w:lineRule="atLeast"/>
        <w:rPr>
          <w:lang w:val="en-GB"/>
        </w:rPr>
      </w:pPr>
      <w:r w:rsidRPr="59739B99">
        <w:t>F</w:t>
      </w:r>
      <w:r w:rsidR="1BC20A8B" w:rsidRPr="59739B99">
        <w:t xml:space="preserve">irst, the </w:t>
      </w:r>
      <w:r w:rsidR="1BC20A8B" w:rsidRPr="59739B99">
        <w:rPr>
          <w:i/>
          <w:iCs/>
        </w:rPr>
        <w:t>canchada</w:t>
      </w:r>
      <w:r w:rsidR="1BC20A8B" w:rsidRPr="59739B99">
        <w:t xml:space="preserve"> yerba mate is ground to a fine powder and s</w:t>
      </w:r>
      <w:r w:rsidR="0DB8B4C6" w:rsidRPr="59739B99">
        <w:t>elected</w:t>
      </w:r>
      <w:r w:rsidR="1BC20A8B" w:rsidRPr="59739B99">
        <w:t xml:space="preserve"> through a </w:t>
      </w:r>
      <w:r w:rsidR="61B81C8C" w:rsidRPr="59739B99">
        <w:t>40-mesh</w:t>
      </w:r>
      <w:r w:rsidR="0B2C3347" w:rsidRPr="59739B99">
        <w:t xml:space="preserve"> sieve</w:t>
      </w:r>
      <w:r w:rsidR="1BC20A8B" w:rsidRPr="59739B99">
        <w:t xml:space="preserve"> to ensure uniform particle size. </w:t>
      </w:r>
      <w:r w:rsidR="007C0D3D" w:rsidRPr="007C0D3D">
        <w:rPr>
          <w:lang w:val="en-GB"/>
        </w:rPr>
        <w:t>The batch extraction, using a method adapted from</w:t>
      </w:r>
      <w:r w:rsidR="000874F5">
        <w:rPr>
          <w:lang w:val="en-GB"/>
        </w:rPr>
        <w:t xml:space="preserve"> </w:t>
      </w:r>
      <w:sdt>
        <w:sdtPr>
          <w:rPr>
            <w:color w:val="000000"/>
            <w:lang w:val="en-GB"/>
          </w:rPr>
          <w:tag w:val="MENDELEY_CITATION_v3_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"/>
          <w:id w:val="-1871144211"/>
          <w:placeholder>
            <w:docPart w:val="DefaultPlaceholder_-1854013440"/>
          </w:placeholder>
        </w:sdtPr>
        <w:sdtContent>
          <w:r w:rsidR="00532BF3" w:rsidRPr="00532BF3">
            <w:rPr>
              <w:color w:val="000000"/>
            </w:rPr>
            <w:t>Jensen &amp; Zanoelo (2013)</w:t>
          </w:r>
        </w:sdtContent>
      </w:sdt>
      <w:r w:rsidR="000874F5">
        <w:rPr>
          <w:lang w:val="en-GB"/>
        </w:rPr>
        <w:t xml:space="preserve"> </w:t>
      </w:r>
      <w:sdt>
        <w:sdtPr>
          <w:rPr>
            <w:color w:val="000000"/>
            <w:lang w:val="en-GB"/>
          </w:rPr>
          <w:tag w:val="MENDELEY_CITATION_v3_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"/>
          <w:id w:val="72172873"/>
          <w:placeholder>
            <w:docPart w:val="DefaultPlaceholder_-1854013440"/>
          </w:placeholder>
        </w:sdtPr>
        <w:sdtContent>
          <w:r w:rsidR="00532BF3" w:rsidRPr="00532BF3">
            <w:rPr>
              <w:color w:val="000000"/>
              <w:lang w:val="en-GB"/>
            </w:rPr>
            <w:t>De Carvalho Rodrigues et al. (2015)</w:t>
          </w:r>
        </w:sdtContent>
      </w:sdt>
      <w:r w:rsidR="000874F5">
        <w:rPr>
          <w:color w:val="000000"/>
          <w:lang w:val="en-GB"/>
        </w:rPr>
        <w:t xml:space="preserve"> </w:t>
      </w:r>
      <w:r w:rsidR="007C0D3D" w:rsidRPr="007C0D3D">
        <w:rPr>
          <w:lang w:val="en-GB"/>
        </w:rPr>
        <w:t>was carried out in 1000 g of deionized water with 70 g of yerba mate leaves</w:t>
      </w:r>
      <w:r w:rsidR="1BC20A8B" w:rsidRPr="59739B99">
        <w:t xml:space="preserve"> with constant agitation at 200 rpm for 1 hour. This process facilitates the release of phenolic compounds into the solvent. After the extraction, a concentrated yerba mate extract is obtained, which is characterized by </w:t>
      </w:r>
      <w:r w:rsidR="00532BF3">
        <w:t xml:space="preserve">the </w:t>
      </w:r>
      <w:r w:rsidR="1BC20A8B" w:rsidRPr="59739B99">
        <w:t>total phenolic content</w:t>
      </w:r>
      <w:r w:rsidR="6687E667" w:rsidRPr="59739B99">
        <w:t xml:space="preserve">. </w:t>
      </w:r>
      <w:r w:rsidR="1BC20A8B" w:rsidRPr="59739B99">
        <w:t>This concentrated extract can then be used for further analysis or adsorption studies.</w:t>
      </w:r>
      <w:r w:rsidR="00AA1A45" w:rsidRPr="00AA1A45">
        <w:rPr>
          <w:lang w:val="en-GB"/>
        </w:rPr>
        <w:t xml:space="preserve"> </w:t>
      </w:r>
    </w:p>
    <w:p w14:paraId="6562DF0E" w14:textId="6A2E9456" w:rsidR="00AA1A45" w:rsidRDefault="00AA1A45" w:rsidP="00FA0D36">
      <w:pPr>
        <w:pStyle w:val="CETBodytext"/>
        <w:spacing w:line="22" w:lineRule="atLeast"/>
      </w:pPr>
      <w:r w:rsidRPr="002528DC">
        <w:rPr>
          <w:lang w:val="en-GB"/>
        </w:rPr>
        <w:t xml:space="preserve">The total phenolic concentration (TPC) of the aqueous extract </w:t>
      </w:r>
      <w:r>
        <w:rPr>
          <w:lang w:val="en-GB"/>
        </w:rPr>
        <w:t xml:space="preserve">and the remaining phenolic content after the adsorption process </w:t>
      </w:r>
      <w:r w:rsidRPr="002528DC">
        <w:rPr>
          <w:lang w:val="en-GB"/>
        </w:rPr>
        <w:t>was calculated by the Folin-Ciocalteau method</w:t>
      </w:r>
      <w:r>
        <w:rPr>
          <w:lang w:val="en-GB"/>
        </w:rPr>
        <w:t xml:space="preserve"> </w:t>
      </w:r>
      <w:sdt>
        <w:sdtPr>
          <w:rPr>
            <w:color w:val="000000"/>
            <w:lang w:val="en-GB"/>
          </w:rPr>
          <w:tag w:val="MENDELEY_CITATION_v3_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"/>
          <w:id w:val="603767511"/>
          <w:placeholder>
            <w:docPart w:val="4935B17149AE40EE9163825ABECE05C6"/>
          </w:placeholder>
        </w:sdtPr>
        <w:sdtEndPr>
          <w:rPr>
            <w:lang w:val="en-US"/>
          </w:rPr>
        </w:sdtEndPr>
        <w:sdtContent>
          <w:r w:rsidR="00532BF3" w:rsidRPr="00532BF3">
            <w:rPr>
              <w:color w:val="000000"/>
            </w:rPr>
            <w:t>Singleton et al. (1999).</w:t>
          </w:r>
        </w:sdtContent>
      </w:sdt>
      <w:r>
        <w:t xml:space="preserve"> </w:t>
      </w:r>
      <w:r w:rsidRPr="59739B99">
        <w:t>The absorbance is measured using a SHIMADZU 1800 UV-Vis spectrophotometer. The results are expressed as gallic acid equivalents (GAE</w:t>
      </w:r>
      <w:r>
        <w:t>).</w:t>
      </w:r>
    </w:p>
    <w:p w14:paraId="4715D664" w14:textId="0F73A4ED" w:rsidR="59739B99" w:rsidRDefault="59739B99" w:rsidP="00FA0D36">
      <w:pPr>
        <w:pStyle w:val="CETBodytext"/>
        <w:spacing w:line="22" w:lineRule="atLeast"/>
      </w:pPr>
    </w:p>
    <w:p w14:paraId="18BAFA6F" w14:textId="4C00BB6B" w:rsidR="00453E24" w:rsidRDefault="6F6F77CD" w:rsidP="00FA0D36">
      <w:pPr>
        <w:pStyle w:val="CETheadingx"/>
        <w:spacing w:line="22" w:lineRule="atLeast"/>
      </w:pPr>
      <w:r>
        <w:t xml:space="preserve">Adsorption </w:t>
      </w:r>
      <w:r w:rsidR="437C1053">
        <w:t xml:space="preserve">kinetics </w:t>
      </w:r>
      <w:r>
        <w:t>experiment</w:t>
      </w:r>
      <w:r w:rsidR="25C035D3">
        <w:t>s</w:t>
      </w:r>
    </w:p>
    <w:p w14:paraId="371242D1" w14:textId="7115BB73" w:rsidR="36471BF9" w:rsidRDefault="00AD1791" w:rsidP="00FA0D36">
      <w:pPr>
        <w:pStyle w:val="CETBodytext"/>
        <w:spacing w:line="22" w:lineRule="atLeast"/>
      </w:pPr>
      <w:r>
        <w:t xml:space="preserve">In this study, adsorption is employed to </w:t>
      </w:r>
      <w:r w:rsidR="00532BF3">
        <w:t>separate</w:t>
      </w:r>
      <w:r>
        <w:t xml:space="preserve"> phenolic compounds from yerba mate, with commercial activated carbon (CAC) chosen as the adsorbent material</w:t>
      </w:r>
      <w:r w:rsidR="002F597A">
        <w:t xml:space="preserve">. </w:t>
      </w:r>
      <w:r w:rsidR="6EB6FA30" w:rsidRPr="59739B99">
        <w:rPr>
          <w:lang w:val="en-GB"/>
        </w:rPr>
        <w:t>The experimental design for the kinetics study of the adsorption process was based on the</w:t>
      </w:r>
      <w:r w:rsidR="00AA1A45">
        <w:rPr>
          <w:lang w:val="en-GB"/>
        </w:rPr>
        <w:t xml:space="preserve"> </w:t>
      </w:r>
      <w:r w:rsidR="00AA1A45" w:rsidRPr="00AA1A45">
        <w:rPr>
          <w:lang w:val="en-GB"/>
        </w:rPr>
        <w:t>three-factor-three-level</w:t>
      </w:r>
      <w:r w:rsidR="6EB6FA30" w:rsidRPr="59739B99">
        <w:rPr>
          <w:lang w:val="en-GB"/>
        </w:rPr>
        <w:t xml:space="preserve"> </w:t>
      </w:r>
      <w:sdt>
        <w:sdtPr>
          <w:rPr>
            <w:color w:val="000000"/>
            <w:lang w:val="en-GB"/>
          </w:rPr>
          <w:tag w:val="MENDELEY_CITATION_v3_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"/>
          <w:id w:val="-1087295940"/>
          <w:placeholder>
            <w:docPart w:val="DefaultPlaceholder_-1854013440"/>
          </w:placeholder>
        </w:sdtPr>
        <w:sdtContent>
          <w:r w:rsidR="00532BF3" w:rsidRPr="00532BF3">
            <w:rPr>
              <w:color w:val="000000"/>
            </w:rPr>
            <w:t>Box &amp; Behnken (1960)</w:t>
          </w:r>
          <w:r w:rsidR="00532BF3">
            <w:rPr>
              <w:color w:val="000000"/>
            </w:rPr>
            <w:t xml:space="preserve"> </w:t>
          </w:r>
        </w:sdtContent>
      </w:sdt>
      <w:r w:rsidR="36D0DC33" w:rsidRPr="59739B99">
        <w:rPr>
          <w:lang w:val="en-GB"/>
        </w:rPr>
        <w:t>experimental design using the software Statistica (v 10.0)</w:t>
      </w:r>
      <w:r w:rsidR="6EB6FA30" w:rsidRPr="59739B99">
        <w:rPr>
          <w:lang w:val="en-GB"/>
        </w:rPr>
        <w:t>, which allowed for the simultaneous evaluation of multiple factors influencing the adsorption of phenolic compounds from yerba mate extract onto commercial activated carbon. The three factors examined were temperature, initial phenolic concentration</w:t>
      </w:r>
      <w:r w:rsidR="00AA1A45">
        <w:rPr>
          <w:lang w:val="en-GB"/>
        </w:rPr>
        <w:t>,</w:t>
      </w:r>
      <w:r w:rsidR="6EB6FA30" w:rsidRPr="59739B99">
        <w:rPr>
          <w:lang w:val="en-GB"/>
        </w:rPr>
        <w:t xml:space="preserve"> and the adsorbent mass-to-liquid volume ratio.</w:t>
      </w:r>
    </w:p>
    <w:p w14:paraId="2801F6BF" w14:textId="7324CB6A" w:rsidR="6EB6FA30" w:rsidRDefault="6EB6FA30" w:rsidP="00FA0D36">
      <w:pPr>
        <w:pStyle w:val="CETBodytext"/>
        <w:spacing w:line="22" w:lineRule="atLeast"/>
        <w:rPr>
          <w:lang w:val="en-GB"/>
        </w:rPr>
      </w:pPr>
      <w:r w:rsidRPr="59739B99">
        <w:rPr>
          <w:lang w:val="en-GB"/>
        </w:rPr>
        <w:t>The temperature was varied at three levels: 25, 35, and 45ºC. The initial phenolic concentration in the extract was tested at three different concentrations: 25, 50, and 75 mg TPC/L. Additionally, the adsorbent mass-to-liquid volume ratio</w:t>
      </w:r>
      <w:r w:rsidR="3B096187" w:rsidRPr="59739B99">
        <w:rPr>
          <w:lang w:val="en-GB"/>
        </w:rPr>
        <w:t xml:space="preserve"> </w:t>
      </w:r>
      <w:r w:rsidRPr="59739B99">
        <w:rPr>
          <w:lang w:val="en-GB"/>
        </w:rPr>
        <w:t xml:space="preserve">was adjusted to 0.5, 1, and 1.5. These </w:t>
      </w:r>
      <w:r w:rsidR="5A4EF062" w:rsidRPr="59739B99">
        <w:rPr>
          <w:lang w:val="en-GB"/>
        </w:rPr>
        <w:t>values</w:t>
      </w:r>
      <w:r w:rsidRPr="59739B99">
        <w:rPr>
          <w:lang w:val="en-GB"/>
        </w:rPr>
        <w:t xml:space="preserve"> were selected to explore a wide range of conditions under which the adsorption process might vary in terms of efficiency.</w:t>
      </w:r>
    </w:p>
    <w:p w14:paraId="79E55170" w14:textId="39A6ECC7" w:rsidR="281403DA" w:rsidRDefault="008C4601" w:rsidP="00FA0D36">
      <w:pPr>
        <w:pStyle w:val="CETBodytext"/>
        <w:spacing w:line="22" w:lineRule="atLeast"/>
      </w:pPr>
      <w:r>
        <w:t>The kinetics of batch adsorption</w:t>
      </w:r>
      <w:r>
        <w:rPr>
          <w:color w:val="000000"/>
          <w:lang w:val="en-GB"/>
        </w:rPr>
        <w:t xml:space="preserve"> </w:t>
      </w:r>
      <w:sdt>
        <w:sdtPr>
          <w:rPr>
            <w:color w:val="000000"/>
            <w:lang w:val="en-GB"/>
          </w:rPr>
          <w:tag w:val="MENDELEY_CITATION_v3_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"/>
          <w:id w:val="-80917531"/>
          <w:placeholder>
            <w:docPart w:val="DefaultPlaceholder_-1854013440"/>
          </w:placeholder>
        </w:sdtPr>
        <w:sdtContent>
          <w:r w:rsidR="00532BF3" w:rsidRPr="00532BF3">
            <w:rPr>
              <w:color w:val="000000"/>
            </w:rPr>
            <w:t>(Lin &amp; Wang, 2009)</w:t>
          </w:r>
        </w:sdtContent>
      </w:sdt>
      <w:r w:rsidR="281403DA" w:rsidRPr="59739B99">
        <w:rPr>
          <w:lang w:val="en-GB"/>
        </w:rPr>
        <w:t xml:space="preserve"> were analysed by taking samples at specific time intervals: 2, 5, 10, 30, 60, and 120 minutes. These time points were chosen to capture the dynamics of the adsorption process and monitor the reduction in phenolic concentration as a function of time. The final phenolic concentration in the liquid phase after adsorption was measured, and </w:t>
      </w:r>
      <w:sdt>
        <w:sdtPr>
          <w:rPr>
            <w:color w:val="000000"/>
            <w:lang w:val="en-GB"/>
          </w:rPr>
          <w:tag w:val="MENDELEY_CITATION_v3_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"/>
          <w:id w:val="-513526098"/>
          <w:placeholder>
            <w:docPart w:val="DefaultPlaceholder_-1854013440"/>
          </w:placeholder>
        </w:sdtPr>
        <w:sdtContent>
          <w:r w:rsidR="00532BF3" w:rsidRPr="00532BF3">
            <w:rPr>
              <w:color w:val="000000"/>
            </w:rPr>
            <w:t>(Ho &amp; Mckay, 1999)</w:t>
          </w:r>
        </w:sdtContent>
      </w:sdt>
      <w:r w:rsidR="281403DA" w:rsidRPr="59739B99">
        <w:rPr>
          <w:lang w:val="en-GB"/>
        </w:rPr>
        <w:t xml:space="preserve">this data was used to model the kinetics and optimize the conditions for maximal adsorption efficiency. The study was run in an </w:t>
      </w:r>
      <w:r w:rsidR="002F597A" w:rsidRPr="002F597A">
        <w:rPr>
          <w:lang w:val="en-GB"/>
        </w:rPr>
        <w:t xml:space="preserve">NT735 </w:t>
      </w:r>
      <w:r w:rsidR="002F597A">
        <w:rPr>
          <w:lang w:val="en-GB"/>
        </w:rPr>
        <w:t>O</w:t>
      </w:r>
      <w:r w:rsidR="281403DA" w:rsidRPr="59739B99">
        <w:rPr>
          <w:lang w:val="en-GB"/>
        </w:rPr>
        <w:t xml:space="preserve">rbital </w:t>
      </w:r>
      <w:r w:rsidR="002F597A">
        <w:rPr>
          <w:lang w:val="en-GB"/>
        </w:rPr>
        <w:t>I</w:t>
      </w:r>
      <w:r w:rsidR="281403DA" w:rsidRPr="59739B99">
        <w:rPr>
          <w:lang w:val="en-GB"/>
        </w:rPr>
        <w:t xml:space="preserve">ncubator </w:t>
      </w:r>
      <w:r w:rsidR="002F597A">
        <w:rPr>
          <w:lang w:val="en-GB"/>
        </w:rPr>
        <w:t>S</w:t>
      </w:r>
      <w:r w:rsidR="281403DA" w:rsidRPr="59739B99">
        <w:rPr>
          <w:lang w:val="en-GB"/>
        </w:rPr>
        <w:t>haker at 150 rpm, using the appropriate mass of activated carbon and the volume of extract placed in 125 mL Erlenmeyer flasks.</w:t>
      </w:r>
    </w:p>
    <w:p w14:paraId="226405A1" w14:textId="6D4F5E2B" w:rsidR="59739B99" w:rsidRDefault="59739B99" w:rsidP="00FA0D36">
      <w:pPr>
        <w:pStyle w:val="CETBodytext"/>
        <w:spacing w:line="22" w:lineRule="atLeast"/>
        <w:rPr>
          <w:lang w:val="en-GB"/>
        </w:rPr>
      </w:pPr>
    </w:p>
    <w:p w14:paraId="7210745C" w14:textId="2B739C2F" w:rsidR="04ABFDB7" w:rsidRDefault="04ABFDB7" w:rsidP="00FA0D36">
      <w:pPr>
        <w:pStyle w:val="CETheadingx"/>
        <w:spacing w:line="22" w:lineRule="atLeast"/>
      </w:pPr>
      <w:r>
        <w:lastRenderedPageBreak/>
        <w:t>Data</w:t>
      </w:r>
      <w:r w:rsidR="1601F749">
        <w:t xml:space="preserve"> and statistical</w:t>
      </w:r>
      <w:r>
        <w:t xml:space="preserve"> modeling</w:t>
      </w:r>
    </w:p>
    <w:p w14:paraId="738A68B6" w14:textId="77777777" w:rsidR="00EC147D" w:rsidRDefault="00717A48" w:rsidP="00FA0D36">
      <w:pPr>
        <w:pStyle w:val="CETBodytext"/>
        <w:spacing w:line="22" w:lineRule="atLeast"/>
        <w:rPr>
          <w:lang w:val="en-GB"/>
        </w:rPr>
      </w:pPr>
      <w:r w:rsidRPr="00717A48">
        <w:rPr>
          <w:lang w:val="en-GB"/>
        </w:rPr>
        <w:t>This work introduces a generalized mode</w:t>
      </w:r>
      <w:r w:rsidR="005634EC">
        <w:rPr>
          <w:lang w:val="en-GB"/>
        </w:rPr>
        <w:t>, as</w:t>
      </w:r>
      <w:r w:rsidRPr="00717A48">
        <w:rPr>
          <w:lang w:val="en-GB"/>
        </w:rPr>
        <w:t xml:space="preserve"> Eq</w:t>
      </w:r>
      <w:r w:rsidR="005634EC">
        <w:rPr>
          <w:lang w:val="en-GB"/>
        </w:rPr>
        <w:t>(</w:t>
      </w:r>
      <w:r w:rsidRPr="00717A48">
        <w:rPr>
          <w:lang w:val="en-GB"/>
        </w:rPr>
        <w:t>1)</w:t>
      </w:r>
      <w:r w:rsidR="005634EC">
        <w:rPr>
          <w:lang w:val="en-GB"/>
        </w:rPr>
        <w:t>,</w:t>
      </w:r>
      <w:r w:rsidRPr="00717A48">
        <w:rPr>
          <w:lang w:val="en-GB"/>
        </w:rPr>
        <w:t xml:space="preserve"> to describe the batch adsorption process, derived from Lagergren's models Eq</w:t>
      </w:r>
      <w:r w:rsidR="005634EC">
        <w:rPr>
          <w:lang w:val="en-GB"/>
        </w:rPr>
        <w:t>(</w:t>
      </w:r>
      <w:r w:rsidRPr="00717A48">
        <w:rPr>
          <w:lang w:val="en-GB"/>
        </w:rPr>
        <w:t>2)</w:t>
      </w:r>
      <w:r w:rsidR="005634EC">
        <w:rPr>
          <w:lang w:val="en-GB"/>
        </w:rPr>
        <w:t xml:space="preserve"> and Eq(3)</w:t>
      </w:r>
      <w:r w:rsidR="00532BF3">
        <w:rPr>
          <w:lang w:val="en-GB"/>
        </w:rPr>
        <w:t xml:space="preserve"> </w:t>
      </w:r>
      <w:sdt>
        <w:sdtPr>
          <w:rPr>
            <w:color w:val="000000"/>
            <w:lang w:val="en-GB"/>
          </w:rPr>
          <w:tag w:val="MENDELEY_CITATION_v3_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"/>
          <w:id w:val="-1390495148"/>
          <w:placeholder>
            <w:docPart w:val="DefaultPlaceholder_-1854013440"/>
          </w:placeholder>
        </w:sdtPr>
        <w:sdtContent>
          <w:r w:rsidR="00532BF3" w:rsidRPr="00532BF3">
            <w:rPr>
              <w:color w:val="000000"/>
            </w:rPr>
            <w:t>(Ho &amp; Mckay, 1999)</w:t>
          </w:r>
        </w:sdtContent>
      </w:sdt>
      <w:r w:rsidRPr="00717A48">
        <w:rPr>
          <w:lang w:val="en-GB"/>
        </w:rPr>
        <w:t xml:space="preserve">. The pseudo-first-order (PFO) and pseudo-second-order (PSO) models, originally proposed by Lagergren, are adapted to better represent the dynamics of adsorption by integrating their features into a unified mathematical </w:t>
      </w:r>
      <w:r w:rsidR="00C7534F">
        <w:rPr>
          <w:lang w:val="en-GB"/>
        </w:rPr>
        <w:t>model</w:t>
      </w:r>
      <w:r w:rsidRPr="00717A48">
        <w:rPr>
          <w:lang w:val="en-GB"/>
        </w:rPr>
        <w:t>.</w:t>
      </w:r>
      <w:r w:rsidR="00F870A6">
        <w:rPr>
          <w:lang w:val="en-GB"/>
        </w:rPr>
        <w:t xml:space="preserve"> </w:t>
      </w:r>
    </w:p>
    <w:p w14:paraId="5A97B30B" w14:textId="3394EE65" w:rsidR="59FE47FC" w:rsidRDefault="00F870A6" w:rsidP="00FA0D36">
      <w:pPr>
        <w:pStyle w:val="CETBodytext"/>
        <w:spacing w:line="22" w:lineRule="atLeast"/>
        <w:rPr>
          <w:lang w:val="en-GB"/>
        </w:rPr>
      </w:pPr>
      <w:r w:rsidRPr="00307D9D">
        <w:rPr>
          <w:lang w:val="en-GB"/>
        </w:rPr>
        <w:t xml:space="preserve">The model developed to describe the adsorption process depends on four variables: </w:t>
      </w:r>
      <w:r w:rsidRPr="00465C6B">
        <w:rPr>
          <w:lang w:val="en-GB"/>
        </w:rPr>
        <w:t xml:space="preserve">initial concentration </w:t>
      </w:r>
      <w:r>
        <w:rPr>
          <w:lang w:val="en-GB"/>
        </w:rPr>
        <w:t>C</w:t>
      </w:r>
      <w:r w:rsidRPr="00711E6D">
        <w:rPr>
          <w:vertAlign w:val="subscript"/>
          <w:lang w:val="en-GB"/>
        </w:rPr>
        <w:t>0</w:t>
      </w:r>
      <w:r w:rsidRPr="00465C6B">
        <w:rPr>
          <w:lang w:val="en-GB"/>
        </w:rPr>
        <w:t xml:space="preserve">, solid-liquid ratio </w:t>
      </w:r>
      <w:r w:rsidR="00717A48">
        <w:rPr>
          <w:lang w:val="en-GB"/>
        </w:rPr>
        <w:t>SLR</w:t>
      </w:r>
      <w:r w:rsidRPr="00465C6B">
        <w:rPr>
          <w:lang w:val="en-GB"/>
        </w:rPr>
        <w:t>, temperature T</w:t>
      </w:r>
      <w:r w:rsidRPr="00307D9D">
        <w:rPr>
          <w:lang w:val="en-GB"/>
        </w:rPr>
        <w:t xml:space="preserve"> and time t. </w:t>
      </w:r>
      <w:r>
        <w:rPr>
          <w:lang w:val="en-GB"/>
        </w:rPr>
        <w:t>T</w:t>
      </w:r>
      <w:r w:rsidRPr="00307D9D">
        <w:rPr>
          <w:lang w:val="en-GB"/>
        </w:rPr>
        <w:t>he overall adsorption capacity q</w:t>
      </w:r>
      <w:r>
        <w:rPr>
          <w:vertAlign w:val="subscript"/>
          <w:lang w:val="en-GB"/>
        </w:rPr>
        <w:t>ov</w:t>
      </w:r>
      <w:r w:rsidRPr="00307D9D">
        <w:rPr>
          <w:lang w:val="en-GB"/>
        </w:rPr>
        <w:t xml:space="preserve"> is represented as:</w:t>
      </w:r>
    </w:p>
    <w:p w14:paraId="70E9BFA8" w14:textId="77777777" w:rsidR="00717A48" w:rsidRDefault="00717A48" w:rsidP="00FA0D36">
      <w:pPr>
        <w:pStyle w:val="CETBodytext"/>
        <w:spacing w:line="22" w:lineRule="atLeast"/>
        <w:rPr>
          <w:lang w:val="en-GB"/>
        </w:rPr>
      </w:pPr>
    </w:p>
    <w:tbl>
      <w:tblPr>
        <w:tblW w:w="5000" w:type="pct"/>
        <w:tblLook w:val="04A0" w:firstRow="1" w:lastRow="0" w:firstColumn="1" w:lastColumn="0" w:noHBand="0" w:noVBand="1"/>
      </w:tblPr>
      <w:tblGrid>
        <w:gridCol w:w="7984"/>
        <w:gridCol w:w="803"/>
      </w:tblGrid>
      <w:tr w:rsidR="00717A48" w:rsidRPr="00B57B36" w14:paraId="6B003F45" w14:textId="77777777" w:rsidTr="00DF78E2">
        <w:tc>
          <w:tcPr>
            <w:tcW w:w="8188" w:type="dxa"/>
            <w:shd w:val="clear" w:color="auto" w:fill="auto"/>
            <w:vAlign w:val="center"/>
          </w:tcPr>
          <w:p w14:paraId="526A94A7" w14:textId="6C09C3E9" w:rsidR="00717A48" w:rsidRPr="00394792" w:rsidRDefault="00000000" w:rsidP="00FA0D36">
            <w:pPr>
              <w:pStyle w:val="CETEquation"/>
              <w:spacing w:line="22" w:lineRule="atLeast"/>
              <w:rPr>
                <w:rFonts w:cs="Arial"/>
              </w:rPr>
            </w:pPr>
            <m:oMathPara>
              <m:oMathParaPr>
                <m:jc m:val="left"/>
              </m:oMathParaPr>
              <m:oMath>
                <m:sSub>
                  <m:sSubPr>
                    <m:ctrlPr>
                      <w:rPr>
                        <w:rFonts w:ascii="Cambria Math" w:hAnsi="Cambria Math" w:cs="Arial"/>
                        <w:i/>
                      </w:rPr>
                    </m:ctrlPr>
                  </m:sSubPr>
                  <m:e>
                    <m:r>
                      <w:rPr>
                        <w:rFonts w:ascii="Cambria Math" w:hAnsi="Cambria Math" w:cs="Arial"/>
                      </w:rPr>
                      <m:t>q</m:t>
                    </m:r>
                  </m:e>
                  <m:sub>
                    <m:r>
                      <w:rPr>
                        <w:rFonts w:ascii="Cambria Math" w:hAnsi="Cambria Math" w:cs="Arial"/>
                      </w:rPr>
                      <m:t>ov</m:t>
                    </m:r>
                  </m:sub>
                </m:sSub>
                <m:r>
                  <w:rPr>
                    <w:rFonts w:ascii="Cambria Math" w:hAnsi="Cambria Math" w:cs="Arial"/>
                  </w:rPr>
                  <m:t>=q(</m:t>
                </m:r>
                <m:sSub>
                  <m:sSubPr>
                    <m:ctrlPr>
                      <w:rPr>
                        <w:rFonts w:ascii="Cambria Math" w:hAnsi="Cambria Math" w:cs="Arial"/>
                        <w:i/>
                      </w:rPr>
                    </m:ctrlPr>
                  </m:sSubPr>
                  <m:e>
                    <m:r>
                      <w:rPr>
                        <w:rFonts w:ascii="Cambria Math" w:hAnsi="Cambria Math" w:cs="Arial"/>
                      </w:rPr>
                      <m:t>k</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q</m:t>
                    </m:r>
                  </m:e>
                  <m:sub>
                    <m:r>
                      <w:rPr>
                        <w:rFonts w:ascii="Cambria Math" w:hAnsi="Cambria Math" w:cs="Arial"/>
                      </w:rPr>
                      <m:t>eq</m:t>
                    </m:r>
                  </m:sub>
                </m:sSub>
                <m:r>
                  <w:rPr>
                    <w:rFonts w:ascii="Cambria Math" w:hAnsi="Cambria Math" w:cs="Arial"/>
                  </w:rPr>
                  <m:t>,t)=q(</m:t>
                </m:r>
                <m:sSub>
                  <m:sSubPr>
                    <m:ctrlPr>
                      <w:rPr>
                        <w:rFonts w:ascii="Cambria Math" w:hAnsi="Cambria Math" w:cs="Arial"/>
                        <w:i/>
                      </w:rPr>
                    </m:ctrlPr>
                  </m:sSubPr>
                  <m:e>
                    <m:r>
                      <w:rPr>
                        <w:rFonts w:ascii="Cambria Math" w:hAnsi="Cambria Math" w:cs="Arial"/>
                      </w:rPr>
                      <m:t>C</m:t>
                    </m:r>
                  </m:e>
                  <m:sub>
                    <m:r>
                      <w:rPr>
                        <w:rFonts w:ascii="Cambria Math" w:hAnsi="Cambria Math" w:cs="Arial"/>
                        <w:vertAlign w:val="subscript"/>
                      </w:rPr>
                      <m:t>0</m:t>
                    </m:r>
                  </m:sub>
                </m:sSub>
                <m:r>
                  <w:rPr>
                    <w:rFonts w:ascii="Cambria Math" w:hAnsi="Cambria Math" w:cs="Arial"/>
                  </w:rPr>
                  <m:t>,SLR,T,t)</m:t>
                </m:r>
              </m:oMath>
            </m:oMathPara>
          </w:p>
        </w:tc>
        <w:tc>
          <w:tcPr>
            <w:tcW w:w="815" w:type="dxa"/>
            <w:shd w:val="clear" w:color="auto" w:fill="auto"/>
            <w:vAlign w:val="center"/>
          </w:tcPr>
          <w:p w14:paraId="5DD5B7FD" w14:textId="77777777" w:rsidR="00717A48" w:rsidRPr="00B57B36" w:rsidRDefault="00717A48" w:rsidP="00FA0D36">
            <w:pPr>
              <w:pStyle w:val="CETEquation"/>
              <w:spacing w:line="22" w:lineRule="atLeast"/>
              <w:jc w:val="right"/>
            </w:pPr>
            <w:r w:rsidRPr="00B57B36">
              <w:t>(1)</w:t>
            </w:r>
          </w:p>
        </w:tc>
      </w:tr>
    </w:tbl>
    <w:p w14:paraId="3F1B4446" w14:textId="6CB191B4" w:rsidR="40D3B466" w:rsidRPr="000E0993" w:rsidRDefault="40D3B466" w:rsidP="59739B99">
      <w:pPr>
        <w:pStyle w:val="CETTabletitle"/>
        <w:rPr>
          <w:rFonts w:eastAsia="Arial" w:cs="Arial"/>
          <w:iCs/>
          <w:color w:val="000000" w:themeColor="text1"/>
          <w:szCs w:val="18"/>
          <w:lang w:val="en-US"/>
        </w:rPr>
      </w:pPr>
      <w:r w:rsidRPr="59739B99">
        <w:rPr>
          <w:rFonts w:eastAsia="Arial" w:cs="Arial"/>
          <w:iCs/>
          <w:color w:val="000000" w:themeColor="text1"/>
          <w:szCs w:val="18"/>
        </w:rPr>
        <w:t xml:space="preserve">Table </w:t>
      </w:r>
      <w:r w:rsidR="001D373D">
        <w:rPr>
          <w:rFonts w:eastAsia="Arial" w:cs="Arial"/>
          <w:iCs/>
          <w:color w:val="000000" w:themeColor="text1"/>
          <w:szCs w:val="18"/>
        </w:rPr>
        <w:t>1</w:t>
      </w:r>
      <w:r w:rsidRPr="59739B99">
        <w:rPr>
          <w:rFonts w:eastAsia="Arial" w:cs="Arial"/>
          <w:iCs/>
          <w:color w:val="000000" w:themeColor="text1"/>
          <w:szCs w:val="18"/>
        </w:rPr>
        <w:t xml:space="preserve">: </w:t>
      </w:r>
      <w:r w:rsidR="00717A48">
        <w:rPr>
          <w:rFonts w:eastAsia="Arial" w:cs="Arial"/>
          <w:iCs/>
          <w:color w:val="000000" w:themeColor="text1"/>
          <w:szCs w:val="18"/>
        </w:rPr>
        <w:t>Lagerg</w:t>
      </w:r>
      <w:r w:rsidR="00C7534F">
        <w:rPr>
          <w:rFonts w:eastAsia="Arial" w:cs="Arial"/>
          <w:iCs/>
          <w:color w:val="000000" w:themeColor="text1"/>
          <w:szCs w:val="18"/>
        </w:rPr>
        <w:t>ren k</w:t>
      </w:r>
      <w:r w:rsidR="77CCB67A" w:rsidRPr="59739B99">
        <w:rPr>
          <w:rFonts w:eastAsia="Arial" w:cs="Arial"/>
          <w:iCs/>
          <w:color w:val="000000" w:themeColor="text1"/>
          <w:szCs w:val="18"/>
        </w:rPr>
        <w:t>inetics models evaluated in the phenolics adsorption onto CAC</w:t>
      </w:r>
    </w:p>
    <w:tbl>
      <w:tblPr>
        <w:tblStyle w:val="TabelaSimples-1"/>
        <w:tblW w:w="0" w:type="auto"/>
        <w:tblLayout w:type="fixed"/>
        <w:tblLook w:val="00A0" w:firstRow="1" w:lastRow="0" w:firstColumn="1" w:lastColumn="0" w:noHBand="0" w:noVBand="0"/>
      </w:tblPr>
      <w:tblGrid>
        <w:gridCol w:w="3965"/>
        <w:gridCol w:w="4415"/>
        <w:gridCol w:w="528"/>
      </w:tblGrid>
      <w:tr w:rsidR="59739B99" w14:paraId="3F3E29B6" w14:textId="77777777" w:rsidTr="59739B99">
        <w:trPr>
          <w:cnfStyle w:val="100000000000" w:firstRow="1" w:lastRow="0" w:firstColumn="0" w:lastColumn="0" w:oddVBand="0" w:evenVBand="0" w:oddHBand="0" w:evenHBand="0" w:firstRowFirstColumn="0" w:firstRowLastColumn="0" w:lastRowFirstColumn="0" w:lastRowLastColumn="0"/>
          <w:trHeight w:val="300"/>
        </w:trPr>
        <w:tc>
          <w:tcPr>
            <w:tcW w:w="3965" w:type="dxa"/>
          </w:tcPr>
          <w:p w14:paraId="57947359" w14:textId="06CA4946" w:rsidR="40D3B466" w:rsidRDefault="40D3B466" w:rsidP="00807257">
            <w:pPr>
              <w:pStyle w:val="CETBodytext"/>
              <w:numPr>
                <w:ilvl w:val="0"/>
                <w:numId w:val="0"/>
              </w:numPr>
            </w:pPr>
            <w:r w:rsidRPr="59739B99">
              <w:rPr>
                <w:rFonts w:eastAsia="Arial" w:cs="Arial"/>
                <w:szCs w:val="18"/>
                <w:lang w:val="en-GB"/>
              </w:rPr>
              <w:t>Model</w:t>
            </w:r>
          </w:p>
        </w:tc>
        <w:tc>
          <w:tcPr>
            <w:tcW w:w="4415" w:type="dxa"/>
          </w:tcPr>
          <w:p w14:paraId="4E1AA732" w14:textId="2D188489" w:rsidR="40D3B466" w:rsidRDefault="40D3B466" w:rsidP="00904AB1">
            <w:pPr>
              <w:pStyle w:val="CETBodytext"/>
              <w:numPr>
                <w:ilvl w:val="0"/>
                <w:numId w:val="0"/>
              </w:numPr>
              <w:jc w:val="left"/>
              <w:rPr>
                <w:rFonts w:eastAsia="Arial" w:cs="Arial"/>
                <w:szCs w:val="18"/>
              </w:rPr>
            </w:pPr>
            <w:r w:rsidRPr="59739B99">
              <w:rPr>
                <w:rFonts w:eastAsia="Arial" w:cs="Arial"/>
                <w:szCs w:val="18"/>
                <w:lang w:val="en-GB"/>
              </w:rPr>
              <w:t>Kinetics equation</w:t>
            </w:r>
          </w:p>
        </w:tc>
        <w:tc>
          <w:tcPr>
            <w:tcW w:w="528" w:type="dxa"/>
          </w:tcPr>
          <w:p w14:paraId="662AD62A" w14:textId="7E77C398" w:rsidR="59739B99" w:rsidRDefault="59739B99" w:rsidP="00340AE0">
            <w:pPr>
              <w:pStyle w:val="CETBodytext"/>
              <w:numPr>
                <w:ilvl w:val="0"/>
                <w:numId w:val="0"/>
              </w:numPr>
              <w:rPr>
                <w:rFonts w:eastAsia="Arial" w:cs="Arial"/>
                <w:szCs w:val="18"/>
                <w:lang w:val="en-GB"/>
              </w:rPr>
            </w:pPr>
          </w:p>
        </w:tc>
      </w:tr>
      <w:tr w:rsidR="59739B99" w14:paraId="374CFBAF" w14:textId="77777777" w:rsidTr="00340AE0">
        <w:trPr>
          <w:trHeight w:val="300"/>
        </w:trPr>
        <w:tc>
          <w:tcPr>
            <w:tcW w:w="3965" w:type="dxa"/>
          </w:tcPr>
          <w:p w14:paraId="13ACF49E" w14:textId="1A2036CA" w:rsidR="40D3B466" w:rsidRDefault="40D3B466" w:rsidP="00807257">
            <w:pPr>
              <w:pStyle w:val="CETBodytext"/>
              <w:numPr>
                <w:ilvl w:val="0"/>
                <w:numId w:val="0"/>
              </w:numPr>
              <w:jc w:val="left"/>
              <w:rPr>
                <w:rFonts w:eastAsia="Arial" w:cs="Arial"/>
                <w:szCs w:val="18"/>
              </w:rPr>
            </w:pPr>
            <w:r w:rsidRPr="59739B99">
              <w:rPr>
                <w:rFonts w:eastAsia="Arial" w:cs="Arial"/>
                <w:szCs w:val="18"/>
                <w:lang w:val="en-GB"/>
              </w:rPr>
              <w:t>Pseudo-first order (PFO)</w:t>
            </w:r>
          </w:p>
        </w:tc>
        <w:tc>
          <w:tcPr>
            <w:tcW w:w="4415" w:type="dxa"/>
            <w:vAlign w:val="center"/>
          </w:tcPr>
          <w:p w14:paraId="61A3BEA0" w14:textId="5E5AA83D" w:rsidR="59739B99" w:rsidRPr="00904AB1" w:rsidRDefault="59739B99" w:rsidP="00F870A6">
            <w:pPr>
              <w:numPr>
                <w:ilvl w:val="0"/>
                <w:numId w:val="0"/>
              </w:numPr>
              <w:jc w:val="left"/>
              <w:rPr>
                <w:rFonts w:eastAsia="Arial" w:cs="Arial"/>
                <w:szCs w:val="18"/>
              </w:rPr>
            </w:pPr>
            <m:oMathPara>
              <m:oMathParaPr>
                <m:jc m:val="left"/>
              </m:oMathParaPr>
              <m:oMath>
                <m:r>
                  <w:rPr>
                    <w:rFonts w:ascii="Cambria Math" w:hAnsi="Cambria Math"/>
                  </w:rPr>
                  <m:t>q</m:t>
                </m:r>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eq</m:t>
                    </m:r>
                  </m:sub>
                </m:sSub>
                <m:d>
                  <m:dPr>
                    <m:begChr m:val="["/>
                    <m:endChr m:val="]"/>
                    <m:ctrlPr>
                      <w:rPr>
                        <w:rFonts w:ascii="Cambria Math" w:hAnsi="Cambria Math"/>
                      </w:rPr>
                    </m:ctrlPr>
                  </m:dPr>
                  <m:e>
                    <m:r>
                      <w:rPr>
                        <w:rFonts w:ascii="Cambria Math" w:hAnsi="Cambria Math"/>
                      </w:rPr>
                      <m:t>1-</m:t>
                    </m:r>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1</m:t>
                                </m:r>
                              </m:sub>
                            </m:sSub>
                            <m:r>
                              <w:rPr>
                                <w:rFonts w:ascii="Cambria Math" w:hAnsi="Cambria Math"/>
                              </w:rPr>
                              <m:t>t</m:t>
                            </m:r>
                          </m:e>
                        </m:d>
                      </m:e>
                    </m:func>
                  </m:e>
                </m:d>
              </m:oMath>
            </m:oMathPara>
          </w:p>
        </w:tc>
        <w:tc>
          <w:tcPr>
            <w:tcW w:w="528" w:type="dxa"/>
          </w:tcPr>
          <w:p w14:paraId="211BFDBB" w14:textId="3D4D4A20" w:rsidR="422CF94D" w:rsidRDefault="422CF94D" w:rsidP="00904AB1">
            <w:pPr>
              <w:numPr>
                <w:ilvl w:val="0"/>
                <w:numId w:val="0"/>
              </w:numPr>
              <w:jc w:val="left"/>
              <w:rPr>
                <w:rFonts w:eastAsia="Arial" w:cs="Arial"/>
                <w:szCs w:val="18"/>
              </w:rPr>
            </w:pPr>
            <w:r w:rsidRPr="59739B99">
              <w:rPr>
                <w:rFonts w:eastAsia="Arial" w:cs="Arial"/>
                <w:szCs w:val="18"/>
              </w:rPr>
              <w:t>(</w:t>
            </w:r>
            <w:r w:rsidR="00717A48">
              <w:rPr>
                <w:rFonts w:eastAsia="Arial" w:cs="Arial"/>
                <w:szCs w:val="18"/>
              </w:rPr>
              <w:t>2</w:t>
            </w:r>
            <w:r w:rsidRPr="59739B99">
              <w:rPr>
                <w:rFonts w:eastAsia="Arial" w:cs="Arial"/>
                <w:szCs w:val="18"/>
              </w:rPr>
              <w:t>)</w:t>
            </w:r>
          </w:p>
        </w:tc>
      </w:tr>
      <w:tr w:rsidR="59739B99" w14:paraId="0355F61E" w14:textId="77777777" w:rsidTr="00340AE0">
        <w:trPr>
          <w:trHeight w:val="300"/>
        </w:trPr>
        <w:tc>
          <w:tcPr>
            <w:tcW w:w="3965" w:type="dxa"/>
          </w:tcPr>
          <w:p w14:paraId="5E864CED" w14:textId="395B86C6" w:rsidR="40D3B466" w:rsidRDefault="40D3B466" w:rsidP="00807257">
            <w:pPr>
              <w:numPr>
                <w:ilvl w:val="0"/>
                <w:numId w:val="0"/>
              </w:numPr>
              <w:ind w:right="-1"/>
              <w:jc w:val="left"/>
              <w:rPr>
                <w:rFonts w:eastAsia="Arial" w:cs="Arial"/>
                <w:szCs w:val="18"/>
              </w:rPr>
            </w:pPr>
            <w:r w:rsidRPr="59739B99">
              <w:rPr>
                <w:rFonts w:eastAsia="Arial" w:cs="Arial"/>
                <w:szCs w:val="18"/>
              </w:rPr>
              <w:t>Pseudo-second order (PSO)</w:t>
            </w:r>
          </w:p>
        </w:tc>
        <w:tc>
          <w:tcPr>
            <w:tcW w:w="4415" w:type="dxa"/>
            <w:vAlign w:val="center"/>
          </w:tcPr>
          <w:p w14:paraId="19D50DB1" w14:textId="7539470A" w:rsidR="59739B99" w:rsidRPr="00904AB1" w:rsidRDefault="59739B99" w:rsidP="00F870A6">
            <w:pPr>
              <w:numPr>
                <w:ilvl w:val="0"/>
                <w:numId w:val="0"/>
              </w:numPr>
              <w:jc w:val="left"/>
              <w:rPr>
                <w:rFonts w:eastAsia="Arial" w:cs="Arial"/>
                <w:szCs w:val="18"/>
              </w:rPr>
            </w:pPr>
            <m:oMathPara>
              <m:oMathParaPr>
                <m:jc m:val="left"/>
              </m:oMathParaPr>
              <m:oMath>
                <m:r>
                  <w:rPr>
                    <w:rFonts w:ascii="Cambria Math" w:hAnsi="Cambria Math"/>
                  </w:rPr>
                  <m:t>q</m:t>
                </m:r>
                <m:d>
                  <m:dPr>
                    <m:ctrlPr>
                      <w:rPr>
                        <w:rFonts w:ascii="Cambria Math" w:hAnsi="Cambria Math"/>
                      </w:rPr>
                    </m:ctrlPr>
                  </m:dPr>
                  <m:e>
                    <m:r>
                      <w:rPr>
                        <w:rFonts w:ascii="Cambria Math" w:hAnsi="Cambria Math"/>
                      </w:rPr>
                      <m:t>t</m:t>
                    </m:r>
                  </m:e>
                </m:d>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q</m:t>
                        </m:r>
                      </m:e>
                      <m:sub>
                        <m:r>
                          <w:rPr>
                            <w:rFonts w:ascii="Cambria Math" w:hAnsi="Cambria Math"/>
                          </w:rPr>
                          <m:t>eq</m:t>
                        </m:r>
                      </m:sub>
                      <m:sup>
                        <m:r>
                          <w:rPr>
                            <w:rFonts w:ascii="Cambria Math" w:hAnsi="Cambria Math"/>
                          </w:rPr>
                          <m:t>2</m:t>
                        </m:r>
                      </m:sup>
                    </m:sSubSup>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t</m:t>
                    </m:r>
                  </m:num>
                  <m:den>
                    <m:r>
                      <w:rPr>
                        <w:rFonts w:ascii="Cambria Math" w:hAnsi="Cambria Math"/>
                      </w:rPr>
                      <m:t>1+</m:t>
                    </m:r>
                    <m:sSubSup>
                      <m:sSubSupPr>
                        <m:ctrlPr>
                          <w:rPr>
                            <w:rFonts w:ascii="Cambria Math" w:hAnsi="Cambria Math"/>
                          </w:rPr>
                        </m:ctrlPr>
                      </m:sSubSupPr>
                      <m:e>
                        <m:r>
                          <w:rPr>
                            <w:rFonts w:ascii="Cambria Math" w:hAnsi="Cambria Math"/>
                          </w:rPr>
                          <m:t>q</m:t>
                        </m:r>
                      </m:e>
                      <m:sub>
                        <m:r>
                          <w:rPr>
                            <w:rFonts w:ascii="Cambria Math" w:hAnsi="Cambria Math"/>
                          </w:rPr>
                          <m:t>eq</m:t>
                        </m:r>
                      </m:sub>
                      <m:sup>
                        <m:r>
                          <w:rPr>
                            <w:rFonts w:ascii="Cambria Math" w:hAnsi="Cambria Math"/>
                          </w:rPr>
                          <m:t>2</m:t>
                        </m:r>
                      </m:sup>
                    </m:sSubSup>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t</m:t>
                    </m:r>
                  </m:den>
                </m:f>
              </m:oMath>
            </m:oMathPara>
          </w:p>
        </w:tc>
        <w:tc>
          <w:tcPr>
            <w:tcW w:w="528" w:type="dxa"/>
          </w:tcPr>
          <w:p w14:paraId="5C149A02" w14:textId="750F00A4" w:rsidR="012610B8" w:rsidRDefault="012610B8" w:rsidP="00904AB1">
            <w:pPr>
              <w:numPr>
                <w:ilvl w:val="0"/>
                <w:numId w:val="0"/>
              </w:numPr>
              <w:jc w:val="left"/>
              <w:rPr>
                <w:rFonts w:eastAsia="Arial" w:cs="Arial"/>
                <w:szCs w:val="18"/>
              </w:rPr>
            </w:pPr>
            <w:r w:rsidRPr="59739B99">
              <w:rPr>
                <w:rFonts w:eastAsia="Arial" w:cs="Arial"/>
                <w:szCs w:val="18"/>
              </w:rPr>
              <w:t>(</w:t>
            </w:r>
            <w:r w:rsidR="00717A48">
              <w:rPr>
                <w:rFonts w:eastAsia="Arial" w:cs="Arial"/>
                <w:szCs w:val="18"/>
              </w:rPr>
              <w:t>3</w:t>
            </w:r>
            <w:r w:rsidRPr="59739B99">
              <w:rPr>
                <w:rFonts w:eastAsia="Arial" w:cs="Arial"/>
                <w:szCs w:val="18"/>
              </w:rPr>
              <w:t>)</w:t>
            </w:r>
          </w:p>
        </w:tc>
      </w:tr>
    </w:tbl>
    <w:p w14:paraId="668610E7" w14:textId="491BFCA2" w:rsidR="1201AA71" w:rsidRPr="006344BE" w:rsidRDefault="1201AA71" w:rsidP="00FA0D36">
      <w:pPr>
        <w:pStyle w:val="CETBodytext"/>
        <w:spacing w:line="22" w:lineRule="atLeast"/>
        <w:rPr>
          <w:rFonts w:cs="Arial"/>
        </w:rPr>
      </w:pPr>
      <w:r w:rsidRPr="006344BE">
        <w:rPr>
          <w:rFonts w:cs="Arial"/>
        </w:rPr>
        <w:t>Parameters</w:t>
      </w:r>
      <w:r w:rsidR="5884A893" w:rsidRPr="006344BE">
        <w:rPr>
          <w:rFonts w:eastAsiaTheme="minorEastAsia" w:cs="Arial"/>
          <w:szCs w:val="18"/>
        </w:rPr>
        <w:t xml:space="preserve"> q(t)</w:t>
      </w:r>
      <w:r w:rsidRPr="006344BE">
        <w:rPr>
          <w:rFonts w:eastAsiaTheme="minorEastAsia" w:cs="Arial"/>
          <w:szCs w:val="18"/>
        </w:rPr>
        <w:t xml:space="preserve"> and </w:t>
      </w:r>
      <w:r w:rsidR="0E4FABAF" w:rsidRPr="006344BE">
        <w:rPr>
          <w:rFonts w:eastAsiaTheme="minorEastAsia" w:cs="Arial"/>
          <w:szCs w:val="18"/>
        </w:rPr>
        <w:t>q</w:t>
      </w:r>
      <w:r w:rsidR="0E4FABAF" w:rsidRPr="006344BE">
        <w:rPr>
          <w:rFonts w:eastAsiaTheme="minorEastAsia" w:cs="Arial"/>
          <w:szCs w:val="18"/>
          <w:vertAlign w:val="subscript"/>
        </w:rPr>
        <w:t>eq</w:t>
      </w:r>
      <w:r w:rsidRPr="006344BE">
        <w:rPr>
          <w:rFonts w:eastAsiaTheme="minorEastAsia" w:cs="Arial"/>
          <w:szCs w:val="18"/>
        </w:rPr>
        <w:t xml:space="preserve"> (mg</w:t>
      </w:r>
      <w:r w:rsidR="0043CFA5" w:rsidRPr="006344BE">
        <w:rPr>
          <w:rFonts w:eastAsiaTheme="minorEastAsia" w:cs="Arial"/>
          <w:szCs w:val="18"/>
        </w:rPr>
        <w:t xml:space="preserve"> </w:t>
      </w:r>
      <w:r w:rsidR="0038E070" w:rsidRPr="006344BE">
        <w:rPr>
          <w:rFonts w:eastAsiaTheme="minorEastAsia" w:cs="Arial"/>
          <w:szCs w:val="18"/>
        </w:rPr>
        <w:t>g</w:t>
      </w:r>
      <w:r w:rsidR="328FA17F" w:rsidRPr="006344BE">
        <w:rPr>
          <w:rFonts w:eastAsiaTheme="minorEastAsia" w:cs="Arial"/>
          <w:szCs w:val="18"/>
          <w:vertAlign w:val="superscript"/>
        </w:rPr>
        <w:t>-1</w:t>
      </w:r>
      <w:r w:rsidRPr="006344BE">
        <w:rPr>
          <w:rFonts w:eastAsiaTheme="minorEastAsia" w:cs="Arial"/>
          <w:szCs w:val="18"/>
        </w:rPr>
        <w:t xml:space="preserve">) are the concentration of sorbed solute per mass of sorbent at time t (min) and at equilibrium, respectively, </w:t>
      </w:r>
      <w:r w:rsidR="001D373D">
        <w:rPr>
          <w:rFonts w:eastAsiaTheme="minorEastAsia" w:cs="Arial"/>
          <w:szCs w:val="18"/>
        </w:rPr>
        <w:t>k</w:t>
      </w:r>
      <w:r w:rsidR="2F9A8613" w:rsidRPr="006344BE">
        <w:rPr>
          <w:rFonts w:eastAsiaTheme="minorEastAsia" w:cs="Arial"/>
          <w:szCs w:val="18"/>
          <w:vertAlign w:val="subscript"/>
        </w:rPr>
        <w:t>1</w:t>
      </w:r>
      <w:r w:rsidR="1447DBC9" w:rsidRPr="006344BE">
        <w:rPr>
          <w:rFonts w:eastAsiaTheme="minorEastAsia" w:cs="Arial"/>
          <w:szCs w:val="18"/>
        </w:rPr>
        <w:t xml:space="preserve"> </w:t>
      </w:r>
      <w:r w:rsidRPr="006344BE">
        <w:rPr>
          <w:rFonts w:eastAsiaTheme="minorEastAsia" w:cs="Arial"/>
          <w:szCs w:val="18"/>
        </w:rPr>
        <w:t>(min</w:t>
      </w:r>
      <w:r w:rsidR="006FB6FF" w:rsidRPr="006344BE">
        <w:rPr>
          <w:rFonts w:eastAsiaTheme="minorEastAsia" w:cs="Arial"/>
          <w:szCs w:val="18"/>
          <w:vertAlign w:val="superscript"/>
        </w:rPr>
        <w:t>-</w:t>
      </w:r>
      <w:r w:rsidRPr="006344BE">
        <w:rPr>
          <w:rFonts w:eastAsiaTheme="minorEastAsia" w:cs="Arial"/>
          <w:szCs w:val="18"/>
          <w:vertAlign w:val="superscript"/>
        </w:rPr>
        <w:t>1</w:t>
      </w:r>
      <w:r w:rsidRPr="006344BE">
        <w:rPr>
          <w:rFonts w:eastAsiaTheme="minorEastAsia" w:cs="Arial"/>
          <w:szCs w:val="18"/>
        </w:rPr>
        <w:t xml:space="preserve">), </w:t>
      </w:r>
      <w:r w:rsidR="001D373D">
        <w:rPr>
          <w:rFonts w:eastAsiaTheme="minorEastAsia" w:cs="Arial"/>
          <w:szCs w:val="18"/>
        </w:rPr>
        <w:t>k</w:t>
      </w:r>
      <w:r w:rsidRPr="006344BE">
        <w:rPr>
          <w:rFonts w:eastAsiaTheme="minorEastAsia" w:cs="Arial"/>
          <w:szCs w:val="18"/>
          <w:vertAlign w:val="subscript"/>
        </w:rPr>
        <w:t>2</w:t>
      </w:r>
      <w:r w:rsidRPr="006344BE">
        <w:rPr>
          <w:rFonts w:eastAsiaTheme="minorEastAsia" w:cs="Arial"/>
          <w:szCs w:val="18"/>
        </w:rPr>
        <w:t xml:space="preserve"> (g mg</w:t>
      </w:r>
      <w:r w:rsidRPr="006344BE">
        <w:rPr>
          <w:rFonts w:eastAsiaTheme="minorEastAsia" w:cs="Arial"/>
          <w:szCs w:val="18"/>
          <w:vertAlign w:val="superscript"/>
        </w:rPr>
        <w:t>−1</w:t>
      </w:r>
      <w:r w:rsidRPr="006344BE">
        <w:rPr>
          <w:rFonts w:eastAsiaTheme="minorEastAsia" w:cs="Arial"/>
          <w:szCs w:val="18"/>
        </w:rPr>
        <w:t xml:space="preserve"> min</w:t>
      </w:r>
      <w:r w:rsidRPr="006344BE">
        <w:rPr>
          <w:rFonts w:eastAsiaTheme="minorEastAsia" w:cs="Arial"/>
          <w:szCs w:val="18"/>
          <w:vertAlign w:val="superscript"/>
        </w:rPr>
        <w:t>−1</w:t>
      </w:r>
      <w:r w:rsidRPr="006344BE">
        <w:rPr>
          <w:rFonts w:eastAsiaTheme="minorEastAsia" w:cs="Arial"/>
          <w:szCs w:val="18"/>
        </w:rPr>
        <w:t>), are the kinetics parameters for</w:t>
      </w:r>
      <w:r w:rsidR="5F049118" w:rsidRPr="006344BE">
        <w:rPr>
          <w:rFonts w:eastAsiaTheme="minorEastAsia" w:cs="Arial"/>
          <w:szCs w:val="18"/>
        </w:rPr>
        <w:t xml:space="preserve"> </w:t>
      </w:r>
      <w:r w:rsidRPr="006344BE">
        <w:rPr>
          <w:rFonts w:eastAsiaTheme="minorEastAsia" w:cs="Arial"/>
          <w:szCs w:val="18"/>
        </w:rPr>
        <w:t xml:space="preserve">the PFO, PSO, </w:t>
      </w:r>
      <w:r w:rsidRPr="006344BE">
        <w:rPr>
          <w:rFonts w:cs="Arial"/>
        </w:rPr>
        <w:t>kinetics models</w:t>
      </w:r>
      <w:r w:rsidR="7584A0CB" w:rsidRPr="006344BE">
        <w:rPr>
          <w:rFonts w:cs="Arial"/>
        </w:rPr>
        <w:t>.</w:t>
      </w:r>
    </w:p>
    <w:p w14:paraId="60168104" w14:textId="23C82199" w:rsidR="59739B99" w:rsidRPr="000E0993" w:rsidRDefault="59739B99" w:rsidP="00FA0D36">
      <w:pPr>
        <w:pStyle w:val="CETBodytext"/>
        <w:spacing w:line="22" w:lineRule="atLeast"/>
      </w:pPr>
    </w:p>
    <w:p w14:paraId="464474DB" w14:textId="69C51F37" w:rsidR="00307D9D" w:rsidRDefault="00307D9D" w:rsidP="00FA0D36">
      <w:pPr>
        <w:pStyle w:val="CETBodytext"/>
        <w:spacing w:line="22" w:lineRule="atLeast"/>
        <w:rPr>
          <w:lang w:val="en-GB"/>
        </w:rPr>
      </w:pPr>
      <w:r w:rsidRPr="00307D9D">
        <w:rPr>
          <w:lang w:val="en-GB"/>
        </w:rPr>
        <w:t xml:space="preserve">The rate constant </w:t>
      </w:r>
      <w:r w:rsidR="00055A1D">
        <w:rPr>
          <w:lang w:val="en-GB"/>
        </w:rPr>
        <w:t>k</w:t>
      </w:r>
      <w:r w:rsidRPr="006704DF">
        <w:rPr>
          <w:vertAlign w:val="subscript"/>
          <w:lang w:val="en-GB"/>
        </w:rPr>
        <w:t>i</w:t>
      </w:r>
      <w:r w:rsidRPr="00307D9D">
        <w:rPr>
          <w:lang w:val="en-GB"/>
        </w:rPr>
        <w:t xml:space="preserve"> follows the Arrhenius equation</w:t>
      </w:r>
      <w:r w:rsidR="005634EC">
        <w:rPr>
          <w:lang w:val="en-GB"/>
        </w:rPr>
        <w:t xml:space="preserve"> Eq(4)</w:t>
      </w:r>
      <w:r w:rsidRPr="00307D9D">
        <w:rPr>
          <w:lang w:val="en-GB"/>
        </w:rPr>
        <w:t>:</w:t>
      </w:r>
    </w:p>
    <w:p w14:paraId="2BED604E" w14:textId="77777777" w:rsidR="006704DF" w:rsidRDefault="006704DF" w:rsidP="00FA0D36">
      <w:pPr>
        <w:pStyle w:val="CETBodytext"/>
        <w:spacing w:line="22" w:lineRule="atLeast"/>
        <w:rPr>
          <w:lang w:val="en-GB"/>
        </w:rPr>
      </w:pPr>
    </w:p>
    <w:tbl>
      <w:tblPr>
        <w:tblW w:w="5000" w:type="pct"/>
        <w:tblLook w:val="04A0" w:firstRow="1" w:lastRow="0" w:firstColumn="1" w:lastColumn="0" w:noHBand="0" w:noVBand="1"/>
      </w:tblPr>
      <w:tblGrid>
        <w:gridCol w:w="7983"/>
        <w:gridCol w:w="804"/>
      </w:tblGrid>
      <w:tr w:rsidR="00C7534F" w:rsidRPr="00B57B36" w14:paraId="4F31C302" w14:textId="77777777" w:rsidTr="00DF78E2">
        <w:tc>
          <w:tcPr>
            <w:tcW w:w="8188" w:type="dxa"/>
            <w:shd w:val="clear" w:color="auto" w:fill="auto"/>
            <w:vAlign w:val="center"/>
          </w:tcPr>
          <w:p w14:paraId="59302E02" w14:textId="2CE13090" w:rsidR="00C7534F" w:rsidRPr="00394792" w:rsidRDefault="00000000" w:rsidP="00FA0D36">
            <w:pPr>
              <w:pStyle w:val="CETEquation"/>
              <w:spacing w:line="22" w:lineRule="atLeast"/>
              <w:rPr>
                <w:rFonts w:cs="Arial"/>
              </w:rPr>
            </w:pPr>
            <m:oMathPara>
              <m:oMathParaPr>
                <m:jc m:val="left"/>
              </m:oMathParaPr>
              <m:oMath>
                <m:sSub>
                  <m:sSubPr>
                    <m:ctrlPr>
                      <w:rPr>
                        <w:rFonts w:ascii="Cambria Math" w:hAnsi="Cambria Math" w:cs="Arial"/>
                        <w:i/>
                      </w:rPr>
                    </m:ctrlPr>
                  </m:sSubPr>
                  <m:e>
                    <m:r>
                      <w:rPr>
                        <w:rFonts w:ascii="Cambria Math" w:hAnsi="Cambria Math" w:cs="Arial"/>
                      </w:rPr>
                      <m:t>k</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i,0</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vertAlign w:val="subscript"/>
                      </w:rPr>
                      <m:t>0</m:t>
                    </m:r>
                  </m:sub>
                </m:sSub>
                <m:r>
                  <w:rPr>
                    <w:rFonts w:ascii="Cambria Math" w:hAnsi="Cambria Math" w:cs="Arial"/>
                  </w:rPr>
                  <m:t>,SLR)⋅exp</m:t>
                </m:r>
                <m:d>
                  <m:dPr>
                    <m:begChr m:val="["/>
                    <m:endChr m:val="]"/>
                    <m:ctrlPr>
                      <w:rPr>
                        <w:rFonts w:ascii="Cambria Math" w:hAnsi="Cambria Math" w:cs="Arial"/>
                        <w:i/>
                      </w:rPr>
                    </m:ctrlPr>
                  </m:dPr>
                  <m:e>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Ea</m:t>
                            </m:r>
                          </m:e>
                          <m:sub>
                            <m:r>
                              <w:rPr>
                                <w:rFonts w:ascii="Cambria Math" w:hAnsi="Cambria Math" w:cs="Arial"/>
                              </w:rPr>
                              <m:t>i</m:t>
                            </m:r>
                          </m:sub>
                        </m:sSub>
                      </m:num>
                      <m:den>
                        <m:r>
                          <w:rPr>
                            <w:rFonts w:ascii="Cambria Math" w:hAnsi="Cambria Math" w:cs="Arial"/>
                          </w:rPr>
                          <m:t>R</m:t>
                        </m:r>
                      </m:den>
                    </m:f>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r>
                              <w:rPr>
                                <w:rFonts w:ascii="Cambria Math" w:hAnsi="Cambria Math" w:cs="Arial"/>
                              </w:rPr>
                              <m:t>T</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T</m:t>
                                </m:r>
                              </m:e>
                              <m:sub>
                                <m:r>
                                  <w:rPr>
                                    <w:rFonts w:ascii="Cambria Math" w:hAnsi="Cambria Math" w:cs="Arial"/>
                                  </w:rPr>
                                  <m:t>ref</m:t>
                                </m:r>
                              </m:sub>
                            </m:sSub>
                          </m:den>
                        </m:f>
                      </m:e>
                    </m:d>
                  </m:e>
                </m:d>
              </m:oMath>
            </m:oMathPara>
          </w:p>
        </w:tc>
        <w:tc>
          <w:tcPr>
            <w:tcW w:w="815" w:type="dxa"/>
            <w:shd w:val="clear" w:color="auto" w:fill="auto"/>
            <w:vAlign w:val="center"/>
          </w:tcPr>
          <w:p w14:paraId="2861E8EE" w14:textId="7DF65E21" w:rsidR="00C7534F" w:rsidRPr="00B57B36" w:rsidRDefault="00C7534F" w:rsidP="00FA0D36">
            <w:pPr>
              <w:pStyle w:val="CETEquation"/>
              <w:spacing w:line="22" w:lineRule="atLeast"/>
              <w:jc w:val="right"/>
            </w:pPr>
            <w:r w:rsidRPr="00B57B36">
              <w:t>(</w:t>
            </w:r>
            <w:r>
              <w:t>4</w:t>
            </w:r>
            <w:r w:rsidRPr="00B57B36">
              <w:t>)</w:t>
            </w:r>
          </w:p>
        </w:tc>
      </w:tr>
    </w:tbl>
    <w:p w14:paraId="05278BF0" w14:textId="77777777" w:rsidR="00C7534F" w:rsidRPr="00465C6B" w:rsidRDefault="00C7534F" w:rsidP="00FA0D36">
      <w:pPr>
        <w:pStyle w:val="CETBodytext"/>
        <w:spacing w:line="22" w:lineRule="atLeast"/>
        <w:rPr>
          <w:lang w:val="en-GB"/>
        </w:rPr>
      </w:pPr>
    </w:p>
    <w:p w14:paraId="493C811D" w14:textId="4A4B654F" w:rsidR="00307D9D" w:rsidRDefault="000E7662" w:rsidP="00FA0D36">
      <w:pPr>
        <w:pStyle w:val="CETBodytext"/>
        <w:spacing w:line="22" w:lineRule="atLeast"/>
        <w:rPr>
          <w:lang w:val="en-GB"/>
        </w:rPr>
      </w:pPr>
      <w:r>
        <w:rPr>
          <w:lang w:val="en-GB"/>
        </w:rPr>
        <w:tab/>
      </w:r>
      <w:r w:rsidR="00307D9D" w:rsidRPr="00307D9D">
        <w:rPr>
          <w:lang w:val="en-GB"/>
        </w:rPr>
        <w:t>This equation describes how temperature affects the</w:t>
      </w:r>
      <w:r w:rsidR="001E2AA7">
        <w:rPr>
          <w:lang w:val="en-GB"/>
        </w:rPr>
        <w:t xml:space="preserve"> adsorption</w:t>
      </w:r>
      <w:r w:rsidR="00307D9D" w:rsidRPr="00307D9D">
        <w:rPr>
          <w:lang w:val="en-GB"/>
        </w:rPr>
        <w:t xml:space="preserve">, with </w:t>
      </w:r>
      <w:r w:rsidR="00FD2022" w:rsidRPr="00307D9D">
        <w:rPr>
          <w:lang w:val="en-GB"/>
        </w:rPr>
        <w:t>Ea</w:t>
      </w:r>
      <w:r w:rsidR="00FD2022" w:rsidRPr="006704DF">
        <w:rPr>
          <w:vertAlign w:val="subscript"/>
          <w:lang w:val="en-GB"/>
        </w:rPr>
        <w:t>i</w:t>
      </w:r>
      <w:r w:rsidR="00FD2022" w:rsidRPr="00307D9D">
        <w:rPr>
          <w:lang w:val="en-GB"/>
        </w:rPr>
        <w:t xml:space="preserve"> being the activation energy</w:t>
      </w:r>
      <w:r w:rsidR="004A2601">
        <w:rPr>
          <w:lang w:val="en-GB"/>
        </w:rPr>
        <w:t>, the reference temperature being 298,15 K and</w:t>
      </w:r>
      <w:r w:rsidR="00FD2022" w:rsidRPr="00307D9D">
        <w:rPr>
          <w:lang w:val="en-GB"/>
        </w:rPr>
        <w:t xml:space="preserve"> </w:t>
      </w:r>
      <w:r w:rsidR="00055A1D">
        <w:rPr>
          <w:lang w:val="en-GB"/>
        </w:rPr>
        <w:t>k</w:t>
      </w:r>
      <w:r w:rsidR="00055A1D" w:rsidRPr="001E2AA7">
        <w:rPr>
          <w:vertAlign w:val="subscript"/>
          <w:lang w:val="en-GB"/>
        </w:rPr>
        <w:t>i,0</w:t>
      </w:r>
      <w:r w:rsidR="004A2601">
        <w:rPr>
          <w:lang w:val="en-GB"/>
        </w:rPr>
        <w:t>(</w:t>
      </w:r>
      <w:r w:rsidR="003362EE">
        <w:rPr>
          <w:lang w:val="en-GB"/>
        </w:rPr>
        <w:t>C</w:t>
      </w:r>
      <w:r w:rsidR="003362EE">
        <w:rPr>
          <w:vertAlign w:val="subscript"/>
          <w:lang w:val="en-GB"/>
        </w:rPr>
        <w:t>0</w:t>
      </w:r>
      <w:r w:rsidR="00055A1D">
        <w:rPr>
          <w:lang w:val="en-GB"/>
        </w:rPr>
        <w:t>,</w:t>
      </w:r>
      <w:r w:rsidR="00532BF3">
        <w:rPr>
          <w:lang w:val="en-GB"/>
        </w:rPr>
        <w:t xml:space="preserve"> </w:t>
      </w:r>
      <w:r w:rsidR="00717A48">
        <w:rPr>
          <w:lang w:val="en-GB"/>
        </w:rPr>
        <w:t>SLR</w:t>
      </w:r>
      <w:r w:rsidR="00055A1D">
        <w:rPr>
          <w:lang w:val="en-GB"/>
        </w:rPr>
        <w:t>)</w:t>
      </w:r>
      <w:r w:rsidR="004A2601">
        <w:rPr>
          <w:lang w:val="en-GB"/>
        </w:rPr>
        <w:t>.</w:t>
      </w:r>
      <w:r w:rsidR="00FD2022">
        <w:rPr>
          <w:lang w:val="en-GB"/>
        </w:rPr>
        <w:t xml:space="preserve"> </w:t>
      </w:r>
      <w:r w:rsidR="004A2601">
        <w:rPr>
          <w:lang w:val="en-GB"/>
        </w:rPr>
        <w:t>It</w:t>
      </w:r>
      <w:r w:rsidR="00FD2022">
        <w:rPr>
          <w:lang w:val="en-GB"/>
        </w:rPr>
        <w:t xml:space="preserve"> </w:t>
      </w:r>
      <w:r w:rsidR="00307D9D" w:rsidRPr="00307D9D">
        <w:rPr>
          <w:lang w:val="en-GB"/>
        </w:rPr>
        <w:t>describ</w:t>
      </w:r>
      <w:r w:rsidR="004A2601">
        <w:rPr>
          <w:lang w:val="en-GB"/>
        </w:rPr>
        <w:t>es</w:t>
      </w:r>
      <w:r w:rsidR="00307D9D" w:rsidRPr="00307D9D">
        <w:rPr>
          <w:lang w:val="en-GB"/>
        </w:rPr>
        <w:t xml:space="preserve"> how the adsorption capacity changes based on the initial concentration of the compound and the solid-liquid ratio. These are </w:t>
      </w:r>
      <w:r w:rsidR="006704DF" w:rsidRPr="00307D9D">
        <w:rPr>
          <w:lang w:val="en-GB"/>
        </w:rPr>
        <w:t>modelled</w:t>
      </w:r>
      <w:r w:rsidR="00307D9D" w:rsidRPr="00307D9D">
        <w:rPr>
          <w:lang w:val="en-GB"/>
        </w:rPr>
        <w:t xml:space="preserve"> as</w:t>
      </w:r>
      <w:r w:rsidR="00C7534F">
        <w:rPr>
          <w:lang w:val="en-GB"/>
        </w:rPr>
        <w:t xml:space="preserve"> </w:t>
      </w:r>
      <w:r w:rsidR="005634EC">
        <w:rPr>
          <w:lang w:val="en-GB"/>
        </w:rPr>
        <w:t>Eq(</w:t>
      </w:r>
      <w:r w:rsidR="00C7534F">
        <w:rPr>
          <w:lang w:val="en-GB"/>
        </w:rPr>
        <w:t>5</w:t>
      </w:r>
      <w:r w:rsidR="005634EC">
        <w:rPr>
          <w:lang w:val="en-GB"/>
        </w:rPr>
        <w:t>)</w:t>
      </w:r>
      <w:r w:rsidR="00307D9D" w:rsidRPr="00307D9D">
        <w:rPr>
          <w:lang w:val="en-GB"/>
        </w:rPr>
        <w:t>:</w:t>
      </w:r>
    </w:p>
    <w:p w14:paraId="49BE3097" w14:textId="77777777" w:rsidR="00C7534F" w:rsidRDefault="00C7534F" w:rsidP="00FA0D36">
      <w:pPr>
        <w:pStyle w:val="CETBodytext"/>
        <w:spacing w:line="22" w:lineRule="atLeast"/>
        <w:rPr>
          <w:lang w:val="en-GB"/>
        </w:rPr>
      </w:pPr>
    </w:p>
    <w:tbl>
      <w:tblPr>
        <w:tblW w:w="5000" w:type="pct"/>
        <w:tblLook w:val="04A0" w:firstRow="1" w:lastRow="0" w:firstColumn="1" w:lastColumn="0" w:noHBand="0" w:noVBand="1"/>
      </w:tblPr>
      <w:tblGrid>
        <w:gridCol w:w="7983"/>
        <w:gridCol w:w="804"/>
      </w:tblGrid>
      <w:tr w:rsidR="00C7534F" w:rsidRPr="00B57B36" w14:paraId="5ABA78CD" w14:textId="77777777" w:rsidTr="00DF78E2">
        <w:tc>
          <w:tcPr>
            <w:tcW w:w="8188" w:type="dxa"/>
            <w:shd w:val="clear" w:color="auto" w:fill="auto"/>
            <w:vAlign w:val="center"/>
          </w:tcPr>
          <w:p w14:paraId="182DD9A9" w14:textId="7693DCF1" w:rsidR="00C7534F" w:rsidRPr="00394792" w:rsidRDefault="00000000" w:rsidP="00FA0D36">
            <w:pPr>
              <w:pStyle w:val="CETEquation"/>
              <w:spacing w:line="22" w:lineRule="atLeast"/>
              <w:rPr>
                <w:rFonts w:cs="Arial"/>
              </w:rPr>
            </w:pPr>
            <m:oMathPara>
              <m:oMathParaPr>
                <m:jc m:val="left"/>
              </m:oMathParaPr>
              <m:oMath>
                <m:sSub>
                  <m:sSubPr>
                    <m:ctrlPr>
                      <w:rPr>
                        <w:rFonts w:ascii="Cambria Math" w:hAnsi="Cambria Math" w:cs="Arial"/>
                        <w:i/>
                      </w:rPr>
                    </m:ctrlPr>
                  </m:sSubPr>
                  <m:e>
                    <m:r>
                      <w:rPr>
                        <w:rFonts w:ascii="Cambria Math" w:hAnsi="Cambria Math" w:cs="Arial"/>
                      </w:rPr>
                      <m:t>k</m:t>
                    </m:r>
                  </m:e>
                  <m:sub>
                    <m:r>
                      <w:rPr>
                        <w:rFonts w:ascii="Cambria Math" w:hAnsi="Cambria Math" w:cs="Arial"/>
                      </w:rPr>
                      <m:t>i,0</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m:t>
                        </m:r>
                      </m:e>
                      <m:sub>
                        <m:r>
                          <w:rPr>
                            <w:rFonts w:ascii="Cambria Math" w:hAnsi="Cambria Math" w:cs="Arial"/>
                            <w:vertAlign w:val="subscript"/>
                          </w:rPr>
                          <m:t>0</m:t>
                        </m:r>
                      </m:sub>
                    </m:sSub>
                    <m:r>
                      <w:rPr>
                        <w:rFonts w:ascii="Cambria Math" w:hAnsi="Cambria Math" w:cs="Arial"/>
                      </w:rPr>
                      <m:t>,SLR</m:t>
                    </m:r>
                  </m:e>
                </m:d>
                <m:r>
                  <w:rPr>
                    <w:rFonts w:ascii="Cambria Math" w:hAnsi="Cambria Math" w:cs="Arial"/>
                  </w:rPr>
                  <m:t xml:space="preserve">=a+b⋅ </m:t>
                </m:r>
                <m:sSub>
                  <m:sSubPr>
                    <m:ctrlPr>
                      <w:rPr>
                        <w:rFonts w:ascii="Cambria Math" w:hAnsi="Cambria Math" w:cs="Arial"/>
                        <w:i/>
                      </w:rPr>
                    </m:ctrlPr>
                  </m:sSubPr>
                  <m:e>
                    <m:r>
                      <w:rPr>
                        <w:rFonts w:ascii="Cambria Math" w:hAnsi="Cambria Math" w:cs="Arial"/>
                      </w:rPr>
                      <m:t>C</m:t>
                    </m:r>
                  </m:e>
                  <m:sub>
                    <m:r>
                      <w:rPr>
                        <w:rFonts w:ascii="Cambria Math" w:hAnsi="Cambria Math" w:cs="Arial"/>
                        <w:vertAlign w:val="subscript"/>
                      </w:rPr>
                      <m:t>0</m:t>
                    </m:r>
                  </m:sub>
                </m:sSub>
                <m:r>
                  <w:rPr>
                    <w:rFonts w:ascii="Cambria Math" w:hAnsi="Cambria Math" w:cs="Arial"/>
                  </w:rPr>
                  <m:t xml:space="preserve">+c⋅ </m:t>
                </m:r>
                <m:sSubSup>
                  <m:sSubSupPr>
                    <m:ctrlPr>
                      <w:rPr>
                        <w:rFonts w:ascii="Cambria Math" w:hAnsi="Cambria Math" w:cs="Arial"/>
                        <w:i/>
                      </w:rPr>
                    </m:ctrlPr>
                  </m:sSubSupPr>
                  <m:e>
                    <m:r>
                      <w:rPr>
                        <w:rFonts w:ascii="Cambria Math" w:hAnsi="Cambria Math" w:cs="Arial"/>
                      </w:rPr>
                      <m:t>C</m:t>
                    </m:r>
                  </m:e>
                  <m:sub>
                    <m:r>
                      <w:rPr>
                        <w:rFonts w:ascii="Cambria Math" w:hAnsi="Cambria Math" w:cs="Arial"/>
                      </w:rPr>
                      <m:t>0</m:t>
                    </m:r>
                  </m:sub>
                  <m:sup>
                    <m:r>
                      <w:rPr>
                        <w:rFonts w:ascii="Cambria Math" w:hAnsi="Cambria Math" w:cs="Arial"/>
                      </w:rPr>
                      <m:t>2</m:t>
                    </m:r>
                  </m:sup>
                </m:sSubSup>
                <m:r>
                  <m:rPr>
                    <m:sty m:val="p"/>
                  </m:rPr>
                  <w:rPr>
                    <w:rFonts w:ascii="Cambria Math" w:hAnsi="Cambria Math" w:cs="Arial"/>
                  </w:rPr>
                  <m:t>+</m:t>
                </m:r>
                <m:r>
                  <w:rPr>
                    <w:rFonts w:ascii="Cambria Math" w:hAnsi="Cambria Math" w:cs="Arial"/>
                  </w:rPr>
                  <m:t>d⋅SLR+e⋅</m:t>
                </m:r>
                <m:sSup>
                  <m:sSupPr>
                    <m:ctrlPr>
                      <w:rPr>
                        <w:rFonts w:ascii="Cambria Math" w:hAnsi="Cambria Math" w:cs="Arial"/>
                        <w:i/>
                      </w:rPr>
                    </m:ctrlPr>
                  </m:sSupPr>
                  <m:e>
                    <m:r>
                      <w:rPr>
                        <w:rFonts w:ascii="Cambria Math" w:hAnsi="Cambria Math" w:cs="Arial"/>
                      </w:rPr>
                      <m:t>SLR</m:t>
                    </m:r>
                  </m:e>
                  <m:sup>
                    <m:r>
                      <w:rPr>
                        <w:rFonts w:ascii="Cambria Math" w:hAnsi="Cambria Math" w:cs="Arial"/>
                        <w:vertAlign w:val="superscript"/>
                      </w:rPr>
                      <m:t>2</m:t>
                    </m:r>
                  </m:sup>
                </m:sSup>
                <m:r>
                  <m:rPr>
                    <m:sty m:val="p"/>
                  </m:rPr>
                  <w:rPr>
                    <w:rFonts w:ascii="Cambria Math" w:hAnsi="Cambria Math" w:cs="Arial"/>
                  </w:rPr>
                  <m:t>+</m:t>
                </m:r>
                <m:r>
                  <w:rPr>
                    <w:rFonts w:ascii="Cambria Math" w:hAnsi="Cambria Math" w:cs="Arial"/>
                  </w:rPr>
                  <m:t>f⋅</m:t>
                </m:r>
                <m:sSub>
                  <m:sSubPr>
                    <m:ctrlPr>
                      <w:rPr>
                        <w:rFonts w:ascii="Cambria Math" w:hAnsi="Cambria Math" w:cs="Arial"/>
                        <w:i/>
                      </w:rPr>
                    </m:ctrlPr>
                  </m:sSubPr>
                  <m:e>
                    <m:r>
                      <w:rPr>
                        <w:rFonts w:ascii="Cambria Math" w:hAnsi="Cambria Math" w:cs="Arial"/>
                      </w:rPr>
                      <m:t>C</m:t>
                    </m:r>
                  </m:e>
                  <m:sub>
                    <m:r>
                      <w:rPr>
                        <w:rFonts w:ascii="Cambria Math" w:hAnsi="Cambria Math" w:cs="Arial"/>
                        <w:vertAlign w:val="subscript"/>
                      </w:rPr>
                      <m:t>0</m:t>
                    </m:r>
                  </m:sub>
                </m:sSub>
                <m:r>
                  <w:rPr>
                    <w:rFonts w:ascii="Cambria Math" w:hAnsi="Cambria Math" w:cs="Arial"/>
                  </w:rPr>
                  <m:t>⋅SLR</m:t>
                </m:r>
              </m:oMath>
            </m:oMathPara>
          </w:p>
        </w:tc>
        <w:tc>
          <w:tcPr>
            <w:tcW w:w="815" w:type="dxa"/>
            <w:shd w:val="clear" w:color="auto" w:fill="auto"/>
            <w:vAlign w:val="center"/>
          </w:tcPr>
          <w:p w14:paraId="3203E6D0" w14:textId="21CB764F" w:rsidR="00C7534F" w:rsidRPr="00B57B36" w:rsidRDefault="00C7534F" w:rsidP="00FA0D36">
            <w:pPr>
              <w:pStyle w:val="CETEquation"/>
              <w:spacing w:line="22" w:lineRule="atLeast"/>
              <w:jc w:val="right"/>
            </w:pPr>
            <w:r w:rsidRPr="00B57B36">
              <w:t>(</w:t>
            </w:r>
            <w:r>
              <w:t>5</w:t>
            </w:r>
            <w:r w:rsidRPr="00B57B36">
              <w:t>)</w:t>
            </w:r>
          </w:p>
        </w:tc>
      </w:tr>
    </w:tbl>
    <w:p w14:paraId="744EB75D" w14:textId="77777777" w:rsidR="006704DF" w:rsidRPr="00465C6B" w:rsidRDefault="006704DF" w:rsidP="00FA0D36">
      <w:pPr>
        <w:pStyle w:val="CETBodytext"/>
        <w:spacing w:line="22" w:lineRule="atLeast"/>
        <w:rPr>
          <w:lang w:val="en-GB"/>
        </w:rPr>
      </w:pPr>
    </w:p>
    <w:p w14:paraId="24AC449F" w14:textId="16B303A5" w:rsidR="00C7534F" w:rsidRDefault="005634EC" w:rsidP="00FA0D36">
      <w:pPr>
        <w:pStyle w:val="CETBodytext"/>
        <w:spacing w:line="22" w:lineRule="atLeast"/>
        <w:rPr>
          <w:lang w:val="en-GB"/>
        </w:rPr>
      </w:pPr>
      <w:r w:rsidRPr="0761191F">
        <w:rPr>
          <w:lang w:val="en-GB"/>
        </w:rPr>
        <w:t xml:space="preserve">In both the </w:t>
      </w:r>
      <w:r w:rsidR="00EB6CA1" w:rsidRPr="0761191F">
        <w:rPr>
          <w:lang w:val="en-GB"/>
        </w:rPr>
        <w:t xml:space="preserve">PFO </w:t>
      </w:r>
      <w:r w:rsidR="0044227E" w:rsidRPr="0761191F">
        <w:rPr>
          <w:lang w:val="en-GB"/>
        </w:rPr>
        <w:t>and PSO</w:t>
      </w:r>
      <w:r w:rsidRPr="0761191F">
        <w:rPr>
          <w:lang w:val="en-GB"/>
        </w:rPr>
        <w:t xml:space="preserve"> models, the equilibrium adsorption capacity q</w:t>
      </w:r>
      <w:r w:rsidRPr="0761191F">
        <w:rPr>
          <w:vertAlign w:val="subscript"/>
          <w:lang w:val="en-GB"/>
        </w:rPr>
        <w:t>eq</w:t>
      </w:r>
      <w:r w:rsidRPr="0761191F">
        <w:rPr>
          <w:lang w:val="en-GB"/>
        </w:rPr>
        <w:t xml:space="preserve"> is utilized. Its values were determined using Eq(</w:t>
      </w:r>
      <w:r w:rsidR="2EC78B6D" w:rsidRPr="0761191F">
        <w:rPr>
          <w:lang w:val="en-GB"/>
        </w:rPr>
        <w:t>6</w:t>
      </w:r>
      <w:r w:rsidRPr="0761191F">
        <w:rPr>
          <w:lang w:val="en-GB"/>
        </w:rPr>
        <w:t>), derived from the relationship between the mass balance at equilibrium conditions and a linear equilibrium model</w:t>
      </w:r>
      <w:r w:rsidR="0044227E" w:rsidRPr="0761191F">
        <w:rPr>
          <w:lang w:val="en-GB"/>
        </w:rPr>
        <w:t>:</w:t>
      </w:r>
    </w:p>
    <w:p w14:paraId="1BDCDE09" w14:textId="77777777" w:rsidR="00EA3BBF" w:rsidRDefault="00EA3BBF" w:rsidP="00FA0D36">
      <w:pPr>
        <w:pStyle w:val="CETBodytext"/>
        <w:spacing w:line="22" w:lineRule="atLeast"/>
        <w:rPr>
          <w:lang w:val="en-GB"/>
        </w:rPr>
      </w:pPr>
    </w:p>
    <w:tbl>
      <w:tblPr>
        <w:tblW w:w="5000" w:type="pct"/>
        <w:tblLook w:val="04A0" w:firstRow="1" w:lastRow="0" w:firstColumn="1" w:lastColumn="0" w:noHBand="0" w:noVBand="1"/>
      </w:tblPr>
      <w:tblGrid>
        <w:gridCol w:w="7984"/>
        <w:gridCol w:w="803"/>
      </w:tblGrid>
      <w:tr w:rsidR="00C7534F" w:rsidRPr="00B57B36" w14:paraId="792697C3" w14:textId="77777777" w:rsidTr="0761191F">
        <w:tc>
          <w:tcPr>
            <w:tcW w:w="8188" w:type="dxa"/>
            <w:shd w:val="clear" w:color="auto" w:fill="auto"/>
            <w:vAlign w:val="center"/>
          </w:tcPr>
          <w:p w14:paraId="1F87472F" w14:textId="30AD720F" w:rsidR="00C7534F" w:rsidRPr="00394792" w:rsidRDefault="00000000" w:rsidP="00FA0D36">
            <w:pPr>
              <w:pStyle w:val="CETEquation"/>
              <w:spacing w:line="22" w:lineRule="atLeast"/>
              <w:jc w:val="both"/>
              <w:rPr>
                <w:rFonts w:cs="Arial"/>
              </w:rPr>
            </w:pPr>
            <m:oMathPara>
              <m:oMathParaPr>
                <m:jc m:val="left"/>
              </m:oMathParaPr>
              <m:oMath>
                <m:sSub>
                  <m:sSubPr>
                    <m:ctrlPr>
                      <w:rPr>
                        <w:rFonts w:ascii="Cambria Math" w:eastAsiaTheme="minorHAnsi" w:hAnsi="Cambria Math" w:cs="Arial"/>
                        <w:i/>
                        <w:color w:val="4F4F4F"/>
                        <w:kern w:val="2"/>
                        <w:sz w:val="24"/>
                        <w:szCs w:val="28"/>
                        <w:lang w:val="en-US"/>
                        <w14:ligatures w14:val="standardContextual"/>
                      </w:rPr>
                    </m:ctrlPr>
                  </m:sSubPr>
                  <m:e>
                    <m:r>
                      <w:rPr>
                        <w:rFonts w:ascii="Cambria Math" w:hAnsi="Cambria Math" w:cs="Arial"/>
                        <w:lang w:val="en-US"/>
                      </w:rPr>
                      <m:t>q</m:t>
                    </m:r>
                  </m:e>
                  <m:sub>
                    <m:r>
                      <w:rPr>
                        <w:rFonts w:ascii="Cambria Math" w:hAnsi="Cambria Math" w:cs="Arial"/>
                        <w:lang w:val="en-US"/>
                      </w:rPr>
                      <m:t>eq</m:t>
                    </m:r>
                  </m:sub>
                </m:sSub>
                <m:r>
                  <w:rPr>
                    <w:rFonts w:ascii="Cambria Math" w:hAnsi="Cambria Math" w:cs="Arial"/>
                    <w:color w:val="000000" w:themeColor="text1"/>
                    <w:szCs w:val="18"/>
                  </w:rPr>
                  <m:t>=</m:t>
                </m:r>
                <m:f>
                  <m:fPr>
                    <m:ctrlPr>
                      <w:rPr>
                        <w:rFonts w:ascii="Cambria Math" w:eastAsia="Cambria Math" w:hAnsi="Cambria Math" w:cs="Arial"/>
                        <w:i/>
                        <w:iCs/>
                        <w:color w:val="000000" w:themeColor="text1"/>
                        <w:szCs w:val="18"/>
                      </w:rPr>
                    </m:ctrlPr>
                  </m:fPr>
                  <m:num>
                    <m:sSub>
                      <m:sSubPr>
                        <m:ctrlPr>
                          <w:rPr>
                            <w:rFonts w:ascii="Cambria Math" w:eastAsia="Cambria Math" w:hAnsi="Cambria Math" w:cs="Arial"/>
                            <w:i/>
                            <w:iCs/>
                            <w:color w:val="000000" w:themeColor="text1"/>
                            <w:szCs w:val="18"/>
                          </w:rPr>
                        </m:ctrlPr>
                      </m:sSubPr>
                      <m:e>
                        <m:r>
                          <w:rPr>
                            <w:rFonts w:ascii="Cambria Math" w:eastAsia="Cambria Math" w:hAnsi="Cambria Math" w:cs="Arial"/>
                            <w:color w:val="000000" w:themeColor="text1"/>
                            <w:szCs w:val="18"/>
                          </w:rPr>
                          <m:t>K</m:t>
                        </m:r>
                      </m:e>
                      <m:sub>
                        <m:r>
                          <w:rPr>
                            <w:rFonts w:ascii="Cambria Math" w:eastAsia="Cambria Math" w:hAnsi="Cambria Math" w:cs="Arial"/>
                            <w:color w:val="000000" w:themeColor="text1"/>
                            <w:szCs w:val="18"/>
                          </w:rPr>
                          <m:t>eq</m:t>
                        </m:r>
                      </m:sub>
                    </m:sSub>
                    <m:r>
                      <w:rPr>
                        <w:rFonts w:ascii="Cambria Math" w:hAnsi="Cambria Math" w:cs="Arial"/>
                      </w:rPr>
                      <m:t>⋅</m:t>
                    </m:r>
                    <m:sSub>
                      <m:sSubPr>
                        <m:ctrlPr>
                          <w:rPr>
                            <w:rFonts w:ascii="Cambria Math" w:eastAsiaTheme="minorHAnsi" w:hAnsi="Cambria Math" w:cs="Arial"/>
                            <w:i/>
                            <w:color w:val="4F4F4F"/>
                            <w:kern w:val="2"/>
                            <w:sz w:val="24"/>
                            <w:szCs w:val="28"/>
                            <w:lang w:val="en-US"/>
                            <w14:ligatures w14:val="standardContextual"/>
                          </w:rPr>
                        </m:ctrlPr>
                      </m:sSubPr>
                      <m:e>
                        <m:r>
                          <w:rPr>
                            <w:rFonts w:ascii="Cambria Math" w:hAnsi="Cambria Math" w:cs="Arial"/>
                            <w:lang w:val="en-US"/>
                          </w:rPr>
                          <m:t>C</m:t>
                        </m:r>
                      </m:e>
                      <m:sub>
                        <m:r>
                          <w:rPr>
                            <w:rFonts w:ascii="Cambria Math" w:hAnsi="Cambria Math" w:cs="Arial"/>
                            <w:lang w:val="en-US"/>
                          </w:rPr>
                          <m:t>0</m:t>
                        </m:r>
                      </m:sub>
                    </m:sSub>
                  </m:num>
                  <m:den>
                    <m:sSub>
                      <m:sSubPr>
                        <m:ctrlPr>
                          <w:rPr>
                            <w:rFonts w:ascii="Cambria Math" w:eastAsiaTheme="minorEastAsia" w:hAnsi="Cambria Math" w:cs="Arial"/>
                            <w:i/>
                            <w:iCs/>
                            <w:color w:val="000000" w:themeColor="text1"/>
                            <w:szCs w:val="18"/>
                          </w:rPr>
                        </m:ctrlPr>
                      </m:sSubPr>
                      <m:e>
                        <m:r>
                          <w:rPr>
                            <w:rFonts w:ascii="Cambria Math" w:hAnsi="Cambria Math" w:cs="Arial"/>
                            <w:color w:val="000000" w:themeColor="text1"/>
                            <w:szCs w:val="18"/>
                          </w:rPr>
                          <m:t>1+</m:t>
                        </m:r>
                        <m:r>
                          <w:rPr>
                            <w:rFonts w:ascii="Cambria Math" w:hAnsi="Cambria Math" w:cs="Arial"/>
                          </w:rPr>
                          <m:t>SLR⋅</m:t>
                        </m:r>
                        <m:r>
                          <w:rPr>
                            <w:rFonts w:ascii="Cambria Math" w:hAnsi="Cambria Math" w:cs="Arial"/>
                            <w:color w:val="000000" w:themeColor="text1"/>
                            <w:szCs w:val="18"/>
                          </w:rPr>
                          <m:t>K</m:t>
                        </m:r>
                      </m:e>
                      <m:sub>
                        <m:r>
                          <w:rPr>
                            <w:rFonts w:ascii="Cambria Math" w:hAnsi="Cambria Math" w:cs="Arial"/>
                            <w:color w:val="000000" w:themeColor="text1"/>
                            <w:szCs w:val="18"/>
                          </w:rPr>
                          <m:t>eq</m:t>
                        </m:r>
                      </m:sub>
                    </m:sSub>
                  </m:den>
                </m:f>
              </m:oMath>
            </m:oMathPara>
          </w:p>
        </w:tc>
        <w:tc>
          <w:tcPr>
            <w:tcW w:w="815" w:type="dxa"/>
            <w:shd w:val="clear" w:color="auto" w:fill="auto"/>
            <w:vAlign w:val="center"/>
          </w:tcPr>
          <w:p w14:paraId="23C289A0" w14:textId="0367FC30" w:rsidR="00C7534F" w:rsidRPr="00B57B36" w:rsidRDefault="00C7534F" w:rsidP="00FA0D36">
            <w:pPr>
              <w:pStyle w:val="CETEquation"/>
              <w:spacing w:line="22" w:lineRule="atLeast"/>
              <w:jc w:val="right"/>
            </w:pPr>
            <w:r>
              <w:t>(</w:t>
            </w:r>
            <w:r w:rsidR="51489512">
              <w:t>6</w:t>
            </w:r>
            <w:r>
              <w:t>)</w:t>
            </w:r>
          </w:p>
        </w:tc>
      </w:tr>
    </w:tbl>
    <w:p w14:paraId="73F94DC3" w14:textId="77777777" w:rsidR="00C7534F" w:rsidRDefault="00C7534F" w:rsidP="00FA0D36">
      <w:pPr>
        <w:pStyle w:val="CETBodytext"/>
        <w:spacing w:line="22" w:lineRule="atLeast"/>
        <w:rPr>
          <w:lang w:val="en-GB"/>
        </w:rPr>
      </w:pPr>
    </w:p>
    <w:p w14:paraId="775AC359" w14:textId="497A69DB" w:rsidR="00055A1D" w:rsidRDefault="001E2AA7" w:rsidP="00FA0D36">
      <w:pPr>
        <w:pStyle w:val="CETBodytext"/>
        <w:spacing w:line="22" w:lineRule="atLeast"/>
        <w:rPr>
          <w:lang w:val="en-GB"/>
        </w:rPr>
      </w:pPr>
      <w:r w:rsidRPr="0761191F">
        <w:rPr>
          <w:lang w:val="en-GB"/>
        </w:rPr>
        <w:t xml:space="preserve">The </w:t>
      </w:r>
      <w:r w:rsidR="00055A1D" w:rsidRPr="0761191F">
        <w:rPr>
          <w:lang w:val="en-GB"/>
        </w:rPr>
        <w:t>K</w:t>
      </w:r>
      <w:r w:rsidR="00B658C7" w:rsidRPr="0761191F">
        <w:rPr>
          <w:vertAlign w:val="subscript"/>
          <w:lang w:val="en-GB"/>
        </w:rPr>
        <w:t>eq</w:t>
      </w:r>
      <w:r w:rsidRPr="0761191F">
        <w:rPr>
          <w:lang w:val="en-GB"/>
        </w:rPr>
        <w:t xml:space="preserve"> constant</w:t>
      </w:r>
      <w:r w:rsidR="00055A1D" w:rsidRPr="0761191F">
        <w:rPr>
          <w:lang w:val="en-GB"/>
        </w:rPr>
        <w:t xml:space="preserve"> </w:t>
      </w:r>
      <w:r w:rsidRPr="0761191F">
        <w:rPr>
          <w:lang w:val="en-GB"/>
        </w:rPr>
        <w:t>is the equilibrium constant, which follows the Arrhenius equation</w:t>
      </w:r>
      <w:r w:rsidR="005634EC" w:rsidRPr="0761191F">
        <w:rPr>
          <w:lang w:val="en-GB"/>
        </w:rPr>
        <w:t xml:space="preserve"> Eq(</w:t>
      </w:r>
      <w:r w:rsidR="49AD8753" w:rsidRPr="0761191F">
        <w:rPr>
          <w:lang w:val="en-GB"/>
        </w:rPr>
        <w:t>7</w:t>
      </w:r>
      <w:r w:rsidR="005634EC" w:rsidRPr="0761191F">
        <w:rPr>
          <w:lang w:val="en-GB"/>
        </w:rPr>
        <w:t>)</w:t>
      </w:r>
      <w:r w:rsidRPr="0761191F">
        <w:rPr>
          <w:lang w:val="en-GB"/>
        </w:rPr>
        <w:t>:</w:t>
      </w:r>
    </w:p>
    <w:p w14:paraId="08E34D7B" w14:textId="77777777" w:rsidR="001E2AA7" w:rsidRDefault="001E2AA7" w:rsidP="00FA0D36">
      <w:pPr>
        <w:pStyle w:val="CETBodytext"/>
        <w:spacing w:line="22" w:lineRule="atLeast"/>
        <w:rPr>
          <w:lang w:val="en-GB"/>
        </w:rPr>
      </w:pPr>
    </w:p>
    <w:tbl>
      <w:tblPr>
        <w:tblW w:w="5000" w:type="pct"/>
        <w:tblLook w:val="04A0" w:firstRow="1" w:lastRow="0" w:firstColumn="1" w:lastColumn="0" w:noHBand="0" w:noVBand="1"/>
      </w:tblPr>
      <w:tblGrid>
        <w:gridCol w:w="7983"/>
        <w:gridCol w:w="804"/>
      </w:tblGrid>
      <w:tr w:rsidR="005634EC" w:rsidRPr="00B57B36" w14:paraId="7C87FE76" w14:textId="77777777" w:rsidTr="0761191F">
        <w:tc>
          <w:tcPr>
            <w:tcW w:w="8188" w:type="dxa"/>
            <w:shd w:val="clear" w:color="auto" w:fill="auto"/>
            <w:vAlign w:val="center"/>
          </w:tcPr>
          <w:p w14:paraId="40A4E3EC" w14:textId="5F7FD196" w:rsidR="005634EC" w:rsidRPr="00394792" w:rsidRDefault="00000000" w:rsidP="00FA0D36">
            <w:pPr>
              <w:pStyle w:val="CETEquation"/>
              <w:spacing w:line="22" w:lineRule="atLeast"/>
              <w:jc w:val="both"/>
              <w:rPr>
                <w:rFonts w:cs="Arial"/>
                <w:szCs w:val="18"/>
              </w:rPr>
            </w:pPr>
            <m:oMathPara>
              <m:oMathParaPr>
                <m:jc m:val="left"/>
              </m:oMathParaPr>
              <m:oMath>
                <m:sSub>
                  <m:sSubPr>
                    <m:ctrlPr>
                      <w:rPr>
                        <w:rFonts w:ascii="Cambria Math" w:eastAsiaTheme="minorEastAsia" w:hAnsi="Cambria Math" w:cs="Arial"/>
                        <w:i/>
                        <w:iCs/>
                        <w:color w:val="000000" w:themeColor="text1"/>
                        <w:szCs w:val="18"/>
                      </w:rPr>
                    </m:ctrlPr>
                  </m:sSubPr>
                  <m:e>
                    <m:r>
                      <w:rPr>
                        <w:rFonts w:ascii="Cambria Math" w:hAnsi="Cambria Math" w:cs="Arial"/>
                        <w:color w:val="000000" w:themeColor="text1"/>
                        <w:szCs w:val="18"/>
                      </w:rPr>
                      <m:t>K</m:t>
                    </m:r>
                  </m:e>
                  <m:sub>
                    <m:r>
                      <w:rPr>
                        <w:rFonts w:ascii="Cambria Math" w:hAnsi="Cambria Math" w:cs="Arial"/>
                        <w:color w:val="000000" w:themeColor="text1"/>
                        <w:szCs w:val="18"/>
                      </w:rPr>
                      <m:t>eq</m:t>
                    </m:r>
                  </m:sub>
                </m:sSub>
                <m:r>
                  <w:rPr>
                    <w:rFonts w:ascii="Cambria Math" w:hAnsi="Cambria Math" w:cs="Arial"/>
                    <w:color w:val="000000" w:themeColor="text1"/>
                    <w:szCs w:val="18"/>
                  </w:rPr>
                  <m:t>=</m:t>
                </m:r>
                <m:sSub>
                  <m:sSubPr>
                    <m:ctrlPr>
                      <w:rPr>
                        <w:rFonts w:ascii="Cambria Math" w:eastAsiaTheme="minorEastAsia" w:hAnsi="Cambria Math" w:cs="Arial"/>
                        <w:i/>
                        <w:iCs/>
                        <w:color w:val="000000" w:themeColor="text1"/>
                        <w:szCs w:val="18"/>
                      </w:rPr>
                    </m:ctrlPr>
                  </m:sSubPr>
                  <m:e>
                    <m:r>
                      <w:rPr>
                        <w:rFonts w:ascii="Cambria Math" w:hAnsi="Cambria Math" w:cs="Arial"/>
                        <w:color w:val="000000" w:themeColor="text1"/>
                        <w:szCs w:val="18"/>
                      </w:rPr>
                      <m:t>K</m:t>
                    </m:r>
                  </m:e>
                  <m:sub>
                    <m:r>
                      <w:rPr>
                        <w:rFonts w:ascii="Cambria Math" w:hAnsi="Cambria Math" w:cs="Arial"/>
                        <w:color w:val="000000" w:themeColor="text1"/>
                        <w:szCs w:val="18"/>
                      </w:rPr>
                      <m:t>0,i</m:t>
                    </m:r>
                  </m:sub>
                </m:sSub>
                <m:r>
                  <w:rPr>
                    <w:rFonts w:ascii="Cambria Math" w:hAnsi="Cambria Math" w:cs="Arial"/>
                    <w:szCs w:val="18"/>
                  </w:rPr>
                  <m:t>(</m:t>
                </m:r>
                <m:sSub>
                  <m:sSubPr>
                    <m:ctrlPr>
                      <w:rPr>
                        <w:rFonts w:ascii="Cambria Math" w:eastAsiaTheme="minorHAnsi" w:hAnsi="Cambria Math" w:cs="Arial"/>
                        <w:i/>
                        <w:color w:val="4F4F4F"/>
                        <w:kern w:val="2"/>
                        <w:szCs w:val="18"/>
                        <w:lang w:val="en-US"/>
                        <w14:ligatures w14:val="standardContextual"/>
                      </w:rPr>
                    </m:ctrlPr>
                  </m:sSubPr>
                  <m:e>
                    <m:r>
                      <w:rPr>
                        <w:rFonts w:ascii="Cambria Math" w:hAnsi="Cambria Math" w:cs="Arial"/>
                        <w:szCs w:val="18"/>
                        <w:lang w:val="en-US"/>
                      </w:rPr>
                      <m:t>C</m:t>
                    </m:r>
                  </m:e>
                  <m:sub>
                    <m:r>
                      <w:rPr>
                        <w:rFonts w:ascii="Cambria Math" w:hAnsi="Cambria Math" w:cs="Arial"/>
                        <w:szCs w:val="18"/>
                        <w:lang w:val="en-US"/>
                      </w:rPr>
                      <m:t>0</m:t>
                    </m:r>
                  </m:sub>
                </m:sSub>
                <m:r>
                  <w:rPr>
                    <w:rFonts w:ascii="Cambria Math" w:hAnsi="Cambria Math" w:cs="Arial"/>
                    <w:szCs w:val="18"/>
                  </w:rPr>
                  <m:t>,SLR)⋅</m:t>
                </m:r>
                <m:r>
                  <m:rPr>
                    <m:sty m:val="p"/>
                  </m:rPr>
                  <w:rPr>
                    <w:rFonts w:ascii="Cambria Math" w:hAnsi="Cambria Math" w:cs="Arial"/>
                    <w:color w:val="000000" w:themeColor="text1"/>
                    <w:szCs w:val="18"/>
                  </w:rPr>
                  <m:t>exp</m:t>
                </m:r>
                <m:r>
                  <w:rPr>
                    <w:rFonts w:ascii="Cambria Math" w:hAnsi="Cambria Math" w:cs="Arial"/>
                    <w:color w:val="000000" w:themeColor="text1"/>
                    <w:szCs w:val="18"/>
                  </w:rPr>
                  <m:t>⁡</m:t>
                </m:r>
                <m:d>
                  <m:dPr>
                    <m:ctrlPr>
                      <w:rPr>
                        <w:rFonts w:ascii="Cambria Math" w:hAnsi="Cambria Math" w:cs="Arial"/>
                        <w:i/>
                        <w:szCs w:val="18"/>
                      </w:rPr>
                    </m:ctrlPr>
                  </m:dPr>
                  <m:e>
                    <m:r>
                      <w:rPr>
                        <w:rFonts w:ascii="Cambria Math" w:hAnsi="Cambria Math" w:cs="Arial"/>
                        <w:szCs w:val="18"/>
                      </w:rPr>
                      <m:t>-</m:t>
                    </m:r>
                    <m:f>
                      <m:fPr>
                        <m:ctrlPr>
                          <w:rPr>
                            <w:rFonts w:ascii="Cambria Math" w:hAnsi="Cambria Math" w:cs="Arial"/>
                            <w:i/>
                            <w:szCs w:val="18"/>
                          </w:rPr>
                        </m:ctrlPr>
                      </m:fPr>
                      <m:num>
                        <m:sSub>
                          <m:sSubPr>
                            <m:ctrlPr>
                              <w:rPr>
                                <w:rFonts w:ascii="Cambria Math" w:hAnsi="Cambria Math" w:cs="Arial"/>
                                <w:i/>
                                <w:szCs w:val="18"/>
                              </w:rPr>
                            </m:ctrlPr>
                          </m:sSubPr>
                          <m:e>
                            <m:r>
                              <w:rPr>
                                <w:rFonts w:ascii="Cambria Math" w:hAnsi="Cambria Math" w:cs="Arial"/>
                                <w:szCs w:val="18"/>
                              </w:rPr>
                              <m:t>E</m:t>
                            </m:r>
                          </m:e>
                          <m:sub>
                            <m:r>
                              <w:rPr>
                                <w:rFonts w:ascii="Cambria Math" w:hAnsi="Cambria Math" w:cs="Arial"/>
                                <w:szCs w:val="18"/>
                              </w:rPr>
                              <m:t>i</m:t>
                            </m:r>
                          </m:sub>
                        </m:sSub>
                      </m:num>
                      <m:den>
                        <m:r>
                          <w:rPr>
                            <w:rFonts w:ascii="Cambria Math" w:hAnsi="Cambria Math" w:cs="Arial"/>
                            <w:szCs w:val="18"/>
                          </w:rPr>
                          <m:t>RT</m:t>
                        </m:r>
                      </m:den>
                    </m:f>
                  </m:e>
                </m:d>
              </m:oMath>
            </m:oMathPara>
          </w:p>
        </w:tc>
        <w:tc>
          <w:tcPr>
            <w:tcW w:w="815" w:type="dxa"/>
            <w:shd w:val="clear" w:color="auto" w:fill="auto"/>
            <w:vAlign w:val="center"/>
          </w:tcPr>
          <w:p w14:paraId="10C8A5A9" w14:textId="58C30061" w:rsidR="005634EC" w:rsidRPr="00B57B36" w:rsidRDefault="005634EC" w:rsidP="00FA0D36">
            <w:pPr>
              <w:pStyle w:val="CETEquation"/>
              <w:spacing w:line="22" w:lineRule="atLeast"/>
              <w:jc w:val="right"/>
            </w:pPr>
            <w:r>
              <w:t>(</w:t>
            </w:r>
            <w:r w:rsidR="64572FF8">
              <w:t>7</w:t>
            </w:r>
            <w:r>
              <w:t>)</w:t>
            </w:r>
          </w:p>
        </w:tc>
      </w:tr>
    </w:tbl>
    <w:p w14:paraId="07075DC4" w14:textId="77777777" w:rsidR="005634EC" w:rsidRDefault="005634EC" w:rsidP="00FA0D36">
      <w:pPr>
        <w:pStyle w:val="CETBodytext"/>
        <w:spacing w:line="22" w:lineRule="atLeast"/>
        <w:rPr>
          <w:lang w:val="en-GB"/>
        </w:rPr>
      </w:pPr>
    </w:p>
    <w:p w14:paraId="53701C60" w14:textId="783BCE72" w:rsidR="001E2AA7" w:rsidRDefault="001E2AA7" w:rsidP="00FA0D36">
      <w:pPr>
        <w:pStyle w:val="CETBodytext"/>
        <w:spacing w:line="22" w:lineRule="atLeast"/>
        <w:rPr>
          <w:lang w:val="en-GB"/>
        </w:rPr>
      </w:pPr>
      <w:r>
        <w:rPr>
          <w:lang w:val="en-GB"/>
        </w:rPr>
        <w:tab/>
      </w:r>
      <w:r w:rsidRPr="00307D9D">
        <w:rPr>
          <w:lang w:val="en-GB"/>
        </w:rPr>
        <w:t>This equation</w:t>
      </w:r>
      <w:r>
        <w:rPr>
          <w:lang w:val="en-GB"/>
        </w:rPr>
        <w:t xml:space="preserve"> </w:t>
      </w:r>
      <w:r w:rsidRPr="00307D9D">
        <w:rPr>
          <w:lang w:val="en-GB"/>
        </w:rPr>
        <w:t>describes how temperature affects the</w:t>
      </w:r>
      <w:r>
        <w:rPr>
          <w:lang w:val="en-GB"/>
        </w:rPr>
        <w:t xml:space="preserve"> adsorption equilibrium</w:t>
      </w:r>
      <w:r w:rsidRPr="00307D9D">
        <w:rPr>
          <w:lang w:val="en-GB"/>
        </w:rPr>
        <w:t>, with E</w:t>
      </w:r>
      <w:r w:rsidRPr="006704DF">
        <w:rPr>
          <w:vertAlign w:val="subscript"/>
          <w:lang w:val="en-GB"/>
        </w:rPr>
        <w:t>i</w:t>
      </w:r>
      <w:r w:rsidRPr="00307D9D">
        <w:rPr>
          <w:lang w:val="en-GB"/>
        </w:rPr>
        <w:t>​ being the activation energy</w:t>
      </w:r>
      <w:r>
        <w:rPr>
          <w:lang w:val="en-GB"/>
        </w:rPr>
        <w:t>.</w:t>
      </w:r>
      <w:r w:rsidRPr="00307D9D">
        <w:rPr>
          <w:lang w:val="en-GB"/>
        </w:rPr>
        <w:t xml:space="preserve"> </w:t>
      </w:r>
      <w:r>
        <w:rPr>
          <w:lang w:val="en-GB"/>
        </w:rPr>
        <w:t>K</w:t>
      </w:r>
      <w:r w:rsidRPr="001E2AA7">
        <w:rPr>
          <w:vertAlign w:val="subscript"/>
          <w:lang w:val="en-GB"/>
        </w:rPr>
        <w:t>0</w:t>
      </w:r>
      <w:r>
        <w:rPr>
          <w:vertAlign w:val="subscript"/>
          <w:lang w:val="en-GB"/>
        </w:rPr>
        <w:t>,i</w:t>
      </w:r>
      <w:r>
        <w:rPr>
          <w:lang w:val="en-GB"/>
        </w:rPr>
        <w:t>(</w:t>
      </w:r>
      <w:r w:rsidR="00572A73">
        <w:rPr>
          <w:lang w:val="en-GB"/>
        </w:rPr>
        <w:t>C</w:t>
      </w:r>
      <w:r w:rsidR="00572A73" w:rsidRPr="003411E9">
        <w:rPr>
          <w:vertAlign w:val="subscript"/>
          <w:lang w:val="en-GB"/>
        </w:rPr>
        <w:t>0</w:t>
      </w:r>
      <w:r>
        <w:rPr>
          <w:lang w:val="en-GB"/>
        </w:rPr>
        <w:t>,</w:t>
      </w:r>
      <w:r w:rsidR="003411E9">
        <w:rPr>
          <w:lang w:val="en-GB"/>
        </w:rPr>
        <w:t xml:space="preserve"> </w:t>
      </w:r>
      <w:r w:rsidR="00717A48">
        <w:rPr>
          <w:lang w:val="en-GB"/>
        </w:rPr>
        <w:t>SLR</w:t>
      </w:r>
      <w:r>
        <w:rPr>
          <w:lang w:val="en-GB"/>
        </w:rPr>
        <w:t xml:space="preserve">) </w:t>
      </w:r>
      <w:r w:rsidRPr="00307D9D">
        <w:rPr>
          <w:lang w:val="en-GB"/>
        </w:rPr>
        <w:t>describ</w:t>
      </w:r>
      <w:r>
        <w:rPr>
          <w:lang w:val="en-GB"/>
        </w:rPr>
        <w:t>ing</w:t>
      </w:r>
      <w:r w:rsidRPr="00307D9D">
        <w:rPr>
          <w:lang w:val="en-GB"/>
        </w:rPr>
        <w:t xml:space="preserve"> how the</w:t>
      </w:r>
      <w:r>
        <w:rPr>
          <w:lang w:val="en-GB"/>
        </w:rPr>
        <w:t xml:space="preserve"> equilibrium</w:t>
      </w:r>
      <w:r w:rsidRPr="00307D9D">
        <w:rPr>
          <w:lang w:val="en-GB"/>
        </w:rPr>
        <w:t xml:space="preserve"> adsorption capacity changes based on </w:t>
      </w:r>
      <w:r w:rsidR="00515131">
        <w:rPr>
          <w:lang w:val="en-GB"/>
        </w:rPr>
        <w:t>C</w:t>
      </w:r>
      <w:r w:rsidR="00515131" w:rsidRPr="00515131">
        <w:rPr>
          <w:vertAlign w:val="subscript"/>
          <w:lang w:val="en-GB"/>
        </w:rPr>
        <w:t>0</w:t>
      </w:r>
      <w:r w:rsidR="00515131">
        <w:rPr>
          <w:lang w:val="en-GB"/>
        </w:rPr>
        <w:t xml:space="preserve"> and SLR</w:t>
      </w:r>
      <w:r w:rsidRPr="00307D9D">
        <w:rPr>
          <w:lang w:val="en-GB"/>
        </w:rPr>
        <w:t xml:space="preserve">. These are modelled as </w:t>
      </w:r>
      <w:r>
        <w:rPr>
          <w:lang w:val="en-GB"/>
        </w:rPr>
        <w:t xml:space="preserve">a linear </w:t>
      </w:r>
      <w:r w:rsidRPr="00307D9D">
        <w:rPr>
          <w:lang w:val="en-GB"/>
        </w:rPr>
        <w:t>equation</w:t>
      </w:r>
      <w:r w:rsidR="00B31865">
        <w:rPr>
          <w:lang w:val="en-GB"/>
        </w:rPr>
        <w:t xml:space="preserve"> Eq(</w:t>
      </w:r>
      <w:r w:rsidR="6F693A5F">
        <w:rPr>
          <w:lang w:val="en-GB"/>
        </w:rPr>
        <w:t>8</w:t>
      </w:r>
      <w:r w:rsidR="00B31865">
        <w:rPr>
          <w:lang w:val="en-GB"/>
        </w:rPr>
        <w:t>)</w:t>
      </w:r>
      <w:r w:rsidRPr="00307D9D">
        <w:rPr>
          <w:lang w:val="en-GB"/>
        </w:rPr>
        <w:t>:</w:t>
      </w:r>
    </w:p>
    <w:p w14:paraId="16ED2162" w14:textId="77777777" w:rsidR="001E2AA7" w:rsidRDefault="001E2AA7" w:rsidP="00FA0D36">
      <w:pPr>
        <w:pStyle w:val="CETBodytext"/>
        <w:spacing w:line="22" w:lineRule="atLeast"/>
        <w:rPr>
          <w:lang w:val="en-GB"/>
        </w:rPr>
      </w:pPr>
    </w:p>
    <w:tbl>
      <w:tblPr>
        <w:tblW w:w="5000" w:type="pct"/>
        <w:tblLook w:val="04A0" w:firstRow="1" w:lastRow="0" w:firstColumn="1" w:lastColumn="0" w:noHBand="0" w:noVBand="1"/>
      </w:tblPr>
      <w:tblGrid>
        <w:gridCol w:w="7983"/>
        <w:gridCol w:w="804"/>
      </w:tblGrid>
      <w:tr w:rsidR="005634EC" w:rsidRPr="00B57B36" w14:paraId="74758B9D" w14:textId="77777777" w:rsidTr="0761191F">
        <w:tc>
          <w:tcPr>
            <w:tcW w:w="8188" w:type="dxa"/>
            <w:shd w:val="clear" w:color="auto" w:fill="auto"/>
            <w:vAlign w:val="center"/>
          </w:tcPr>
          <w:p w14:paraId="7D9FE267" w14:textId="0F3757EA" w:rsidR="005634EC" w:rsidRPr="00394792" w:rsidRDefault="00000000" w:rsidP="00FA0D36">
            <w:pPr>
              <w:pStyle w:val="CETEquation"/>
              <w:spacing w:line="22" w:lineRule="atLeast"/>
              <w:jc w:val="both"/>
              <w:rPr>
                <w:rFonts w:cs="Arial"/>
                <w:szCs w:val="18"/>
              </w:rPr>
            </w:pPr>
            <m:oMathPara>
              <m:oMathParaPr>
                <m:jc m:val="left"/>
              </m:oMathParaPr>
              <m:oMath>
                <m:sSub>
                  <m:sSubPr>
                    <m:ctrlPr>
                      <w:rPr>
                        <w:rFonts w:ascii="Cambria Math" w:eastAsiaTheme="minorEastAsia" w:hAnsi="Cambria Math" w:cs="Arial"/>
                        <w:i/>
                        <w:iCs/>
                        <w:color w:val="000000" w:themeColor="text1"/>
                        <w:szCs w:val="18"/>
                      </w:rPr>
                    </m:ctrlPr>
                  </m:sSubPr>
                  <m:e>
                    <m:r>
                      <w:rPr>
                        <w:rFonts w:ascii="Cambria Math" w:hAnsi="Cambria Math" w:cs="Arial"/>
                        <w:color w:val="000000" w:themeColor="text1"/>
                        <w:szCs w:val="18"/>
                      </w:rPr>
                      <m:t>K</m:t>
                    </m:r>
                  </m:e>
                  <m:sub>
                    <m:r>
                      <w:rPr>
                        <w:rFonts w:ascii="Cambria Math" w:hAnsi="Cambria Math" w:cs="Arial"/>
                        <w:color w:val="000000" w:themeColor="text1"/>
                        <w:szCs w:val="18"/>
                      </w:rPr>
                      <m:t>0,i</m:t>
                    </m:r>
                  </m:sub>
                </m:sSub>
                <m:r>
                  <w:rPr>
                    <w:rFonts w:ascii="Cambria Math" w:hAnsi="Cambria Math" w:cs="Arial"/>
                    <w:szCs w:val="18"/>
                  </w:rPr>
                  <m:t>(</m:t>
                </m:r>
                <m:sSub>
                  <m:sSubPr>
                    <m:ctrlPr>
                      <w:rPr>
                        <w:rFonts w:ascii="Cambria Math" w:eastAsiaTheme="minorHAnsi" w:hAnsi="Cambria Math" w:cs="Arial"/>
                        <w:i/>
                        <w:color w:val="4F4F4F"/>
                        <w:kern w:val="2"/>
                        <w:szCs w:val="18"/>
                        <w:lang w:val="en-US"/>
                        <w14:ligatures w14:val="standardContextual"/>
                      </w:rPr>
                    </m:ctrlPr>
                  </m:sSubPr>
                  <m:e>
                    <m:r>
                      <w:rPr>
                        <w:rFonts w:ascii="Cambria Math" w:hAnsi="Cambria Math" w:cs="Arial"/>
                        <w:szCs w:val="18"/>
                        <w:lang w:val="en-US"/>
                      </w:rPr>
                      <m:t>C</m:t>
                    </m:r>
                  </m:e>
                  <m:sub>
                    <m:r>
                      <w:rPr>
                        <w:rFonts w:ascii="Cambria Math" w:hAnsi="Cambria Math" w:cs="Arial"/>
                        <w:szCs w:val="18"/>
                        <w:lang w:val="en-US"/>
                      </w:rPr>
                      <m:t>0</m:t>
                    </m:r>
                  </m:sub>
                </m:sSub>
                <m:r>
                  <w:rPr>
                    <w:rFonts w:ascii="Cambria Math" w:hAnsi="Cambria Math" w:cs="Arial"/>
                    <w:szCs w:val="18"/>
                  </w:rPr>
                  <m:t>,SLR)</m:t>
                </m:r>
                <m:r>
                  <w:rPr>
                    <w:rFonts w:ascii="Cambria Math" w:hAnsi="Cambria Math" w:cs="Arial"/>
                    <w:color w:val="000000" w:themeColor="text1"/>
                    <w:szCs w:val="18"/>
                  </w:rPr>
                  <m:t>=</m:t>
                </m:r>
                <m:sSub>
                  <m:sSubPr>
                    <m:ctrlPr>
                      <w:rPr>
                        <w:rFonts w:ascii="Cambria Math" w:hAnsi="Cambria Math" w:cs="Arial"/>
                        <w:i/>
                        <w:iCs/>
                        <w:color w:val="000000" w:themeColor="text1"/>
                        <w:szCs w:val="18"/>
                      </w:rPr>
                    </m:ctrlPr>
                  </m:sSubPr>
                  <m:e>
                    <m:r>
                      <w:rPr>
                        <w:rFonts w:ascii="Cambria Math" w:hAnsi="Cambria Math" w:cs="Arial"/>
                        <w:color w:val="000000" w:themeColor="text1"/>
                        <w:szCs w:val="18"/>
                      </w:rPr>
                      <m:t>A</m:t>
                    </m:r>
                  </m:e>
                  <m:sub>
                    <m:r>
                      <w:rPr>
                        <w:rFonts w:ascii="Cambria Math" w:hAnsi="Cambria Math" w:cs="Arial"/>
                        <w:color w:val="000000" w:themeColor="text1"/>
                        <w:szCs w:val="18"/>
                      </w:rPr>
                      <m:t>1</m:t>
                    </m:r>
                  </m:sub>
                </m:sSub>
                <m:r>
                  <w:rPr>
                    <w:rFonts w:ascii="Cambria Math" w:hAnsi="Cambria Math" w:cs="Arial"/>
                    <w:color w:val="000000" w:themeColor="text1"/>
                    <w:szCs w:val="18"/>
                  </w:rPr>
                  <m:t>+</m:t>
                </m:r>
                <m:sSub>
                  <m:sSubPr>
                    <m:ctrlPr>
                      <w:rPr>
                        <w:rFonts w:ascii="Cambria Math" w:hAnsi="Cambria Math" w:cs="Arial"/>
                        <w:i/>
                        <w:iCs/>
                        <w:color w:val="000000" w:themeColor="text1"/>
                        <w:szCs w:val="18"/>
                      </w:rPr>
                    </m:ctrlPr>
                  </m:sSubPr>
                  <m:e>
                    <m:r>
                      <w:rPr>
                        <w:rFonts w:ascii="Cambria Math" w:hAnsi="Cambria Math" w:cs="Arial"/>
                        <w:color w:val="000000" w:themeColor="text1"/>
                        <w:szCs w:val="18"/>
                      </w:rPr>
                      <m:t>A</m:t>
                    </m:r>
                  </m:e>
                  <m:sub>
                    <m:r>
                      <w:rPr>
                        <w:rFonts w:ascii="Cambria Math" w:hAnsi="Cambria Math" w:cs="Arial"/>
                        <w:color w:val="000000" w:themeColor="text1"/>
                        <w:szCs w:val="18"/>
                      </w:rPr>
                      <m:t>2</m:t>
                    </m:r>
                  </m:sub>
                </m:sSub>
                <m:r>
                  <w:rPr>
                    <w:rFonts w:ascii="Cambria Math" w:hAnsi="Cambria Math" w:cs="Arial"/>
                    <w:szCs w:val="18"/>
                  </w:rPr>
                  <m:t>⋅</m:t>
                </m:r>
                <m:sSub>
                  <m:sSubPr>
                    <m:ctrlPr>
                      <w:rPr>
                        <w:rFonts w:ascii="Cambria Math" w:eastAsiaTheme="minorHAnsi" w:hAnsi="Cambria Math" w:cs="Arial"/>
                        <w:i/>
                        <w:color w:val="4F4F4F"/>
                        <w:kern w:val="2"/>
                        <w:szCs w:val="18"/>
                        <w:lang w:val="en-US"/>
                        <w14:ligatures w14:val="standardContextual"/>
                      </w:rPr>
                    </m:ctrlPr>
                  </m:sSubPr>
                  <m:e>
                    <m:r>
                      <w:rPr>
                        <w:rFonts w:ascii="Cambria Math" w:hAnsi="Cambria Math" w:cs="Arial"/>
                        <w:szCs w:val="18"/>
                        <w:lang w:val="en-US"/>
                      </w:rPr>
                      <m:t>C</m:t>
                    </m:r>
                  </m:e>
                  <m:sub>
                    <m:r>
                      <w:rPr>
                        <w:rFonts w:ascii="Cambria Math" w:hAnsi="Cambria Math" w:cs="Arial"/>
                        <w:szCs w:val="18"/>
                        <w:lang w:val="en-US"/>
                      </w:rPr>
                      <m:t>0</m:t>
                    </m:r>
                  </m:sub>
                </m:sSub>
                <m:r>
                  <w:rPr>
                    <w:rFonts w:ascii="Cambria Math" w:hAnsi="Cambria Math" w:cs="Arial"/>
                    <w:color w:val="000000" w:themeColor="text1"/>
                    <w:szCs w:val="18"/>
                  </w:rPr>
                  <m:t>+</m:t>
                </m:r>
                <m:sSub>
                  <m:sSubPr>
                    <m:ctrlPr>
                      <w:rPr>
                        <w:rFonts w:ascii="Cambria Math" w:hAnsi="Cambria Math" w:cs="Arial"/>
                        <w:i/>
                        <w:iCs/>
                        <w:color w:val="000000" w:themeColor="text1"/>
                        <w:szCs w:val="18"/>
                      </w:rPr>
                    </m:ctrlPr>
                  </m:sSubPr>
                  <m:e>
                    <m:r>
                      <w:rPr>
                        <w:rFonts w:ascii="Cambria Math" w:hAnsi="Cambria Math" w:cs="Arial"/>
                        <w:color w:val="000000" w:themeColor="text1"/>
                        <w:szCs w:val="18"/>
                      </w:rPr>
                      <m:t>A</m:t>
                    </m:r>
                  </m:e>
                  <m:sub>
                    <m:r>
                      <w:rPr>
                        <w:rFonts w:ascii="Cambria Math" w:hAnsi="Cambria Math" w:cs="Arial"/>
                        <w:color w:val="000000" w:themeColor="text1"/>
                        <w:szCs w:val="18"/>
                      </w:rPr>
                      <m:t>3</m:t>
                    </m:r>
                  </m:sub>
                </m:sSub>
                <m:r>
                  <w:rPr>
                    <w:rFonts w:ascii="Cambria Math" w:hAnsi="Cambria Math" w:cs="Arial"/>
                    <w:szCs w:val="18"/>
                  </w:rPr>
                  <m:t>⋅SLR</m:t>
                </m:r>
                <m:r>
                  <w:rPr>
                    <w:rFonts w:ascii="Cambria Math" w:hAnsi="Cambria Math" w:cs="Arial"/>
                    <w:color w:val="000000" w:themeColor="text1"/>
                    <w:szCs w:val="18"/>
                  </w:rPr>
                  <m:t>+</m:t>
                </m:r>
                <m:sSub>
                  <m:sSubPr>
                    <m:ctrlPr>
                      <w:rPr>
                        <w:rFonts w:ascii="Cambria Math" w:hAnsi="Cambria Math" w:cs="Arial"/>
                        <w:i/>
                        <w:iCs/>
                        <w:color w:val="000000" w:themeColor="text1"/>
                        <w:szCs w:val="18"/>
                      </w:rPr>
                    </m:ctrlPr>
                  </m:sSubPr>
                  <m:e>
                    <m:r>
                      <w:rPr>
                        <w:rFonts w:ascii="Cambria Math" w:hAnsi="Cambria Math" w:cs="Arial"/>
                        <w:color w:val="000000" w:themeColor="text1"/>
                        <w:szCs w:val="18"/>
                      </w:rPr>
                      <m:t>A</m:t>
                    </m:r>
                  </m:e>
                  <m:sub>
                    <m:r>
                      <w:rPr>
                        <w:rFonts w:ascii="Cambria Math" w:hAnsi="Cambria Math" w:cs="Arial"/>
                        <w:color w:val="000000" w:themeColor="text1"/>
                        <w:szCs w:val="18"/>
                      </w:rPr>
                      <m:t>4</m:t>
                    </m:r>
                  </m:sub>
                </m:sSub>
                <m:r>
                  <w:rPr>
                    <w:rFonts w:ascii="Cambria Math" w:hAnsi="Cambria Math" w:cs="Arial"/>
                    <w:szCs w:val="18"/>
                  </w:rPr>
                  <m:t>⋅</m:t>
                </m:r>
                <m:sSub>
                  <m:sSubPr>
                    <m:ctrlPr>
                      <w:rPr>
                        <w:rFonts w:ascii="Cambria Math" w:eastAsiaTheme="minorHAnsi" w:hAnsi="Cambria Math" w:cs="Arial"/>
                        <w:i/>
                        <w:color w:val="4F4F4F"/>
                        <w:kern w:val="2"/>
                        <w:szCs w:val="18"/>
                        <w:lang w:val="en-US"/>
                        <w14:ligatures w14:val="standardContextual"/>
                      </w:rPr>
                    </m:ctrlPr>
                  </m:sSubPr>
                  <m:e>
                    <m:r>
                      <w:rPr>
                        <w:rFonts w:ascii="Cambria Math" w:hAnsi="Cambria Math" w:cs="Arial"/>
                        <w:szCs w:val="18"/>
                        <w:lang w:val="en-US"/>
                      </w:rPr>
                      <m:t>C</m:t>
                    </m:r>
                  </m:e>
                  <m:sub>
                    <m:r>
                      <w:rPr>
                        <w:rFonts w:ascii="Cambria Math" w:hAnsi="Cambria Math" w:cs="Arial"/>
                        <w:szCs w:val="18"/>
                        <w:lang w:val="en-US"/>
                      </w:rPr>
                      <m:t>0</m:t>
                    </m:r>
                  </m:sub>
                </m:sSub>
                <m:r>
                  <w:rPr>
                    <w:rFonts w:ascii="Cambria Math" w:hAnsi="Cambria Math" w:cs="Arial"/>
                    <w:szCs w:val="18"/>
                  </w:rPr>
                  <m:t>⋅SLR</m:t>
                </m:r>
              </m:oMath>
            </m:oMathPara>
          </w:p>
        </w:tc>
        <w:tc>
          <w:tcPr>
            <w:tcW w:w="815" w:type="dxa"/>
            <w:shd w:val="clear" w:color="auto" w:fill="auto"/>
            <w:vAlign w:val="center"/>
          </w:tcPr>
          <w:p w14:paraId="79BD766F" w14:textId="4389EFAD" w:rsidR="005634EC" w:rsidRPr="00B57B36" w:rsidRDefault="005634EC" w:rsidP="00FA0D36">
            <w:pPr>
              <w:pStyle w:val="CETEquation"/>
              <w:spacing w:line="22" w:lineRule="atLeast"/>
              <w:jc w:val="right"/>
            </w:pPr>
            <w:r>
              <w:t>(</w:t>
            </w:r>
            <w:r w:rsidR="19E36C37">
              <w:t>8</w:t>
            </w:r>
            <w:r>
              <w:t>)</w:t>
            </w:r>
          </w:p>
        </w:tc>
      </w:tr>
    </w:tbl>
    <w:p w14:paraId="19DDE317" w14:textId="77777777" w:rsidR="001E2AA7" w:rsidRDefault="001E2AA7" w:rsidP="00FA0D36">
      <w:pPr>
        <w:pStyle w:val="CETBodytext"/>
        <w:spacing w:line="22" w:lineRule="atLeast"/>
        <w:rPr>
          <w:lang w:val="en-GB"/>
        </w:rPr>
      </w:pPr>
    </w:p>
    <w:p w14:paraId="092D8D5D" w14:textId="77777777" w:rsidR="00EC147D" w:rsidRDefault="001E2AA7" w:rsidP="00FA0D36">
      <w:pPr>
        <w:pStyle w:val="CETBodytext"/>
        <w:spacing w:line="22" w:lineRule="atLeast"/>
      </w:pPr>
      <w:r w:rsidRPr="0761191F">
        <w:rPr>
          <w:lang w:val="en-GB"/>
        </w:rPr>
        <w:t>Where the constants a, b, c, d, e, f, A</w:t>
      </w:r>
      <w:r w:rsidRPr="0761191F">
        <w:rPr>
          <w:vertAlign w:val="subscript"/>
          <w:lang w:val="en-GB"/>
        </w:rPr>
        <w:t>1</w:t>
      </w:r>
      <w:r w:rsidRPr="0761191F">
        <w:rPr>
          <w:lang w:val="en-GB"/>
        </w:rPr>
        <w:t>, A</w:t>
      </w:r>
      <w:r w:rsidRPr="0761191F">
        <w:rPr>
          <w:vertAlign w:val="subscript"/>
          <w:lang w:val="en-GB"/>
        </w:rPr>
        <w:t>2</w:t>
      </w:r>
      <w:r w:rsidRPr="0761191F">
        <w:rPr>
          <w:lang w:val="en-GB"/>
        </w:rPr>
        <w:t>, A</w:t>
      </w:r>
      <w:r w:rsidRPr="0761191F">
        <w:rPr>
          <w:vertAlign w:val="subscript"/>
          <w:lang w:val="en-GB"/>
        </w:rPr>
        <w:t>3</w:t>
      </w:r>
      <w:r w:rsidR="00515131" w:rsidRPr="0761191F">
        <w:rPr>
          <w:lang w:val="en-GB"/>
        </w:rPr>
        <w:t>,</w:t>
      </w:r>
      <w:r w:rsidRPr="0761191F">
        <w:rPr>
          <w:lang w:val="en-GB"/>
        </w:rPr>
        <w:t xml:space="preserve"> A</w:t>
      </w:r>
      <w:r w:rsidRPr="0761191F">
        <w:rPr>
          <w:vertAlign w:val="subscript"/>
          <w:lang w:val="en-GB"/>
        </w:rPr>
        <w:t>4</w:t>
      </w:r>
      <w:r w:rsidR="00515131" w:rsidRPr="0761191F">
        <w:rPr>
          <w:vertAlign w:val="subscript"/>
          <w:lang w:val="en-GB"/>
        </w:rPr>
        <w:t xml:space="preserve">, </w:t>
      </w:r>
      <w:r w:rsidR="00515131" w:rsidRPr="0761191F">
        <w:rPr>
          <w:lang w:val="en-GB"/>
        </w:rPr>
        <w:t>Ea</w:t>
      </w:r>
      <w:r w:rsidR="00515131" w:rsidRPr="0761191F">
        <w:rPr>
          <w:vertAlign w:val="subscript"/>
          <w:lang w:val="en-GB"/>
        </w:rPr>
        <w:t>i</w:t>
      </w:r>
      <w:r w:rsidR="00515131" w:rsidRPr="0761191F">
        <w:rPr>
          <w:lang w:val="en-GB"/>
        </w:rPr>
        <w:t>​ and E</w:t>
      </w:r>
      <w:r w:rsidR="00515131" w:rsidRPr="0761191F">
        <w:rPr>
          <w:vertAlign w:val="subscript"/>
          <w:lang w:val="en-GB"/>
        </w:rPr>
        <w:t>i</w:t>
      </w:r>
      <w:r w:rsidR="00515131" w:rsidRPr="0761191F">
        <w:rPr>
          <w:lang w:val="en-GB"/>
        </w:rPr>
        <w:t xml:space="preserve">​ </w:t>
      </w:r>
      <w:r w:rsidRPr="0761191F">
        <w:rPr>
          <w:lang w:val="en-GB"/>
        </w:rPr>
        <w:t xml:space="preserve">vary depending on whether the model is </w:t>
      </w:r>
      <w:r w:rsidR="00515131" w:rsidRPr="0761191F">
        <w:rPr>
          <w:lang w:val="en-GB"/>
        </w:rPr>
        <w:t>PFO or PSO</w:t>
      </w:r>
      <w:r w:rsidRPr="0761191F">
        <w:rPr>
          <w:lang w:val="en-GB"/>
        </w:rPr>
        <w:t>.</w:t>
      </w:r>
      <w:r w:rsidR="00307D9D" w:rsidRPr="0761191F">
        <w:rPr>
          <w:lang w:val="en-GB"/>
        </w:rPr>
        <w:t xml:space="preserve"> By changing the parameters, two models</w:t>
      </w:r>
      <w:r w:rsidR="00515131" w:rsidRPr="0761191F">
        <w:rPr>
          <w:lang w:val="en-GB"/>
        </w:rPr>
        <w:t xml:space="preserve"> were created</w:t>
      </w:r>
      <w:r w:rsidR="00307D9D" w:rsidRPr="0761191F">
        <w:rPr>
          <w:lang w:val="en-GB"/>
        </w:rPr>
        <w:t xml:space="preserve"> to predict the adsorption behavior under different conditions, as long as the values for T, </w:t>
      </w:r>
      <w:r w:rsidR="006704DF" w:rsidRPr="0761191F">
        <w:rPr>
          <w:lang w:val="en-GB"/>
        </w:rPr>
        <w:t>C</w:t>
      </w:r>
      <w:r w:rsidR="006704DF" w:rsidRPr="0761191F">
        <w:rPr>
          <w:vertAlign w:val="subscript"/>
          <w:lang w:val="en-GB"/>
        </w:rPr>
        <w:t>0</w:t>
      </w:r>
      <w:r w:rsidR="00307D9D" w:rsidRPr="0761191F">
        <w:rPr>
          <w:lang w:val="en-GB"/>
        </w:rPr>
        <w:t xml:space="preserve">, and </w:t>
      </w:r>
      <w:r w:rsidR="00717A48" w:rsidRPr="0761191F">
        <w:rPr>
          <w:lang w:val="en-GB"/>
        </w:rPr>
        <w:t>SLR</w:t>
      </w:r>
      <w:r w:rsidR="00515131" w:rsidRPr="0761191F">
        <w:rPr>
          <w:lang w:val="en-GB"/>
        </w:rPr>
        <w:t xml:space="preserve"> are known</w:t>
      </w:r>
      <w:r w:rsidR="00307D9D" w:rsidRPr="0761191F">
        <w:rPr>
          <w:lang w:val="en-GB"/>
        </w:rPr>
        <w:t>.</w:t>
      </w:r>
      <w:r w:rsidR="00B31865">
        <w:t xml:space="preserve"> </w:t>
      </w:r>
    </w:p>
    <w:p w14:paraId="062C214B" w14:textId="3DABF6F3" w:rsidR="007D6E8C" w:rsidRPr="007D6E8C" w:rsidRDefault="005634EC" w:rsidP="00FA0D36">
      <w:pPr>
        <w:pStyle w:val="CETBodytext"/>
        <w:spacing w:line="22" w:lineRule="atLeast"/>
      </w:pPr>
      <w:r>
        <w:lastRenderedPageBreak/>
        <w:t xml:space="preserve">The </w:t>
      </w:r>
      <w:r w:rsidR="00B31865" w:rsidRPr="0761191F">
        <w:rPr>
          <w:lang w:val="en-GB"/>
        </w:rPr>
        <w:t>mean relative percentage error</w:t>
      </w:r>
      <w:r w:rsidR="00753796" w:rsidRPr="0761191F">
        <w:rPr>
          <w:lang w:val="en-GB"/>
        </w:rPr>
        <w:t xml:space="preserve"> (MPE)</w:t>
      </w:r>
      <w:r>
        <w:t xml:space="preserve"> was calculated as follows</w:t>
      </w:r>
      <w:r w:rsidR="00B31865">
        <w:t xml:space="preserve"> in Eq(</w:t>
      </w:r>
      <w:r w:rsidR="2B52358F">
        <w:t>9</w:t>
      </w:r>
      <w:r w:rsidR="00B31865">
        <w:t>)</w:t>
      </w:r>
      <w:r w:rsidR="007D6E8C">
        <w:t xml:space="preserve"> using a simple mass </w:t>
      </w:r>
      <w:r w:rsidR="007D6E8C" w:rsidRPr="0761191F">
        <w:rPr>
          <w:lang w:val="en"/>
        </w:rPr>
        <w:t>balance from the concentrations calculated post adsorption and characterization (q</w:t>
      </w:r>
      <w:r w:rsidR="007D6E8C" w:rsidRPr="0761191F">
        <w:rPr>
          <w:vertAlign w:val="subscript"/>
          <w:lang w:val="en"/>
        </w:rPr>
        <w:t>exp</w:t>
      </w:r>
      <w:r w:rsidR="007D6E8C" w:rsidRPr="0761191F">
        <w:rPr>
          <w:lang w:val="en"/>
        </w:rPr>
        <w:t xml:space="preserve">) and the </w:t>
      </w:r>
      <w:r w:rsidR="007D6E8C" w:rsidRPr="0761191F">
        <w:rPr>
          <w:lang w:val="en-GB"/>
        </w:rPr>
        <w:t>overall adsorption capacity q</w:t>
      </w:r>
      <w:r w:rsidR="007D6E8C" w:rsidRPr="0761191F">
        <w:rPr>
          <w:vertAlign w:val="subscript"/>
          <w:lang w:val="en-GB"/>
        </w:rPr>
        <w:t>ov</w:t>
      </w:r>
      <w:r w:rsidR="007D6E8C" w:rsidRPr="0761191F">
        <w:rPr>
          <w:lang w:val="en-GB"/>
        </w:rPr>
        <w:t xml:space="preserve"> calculated by Eq(1).</w:t>
      </w:r>
    </w:p>
    <w:p w14:paraId="780BAE3A" w14:textId="2E41642C" w:rsidR="005634EC" w:rsidRDefault="005634EC" w:rsidP="00FA0D36">
      <w:pPr>
        <w:pStyle w:val="CETBodytext"/>
        <w:spacing w:line="22" w:lineRule="atLeast"/>
      </w:pPr>
    </w:p>
    <w:tbl>
      <w:tblPr>
        <w:tblW w:w="5000" w:type="pct"/>
        <w:tblLook w:val="04A0" w:firstRow="1" w:lastRow="0" w:firstColumn="1" w:lastColumn="0" w:noHBand="0" w:noVBand="1"/>
      </w:tblPr>
      <w:tblGrid>
        <w:gridCol w:w="7984"/>
        <w:gridCol w:w="803"/>
      </w:tblGrid>
      <w:tr w:rsidR="00B31865" w:rsidRPr="00B57B36" w14:paraId="742C78C1" w14:textId="77777777" w:rsidTr="0761191F">
        <w:tc>
          <w:tcPr>
            <w:tcW w:w="8188" w:type="dxa"/>
            <w:shd w:val="clear" w:color="auto" w:fill="auto"/>
            <w:vAlign w:val="center"/>
          </w:tcPr>
          <w:p w14:paraId="24E92FAF" w14:textId="2FE427F9" w:rsidR="00B31865" w:rsidRPr="00394792" w:rsidRDefault="00B31865" w:rsidP="00FA0D36">
            <w:pPr>
              <w:pStyle w:val="CETEquation"/>
              <w:spacing w:line="22" w:lineRule="atLeast"/>
              <w:jc w:val="both"/>
              <w:rPr>
                <w:rFonts w:cs="Arial"/>
              </w:rPr>
            </w:pPr>
            <m:oMathPara>
              <m:oMathParaPr>
                <m:jc m:val="left"/>
              </m:oMathParaPr>
              <m:oMath>
                <m:r>
                  <w:rPr>
                    <w:rFonts w:ascii="Cambria Math" w:hAnsi="Cambria Math" w:cs="Arial"/>
                    <w:lang w:val="pt-BR"/>
                  </w:rPr>
                  <m:t xml:space="preserve">MPE (%)= </m:t>
                </m:r>
                <m:f>
                  <m:fPr>
                    <m:ctrlPr>
                      <w:rPr>
                        <w:rFonts w:ascii="Cambria Math" w:hAnsi="Cambria Math" w:cs="Arial"/>
                        <w:i/>
                        <w:lang w:val="pt-BR"/>
                      </w:rPr>
                    </m:ctrlPr>
                  </m:fPr>
                  <m:num>
                    <m:r>
                      <w:rPr>
                        <w:rFonts w:ascii="Cambria Math" w:hAnsi="Cambria Math" w:cs="Arial"/>
                        <w:lang w:val="pt-BR"/>
                      </w:rPr>
                      <m:t>1</m:t>
                    </m:r>
                  </m:num>
                  <m:den>
                    <m:r>
                      <w:rPr>
                        <w:rFonts w:ascii="Cambria Math" w:hAnsi="Cambria Math" w:cs="Arial"/>
                        <w:lang w:val="pt-BR"/>
                      </w:rPr>
                      <m:t>n</m:t>
                    </m:r>
                  </m:den>
                </m:f>
                <m:nary>
                  <m:naryPr>
                    <m:chr m:val="∑"/>
                    <m:limLoc m:val="undOvr"/>
                    <m:ctrlPr>
                      <w:rPr>
                        <w:rFonts w:ascii="Cambria Math" w:hAnsi="Cambria Math" w:cs="Arial"/>
                        <w:i/>
                        <w:lang w:val="pt-BR"/>
                      </w:rPr>
                    </m:ctrlPr>
                  </m:naryPr>
                  <m:sub>
                    <m:r>
                      <w:rPr>
                        <w:rFonts w:ascii="Cambria Math" w:hAnsi="Cambria Math" w:cs="Arial"/>
                        <w:lang w:val="pt-BR"/>
                      </w:rPr>
                      <m:t>i=1</m:t>
                    </m:r>
                  </m:sub>
                  <m:sup>
                    <m:r>
                      <w:rPr>
                        <w:rFonts w:ascii="Cambria Math" w:hAnsi="Cambria Math" w:cs="Arial"/>
                        <w:lang w:val="pt-BR"/>
                      </w:rPr>
                      <m:t>n</m:t>
                    </m:r>
                  </m:sup>
                  <m:e>
                    <m:d>
                      <m:dPr>
                        <m:begChr m:val="|"/>
                        <m:endChr m:val="|"/>
                        <m:ctrlPr>
                          <w:rPr>
                            <w:rFonts w:ascii="Cambria Math" w:hAnsi="Cambria Math" w:cs="Arial"/>
                            <w:i/>
                            <w:lang w:val="pt-BR"/>
                          </w:rPr>
                        </m:ctrlPr>
                      </m:dPr>
                      <m:e>
                        <m:f>
                          <m:fPr>
                            <m:ctrlPr>
                              <w:rPr>
                                <w:rFonts w:ascii="Cambria Math" w:hAnsi="Cambria Math" w:cs="Arial"/>
                                <w:i/>
                                <w:lang w:val="pt-BR"/>
                              </w:rPr>
                            </m:ctrlPr>
                          </m:fPr>
                          <m:num>
                            <m:sSub>
                              <m:sSubPr>
                                <m:ctrlPr>
                                  <w:rPr>
                                    <w:rFonts w:ascii="Cambria Math" w:hAnsi="Cambria Math" w:cs="Arial"/>
                                    <w:i/>
                                    <w:lang w:val="pt-BR"/>
                                  </w:rPr>
                                </m:ctrlPr>
                              </m:sSubPr>
                              <m:e>
                                <m:sSub>
                                  <m:sSubPr>
                                    <m:ctrlPr>
                                      <w:rPr>
                                        <w:rFonts w:ascii="Cambria Math" w:hAnsi="Cambria Math" w:cs="Arial"/>
                                        <w:i/>
                                        <w:lang w:val="pt-BR"/>
                                      </w:rPr>
                                    </m:ctrlPr>
                                  </m:sSubPr>
                                  <m:e>
                                    <m:r>
                                      <w:rPr>
                                        <w:rFonts w:ascii="Cambria Math" w:hAnsi="Cambria Math" w:cs="Arial"/>
                                        <w:lang w:val="pt-BR"/>
                                      </w:rPr>
                                      <m:t>q</m:t>
                                    </m:r>
                                  </m:e>
                                  <m:sub>
                                    <m:r>
                                      <w:rPr>
                                        <w:rFonts w:ascii="Cambria Math" w:hAnsi="Cambria Math" w:cs="Arial"/>
                                        <w:lang w:val="pt-BR"/>
                                      </w:rPr>
                                      <m:t>exp</m:t>
                                    </m:r>
                                  </m:sub>
                                </m:sSub>
                              </m:e>
                              <m:sub>
                                <m:r>
                                  <w:rPr>
                                    <w:rFonts w:ascii="Cambria Math" w:hAnsi="Cambria Math" w:cs="Arial"/>
                                    <w:lang w:val="pt-BR"/>
                                  </w:rPr>
                                  <m:t>i</m:t>
                                </m:r>
                              </m:sub>
                            </m:sSub>
                            <m:r>
                              <w:rPr>
                                <w:rFonts w:ascii="Cambria Math" w:hAnsi="Cambria Math" w:cs="Arial"/>
                                <w:lang w:val="pt-BR"/>
                              </w:rPr>
                              <m:t>-</m:t>
                            </m:r>
                            <m:sSub>
                              <m:sSubPr>
                                <m:ctrlPr>
                                  <w:rPr>
                                    <w:rFonts w:ascii="Cambria Math" w:hAnsi="Cambria Math" w:cs="Arial"/>
                                    <w:i/>
                                    <w:lang w:val="pt-BR"/>
                                  </w:rPr>
                                </m:ctrlPr>
                              </m:sSubPr>
                              <m:e>
                                <m:sSub>
                                  <m:sSubPr>
                                    <m:ctrlPr>
                                      <w:rPr>
                                        <w:rFonts w:ascii="Cambria Math" w:hAnsi="Cambria Math" w:cs="Arial"/>
                                        <w:i/>
                                        <w:lang w:val="pt-BR"/>
                                      </w:rPr>
                                    </m:ctrlPr>
                                  </m:sSubPr>
                                  <m:e>
                                    <m:r>
                                      <w:rPr>
                                        <w:rFonts w:ascii="Cambria Math" w:hAnsi="Cambria Math" w:cs="Arial"/>
                                        <w:lang w:val="pt-BR"/>
                                      </w:rPr>
                                      <m:t>q</m:t>
                                    </m:r>
                                  </m:e>
                                  <m:sub>
                                    <m:r>
                                      <w:rPr>
                                        <w:rFonts w:ascii="Cambria Math" w:hAnsi="Cambria Math" w:cs="Arial"/>
                                        <w:lang w:val="pt-BR"/>
                                      </w:rPr>
                                      <m:t>ov</m:t>
                                    </m:r>
                                  </m:sub>
                                </m:sSub>
                              </m:e>
                              <m:sub>
                                <m:r>
                                  <w:rPr>
                                    <w:rFonts w:ascii="Cambria Math" w:hAnsi="Cambria Math" w:cs="Arial"/>
                                    <w:lang w:val="pt-BR"/>
                                  </w:rPr>
                                  <m:t>i</m:t>
                                </m:r>
                              </m:sub>
                            </m:sSub>
                          </m:num>
                          <m:den>
                            <m:sSub>
                              <m:sSubPr>
                                <m:ctrlPr>
                                  <w:rPr>
                                    <w:rFonts w:ascii="Cambria Math" w:hAnsi="Cambria Math" w:cs="Arial"/>
                                    <w:i/>
                                    <w:lang w:val="pt-BR"/>
                                  </w:rPr>
                                </m:ctrlPr>
                              </m:sSubPr>
                              <m:e>
                                <m:sSub>
                                  <m:sSubPr>
                                    <m:ctrlPr>
                                      <w:rPr>
                                        <w:rFonts w:ascii="Cambria Math" w:hAnsi="Cambria Math" w:cs="Arial"/>
                                        <w:i/>
                                        <w:lang w:val="pt-BR"/>
                                      </w:rPr>
                                    </m:ctrlPr>
                                  </m:sSubPr>
                                  <m:e>
                                    <m:r>
                                      <w:rPr>
                                        <w:rFonts w:ascii="Cambria Math" w:hAnsi="Cambria Math" w:cs="Arial"/>
                                        <w:lang w:val="pt-BR"/>
                                      </w:rPr>
                                      <m:t>q</m:t>
                                    </m:r>
                                  </m:e>
                                  <m:sub>
                                    <m:r>
                                      <w:rPr>
                                        <w:rFonts w:ascii="Cambria Math" w:hAnsi="Cambria Math" w:cs="Arial"/>
                                        <w:lang w:val="pt-BR"/>
                                      </w:rPr>
                                      <m:t>exp</m:t>
                                    </m:r>
                                  </m:sub>
                                </m:sSub>
                              </m:e>
                              <m:sub>
                                <m:r>
                                  <w:rPr>
                                    <w:rFonts w:ascii="Cambria Math" w:hAnsi="Cambria Math" w:cs="Arial"/>
                                    <w:lang w:val="pt-BR"/>
                                  </w:rPr>
                                  <m:t>i</m:t>
                                </m:r>
                              </m:sub>
                            </m:sSub>
                          </m:den>
                        </m:f>
                      </m:e>
                    </m:d>
                  </m:e>
                </m:nary>
                <m:r>
                  <w:rPr>
                    <w:rFonts w:ascii="Cambria Math" w:hAnsi="Cambria Math" w:cs="Arial"/>
                    <w:lang w:val="pt-BR"/>
                  </w:rPr>
                  <m:t>×100</m:t>
                </m:r>
              </m:oMath>
            </m:oMathPara>
          </w:p>
        </w:tc>
        <w:tc>
          <w:tcPr>
            <w:tcW w:w="815" w:type="dxa"/>
            <w:shd w:val="clear" w:color="auto" w:fill="auto"/>
            <w:vAlign w:val="center"/>
          </w:tcPr>
          <w:p w14:paraId="20D706CC" w14:textId="3B8009CB" w:rsidR="00B31865" w:rsidRPr="00B57B36" w:rsidRDefault="00B31865" w:rsidP="00FA0D36">
            <w:pPr>
              <w:pStyle w:val="CETEquation"/>
              <w:spacing w:line="22" w:lineRule="atLeast"/>
              <w:jc w:val="right"/>
            </w:pPr>
            <w:r>
              <w:t>(</w:t>
            </w:r>
            <w:r w:rsidR="2F82E677">
              <w:t>9</w:t>
            </w:r>
            <w:r>
              <w:t>)</w:t>
            </w:r>
          </w:p>
        </w:tc>
      </w:tr>
    </w:tbl>
    <w:p w14:paraId="04963A06" w14:textId="514A5117" w:rsidR="00600535" w:rsidRDefault="500D09AA" w:rsidP="00FA0D36">
      <w:pPr>
        <w:pStyle w:val="CETHeading1"/>
        <w:spacing w:line="22" w:lineRule="atLeast"/>
        <w:jc w:val="both"/>
      </w:pPr>
      <w:r w:rsidRPr="3B382773">
        <w:rPr>
          <w:lang w:val="en-GB"/>
        </w:rPr>
        <w:t>Results</w:t>
      </w:r>
    </w:p>
    <w:p w14:paraId="237A6E6B" w14:textId="296BEE17" w:rsidR="002C426F" w:rsidRPr="002C426F" w:rsidRDefault="002C426F" w:rsidP="00FA0D36">
      <w:pPr>
        <w:pStyle w:val="CETBodytext"/>
        <w:spacing w:line="22" w:lineRule="atLeast"/>
        <w:rPr>
          <w:lang w:val="en-GB"/>
        </w:rPr>
      </w:pPr>
      <w:r w:rsidRPr="002C426F">
        <w:rPr>
          <w:lang w:val="en-GB"/>
        </w:rPr>
        <w:t>The adsorption study evaluated the equilibrium adsorption capacity (q</w:t>
      </w:r>
      <w:r w:rsidRPr="002C426F">
        <w:rPr>
          <w:vertAlign w:val="subscript"/>
          <w:lang w:val="en-GB"/>
        </w:rPr>
        <w:t>eq</w:t>
      </w:r>
      <w:r w:rsidRPr="002C426F">
        <w:rPr>
          <w:lang w:val="en-GB"/>
        </w:rPr>
        <w:t>) for PFO and PSO models across various experimental conditions</w:t>
      </w:r>
      <w:r>
        <w:rPr>
          <w:lang w:val="en-GB"/>
        </w:rPr>
        <w:t xml:space="preserve"> as shown in Table </w:t>
      </w:r>
      <w:r w:rsidR="001D373D">
        <w:rPr>
          <w:lang w:val="en-GB"/>
        </w:rPr>
        <w:t>2</w:t>
      </w:r>
      <w:r w:rsidRPr="002C426F">
        <w:rPr>
          <w:lang w:val="en-GB"/>
        </w:rPr>
        <w:t xml:space="preserve">. The </w:t>
      </w:r>
      <w:r w:rsidR="001D373D">
        <w:rPr>
          <w:lang w:val="en-GB"/>
        </w:rPr>
        <w:t>K</w:t>
      </w:r>
      <w:r w:rsidRPr="002C426F">
        <w:rPr>
          <w:vertAlign w:val="subscript"/>
          <w:lang w:val="en-GB"/>
        </w:rPr>
        <w:t>eq</w:t>
      </w:r>
      <w:r w:rsidRPr="002C426F">
        <w:rPr>
          <w:lang w:val="en-GB"/>
        </w:rPr>
        <w:t xml:space="preserve">​ values varied, with notable ranges such as </w:t>
      </w:r>
      <w:r w:rsidR="001D373D">
        <w:rPr>
          <w:lang w:val="en-GB"/>
        </w:rPr>
        <w:t>0.89</w:t>
      </w:r>
      <w:r w:rsidRPr="002C426F">
        <w:rPr>
          <w:lang w:val="en-GB"/>
        </w:rPr>
        <w:t>–</w:t>
      </w:r>
      <w:r w:rsidR="001D373D">
        <w:rPr>
          <w:lang w:val="en-GB"/>
        </w:rPr>
        <w:t>4.38</w:t>
      </w:r>
      <w:r w:rsidRPr="002C426F">
        <w:rPr>
          <w:lang w:val="en-GB"/>
        </w:rPr>
        <w:t xml:space="preserve"> </w:t>
      </w:r>
      <w:r w:rsidR="001D373D">
        <w:rPr>
          <w:rFonts w:eastAsia="Arial" w:cs="Arial"/>
          <w:szCs w:val="18"/>
        </w:rPr>
        <w:t>L/mg</w:t>
      </w:r>
      <w:r w:rsidR="001D373D" w:rsidRPr="002C426F">
        <w:rPr>
          <w:lang w:val="en-GB"/>
        </w:rPr>
        <w:t xml:space="preserve"> </w:t>
      </w:r>
      <w:r w:rsidRPr="002C426F">
        <w:rPr>
          <w:lang w:val="en-GB"/>
        </w:rPr>
        <w:t xml:space="preserve">for PFO and </w:t>
      </w:r>
      <w:r w:rsidR="001D373D">
        <w:rPr>
          <w:lang w:val="en-GB"/>
        </w:rPr>
        <w:t>1.44</w:t>
      </w:r>
      <w:r w:rsidRPr="002C426F">
        <w:rPr>
          <w:lang w:val="en-GB"/>
        </w:rPr>
        <w:t>–</w:t>
      </w:r>
      <w:r w:rsidR="001D373D">
        <w:rPr>
          <w:lang w:val="en-GB"/>
        </w:rPr>
        <w:t>5.48</w:t>
      </w:r>
      <w:r w:rsidRPr="002C426F">
        <w:rPr>
          <w:lang w:val="en-GB"/>
        </w:rPr>
        <w:t xml:space="preserve"> </w:t>
      </w:r>
      <w:r w:rsidR="001D373D">
        <w:rPr>
          <w:rFonts w:eastAsia="Arial" w:cs="Arial"/>
          <w:szCs w:val="18"/>
        </w:rPr>
        <w:t>L/mg</w:t>
      </w:r>
      <w:r w:rsidR="001D373D" w:rsidRPr="002C426F">
        <w:rPr>
          <w:lang w:val="en-GB"/>
        </w:rPr>
        <w:t xml:space="preserve"> </w:t>
      </w:r>
      <w:r w:rsidRPr="002C426F">
        <w:rPr>
          <w:lang w:val="en-GB"/>
        </w:rPr>
        <w:t>for PSO. The central point in the experimental design</w:t>
      </w:r>
      <w:r w:rsidR="00D0279A">
        <w:rPr>
          <w:lang w:val="en-GB"/>
        </w:rPr>
        <w:t xml:space="preserve"> </w:t>
      </w:r>
      <w:r w:rsidR="00D0279A" w:rsidRPr="003411E9">
        <w:rPr>
          <w:lang w:val="en-GB"/>
        </w:rPr>
        <w:t>(1</w:t>
      </w:r>
      <w:r w:rsidR="00C345EF">
        <w:rPr>
          <w:lang w:val="en-GB"/>
        </w:rPr>
        <w:t>3</w:t>
      </w:r>
      <w:r w:rsidR="00D0279A" w:rsidRPr="003411E9">
        <w:rPr>
          <w:lang w:val="en-GB"/>
        </w:rPr>
        <w:t>)</w:t>
      </w:r>
      <w:r w:rsidRPr="002C426F">
        <w:rPr>
          <w:lang w:val="en-GB"/>
        </w:rPr>
        <w:t xml:space="preserve"> w</w:t>
      </w:r>
      <w:r w:rsidR="00D0279A">
        <w:rPr>
          <w:lang w:val="en-GB"/>
        </w:rPr>
        <w:t>as used to validate the models</w:t>
      </w:r>
      <w:r>
        <w:rPr>
          <w:lang w:val="en-GB"/>
        </w:rPr>
        <w:t>.</w:t>
      </w:r>
    </w:p>
    <w:p w14:paraId="191D9CC5" w14:textId="77777777" w:rsidR="00F05291" w:rsidRPr="00D0279A" w:rsidRDefault="00F05291" w:rsidP="00EB23E1">
      <w:pPr>
        <w:pStyle w:val="CETBodytext"/>
      </w:pPr>
    </w:p>
    <w:p w14:paraId="3DC04EA7" w14:textId="77777777" w:rsidR="00515943" w:rsidRPr="00C341BD" w:rsidRDefault="00515943" w:rsidP="00515943">
      <w:pPr>
        <w:pStyle w:val="CETBodytext"/>
        <w:rPr>
          <w:i/>
          <w:iCs/>
        </w:rPr>
      </w:pPr>
      <w:r w:rsidRPr="00C341BD">
        <w:rPr>
          <w:i/>
          <w:iCs/>
        </w:rPr>
        <w:t xml:space="preserve">Table </w:t>
      </w:r>
      <w:r>
        <w:rPr>
          <w:i/>
          <w:iCs/>
        </w:rPr>
        <w:t>2</w:t>
      </w:r>
      <w:r w:rsidRPr="00C341BD">
        <w:rPr>
          <w:i/>
          <w:iCs/>
        </w:rPr>
        <w:t xml:space="preserve"> - </w:t>
      </w:r>
      <w:r>
        <w:rPr>
          <w:i/>
          <w:iCs/>
          <w:lang w:val="en-GB"/>
        </w:rPr>
        <w:t>K</w:t>
      </w:r>
      <w:r w:rsidRPr="00C341BD">
        <w:rPr>
          <w:i/>
          <w:iCs/>
          <w:vertAlign w:val="subscript"/>
          <w:lang w:val="en-GB"/>
        </w:rPr>
        <w:t>eq​</w:t>
      </w:r>
      <w:r w:rsidRPr="00C341BD">
        <w:rPr>
          <w:i/>
          <w:iCs/>
          <w:lang w:val="en-GB"/>
        </w:rPr>
        <w:t xml:space="preserve"> for Pseudo-First and Pseudo-Second Order Models and conditions</w:t>
      </w:r>
    </w:p>
    <w:tbl>
      <w:tblPr>
        <w:tblStyle w:val="TabelaSimples-1"/>
        <w:tblW w:w="8364" w:type="dxa"/>
        <w:tblLayout w:type="fixed"/>
        <w:tblLook w:val="06A0" w:firstRow="1" w:lastRow="0" w:firstColumn="1" w:lastColumn="0" w:noHBand="1" w:noVBand="1"/>
      </w:tblPr>
      <w:tblGrid>
        <w:gridCol w:w="1417"/>
        <w:gridCol w:w="567"/>
        <w:gridCol w:w="567"/>
        <w:gridCol w:w="567"/>
        <w:gridCol w:w="567"/>
        <w:gridCol w:w="567"/>
        <w:gridCol w:w="567"/>
        <w:gridCol w:w="567"/>
        <w:gridCol w:w="568"/>
        <w:gridCol w:w="567"/>
        <w:gridCol w:w="567"/>
        <w:gridCol w:w="567"/>
        <w:gridCol w:w="709"/>
      </w:tblGrid>
      <w:tr w:rsidR="00D0279A" w14:paraId="7663CEDE" w14:textId="1B7BD6C3" w:rsidTr="00450EDE">
        <w:trPr>
          <w:cnfStyle w:val="100000000000" w:firstRow="1" w:lastRow="0" w:firstColumn="0" w:lastColumn="0" w:oddVBand="0" w:evenVBand="0" w:oddHBand="0" w:evenHBand="0" w:firstRowFirstColumn="0" w:firstRowLastColumn="0" w:lastRowFirstColumn="0" w:lastRowLastColumn="0"/>
          <w:trHeight w:val="300"/>
        </w:trPr>
        <w:tc>
          <w:tcPr>
            <w:tcW w:w="1417" w:type="dxa"/>
            <w:tcBorders>
              <w:bottom w:val="nil"/>
            </w:tcBorders>
            <w:vAlign w:val="center"/>
          </w:tcPr>
          <w:p w14:paraId="73904727" w14:textId="183E0654" w:rsidR="00D0279A" w:rsidRDefault="00D0279A" w:rsidP="00515943">
            <w:pPr>
              <w:pStyle w:val="CETBodytext"/>
              <w:numPr>
                <w:ilvl w:val="0"/>
                <w:numId w:val="0"/>
              </w:numPr>
              <w:jc w:val="left"/>
              <w:rPr>
                <w:rFonts w:eastAsia="Arial" w:cs="Arial"/>
                <w:szCs w:val="18"/>
              </w:rPr>
            </w:pPr>
            <w:r>
              <w:rPr>
                <w:rFonts w:cs="Arial"/>
                <w:color w:val="000000"/>
                <w:szCs w:val="18"/>
              </w:rPr>
              <w:t>Run</w:t>
            </w:r>
          </w:p>
        </w:tc>
        <w:tc>
          <w:tcPr>
            <w:tcW w:w="567" w:type="dxa"/>
            <w:tcBorders>
              <w:bottom w:val="nil"/>
            </w:tcBorders>
            <w:vAlign w:val="center"/>
          </w:tcPr>
          <w:p w14:paraId="01068E3F" w14:textId="1E8592E5" w:rsidR="00D0279A" w:rsidRDefault="00D0279A" w:rsidP="00515943">
            <w:pPr>
              <w:pStyle w:val="CETBodytext"/>
              <w:numPr>
                <w:ilvl w:val="0"/>
                <w:numId w:val="0"/>
              </w:numPr>
              <w:jc w:val="left"/>
              <w:rPr>
                <w:rFonts w:eastAsia="Arial" w:cs="Arial"/>
                <w:szCs w:val="18"/>
              </w:rPr>
            </w:pPr>
            <w:r>
              <w:rPr>
                <w:rFonts w:cs="Arial"/>
                <w:color w:val="000000"/>
                <w:szCs w:val="18"/>
              </w:rPr>
              <w:t>1</w:t>
            </w:r>
          </w:p>
        </w:tc>
        <w:tc>
          <w:tcPr>
            <w:tcW w:w="567" w:type="dxa"/>
            <w:tcBorders>
              <w:bottom w:val="nil"/>
            </w:tcBorders>
            <w:vAlign w:val="center"/>
          </w:tcPr>
          <w:p w14:paraId="738BA9BA" w14:textId="05610E85" w:rsidR="00D0279A" w:rsidRDefault="00D0279A" w:rsidP="00515943">
            <w:pPr>
              <w:pStyle w:val="CETBodytext"/>
              <w:numPr>
                <w:ilvl w:val="0"/>
                <w:numId w:val="0"/>
              </w:numPr>
              <w:jc w:val="left"/>
              <w:rPr>
                <w:rFonts w:eastAsia="Arial" w:cs="Arial"/>
                <w:szCs w:val="18"/>
              </w:rPr>
            </w:pPr>
            <w:r>
              <w:rPr>
                <w:rFonts w:cs="Arial"/>
                <w:color w:val="000000"/>
                <w:szCs w:val="18"/>
              </w:rPr>
              <w:t>2</w:t>
            </w:r>
          </w:p>
        </w:tc>
        <w:tc>
          <w:tcPr>
            <w:tcW w:w="567" w:type="dxa"/>
            <w:tcBorders>
              <w:bottom w:val="nil"/>
            </w:tcBorders>
            <w:vAlign w:val="center"/>
          </w:tcPr>
          <w:p w14:paraId="4FFB302B" w14:textId="7776C80C" w:rsidR="00D0279A" w:rsidRDefault="00D0279A" w:rsidP="00515943">
            <w:pPr>
              <w:pStyle w:val="CETBodytext"/>
              <w:numPr>
                <w:ilvl w:val="0"/>
                <w:numId w:val="0"/>
              </w:numPr>
              <w:jc w:val="left"/>
              <w:rPr>
                <w:rFonts w:eastAsia="Arial" w:cs="Arial"/>
                <w:szCs w:val="18"/>
              </w:rPr>
            </w:pPr>
            <w:r>
              <w:rPr>
                <w:rFonts w:cs="Arial"/>
                <w:color w:val="000000"/>
                <w:szCs w:val="18"/>
              </w:rPr>
              <w:t>3</w:t>
            </w:r>
          </w:p>
        </w:tc>
        <w:tc>
          <w:tcPr>
            <w:tcW w:w="567" w:type="dxa"/>
            <w:tcBorders>
              <w:bottom w:val="nil"/>
            </w:tcBorders>
            <w:vAlign w:val="center"/>
          </w:tcPr>
          <w:p w14:paraId="7273C0B4" w14:textId="22E57C5B" w:rsidR="00D0279A" w:rsidRPr="59739B99" w:rsidRDefault="00D0279A" w:rsidP="00515943">
            <w:pPr>
              <w:pStyle w:val="CETBodytext"/>
              <w:numPr>
                <w:ilvl w:val="0"/>
                <w:numId w:val="0"/>
              </w:numPr>
              <w:jc w:val="left"/>
              <w:rPr>
                <w:rFonts w:eastAsia="Arial" w:cs="Arial"/>
                <w:szCs w:val="18"/>
              </w:rPr>
            </w:pPr>
            <w:r>
              <w:rPr>
                <w:rFonts w:cs="Arial"/>
                <w:color w:val="000000"/>
                <w:szCs w:val="18"/>
              </w:rPr>
              <w:t>4</w:t>
            </w:r>
          </w:p>
        </w:tc>
        <w:tc>
          <w:tcPr>
            <w:tcW w:w="567" w:type="dxa"/>
            <w:tcBorders>
              <w:bottom w:val="nil"/>
            </w:tcBorders>
            <w:vAlign w:val="center"/>
          </w:tcPr>
          <w:p w14:paraId="5DB4A67C" w14:textId="58E07C9C" w:rsidR="00D0279A" w:rsidRPr="59739B99" w:rsidRDefault="00D0279A" w:rsidP="00515943">
            <w:pPr>
              <w:pStyle w:val="CETBodytext"/>
              <w:numPr>
                <w:ilvl w:val="0"/>
                <w:numId w:val="0"/>
              </w:numPr>
              <w:jc w:val="left"/>
              <w:rPr>
                <w:rFonts w:eastAsia="Arial" w:cs="Arial"/>
                <w:szCs w:val="18"/>
              </w:rPr>
            </w:pPr>
            <w:r>
              <w:rPr>
                <w:rFonts w:cs="Arial"/>
                <w:color w:val="000000"/>
                <w:szCs w:val="18"/>
              </w:rPr>
              <w:t>5</w:t>
            </w:r>
          </w:p>
        </w:tc>
        <w:tc>
          <w:tcPr>
            <w:tcW w:w="567" w:type="dxa"/>
            <w:tcBorders>
              <w:bottom w:val="nil"/>
            </w:tcBorders>
            <w:vAlign w:val="center"/>
          </w:tcPr>
          <w:p w14:paraId="46DD454B" w14:textId="37194670" w:rsidR="00D0279A" w:rsidRPr="59739B99" w:rsidRDefault="00D0279A" w:rsidP="00515943">
            <w:pPr>
              <w:pStyle w:val="CETBodytext"/>
              <w:numPr>
                <w:ilvl w:val="0"/>
                <w:numId w:val="0"/>
              </w:numPr>
              <w:jc w:val="left"/>
              <w:rPr>
                <w:rFonts w:eastAsia="Arial" w:cs="Arial"/>
                <w:szCs w:val="18"/>
              </w:rPr>
            </w:pPr>
            <w:r>
              <w:rPr>
                <w:rFonts w:cs="Arial"/>
                <w:color w:val="000000"/>
                <w:szCs w:val="18"/>
              </w:rPr>
              <w:t>6</w:t>
            </w:r>
          </w:p>
        </w:tc>
        <w:tc>
          <w:tcPr>
            <w:tcW w:w="567" w:type="dxa"/>
            <w:tcBorders>
              <w:bottom w:val="nil"/>
            </w:tcBorders>
            <w:vAlign w:val="center"/>
          </w:tcPr>
          <w:p w14:paraId="31B838A5" w14:textId="5FB00164" w:rsidR="00D0279A" w:rsidRPr="59739B99" w:rsidRDefault="00D0279A" w:rsidP="00515943">
            <w:pPr>
              <w:pStyle w:val="CETBodytext"/>
              <w:numPr>
                <w:ilvl w:val="0"/>
                <w:numId w:val="0"/>
              </w:numPr>
              <w:jc w:val="left"/>
              <w:rPr>
                <w:rFonts w:eastAsia="Arial" w:cs="Arial"/>
                <w:szCs w:val="18"/>
              </w:rPr>
            </w:pPr>
            <w:r>
              <w:rPr>
                <w:rFonts w:cs="Arial"/>
                <w:color w:val="000000"/>
                <w:szCs w:val="18"/>
              </w:rPr>
              <w:t>7</w:t>
            </w:r>
          </w:p>
        </w:tc>
        <w:tc>
          <w:tcPr>
            <w:tcW w:w="568" w:type="dxa"/>
            <w:tcBorders>
              <w:bottom w:val="nil"/>
            </w:tcBorders>
            <w:vAlign w:val="center"/>
          </w:tcPr>
          <w:p w14:paraId="0361E916" w14:textId="7E3236D6" w:rsidR="00D0279A" w:rsidRPr="59739B99" w:rsidRDefault="00D0279A" w:rsidP="00515943">
            <w:pPr>
              <w:pStyle w:val="CETBodytext"/>
              <w:numPr>
                <w:ilvl w:val="0"/>
                <w:numId w:val="0"/>
              </w:numPr>
              <w:jc w:val="left"/>
              <w:rPr>
                <w:rFonts w:eastAsia="Arial" w:cs="Arial"/>
                <w:szCs w:val="18"/>
              </w:rPr>
            </w:pPr>
            <w:r>
              <w:rPr>
                <w:rFonts w:cs="Arial"/>
                <w:color w:val="000000"/>
                <w:szCs w:val="18"/>
              </w:rPr>
              <w:t>8</w:t>
            </w:r>
          </w:p>
        </w:tc>
        <w:tc>
          <w:tcPr>
            <w:tcW w:w="567" w:type="dxa"/>
            <w:tcBorders>
              <w:bottom w:val="nil"/>
            </w:tcBorders>
            <w:vAlign w:val="center"/>
          </w:tcPr>
          <w:p w14:paraId="5E37ADFB" w14:textId="676EA3F4" w:rsidR="00D0279A" w:rsidRPr="59739B99" w:rsidRDefault="00D0279A" w:rsidP="00515943">
            <w:pPr>
              <w:pStyle w:val="CETBodytext"/>
              <w:numPr>
                <w:ilvl w:val="0"/>
                <w:numId w:val="0"/>
              </w:numPr>
              <w:jc w:val="left"/>
              <w:rPr>
                <w:rFonts w:eastAsia="Arial" w:cs="Arial"/>
                <w:szCs w:val="18"/>
              </w:rPr>
            </w:pPr>
            <w:r>
              <w:rPr>
                <w:rFonts w:cs="Arial"/>
                <w:color w:val="000000"/>
                <w:szCs w:val="18"/>
              </w:rPr>
              <w:t>9</w:t>
            </w:r>
          </w:p>
        </w:tc>
        <w:tc>
          <w:tcPr>
            <w:tcW w:w="567" w:type="dxa"/>
            <w:tcBorders>
              <w:bottom w:val="nil"/>
            </w:tcBorders>
            <w:vAlign w:val="center"/>
          </w:tcPr>
          <w:p w14:paraId="191A70D8" w14:textId="1A94BD5B" w:rsidR="00D0279A" w:rsidRPr="59739B99" w:rsidRDefault="00D0279A" w:rsidP="00515943">
            <w:pPr>
              <w:pStyle w:val="CETBodytext"/>
              <w:numPr>
                <w:ilvl w:val="0"/>
                <w:numId w:val="0"/>
              </w:numPr>
              <w:jc w:val="left"/>
              <w:rPr>
                <w:rFonts w:eastAsia="Arial" w:cs="Arial"/>
                <w:szCs w:val="18"/>
              </w:rPr>
            </w:pPr>
            <w:r>
              <w:rPr>
                <w:rFonts w:cs="Arial"/>
                <w:color w:val="000000"/>
                <w:szCs w:val="18"/>
              </w:rPr>
              <w:t>10</w:t>
            </w:r>
          </w:p>
        </w:tc>
        <w:tc>
          <w:tcPr>
            <w:tcW w:w="567" w:type="dxa"/>
            <w:tcBorders>
              <w:bottom w:val="nil"/>
            </w:tcBorders>
            <w:vAlign w:val="center"/>
          </w:tcPr>
          <w:p w14:paraId="78EAB10E" w14:textId="57310D3F" w:rsidR="00D0279A" w:rsidRPr="59739B99" w:rsidRDefault="00D0279A" w:rsidP="00515943">
            <w:pPr>
              <w:pStyle w:val="CETBodytext"/>
              <w:numPr>
                <w:ilvl w:val="0"/>
                <w:numId w:val="0"/>
              </w:numPr>
              <w:jc w:val="left"/>
              <w:rPr>
                <w:rFonts w:eastAsia="Arial" w:cs="Arial"/>
                <w:szCs w:val="18"/>
              </w:rPr>
            </w:pPr>
            <w:r>
              <w:rPr>
                <w:rFonts w:cs="Arial"/>
                <w:color w:val="000000"/>
                <w:szCs w:val="18"/>
              </w:rPr>
              <w:t>11</w:t>
            </w:r>
          </w:p>
        </w:tc>
        <w:tc>
          <w:tcPr>
            <w:tcW w:w="709" w:type="dxa"/>
            <w:tcBorders>
              <w:bottom w:val="nil"/>
            </w:tcBorders>
            <w:vAlign w:val="center"/>
          </w:tcPr>
          <w:p w14:paraId="5E976B75" w14:textId="0FD604C7" w:rsidR="00D0279A" w:rsidRPr="59739B99" w:rsidRDefault="00D0279A" w:rsidP="00515943">
            <w:pPr>
              <w:pStyle w:val="CETBodytext"/>
              <w:numPr>
                <w:ilvl w:val="0"/>
                <w:numId w:val="0"/>
              </w:numPr>
              <w:jc w:val="left"/>
              <w:rPr>
                <w:rFonts w:eastAsia="Arial" w:cs="Arial"/>
                <w:szCs w:val="18"/>
              </w:rPr>
            </w:pPr>
            <w:r>
              <w:rPr>
                <w:rFonts w:cs="Arial"/>
                <w:color w:val="000000"/>
                <w:szCs w:val="18"/>
              </w:rPr>
              <w:t>12</w:t>
            </w:r>
          </w:p>
        </w:tc>
      </w:tr>
      <w:tr w:rsidR="00450EDE" w14:paraId="76950788" w14:textId="5D69096E" w:rsidTr="00450EDE">
        <w:trPr>
          <w:trHeight w:val="300"/>
        </w:trPr>
        <w:tc>
          <w:tcPr>
            <w:tcW w:w="1417" w:type="dxa"/>
            <w:tcBorders>
              <w:top w:val="nil"/>
              <w:bottom w:val="nil"/>
            </w:tcBorders>
            <w:vAlign w:val="center"/>
          </w:tcPr>
          <w:p w14:paraId="6E040319" w14:textId="18C2F89A" w:rsidR="00450EDE" w:rsidRDefault="00450EDE" w:rsidP="00450EDE">
            <w:pPr>
              <w:pStyle w:val="CETBodytext"/>
              <w:numPr>
                <w:ilvl w:val="0"/>
                <w:numId w:val="0"/>
              </w:numPr>
              <w:jc w:val="left"/>
              <w:rPr>
                <w:rFonts w:eastAsia="Arial" w:cs="Arial"/>
                <w:szCs w:val="18"/>
              </w:rPr>
            </w:pPr>
            <w:r>
              <w:rPr>
                <w:rFonts w:cs="Arial"/>
                <w:color w:val="000000"/>
                <w:szCs w:val="18"/>
              </w:rPr>
              <w:t>T (°C)</w:t>
            </w:r>
          </w:p>
        </w:tc>
        <w:tc>
          <w:tcPr>
            <w:tcW w:w="567" w:type="dxa"/>
            <w:tcBorders>
              <w:top w:val="nil"/>
              <w:bottom w:val="nil"/>
            </w:tcBorders>
            <w:vAlign w:val="center"/>
          </w:tcPr>
          <w:p w14:paraId="2AF7B804" w14:textId="0AC7EA70" w:rsidR="00450EDE" w:rsidRDefault="00450EDE" w:rsidP="00450EDE">
            <w:pPr>
              <w:pStyle w:val="CETBodytext"/>
              <w:numPr>
                <w:ilvl w:val="0"/>
                <w:numId w:val="0"/>
              </w:numPr>
              <w:jc w:val="left"/>
              <w:rPr>
                <w:rFonts w:eastAsia="Arial" w:cs="Arial"/>
                <w:szCs w:val="18"/>
              </w:rPr>
            </w:pPr>
            <w:r>
              <w:rPr>
                <w:rFonts w:cs="Arial"/>
                <w:color w:val="000000"/>
                <w:szCs w:val="18"/>
              </w:rPr>
              <w:t>25</w:t>
            </w:r>
          </w:p>
        </w:tc>
        <w:tc>
          <w:tcPr>
            <w:tcW w:w="567" w:type="dxa"/>
            <w:tcBorders>
              <w:top w:val="nil"/>
              <w:bottom w:val="nil"/>
            </w:tcBorders>
            <w:vAlign w:val="center"/>
          </w:tcPr>
          <w:p w14:paraId="7C5B3483" w14:textId="327990E5" w:rsidR="00450EDE" w:rsidRDefault="00450EDE" w:rsidP="00450EDE">
            <w:pPr>
              <w:pStyle w:val="CETBodytext"/>
              <w:numPr>
                <w:ilvl w:val="0"/>
                <w:numId w:val="0"/>
              </w:numPr>
              <w:jc w:val="left"/>
              <w:rPr>
                <w:rFonts w:eastAsia="Arial" w:cs="Arial"/>
                <w:szCs w:val="18"/>
              </w:rPr>
            </w:pPr>
            <w:r>
              <w:rPr>
                <w:rFonts w:cs="Arial"/>
                <w:color w:val="000000"/>
                <w:szCs w:val="18"/>
              </w:rPr>
              <w:t>45</w:t>
            </w:r>
          </w:p>
        </w:tc>
        <w:tc>
          <w:tcPr>
            <w:tcW w:w="567" w:type="dxa"/>
            <w:tcBorders>
              <w:top w:val="nil"/>
              <w:bottom w:val="nil"/>
            </w:tcBorders>
            <w:vAlign w:val="center"/>
          </w:tcPr>
          <w:p w14:paraId="51FA753B" w14:textId="7CB88298" w:rsidR="00450EDE" w:rsidRDefault="00450EDE" w:rsidP="00450EDE">
            <w:pPr>
              <w:pStyle w:val="CETBodytext"/>
              <w:numPr>
                <w:ilvl w:val="0"/>
                <w:numId w:val="0"/>
              </w:numPr>
              <w:jc w:val="left"/>
              <w:rPr>
                <w:rFonts w:eastAsia="Arial" w:cs="Arial"/>
                <w:szCs w:val="18"/>
              </w:rPr>
            </w:pPr>
            <w:r>
              <w:rPr>
                <w:rFonts w:cs="Arial"/>
                <w:color w:val="000000"/>
                <w:szCs w:val="18"/>
              </w:rPr>
              <w:t>25</w:t>
            </w:r>
          </w:p>
        </w:tc>
        <w:tc>
          <w:tcPr>
            <w:tcW w:w="567" w:type="dxa"/>
            <w:tcBorders>
              <w:top w:val="nil"/>
              <w:bottom w:val="nil"/>
            </w:tcBorders>
            <w:vAlign w:val="center"/>
          </w:tcPr>
          <w:p w14:paraId="10704B27" w14:textId="4D770684" w:rsidR="00450EDE" w:rsidRPr="59739B99" w:rsidRDefault="00450EDE" w:rsidP="00450EDE">
            <w:pPr>
              <w:pStyle w:val="CETBodytext"/>
              <w:numPr>
                <w:ilvl w:val="0"/>
                <w:numId w:val="0"/>
              </w:numPr>
              <w:jc w:val="left"/>
              <w:rPr>
                <w:rFonts w:eastAsia="Arial" w:cs="Arial"/>
                <w:szCs w:val="18"/>
              </w:rPr>
            </w:pPr>
            <w:r>
              <w:rPr>
                <w:rFonts w:cs="Arial"/>
                <w:color w:val="000000"/>
                <w:szCs w:val="18"/>
              </w:rPr>
              <w:t>45</w:t>
            </w:r>
          </w:p>
        </w:tc>
        <w:tc>
          <w:tcPr>
            <w:tcW w:w="567" w:type="dxa"/>
            <w:tcBorders>
              <w:top w:val="nil"/>
              <w:bottom w:val="nil"/>
            </w:tcBorders>
            <w:vAlign w:val="center"/>
          </w:tcPr>
          <w:p w14:paraId="3EFFCE2A" w14:textId="6A41D52F" w:rsidR="00450EDE" w:rsidRPr="59739B99" w:rsidRDefault="00450EDE" w:rsidP="00450EDE">
            <w:pPr>
              <w:pStyle w:val="CETBodytext"/>
              <w:numPr>
                <w:ilvl w:val="0"/>
                <w:numId w:val="0"/>
              </w:numPr>
              <w:jc w:val="left"/>
              <w:rPr>
                <w:rFonts w:eastAsia="Arial" w:cs="Arial"/>
                <w:szCs w:val="18"/>
              </w:rPr>
            </w:pPr>
            <w:r>
              <w:rPr>
                <w:rFonts w:cs="Arial"/>
                <w:color w:val="000000"/>
                <w:szCs w:val="18"/>
              </w:rPr>
              <w:t>25</w:t>
            </w:r>
          </w:p>
        </w:tc>
        <w:tc>
          <w:tcPr>
            <w:tcW w:w="567" w:type="dxa"/>
            <w:tcBorders>
              <w:top w:val="nil"/>
              <w:bottom w:val="nil"/>
            </w:tcBorders>
            <w:vAlign w:val="center"/>
          </w:tcPr>
          <w:p w14:paraId="7784FBB1" w14:textId="7A9C671A" w:rsidR="00450EDE" w:rsidRPr="59739B99" w:rsidRDefault="00450EDE" w:rsidP="00450EDE">
            <w:pPr>
              <w:pStyle w:val="CETBodytext"/>
              <w:numPr>
                <w:ilvl w:val="0"/>
                <w:numId w:val="0"/>
              </w:numPr>
              <w:jc w:val="left"/>
              <w:rPr>
                <w:rFonts w:eastAsia="Arial" w:cs="Arial"/>
                <w:szCs w:val="18"/>
              </w:rPr>
            </w:pPr>
            <w:r>
              <w:rPr>
                <w:rFonts w:cs="Arial"/>
                <w:color w:val="000000"/>
                <w:szCs w:val="18"/>
              </w:rPr>
              <w:t>45</w:t>
            </w:r>
          </w:p>
        </w:tc>
        <w:tc>
          <w:tcPr>
            <w:tcW w:w="567" w:type="dxa"/>
            <w:tcBorders>
              <w:top w:val="nil"/>
              <w:bottom w:val="nil"/>
            </w:tcBorders>
            <w:vAlign w:val="center"/>
          </w:tcPr>
          <w:p w14:paraId="43B8B487" w14:textId="14EDA9F6" w:rsidR="00450EDE" w:rsidRPr="59739B99" w:rsidRDefault="00450EDE" w:rsidP="00450EDE">
            <w:pPr>
              <w:pStyle w:val="CETBodytext"/>
              <w:numPr>
                <w:ilvl w:val="0"/>
                <w:numId w:val="0"/>
              </w:numPr>
              <w:jc w:val="left"/>
              <w:rPr>
                <w:rFonts w:eastAsia="Arial" w:cs="Arial"/>
                <w:szCs w:val="18"/>
              </w:rPr>
            </w:pPr>
            <w:r>
              <w:rPr>
                <w:rFonts w:cs="Arial"/>
                <w:color w:val="000000"/>
                <w:szCs w:val="18"/>
              </w:rPr>
              <w:t>25</w:t>
            </w:r>
          </w:p>
        </w:tc>
        <w:tc>
          <w:tcPr>
            <w:tcW w:w="568" w:type="dxa"/>
            <w:tcBorders>
              <w:top w:val="nil"/>
              <w:bottom w:val="nil"/>
            </w:tcBorders>
            <w:vAlign w:val="center"/>
          </w:tcPr>
          <w:p w14:paraId="1FF2895E" w14:textId="56BBA54C" w:rsidR="00450EDE" w:rsidRPr="59739B99" w:rsidRDefault="00450EDE" w:rsidP="00450EDE">
            <w:pPr>
              <w:pStyle w:val="CETBodytext"/>
              <w:numPr>
                <w:ilvl w:val="0"/>
                <w:numId w:val="0"/>
              </w:numPr>
              <w:jc w:val="left"/>
              <w:rPr>
                <w:rFonts w:eastAsia="Arial" w:cs="Arial"/>
                <w:szCs w:val="18"/>
              </w:rPr>
            </w:pPr>
            <w:r>
              <w:rPr>
                <w:rFonts w:cs="Arial"/>
                <w:color w:val="000000"/>
                <w:szCs w:val="18"/>
              </w:rPr>
              <w:t>45</w:t>
            </w:r>
          </w:p>
        </w:tc>
        <w:tc>
          <w:tcPr>
            <w:tcW w:w="567" w:type="dxa"/>
            <w:tcBorders>
              <w:top w:val="nil"/>
              <w:bottom w:val="nil"/>
            </w:tcBorders>
            <w:vAlign w:val="center"/>
          </w:tcPr>
          <w:p w14:paraId="368CAB53" w14:textId="1EC912DE" w:rsidR="00450EDE" w:rsidRPr="59739B99" w:rsidRDefault="00450EDE" w:rsidP="00450EDE">
            <w:pPr>
              <w:pStyle w:val="CETBodytext"/>
              <w:numPr>
                <w:ilvl w:val="0"/>
                <w:numId w:val="0"/>
              </w:numPr>
              <w:jc w:val="left"/>
              <w:rPr>
                <w:rFonts w:eastAsia="Arial" w:cs="Arial"/>
                <w:szCs w:val="18"/>
              </w:rPr>
            </w:pPr>
            <w:r>
              <w:rPr>
                <w:rFonts w:cs="Arial"/>
                <w:color w:val="000000"/>
                <w:szCs w:val="18"/>
              </w:rPr>
              <w:t>35</w:t>
            </w:r>
          </w:p>
        </w:tc>
        <w:tc>
          <w:tcPr>
            <w:tcW w:w="567" w:type="dxa"/>
            <w:tcBorders>
              <w:top w:val="nil"/>
              <w:bottom w:val="nil"/>
            </w:tcBorders>
            <w:vAlign w:val="center"/>
          </w:tcPr>
          <w:p w14:paraId="4D955044" w14:textId="22E5A318" w:rsidR="00450EDE" w:rsidRPr="59739B99" w:rsidRDefault="00450EDE" w:rsidP="00450EDE">
            <w:pPr>
              <w:pStyle w:val="CETBodytext"/>
              <w:numPr>
                <w:ilvl w:val="0"/>
                <w:numId w:val="0"/>
              </w:numPr>
              <w:jc w:val="left"/>
              <w:rPr>
                <w:rFonts w:eastAsia="Arial" w:cs="Arial"/>
                <w:szCs w:val="18"/>
              </w:rPr>
            </w:pPr>
            <w:r>
              <w:rPr>
                <w:rFonts w:cs="Arial"/>
                <w:color w:val="000000"/>
                <w:szCs w:val="18"/>
              </w:rPr>
              <w:t>35</w:t>
            </w:r>
          </w:p>
        </w:tc>
        <w:tc>
          <w:tcPr>
            <w:tcW w:w="567" w:type="dxa"/>
            <w:tcBorders>
              <w:top w:val="nil"/>
              <w:bottom w:val="nil"/>
            </w:tcBorders>
            <w:vAlign w:val="center"/>
          </w:tcPr>
          <w:p w14:paraId="219BA930" w14:textId="5EAE9E64" w:rsidR="00450EDE" w:rsidRPr="59739B99" w:rsidRDefault="00450EDE" w:rsidP="00450EDE">
            <w:pPr>
              <w:pStyle w:val="CETBodytext"/>
              <w:numPr>
                <w:ilvl w:val="0"/>
                <w:numId w:val="0"/>
              </w:numPr>
              <w:jc w:val="left"/>
              <w:rPr>
                <w:rFonts w:eastAsia="Arial" w:cs="Arial"/>
                <w:szCs w:val="18"/>
              </w:rPr>
            </w:pPr>
            <w:r>
              <w:rPr>
                <w:rFonts w:cs="Arial"/>
                <w:color w:val="000000"/>
                <w:szCs w:val="18"/>
              </w:rPr>
              <w:t>35</w:t>
            </w:r>
          </w:p>
        </w:tc>
        <w:tc>
          <w:tcPr>
            <w:tcW w:w="709" w:type="dxa"/>
            <w:tcBorders>
              <w:top w:val="nil"/>
              <w:bottom w:val="nil"/>
            </w:tcBorders>
            <w:vAlign w:val="center"/>
          </w:tcPr>
          <w:p w14:paraId="6BB66350" w14:textId="6BFF57E3" w:rsidR="00450EDE" w:rsidRPr="59739B99" w:rsidRDefault="00450EDE" w:rsidP="00450EDE">
            <w:pPr>
              <w:pStyle w:val="CETBodytext"/>
              <w:numPr>
                <w:ilvl w:val="0"/>
                <w:numId w:val="0"/>
              </w:numPr>
              <w:jc w:val="left"/>
              <w:rPr>
                <w:rFonts w:eastAsia="Arial" w:cs="Arial"/>
                <w:szCs w:val="18"/>
              </w:rPr>
            </w:pPr>
            <w:r>
              <w:rPr>
                <w:rFonts w:cs="Arial"/>
                <w:color w:val="000000"/>
                <w:szCs w:val="18"/>
              </w:rPr>
              <w:t>35</w:t>
            </w:r>
          </w:p>
        </w:tc>
      </w:tr>
      <w:tr w:rsidR="00450EDE" w14:paraId="474F9EB1" w14:textId="3B5A909C" w:rsidTr="00450EDE">
        <w:trPr>
          <w:trHeight w:val="300"/>
        </w:trPr>
        <w:tc>
          <w:tcPr>
            <w:tcW w:w="1417" w:type="dxa"/>
            <w:tcBorders>
              <w:top w:val="nil"/>
            </w:tcBorders>
            <w:vAlign w:val="center"/>
          </w:tcPr>
          <w:p w14:paraId="4E4EEA49" w14:textId="2D80952F" w:rsidR="00450EDE" w:rsidRDefault="00450EDE" w:rsidP="00450EDE">
            <w:pPr>
              <w:pStyle w:val="CETBodytext"/>
              <w:numPr>
                <w:ilvl w:val="0"/>
                <w:numId w:val="0"/>
              </w:numPr>
              <w:jc w:val="left"/>
              <w:rPr>
                <w:rFonts w:eastAsia="Arial" w:cs="Arial"/>
                <w:szCs w:val="18"/>
              </w:rPr>
            </w:pPr>
            <w:r>
              <w:rPr>
                <w:rFonts w:cs="Arial"/>
                <w:color w:val="000000"/>
                <w:szCs w:val="18"/>
              </w:rPr>
              <w:t>C</w:t>
            </w:r>
            <w:r>
              <w:rPr>
                <w:rFonts w:cs="Arial"/>
                <w:color w:val="000000"/>
                <w:szCs w:val="18"/>
                <w:vertAlign w:val="subscript"/>
              </w:rPr>
              <w:t>0</w:t>
            </w:r>
            <w:r>
              <w:rPr>
                <w:rFonts w:cs="Arial"/>
                <w:color w:val="000000"/>
                <w:szCs w:val="18"/>
              </w:rPr>
              <w:t xml:space="preserve"> (TPC, expressed as mg GAE/L)</w:t>
            </w:r>
          </w:p>
        </w:tc>
        <w:tc>
          <w:tcPr>
            <w:tcW w:w="567" w:type="dxa"/>
            <w:tcBorders>
              <w:top w:val="nil"/>
            </w:tcBorders>
            <w:vAlign w:val="center"/>
          </w:tcPr>
          <w:p w14:paraId="447ED25A" w14:textId="38E7EB77" w:rsidR="00450EDE" w:rsidRDefault="00450EDE" w:rsidP="00450EDE">
            <w:pPr>
              <w:pStyle w:val="CETBodytext"/>
              <w:numPr>
                <w:ilvl w:val="0"/>
                <w:numId w:val="0"/>
              </w:numPr>
              <w:jc w:val="left"/>
              <w:rPr>
                <w:rFonts w:eastAsia="Arial" w:cs="Arial"/>
                <w:szCs w:val="18"/>
              </w:rPr>
            </w:pPr>
            <w:r>
              <w:rPr>
                <w:rFonts w:cs="Arial"/>
                <w:color w:val="000000"/>
                <w:szCs w:val="18"/>
              </w:rPr>
              <w:t>25</w:t>
            </w:r>
          </w:p>
        </w:tc>
        <w:tc>
          <w:tcPr>
            <w:tcW w:w="567" w:type="dxa"/>
            <w:tcBorders>
              <w:top w:val="nil"/>
            </w:tcBorders>
            <w:vAlign w:val="center"/>
          </w:tcPr>
          <w:p w14:paraId="5058ACBF" w14:textId="34410155" w:rsidR="00450EDE" w:rsidRDefault="00450EDE" w:rsidP="00450EDE">
            <w:pPr>
              <w:pStyle w:val="CETBodytext"/>
              <w:numPr>
                <w:ilvl w:val="0"/>
                <w:numId w:val="0"/>
              </w:numPr>
              <w:jc w:val="left"/>
              <w:rPr>
                <w:rFonts w:eastAsia="Arial" w:cs="Arial"/>
                <w:szCs w:val="18"/>
              </w:rPr>
            </w:pPr>
            <w:r>
              <w:rPr>
                <w:rFonts w:cs="Arial"/>
                <w:color w:val="000000"/>
                <w:szCs w:val="18"/>
              </w:rPr>
              <w:t>25</w:t>
            </w:r>
          </w:p>
        </w:tc>
        <w:tc>
          <w:tcPr>
            <w:tcW w:w="567" w:type="dxa"/>
            <w:tcBorders>
              <w:top w:val="nil"/>
            </w:tcBorders>
            <w:vAlign w:val="center"/>
          </w:tcPr>
          <w:p w14:paraId="74E8045C" w14:textId="3CDCF032" w:rsidR="00450EDE" w:rsidRDefault="00450EDE" w:rsidP="00450EDE">
            <w:pPr>
              <w:pStyle w:val="CETBodytext"/>
              <w:numPr>
                <w:ilvl w:val="0"/>
                <w:numId w:val="0"/>
              </w:numPr>
              <w:jc w:val="left"/>
              <w:rPr>
                <w:rFonts w:eastAsia="Arial" w:cs="Arial"/>
                <w:szCs w:val="18"/>
              </w:rPr>
            </w:pPr>
            <w:r>
              <w:rPr>
                <w:rFonts w:cs="Arial"/>
                <w:color w:val="000000"/>
                <w:szCs w:val="18"/>
              </w:rPr>
              <w:t>75</w:t>
            </w:r>
          </w:p>
        </w:tc>
        <w:tc>
          <w:tcPr>
            <w:tcW w:w="567" w:type="dxa"/>
            <w:tcBorders>
              <w:top w:val="nil"/>
            </w:tcBorders>
            <w:vAlign w:val="center"/>
          </w:tcPr>
          <w:p w14:paraId="03FC299F" w14:textId="02F79199" w:rsidR="00450EDE" w:rsidRPr="59739B99" w:rsidRDefault="00450EDE" w:rsidP="00450EDE">
            <w:pPr>
              <w:pStyle w:val="CETBodytext"/>
              <w:numPr>
                <w:ilvl w:val="0"/>
                <w:numId w:val="0"/>
              </w:numPr>
              <w:jc w:val="left"/>
              <w:rPr>
                <w:rFonts w:eastAsia="Arial" w:cs="Arial"/>
                <w:szCs w:val="18"/>
              </w:rPr>
            </w:pPr>
            <w:r>
              <w:rPr>
                <w:rFonts w:cs="Arial"/>
                <w:color w:val="000000"/>
                <w:szCs w:val="18"/>
              </w:rPr>
              <w:t>75</w:t>
            </w:r>
          </w:p>
        </w:tc>
        <w:tc>
          <w:tcPr>
            <w:tcW w:w="567" w:type="dxa"/>
            <w:tcBorders>
              <w:top w:val="nil"/>
            </w:tcBorders>
            <w:vAlign w:val="center"/>
          </w:tcPr>
          <w:p w14:paraId="7BD57753" w14:textId="6E994F7B" w:rsidR="00450EDE" w:rsidRPr="59739B99" w:rsidRDefault="00450EDE" w:rsidP="00450EDE">
            <w:pPr>
              <w:pStyle w:val="CETBodytext"/>
              <w:numPr>
                <w:ilvl w:val="0"/>
                <w:numId w:val="0"/>
              </w:numPr>
              <w:jc w:val="left"/>
              <w:rPr>
                <w:rFonts w:eastAsia="Arial" w:cs="Arial"/>
                <w:szCs w:val="18"/>
              </w:rPr>
            </w:pPr>
            <w:r>
              <w:rPr>
                <w:rFonts w:cs="Arial"/>
                <w:color w:val="000000"/>
                <w:szCs w:val="18"/>
              </w:rPr>
              <w:t>50</w:t>
            </w:r>
          </w:p>
        </w:tc>
        <w:tc>
          <w:tcPr>
            <w:tcW w:w="567" w:type="dxa"/>
            <w:tcBorders>
              <w:top w:val="nil"/>
            </w:tcBorders>
            <w:vAlign w:val="center"/>
          </w:tcPr>
          <w:p w14:paraId="33650263" w14:textId="0A8B04AB" w:rsidR="00450EDE" w:rsidRPr="59739B99" w:rsidRDefault="00450EDE" w:rsidP="00450EDE">
            <w:pPr>
              <w:pStyle w:val="CETBodytext"/>
              <w:numPr>
                <w:ilvl w:val="0"/>
                <w:numId w:val="0"/>
              </w:numPr>
              <w:jc w:val="left"/>
              <w:rPr>
                <w:rFonts w:eastAsia="Arial" w:cs="Arial"/>
                <w:szCs w:val="18"/>
              </w:rPr>
            </w:pPr>
            <w:r>
              <w:rPr>
                <w:rFonts w:cs="Arial"/>
                <w:color w:val="000000"/>
                <w:szCs w:val="18"/>
              </w:rPr>
              <w:t>50</w:t>
            </w:r>
          </w:p>
        </w:tc>
        <w:tc>
          <w:tcPr>
            <w:tcW w:w="567" w:type="dxa"/>
            <w:tcBorders>
              <w:top w:val="nil"/>
            </w:tcBorders>
            <w:vAlign w:val="center"/>
          </w:tcPr>
          <w:p w14:paraId="451955B9" w14:textId="2007ECC7" w:rsidR="00450EDE" w:rsidRPr="00AD2A5C" w:rsidRDefault="00181090" w:rsidP="00AD2A5C">
            <w:pPr>
              <w:pStyle w:val="CETBodytext"/>
              <w:numPr>
                <w:ilvl w:val="0"/>
                <w:numId w:val="0"/>
              </w:numPr>
              <w:jc w:val="left"/>
              <w:rPr>
                <w:rFonts w:cs="Arial"/>
                <w:color w:val="000000"/>
                <w:szCs w:val="18"/>
              </w:rPr>
            </w:pPr>
            <w:r>
              <w:rPr>
                <w:rFonts w:cs="Arial"/>
                <w:color w:val="000000"/>
                <w:szCs w:val="18"/>
              </w:rPr>
              <w:t>75</w:t>
            </w:r>
          </w:p>
        </w:tc>
        <w:tc>
          <w:tcPr>
            <w:tcW w:w="568" w:type="dxa"/>
            <w:tcBorders>
              <w:top w:val="nil"/>
            </w:tcBorders>
            <w:vAlign w:val="center"/>
          </w:tcPr>
          <w:p w14:paraId="77FA782A" w14:textId="6E40B44C" w:rsidR="00450EDE" w:rsidRPr="00AD2A5C" w:rsidRDefault="00181090" w:rsidP="00AD2A5C">
            <w:pPr>
              <w:pStyle w:val="CETBodytext"/>
              <w:numPr>
                <w:ilvl w:val="0"/>
                <w:numId w:val="0"/>
              </w:numPr>
              <w:jc w:val="left"/>
              <w:rPr>
                <w:rFonts w:cs="Arial"/>
                <w:color w:val="000000"/>
                <w:szCs w:val="18"/>
              </w:rPr>
            </w:pPr>
            <w:r>
              <w:rPr>
                <w:rFonts w:cs="Arial"/>
                <w:color w:val="000000"/>
                <w:szCs w:val="18"/>
              </w:rPr>
              <w:t>75</w:t>
            </w:r>
          </w:p>
        </w:tc>
        <w:tc>
          <w:tcPr>
            <w:tcW w:w="567" w:type="dxa"/>
            <w:tcBorders>
              <w:top w:val="nil"/>
            </w:tcBorders>
            <w:vAlign w:val="center"/>
          </w:tcPr>
          <w:p w14:paraId="5EE0DAEB" w14:textId="07A60A64" w:rsidR="00450EDE" w:rsidRPr="59739B99" w:rsidRDefault="00450EDE" w:rsidP="00450EDE">
            <w:pPr>
              <w:pStyle w:val="CETBodytext"/>
              <w:numPr>
                <w:ilvl w:val="0"/>
                <w:numId w:val="0"/>
              </w:numPr>
              <w:jc w:val="left"/>
              <w:rPr>
                <w:rFonts w:eastAsia="Arial" w:cs="Arial"/>
                <w:szCs w:val="18"/>
              </w:rPr>
            </w:pPr>
            <w:r>
              <w:rPr>
                <w:rFonts w:cs="Arial"/>
                <w:color w:val="000000"/>
                <w:szCs w:val="18"/>
              </w:rPr>
              <w:t>25</w:t>
            </w:r>
          </w:p>
        </w:tc>
        <w:tc>
          <w:tcPr>
            <w:tcW w:w="567" w:type="dxa"/>
            <w:tcBorders>
              <w:top w:val="nil"/>
            </w:tcBorders>
            <w:vAlign w:val="center"/>
          </w:tcPr>
          <w:p w14:paraId="733B465B" w14:textId="07E9625E" w:rsidR="00450EDE" w:rsidRPr="59739B99" w:rsidRDefault="00450EDE" w:rsidP="00450EDE">
            <w:pPr>
              <w:pStyle w:val="CETBodytext"/>
              <w:numPr>
                <w:ilvl w:val="0"/>
                <w:numId w:val="0"/>
              </w:numPr>
              <w:jc w:val="left"/>
              <w:rPr>
                <w:rFonts w:eastAsia="Arial" w:cs="Arial"/>
                <w:szCs w:val="18"/>
              </w:rPr>
            </w:pPr>
            <w:r>
              <w:rPr>
                <w:rFonts w:cs="Arial"/>
                <w:color w:val="000000"/>
                <w:szCs w:val="18"/>
              </w:rPr>
              <w:t>75</w:t>
            </w:r>
          </w:p>
        </w:tc>
        <w:tc>
          <w:tcPr>
            <w:tcW w:w="567" w:type="dxa"/>
            <w:tcBorders>
              <w:top w:val="nil"/>
            </w:tcBorders>
            <w:vAlign w:val="center"/>
          </w:tcPr>
          <w:p w14:paraId="1C6A91C8" w14:textId="1F6F60EE" w:rsidR="00450EDE" w:rsidRPr="59739B99" w:rsidRDefault="00450EDE" w:rsidP="00450EDE">
            <w:pPr>
              <w:pStyle w:val="CETBodytext"/>
              <w:numPr>
                <w:ilvl w:val="0"/>
                <w:numId w:val="0"/>
              </w:numPr>
              <w:jc w:val="left"/>
              <w:rPr>
                <w:rFonts w:eastAsia="Arial" w:cs="Arial"/>
                <w:szCs w:val="18"/>
              </w:rPr>
            </w:pPr>
            <w:r>
              <w:rPr>
                <w:rFonts w:cs="Arial"/>
                <w:color w:val="000000"/>
                <w:szCs w:val="18"/>
              </w:rPr>
              <w:t>25</w:t>
            </w:r>
          </w:p>
        </w:tc>
        <w:tc>
          <w:tcPr>
            <w:tcW w:w="709" w:type="dxa"/>
            <w:tcBorders>
              <w:top w:val="nil"/>
            </w:tcBorders>
            <w:vAlign w:val="center"/>
          </w:tcPr>
          <w:p w14:paraId="3F6768B8" w14:textId="0EE64775" w:rsidR="00450EDE" w:rsidRPr="59739B99" w:rsidRDefault="00450EDE" w:rsidP="00450EDE">
            <w:pPr>
              <w:pStyle w:val="CETBodytext"/>
              <w:numPr>
                <w:ilvl w:val="0"/>
                <w:numId w:val="0"/>
              </w:numPr>
              <w:jc w:val="left"/>
              <w:rPr>
                <w:rFonts w:eastAsia="Arial" w:cs="Arial"/>
                <w:szCs w:val="18"/>
              </w:rPr>
            </w:pPr>
            <w:r>
              <w:rPr>
                <w:rFonts w:cs="Arial"/>
                <w:color w:val="000000"/>
                <w:szCs w:val="18"/>
              </w:rPr>
              <w:t>75</w:t>
            </w:r>
          </w:p>
        </w:tc>
      </w:tr>
      <w:tr w:rsidR="00450EDE" w14:paraId="75F6F960" w14:textId="2E5BABD4" w:rsidTr="00450EDE">
        <w:trPr>
          <w:trHeight w:val="300"/>
        </w:trPr>
        <w:tc>
          <w:tcPr>
            <w:tcW w:w="1417" w:type="dxa"/>
            <w:vAlign w:val="center"/>
          </w:tcPr>
          <w:p w14:paraId="5487C9BC" w14:textId="3B9A9398" w:rsidR="00450EDE" w:rsidRDefault="00450EDE" w:rsidP="00450EDE">
            <w:pPr>
              <w:pStyle w:val="CETBodytext"/>
              <w:numPr>
                <w:ilvl w:val="0"/>
                <w:numId w:val="0"/>
              </w:numPr>
              <w:jc w:val="left"/>
              <w:rPr>
                <w:rFonts w:eastAsia="Arial" w:cs="Arial"/>
                <w:szCs w:val="18"/>
              </w:rPr>
            </w:pPr>
            <w:r>
              <w:rPr>
                <w:rFonts w:cs="Arial"/>
                <w:color w:val="000000"/>
                <w:szCs w:val="18"/>
              </w:rPr>
              <w:t>SLR (mg of CAC/mL)</w:t>
            </w:r>
          </w:p>
        </w:tc>
        <w:tc>
          <w:tcPr>
            <w:tcW w:w="567" w:type="dxa"/>
            <w:vAlign w:val="center"/>
          </w:tcPr>
          <w:p w14:paraId="78531E8A" w14:textId="21B0CC7B" w:rsidR="00450EDE" w:rsidRDefault="00450EDE" w:rsidP="00450EDE">
            <w:pPr>
              <w:pStyle w:val="CETBodytext"/>
              <w:numPr>
                <w:ilvl w:val="0"/>
                <w:numId w:val="0"/>
              </w:numPr>
              <w:jc w:val="left"/>
              <w:rPr>
                <w:rFonts w:eastAsia="Arial" w:cs="Arial"/>
                <w:szCs w:val="18"/>
              </w:rPr>
            </w:pPr>
            <w:r>
              <w:rPr>
                <w:rFonts w:cs="Arial"/>
                <w:color w:val="000000"/>
                <w:szCs w:val="18"/>
              </w:rPr>
              <w:t>1.0</w:t>
            </w:r>
          </w:p>
        </w:tc>
        <w:tc>
          <w:tcPr>
            <w:tcW w:w="567" w:type="dxa"/>
            <w:vAlign w:val="center"/>
          </w:tcPr>
          <w:p w14:paraId="27C78DE5" w14:textId="6642D1EB" w:rsidR="00450EDE" w:rsidRDefault="00450EDE" w:rsidP="00450EDE">
            <w:pPr>
              <w:pStyle w:val="CETBodytext"/>
              <w:numPr>
                <w:ilvl w:val="0"/>
                <w:numId w:val="0"/>
              </w:numPr>
              <w:jc w:val="left"/>
              <w:rPr>
                <w:rFonts w:eastAsia="Arial" w:cs="Arial"/>
                <w:szCs w:val="18"/>
              </w:rPr>
            </w:pPr>
            <w:r>
              <w:rPr>
                <w:rFonts w:cs="Arial"/>
                <w:color w:val="000000"/>
                <w:szCs w:val="18"/>
              </w:rPr>
              <w:t>1.0</w:t>
            </w:r>
          </w:p>
        </w:tc>
        <w:tc>
          <w:tcPr>
            <w:tcW w:w="567" w:type="dxa"/>
            <w:vAlign w:val="center"/>
          </w:tcPr>
          <w:p w14:paraId="2D9B441D" w14:textId="5B1F69AF" w:rsidR="00450EDE" w:rsidRDefault="00450EDE" w:rsidP="00450EDE">
            <w:pPr>
              <w:pStyle w:val="CETBodytext"/>
              <w:numPr>
                <w:ilvl w:val="0"/>
                <w:numId w:val="0"/>
              </w:numPr>
              <w:jc w:val="left"/>
              <w:rPr>
                <w:rFonts w:eastAsia="Arial" w:cs="Arial"/>
                <w:szCs w:val="18"/>
              </w:rPr>
            </w:pPr>
            <w:r>
              <w:rPr>
                <w:rFonts w:cs="Arial"/>
                <w:color w:val="000000"/>
                <w:szCs w:val="18"/>
              </w:rPr>
              <w:t>1.0</w:t>
            </w:r>
          </w:p>
        </w:tc>
        <w:tc>
          <w:tcPr>
            <w:tcW w:w="567" w:type="dxa"/>
            <w:vAlign w:val="center"/>
          </w:tcPr>
          <w:p w14:paraId="3890CFAC" w14:textId="59B09C45" w:rsidR="00450EDE" w:rsidRPr="59739B99" w:rsidRDefault="00450EDE" w:rsidP="00450EDE">
            <w:pPr>
              <w:pStyle w:val="CETBodytext"/>
              <w:numPr>
                <w:ilvl w:val="0"/>
                <w:numId w:val="0"/>
              </w:numPr>
              <w:jc w:val="left"/>
              <w:rPr>
                <w:rFonts w:eastAsia="Arial" w:cs="Arial"/>
                <w:szCs w:val="18"/>
              </w:rPr>
            </w:pPr>
            <w:r>
              <w:rPr>
                <w:rFonts w:cs="Arial"/>
                <w:color w:val="000000"/>
                <w:szCs w:val="18"/>
              </w:rPr>
              <w:t>1.0</w:t>
            </w:r>
          </w:p>
        </w:tc>
        <w:tc>
          <w:tcPr>
            <w:tcW w:w="567" w:type="dxa"/>
            <w:vAlign w:val="center"/>
          </w:tcPr>
          <w:p w14:paraId="267BC9BC" w14:textId="105A2CA2" w:rsidR="00450EDE" w:rsidRPr="59739B99" w:rsidRDefault="00450EDE" w:rsidP="00450EDE">
            <w:pPr>
              <w:pStyle w:val="CETBodytext"/>
              <w:numPr>
                <w:ilvl w:val="0"/>
                <w:numId w:val="0"/>
              </w:numPr>
              <w:jc w:val="left"/>
              <w:rPr>
                <w:rFonts w:eastAsia="Arial" w:cs="Arial"/>
                <w:szCs w:val="18"/>
              </w:rPr>
            </w:pPr>
            <w:r>
              <w:rPr>
                <w:rFonts w:cs="Arial"/>
                <w:color w:val="000000"/>
                <w:szCs w:val="18"/>
              </w:rPr>
              <w:t>2.0</w:t>
            </w:r>
          </w:p>
        </w:tc>
        <w:tc>
          <w:tcPr>
            <w:tcW w:w="567" w:type="dxa"/>
            <w:vAlign w:val="center"/>
          </w:tcPr>
          <w:p w14:paraId="5AD28FAE" w14:textId="2C2A184C" w:rsidR="00450EDE" w:rsidRPr="59739B99" w:rsidRDefault="00450EDE" w:rsidP="00450EDE">
            <w:pPr>
              <w:pStyle w:val="CETBodytext"/>
              <w:numPr>
                <w:ilvl w:val="0"/>
                <w:numId w:val="0"/>
              </w:numPr>
              <w:jc w:val="left"/>
              <w:rPr>
                <w:rFonts w:eastAsia="Arial" w:cs="Arial"/>
                <w:szCs w:val="18"/>
              </w:rPr>
            </w:pPr>
            <w:r>
              <w:rPr>
                <w:rFonts w:cs="Arial"/>
                <w:color w:val="000000"/>
                <w:szCs w:val="18"/>
              </w:rPr>
              <w:t>2.0</w:t>
            </w:r>
          </w:p>
        </w:tc>
        <w:tc>
          <w:tcPr>
            <w:tcW w:w="567" w:type="dxa"/>
            <w:vAlign w:val="center"/>
          </w:tcPr>
          <w:p w14:paraId="5ADEE42B" w14:textId="26F0AD4C" w:rsidR="00450EDE" w:rsidRPr="59739B99" w:rsidRDefault="00450EDE" w:rsidP="00450EDE">
            <w:pPr>
              <w:pStyle w:val="CETBodytext"/>
              <w:numPr>
                <w:ilvl w:val="0"/>
                <w:numId w:val="0"/>
              </w:numPr>
              <w:jc w:val="left"/>
              <w:rPr>
                <w:rFonts w:eastAsia="Arial" w:cs="Arial"/>
                <w:szCs w:val="18"/>
              </w:rPr>
            </w:pPr>
            <w:r>
              <w:rPr>
                <w:rFonts w:cs="Arial"/>
                <w:color w:val="000000"/>
                <w:szCs w:val="18"/>
              </w:rPr>
              <w:t>0.67</w:t>
            </w:r>
          </w:p>
        </w:tc>
        <w:tc>
          <w:tcPr>
            <w:tcW w:w="568" w:type="dxa"/>
            <w:vAlign w:val="center"/>
          </w:tcPr>
          <w:p w14:paraId="33E43D48" w14:textId="5DA8D99E" w:rsidR="00450EDE" w:rsidRPr="59739B99" w:rsidRDefault="00450EDE" w:rsidP="00450EDE">
            <w:pPr>
              <w:pStyle w:val="CETBodytext"/>
              <w:numPr>
                <w:ilvl w:val="0"/>
                <w:numId w:val="0"/>
              </w:numPr>
              <w:jc w:val="left"/>
              <w:rPr>
                <w:rFonts w:eastAsia="Arial" w:cs="Arial"/>
                <w:szCs w:val="18"/>
              </w:rPr>
            </w:pPr>
            <w:r>
              <w:rPr>
                <w:rFonts w:cs="Arial"/>
                <w:color w:val="000000"/>
                <w:szCs w:val="18"/>
              </w:rPr>
              <w:t>0.67</w:t>
            </w:r>
          </w:p>
        </w:tc>
        <w:tc>
          <w:tcPr>
            <w:tcW w:w="567" w:type="dxa"/>
            <w:vAlign w:val="center"/>
          </w:tcPr>
          <w:p w14:paraId="560FD011" w14:textId="2FFCC025" w:rsidR="00450EDE" w:rsidRPr="59739B99" w:rsidRDefault="00450EDE" w:rsidP="00450EDE">
            <w:pPr>
              <w:pStyle w:val="CETBodytext"/>
              <w:numPr>
                <w:ilvl w:val="0"/>
                <w:numId w:val="0"/>
              </w:numPr>
              <w:jc w:val="left"/>
              <w:rPr>
                <w:rFonts w:eastAsia="Arial" w:cs="Arial"/>
                <w:szCs w:val="18"/>
              </w:rPr>
            </w:pPr>
            <w:r>
              <w:rPr>
                <w:rFonts w:cs="Arial"/>
                <w:color w:val="000000"/>
                <w:szCs w:val="18"/>
              </w:rPr>
              <w:t>2.0</w:t>
            </w:r>
          </w:p>
        </w:tc>
        <w:tc>
          <w:tcPr>
            <w:tcW w:w="567" w:type="dxa"/>
            <w:vAlign w:val="center"/>
          </w:tcPr>
          <w:p w14:paraId="37ADFF02" w14:textId="1A13D389" w:rsidR="00450EDE" w:rsidRPr="59739B99" w:rsidRDefault="00450EDE" w:rsidP="00450EDE">
            <w:pPr>
              <w:pStyle w:val="CETBodytext"/>
              <w:numPr>
                <w:ilvl w:val="0"/>
                <w:numId w:val="0"/>
              </w:numPr>
              <w:jc w:val="left"/>
              <w:rPr>
                <w:rFonts w:eastAsia="Arial" w:cs="Arial"/>
                <w:szCs w:val="18"/>
              </w:rPr>
            </w:pPr>
            <w:r>
              <w:rPr>
                <w:rFonts w:cs="Arial"/>
                <w:color w:val="000000"/>
                <w:szCs w:val="18"/>
              </w:rPr>
              <w:t>2.0</w:t>
            </w:r>
          </w:p>
        </w:tc>
        <w:tc>
          <w:tcPr>
            <w:tcW w:w="567" w:type="dxa"/>
            <w:vAlign w:val="center"/>
          </w:tcPr>
          <w:p w14:paraId="0DDBB385" w14:textId="7E208B53" w:rsidR="00450EDE" w:rsidRPr="59739B99" w:rsidRDefault="00450EDE" w:rsidP="00450EDE">
            <w:pPr>
              <w:pStyle w:val="CETBodytext"/>
              <w:numPr>
                <w:ilvl w:val="0"/>
                <w:numId w:val="0"/>
              </w:numPr>
              <w:jc w:val="left"/>
              <w:rPr>
                <w:rFonts w:eastAsia="Arial" w:cs="Arial"/>
                <w:szCs w:val="18"/>
              </w:rPr>
            </w:pPr>
            <w:r>
              <w:rPr>
                <w:rFonts w:cs="Arial"/>
                <w:color w:val="000000"/>
                <w:szCs w:val="18"/>
              </w:rPr>
              <w:t>0.67</w:t>
            </w:r>
          </w:p>
        </w:tc>
        <w:tc>
          <w:tcPr>
            <w:tcW w:w="709" w:type="dxa"/>
            <w:vAlign w:val="center"/>
          </w:tcPr>
          <w:p w14:paraId="40829E14" w14:textId="7ED93425" w:rsidR="00450EDE" w:rsidRPr="59739B99" w:rsidRDefault="00450EDE" w:rsidP="00450EDE">
            <w:pPr>
              <w:pStyle w:val="CETBodytext"/>
              <w:numPr>
                <w:ilvl w:val="0"/>
                <w:numId w:val="0"/>
              </w:numPr>
              <w:jc w:val="left"/>
              <w:rPr>
                <w:rFonts w:eastAsia="Arial" w:cs="Arial"/>
                <w:szCs w:val="18"/>
              </w:rPr>
            </w:pPr>
            <w:r>
              <w:rPr>
                <w:rFonts w:cs="Arial"/>
                <w:color w:val="000000"/>
                <w:szCs w:val="18"/>
              </w:rPr>
              <w:t>0.67</w:t>
            </w:r>
          </w:p>
        </w:tc>
      </w:tr>
      <w:tr w:rsidR="00450EDE" w14:paraId="3B07107C" w14:textId="4028CCE5" w:rsidTr="00450EDE">
        <w:trPr>
          <w:trHeight w:val="300"/>
        </w:trPr>
        <w:tc>
          <w:tcPr>
            <w:tcW w:w="1417" w:type="dxa"/>
            <w:vAlign w:val="center"/>
          </w:tcPr>
          <w:p w14:paraId="1EC9CE0A" w14:textId="05332E0D" w:rsidR="00450EDE" w:rsidRDefault="00450EDE" w:rsidP="00450EDE">
            <w:pPr>
              <w:pStyle w:val="CETBodytext"/>
              <w:numPr>
                <w:ilvl w:val="0"/>
                <w:numId w:val="0"/>
              </w:numPr>
              <w:jc w:val="left"/>
              <w:rPr>
                <w:rFonts w:eastAsia="Arial" w:cs="Arial"/>
                <w:szCs w:val="18"/>
              </w:rPr>
            </w:pPr>
            <w:r>
              <w:rPr>
                <w:rFonts w:cs="Arial"/>
                <w:color w:val="000000"/>
                <w:szCs w:val="18"/>
              </w:rPr>
              <w:t>K</w:t>
            </w:r>
            <w:r>
              <w:rPr>
                <w:rFonts w:cs="Arial"/>
                <w:color w:val="000000"/>
                <w:szCs w:val="18"/>
                <w:vertAlign w:val="subscript"/>
              </w:rPr>
              <w:t>eq</w:t>
            </w:r>
            <w:r>
              <w:rPr>
                <w:rFonts w:cs="Arial"/>
                <w:color w:val="000000"/>
                <w:szCs w:val="18"/>
              </w:rPr>
              <w:t xml:space="preserve"> (PFO) (L/mg)</w:t>
            </w:r>
          </w:p>
        </w:tc>
        <w:tc>
          <w:tcPr>
            <w:tcW w:w="567" w:type="dxa"/>
            <w:vAlign w:val="center"/>
          </w:tcPr>
          <w:p w14:paraId="3EF21A58" w14:textId="7089093C" w:rsidR="00450EDE" w:rsidRDefault="00450EDE" w:rsidP="00450EDE">
            <w:pPr>
              <w:pStyle w:val="CETBodytext"/>
              <w:numPr>
                <w:ilvl w:val="0"/>
                <w:numId w:val="0"/>
              </w:numPr>
              <w:jc w:val="left"/>
              <w:rPr>
                <w:rFonts w:eastAsia="Arial" w:cs="Arial"/>
                <w:szCs w:val="18"/>
              </w:rPr>
            </w:pPr>
            <w:r>
              <w:rPr>
                <w:rFonts w:cs="Arial"/>
                <w:color w:val="000000"/>
                <w:szCs w:val="18"/>
              </w:rPr>
              <w:t>2.7</w:t>
            </w:r>
          </w:p>
        </w:tc>
        <w:tc>
          <w:tcPr>
            <w:tcW w:w="567" w:type="dxa"/>
            <w:vAlign w:val="center"/>
          </w:tcPr>
          <w:p w14:paraId="68E96B19" w14:textId="20F41C24" w:rsidR="00450EDE" w:rsidRDefault="00450EDE" w:rsidP="00450EDE">
            <w:pPr>
              <w:pStyle w:val="CETBodytext"/>
              <w:numPr>
                <w:ilvl w:val="0"/>
                <w:numId w:val="0"/>
              </w:numPr>
              <w:jc w:val="left"/>
              <w:rPr>
                <w:rFonts w:eastAsia="Arial" w:cs="Arial"/>
                <w:szCs w:val="18"/>
              </w:rPr>
            </w:pPr>
            <w:r>
              <w:rPr>
                <w:rFonts w:cs="Arial"/>
                <w:color w:val="000000"/>
                <w:szCs w:val="18"/>
              </w:rPr>
              <w:t>3.53</w:t>
            </w:r>
          </w:p>
        </w:tc>
        <w:tc>
          <w:tcPr>
            <w:tcW w:w="567" w:type="dxa"/>
            <w:vAlign w:val="center"/>
          </w:tcPr>
          <w:p w14:paraId="5DBE82B6" w14:textId="0B4EF88A" w:rsidR="00450EDE" w:rsidRDefault="00450EDE" w:rsidP="00450EDE">
            <w:pPr>
              <w:pStyle w:val="CETBodytext"/>
              <w:numPr>
                <w:ilvl w:val="0"/>
                <w:numId w:val="0"/>
              </w:numPr>
              <w:jc w:val="left"/>
              <w:rPr>
                <w:rFonts w:eastAsia="Arial" w:cs="Arial"/>
                <w:szCs w:val="18"/>
              </w:rPr>
            </w:pPr>
            <w:r>
              <w:rPr>
                <w:rFonts w:cs="Arial"/>
                <w:color w:val="000000"/>
                <w:szCs w:val="18"/>
              </w:rPr>
              <w:t>1.24</w:t>
            </w:r>
          </w:p>
        </w:tc>
        <w:tc>
          <w:tcPr>
            <w:tcW w:w="567" w:type="dxa"/>
            <w:vAlign w:val="center"/>
          </w:tcPr>
          <w:p w14:paraId="70A957C8" w14:textId="5329BA51" w:rsidR="00450EDE" w:rsidRPr="59739B99" w:rsidRDefault="00450EDE" w:rsidP="00450EDE">
            <w:pPr>
              <w:pStyle w:val="CETBodytext"/>
              <w:numPr>
                <w:ilvl w:val="0"/>
                <w:numId w:val="0"/>
              </w:numPr>
              <w:jc w:val="left"/>
              <w:rPr>
                <w:rFonts w:eastAsia="Arial" w:cs="Arial"/>
                <w:szCs w:val="18"/>
              </w:rPr>
            </w:pPr>
            <w:r>
              <w:rPr>
                <w:rFonts w:cs="Arial"/>
                <w:color w:val="000000"/>
                <w:szCs w:val="18"/>
              </w:rPr>
              <w:t>1.56</w:t>
            </w:r>
          </w:p>
        </w:tc>
        <w:tc>
          <w:tcPr>
            <w:tcW w:w="567" w:type="dxa"/>
            <w:vAlign w:val="center"/>
          </w:tcPr>
          <w:p w14:paraId="2B99816E" w14:textId="744BA51F" w:rsidR="00450EDE" w:rsidRPr="59739B99" w:rsidRDefault="00450EDE" w:rsidP="00450EDE">
            <w:pPr>
              <w:pStyle w:val="CETBodytext"/>
              <w:numPr>
                <w:ilvl w:val="0"/>
                <w:numId w:val="0"/>
              </w:numPr>
              <w:jc w:val="left"/>
              <w:rPr>
                <w:rFonts w:eastAsia="Arial" w:cs="Arial"/>
                <w:szCs w:val="18"/>
              </w:rPr>
            </w:pPr>
            <w:r>
              <w:rPr>
                <w:rFonts w:cs="Arial"/>
                <w:color w:val="000000"/>
                <w:szCs w:val="18"/>
              </w:rPr>
              <w:t>3.05</w:t>
            </w:r>
          </w:p>
        </w:tc>
        <w:tc>
          <w:tcPr>
            <w:tcW w:w="567" w:type="dxa"/>
            <w:vAlign w:val="center"/>
          </w:tcPr>
          <w:p w14:paraId="4E094CE5" w14:textId="1FA8AA15" w:rsidR="00450EDE" w:rsidRPr="59739B99" w:rsidRDefault="00450EDE" w:rsidP="00450EDE">
            <w:pPr>
              <w:pStyle w:val="CETBodytext"/>
              <w:numPr>
                <w:ilvl w:val="0"/>
                <w:numId w:val="0"/>
              </w:numPr>
              <w:jc w:val="left"/>
              <w:rPr>
                <w:rFonts w:eastAsia="Arial" w:cs="Arial"/>
                <w:szCs w:val="18"/>
              </w:rPr>
            </w:pPr>
            <w:r>
              <w:rPr>
                <w:rFonts w:cs="Arial"/>
                <w:color w:val="000000"/>
                <w:szCs w:val="18"/>
              </w:rPr>
              <w:t>3.89</w:t>
            </w:r>
          </w:p>
        </w:tc>
        <w:tc>
          <w:tcPr>
            <w:tcW w:w="567" w:type="dxa"/>
            <w:vAlign w:val="center"/>
          </w:tcPr>
          <w:p w14:paraId="55D7C202" w14:textId="7CE6CB04" w:rsidR="00450EDE" w:rsidRPr="59739B99" w:rsidRDefault="00450EDE" w:rsidP="00450EDE">
            <w:pPr>
              <w:pStyle w:val="CETBodytext"/>
              <w:numPr>
                <w:ilvl w:val="0"/>
                <w:numId w:val="0"/>
              </w:numPr>
              <w:jc w:val="left"/>
              <w:rPr>
                <w:rFonts w:eastAsia="Arial" w:cs="Arial"/>
                <w:szCs w:val="18"/>
              </w:rPr>
            </w:pPr>
            <w:r>
              <w:rPr>
                <w:rFonts w:cs="Arial"/>
                <w:color w:val="000000"/>
                <w:szCs w:val="18"/>
              </w:rPr>
              <w:t>0.89</w:t>
            </w:r>
          </w:p>
        </w:tc>
        <w:tc>
          <w:tcPr>
            <w:tcW w:w="568" w:type="dxa"/>
            <w:vAlign w:val="center"/>
          </w:tcPr>
          <w:p w14:paraId="513AB83E" w14:textId="5ACD5A36" w:rsidR="00450EDE" w:rsidRPr="59739B99" w:rsidRDefault="00450EDE" w:rsidP="00450EDE">
            <w:pPr>
              <w:pStyle w:val="CETBodytext"/>
              <w:numPr>
                <w:ilvl w:val="0"/>
                <w:numId w:val="0"/>
              </w:numPr>
              <w:jc w:val="left"/>
              <w:rPr>
                <w:rFonts w:eastAsia="Arial" w:cs="Arial"/>
                <w:szCs w:val="18"/>
              </w:rPr>
            </w:pPr>
            <w:r>
              <w:rPr>
                <w:rFonts w:cs="Arial"/>
                <w:color w:val="000000"/>
                <w:szCs w:val="18"/>
              </w:rPr>
              <w:t>1.13</w:t>
            </w:r>
          </w:p>
        </w:tc>
        <w:tc>
          <w:tcPr>
            <w:tcW w:w="567" w:type="dxa"/>
            <w:vAlign w:val="center"/>
          </w:tcPr>
          <w:p w14:paraId="54BB037B" w14:textId="1DA5C937" w:rsidR="00450EDE" w:rsidRPr="59739B99" w:rsidRDefault="00450EDE" w:rsidP="00450EDE">
            <w:pPr>
              <w:pStyle w:val="CETBodytext"/>
              <w:numPr>
                <w:ilvl w:val="0"/>
                <w:numId w:val="0"/>
              </w:numPr>
              <w:jc w:val="left"/>
              <w:rPr>
                <w:rFonts w:eastAsia="Arial" w:cs="Arial"/>
                <w:szCs w:val="18"/>
              </w:rPr>
            </w:pPr>
            <w:r>
              <w:rPr>
                <w:rFonts w:cs="Arial"/>
                <w:color w:val="000000"/>
                <w:szCs w:val="18"/>
              </w:rPr>
              <w:t>4.38</w:t>
            </w:r>
          </w:p>
        </w:tc>
        <w:tc>
          <w:tcPr>
            <w:tcW w:w="567" w:type="dxa"/>
            <w:vAlign w:val="center"/>
          </w:tcPr>
          <w:p w14:paraId="2581612C" w14:textId="35A1A38B" w:rsidR="00450EDE" w:rsidRPr="59739B99" w:rsidRDefault="00450EDE" w:rsidP="00450EDE">
            <w:pPr>
              <w:pStyle w:val="CETBodytext"/>
              <w:numPr>
                <w:ilvl w:val="0"/>
                <w:numId w:val="0"/>
              </w:numPr>
              <w:jc w:val="left"/>
              <w:rPr>
                <w:rFonts w:eastAsia="Arial" w:cs="Arial"/>
                <w:szCs w:val="18"/>
              </w:rPr>
            </w:pPr>
            <w:r>
              <w:rPr>
                <w:rFonts w:cs="Arial"/>
                <w:color w:val="000000"/>
                <w:szCs w:val="18"/>
              </w:rPr>
              <w:t>2.5</w:t>
            </w:r>
          </w:p>
        </w:tc>
        <w:tc>
          <w:tcPr>
            <w:tcW w:w="567" w:type="dxa"/>
            <w:vAlign w:val="center"/>
          </w:tcPr>
          <w:p w14:paraId="784952B7" w14:textId="0036D649" w:rsidR="00450EDE" w:rsidRPr="59739B99" w:rsidRDefault="00450EDE" w:rsidP="00450EDE">
            <w:pPr>
              <w:pStyle w:val="CETBodytext"/>
              <w:numPr>
                <w:ilvl w:val="0"/>
                <w:numId w:val="0"/>
              </w:numPr>
              <w:jc w:val="left"/>
              <w:rPr>
                <w:rFonts w:eastAsia="Arial" w:cs="Arial"/>
                <w:szCs w:val="18"/>
              </w:rPr>
            </w:pPr>
            <w:r>
              <w:rPr>
                <w:rFonts w:cs="Arial"/>
                <w:color w:val="000000"/>
                <w:szCs w:val="18"/>
              </w:rPr>
              <w:t>2.79</w:t>
            </w:r>
          </w:p>
        </w:tc>
        <w:tc>
          <w:tcPr>
            <w:tcW w:w="709" w:type="dxa"/>
            <w:vAlign w:val="center"/>
          </w:tcPr>
          <w:p w14:paraId="2FF73B68" w14:textId="46F8BA72" w:rsidR="00450EDE" w:rsidRPr="59739B99" w:rsidRDefault="00450EDE" w:rsidP="00450EDE">
            <w:pPr>
              <w:pStyle w:val="CETBodytext"/>
              <w:numPr>
                <w:ilvl w:val="0"/>
                <w:numId w:val="0"/>
              </w:numPr>
              <w:jc w:val="left"/>
              <w:rPr>
                <w:rFonts w:eastAsia="Arial" w:cs="Arial"/>
                <w:szCs w:val="18"/>
              </w:rPr>
            </w:pPr>
            <w:r>
              <w:rPr>
                <w:rFonts w:cs="Arial"/>
                <w:color w:val="000000"/>
                <w:szCs w:val="18"/>
              </w:rPr>
              <w:t>1.0</w:t>
            </w:r>
          </w:p>
        </w:tc>
      </w:tr>
      <w:tr w:rsidR="00450EDE" w14:paraId="5BA93C71" w14:textId="5D387E21" w:rsidTr="00450EDE">
        <w:trPr>
          <w:trHeight w:val="300"/>
        </w:trPr>
        <w:tc>
          <w:tcPr>
            <w:tcW w:w="1417" w:type="dxa"/>
            <w:vAlign w:val="center"/>
          </w:tcPr>
          <w:p w14:paraId="19102F61" w14:textId="4413DA19" w:rsidR="00450EDE" w:rsidRDefault="00450EDE" w:rsidP="00450EDE">
            <w:pPr>
              <w:pStyle w:val="CETBodytext"/>
              <w:numPr>
                <w:ilvl w:val="0"/>
                <w:numId w:val="0"/>
              </w:numPr>
              <w:jc w:val="left"/>
              <w:rPr>
                <w:rFonts w:eastAsia="Arial" w:cs="Arial"/>
                <w:szCs w:val="18"/>
              </w:rPr>
            </w:pPr>
            <w:r>
              <w:rPr>
                <w:rFonts w:cs="Arial"/>
                <w:color w:val="000000"/>
                <w:szCs w:val="18"/>
              </w:rPr>
              <w:t>K</w:t>
            </w:r>
            <w:r>
              <w:rPr>
                <w:rFonts w:cs="Arial"/>
                <w:color w:val="000000"/>
                <w:szCs w:val="18"/>
                <w:vertAlign w:val="subscript"/>
              </w:rPr>
              <w:t>eq</w:t>
            </w:r>
            <w:r>
              <w:rPr>
                <w:rFonts w:cs="Arial"/>
                <w:color w:val="000000"/>
                <w:szCs w:val="18"/>
              </w:rPr>
              <w:t xml:space="preserve"> (PSO) (L/mg)</w:t>
            </w:r>
          </w:p>
        </w:tc>
        <w:tc>
          <w:tcPr>
            <w:tcW w:w="567" w:type="dxa"/>
            <w:vAlign w:val="center"/>
          </w:tcPr>
          <w:p w14:paraId="1CF656E9" w14:textId="4BA6C9AE" w:rsidR="00450EDE" w:rsidRDefault="00450EDE" w:rsidP="00450EDE">
            <w:pPr>
              <w:pStyle w:val="CETBodytext"/>
              <w:numPr>
                <w:ilvl w:val="0"/>
                <w:numId w:val="0"/>
              </w:numPr>
              <w:jc w:val="left"/>
              <w:rPr>
                <w:rFonts w:eastAsia="Arial" w:cs="Arial"/>
                <w:szCs w:val="18"/>
              </w:rPr>
            </w:pPr>
            <w:r>
              <w:rPr>
                <w:rFonts w:cs="Arial"/>
                <w:color w:val="000000"/>
                <w:szCs w:val="18"/>
              </w:rPr>
              <w:t>3.36</w:t>
            </w:r>
          </w:p>
        </w:tc>
        <w:tc>
          <w:tcPr>
            <w:tcW w:w="567" w:type="dxa"/>
            <w:vAlign w:val="center"/>
          </w:tcPr>
          <w:p w14:paraId="3170E4BD" w14:textId="3774E801" w:rsidR="00450EDE" w:rsidRDefault="00450EDE" w:rsidP="00450EDE">
            <w:pPr>
              <w:pStyle w:val="CETBodytext"/>
              <w:numPr>
                <w:ilvl w:val="0"/>
                <w:numId w:val="0"/>
              </w:numPr>
              <w:jc w:val="left"/>
              <w:rPr>
                <w:rFonts w:eastAsia="Arial" w:cs="Arial"/>
                <w:szCs w:val="18"/>
              </w:rPr>
            </w:pPr>
            <w:r>
              <w:rPr>
                <w:rFonts w:cs="Arial"/>
                <w:color w:val="000000"/>
                <w:szCs w:val="18"/>
              </w:rPr>
              <w:t>3.88</w:t>
            </w:r>
          </w:p>
        </w:tc>
        <w:tc>
          <w:tcPr>
            <w:tcW w:w="567" w:type="dxa"/>
            <w:vAlign w:val="center"/>
          </w:tcPr>
          <w:p w14:paraId="5303F40F" w14:textId="4DD28DA1" w:rsidR="00450EDE" w:rsidRDefault="00450EDE" w:rsidP="00450EDE">
            <w:pPr>
              <w:pStyle w:val="CETBodytext"/>
              <w:numPr>
                <w:ilvl w:val="0"/>
                <w:numId w:val="0"/>
              </w:numPr>
              <w:jc w:val="left"/>
              <w:rPr>
                <w:rFonts w:eastAsia="Arial" w:cs="Arial"/>
                <w:szCs w:val="18"/>
              </w:rPr>
            </w:pPr>
            <w:r>
              <w:rPr>
                <w:rFonts w:cs="Arial"/>
                <w:color w:val="000000"/>
                <w:szCs w:val="18"/>
              </w:rPr>
              <w:t>2.01</w:t>
            </w:r>
          </w:p>
        </w:tc>
        <w:tc>
          <w:tcPr>
            <w:tcW w:w="567" w:type="dxa"/>
            <w:vAlign w:val="center"/>
          </w:tcPr>
          <w:p w14:paraId="59B6D5A4" w14:textId="794B6BD1" w:rsidR="00450EDE" w:rsidRPr="59739B99" w:rsidRDefault="00450EDE" w:rsidP="00450EDE">
            <w:pPr>
              <w:pStyle w:val="CETBodytext"/>
              <w:numPr>
                <w:ilvl w:val="0"/>
                <w:numId w:val="0"/>
              </w:numPr>
              <w:jc w:val="left"/>
              <w:rPr>
                <w:rFonts w:eastAsia="Arial" w:cs="Arial"/>
                <w:szCs w:val="18"/>
              </w:rPr>
            </w:pPr>
            <w:r>
              <w:rPr>
                <w:rFonts w:cs="Arial"/>
                <w:color w:val="000000"/>
                <w:szCs w:val="18"/>
              </w:rPr>
              <w:t>2.25</w:t>
            </w:r>
          </w:p>
        </w:tc>
        <w:tc>
          <w:tcPr>
            <w:tcW w:w="567" w:type="dxa"/>
            <w:vAlign w:val="center"/>
          </w:tcPr>
          <w:p w14:paraId="562EC786" w14:textId="28E6620F" w:rsidR="00450EDE" w:rsidRPr="59739B99" w:rsidRDefault="00450EDE" w:rsidP="00450EDE">
            <w:pPr>
              <w:pStyle w:val="CETBodytext"/>
              <w:numPr>
                <w:ilvl w:val="0"/>
                <w:numId w:val="0"/>
              </w:numPr>
              <w:jc w:val="left"/>
              <w:rPr>
                <w:rFonts w:eastAsia="Arial" w:cs="Arial"/>
                <w:szCs w:val="18"/>
              </w:rPr>
            </w:pPr>
            <w:r>
              <w:rPr>
                <w:rFonts w:cs="Arial"/>
                <w:color w:val="000000"/>
                <w:szCs w:val="18"/>
              </w:rPr>
              <w:t>4.39</w:t>
            </w:r>
          </w:p>
        </w:tc>
        <w:tc>
          <w:tcPr>
            <w:tcW w:w="567" w:type="dxa"/>
            <w:vAlign w:val="center"/>
          </w:tcPr>
          <w:p w14:paraId="28F594AE" w14:textId="42CA3C93" w:rsidR="00450EDE" w:rsidRPr="59739B99" w:rsidRDefault="00450EDE" w:rsidP="00450EDE">
            <w:pPr>
              <w:pStyle w:val="CETBodytext"/>
              <w:numPr>
                <w:ilvl w:val="0"/>
                <w:numId w:val="0"/>
              </w:numPr>
              <w:jc w:val="left"/>
              <w:rPr>
                <w:rFonts w:eastAsia="Arial" w:cs="Arial"/>
                <w:szCs w:val="18"/>
              </w:rPr>
            </w:pPr>
            <w:r>
              <w:rPr>
                <w:rFonts w:cs="Arial"/>
                <w:color w:val="000000"/>
                <w:szCs w:val="18"/>
              </w:rPr>
              <w:t>4.97</w:t>
            </w:r>
          </w:p>
        </w:tc>
        <w:tc>
          <w:tcPr>
            <w:tcW w:w="567" w:type="dxa"/>
            <w:vAlign w:val="center"/>
          </w:tcPr>
          <w:p w14:paraId="7055ADC0" w14:textId="7A640F37" w:rsidR="00450EDE" w:rsidRPr="59739B99" w:rsidRDefault="00450EDE" w:rsidP="00450EDE">
            <w:pPr>
              <w:pStyle w:val="CETBodytext"/>
              <w:numPr>
                <w:ilvl w:val="0"/>
                <w:numId w:val="0"/>
              </w:numPr>
              <w:jc w:val="left"/>
              <w:rPr>
                <w:rFonts w:eastAsia="Arial" w:cs="Arial"/>
                <w:szCs w:val="18"/>
              </w:rPr>
            </w:pPr>
            <w:r>
              <w:rPr>
                <w:rFonts w:cs="Arial"/>
                <w:color w:val="000000"/>
                <w:szCs w:val="18"/>
              </w:rPr>
              <w:t>1.44</w:t>
            </w:r>
          </w:p>
        </w:tc>
        <w:tc>
          <w:tcPr>
            <w:tcW w:w="568" w:type="dxa"/>
            <w:vAlign w:val="center"/>
          </w:tcPr>
          <w:p w14:paraId="21F79716" w14:textId="4D424CC1" w:rsidR="00450EDE" w:rsidRPr="59739B99" w:rsidRDefault="00450EDE" w:rsidP="00450EDE">
            <w:pPr>
              <w:pStyle w:val="CETBodytext"/>
              <w:numPr>
                <w:ilvl w:val="0"/>
                <w:numId w:val="0"/>
              </w:numPr>
              <w:jc w:val="left"/>
              <w:rPr>
                <w:rFonts w:eastAsia="Arial" w:cs="Arial"/>
                <w:szCs w:val="18"/>
              </w:rPr>
            </w:pPr>
            <w:r>
              <w:rPr>
                <w:rFonts w:cs="Arial"/>
                <w:color w:val="000000"/>
                <w:szCs w:val="18"/>
              </w:rPr>
              <w:t>1.63</w:t>
            </w:r>
          </w:p>
        </w:tc>
        <w:tc>
          <w:tcPr>
            <w:tcW w:w="567" w:type="dxa"/>
            <w:vAlign w:val="center"/>
          </w:tcPr>
          <w:p w14:paraId="326BF60B" w14:textId="100ECC21" w:rsidR="00450EDE" w:rsidRPr="59739B99" w:rsidRDefault="00450EDE" w:rsidP="00450EDE">
            <w:pPr>
              <w:pStyle w:val="CETBodytext"/>
              <w:numPr>
                <w:ilvl w:val="0"/>
                <w:numId w:val="0"/>
              </w:numPr>
              <w:jc w:val="left"/>
              <w:rPr>
                <w:rFonts w:eastAsia="Arial" w:cs="Arial"/>
                <w:szCs w:val="18"/>
              </w:rPr>
            </w:pPr>
            <w:r>
              <w:rPr>
                <w:rFonts w:cs="Arial"/>
                <w:color w:val="000000"/>
                <w:szCs w:val="18"/>
              </w:rPr>
              <w:t>5.48</w:t>
            </w:r>
          </w:p>
        </w:tc>
        <w:tc>
          <w:tcPr>
            <w:tcW w:w="567" w:type="dxa"/>
            <w:vAlign w:val="center"/>
          </w:tcPr>
          <w:p w14:paraId="72CACFAC" w14:textId="6FE593A4" w:rsidR="00450EDE" w:rsidRPr="59739B99" w:rsidRDefault="00450EDE" w:rsidP="00450EDE">
            <w:pPr>
              <w:pStyle w:val="CETBodytext"/>
              <w:numPr>
                <w:ilvl w:val="0"/>
                <w:numId w:val="0"/>
              </w:numPr>
              <w:jc w:val="left"/>
              <w:rPr>
                <w:rFonts w:eastAsia="Arial" w:cs="Arial"/>
                <w:szCs w:val="18"/>
              </w:rPr>
            </w:pPr>
            <w:r>
              <w:rPr>
                <w:rFonts w:cs="Arial"/>
                <w:color w:val="000000"/>
                <w:szCs w:val="18"/>
              </w:rPr>
              <w:t>3.84</w:t>
            </w:r>
          </w:p>
        </w:tc>
        <w:tc>
          <w:tcPr>
            <w:tcW w:w="567" w:type="dxa"/>
            <w:vAlign w:val="center"/>
          </w:tcPr>
          <w:p w14:paraId="5B4B9593" w14:textId="01050D28" w:rsidR="00450EDE" w:rsidRPr="59739B99" w:rsidRDefault="00450EDE" w:rsidP="00450EDE">
            <w:pPr>
              <w:pStyle w:val="CETBodytext"/>
              <w:numPr>
                <w:ilvl w:val="0"/>
                <w:numId w:val="0"/>
              </w:numPr>
              <w:jc w:val="left"/>
              <w:rPr>
                <w:rFonts w:eastAsia="Arial" w:cs="Arial"/>
                <w:szCs w:val="18"/>
              </w:rPr>
            </w:pPr>
            <w:r>
              <w:rPr>
                <w:rFonts w:cs="Arial"/>
                <w:color w:val="000000"/>
                <w:szCs w:val="18"/>
              </w:rPr>
              <w:t>3.09</w:t>
            </w:r>
          </w:p>
        </w:tc>
        <w:tc>
          <w:tcPr>
            <w:tcW w:w="709" w:type="dxa"/>
            <w:vAlign w:val="center"/>
          </w:tcPr>
          <w:p w14:paraId="7DB5FD38" w14:textId="090095C9" w:rsidR="00450EDE" w:rsidRPr="59739B99" w:rsidRDefault="00450EDE" w:rsidP="00450EDE">
            <w:pPr>
              <w:pStyle w:val="CETBodytext"/>
              <w:numPr>
                <w:ilvl w:val="0"/>
                <w:numId w:val="0"/>
              </w:numPr>
              <w:jc w:val="left"/>
              <w:rPr>
                <w:rFonts w:eastAsia="Arial" w:cs="Arial"/>
                <w:szCs w:val="18"/>
              </w:rPr>
            </w:pPr>
            <w:r>
              <w:rPr>
                <w:rFonts w:cs="Arial"/>
                <w:color w:val="000000"/>
                <w:szCs w:val="18"/>
              </w:rPr>
              <w:t>1.53</w:t>
            </w:r>
          </w:p>
        </w:tc>
      </w:tr>
    </w:tbl>
    <w:p w14:paraId="7A37D528" w14:textId="77777777" w:rsidR="00622C7E" w:rsidRDefault="00622C7E" w:rsidP="00EB23E1">
      <w:pPr>
        <w:pStyle w:val="CETBodytext"/>
        <w:rPr>
          <w:lang w:val="pt-BR"/>
        </w:rPr>
      </w:pPr>
    </w:p>
    <w:p w14:paraId="19171F30" w14:textId="6839B271" w:rsidR="002C426F" w:rsidRDefault="00AB66CD" w:rsidP="00FA0D36">
      <w:pPr>
        <w:pStyle w:val="CETheadingx"/>
        <w:spacing w:line="22" w:lineRule="atLeast"/>
      </w:pPr>
      <w:r w:rsidRPr="00AB66CD">
        <w:t>Kinetic model fit</w:t>
      </w:r>
    </w:p>
    <w:p w14:paraId="68C15EC4" w14:textId="2C99B9CE" w:rsidR="002C426F" w:rsidRPr="00AB66CD" w:rsidRDefault="00AB66CD" w:rsidP="00FA0D36">
      <w:pPr>
        <w:pStyle w:val="CETBodytext"/>
        <w:spacing w:line="22" w:lineRule="atLeast"/>
      </w:pPr>
      <w:r>
        <w:rPr>
          <w:lang w:val="en-GB"/>
        </w:rPr>
        <w:t>T</w:t>
      </w:r>
      <w:r w:rsidRPr="00AB66CD">
        <w:rPr>
          <w:lang w:val="en-GB"/>
        </w:rPr>
        <w:t xml:space="preserve">he </w:t>
      </w:r>
      <w:r w:rsidR="0044227E">
        <w:rPr>
          <w:lang w:val="en-GB"/>
        </w:rPr>
        <w:t>PFO</w:t>
      </w:r>
      <w:r w:rsidRPr="00AB66CD">
        <w:rPr>
          <w:lang w:val="en-GB"/>
        </w:rPr>
        <w:t xml:space="preserve"> model demonstrated a </w:t>
      </w:r>
      <w:r w:rsidR="00B658C7">
        <w:rPr>
          <w:lang w:val="en-GB"/>
        </w:rPr>
        <w:t>higher</w:t>
      </w:r>
      <w:r w:rsidRPr="00AB66CD">
        <w:rPr>
          <w:lang w:val="en-GB"/>
        </w:rPr>
        <w:t xml:space="preserve"> average error (</w:t>
      </w:r>
      <w:r w:rsidR="00B658C7">
        <w:rPr>
          <w:lang w:val="en-GB"/>
        </w:rPr>
        <w:t>10.4</w:t>
      </w:r>
      <w:r w:rsidRPr="00AB66CD">
        <w:rPr>
          <w:lang w:val="en-GB"/>
        </w:rPr>
        <w:t xml:space="preserve">%) compared to the </w:t>
      </w:r>
      <w:r w:rsidR="0044227E">
        <w:rPr>
          <w:lang w:val="en-GB"/>
        </w:rPr>
        <w:t>PSO</w:t>
      </w:r>
      <w:r w:rsidRPr="00AB66CD">
        <w:rPr>
          <w:lang w:val="en-GB"/>
        </w:rPr>
        <w:t xml:space="preserve"> model (</w:t>
      </w:r>
      <w:r w:rsidR="001D373D">
        <w:rPr>
          <w:lang w:val="en-GB"/>
        </w:rPr>
        <w:t>6.7</w:t>
      </w:r>
      <w:r w:rsidRPr="00AB66CD">
        <w:rPr>
          <w:lang w:val="en-GB"/>
        </w:rPr>
        <w:t>%)</w:t>
      </w:r>
      <w:r>
        <w:rPr>
          <w:lang w:val="en-GB"/>
        </w:rPr>
        <w:t xml:space="preserve"> with the adjusted parameters (Table </w:t>
      </w:r>
      <w:r w:rsidR="001D373D">
        <w:rPr>
          <w:lang w:val="en-GB"/>
        </w:rPr>
        <w:t>3</w:t>
      </w:r>
      <w:r w:rsidR="00C7070A">
        <w:rPr>
          <w:lang w:val="en-GB"/>
        </w:rPr>
        <w:t xml:space="preserve"> and 4</w:t>
      </w:r>
      <w:r w:rsidRPr="003A7091">
        <w:rPr>
          <w:lang w:val="en-GB"/>
        </w:rPr>
        <w:t xml:space="preserve">). </w:t>
      </w:r>
    </w:p>
    <w:p w14:paraId="670A8181" w14:textId="77777777" w:rsidR="002C426F" w:rsidRPr="00AB66CD" w:rsidRDefault="002C426F" w:rsidP="00FA0D36">
      <w:pPr>
        <w:pStyle w:val="CETBodytext"/>
        <w:spacing w:line="22" w:lineRule="atLeast"/>
      </w:pPr>
    </w:p>
    <w:p w14:paraId="2625064C" w14:textId="07A4F06F" w:rsidR="002C426F" w:rsidRPr="00C341BD" w:rsidRDefault="00AB66CD" w:rsidP="00EB23E1">
      <w:pPr>
        <w:pStyle w:val="CETBodytext"/>
        <w:rPr>
          <w:i/>
          <w:iCs/>
        </w:rPr>
      </w:pPr>
      <w:r w:rsidRPr="00C341BD">
        <w:rPr>
          <w:i/>
          <w:iCs/>
        </w:rPr>
        <w:t xml:space="preserve">Table </w:t>
      </w:r>
      <w:r w:rsidR="001D373D">
        <w:rPr>
          <w:i/>
          <w:iCs/>
        </w:rPr>
        <w:t>3</w:t>
      </w:r>
      <w:r w:rsidRPr="00C341BD">
        <w:rPr>
          <w:i/>
          <w:iCs/>
        </w:rPr>
        <w:t xml:space="preserve"> - Adjusted parameters for</w:t>
      </w:r>
      <w:r w:rsidR="00515943" w:rsidRPr="00515943">
        <w:rPr>
          <w:lang w:val="en-GB"/>
        </w:rPr>
        <w:t xml:space="preserve"> </w:t>
      </w:r>
      <w:r w:rsidR="00515943">
        <w:rPr>
          <w:lang w:val="en-GB"/>
        </w:rPr>
        <w:t>k</w:t>
      </w:r>
      <w:r w:rsidR="00515943" w:rsidRPr="001E2AA7">
        <w:rPr>
          <w:vertAlign w:val="subscript"/>
          <w:lang w:val="en-GB"/>
        </w:rPr>
        <w:t>i,0</w:t>
      </w:r>
      <w:r w:rsidR="00515943" w:rsidRPr="003411E9">
        <w:rPr>
          <w:lang w:val="en-GB"/>
        </w:rPr>
        <w:t xml:space="preserve"> </w:t>
      </w:r>
      <w:r w:rsidR="00515943">
        <w:rPr>
          <w:i/>
          <w:iCs/>
        </w:rPr>
        <w:t xml:space="preserve">for </w:t>
      </w:r>
      <w:r w:rsidRPr="00C341BD">
        <w:rPr>
          <w:i/>
          <w:iCs/>
        </w:rPr>
        <w:t>the PFO and PSO general models</w:t>
      </w:r>
    </w:p>
    <w:tbl>
      <w:tblPr>
        <w:tblStyle w:val="TabelaSimples-1"/>
        <w:tblW w:w="8788" w:type="dxa"/>
        <w:tblLayout w:type="fixed"/>
        <w:tblLook w:val="06A0" w:firstRow="1" w:lastRow="0" w:firstColumn="1" w:lastColumn="0" w:noHBand="1" w:noVBand="1"/>
      </w:tblPr>
      <w:tblGrid>
        <w:gridCol w:w="850"/>
        <w:gridCol w:w="1134"/>
        <w:gridCol w:w="1134"/>
        <w:gridCol w:w="1134"/>
        <w:gridCol w:w="1134"/>
        <w:gridCol w:w="1134"/>
        <w:gridCol w:w="1134"/>
        <w:gridCol w:w="1134"/>
      </w:tblGrid>
      <w:tr w:rsidR="00515943" w:rsidRPr="59739B99" w14:paraId="7ADF8ECD" w14:textId="5B4154C4" w:rsidTr="00515943">
        <w:trPr>
          <w:cnfStyle w:val="100000000000" w:firstRow="1" w:lastRow="0" w:firstColumn="0" w:lastColumn="0" w:oddVBand="0" w:evenVBand="0" w:oddHBand="0" w:evenHBand="0" w:firstRowFirstColumn="0" w:firstRowLastColumn="0" w:lastRowFirstColumn="0" w:lastRowLastColumn="0"/>
          <w:trHeight w:val="300"/>
        </w:trPr>
        <w:tc>
          <w:tcPr>
            <w:tcW w:w="850" w:type="dxa"/>
            <w:vAlign w:val="bottom"/>
          </w:tcPr>
          <w:p w14:paraId="2A604744" w14:textId="6DC5D701" w:rsidR="00515943" w:rsidRPr="00AB66CD" w:rsidRDefault="00515943" w:rsidP="00515943">
            <w:pPr>
              <w:pStyle w:val="CETBodytext"/>
              <w:numPr>
                <w:ilvl w:val="0"/>
                <w:numId w:val="0"/>
              </w:numPr>
              <w:jc w:val="left"/>
              <w:rPr>
                <w:rFonts w:eastAsia="Arial" w:cs="Arial"/>
                <w:szCs w:val="18"/>
              </w:rPr>
            </w:pPr>
            <w:r>
              <w:rPr>
                <w:rFonts w:eastAsia="Arial" w:cs="Arial"/>
                <w:szCs w:val="18"/>
              </w:rPr>
              <w:t>Model</w:t>
            </w:r>
          </w:p>
        </w:tc>
        <w:tc>
          <w:tcPr>
            <w:tcW w:w="1134" w:type="dxa"/>
            <w:vAlign w:val="bottom"/>
          </w:tcPr>
          <w:p w14:paraId="4A9ACCC6" w14:textId="7741F0C6" w:rsidR="00515943" w:rsidRDefault="00515943" w:rsidP="00515943">
            <w:pPr>
              <w:pStyle w:val="CETBodytext"/>
              <w:numPr>
                <w:ilvl w:val="0"/>
                <w:numId w:val="0"/>
              </w:numPr>
              <w:jc w:val="left"/>
              <w:rPr>
                <w:rFonts w:eastAsia="Arial" w:cs="Arial"/>
                <w:szCs w:val="18"/>
              </w:rPr>
            </w:pPr>
            <w:r w:rsidRPr="00732F05">
              <w:rPr>
                <w:rFonts w:ascii="Calibri" w:hAnsi="Calibri" w:cs="Calibri"/>
                <w:color w:val="000000"/>
                <w:sz w:val="22"/>
                <w:szCs w:val="22"/>
                <w:lang w:val="pt-BR" w:eastAsia="pt-BR"/>
              </w:rPr>
              <w:t>a</w:t>
            </w:r>
          </w:p>
        </w:tc>
        <w:tc>
          <w:tcPr>
            <w:tcW w:w="1134" w:type="dxa"/>
            <w:vAlign w:val="bottom"/>
          </w:tcPr>
          <w:p w14:paraId="2FAEB64D" w14:textId="2F2FA030" w:rsidR="00515943" w:rsidRDefault="00515943" w:rsidP="00515943">
            <w:pPr>
              <w:pStyle w:val="CETBodytext"/>
              <w:numPr>
                <w:ilvl w:val="0"/>
                <w:numId w:val="0"/>
              </w:numPr>
              <w:jc w:val="left"/>
              <w:rPr>
                <w:rFonts w:eastAsia="Arial" w:cs="Arial"/>
                <w:szCs w:val="18"/>
              </w:rPr>
            </w:pPr>
            <w:r w:rsidRPr="00732F05">
              <w:rPr>
                <w:rFonts w:ascii="Calibri" w:hAnsi="Calibri" w:cs="Calibri"/>
                <w:color w:val="000000"/>
                <w:sz w:val="22"/>
                <w:szCs w:val="22"/>
                <w:lang w:val="pt-BR" w:eastAsia="pt-BR"/>
              </w:rPr>
              <w:t xml:space="preserve">b </w:t>
            </w:r>
          </w:p>
        </w:tc>
        <w:tc>
          <w:tcPr>
            <w:tcW w:w="1134" w:type="dxa"/>
            <w:vAlign w:val="bottom"/>
          </w:tcPr>
          <w:p w14:paraId="5C9470CD" w14:textId="7DEE1256" w:rsidR="00515943" w:rsidRDefault="00515943" w:rsidP="00515943">
            <w:pPr>
              <w:pStyle w:val="CETBodytext"/>
              <w:numPr>
                <w:ilvl w:val="0"/>
                <w:numId w:val="0"/>
              </w:numPr>
              <w:jc w:val="left"/>
              <w:rPr>
                <w:rFonts w:eastAsia="Arial" w:cs="Arial"/>
                <w:szCs w:val="18"/>
              </w:rPr>
            </w:pPr>
            <w:r w:rsidRPr="00732F05">
              <w:rPr>
                <w:rFonts w:ascii="Calibri" w:hAnsi="Calibri" w:cs="Calibri"/>
                <w:color w:val="000000"/>
                <w:sz w:val="22"/>
                <w:szCs w:val="22"/>
                <w:lang w:val="pt-BR" w:eastAsia="pt-BR"/>
              </w:rPr>
              <w:t>c</w:t>
            </w:r>
          </w:p>
        </w:tc>
        <w:tc>
          <w:tcPr>
            <w:tcW w:w="1134" w:type="dxa"/>
            <w:vAlign w:val="bottom"/>
          </w:tcPr>
          <w:p w14:paraId="4C052401" w14:textId="1764FB13" w:rsidR="00515943" w:rsidRPr="59739B99" w:rsidRDefault="00515943" w:rsidP="00515943">
            <w:pPr>
              <w:pStyle w:val="CETBodytext"/>
              <w:numPr>
                <w:ilvl w:val="0"/>
                <w:numId w:val="0"/>
              </w:numPr>
              <w:jc w:val="left"/>
              <w:rPr>
                <w:rFonts w:eastAsia="Arial" w:cs="Arial"/>
                <w:szCs w:val="18"/>
              </w:rPr>
            </w:pPr>
            <w:r>
              <w:rPr>
                <w:rFonts w:ascii="Calibri" w:hAnsi="Calibri" w:cs="Calibri"/>
                <w:color w:val="000000"/>
                <w:sz w:val="22"/>
                <w:szCs w:val="22"/>
                <w:lang w:val="pt-BR" w:eastAsia="pt-BR"/>
              </w:rPr>
              <w:t>d</w:t>
            </w:r>
          </w:p>
        </w:tc>
        <w:tc>
          <w:tcPr>
            <w:tcW w:w="1134" w:type="dxa"/>
            <w:vAlign w:val="bottom"/>
          </w:tcPr>
          <w:p w14:paraId="372E00C0" w14:textId="4E619E21" w:rsidR="00515943" w:rsidRPr="59739B99" w:rsidRDefault="00515943" w:rsidP="00515943">
            <w:pPr>
              <w:pStyle w:val="CETBodytext"/>
              <w:numPr>
                <w:ilvl w:val="0"/>
                <w:numId w:val="0"/>
              </w:numPr>
              <w:jc w:val="left"/>
              <w:rPr>
                <w:rFonts w:eastAsia="Arial" w:cs="Arial"/>
                <w:szCs w:val="18"/>
              </w:rPr>
            </w:pPr>
            <w:r w:rsidRPr="00732F05">
              <w:rPr>
                <w:rFonts w:ascii="Calibri" w:hAnsi="Calibri" w:cs="Calibri"/>
                <w:color w:val="000000"/>
                <w:sz w:val="22"/>
                <w:szCs w:val="22"/>
                <w:lang w:val="pt-BR" w:eastAsia="pt-BR"/>
              </w:rPr>
              <w:t>e</w:t>
            </w:r>
          </w:p>
        </w:tc>
        <w:tc>
          <w:tcPr>
            <w:tcW w:w="1134" w:type="dxa"/>
            <w:vAlign w:val="bottom"/>
          </w:tcPr>
          <w:p w14:paraId="40843700" w14:textId="11FC2EFC" w:rsidR="00515943" w:rsidRPr="00BF4D22" w:rsidRDefault="00515943" w:rsidP="00515943">
            <w:pPr>
              <w:pStyle w:val="CETBodytext"/>
              <w:numPr>
                <w:ilvl w:val="0"/>
                <w:numId w:val="0"/>
              </w:numPr>
              <w:jc w:val="left"/>
              <w:rPr>
                <w:rFonts w:eastAsia="Arial" w:cs="Arial"/>
                <w:szCs w:val="18"/>
              </w:rPr>
            </w:pPr>
            <w:r w:rsidRPr="00732F05">
              <w:rPr>
                <w:rFonts w:ascii="Calibri" w:hAnsi="Calibri" w:cs="Calibri"/>
                <w:color w:val="000000"/>
                <w:sz w:val="22"/>
                <w:szCs w:val="22"/>
                <w:lang w:val="pt-BR" w:eastAsia="pt-BR"/>
              </w:rPr>
              <w:t>f</w:t>
            </w:r>
          </w:p>
        </w:tc>
        <w:tc>
          <w:tcPr>
            <w:tcW w:w="1134" w:type="dxa"/>
            <w:vAlign w:val="bottom"/>
          </w:tcPr>
          <w:p w14:paraId="227921C0" w14:textId="7D992666" w:rsidR="00515943" w:rsidRPr="00BF4D22" w:rsidRDefault="00515943" w:rsidP="00515943">
            <w:pPr>
              <w:pStyle w:val="CETBodytext"/>
              <w:numPr>
                <w:ilvl w:val="0"/>
                <w:numId w:val="0"/>
              </w:numPr>
              <w:jc w:val="left"/>
              <w:rPr>
                <w:rFonts w:eastAsia="Arial" w:cs="Arial"/>
                <w:szCs w:val="18"/>
              </w:rPr>
            </w:pPr>
            <w:r>
              <w:rPr>
                <w:rFonts w:eastAsia="Arial" w:cs="Arial"/>
                <w:szCs w:val="18"/>
              </w:rPr>
              <w:t>Ea</w:t>
            </w:r>
          </w:p>
        </w:tc>
      </w:tr>
      <w:tr w:rsidR="00515943" w:rsidRPr="59739B99" w14:paraId="580A3C67" w14:textId="4FB92C29" w:rsidTr="00515943">
        <w:trPr>
          <w:trHeight w:val="300"/>
        </w:trPr>
        <w:tc>
          <w:tcPr>
            <w:tcW w:w="850" w:type="dxa"/>
            <w:vAlign w:val="bottom"/>
          </w:tcPr>
          <w:p w14:paraId="6D76527E" w14:textId="23E054C1" w:rsidR="00515943" w:rsidRDefault="00515943" w:rsidP="00515943">
            <w:pPr>
              <w:pStyle w:val="CETBodytext"/>
              <w:numPr>
                <w:ilvl w:val="0"/>
                <w:numId w:val="0"/>
              </w:numPr>
              <w:jc w:val="left"/>
              <w:rPr>
                <w:rFonts w:eastAsia="Arial" w:cs="Arial"/>
                <w:szCs w:val="18"/>
              </w:rPr>
            </w:pPr>
            <w:r w:rsidRPr="00732F05">
              <w:rPr>
                <w:rFonts w:eastAsia="Arial" w:cs="Arial"/>
                <w:szCs w:val="18"/>
              </w:rPr>
              <w:t>PFO</w:t>
            </w:r>
          </w:p>
        </w:tc>
        <w:tc>
          <w:tcPr>
            <w:tcW w:w="1134" w:type="dxa"/>
            <w:vAlign w:val="bottom"/>
          </w:tcPr>
          <w:p w14:paraId="6F47AE12" w14:textId="3DAE5A6C" w:rsidR="00515943" w:rsidRDefault="00515943" w:rsidP="00515943">
            <w:pPr>
              <w:pStyle w:val="CETBodytext"/>
              <w:numPr>
                <w:ilvl w:val="0"/>
                <w:numId w:val="0"/>
              </w:numPr>
              <w:jc w:val="left"/>
              <w:rPr>
                <w:rFonts w:eastAsia="Arial" w:cs="Arial"/>
                <w:szCs w:val="18"/>
              </w:rPr>
            </w:pPr>
            <w:r w:rsidRPr="00A65DDB">
              <w:t>9</w:t>
            </w:r>
            <w:r w:rsidR="003A7091">
              <w:t>.</w:t>
            </w:r>
            <w:r w:rsidRPr="00A65DDB">
              <w:t>99</w:t>
            </w:r>
            <w:r>
              <w:t xml:space="preserve"> 10</w:t>
            </w:r>
            <w:r w:rsidRPr="002B6BE1">
              <w:rPr>
                <w:vertAlign w:val="superscript"/>
              </w:rPr>
              <w:t>-</w:t>
            </w:r>
            <w:r>
              <w:rPr>
                <w:vertAlign w:val="superscript"/>
              </w:rPr>
              <w:t>4</w:t>
            </w:r>
          </w:p>
        </w:tc>
        <w:tc>
          <w:tcPr>
            <w:tcW w:w="1134" w:type="dxa"/>
            <w:vAlign w:val="bottom"/>
          </w:tcPr>
          <w:p w14:paraId="2BEDE3F3" w14:textId="08C448BF" w:rsidR="00515943" w:rsidRDefault="00515943" w:rsidP="00515943">
            <w:pPr>
              <w:pStyle w:val="CETBodytext"/>
              <w:numPr>
                <w:ilvl w:val="0"/>
                <w:numId w:val="0"/>
              </w:numPr>
              <w:jc w:val="left"/>
              <w:rPr>
                <w:rFonts w:eastAsia="Arial" w:cs="Arial"/>
                <w:szCs w:val="18"/>
              </w:rPr>
            </w:pPr>
            <w:r w:rsidRPr="00A65DDB">
              <w:t>1</w:t>
            </w:r>
            <w:r w:rsidR="003A7091">
              <w:t>.</w:t>
            </w:r>
            <w:r w:rsidRPr="00A65DDB">
              <w:t>95</w:t>
            </w:r>
            <w:r>
              <w:t xml:space="preserve"> 10</w:t>
            </w:r>
            <w:r w:rsidRPr="002B6BE1">
              <w:rPr>
                <w:vertAlign w:val="superscript"/>
              </w:rPr>
              <w:t>-3</w:t>
            </w:r>
          </w:p>
        </w:tc>
        <w:tc>
          <w:tcPr>
            <w:tcW w:w="1134" w:type="dxa"/>
            <w:vAlign w:val="bottom"/>
          </w:tcPr>
          <w:p w14:paraId="604E9B0C" w14:textId="148BD4AF" w:rsidR="00515943" w:rsidRDefault="00515943" w:rsidP="00515943">
            <w:pPr>
              <w:pStyle w:val="CETBodytext"/>
              <w:numPr>
                <w:ilvl w:val="0"/>
                <w:numId w:val="0"/>
              </w:numPr>
              <w:jc w:val="left"/>
              <w:rPr>
                <w:rFonts w:eastAsia="Arial" w:cs="Arial"/>
                <w:szCs w:val="18"/>
              </w:rPr>
            </w:pPr>
            <w:r w:rsidRPr="00A65DDB">
              <w:t>1</w:t>
            </w:r>
            <w:r w:rsidR="003A7091">
              <w:t>.</w:t>
            </w:r>
            <w:r w:rsidRPr="00A65DDB">
              <w:t>07</w:t>
            </w:r>
            <w:r>
              <w:t xml:space="preserve"> 10</w:t>
            </w:r>
            <w:r w:rsidRPr="002B6BE1">
              <w:rPr>
                <w:vertAlign w:val="superscript"/>
              </w:rPr>
              <w:t>-3</w:t>
            </w:r>
          </w:p>
        </w:tc>
        <w:tc>
          <w:tcPr>
            <w:tcW w:w="1134" w:type="dxa"/>
            <w:vAlign w:val="bottom"/>
          </w:tcPr>
          <w:p w14:paraId="429EF6EC" w14:textId="70C91A83" w:rsidR="00515943" w:rsidRPr="59739B99" w:rsidRDefault="00515943" w:rsidP="00515943">
            <w:pPr>
              <w:pStyle w:val="CETBodytext"/>
              <w:numPr>
                <w:ilvl w:val="0"/>
                <w:numId w:val="0"/>
              </w:numPr>
              <w:jc w:val="left"/>
              <w:rPr>
                <w:rFonts w:eastAsia="Arial" w:cs="Arial"/>
                <w:szCs w:val="18"/>
              </w:rPr>
            </w:pPr>
            <w:r w:rsidRPr="00A65DDB">
              <w:t>2</w:t>
            </w:r>
            <w:r w:rsidR="003A7091">
              <w:t>.</w:t>
            </w:r>
            <w:r w:rsidRPr="00A65DDB">
              <w:t>01</w:t>
            </w:r>
            <w:r>
              <w:t xml:space="preserve"> 10</w:t>
            </w:r>
            <w:r w:rsidRPr="002B6BE1">
              <w:rPr>
                <w:vertAlign w:val="superscript"/>
              </w:rPr>
              <w:t>-3</w:t>
            </w:r>
          </w:p>
        </w:tc>
        <w:tc>
          <w:tcPr>
            <w:tcW w:w="1134" w:type="dxa"/>
            <w:vAlign w:val="bottom"/>
          </w:tcPr>
          <w:p w14:paraId="67739439" w14:textId="680C6177" w:rsidR="00515943" w:rsidRPr="59739B99" w:rsidRDefault="00515943" w:rsidP="00515943">
            <w:pPr>
              <w:pStyle w:val="CETBodytext"/>
              <w:numPr>
                <w:ilvl w:val="0"/>
                <w:numId w:val="0"/>
              </w:numPr>
              <w:jc w:val="left"/>
              <w:rPr>
                <w:rFonts w:eastAsia="Arial" w:cs="Arial"/>
                <w:szCs w:val="18"/>
              </w:rPr>
            </w:pPr>
            <w:r w:rsidRPr="00A65DDB">
              <w:t>2</w:t>
            </w:r>
            <w:r w:rsidR="003A7091">
              <w:t>.</w:t>
            </w:r>
            <w:r w:rsidRPr="00A65DDB">
              <w:t>04</w:t>
            </w:r>
            <w:r>
              <w:t xml:space="preserve"> 10</w:t>
            </w:r>
            <w:r w:rsidRPr="002B6BE1">
              <w:rPr>
                <w:vertAlign w:val="superscript"/>
              </w:rPr>
              <w:t>-3</w:t>
            </w:r>
          </w:p>
        </w:tc>
        <w:tc>
          <w:tcPr>
            <w:tcW w:w="1134" w:type="dxa"/>
            <w:vAlign w:val="bottom"/>
          </w:tcPr>
          <w:p w14:paraId="221C68F0" w14:textId="12F40EF6" w:rsidR="00515943" w:rsidRPr="00BF4D22" w:rsidRDefault="00515943" w:rsidP="00515943">
            <w:pPr>
              <w:pStyle w:val="CETBodytext"/>
              <w:numPr>
                <w:ilvl w:val="0"/>
                <w:numId w:val="0"/>
              </w:numPr>
              <w:jc w:val="left"/>
              <w:rPr>
                <w:rFonts w:eastAsia="Arial" w:cs="Arial"/>
                <w:szCs w:val="18"/>
              </w:rPr>
            </w:pPr>
            <w:r w:rsidRPr="00A65DDB">
              <w:t>2</w:t>
            </w:r>
            <w:r w:rsidR="003A7091">
              <w:t>.</w:t>
            </w:r>
            <w:r w:rsidRPr="00A65DDB">
              <w:t>36</w:t>
            </w:r>
            <w:r>
              <w:t xml:space="preserve"> 10</w:t>
            </w:r>
            <w:r w:rsidRPr="002B6BE1">
              <w:rPr>
                <w:vertAlign w:val="superscript"/>
              </w:rPr>
              <w:t>-3</w:t>
            </w:r>
          </w:p>
        </w:tc>
        <w:tc>
          <w:tcPr>
            <w:tcW w:w="1134" w:type="dxa"/>
            <w:vAlign w:val="bottom"/>
          </w:tcPr>
          <w:p w14:paraId="3F94353C" w14:textId="24C85666" w:rsidR="00515943" w:rsidRPr="00BF4D22" w:rsidRDefault="00515943" w:rsidP="00515943">
            <w:pPr>
              <w:pStyle w:val="CETBodytext"/>
              <w:numPr>
                <w:ilvl w:val="0"/>
                <w:numId w:val="0"/>
              </w:numPr>
              <w:jc w:val="left"/>
              <w:rPr>
                <w:rFonts w:eastAsia="Arial" w:cs="Arial"/>
                <w:szCs w:val="18"/>
              </w:rPr>
            </w:pPr>
            <w:r w:rsidRPr="00A65DDB">
              <w:t>100</w:t>
            </w:r>
          </w:p>
        </w:tc>
      </w:tr>
      <w:tr w:rsidR="00515943" w:rsidRPr="59739B99" w14:paraId="1A859563" w14:textId="66CAB723" w:rsidTr="00515943">
        <w:trPr>
          <w:trHeight w:val="300"/>
        </w:trPr>
        <w:tc>
          <w:tcPr>
            <w:tcW w:w="850" w:type="dxa"/>
            <w:vAlign w:val="bottom"/>
          </w:tcPr>
          <w:p w14:paraId="1BBC1243" w14:textId="6E406E92" w:rsidR="00515943" w:rsidRDefault="00515943" w:rsidP="00515943">
            <w:pPr>
              <w:pStyle w:val="CETBodytext"/>
              <w:numPr>
                <w:ilvl w:val="0"/>
                <w:numId w:val="0"/>
              </w:numPr>
              <w:jc w:val="left"/>
              <w:rPr>
                <w:rFonts w:eastAsia="Arial" w:cs="Arial"/>
                <w:szCs w:val="18"/>
              </w:rPr>
            </w:pPr>
            <w:r w:rsidRPr="00732F05">
              <w:rPr>
                <w:rFonts w:eastAsia="Arial" w:cs="Arial"/>
                <w:szCs w:val="18"/>
              </w:rPr>
              <w:t>PSO</w:t>
            </w:r>
          </w:p>
        </w:tc>
        <w:tc>
          <w:tcPr>
            <w:tcW w:w="1134" w:type="dxa"/>
            <w:vAlign w:val="bottom"/>
          </w:tcPr>
          <w:p w14:paraId="19155BD3" w14:textId="1028FB00" w:rsidR="00515943" w:rsidRDefault="00515943" w:rsidP="00515943">
            <w:pPr>
              <w:pStyle w:val="CETBodytext"/>
              <w:numPr>
                <w:ilvl w:val="0"/>
                <w:numId w:val="0"/>
              </w:numPr>
              <w:jc w:val="left"/>
              <w:rPr>
                <w:rFonts w:eastAsia="Arial" w:cs="Arial"/>
                <w:szCs w:val="18"/>
              </w:rPr>
            </w:pPr>
            <w:r w:rsidRPr="00A65DDB">
              <w:t>1</w:t>
            </w:r>
            <w:r w:rsidR="003A7091">
              <w:t>.</w:t>
            </w:r>
            <w:r w:rsidRPr="00A65DDB">
              <w:t>03</w:t>
            </w:r>
            <w:r>
              <w:t xml:space="preserve"> 10</w:t>
            </w:r>
            <w:r w:rsidRPr="002B6BE1">
              <w:rPr>
                <w:vertAlign w:val="superscript"/>
              </w:rPr>
              <w:t>-3</w:t>
            </w:r>
          </w:p>
        </w:tc>
        <w:tc>
          <w:tcPr>
            <w:tcW w:w="1134" w:type="dxa"/>
            <w:vAlign w:val="bottom"/>
          </w:tcPr>
          <w:p w14:paraId="63706C11" w14:textId="1C9339A0" w:rsidR="00515943" w:rsidRDefault="00515943" w:rsidP="00515943">
            <w:pPr>
              <w:pStyle w:val="CETBodytext"/>
              <w:numPr>
                <w:ilvl w:val="0"/>
                <w:numId w:val="0"/>
              </w:numPr>
              <w:jc w:val="left"/>
              <w:rPr>
                <w:rFonts w:eastAsia="Arial" w:cs="Arial"/>
                <w:szCs w:val="18"/>
              </w:rPr>
            </w:pPr>
            <w:r w:rsidRPr="00A65DDB">
              <w:t>5</w:t>
            </w:r>
            <w:r w:rsidR="003A7091">
              <w:t>.</w:t>
            </w:r>
            <w:r w:rsidRPr="00A65DDB">
              <w:t>03</w:t>
            </w:r>
            <w:r>
              <w:t xml:space="preserve"> 10</w:t>
            </w:r>
            <w:r w:rsidRPr="002B6BE1">
              <w:rPr>
                <w:vertAlign w:val="superscript"/>
              </w:rPr>
              <w:t>-3</w:t>
            </w:r>
          </w:p>
        </w:tc>
        <w:tc>
          <w:tcPr>
            <w:tcW w:w="1134" w:type="dxa"/>
            <w:vAlign w:val="bottom"/>
          </w:tcPr>
          <w:p w14:paraId="6AEEADC7" w14:textId="4A8B7BED" w:rsidR="00515943" w:rsidRDefault="00515943" w:rsidP="00515943">
            <w:pPr>
              <w:pStyle w:val="CETBodytext"/>
              <w:numPr>
                <w:ilvl w:val="0"/>
                <w:numId w:val="0"/>
              </w:numPr>
              <w:jc w:val="left"/>
              <w:rPr>
                <w:rFonts w:eastAsia="Arial" w:cs="Arial"/>
                <w:szCs w:val="18"/>
              </w:rPr>
            </w:pPr>
            <w:r w:rsidRPr="00A65DDB">
              <w:t>-6</w:t>
            </w:r>
            <w:r w:rsidR="003A7091">
              <w:t>.</w:t>
            </w:r>
            <w:r w:rsidRPr="00A65DDB">
              <w:t>96</w:t>
            </w:r>
            <w:r>
              <w:t xml:space="preserve"> 10</w:t>
            </w:r>
            <w:r w:rsidRPr="002B6BE1">
              <w:rPr>
                <w:vertAlign w:val="superscript"/>
              </w:rPr>
              <w:t>-3</w:t>
            </w:r>
          </w:p>
        </w:tc>
        <w:tc>
          <w:tcPr>
            <w:tcW w:w="1134" w:type="dxa"/>
            <w:vAlign w:val="bottom"/>
          </w:tcPr>
          <w:p w14:paraId="618D90D2" w14:textId="36880C96" w:rsidR="00515943" w:rsidRPr="59739B99" w:rsidRDefault="00515943" w:rsidP="00515943">
            <w:pPr>
              <w:pStyle w:val="CETBodytext"/>
              <w:numPr>
                <w:ilvl w:val="0"/>
                <w:numId w:val="0"/>
              </w:numPr>
              <w:jc w:val="left"/>
              <w:rPr>
                <w:rFonts w:eastAsia="Arial" w:cs="Arial"/>
                <w:szCs w:val="18"/>
              </w:rPr>
            </w:pPr>
            <w:r w:rsidRPr="00A65DDB">
              <w:t>2</w:t>
            </w:r>
            <w:r w:rsidR="003A7091">
              <w:t>.</w:t>
            </w:r>
            <w:r w:rsidRPr="00A65DDB">
              <w:t>32</w:t>
            </w:r>
            <w:r>
              <w:t xml:space="preserve"> 10</w:t>
            </w:r>
            <w:r w:rsidRPr="002B6BE1">
              <w:rPr>
                <w:vertAlign w:val="superscript"/>
              </w:rPr>
              <w:t>-3</w:t>
            </w:r>
          </w:p>
        </w:tc>
        <w:tc>
          <w:tcPr>
            <w:tcW w:w="1134" w:type="dxa"/>
            <w:vAlign w:val="bottom"/>
          </w:tcPr>
          <w:p w14:paraId="0EF9A6ED" w14:textId="3D387E84" w:rsidR="00515943" w:rsidRPr="59739B99" w:rsidRDefault="00515943" w:rsidP="00515943">
            <w:pPr>
              <w:pStyle w:val="CETBodytext"/>
              <w:numPr>
                <w:ilvl w:val="0"/>
                <w:numId w:val="0"/>
              </w:numPr>
              <w:jc w:val="left"/>
              <w:rPr>
                <w:rFonts w:eastAsia="Arial" w:cs="Arial"/>
                <w:szCs w:val="18"/>
              </w:rPr>
            </w:pPr>
            <w:r w:rsidRPr="00A65DDB">
              <w:t>2</w:t>
            </w:r>
            <w:r w:rsidR="003A7091">
              <w:t>.</w:t>
            </w:r>
            <w:r w:rsidRPr="00A65DDB">
              <w:t>96</w:t>
            </w:r>
            <w:r>
              <w:t xml:space="preserve"> 10</w:t>
            </w:r>
            <w:r w:rsidRPr="002B6BE1">
              <w:rPr>
                <w:vertAlign w:val="superscript"/>
              </w:rPr>
              <w:t>-3</w:t>
            </w:r>
          </w:p>
        </w:tc>
        <w:tc>
          <w:tcPr>
            <w:tcW w:w="1134" w:type="dxa"/>
            <w:vAlign w:val="bottom"/>
          </w:tcPr>
          <w:p w14:paraId="114A9139" w14:textId="59837E24" w:rsidR="00515943" w:rsidRPr="00BF4D22" w:rsidRDefault="00515943" w:rsidP="00515943">
            <w:pPr>
              <w:pStyle w:val="CETBodytext"/>
              <w:numPr>
                <w:ilvl w:val="0"/>
                <w:numId w:val="0"/>
              </w:numPr>
              <w:jc w:val="left"/>
              <w:rPr>
                <w:rFonts w:eastAsia="Arial" w:cs="Arial"/>
                <w:szCs w:val="18"/>
              </w:rPr>
            </w:pPr>
            <w:r w:rsidRPr="00A65DDB">
              <w:t>3</w:t>
            </w:r>
            <w:r w:rsidR="003A7091">
              <w:t>.</w:t>
            </w:r>
            <w:r w:rsidRPr="00A65DDB">
              <w:t>44</w:t>
            </w:r>
            <w:r>
              <w:t xml:space="preserve"> 10</w:t>
            </w:r>
            <w:r w:rsidRPr="002B6BE1">
              <w:rPr>
                <w:vertAlign w:val="superscript"/>
              </w:rPr>
              <w:t>-</w:t>
            </w:r>
            <w:r>
              <w:rPr>
                <w:vertAlign w:val="superscript"/>
              </w:rPr>
              <w:t>4</w:t>
            </w:r>
          </w:p>
        </w:tc>
        <w:tc>
          <w:tcPr>
            <w:tcW w:w="1134" w:type="dxa"/>
            <w:vAlign w:val="bottom"/>
          </w:tcPr>
          <w:p w14:paraId="0E32BCC8" w14:textId="2EEE724D" w:rsidR="00515943" w:rsidRPr="00BF4D22" w:rsidRDefault="00515943" w:rsidP="00515943">
            <w:pPr>
              <w:pStyle w:val="CETBodytext"/>
              <w:numPr>
                <w:ilvl w:val="0"/>
                <w:numId w:val="0"/>
              </w:numPr>
              <w:jc w:val="left"/>
              <w:rPr>
                <w:rFonts w:eastAsia="Arial" w:cs="Arial"/>
                <w:szCs w:val="18"/>
              </w:rPr>
            </w:pPr>
            <w:r w:rsidRPr="00A65DDB">
              <w:t>100</w:t>
            </w:r>
          </w:p>
        </w:tc>
      </w:tr>
    </w:tbl>
    <w:p w14:paraId="5FA20E38" w14:textId="77777777" w:rsidR="000857F0" w:rsidRPr="00ED1166" w:rsidRDefault="000857F0" w:rsidP="00EA3BBF">
      <w:pPr>
        <w:tabs>
          <w:tab w:val="clear" w:pos="7100"/>
        </w:tabs>
        <w:spacing w:line="276" w:lineRule="auto"/>
        <w:jc w:val="left"/>
        <w:rPr>
          <w:i/>
          <w:iCs/>
          <w:lang w:val="en-US"/>
        </w:rPr>
      </w:pPr>
    </w:p>
    <w:p w14:paraId="70C5A3D3" w14:textId="4B596CFC" w:rsidR="00C7070A" w:rsidRPr="00C341BD" w:rsidRDefault="00C7070A" w:rsidP="00ED1166">
      <w:pPr>
        <w:tabs>
          <w:tab w:val="clear" w:pos="7100"/>
        </w:tabs>
        <w:spacing w:line="22" w:lineRule="atLeast"/>
        <w:jc w:val="left"/>
        <w:rPr>
          <w:i/>
          <w:iCs/>
        </w:rPr>
      </w:pPr>
      <w:r w:rsidRPr="0761191F">
        <w:rPr>
          <w:i/>
          <w:iCs/>
        </w:rPr>
        <w:t>Table 4 - Adjusted parameters for</w:t>
      </w:r>
      <w:r>
        <w:t xml:space="preserve"> K</w:t>
      </w:r>
      <w:r w:rsidRPr="0761191F">
        <w:rPr>
          <w:vertAlign w:val="subscript"/>
        </w:rPr>
        <w:t>0,i</w:t>
      </w:r>
      <w:r>
        <w:t xml:space="preserve"> </w:t>
      </w:r>
      <w:r w:rsidRPr="0761191F">
        <w:rPr>
          <w:i/>
          <w:iCs/>
        </w:rPr>
        <w:t>for the PFO and PSO general models</w:t>
      </w:r>
    </w:p>
    <w:tbl>
      <w:tblPr>
        <w:tblStyle w:val="TabelaSimples-1"/>
        <w:tblW w:w="0" w:type="auto"/>
        <w:tblLayout w:type="fixed"/>
        <w:tblLook w:val="06A0" w:firstRow="1" w:lastRow="0" w:firstColumn="1" w:lastColumn="0" w:noHBand="1" w:noVBand="1"/>
      </w:tblPr>
      <w:tblGrid>
        <w:gridCol w:w="850"/>
        <w:gridCol w:w="850"/>
        <w:gridCol w:w="850"/>
        <w:gridCol w:w="850"/>
        <w:gridCol w:w="850"/>
        <w:gridCol w:w="850"/>
      </w:tblGrid>
      <w:tr w:rsidR="00515943" w14:paraId="45CC219E" w14:textId="1234F537" w:rsidTr="00515943">
        <w:trPr>
          <w:cnfStyle w:val="100000000000" w:firstRow="1" w:lastRow="0" w:firstColumn="0" w:lastColumn="0" w:oddVBand="0" w:evenVBand="0" w:oddHBand="0" w:evenHBand="0" w:firstRowFirstColumn="0" w:firstRowLastColumn="0" w:lastRowFirstColumn="0" w:lastRowLastColumn="0"/>
          <w:trHeight w:val="300"/>
        </w:trPr>
        <w:tc>
          <w:tcPr>
            <w:tcW w:w="850" w:type="dxa"/>
            <w:vAlign w:val="center"/>
          </w:tcPr>
          <w:p w14:paraId="35D0DE1F" w14:textId="1F9D052D" w:rsidR="00515943" w:rsidRPr="00AB66CD" w:rsidRDefault="00515943" w:rsidP="00BB4A06">
            <w:pPr>
              <w:pStyle w:val="CETBodytext"/>
              <w:numPr>
                <w:ilvl w:val="0"/>
                <w:numId w:val="0"/>
              </w:numPr>
              <w:spacing w:line="22" w:lineRule="atLeast"/>
              <w:jc w:val="left"/>
              <w:rPr>
                <w:rFonts w:eastAsia="Arial" w:cs="Arial"/>
                <w:szCs w:val="18"/>
              </w:rPr>
            </w:pPr>
            <w:r>
              <w:rPr>
                <w:rFonts w:eastAsia="Arial" w:cs="Arial"/>
                <w:szCs w:val="18"/>
              </w:rPr>
              <w:t>Model</w:t>
            </w:r>
          </w:p>
        </w:tc>
        <w:tc>
          <w:tcPr>
            <w:tcW w:w="850" w:type="dxa"/>
            <w:vAlign w:val="center"/>
          </w:tcPr>
          <w:p w14:paraId="28E626FA" w14:textId="090C93A4" w:rsidR="00515943" w:rsidRDefault="00515943" w:rsidP="00BB4A06">
            <w:pPr>
              <w:pStyle w:val="CETBodytext"/>
              <w:numPr>
                <w:ilvl w:val="0"/>
                <w:numId w:val="0"/>
              </w:numPr>
              <w:spacing w:line="22" w:lineRule="atLeast"/>
              <w:jc w:val="left"/>
              <w:rPr>
                <w:rFonts w:eastAsia="Arial" w:cs="Arial"/>
                <w:szCs w:val="18"/>
              </w:rPr>
            </w:pPr>
            <w:r>
              <w:rPr>
                <w:rFonts w:eastAsia="Arial" w:cs="Arial"/>
                <w:szCs w:val="18"/>
              </w:rPr>
              <w:t>A</w:t>
            </w:r>
            <w:r w:rsidRPr="001D373D">
              <w:rPr>
                <w:rFonts w:eastAsia="Arial" w:cs="Arial"/>
                <w:szCs w:val="18"/>
                <w:vertAlign w:val="subscript"/>
              </w:rPr>
              <w:t>1</w:t>
            </w:r>
          </w:p>
        </w:tc>
        <w:tc>
          <w:tcPr>
            <w:tcW w:w="850" w:type="dxa"/>
            <w:vAlign w:val="center"/>
          </w:tcPr>
          <w:p w14:paraId="207204E3" w14:textId="4288C296" w:rsidR="00515943" w:rsidRDefault="00515943" w:rsidP="00BB4A06">
            <w:pPr>
              <w:pStyle w:val="CETBodytext"/>
              <w:numPr>
                <w:ilvl w:val="0"/>
                <w:numId w:val="0"/>
              </w:numPr>
              <w:spacing w:line="22" w:lineRule="atLeast"/>
              <w:jc w:val="left"/>
              <w:rPr>
                <w:rFonts w:eastAsia="Arial" w:cs="Arial"/>
                <w:szCs w:val="18"/>
              </w:rPr>
            </w:pPr>
            <w:r>
              <w:rPr>
                <w:rFonts w:eastAsia="Arial" w:cs="Arial"/>
                <w:szCs w:val="18"/>
              </w:rPr>
              <w:t>A</w:t>
            </w:r>
            <w:r w:rsidRPr="001D373D">
              <w:rPr>
                <w:rFonts w:eastAsia="Arial" w:cs="Arial"/>
                <w:szCs w:val="18"/>
                <w:vertAlign w:val="subscript"/>
              </w:rPr>
              <w:t>2</w:t>
            </w:r>
          </w:p>
        </w:tc>
        <w:tc>
          <w:tcPr>
            <w:tcW w:w="850" w:type="dxa"/>
            <w:vAlign w:val="center"/>
          </w:tcPr>
          <w:p w14:paraId="5132378E" w14:textId="139DBD53" w:rsidR="00515943" w:rsidRDefault="00515943" w:rsidP="00BB4A06">
            <w:pPr>
              <w:pStyle w:val="CETBodytext"/>
              <w:numPr>
                <w:ilvl w:val="0"/>
                <w:numId w:val="0"/>
              </w:numPr>
              <w:spacing w:line="22" w:lineRule="atLeast"/>
              <w:jc w:val="left"/>
              <w:rPr>
                <w:rFonts w:eastAsia="Arial" w:cs="Arial"/>
                <w:szCs w:val="18"/>
              </w:rPr>
            </w:pPr>
            <w:r>
              <w:rPr>
                <w:rFonts w:eastAsia="Arial" w:cs="Arial"/>
                <w:szCs w:val="18"/>
              </w:rPr>
              <w:t>A</w:t>
            </w:r>
            <w:r w:rsidRPr="001D373D">
              <w:rPr>
                <w:rFonts w:eastAsia="Arial" w:cs="Arial"/>
                <w:szCs w:val="18"/>
                <w:vertAlign w:val="subscript"/>
              </w:rPr>
              <w:t>3</w:t>
            </w:r>
          </w:p>
        </w:tc>
        <w:tc>
          <w:tcPr>
            <w:tcW w:w="850" w:type="dxa"/>
            <w:vAlign w:val="center"/>
          </w:tcPr>
          <w:p w14:paraId="631B1726" w14:textId="2574E1E9" w:rsidR="00515943" w:rsidRPr="59739B99" w:rsidRDefault="00515943" w:rsidP="00BB4A06">
            <w:pPr>
              <w:pStyle w:val="CETBodytext"/>
              <w:numPr>
                <w:ilvl w:val="0"/>
                <w:numId w:val="0"/>
              </w:numPr>
              <w:spacing w:line="22" w:lineRule="atLeast"/>
              <w:jc w:val="left"/>
              <w:rPr>
                <w:rFonts w:eastAsia="Arial" w:cs="Arial"/>
                <w:szCs w:val="18"/>
              </w:rPr>
            </w:pPr>
            <w:r>
              <w:rPr>
                <w:rFonts w:eastAsia="Arial" w:cs="Arial"/>
                <w:szCs w:val="18"/>
              </w:rPr>
              <w:t>A</w:t>
            </w:r>
            <w:r w:rsidRPr="001D373D">
              <w:rPr>
                <w:rFonts w:eastAsia="Arial" w:cs="Arial"/>
                <w:szCs w:val="18"/>
                <w:vertAlign w:val="subscript"/>
              </w:rPr>
              <w:t>4</w:t>
            </w:r>
          </w:p>
        </w:tc>
        <w:tc>
          <w:tcPr>
            <w:tcW w:w="850" w:type="dxa"/>
            <w:vAlign w:val="center"/>
          </w:tcPr>
          <w:p w14:paraId="2BFA8BA6" w14:textId="100B696F" w:rsidR="00515943" w:rsidRPr="59739B99" w:rsidRDefault="00515943" w:rsidP="00BB4A06">
            <w:pPr>
              <w:pStyle w:val="CETBodytext"/>
              <w:numPr>
                <w:ilvl w:val="0"/>
                <w:numId w:val="0"/>
              </w:numPr>
              <w:spacing w:line="22" w:lineRule="atLeast"/>
              <w:jc w:val="left"/>
              <w:rPr>
                <w:rFonts w:eastAsia="Arial" w:cs="Arial"/>
                <w:szCs w:val="18"/>
              </w:rPr>
            </w:pPr>
            <w:r>
              <w:rPr>
                <w:rFonts w:eastAsia="Arial" w:cs="Arial"/>
                <w:szCs w:val="18"/>
              </w:rPr>
              <w:t>E</w:t>
            </w:r>
          </w:p>
        </w:tc>
      </w:tr>
      <w:tr w:rsidR="00515943" w14:paraId="384049D5" w14:textId="4036DEAC" w:rsidTr="00515943">
        <w:trPr>
          <w:trHeight w:val="300"/>
        </w:trPr>
        <w:tc>
          <w:tcPr>
            <w:tcW w:w="850" w:type="dxa"/>
            <w:vAlign w:val="center"/>
          </w:tcPr>
          <w:p w14:paraId="43327AB9" w14:textId="21636D1E" w:rsidR="00515943" w:rsidRDefault="00515943" w:rsidP="00515943">
            <w:pPr>
              <w:pStyle w:val="CETBodytext"/>
              <w:numPr>
                <w:ilvl w:val="0"/>
                <w:numId w:val="0"/>
              </w:numPr>
              <w:jc w:val="left"/>
              <w:rPr>
                <w:rFonts w:eastAsia="Arial" w:cs="Arial"/>
                <w:szCs w:val="18"/>
              </w:rPr>
            </w:pPr>
            <w:r>
              <w:rPr>
                <w:rFonts w:eastAsia="Arial" w:cs="Arial"/>
                <w:szCs w:val="18"/>
              </w:rPr>
              <w:t>PFO</w:t>
            </w:r>
          </w:p>
        </w:tc>
        <w:tc>
          <w:tcPr>
            <w:tcW w:w="850" w:type="dxa"/>
            <w:vAlign w:val="center"/>
          </w:tcPr>
          <w:p w14:paraId="029ADA43" w14:textId="04373DD3" w:rsidR="00515943" w:rsidRDefault="00515943" w:rsidP="00515943">
            <w:pPr>
              <w:pStyle w:val="CETBodytext"/>
              <w:numPr>
                <w:ilvl w:val="0"/>
                <w:numId w:val="0"/>
              </w:numPr>
              <w:jc w:val="left"/>
              <w:rPr>
                <w:rFonts w:eastAsia="Arial" w:cs="Arial"/>
                <w:szCs w:val="18"/>
              </w:rPr>
            </w:pPr>
            <w:r w:rsidRPr="00A65DDB">
              <w:t>2</w:t>
            </w:r>
            <w:r w:rsidR="003A7091">
              <w:t>.</w:t>
            </w:r>
            <w:r w:rsidRPr="00A65DDB">
              <w:t>5241</w:t>
            </w:r>
          </w:p>
        </w:tc>
        <w:tc>
          <w:tcPr>
            <w:tcW w:w="850" w:type="dxa"/>
            <w:vAlign w:val="center"/>
          </w:tcPr>
          <w:p w14:paraId="09B3E1A8" w14:textId="1A008521" w:rsidR="00515943" w:rsidRDefault="00515943" w:rsidP="00515943">
            <w:pPr>
              <w:pStyle w:val="CETBodytext"/>
              <w:numPr>
                <w:ilvl w:val="0"/>
                <w:numId w:val="0"/>
              </w:numPr>
              <w:jc w:val="left"/>
              <w:rPr>
                <w:rFonts w:eastAsia="Arial" w:cs="Arial"/>
                <w:szCs w:val="18"/>
              </w:rPr>
            </w:pPr>
            <w:r w:rsidRPr="00A65DDB">
              <w:t>-0</w:t>
            </w:r>
            <w:r w:rsidR="003A7091">
              <w:t>.</w:t>
            </w:r>
            <w:r w:rsidRPr="00A65DDB">
              <w:t>0310</w:t>
            </w:r>
          </w:p>
        </w:tc>
        <w:tc>
          <w:tcPr>
            <w:tcW w:w="850" w:type="dxa"/>
            <w:vAlign w:val="center"/>
          </w:tcPr>
          <w:p w14:paraId="54E4AF0B" w14:textId="731D7891" w:rsidR="00515943" w:rsidRDefault="00515943" w:rsidP="00515943">
            <w:pPr>
              <w:pStyle w:val="CETBodytext"/>
              <w:numPr>
                <w:ilvl w:val="0"/>
                <w:numId w:val="0"/>
              </w:numPr>
              <w:jc w:val="left"/>
              <w:rPr>
                <w:rFonts w:eastAsia="Arial" w:cs="Arial"/>
                <w:szCs w:val="18"/>
              </w:rPr>
            </w:pPr>
            <w:r w:rsidRPr="00A65DDB">
              <w:t>1</w:t>
            </w:r>
            <w:r w:rsidR="003A7091">
              <w:t>.</w:t>
            </w:r>
            <w:r w:rsidRPr="00A65DDB">
              <w:t>0869</w:t>
            </w:r>
          </w:p>
        </w:tc>
        <w:tc>
          <w:tcPr>
            <w:tcW w:w="850" w:type="dxa"/>
            <w:vAlign w:val="center"/>
          </w:tcPr>
          <w:p w14:paraId="641C0EA1" w14:textId="5956B45D" w:rsidR="00515943" w:rsidRPr="59739B99" w:rsidRDefault="00515943" w:rsidP="00515943">
            <w:pPr>
              <w:pStyle w:val="CETBodytext"/>
              <w:numPr>
                <w:ilvl w:val="0"/>
                <w:numId w:val="0"/>
              </w:numPr>
              <w:jc w:val="left"/>
              <w:rPr>
                <w:rFonts w:eastAsia="Arial" w:cs="Arial"/>
                <w:szCs w:val="18"/>
              </w:rPr>
            </w:pPr>
            <w:r w:rsidRPr="00A65DDB">
              <w:t>-0</w:t>
            </w:r>
            <w:r w:rsidR="003A7091">
              <w:t>.</w:t>
            </w:r>
            <w:r w:rsidRPr="00A65DDB">
              <w:t>0008</w:t>
            </w:r>
          </w:p>
        </w:tc>
        <w:tc>
          <w:tcPr>
            <w:tcW w:w="850" w:type="dxa"/>
            <w:vAlign w:val="center"/>
          </w:tcPr>
          <w:p w14:paraId="236A18A5" w14:textId="31E0D463" w:rsidR="00515943" w:rsidRPr="59739B99" w:rsidRDefault="00515943" w:rsidP="00515943">
            <w:pPr>
              <w:pStyle w:val="CETBodytext"/>
              <w:numPr>
                <w:ilvl w:val="0"/>
                <w:numId w:val="0"/>
              </w:numPr>
              <w:jc w:val="left"/>
              <w:rPr>
                <w:rFonts w:eastAsia="Arial" w:cs="Arial"/>
                <w:szCs w:val="18"/>
              </w:rPr>
            </w:pPr>
            <w:r w:rsidRPr="00A65DDB">
              <w:t>9</w:t>
            </w:r>
            <w:r w:rsidR="003A7091">
              <w:t>,</w:t>
            </w:r>
            <w:r w:rsidRPr="00A65DDB">
              <w:t>220</w:t>
            </w:r>
            <w:r w:rsidR="003A7091">
              <w:t>.</w:t>
            </w:r>
            <w:r w:rsidRPr="00A65DDB">
              <w:t>2</w:t>
            </w:r>
          </w:p>
        </w:tc>
      </w:tr>
      <w:tr w:rsidR="00515943" w14:paraId="1B018CD0" w14:textId="41EA3AB0" w:rsidTr="00515943">
        <w:trPr>
          <w:trHeight w:val="300"/>
        </w:trPr>
        <w:tc>
          <w:tcPr>
            <w:tcW w:w="850" w:type="dxa"/>
            <w:vAlign w:val="center"/>
          </w:tcPr>
          <w:p w14:paraId="155D4CB2" w14:textId="213B5356" w:rsidR="00515943" w:rsidRDefault="00515943" w:rsidP="00515943">
            <w:pPr>
              <w:pStyle w:val="CETBodytext"/>
              <w:numPr>
                <w:ilvl w:val="0"/>
                <w:numId w:val="0"/>
              </w:numPr>
              <w:jc w:val="left"/>
              <w:rPr>
                <w:rFonts w:eastAsia="Arial" w:cs="Arial"/>
                <w:szCs w:val="18"/>
              </w:rPr>
            </w:pPr>
            <w:r>
              <w:rPr>
                <w:rFonts w:eastAsia="Arial" w:cs="Arial"/>
                <w:szCs w:val="18"/>
              </w:rPr>
              <w:t>PSO</w:t>
            </w:r>
          </w:p>
        </w:tc>
        <w:tc>
          <w:tcPr>
            <w:tcW w:w="850" w:type="dxa"/>
            <w:vAlign w:val="center"/>
          </w:tcPr>
          <w:p w14:paraId="3753F3C0" w14:textId="26A30AFA" w:rsidR="00515943" w:rsidRDefault="00515943" w:rsidP="00515943">
            <w:pPr>
              <w:pStyle w:val="CETBodytext"/>
              <w:numPr>
                <w:ilvl w:val="0"/>
                <w:numId w:val="0"/>
              </w:numPr>
              <w:jc w:val="left"/>
              <w:rPr>
                <w:rFonts w:eastAsia="Arial" w:cs="Arial"/>
                <w:szCs w:val="18"/>
              </w:rPr>
            </w:pPr>
            <w:r w:rsidRPr="00A65DDB">
              <w:t>2</w:t>
            </w:r>
            <w:r w:rsidR="003A7091">
              <w:t>.</w:t>
            </w:r>
            <w:r w:rsidRPr="00A65DDB">
              <w:t>4807</w:t>
            </w:r>
          </w:p>
        </w:tc>
        <w:tc>
          <w:tcPr>
            <w:tcW w:w="850" w:type="dxa"/>
            <w:vAlign w:val="center"/>
          </w:tcPr>
          <w:p w14:paraId="2ABAD13C" w14:textId="15FE0C26" w:rsidR="00515943" w:rsidRDefault="00515943" w:rsidP="00515943">
            <w:pPr>
              <w:pStyle w:val="CETBodytext"/>
              <w:numPr>
                <w:ilvl w:val="0"/>
                <w:numId w:val="0"/>
              </w:numPr>
              <w:jc w:val="left"/>
              <w:rPr>
                <w:rFonts w:eastAsia="Arial" w:cs="Arial"/>
                <w:szCs w:val="18"/>
              </w:rPr>
            </w:pPr>
            <w:r w:rsidRPr="00A65DDB">
              <w:t>-0</w:t>
            </w:r>
            <w:r w:rsidR="003A7091">
              <w:t>.</w:t>
            </w:r>
            <w:r w:rsidRPr="00A65DDB">
              <w:t>0286</w:t>
            </w:r>
          </w:p>
        </w:tc>
        <w:tc>
          <w:tcPr>
            <w:tcW w:w="850" w:type="dxa"/>
            <w:vAlign w:val="center"/>
          </w:tcPr>
          <w:p w14:paraId="5BF9C562" w14:textId="48D5E27D" w:rsidR="00515943" w:rsidRDefault="00515943" w:rsidP="00515943">
            <w:pPr>
              <w:pStyle w:val="CETBodytext"/>
              <w:numPr>
                <w:ilvl w:val="0"/>
                <w:numId w:val="0"/>
              </w:numPr>
              <w:jc w:val="left"/>
              <w:rPr>
                <w:rFonts w:eastAsia="Arial" w:cs="Arial"/>
                <w:szCs w:val="18"/>
              </w:rPr>
            </w:pPr>
            <w:r w:rsidRPr="00A65DDB">
              <w:t>1</w:t>
            </w:r>
            <w:r w:rsidR="003A7091">
              <w:t>.</w:t>
            </w:r>
            <w:r w:rsidRPr="00A65DDB">
              <w:t>7171</w:t>
            </w:r>
          </w:p>
        </w:tc>
        <w:tc>
          <w:tcPr>
            <w:tcW w:w="850" w:type="dxa"/>
            <w:vAlign w:val="center"/>
          </w:tcPr>
          <w:p w14:paraId="18163199" w14:textId="63597187" w:rsidR="00515943" w:rsidRPr="59739B99" w:rsidRDefault="00515943" w:rsidP="00515943">
            <w:pPr>
              <w:pStyle w:val="CETBodytext"/>
              <w:numPr>
                <w:ilvl w:val="0"/>
                <w:numId w:val="0"/>
              </w:numPr>
              <w:jc w:val="left"/>
              <w:rPr>
                <w:rFonts w:eastAsia="Arial" w:cs="Arial"/>
                <w:szCs w:val="18"/>
              </w:rPr>
            </w:pPr>
            <w:r w:rsidRPr="00A65DDB">
              <w:t>-0</w:t>
            </w:r>
            <w:r w:rsidR="003A7091">
              <w:t>.</w:t>
            </w:r>
            <w:r w:rsidRPr="00A65DDB">
              <w:t>0007</w:t>
            </w:r>
          </w:p>
        </w:tc>
        <w:tc>
          <w:tcPr>
            <w:tcW w:w="850" w:type="dxa"/>
            <w:vAlign w:val="center"/>
          </w:tcPr>
          <w:p w14:paraId="26796AC3" w14:textId="714CFF08" w:rsidR="00515943" w:rsidRPr="59739B99" w:rsidRDefault="00515943" w:rsidP="00515943">
            <w:pPr>
              <w:pStyle w:val="CETBodytext"/>
              <w:numPr>
                <w:ilvl w:val="0"/>
                <w:numId w:val="0"/>
              </w:numPr>
              <w:jc w:val="left"/>
              <w:rPr>
                <w:rFonts w:eastAsia="Arial" w:cs="Arial"/>
                <w:szCs w:val="18"/>
              </w:rPr>
            </w:pPr>
            <w:r w:rsidRPr="00A65DDB">
              <w:t>4</w:t>
            </w:r>
            <w:r w:rsidR="003A7091">
              <w:t>,</w:t>
            </w:r>
            <w:r w:rsidRPr="00A65DDB">
              <w:t>688</w:t>
            </w:r>
            <w:r w:rsidR="003A7091">
              <w:t>.</w:t>
            </w:r>
            <w:r w:rsidRPr="00A65DDB">
              <w:t>9</w:t>
            </w:r>
          </w:p>
        </w:tc>
      </w:tr>
    </w:tbl>
    <w:p w14:paraId="58865DFF" w14:textId="77777777" w:rsidR="001D373D" w:rsidRDefault="001D373D" w:rsidP="00EB23E1">
      <w:pPr>
        <w:pStyle w:val="CETBodytext"/>
        <w:rPr>
          <w:lang w:val="pt-BR"/>
        </w:rPr>
      </w:pPr>
    </w:p>
    <w:p w14:paraId="54D9BB40" w14:textId="514AD28A" w:rsidR="001921D2" w:rsidRDefault="000874F5" w:rsidP="00EB23E1">
      <w:pPr>
        <w:pStyle w:val="CETBodytext"/>
        <w:rPr>
          <w:lang w:val="en-GB"/>
        </w:rPr>
      </w:pPr>
      <w:r w:rsidRPr="000874F5">
        <w:rPr>
          <w:lang w:val="en-GB"/>
        </w:rPr>
        <w:t>After analy</w:t>
      </w:r>
      <w:r>
        <w:rPr>
          <w:lang w:val="en-GB"/>
        </w:rPr>
        <w:t>s</w:t>
      </w:r>
      <w:r w:rsidRPr="000874F5">
        <w:rPr>
          <w:lang w:val="en-GB"/>
        </w:rPr>
        <w:t>ing 84 data points from the adsorption kinetics, errors were calculated for each model</w:t>
      </w:r>
      <w:r w:rsidR="00515131">
        <w:rPr>
          <w:lang w:val="en-GB"/>
        </w:rPr>
        <w:t xml:space="preserve"> with Eq(10)</w:t>
      </w:r>
      <w:r w:rsidRPr="000874F5">
        <w:rPr>
          <w:lang w:val="en-GB"/>
        </w:rPr>
        <w:t>. The histogram in Fig</w:t>
      </w:r>
      <w:r w:rsidR="009738F6">
        <w:rPr>
          <w:lang w:val="en-GB"/>
        </w:rPr>
        <w:t>ure</w:t>
      </w:r>
      <w:r w:rsidRPr="000874F5">
        <w:rPr>
          <w:lang w:val="en-GB"/>
        </w:rPr>
        <w:t xml:space="preserve"> </w:t>
      </w:r>
      <w:r w:rsidR="009738F6">
        <w:rPr>
          <w:lang w:val="en-GB"/>
        </w:rPr>
        <w:t>2a</w:t>
      </w:r>
      <w:r w:rsidRPr="000874F5">
        <w:rPr>
          <w:lang w:val="en-GB"/>
        </w:rPr>
        <w:t xml:space="preserve"> reveals that PSO model has a higher concentration of errors in the 0–5% range, signifying superior accuracy compared to the PFO model. Although both models exhibit similar distributions in the 5–20% error range, the PFO model shows a larger proportion of errors exceeding 20%. This observation underscores that, while both models are applicable, the PSO model demonstrates greater reliability and precision for describing the adsorption process under the studied conditions</w:t>
      </w:r>
      <w:r>
        <w:rPr>
          <w:lang w:val="en-GB"/>
        </w:rPr>
        <w:t>.</w:t>
      </w:r>
    </w:p>
    <w:p w14:paraId="6FD51DA1" w14:textId="4531FC02" w:rsidR="00320E07" w:rsidRDefault="00791ABF" w:rsidP="00EB23E1">
      <w:pPr>
        <w:pStyle w:val="CETBodytext"/>
        <w:rPr>
          <w:lang w:val="en-GB"/>
        </w:rPr>
      </w:pPr>
      <w:r w:rsidRPr="0044227E">
        <w:rPr>
          <w:lang w:val="en-GB"/>
        </w:rPr>
        <w:t>The most significant deviations in kinetic measurements occur in the initial stages (2 to 10 minutes),</w:t>
      </w:r>
      <w:r>
        <w:rPr>
          <w:lang w:val="en-GB"/>
        </w:rPr>
        <w:t xml:space="preserve"> as shown in Figure 2b,</w:t>
      </w:r>
      <w:r w:rsidRPr="0044227E">
        <w:rPr>
          <w:lang w:val="en-GB"/>
        </w:rPr>
        <w:t xml:space="preserve"> primarily due to filtration delays after adsorption. These delays impact short-time measurements, causing higher relative errors. As the process progresses, this effect diminishes, and the errors become less significant in later </w:t>
      </w:r>
      <w:r w:rsidRPr="008441F9">
        <w:rPr>
          <w:lang w:val="en-GB"/>
        </w:rPr>
        <w:t>stages.</w:t>
      </w:r>
      <w:r w:rsidRPr="008441F9">
        <w:rPr>
          <w:lang w:val="en-GB"/>
        </w:rPr>
        <w:tab/>
      </w:r>
    </w:p>
    <w:p w14:paraId="4F20C694" w14:textId="659CAAD6" w:rsidR="002E2328" w:rsidRPr="002E2328" w:rsidRDefault="00320E07" w:rsidP="002E2328">
      <w:pPr>
        <w:pStyle w:val="CETBodytext"/>
        <w:rPr>
          <w:rFonts w:ascii="Times New Roman" w:hAnsi="Times New Roman"/>
          <w:sz w:val="24"/>
          <w:szCs w:val="24"/>
          <w:lang w:eastAsia="pt-BR"/>
        </w:rPr>
      </w:pPr>
      <w:r w:rsidRPr="00320E07">
        <w:rPr>
          <w:noProof/>
          <w:lang w:val="pt-BR"/>
        </w:rPr>
        <w:lastRenderedPageBreak/>
        <w:drawing>
          <wp:inline distT="0" distB="0" distL="0" distR="0" wp14:anchorId="3B6D1C39" wp14:editId="3694203B">
            <wp:extent cx="2809034" cy="2370125"/>
            <wp:effectExtent l="0" t="0" r="0" b="0"/>
            <wp:docPr id="65794144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3900" cy="2433294"/>
                    </a:xfrm>
                    <a:prstGeom prst="rect">
                      <a:avLst/>
                    </a:prstGeom>
                    <a:noFill/>
                    <a:ln>
                      <a:noFill/>
                    </a:ln>
                  </pic:spPr>
                </pic:pic>
              </a:graphicData>
            </a:graphic>
          </wp:inline>
        </w:drawing>
      </w:r>
      <w:r w:rsidRPr="00320E07">
        <w:rPr>
          <w:rFonts w:ascii="Times New Roman" w:hAnsi="Times New Roman"/>
          <w:sz w:val="24"/>
          <w:szCs w:val="24"/>
          <w:lang w:eastAsia="pt-BR"/>
        </w:rPr>
        <w:t xml:space="preserve"> </w:t>
      </w:r>
      <w:r w:rsidR="002E2328" w:rsidRPr="002E2328">
        <w:rPr>
          <w:rFonts w:ascii="Times New Roman" w:hAnsi="Times New Roman"/>
          <w:noProof/>
          <w:sz w:val="24"/>
          <w:szCs w:val="24"/>
          <w:lang w:val="pt-BR" w:eastAsia="pt-BR"/>
        </w:rPr>
        <w:drawing>
          <wp:inline distT="0" distB="0" distL="0" distR="0" wp14:anchorId="5F36A9E6" wp14:editId="553F832C">
            <wp:extent cx="2704529" cy="2326234"/>
            <wp:effectExtent l="0" t="0" r="635" b="0"/>
            <wp:docPr id="40077171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6183" cy="2387865"/>
                    </a:xfrm>
                    <a:prstGeom prst="rect">
                      <a:avLst/>
                    </a:prstGeom>
                    <a:noFill/>
                    <a:ln>
                      <a:noFill/>
                    </a:ln>
                  </pic:spPr>
                </pic:pic>
              </a:graphicData>
            </a:graphic>
          </wp:inline>
        </w:drawing>
      </w:r>
    </w:p>
    <w:p w14:paraId="581D259F" w14:textId="77E00729" w:rsidR="00515131" w:rsidRDefault="00515131" w:rsidP="00320E07">
      <w:pPr>
        <w:pStyle w:val="CETBodytext"/>
        <w:rPr>
          <w:rStyle w:val="CETCaptionCarattere"/>
          <w:rFonts w:eastAsia="Arial" w:cs="Arial"/>
          <w:iCs/>
          <w:color w:val="000000" w:themeColor="text1"/>
          <w:szCs w:val="18"/>
        </w:rPr>
      </w:pPr>
      <w:r w:rsidRPr="59739B99">
        <w:rPr>
          <w:rStyle w:val="CETCaptionCarattere"/>
          <w:rFonts w:eastAsia="Arial" w:cs="Arial"/>
          <w:iCs/>
          <w:color w:val="000000" w:themeColor="text1"/>
          <w:szCs w:val="18"/>
        </w:rPr>
        <w:t xml:space="preserve">Figure </w:t>
      </w:r>
      <w:r w:rsidR="009738F6">
        <w:rPr>
          <w:rStyle w:val="CETCaptionCarattere"/>
          <w:rFonts w:eastAsia="Arial" w:cs="Arial"/>
          <w:iCs/>
          <w:color w:val="000000" w:themeColor="text1"/>
          <w:szCs w:val="18"/>
        </w:rPr>
        <w:t>2</w:t>
      </w:r>
      <w:r w:rsidRPr="59739B99">
        <w:rPr>
          <w:rStyle w:val="CETCaptionCarattere"/>
          <w:rFonts w:eastAsia="Arial" w:cs="Arial"/>
          <w:iCs/>
          <w:color w:val="000000" w:themeColor="text1"/>
          <w:szCs w:val="18"/>
        </w:rPr>
        <w:t xml:space="preserve">: </w:t>
      </w:r>
      <w:r>
        <w:rPr>
          <w:rStyle w:val="CETCaptionCarattere"/>
          <w:rFonts w:eastAsia="Arial" w:cs="Arial"/>
          <w:iCs/>
          <w:color w:val="000000" w:themeColor="text1"/>
          <w:szCs w:val="18"/>
        </w:rPr>
        <w:t>Histograms of the error distribution among all data (84 points) on (a) and through time for the 6, 9 and 10 kinetic datasets</w:t>
      </w:r>
      <w:r w:rsidR="009738F6">
        <w:rPr>
          <w:rStyle w:val="CETCaptionCarattere"/>
          <w:rFonts w:eastAsia="Arial" w:cs="Arial"/>
          <w:iCs/>
          <w:color w:val="000000" w:themeColor="text1"/>
          <w:szCs w:val="18"/>
        </w:rPr>
        <w:t xml:space="preserve"> on PSO model</w:t>
      </w:r>
      <w:r>
        <w:rPr>
          <w:rStyle w:val="CETCaptionCarattere"/>
          <w:rFonts w:eastAsia="Arial" w:cs="Arial"/>
          <w:iCs/>
          <w:color w:val="000000" w:themeColor="text1"/>
          <w:szCs w:val="18"/>
        </w:rPr>
        <w:t xml:space="preserve"> (b)</w:t>
      </w:r>
    </w:p>
    <w:p w14:paraId="037CD8E3" w14:textId="77777777" w:rsidR="00320E07" w:rsidRDefault="00320E07" w:rsidP="00320E07">
      <w:pPr>
        <w:pStyle w:val="CETBodytext"/>
      </w:pPr>
    </w:p>
    <w:p w14:paraId="6C373ADE" w14:textId="58BCA066" w:rsidR="001921D2" w:rsidRDefault="00645E77" w:rsidP="00C341BD">
      <w:pPr>
        <w:pStyle w:val="CETBodytext"/>
        <w:rPr>
          <w:lang w:val="en-GB"/>
        </w:rPr>
      </w:pPr>
      <w:r w:rsidRPr="2B964A91">
        <w:rPr>
          <w:lang w:val="en-GB"/>
        </w:rPr>
        <w:t>The highest equilibrium adsorption capacity (q</w:t>
      </w:r>
      <w:r w:rsidRPr="2B964A91">
        <w:rPr>
          <w:vertAlign w:val="subscript"/>
          <w:lang w:val="en-GB"/>
        </w:rPr>
        <w:t>eq</w:t>
      </w:r>
      <w:r w:rsidRPr="2B964A91">
        <w:rPr>
          <w:lang w:val="en-GB"/>
        </w:rPr>
        <w:t xml:space="preserve">​) was observed in kinetic dataset </w:t>
      </w:r>
      <w:r w:rsidR="00351F8B" w:rsidRPr="2B964A91">
        <w:rPr>
          <w:lang w:val="en-GB"/>
        </w:rPr>
        <w:t>8</w:t>
      </w:r>
      <w:r w:rsidR="008121AA" w:rsidRPr="2B964A91">
        <w:rPr>
          <w:lang w:val="en-GB"/>
        </w:rPr>
        <w:t xml:space="preserve">, as shown </w:t>
      </w:r>
      <w:r w:rsidR="008A33BB" w:rsidRPr="2B964A91">
        <w:rPr>
          <w:lang w:val="en-GB"/>
        </w:rPr>
        <w:t xml:space="preserve">in Figure </w:t>
      </w:r>
      <w:r w:rsidR="00476965" w:rsidRPr="2B964A91">
        <w:rPr>
          <w:lang w:val="en-GB"/>
        </w:rPr>
        <w:t>3</w:t>
      </w:r>
      <w:r w:rsidR="008A33BB" w:rsidRPr="2B964A91">
        <w:rPr>
          <w:lang w:val="en-GB"/>
        </w:rPr>
        <w:t>a,</w:t>
      </w:r>
      <w:r w:rsidR="00717A48" w:rsidRPr="2B964A91">
        <w:rPr>
          <w:lang w:val="en-GB"/>
        </w:rPr>
        <w:t xml:space="preserve"> </w:t>
      </w:r>
      <w:r w:rsidRPr="2B964A91">
        <w:rPr>
          <w:lang w:val="en-GB"/>
        </w:rPr>
        <w:t>under conditions of C</w:t>
      </w:r>
      <w:r w:rsidR="000874F5" w:rsidRPr="2B964A91">
        <w:rPr>
          <w:vertAlign w:val="subscript"/>
          <w:lang w:val="en-GB"/>
        </w:rPr>
        <w:t>0</w:t>
      </w:r>
      <w:r w:rsidRPr="2B964A91">
        <w:rPr>
          <w:lang w:val="en-GB"/>
        </w:rPr>
        <w:t xml:space="preserve">= 75 mg/L, </w:t>
      </w:r>
      <w:r w:rsidR="00717A48" w:rsidRPr="2B964A91">
        <w:rPr>
          <w:lang w:val="en-GB"/>
        </w:rPr>
        <w:t>SLR</w:t>
      </w:r>
      <w:r w:rsidRPr="2B964A91">
        <w:rPr>
          <w:lang w:val="en-GB"/>
        </w:rPr>
        <w:t xml:space="preserve"> = 1.5, and </w:t>
      </w:r>
      <w:r w:rsidR="5D72FAD2" w:rsidRPr="2B964A91">
        <w:rPr>
          <w:lang w:val="en-GB"/>
        </w:rPr>
        <w:t>4</w:t>
      </w:r>
      <w:r w:rsidRPr="2B964A91">
        <w:rPr>
          <w:lang w:val="en-GB"/>
        </w:rPr>
        <w:t xml:space="preserve">5 °C, reaching </w:t>
      </w:r>
      <w:r w:rsidR="000F7FEC" w:rsidRPr="2B964A91">
        <w:rPr>
          <w:lang w:val="en-GB"/>
        </w:rPr>
        <w:t>58.42</w:t>
      </w:r>
      <w:r w:rsidRPr="2B964A91">
        <w:rPr>
          <w:lang w:val="en-GB"/>
        </w:rPr>
        <w:t xml:space="preserve"> mg/</w:t>
      </w:r>
      <w:r w:rsidR="00B73B09" w:rsidRPr="2B964A91">
        <w:rPr>
          <w:lang w:val="en-GB"/>
        </w:rPr>
        <w:t>g</w:t>
      </w:r>
      <w:r w:rsidRPr="2B964A91">
        <w:rPr>
          <w:lang w:val="en-GB"/>
        </w:rPr>
        <w:t xml:space="preserve">. This dataset achieved a PSO model fit of 92.7%, which, while high, was not the highest among the datasets. Kinetic datasets </w:t>
      </w:r>
      <w:r w:rsidR="003A0DAF" w:rsidRPr="2B964A91">
        <w:rPr>
          <w:lang w:val="en-GB"/>
        </w:rPr>
        <w:t>6</w:t>
      </w:r>
      <w:r w:rsidRPr="2B964A91">
        <w:rPr>
          <w:lang w:val="en-GB"/>
        </w:rPr>
        <w:t xml:space="preserve"> and 1</w:t>
      </w:r>
      <w:r w:rsidR="003A0DAF" w:rsidRPr="2B964A91">
        <w:rPr>
          <w:lang w:val="en-GB"/>
        </w:rPr>
        <w:t>0</w:t>
      </w:r>
      <w:r w:rsidRPr="2B964A91">
        <w:rPr>
          <w:lang w:val="en-GB"/>
        </w:rPr>
        <w:t xml:space="preserve"> demonstrated the strongest adherence to the PSO model, with correlation coefficients of 98.8% and 98.5%, respectively, reflecting the model's predictive robustness</w:t>
      </w:r>
      <w:r w:rsidR="00971DDF" w:rsidRPr="2B964A91">
        <w:rPr>
          <w:lang w:val="en-GB"/>
        </w:rPr>
        <w:t xml:space="preserve"> (Figure 3</w:t>
      </w:r>
      <w:r w:rsidR="00476965" w:rsidRPr="2B964A91">
        <w:rPr>
          <w:lang w:val="en-GB"/>
        </w:rPr>
        <w:t>b)</w:t>
      </w:r>
      <w:r w:rsidRPr="2B964A91">
        <w:rPr>
          <w:lang w:val="en-GB"/>
        </w:rPr>
        <w:t xml:space="preserve">. Conversely, dataset </w:t>
      </w:r>
      <w:r w:rsidR="00C345EF" w:rsidRPr="2B964A91">
        <w:rPr>
          <w:lang w:val="en-GB"/>
        </w:rPr>
        <w:t>12</w:t>
      </w:r>
      <w:r w:rsidR="00971DDF" w:rsidRPr="2B964A91">
        <w:rPr>
          <w:lang w:val="en-GB"/>
        </w:rPr>
        <w:t xml:space="preserve"> (Figure </w:t>
      </w:r>
      <w:r w:rsidR="00476965" w:rsidRPr="2B964A91">
        <w:rPr>
          <w:lang w:val="en-GB"/>
        </w:rPr>
        <w:t>3</w:t>
      </w:r>
      <w:r w:rsidR="00971DDF" w:rsidRPr="2B964A91">
        <w:rPr>
          <w:lang w:val="en-GB"/>
        </w:rPr>
        <w:t>a)</w:t>
      </w:r>
      <w:r w:rsidR="00BA72DE" w:rsidRPr="2B964A91">
        <w:rPr>
          <w:lang w:val="en-GB"/>
        </w:rPr>
        <w:t xml:space="preserve"> </w:t>
      </w:r>
      <w:r w:rsidR="00A63F03" w:rsidRPr="2B964A91">
        <w:rPr>
          <w:lang w:val="en-GB"/>
        </w:rPr>
        <w:t xml:space="preserve">gathered the highest experimental </w:t>
      </w:r>
      <w:r w:rsidR="00BD50FA" w:rsidRPr="2B964A91">
        <w:rPr>
          <w:lang w:val="en-GB"/>
        </w:rPr>
        <w:t>adsorption capacities (86.21 mg/</w:t>
      </w:r>
      <w:r w:rsidR="00CE31AF" w:rsidRPr="2B964A91">
        <w:rPr>
          <w:lang w:val="en-GB"/>
        </w:rPr>
        <w:t>g</w:t>
      </w:r>
      <w:r w:rsidR="00BD50FA" w:rsidRPr="2B964A91">
        <w:rPr>
          <w:lang w:val="en-GB"/>
        </w:rPr>
        <w:t xml:space="preserve"> after </w:t>
      </w:r>
      <w:r w:rsidR="008441F9" w:rsidRPr="2B964A91">
        <w:rPr>
          <w:lang w:val="en-GB"/>
        </w:rPr>
        <w:t>120 min)</w:t>
      </w:r>
      <w:r w:rsidRPr="2B964A91">
        <w:rPr>
          <w:lang w:val="en-GB"/>
        </w:rPr>
        <w:t xml:space="preserve"> had the lowest fit, with a correlation coefficient of 67.8%</w:t>
      </w:r>
      <w:r w:rsidR="006271F7" w:rsidRPr="2B964A91">
        <w:rPr>
          <w:lang w:val="en-GB"/>
        </w:rPr>
        <w:t xml:space="preserve">, </w:t>
      </w:r>
      <w:r w:rsidRPr="2B964A91">
        <w:rPr>
          <w:lang w:val="en-GB"/>
        </w:rPr>
        <w:t>highlighting variability in performance under certain experimental conditions.</w:t>
      </w:r>
    </w:p>
    <w:p w14:paraId="19646BF8" w14:textId="77777777" w:rsidR="008441F9" w:rsidRPr="00E0375A" w:rsidRDefault="008441F9" w:rsidP="00C341BD">
      <w:pPr>
        <w:pStyle w:val="CETBodytext"/>
        <w:rPr>
          <w:lang w:val="en-GB"/>
        </w:rPr>
      </w:pPr>
    </w:p>
    <w:p w14:paraId="4485DC4A" w14:textId="64465471" w:rsidR="00F87087" w:rsidRDefault="00EF0F36" w:rsidP="00C341BD">
      <w:pPr>
        <w:pStyle w:val="CETBodytext"/>
      </w:pPr>
      <w:r w:rsidRPr="00E0375A">
        <w:rPr>
          <w:noProof/>
        </w:rPr>
        <w:drawing>
          <wp:inline distT="0" distB="0" distL="0" distR="0" wp14:anchorId="1C485F65" wp14:editId="237D15B9">
            <wp:extent cx="2808605" cy="2211214"/>
            <wp:effectExtent l="0" t="0" r="0" b="0"/>
            <wp:docPr id="17216206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620679" name=""/>
                    <pic:cNvPicPr/>
                  </pic:nvPicPr>
                  <pic:blipFill>
                    <a:blip r:embed="rId13"/>
                    <a:stretch>
                      <a:fillRect/>
                    </a:stretch>
                  </pic:blipFill>
                  <pic:spPr>
                    <a:xfrm>
                      <a:off x="0" y="0"/>
                      <a:ext cx="2819043" cy="2219432"/>
                    </a:xfrm>
                    <a:prstGeom prst="rect">
                      <a:avLst/>
                    </a:prstGeom>
                  </pic:spPr>
                </pic:pic>
              </a:graphicData>
            </a:graphic>
          </wp:inline>
        </w:drawing>
      </w:r>
      <w:r w:rsidR="00EC2170" w:rsidRPr="00EC2170">
        <w:rPr>
          <w:noProof/>
        </w:rPr>
        <w:t xml:space="preserve"> </w:t>
      </w:r>
      <w:r w:rsidR="009B1BB9" w:rsidRPr="009B1BB9">
        <w:rPr>
          <w:noProof/>
        </w:rPr>
        <w:drawing>
          <wp:inline distT="0" distB="0" distL="0" distR="0" wp14:anchorId="79226490" wp14:editId="682C1E6B">
            <wp:extent cx="2717156" cy="2240331"/>
            <wp:effectExtent l="0" t="0" r="7620" b="7620"/>
            <wp:docPr id="17088211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21116" name=""/>
                    <pic:cNvPicPr/>
                  </pic:nvPicPr>
                  <pic:blipFill>
                    <a:blip r:embed="rId14"/>
                    <a:stretch>
                      <a:fillRect/>
                    </a:stretch>
                  </pic:blipFill>
                  <pic:spPr>
                    <a:xfrm>
                      <a:off x="0" y="0"/>
                      <a:ext cx="2754630" cy="2271229"/>
                    </a:xfrm>
                    <a:prstGeom prst="rect">
                      <a:avLst/>
                    </a:prstGeom>
                  </pic:spPr>
                </pic:pic>
              </a:graphicData>
            </a:graphic>
          </wp:inline>
        </w:drawing>
      </w:r>
    </w:p>
    <w:p w14:paraId="4CCAB94D" w14:textId="3DE216A4" w:rsidR="00476965" w:rsidRPr="001B46ED" w:rsidRDefault="00476965" w:rsidP="4468FCF9">
      <w:pPr>
        <w:pStyle w:val="CETBodytext"/>
        <w:spacing w:line="22" w:lineRule="atLeast"/>
      </w:pPr>
      <w:r w:rsidRPr="4468FCF9">
        <w:rPr>
          <w:i/>
          <w:iCs/>
        </w:rPr>
        <w:t xml:space="preserve">Figure 3: </w:t>
      </w:r>
      <w:r w:rsidR="1607C457" w:rsidRPr="4468FCF9">
        <w:rPr>
          <w:i/>
          <w:iCs/>
        </w:rPr>
        <w:t>Adsorption capacities. Highest values of experimental data vs. PSO model (a),</w:t>
      </w:r>
      <w:r w:rsidR="316BB676" w:rsidRPr="4468FCF9">
        <w:rPr>
          <w:i/>
          <w:iCs/>
        </w:rPr>
        <w:t xml:space="preserve"> </w:t>
      </w:r>
      <w:r w:rsidR="1607C457" w:rsidRPr="4468FCF9">
        <w:rPr>
          <w:i/>
          <w:iCs/>
        </w:rPr>
        <w:t>and</w:t>
      </w:r>
      <w:r w:rsidR="60511540" w:rsidRPr="4468FCF9">
        <w:rPr>
          <w:i/>
          <w:iCs/>
        </w:rPr>
        <w:t xml:space="preserve"> datasets 6 and 10, the</w:t>
      </w:r>
      <w:r w:rsidR="1607C457" w:rsidRPr="4468FCF9">
        <w:rPr>
          <w:i/>
          <w:iCs/>
        </w:rPr>
        <w:t xml:space="preserve"> best fits</w:t>
      </w:r>
      <w:r w:rsidR="06443EBF" w:rsidRPr="4468FCF9">
        <w:rPr>
          <w:i/>
          <w:iCs/>
        </w:rPr>
        <w:t xml:space="preserve"> (b)</w:t>
      </w:r>
    </w:p>
    <w:p w14:paraId="65AB61AB" w14:textId="11EE4239" w:rsidR="00AB66CD" w:rsidRPr="00FD2022" w:rsidRDefault="00692555" w:rsidP="00FA0D36">
      <w:pPr>
        <w:pStyle w:val="CETHeading1"/>
        <w:spacing w:line="22" w:lineRule="atLeast"/>
      </w:pPr>
      <w:r w:rsidRPr="00FD2022">
        <w:t xml:space="preserve"> Conclusions</w:t>
      </w:r>
    </w:p>
    <w:p w14:paraId="68748D63" w14:textId="0FB1DC19" w:rsidR="000857F0" w:rsidRDefault="00692555" w:rsidP="00FA0D36">
      <w:pPr>
        <w:pStyle w:val="CETBodytext"/>
        <w:spacing w:after="200" w:line="22" w:lineRule="atLeast"/>
        <w:rPr>
          <w:lang w:val="en-GB"/>
        </w:rPr>
      </w:pPr>
      <w:r>
        <w:t xml:space="preserve">The study demonstrated the efficacy of both </w:t>
      </w:r>
      <w:r w:rsidR="0044227E">
        <w:t>PFO</w:t>
      </w:r>
      <w:r>
        <w:t xml:space="preserve"> and </w:t>
      </w:r>
      <w:r w:rsidR="0044227E">
        <w:t>PSO</w:t>
      </w:r>
      <w:r>
        <w:t xml:space="preserve"> models in predicting adsorption kinetics (</w:t>
      </w:r>
      <w:r w:rsidR="00130954">
        <w:t>89.6</w:t>
      </w:r>
      <w:r>
        <w:t xml:space="preserve">% and </w:t>
      </w:r>
      <w:r w:rsidR="00100568">
        <w:t>93.3</w:t>
      </w:r>
      <w:r>
        <w:t xml:space="preserve">%). However, the </w:t>
      </w:r>
      <w:r w:rsidR="0044227E">
        <w:t>PSO</w:t>
      </w:r>
      <w:r w:rsidR="00661897">
        <w:t xml:space="preserve"> </w:t>
      </w:r>
      <w:r>
        <w:t>model provided better reliability and lower average errors under most conditions. The interaction of variables such as temperature, concentration, and adsorbent ratio significantly influenced adsorption efficiency, emphasizing the importance of multifactorial approaches in process optimization</w:t>
      </w:r>
      <w:r w:rsidR="00F34F46" w:rsidRPr="2B964A91">
        <w:rPr>
          <w:lang w:val="en-GB"/>
        </w:rPr>
        <w:t xml:space="preserve"> The highest equilibrium adsorption capacity </w:t>
      </w:r>
      <w:r w:rsidR="00645E77" w:rsidRPr="2B964A91">
        <w:rPr>
          <w:lang w:val="en-GB"/>
        </w:rPr>
        <w:t>(q</w:t>
      </w:r>
      <w:r w:rsidR="00645E77" w:rsidRPr="2B964A91">
        <w:rPr>
          <w:vertAlign w:val="subscript"/>
          <w:lang w:val="en-GB"/>
        </w:rPr>
        <w:t>eq</w:t>
      </w:r>
      <w:r w:rsidR="00F34F46" w:rsidRPr="2B964A91">
        <w:rPr>
          <w:lang w:val="en-GB"/>
        </w:rPr>
        <w:t xml:space="preserve">​) was achieved in kinetic dataset </w:t>
      </w:r>
      <w:r w:rsidR="009E0F0B" w:rsidRPr="2B964A91">
        <w:rPr>
          <w:lang w:val="en-GB"/>
        </w:rPr>
        <w:t>8</w:t>
      </w:r>
      <w:r w:rsidR="00F34F46" w:rsidRPr="2B964A91">
        <w:rPr>
          <w:lang w:val="en-GB"/>
        </w:rPr>
        <w:t xml:space="preserve"> under the conditions of an initial concentration (C</w:t>
      </w:r>
      <w:r w:rsidR="00F34F46" w:rsidRPr="2B964A91">
        <w:rPr>
          <w:vertAlign w:val="subscript"/>
          <w:lang w:val="en-GB"/>
        </w:rPr>
        <w:t>o</w:t>
      </w:r>
      <w:r w:rsidR="00F34F46" w:rsidRPr="2B964A91">
        <w:rPr>
          <w:lang w:val="en-GB"/>
        </w:rPr>
        <w:t>) of 75 mg/L, a solid-liquid ratio (</w:t>
      </w:r>
      <w:r w:rsidR="00717A48" w:rsidRPr="2B964A91">
        <w:rPr>
          <w:lang w:val="en-GB"/>
        </w:rPr>
        <w:t>SLR</w:t>
      </w:r>
      <w:r w:rsidR="00F34F46" w:rsidRPr="2B964A91">
        <w:rPr>
          <w:lang w:val="en-GB"/>
        </w:rPr>
        <w:t xml:space="preserve">) of 1.5, and a temperature of </w:t>
      </w:r>
      <w:r w:rsidR="6EAC2787" w:rsidRPr="2B964A91">
        <w:rPr>
          <w:lang w:val="en-GB"/>
        </w:rPr>
        <w:t>4</w:t>
      </w:r>
      <w:r w:rsidR="00F34F46" w:rsidRPr="2B964A91">
        <w:rPr>
          <w:lang w:val="en-GB"/>
        </w:rPr>
        <w:t xml:space="preserve">5 °C, reaching a value of </w:t>
      </w:r>
      <w:r w:rsidR="004525FE" w:rsidRPr="2B964A91">
        <w:rPr>
          <w:lang w:val="en-GB"/>
        </w:rPr>
        <w:t>58.42</w:t>
      </w:r>
      <w:r w:rsidR="00717A48" w:rsidRPr="2B964A91">
        <w:rPr>
          <w:lang w:val="en-GB"/>
        </w:rPr>
        <w:t xml:space="preserve"> </w:t>
      </w:r>
      <w:r w:rsidR="00F34F46" w:rsidRPr="2B964A91">
        <w:rPr>
          <w:lang w:val="en-GB"/>
        </w:rPr>
        <w:t>mg/</w:t>
      </w:r>
      <w:r w:rsidR="00CE31AF" w:rsidRPr="2B964A91">
        <w:rPr>
          <w:lang w:val="en-GB"/>
        </w:rPr>
        <w:t>g</w:t>
      </w:r>
      <w:r>
        <w:t xml:space="preserve">. </w:t>
      </w:r>
      <w:r w:rsidR="000874F5" w:rsidRPr="2B964A91">
        <w:rPr>
          <w:lang w:val="en-GB"/>
        </w:rPr>
        <w:t>Experimental errors at early stages due to filtration delays highlight the need for improved short-time kinetic methodologies. The study's generalized kinetic model predicts adsorption rates based on equilibrium capacity (q</w:t>
      </w:r>
      <w:r w:rsidR="000874F5" w:rsidRPr="2B964A91">
        <w:rPr>
          <w:vertAlign w:val="subscript"/>
          <w:lang w:val="en-GB"/>
        </w:rPr>
        <w:t>eq</w:t>
      </w:r>
      <w:r w:rsidR="000874F5" w:rsidRPr="2B964A91">
        <w:rPr>
          <w:lang w:val="en-GB"/>
        </w:rPr>
        <w:t>), reducing extensive experimental work by relying on minimal inputs for accurate results.</w:t>
      </w:r>
    </w:p>
    <w:p w14:paraId="01E10768" w14:textId="77777777" w:rsidR="00633E39" w:rsidRDefault="00633E39" w:rsidP="00FA0D36">
      <w:pPr>
        <w:pStyle w:val="CETBodytext"/>
        <w:spacing w:after="200" w:line="22" w:lineRule="atLeast"/>
        <w:rPr>
          <w:lang w:val="en-GB"/>
        </w:rPr>
      </w:pPr>
    </w:p>
    <w:p w14:paraId="5E2A6006" w14:textId="47EFB304" w:rsidR="005634EC" w:rsidRPr="00B57B36" w:rsidRDefault="005634EC" w:rsidP="00FA0D36">
      <w:pPr>
        <w:pStyle w:val="CETAcknowledgementstitle"/>
        <w:spacing w:line="22" w:lineRule="atLeast"/>
      </w:pPr>
      <w:r w:rsidRPr="00B57B36">
        <w:lastRenderedPageBreak/>
        <w:t>Acknowledgments</w:t>
      </w:r>
    </w:p>
    <w:p w14:paraId="3E9B04A7" w14:textId="6898E0A9" w:rsidR="006F2219" w:rsidRDefault="005634EC" w:rsidP="00FA0D36">
      <w:pPr>
        <w:pStyle w:val="CETBodytext"/>
        <w:spacing w:line="22" w:lineRule="atLeast"/>
      </w:pPr>
      <w:r w:rsidRPr="005634EC">
        <w:rPr>
          <w:lang w:val="en-GB"/>
        </w:rPr>
        <w:t>Acknowledgment is extended to the Coordination for the Improvement of Higher Education Personnel (CAPES) for providing financial support, which was fundamental to the progress and completion of this research.</w:t>
      </w:r>
    </w:p>
    <w:p w14:paraId="17868553" w14:textId="554F6484" w:rsidR="11A0AF8A" w:rsidRDefault="11A0AF8A" w:rsidP="00FA0D36">
      <w:pPr>
        <w:pStyle w:val="CETReference"/>
        <w:spacing w:line="22" w:lineRule="atLeast"/>
        <w:rPr>
          <w:rFonts w:eastAsia="Arial" w:cs="Arial"/>
          <w:bCs/>
          <w:color w:val="000000" w:themeColor="text1"/>
          <w:szCs w:val="18"/>
          <w:lang w:val="en-US"/>
        </w:rPr>
      </w:pPr>
      <w:r w:rsidRPr="0761191F">
        <w:rPr>
          <w:rFonts w:eastAsia="Arial" w:cs="Arial"/>
          <w:bCs/>
          <w:color w:val="000000" w:themeColor="text1"/>
          <w:szCs w:val="18"/>
        </w:rPr>
        <w:t>References</w:t>
      </w:r>
    </w:p>
    <w:p w14:paraId="25203C52" w14:textId="57836848" w:rsidR="11A0AF8A" w:rsidRDefault="11A0AF8A" w:rsidP="00FA0D36">
      <w:pPr>
        <w:pStyle w:val="CETReferencetext"/>
        <w:spacing w:line="22" w:lineRule="atLeast"/>
        <w:rPr>
          <w:rFonts w:eastAsia="Arial" w:cs="Arial"/>
          <w:szCs w:val="18"/>
        </w:rPr>
      </w:pPr>
      <w:r w:rsidRPr="0761191F">
        <w:rPr>
          <w:rFonts w:eastAsia="Arial" w:cs="Arial"/>
          <w:color w:val="000000" w:themeColor="text1"/>
          <w:szCs w:val="18"/>
        </w:rPr>
        <w:t>A</w:t>
      </w:r>
      <w:r w:rsidR="59F5E0BB" w:rsidRPr="0761191F">
        <w:t xml:space="preserve">hmed, S., Gogina, E., Makisha, N. &amp; Gulshin, I., 2024. Date palm branches-based activated carbon: Synthesis via H3PO4 activation, response surface methodology, application for phenol adsorption, kinetics, and isotherm modeling. Journal of Water Process Engineering, 68. Available at: </w:t>
      </w:r>
      <w:hyperlink r:id="rId15">
        <w:r w:rsidR="59F5E0BB" w:rsidRPr="0761191F">
          <w:rPr>
            <w:rStyle w:val="Hyperlink"/>
          </w:rPr>
          <w:t>https://doi.org/10.1016/j.jwpe.2024.106305</w:t>
        </w:r>
      </w:hyperlink>
      <w:r w:rsidR="59F5E0BB" w:rsidRPr="0761191F">
        <w:t>.</w:t>
      </w:r>
    </w:p>
    <w:p w14:paraId="7782DB70" w14:textId="4B2C1FEF" w:rsidR="59F5E0BB" w:rsidRDefault="59F5E0BB" w:rsidP="00FA0D36">
      <w:pPr>
        <w:pStyle w:val="CETReferencetext"/>
        <w:spacing w:line="22" w:lineRule="atLeast"/>
        <w:rPr>
          <w:rFonts w:eastAsia="Arial" w:cs="Arial"/>
          <w:szCs w:val="18"/>
        </w:rPr>
      </w:pPr>
      <w:r w:rsidRPr="0761191F">
        <w:t xml:space="preserve">Bibi, A., Bibi, S., Abu-Dieyeh, M. &amp; Al-Ghouti, M. A., 2023. Towards sustainable physiochemical and biological techniques for the remediation of phenol from wastewater: A review on current applications and removal mechanisms. </w:t>
      </w:r>
      <w:r w:rsidRPr="0761191F">
        <w:rPr>
          <w:i/>
          <w:iCs/>
        </w:rPr>
        <w:t>Journal of Cleaner Production</w:t>
      </w:r>
      <w:r w:rsidRPr="0761191F">
        <w:t xml:space="preserve">, 417. Available at: </w:t>
      </w:r>
      <w:hyperlink r:id="rId16">
        <w:r w:rsidRPr="0761191F">
          <w:rPr>
            <w:rStyle w:val="Hyperlink"/>
          </w:rPr>
          <w:t>https://doi.org/10.1016/j.jclepro.2023.137810</w:t>
        </w:r>
      </w:hyperlink>
      <w:r w:rsidRPr="0761191F">
        <w:t>.</w:t>
      </w:r>
    </w:p>
    <w:p w14:paraId="3DAF63BB" w14:textId="470E667D" w:rsidR="1288EB3E" w:rsidRDefault="1288EB3E" w:rsidP="00FA0D36">
      <w:pPr>
        <w:pStyle w:val="CETReferencetext"/>
        <w:spacing w:line="22" w:lineRule="atLeast"/>
      </w:pPr>
      <w:r w:rsidRPr="0761191F">
        <w:t xml:space="preserve">Bosch, D., Rendl, L., Plangger, F., Hofmann, A., &amp; Langergraber, G. (2021). Chemical activation of biochar with H3PO4 – A comparison between two reactor types. </w:t>
      </w:r>
      <w:r w:rsidRPr="0761191F">
        <w:rPr>
          <w:i/>
          <w:iCs/>
        </w:rPr>
        <w:t>Chemical Engineering Transactions, 86</w:t>
      </w:r>
      <w:r w:rsidRPr="0761191F">
        <w:t xml:space="preserve">, 7–12. </w:t>
      </w:r>
      <w:hyperlink r:id="rId17">
        <w:r w:rsidRPr="0761191F">
          <w:rPr>
            <w:rStyle w:val="Hyperlink"/>
          </w:rPr>
          <w:t>https://doi.org/10.3303/CET2186002</w:t>
        </w:r>
      </w:hyperlink>
    </w:p>
    <w:p w14:paraId="79BDF207" w14:textId="73989478" w:rsidR="59F5E0BB" w:rsidRPr="00C60750" w:rsidRDefault="59F5E0BB" w:rsidP="00FA0D36">
      <w:pPr>
        <w:pStyle w:val="CETReferencetext"/>
        <w:spacing w:line="22" w:lineRule="atLeast"/>
        <w:rPr>
          <w:rFonts w:eastAsia="Arial" w:cs="Arial"/>
          <w:szCs w:val="18"/>
          <w:lang w:val="pt-BR"/>
        </w:rPr>
      </w:pPr>
      <w:r w:rsidRPr="0761191F">
        <w:rPr>
          <w:rFonts w:eastAsia="Arial" w:cs="Arial"/>
          <w:szCs w:val="18"/>
        </w:rPr>
        <w:t xml:space="preserve">Box, G. E. P. &amp; Behnken, D. W., 1960. Some new three-level designs for the study of quantitative variables. </w:t>
      </w:r>
      <w:r w:rsidRPr="00C60750">
        <w:rPr>
          <w:rFonts w:eastAsia="Arial" w:cs="Arial"/>
          <w:i/>
          <w:iCs/>
          <w:szCs w:val="18"/>
          <w:lang w:val="pt-BR"/>
        </w:rPr>
        <w:t>Technometrics</w:t>
      </w:r>
      <w:r w:rsidRPr="00C60750">
        <w:rPr>
          <w:rFonts w:eastAsia="Arial" w:cs="Arial"/>
          <w:szCs w:val="18"/>
          <w:lang w:val="pt-BR"/>
        </w:rPr>
        <w:t xml:space="preserve">, 2(4), pp. 455–475. Available at: </w:t>
      </w:r>
      <w:hyperlink r:id="rId18">
        <w:r w:rsidRPr="00C60750">
          <w:rPr>
            <w:rStyle w:val="Hyperlink"/>
            <w:rFonts w:eastAsia="Arial" w:cs="Arial"/>
            <w:szCs w:val="18"/>
            <w:lang w:val="pt-BR"/>
          </w:rPr>
          <w:t>https://doi.org/10.1080/00401706.1960.10489912</w:t>
        </w:r>
      </w:hyperlink>
      <w:r w:rsidRPr="00C60750">
        <w:rPr>
          <w:rFonts w:eastAsia="Arial" w:cs="Arial"/>
          <w:szCs w:val="18"/>
          <w:lang w:val="pt-BR"/>
        </w:rPr>
        <w:t>.</w:t>
      </w:r>
    </w:p>
    <w:p w14:paraId="79C82976" w14:textId="31E4B514" w:rsidR="59F5E0BB" w:rsidRDefault="59F5E0BB" w:rsidP="00FA0D36">
      <w:pPr>
        <w:pStyle w:val="CETReferencetext"/>
        <w:spacing w:line="22" w:lineRule="atLeast"/>
        <w:rPr>
          <w:rFonts w:eastAsia="Arial" w:cs="Arial"/>
          <w:szCs w:val="18"/>
        </w:rPr>
      </w:pPr>
      <w:r w:rsidRPr="00C60750">
        <w:rPr>
          <w:rFonts w:eastAsia="Arial" w:cs="Arial"/>
          <w:szCs w:val="18"/>
          <w:lang w:val="pt-BR"/>
        </w:rPr>
        <w:t xml:space="preserve">De Carvalho Rodrigues, V., Da Silva, M. V., Dos Santos, A. R., Zielinski, A. A. F. &amp; Haminiuk, C. W. I., 2015. </w:t>
      </w:r>
      <w:r w:rsidRPr="0761191F">
        <w:rPr>
          <w:rFonts w:eastAsia="Arial" w:cs="Arial"/>
          <w:szCs w:val="18"/>
        </w:rPr>
        <w:t xml:space="preserve">Evaluation of hot and cold extraction of bioactive compounds in teas. </w:t>
      </w:r>
      <w:r w:rsidRPr="0761191F">
        <w:rPr>
          <w:rFonts w:eastAsia="Arial" w:cs="Arial"/>
          <w:i/>
          <w:iCs/>
          <w:szCs w:val="18"/>
        </w:rPr>
        <w:t>International Journal of Food Science and Technology</w:t>
      </w:r>
      <w:r w:rsidRPr="0761191F">
        <w:rPr>
          <w:rFonts w:eastAsia="Arial" w:cs="Arial"/>
          <w:szCs w:val="18"/>
        </w:rPr>
        <w:t xml:space="preserve">, 50(9), pp. 2038–2045. Available at: </w:t>
      </w:r>
      <w:hyperlink r:id="rId19">
        <w:r w:rsidRPr="0761191F">
          <w:rPr>
            <w:rStyle w:val="Hyperlink"/>
            <w:rFonts w:eastAsia="Arial" w:cs="Arial"/>
            <w:szCs w:val="18"/>
          </w:rPr>
          <w:t>https://doi.org/10.1111/ijfs.12858</w:t>
        </w:r>
      </w:hyperlink>
      <w:r w:rsidRPr="0761191F">
        <w:rPr>
          <w:rFonts w:eastAsia="Arial" w:cs="Arial"/>
          <w:szCs w:val="18"/>
        </w:rPr>
        <w:t>.</w:t>
      </w:r>
    </w:p>
    <w:p w14:paraId="01F9AFE8" w14:textId="0492ED60" w:rsidR="59F5E0BB" w:rsidRDefault="59F5E0BB" w:rsidP="00FA0D36">
      <w:pPr>
        <w:pStyle w:val="CETReferencetext"/>
        <w:spacing w:line="22" w:lineRule="atLeast"/>
        <w:rPr>
          <w:rFonts w:eastAsia="Arial" w:cs="Arial"/>
          <w:szCs w:val="18"/>
        </w:rPr>
      </w:pPr>
      <w:r w:rsidRPr="00C60750">
        <w:rPr>
          <w:rFonts w:eastAsia="Arial" w:cs="Arial"/>
          <w:szCs w:val="18"/>
          <w:lang w:val="pt-BR"/>
        </w:rPr>
        <w:t xml:space="preserve">Heck, C. I. &amp; De Mejia, E. G., 2007. </w:t>
      </w:r>
      <w:r w:rsidRPr="0761191F">
        <w:rPr>
          <w:rFonts w:eastAsia="Arial" w:cs="Arial"/>
          <w:szCs w:val="18"/>
        </w:rPr>
        <w:t xml:space="preserve">Yerba mate tea (Ilex paraguariensis): A comprehensive review on chemistry, health implications, and technological considerations. </w:t>
      </w:r>
      <w:r w:rsidRPr="0761191F">
        <w:rPr>
          <w:rFonts w:eastAsia="Arial" w:cs="Arial"/>
          <w:i/>
          <w:iCs/>
          <w:szCs w:val="18"/>
        </w:rPr>
        <w:t>Journal of Food Science</w:t>
      </w:r>
      <w:r w:rsidRPr="0761191F">
        <w:rPr>
          <w:rFonts w:eastAsia="Arial" w:cs="Arial"/>
          <w:szCs w:val="18"/>
        </w:rPr>
        <w:t xml:space="preserve">, 72(9). Available at: </w:t>
      </w:r>
      <w:hyperlink r:id="rId20">
        <w:r w:rsidRPr="0761191F">
          <w:rPr>
            <w:rStyle w:val="Hyperlink"/>
            <w:rFonts w:eastAsia="Arial" w:cs="Arial"/>
            <w:szCs w:val="18"/>
          </w:rPr>
          <w:t>https://doi.org/10.1111/j.1750-3841.2007.00535.x</w:t>
        </w:r>
      </w:hyperlink>
      <w:r w:rsidRPr="0761191F">
        <w:rPr>
          <w:rFonts w:eastAsia="Arial" w:cs="Arial"/>
          <w:szCs w:val="18"/>
        </w:rPr>
        <w:t>.</w:t>
      </w:r>
    </w:p>
    <w:p w14:paraId="11D787AF" w14:textId="0C0A75A6" w:rsidR="59F5E0BB" w:rsidRDefault="59F5E0BB" w:rsidP="00FA0D36">
      <w:pPr>
        <w:pStyle w:val="CETReferencetext"/>
        <w:spacing w:line="22" w:lineRule="atLeast"/>
        <w:rPr>
          <w:rFonts w:eastAsia="Arial" w:cs="Arial"/>
          <w:szCs w:val="18"/>
        </w:rPr>
      </w:pPr>
      <w:r w:rsidRPr="0761191F">
        <w:rPr>
          <w:rFonts w:eastAsia="Arial" w:cs="Arial"/>
          <w:szCs w:val="18"/>
        </w:rPr>
        <w:t xml:space="preserve">Ho, Y. S. &amp; Mckay, G., 1999. Pseudo-second order model for sorption processes. </w:t>
      </w:r>
      <w:r w:rsidRPr="0761191F">
        <w:rPr>
          <w:rFonts w:eastAsia="Arial" w:cs="Arial"/>
          <w:i/>
          <w:iCs/>
          <w:szCs w:val="18"/>
        </w:rPr>
        <w:t>Process Biochemistry</w:t>
      </w:r>
      <w:r w:rsidRPr="0761191F">
        <w:rPr>
          <w:rFonts w:eastAsia="Arial" w:cs="Arial"/>
          <w:szCs w:val="18"/>
        </w:rPr>
        <w:t>, 34.</w:t>
      </w:r>
    </w:p>
    <w:p w14:paraId="56F0DCB9" w14:textId="38AB741E" w:rsidR="59F5E0BB" w:rsidRDefault="59F5E0BB" w:rsidP="00FA0D36">
      <w:pPr>
        <w:pStyle w:val="CETReferencetext"/>
        <w:spacing w:line="22" w:lineRule="atLeast"/>
        <w:rPr>
          <w:rFonts w:eastAsia="Arial" w:cs="Arial"/>
          <w:szCs w:val="18"/>
        </w:rPr>
      </w:pPr>
      <w:r w:rsidRPr="0761191F">
        <w:rPr>
          <w:rFonts w:eastAsia="Arial" w:cs="Arial"/>
          <w:szCs w:val="18"/>
        </w:rPr>
        <w:t xml:space="preserve">Hoseinzadeh Hesas, R., Arami-Niya, A., Wan Daud, W. M. A. &amp; Sahu, J. N., 2015. Microwave-assisted production of activated carbons from oil palm shell in the presence of CO2 or N2 for CO2 adsorption. </w:t>
      </w:r>
      <w:r w:rsidRPr="0761191F">
        <w:rPr>
          <w:rFonts w:eastAsia="Arial" w:cs="Arial"/>
          <w:i/>
          <w:iCs/>
          <w:szCs w:val="18"/>
        </w:rPr>
        <w:t>Journal of Industrial and Engineering Chemistry</w:t>
      </w:r>
      <w:r w:rsidRPr="0761191F">
        <w:rPr>
          <w:rFonts w:eastAsia="Arial" w:cs="Arial"/>
          <w:szCs w:val="18"/>
        </w:rPr>
        <w:t xml:space="preserve">, 24, pp. 196–205. Available at: </w:t>
      </w:r>
      <w:hyperlink r:id="rId21">
        <w:r w:rsidRPr="0761191F">
          <w:rPr>
            <w:rStyle w:val="Hyperlink"/>
            <w:rFonts w:eastAsia="Arial" w:cs="Arial"/>
            <w:szCs w:val="18"/>
          </w:rPr>
          <w:t>https://doi.org/10.1016/j.jiec.2014.09.029</w:t>
        </w:r>
      </w:hyperlink>
      <w:r w:rsidRPr="0761191F">
        <w:rPr>
          <w:rFonts w:eastAsia="Arial" w:cs="Arial"/>
          <w:szCs w:val="18"/>
        </w:rPr>
        <w:t>.</w:t>
      </w:r>
    </w:p>
    <w:p w14:paraId="5ECD2BB1" w14:textId="114C7E32" w:rsidR="59F5E0BB" w:rsidRDefault="59F5E0BB" w:rsidP="00FA0D36">
      <w:pPr>
        <w:pStyle w:val="CETReferencetext"/>
        <w:spacing w:line="22" w:lineRule="atLeast"/>
        <w:rPr>
          <w:rFonts w:eastAsia="Arial" w:cs="Arial"/>
          <w:szCs w:val="18"/>
        </w:rPr>
      </w:pPr>
      <w:r w:rsidRPr="00C60750">
        <w:rPr>
          <w:rFonts w:eastAsia="Arial" w:cs="Arial"/>
          <w:szCs w:val="18"/>
          <w:lang w:val="pt-BR"/>
        </w:rPr>
        <w:t xml:space="preserve">Jensen, S. &amp; Zanoelo, É. F., 2013. </w:t>
      </w:r>
      <w:r w:rsidRPr="0761191F">
        <w:rPr>
          <w:rFonts w:eastAsia="Arial" w:cs="Arial"/>
          <w:szCs w:val="18"/>
        </w:rPr>
        <w:t xml:space="preserve">Kinetics of aqueous extraction of mate (Ilex paraguariensis) leaves. </w:t>
      </w:r>
      <w:r w:rsidRPr="0761191F">
        <w:rPr>
          <w:rFonts w:eastAsia="Arial" w:cs="Arial"/>
          <w:i/>
          <w:iCs/>
          <w:szCs w:val="18"/>
        </w:rPr>
        <w:t>Journal of Food Process Engineering</w:t>
      </w:r>
      <w:r w:rsidRPr="0761191F">
        <w:rPr>
          <w:rFonts w:eastAsia="Arial" w:cs="Arial"/>
          <w:szCs w:val="18"/>
        </w:rPr>
        <w:t xml:space="preserve">, 36(2), pp. 220–227. Available at: </w:t>
      </w:r>
      <w:hyperlink r:id="rId22">
        <w:r w:rsidRPr="0761191F">
          <w:rPr>
            <w:rStyle w:val="Hyperlink"/>
            <w:rFonts w:eastAsia="Arial" w:cs="Arial"/>
            <w:szCs w:val="18"/>
          </w:rPr>
          <w:t>https://doi.org/10.1111/j.1745-4530.2012.00675.x</w:t>
        </w:r>
      </w:hyperlink>
      <w:r w:rsidRPr="0761191F">
        <w:rPr>
          <w:rFonts w:eastAsia="Arial" w:cs="Arial"/>
          <w:szCs w:val="18"/>
        </w:rPr>
        <w:t>.</w:t>
      </w:r>
    </w:p>
    <w:p w14:paraId="1DD364D2" w14:textId="4F2E30DC" w:rsidR="59F5E0BB" w:rsidRDefault="59F5E0BB" w:rsidP="00FA0D36">
      <w:pPr>
        <w:pStyle w:val="CETReferencetext"/>
        <w:spacing w:line="22" w:lineRule="atLeast"/>
        <w:rPr>
          <w:rFonts w:eastAsia="Arial" w:cs="Arial"/>
          <w:szCs w:val="18"/>
        </w:rPr>
      </w:pPr>
      <w:r w:rsidRPr="0761191F">
        <w:rPr>
          <w:rFonts w:eastAsia="Arial" w:cs="Arial"/>
          <w:szCs w:val="18"/>
        </w:rPr>
        <w:t xml:space="preserve">Lin, J. &amp; Wang, L., 2009. Comparison between linear and non-linear forms of pseudo-first-order and pseudo-second-order adsorption kinetic models for the removal of methylene blue by activated carbon. </w:t>
      </w:r>
      <w:r w:rsidRPr="0761191F">
        <w:rPr>
          <w:rFonts w:eastAsia="Arial" w:cs="Arial"/>
          <w:i/>
          <w:iCs/>
          <w:szCs w:val="18"/>
        </w:rPr>
        <w:t>Frontiers of Environmental Science and Engineering in China</w:t>
      </w:r>
      <w:r w:rsidRPr="0761191F">
        <w:rPr>
          <w:rFonts w:eastAsia="Arial" w:cs="Arial"/>
          <w:szCs w:val="18"/>
        </w:rPr>
        <w:t xml:space="preserve">, 3(3), pp. 320–324. Available at: </w:t>
      </w:r>
      <w:hyperlink r:id="rId23">
        <w:r w:rsidRPr="0761191F">
          <w:rPr>
            <w:rStyle w:val="Hyperlink"/>
            <w:rFonts w:eastAsia="Arial" w:cs="Arial"/>
            <w:szCs w:val="18"/>
          </w:rPr>
          <w:t>https://doi.org/10.1007/s11783-009-0030-7</w:t>
        </w:r>
      </w:hyperlink>
      <w:r w:rsidRPr="0761191F">
        <w:rPr>
          <w:rFonts w:eastAsia="Arial" w:cs="Arial"/>
          <w:szCs w:val="18"/>
        </w:rPr>
        <w:t>.</w:t>
      </w:r>
    </w:p>
    <w:p w14:paraId="22F8D468" w14:textId="7797423C" w:rsidR="59F5E0BB" w:rsidRDefault="59F5E0BB" w:rsidP="00FA0D36">
      <w:pPr>
        <w:pStyle w:val="CETReferencetext"/>
        <w:spacing w:line="22" w:lineRule="atLeast"/>
        <w:rPr>
          <w:rFonts w:eastAsia="Arial" w:cs="Arial"/>
          <w:szCs w:val="18"/>
        </w:rPr>
      </w:pPr>
      <w:r w:rsidRPr="00C60750">
        <w:rPr>
          <w:rFonts w:eastAsia="Arial" w:cs="Arial"/>
          <w:szCs w:val="18"/>
          <w:lang w:val="pt-BR"/>
        </w:rPr>
        <w:t xml:space="preserve">Lorigooini, Z., Jamshidi-Kia, F. &amp; Hosseini, Z., 2020. </w:t>
      </w:r>
      <w:r w:rsidRPr="0761191F">
        <w:rPr>
          <w:rFonts w:eastAsia="Arial" w:cs="Arial"/>
          <w:szCs w:val="18"/>
        </w:rPr>
        <w:t xml:space="preserve">Analysis of aromatic acids (phenolic acids and hydroxycinnamic acids). In </w:t>
      </w:r>
      <w:r w:rsidRPr="0761191F">
        <w:rPr>
          <w:rFonts w:eastAsia="Arial" w:cs="Arial"/>
          <w:i/>
          <w:iCs/>
          <w:szCs w:val="18"/>
        </w:rPr>
        <w:t>Recent Advances in Natural Products Analysis</w:t>
      </w:r>
      <w:r w:rsidRPr="0761191F">
        <w:rPr>
          <w:rFonts w:eastAsia="Arial" w:cs="Arial"/>
          <w:szCs w:val="18"/>
        </w:rPr>
        <w:t xml:space="preserve">. Elsevier, pp. 199–219. Available at: </w:t>
      </w:r>
      <w:hyperlink r:id="rId24">
        <w:r w:rsidRPr="0761191F">
          <w:rPr>
            <w:rStyle w:val="Hyperlink"/>
            <w:rFonts w:eastAsia="Arial" w:cs="Arial"/>
            <w:szCs w:val="18"/>
          </w:rPr>
          <w:t>https://doi.org/10.1016/B978-0-12-816455-6.00004-4</w:t>
        </w:r>
      </w:hyperlink>
      <w:r w:rsidRPr="0761191F">
        <w:rPr>
          <w:rFonts w:eastAsia="Arial" w:cs="Arial"/>
          <w:szCs w:val="18"/>
        </w:rPr>
        <w:t>.</w:t>
      </w:r>
    </w:p>
    <w:p w14:paraId="11E33E2F" w14:textId="7D43FD83" w:rsidR="59F5E0BB" w:rsidRDefault="59F5E0BB" w:rsidP="00FA0D36">
      <w:pPr>
        <w:pStyle w:val="CETReferencetext"/>
        <w:spacing w:line="22" w:lineRule="atLeast"/>
        <w:rPr>
          <w:rFonts w:eastAsia="Arial" w:cs="Arial"/>
          <w:szCs w:val="18"/>
        </w:rPr>
      </w:pPr>
      <w:r w:rsidRPr="0761191F">
        <w:rPr>
          <w:rFonts w:eastAsia="Arial" w:cs="Arial"/>
          <w:szCs w:val="18"/>
        </w:rPr>
        <w:t xml:space="preserve">MAXIMIZE MARKET RESEARCH, 2023. Phenolic Antioxidant Market – </w:t>
      </w:r>
      <w:r w:rsidRPr="0761191F">
        <w:rPr>
          <w:rFonts w:eastAsia="Arial" w:cs="Arial"/>
          <w:i/>
          <w:iCs/>
          <w:szCs w:val="18"/>
        </w:rPr>
        <w:t>Global Industry Analysis and Forecast</w:t>
      </w:r>
      <w:r w:rsidRPr="0761191F">
        <w:rPr>
          <w:rFonts w:eastAsia="Arial" w:cs="Arial"/>
          <w:szCs w:val="18"/>
        </w:rPr>
        <w:t xml:space="preserve"> (2024-2030). Available at: </w:t>
      </w:r>
      <w:hyperlink r:id="rId25">
        <w:r w:rsidRPr="0761191F">
          <w:rPr>
            <w:rStyle w:val="Hyperlink"/>
            <w:rFonts w:eastAsia="Arial" w:cs="Arial"/>
            <w:szCs w:val="18"/>
          </w:rPr>
          <w:t>https://www.maximizemarketresearch.com/market-report/global-phenolic-antioxidant-market/25444/</w:t>
        </w:r>
      </w:hyperlink>
      <w:r w:rsidRPr="0761191F">
        <w:rPr>
          <w:rFonts w:eastAsia="Arial" w:cs="Arial"/>
          <w:szCs w:val="18"/>
        </w:rPr>
        <w:t>.</w:t>
      </w:r>
    </w:p>
    <w:p w14:paraId="60A4E429" w14:textId="4B0423E3" w:rsidR="59F5E0BB" w:rsidRDefault="59F5E0BB" w:rsidP="00FA0D36">
      <w:pPr>
        <w:pStyle w:val="CETReferencetext"/>
        <w:spacing w:line="22" w:lineRule="atLeast"/>
        <w:rPr>
          <w:rFonts w:eastAsia="Arial" w:cs="Arial"/>
          <w:szCs w:val="18"/>
        </w:rPr>
      </w:pPr>
      <w:r w:rsidRPr="00C60750">
        <w:rPr>
          <w:rFonts w:eastAsia="Arial" w:cs="Arial"/>
          <w:szCs w:val="18"/>
          <w:lang w:val="pt-BR"/>
        </w:rPr>
        <w:t xml:space="preserve">Melo, J. M., Lütke, S. F., Igansi, A. V., Franco, D. S. P., Vicenti, J. R. M., Dotto, G. L., Pinto, L. A. A., Cadaval, T. R. S. &amp; Felipe, C. A. S., 2024. </w:t>
      </w:r>
      <w:r w:rsidRPr="0761191F">
        <w:rPr>
          <w:rFonts w:eastAsia="Arial" w:cs="Arial"/>
          <w:szCs w:val="18"/>
        </w:rPr>
        <w:t xml:space="preserve">Mass transfer and equilibrium modelings of phenol adsorption on activated carbon from olive stone. </w:t>
      </w:r>
      <w:r w:rsidRPr="0761191F">
        <w:rPr>
          <w:rFonts w:eastAsia="Arial" w:cs="Arial"/>
          <w:i/>
          <w:iCs/>
          <w:szCs w:val="18"/>
        </w:rPr>
        <w:t>Colloids and Surfaces A: Physicochemical and Engineering Aspects</w:t>
      </w:r>
      <w:r w:rsidRPr="0761191F">
        <w:rPr>
          <w:rFonts w:eastAsia="Arial" w:cs="Arial"/>
          <w:szCs w:val="18"/>
        </w:rPr>
        <w:t xml:space="preserve">, 680. Available at: </w:t>
      </w:r>
      <w:hyperlink r:id="rId26">
        <w:r w:rsidRPr="0761191F">
          <w:rPr>
            <w:rStyle w:val="Hyperlink"/>
            <w:rFonts w:eastAsia="Arial" w:cs="Arial"/>
            <w:szCs w:val="18"/>
          </w:rPr>
          <w:t>https://doi.org/10.1016/j.colsurfa.2023.132628</w:t>
        </w:r>
      </w:hyperlink>
      <w:r w:rsidRPr="0761191F">
        <w:rPr>
          <w:rFonts w:eastAsia="Arial" w:cs="Arial"/>
          <w:szCs w:val="18"/>
        </w:rPr>
        <w:t>.</w:t>
      </w:r>
    </w:p>
    <w:p w14:paraId="0515BDBC" w14:textId="758E9625" w:rsidR="59F5E0BB" w:rsidRDefault="59F5E0BB" w:rsidP="00FA0D36">
      <w:pPr>
        <w:pStyle w:val="CETReferencetext"/>
        <w:spacing w:line="22" w:lineRule="atLeast"/>
        <w:rPr>
          <w:rFonts w:eastAsia="Arial" w:cs="Arial"/>
          <w:szCs w:val="18"/>
        </w:rPr>
      </w:pPr>
      <w:r w:rsidRPr="0761191F">
        <w:rPr>
          <w:rFonts w:eastAsia="Arial" w:cs="Arial"/>
          <w:szCs w:val="18"/>
        </w:rPr>
        <w:t xml:space="preserve">Sellaoui, L., Kehili, M., Lima, E. C., Thue, P. S., Bonilla-Petriciolet, A., Lamine, A. Ben, Dotto, G. L. &amp; Erto, A., 2019. Adsorption of phenol on microwave-assisted activated carbons: Modelling and interpretation. </w:t>
      </w:r>
      <w:r w:rsidRPr="0761191F">
        <w:rPr>
          <w:rFonts w:eastAsia="Arial" w:cs="Arial"/>
          <w:i/>
          <w:iCs/>
          <w:szCs w:val="18"/>
        </w:rPr>
        <w:t>Journal of Molecular Liquids</w:t>
      </w:r>
      <w:r w:rsidRPr="0761191F">
        <w:rPr>
          <w:rFonts w:eastAsia="Arial" w:cs="Arial"/>
          <w:szCs w:val="18"/>
        </w:rPr>
        <w:t xml:space="preserve">, 274, pp. 309–314. Available at: </w:t>
      </w:r>
      <w:hyperlink r:id="rId27">
        <w:r w:rsidRPr="0761191F">
          <w:rPr>
            <w:rStyle w:val="Hyperlink"/>
            <w:rFonts w:eastAsia="Arial" w:cs="Arial"/>
            <w:szCs w:val="18"/>
          </w:rPr>
          <w:t>https://doi.org/10.1016/j.molliq.2018.10.098</w:t>
        </w:r>
      </w:hyperlink>
      <w:r w:rsidRPr="0761191F">
        <w:rPr>
          <w:rFonts w:eastAsia="Arial" w:cs="Arial"/>
          <w:szCs w:val="18"/>
        </w:rPr>
        <w:t>.</w:t>
      </w:r>
    </w:p>
    <w:p w14:paraId="44CFF4DC" w14:textId="05AF3450" w:rsidR="59F5E0BB" w:rsidRPr="00C60750" w:rsidRDefault="59F5E0BB" w:rsidP="00FA0D36">
      <w:pPr>
        <w:pStyle w:val="CETReferencetext"/>
        <w:spacing w:line="22" w:lineRule="atLeast"/>
        <w:rPr>
          <w:rFonts w:eastAsia="Arial" w:cs="Arial"/>
          <w:szCs w:val="18"/>
          <w:lang w:val="pt-BR"/>
        </w:rPr>
      </w:pPr>
      <w:r w:rsidRPr="0761191F">
        <w:rPr>
          <w:rFonts w:eastAsia="Arial" w:cs="Arial"/>
          <w:szCs w:val="18"/>
        </w:rPr>
        <w:t xml:space="preserve">Singleton, V. L., Orthofer, R. &amp; Lamuela-Raventós, R. M., 1999. Analysis of total phenols and other oxidation substrates and antioxidants by means of Folin-Ciocalteu reagent. </w:t>
      </w:r>
      <w:r w:rsidRPr="00C60750">
        <w:rPr>
          <w:rFonts w:eastAsia="Arial" w:cs="Arial"/>
          <w:i/>
          <w:iCs/>
          <w:szCs w:val="18"/>
          <w:lang w:val="pt-BR"/>
        </w:rPr>
        <w:t>Methods in Enzymology</w:t>
      </w:r>
      <w:r w:rsidRPr="00C60750">
        <w:rPr>
          <w:rFonts w:eastAsia="Arial" w:cs="Arial"/>
          <w:szCs w:val="18"/>
          <w:lang w:val="pt-BR"/>
        </w:rPr>
        <w:t>, 299, pp. 152–178.</w:t>
      </w:r>
    </w:p>
    <w:p w14:paraId="2B53C31C" w14:textId="77777777" w:rsidR="00067DD3" w:rsidRDefault="3140A6FD" w:rsidP="00FA0D36">
      <w:pPr>
        <w:pStyle w:val="CETReferencetext"/>
        <w:spacing w:line="22" w:lineRule="atLeast"/>
        <w:rPr>
          <w:rFonts w:eastAsia="Arial" w:cs="Arial"/>
          <w:szCs w:val="18"/>
        </w:rPr>
      </w:pPr>
      <w:r w:rsidRPr="00C60750">
        <w:rPr>
          <w:rFonts w:eastAsia="Arial" w:cs="Arial"/>
          <w:szCs w:val="18"/>
          <w:lang w:val="pt-BR"/>
        </w:rPr>
        <w:t>V</w:t>
      </w:r>
      <w:r w:rsidR="59F5E0BB" w:rsidRPr="00C60750">
        <w:rPr>
          <w:rFonts w:eastAsia="Arial" w:cs="Arial"/>
          <w:szCs w:val="18"/>
          <w:lang w:val="pt-BR"/>
        </w:rPr>
        <w:t xml:space="preserve">ieira, M. A., Maraschin, M., Pagliosa, C. M., Podestá, R., de Simas, K. N., Rockenbach, I. I., Amboni, R. D. de M. C. &amp; Amante, E. R., 2010. </w:t>
      </w:r>
      <w:r w:rsidR="59F5E0BB" w:rsidRPr="0761191F">
        <w:rPr>
          <w:rFonts w:eastAsia="Arial" w:cs="Arial"/>
          <w:szCs w:val="18"/>
        </w:rPr>
        <w:t xml:space="preserve">Phenolic acids and methylxanthines composition and antioxidant properties of mate (Ilex paraguariensis) residue. </w:t>
      </w:r>
      <w:r w:rsidR="59F5E0BB" w:rsidRPr="0761191F">
        <w:rPr>
          <w:rFonts w:eastAsia="Arial" w:cs="Arial"/>
          <w:i/>
          <w:iCs/>
          <w:szCs w:val="18"/>
        </w:rPr>
        <w:t>Journal of Food Science</w:t>
      </w:r>
      <w:r w:rsidR="59F5E0BB" w:rsidRPr="0761191F">
        <w:rPr>
          <w:rFonts w:eastAsia="Arial" w:cs="Arial"/>
          <w:szCs w:val="18"/>
        </w:rPr>
        <w:t xml:space="preserve">, 75(3). Available at: </w:t>
      </w:r>
      <w:hyperlink r:id="rId28">
        <w:r w:rsidR="59F5E0BB" w:rsidRPr="0761191F">
          <w:rPr>
            <w:rStyle w:val="Hyperlink"/>
            <w:rFonts w:eastAsia="Arial" w:cs="Arial"/>
            <w:szCs w:val="18"/>
          </w:rPr>
          <w:t>https://doi.org/10.1111/j.1750-3841.2010.01548.x</w:t>
        </w:r>
      </w:hyperlink>
      <w:r w:rsidR="59F5E0BB" w:rsidRPr="0761191F">
        <w:rPr>
          <w:rFonts w:eastAsia="Arial" w:cs="Arial"/>
          <w:szCs w:val="18"/>
        </w:rPr>
        <w:t>.</w:t>
      </w:r>
    </w:p>
    <w:p w14:paraId="28E8379D" w14:textId="408B2546" w:rsidR="00C52C3C" w:rsidRDefault="59F5E0BB" w:rsidP="00FA0D36">
      <w:pPr>
        <w:pStyle w:val="CETReferencetext"/>
        <w:spacing w:line="22" w:lineRule="atLeast"/>
        <w:rPr>
          <w:rFonts w:eastAsia="Arial" w:cs="Arial"/>
          <w:szCs w:val="18"/>
        </w:rPr>
      </w:pPr>
      <w:r w:rsidRPr="00067DD3">
        <w:rPr>
          <w:rFonts w:eastAsia="Arial" w:cs="Arial"/>
          <w:szCs w:val="18"/>
          <w:lang w:val="en-US"/>
        </w:rPr>
        <w:t xml:space="preserve">Xu, C. C., Wang, B., Pu, Y. Q., Tao, J. S. &amp; Zhang, T., 2017. </w:t>
      </w:r>
      <w:r w:rsidRPr="00F31F53">
        <w:rPr>
          <w:rFonts w:eastAsia="Arial" w:cs="Arial"/>
          <w:szCs w:val="18"/>
          <w:lang w:val="en-US"/>
        </w:rPr>
        <w:t>Advances in extraction and analysis of phenolic com</w:t>
      </w:r>
      <w:r w:rsidRPr="0761191F">
        <w:rPr>
          <w:rFonts w:eastAsia="Arial" w:cs="Arial"/>
          <w:szCs w:val="18"/>
        </w:rPr>
        <w:t xml:space="preserve">pounds from plant materials. </w:t>
      </w:r>
      <w:r w:rsidRPr="0761191F">
        <w:rPr>
          <w:rFonts w:eastAsia="Arial" w:cs="Arial"/>
          <w:i/>
          <w:iCs/>
          <w:szCs w:val="18"/>
        </w:rPr>
        <w:t>Chinese Journal of Natural Medicines</w:t>
      </w:r>
      <w:r w:rsidRPr="0761191F">
        <w:rPr>
          <w:rFonts w:eastAsia="Arial" w:cs="Arial"/>
          <w:szCs w:val="18"/>
        </w:rPr>
        <w:t xml:space="preserve">, 15(10), pp. 721–731. Available at: </w:t>
      </w:r>
      <w:hyperlink r:id="rId29">
        <w:r w:rsidRPr="0761191F">
          <w:rPr>
            <w:rStyle w:val="Hyperlink"/>
            <w:rFonts w:eastAsia="Arial" w:cs="Arial"/>
            <w:szCs w:val="18"/>
          </w:rPr>
          <w:t>https://doi.org/10.1016/S1875-5364(17)30103-6</w:t>
        </w:r>
      </w:hyperlink>
      <w:r w:rsidRPr="0761191F">
        <w:rPr>
          <w:rFonts w:eastAsia="Arial" w:cs="Arial"/>
          <w:szCs w:val="18"/>
        </w:rPr>
        <w:t>.</w:t>
      </w:r>
    </w:p>
    <w:p w14:paraId="4C74FCF0" w14:textId="77777777" w:rsidR="00633E39" w:rsidRDefault="00633E39" w:rsidP="00633E39">
      <w:pPr>
        <w:pStyle w:val="CETReferencetext"/>
        <w:spacing w:line="22" w:lineRule="atLeast"/>
        <w:ind w:left="0" w:firstLine="0"/>
      </w:pPr>
    </w:p>
    <w:sectPr w:rsidR="00633E39" w:rsidSect="00DC73EE">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B71A" w14:textId="77777777" w:rsidR="00044E48" w:rsidRDefault="00044E48" w:rsidP="004F5E36">
      <w:r>
        <w:separator/>
      </w:r>
    </w:p>
  </w:endnote>
  <w:endnote w:type="continuationSeparator" w:id="0">
    <w:p w14:paraId="14E4ACD3" w14:textId="77777777" w:rsidR="00044E48" w:rsidRDefault="00044E48"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F2416" w14:textId="77777777" w:rsidR="00044E48" w:rsidRDefault="00044E48" w:rsidP="004F5E36">
      <w:r>
        <w:separator/>
      </w:r>
    </w:p>
  </w:footnote>
  <w:footnote w:type="continuationSeparator" w:id="0">
    <w:p w14:paraId="61019353" w14:textId="77777777" w:rsidR="00044E48" w:rsidRDefault="00044E48" w:rsidP="004F5E36">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dkZPq6zDzW7iON" int2:id="BuPgta0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3780BC0"/>
    <w:multiLevelType w:val="multilevel"/>
    <w:tmpl w:val="EFC28A0A"/>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2.%3"/>
      <w:lvlJc w:val="left"/>
      <w:pPr>
        <w:ind w:left="0" w:firstLine="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266B64"/>
    <w:multiLevelType w:val="hybridMultilevel"/>
    <w:tmpl w:val="059214A0"/>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aSimples-1"/>
      <w:suff w:val="space"/>
      <w:lvlText w:val="%2.%3.%4."/>
      <w:lvlJc w:val="left"/>
      <w:pPr>
        <w:ind w:left="993"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253ADD47"/>
    <w:multiLevelType w:val="hybridMultilevel"/>
    <w:tmpl w:val="CA000B9E"/>
    <w:lvl w:ilvl="0" w:tplc="244AB2C4">
      <w:start w:val="1"/>
      <w:numFmt w:val="bullet"/>
      <w:lvlText w:val=""/>
      <w:lvlJc w:val="left"/>
      <w:pPr>
        <w:ind w:left="340" w:hanging="227"/>
      </w:pPr>
      <w:rPr>
        <w:rFonts w:ascii="Symbol" w:hAnsi="Symbol" w:hint="default"/>
      </w:rPr>
    </w:lvl>
    <w:lvl w:ilvl="1" w:tplc="A26205E6">
      <w:start w:val="1"/>
      <w:numFmt w:val="bullet"/>
      <w:lvlText w:val="o"/>
      <w:lvlJc w:val="left"/>
      <w:pPr>
        <w:ind w:left="1440" w:hanging="360"/>
      </w:pPr>
      <w:rPr>
        <w:rFonts w:ascii="Courier New" w:hAnsi="Courier New" w:hint="default"/>
      </w:rPr>
    </w:lvl>
    <w:lvl w:ilvl="2" w:tplc="BECC22C0">
      <w:start w:val="1"/>
      <w:numFmt w:val="bullet"/>
      <w:lvlText w:val=""/>
      <w:lvlJc w:val="left"/>
      <w:pPr>
        <w:ind w:left="2160" w:hanging="360"/>
      </w:pPr>
      <w:rPr>
        <w:rFonts w:ascii="Wingdings" w:hAnsi="Wingdings" w:hint="default"/>
      </w:rPr>
    </w:lvl>
    <w:lvl w:ilvl="3" w:tplc="9C027246">
      <w:start w:val="1"/>
      <w:numFmt w:val="bullet"/>
      <w:lvlText w:val=""/>
      <w:lvlJc w:val="left"/>
      <w:pPr>
        <w:ind w:left="2880" w:hanging="360"/>
      </w:pPr>
      <w:rPr>
        <w:rFonts w:ascii="Symbol" w:hAnsi="Symbol" w:hint="default"/>
      </w:rPr>
    </w:lvl>
    <w:lvl w:ilvl="4" w:tplc="4FFCD98C">
      <w:start w:val="1"/>
      <w:numFmt w:val="bullet"/>
      <w:lvlText w:val="o"/>
      <w:lvlJc w:val="left"/>
      <w:pPr>
        <w:ind w:left="3600" w:hanging="360"/>
      </w:pPr>
      <w:rPr>
        <w:rFonts w:ascii="Courier New" w:hAnsi="Courier New" w:hint="default"/>
      </w:rPr>
    </w:lvl>
    <w:lvl w:ilvl="5" w:tplc="491661D2">
      <w:start w:val="1"/>
      <w:numFmt w:val="bullet"/>
      <w:lvlText w:val=""/>
      <w:lvlJc w:val="left"/>
      <w:pPr>
        <w:ind w:left="4320" w:hanging="360"/>
      </w:pPr>
      <w:rPr>
        <w:rFonts w:ascii="Wingdings" w:hAnsi="Wingdings" w:hint="default"/>
      </w:rPr>
    </w:lvl>
    <w:lvl w:ilvl="6" w:tplc="50B0C0EC">
      <w:start w:val="1"/>
      <w:numFmt w:val="bullet"/>
      <w:lvlText w:val=""/>
      <w:lvlJc w:val="left"/>
      <w:pPr>
        <w:ind w:left="5040" w:hanging="360"/>
      </w:pPr>
      <w:rPr>
        <w:rFonts w:ascii="Symbol" w:hAnsi="Symbol" w:hint="default"/>
      </w:rPr>
    </w:lvl>
    <w:lvl w:ilvl="7" w:tplc="BD888096">
      <w:start w:val="1"/>
      <w:numFmt w:val="bullet"/>
      <w:lvlText w:val="o"/>
      <w:lvlJc w:val="left"/>
      <w:pPr>
        <w:ind w:left="5760" w:hanging="360"/>
      </w:pPr>
      <w:rPr>
        <w:rFonts w:ascii="Courier New" w:hAnsi="Courier New" w:hint="default"/>
      </w:rPr>
    </w:lvl>
    <w:lvl w:ilvl="8" w:tplc="5B3A1F9C">
      <w:start w:val="1"/>
      <w:numFmt w:val="bullet"/>
      <w:lvlText w:val=""/>
      <w:lvlJc w:val="left"/>
      <w:pPr>
        <w:ind w:left="6480" w:hanging="360"/>
      </w:pPr>
      <w:rPr>
        <w:rFonts w:ascii="Wingdings" w:hAnsi="Wingdings" w:hint="default"/>
      </w:rPr>
    </w:lvl>
  </w:abstractNum>
  <w:abstractNum w:abstractNumId="14" w15:restartNumberingAfterBreak="0">
    <w:nsid w:val="25607F83"/>
    <w:multiLevelType w:val="hybridMultilevel"/>
    <w:tmpl w:val="EEAA7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0240BB3"/>
    <w:multiLevelType w:val="hybridMultilevel"/>
    <w:tmpl w:val="F7E468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A96274B"/>
    <w:multiLevelType w:val="hybridMultilevel"/>
    <w:tmpl w:val="E05CD8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06FB608"/>
    <w:multiLevelType w:val="hybridMultilevel"/>
    <w:tmpl w:val="E2F093CA"/>
    <w:lvl w:ilvl="0" w:tplc="509CDBAC">
      <w:start w:val="1"/>
      <w:numFmt w:val="bullet"/>
      <w:lvlText w:val=""/>
      <w:lvlJc w:val="left"/>
      <w:pPr>
        <w:ind w:left="720" w:hanging="360"/>
      </w:pPr>
      <w:rPr>
        <w:rFonts w:ascii="Symbol" w:hAnsi="Symbol" w:hint="default"/>
      </w:rPr>
    </w:lvl>
    <w:lvl w:ilvl="1" w:tplc="1520C3AC">
      <w:start w:val="1"/>
      <w:numFmt w:val="bullet"/>
      <w:lvlText w:val="o"/>
      <w:lvlJc w:val="left"/>
      <w:pPr>
        <w:ind w:left="1440" w:hanging="360"/>
      </w:pPr>
      <w:rPr>
        <w:rFonts w:ascii="Courier New" w:hAnsi="Courier New" w:hint="default"/>
      </w:rPr>
    </w:lvl>
    <w:lvl w:ilvl="2" w:tplc="44B2D3D6">
      <w:start w:val="1"/>
      <w:numFmt w:val="bullet"/>
      <w:lvlText w:val=""/>
      <w:lvlJc w:val="left"/>
      <w:pPr>
        <w:ind w:left="2160" w:hanging="360"/>
      </w:pPr>
      <w:rPr>
        <w:rFonts w:ascii="Wingdings" w:hAnsi="Wingdings" w:hint="default"/>
      </w:rPr>
    </w:lvl>
    <w:lvl w:ilvl="3" w:tplc="475CF21E">
      <w:start w:val="1"/>
      <w:numFmt w:val="bullet"/>
      <w:lvlText w:val=""/>
      <w:lvlJc w:val="left"/>
      <w:pPr>
        <w:ind w:left="2880" w:hanging="360"/>
      </w:pPr>
      <w:rPr>
        <w:rFonts w:ascii="Symbol" w:hAnsi="Symbol" w:hint="default"/>
      </w:rPr>
    </w:lvl>
    <w:lvl w:ilvl="4" w:tplc="2AA20244">
      <w:start w:val="1"/>
      <w:numFmt w:val="bullet"/>
      <w:lvlText w:val="o"/>
      <w:lvlJc w:val="left"/>
      <w:pPr>
        <w:ind w:left="3600" w:hanging="360"/>
      </w:pPr>
      <w:rPr>
        <w:rFonts w:ascii="Courier New" w:hAnsi="Courier New" w:hint="default"/>
      </w:rPr>
    </w:lvl>
    <w:lvl w:ilvl="5" w:tplc="5B0E8E46">
      <w:start w:val="1"/>
      <w:numFmt w:val="bullet"/>
      <w:lvlText w:val=""/>
      <w:lvlJc w:val="left"/>
      <w:pPr>
        <w:ind w:left="4320" w:hanging="360"/>
      </w:pPr>
      <w:rPr>
        <w:rFonts w:ascii="Wingdings" w:hAnsi="Wingdings" w:hint="default"/>
      </w:rPr>
    </w:lvl>
    <w:lvl w:ilvl="6" w:tplc="7A3E372E">
      <w:start w:val="1"/>
      <w:numFmt w:val="bullet"/>
      <w:lvlText w:val=""/>
      <w:lvlJc w:val="left"/>
      <w:pPr>
        <w:ind w:left="5040" w:hanging="360"/>
      </w:pPr>
      <w:rPr>
        <w:rFonts w:ascii="Symbol" w:hAnsi="Symbol" w:hint="default"/>
      </w:rPr>
    </w:lvl>
    <w:lvl w:ilvl="7" w:tplc="5F40B416">
      <w:start w:val="1"/>
      <w:numFmt w:val="bullet"/>
      <w:lvlText w:val="o"/>
      <w:lvlJc w:val="left"/>
      <w:pPr>
        <w:ind w:left="5760" w:hanging="360"/>
      </w:pPr>
      <w:rPr>
        <w:rFonts w:ascii="Courier New" w:hAnsi="Courier New" w:hint="default"/>
      </w:rPr>
    </w:lvl>
    <w:lvl w:ilvl="8" w:tplc="20A6E588">
      <w:start w:val="1"/>
      <w:numFmt w:val="bullet"/>
      <w:lvlText w:val=""/>
      <w:lvlJc w:val="left"/>
      <w:pPr>
        <w:ind w:left="6480" w:hanging="360"/>
      </w:pPr>
      <w:rPr>
        <w:rFonts w:ascii="Wingdings" w:hAnsi="Wingdings" w:hint="default"/>
      </w:rPr>
    </w:lvl>
  </w:abstractNum>
  <w:abstractNum w:abstractNumId="22"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5"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034829F"/>
    <w:multiLevelType w:val="hybridMultilevel"/>
    <w:tmpl w:val="533CA302"/>
    <w:lvl w:ilvl="0" w:tplc="0B1C6EC2">
      <w:start w:val="1"/>
      <w:numFmt w:val="bullet"/>
      <w:lvlText w:val=""/>
      <w:lvlJc w:val="left"/>
      <w:pPr>
        <w:ind w:left="720" w:hanging="360"/>
      </w:pPr>
      <w:rPr>
        <w:rFonts w:ascii="Symbol" w:hAnsi="Symbol" w:hint="default"/>
      </w:rPr>
    </w:lvl>
    <w:lvl w:ilvl="1" w:tplc="9036FF5E">
      <w:start w:val="1"/>
      <w:numFmt w:val="bullet"/>
      <w:lvlText w:val="o"/>
      <w:lvlJc w:val="left"/>
      <w:pPr>
        <w:ind w:left="1440" w:hanging="360"/>
      </w:pPr>
      <w:rPr>
        <w:rFonts w:ascii="Courier New" w:hAnsi="Courier New" w:hint="default"/>
      </w:rPr>
    </w:lvl>
    <w:lvl w:ilvl="2" w:tplc="44DE8C72">
      <w:start w:val="1"/>
      <w:numFmt w:val="bullet"/>
      <w:lvlText w:val=""/>
      <w:lvlJc w:val="left"/>
      <w:pPr>
        <w:ind w:left="2160" w:hanging="360"/>
      </w:pPr>
      <w:rPr>
        <w:rFonts w:ascii="Wingdings" w:hAnsi="Wingdings" w:hint="default"/>
      </w:rPr>
    </w:lvl>
    <w:lvl w:ilvl="3" w:tplc="5D04E8E8">
      <w:start w:val="1"/>
      <w:numFmt w:val="bullet"/>
      <w:lvlText w:val=""/>
      <w:lvlJc w:val="left"/>
      <w:pPr>
        <w:ind w:left="2880" w:hanging="360"/>
      </w:pPr>
      <w:rPr>
        <w:rFonts w:ascii="Symbol" w:hAnsi="Symbol" w:hint="default"/>
      </w:rPr>
    </w:lvl>
    <w:lvl w:ilvl="4" w:tplc="A73630F0">
      <w:start w:val="1"/>
      <w:numFmt w:val="bullet"/>
      <w:lvlText w:val="o"/>
      <w:lvlJc w:val="left"/>
      <w:pPr>
        <w:ind w:left="3600" w:hanging="360"/>
      </w:pPr>
      <w:rPr>
        <w:rFonts w:ascii="Courier New" w:hAnsi="Courier New" w:hint="default"/>
      </w:rPr>
    </w:lvl>
    <w:lvl w:ilvl="5" w:tplc="C5C2480E">
      <w:start w:val="1"/>
      <w:numFmt w:val="bullet"/>
      <w:lvlText w:val=""/>
      <w:lvlJc w:val="left"/>
      <w:pPr>
        <w:ind w:left="4320" w:hanging="360"/>
      </w:pPr>
      <w:rPr>
        <w:rFonts w:ascii="Wingdings" w:hAnsi="Wingdings" w:hint="default"/>
      </w:rPr>
    </w:lvl>
    <w:lvl w:ilvl="6" w:tplc="CB54E564">
      <w:start w:val="1"/>
      <w:numFmt w:val="bullet"/>
      <w:lvlText w:val=""/>
      <w:lvlJc w:val="left"/>
      <w:pPr>
        <w:ind w:left="5040" w:hanging="360"/>
      </w:pPr>
      <w:rPr>
        <w:rFonts w:ascii="Symbol" w:hAnsi="Symbol" w:hint="default"/>
      </w:rPr>
    </w:lvl>
    <w:lvl w:ilvl="7" w:tplc="B00C3D6A">
      <w:start w:val="1"/>
      <w:numFmt w:val="bullet"/>
      <w:lvlText w:val="o"/>
      <w:lvlJc w:val="left"/>
      <w:pPr>
        <w:ind w:left="5760" w:hanging="360"/>
      </w:pPr>
      <w:rPr>
        <w:rFonts w:ascii="Courier New" w:hAnsi="Courier New" w:hint="default"/>
      </w:rPr>
    </w:lvl>
    <w:lvl w:ilvl="8" w:tplc="9EE8C542">
      <w:start w:val="1"/>
      <w:numFmt w:val="bullet"/>
      <w:lvlText w:val=""/>
      <w:lvlJc w:val="left"/>
      <w:pPr>
        <w:ind w:left="6480" w:hanging="360"/>
      </w:pPr>
      <w:rPr>
        <w:rFonts w:ascii="Wingdings" w:hAnsi="Wingdings" w:hint="default"/>
      </w:rPr>
    </w:lvl>
  </w:abstractNum>
  <w:abstractNum w:abstractNumId="27" w15:restartNumberingAfterBreak="0">
    <w:nsid w:val="60EAE07C"/>
    <w:multiLevelType w:val="multilevel"/>
    <w:tmpl w:val="F9689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
      <w:lvlJc w:val="left"/>
      <w:pPr>
        <w:ind w:left="0" w:firstLine="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0EA2141"/>
    <w:multiLevelType w:val="hybridMultilevel"/>
    <w:tmpl w:val="C41E2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65045348">
    <w:abstractNumId w:val="21"/>
  </w:num>
  <w:num w:numId="2" w16cid:durableId="195895424">
    <w:abstractNumId w:val="13"/>
  </w:num>
  <w:num w:numId="3" w16cid:durableId="1276399504">
    <w:abstractNumId w:val="10"/>
  </w:num>
  <w:num w:numId="4" w16cid:durableId="1118599274">
    <w:abstractNumId w:val="27"/>
  </w:num>
  <w:num w:numId="5" w16cid:durableId="7831327">
    <w:abstractNumId w:val="26"/>
  </w:num>
  <w:num w:numId="6" w16cid:durableId="273637504">
    <w:abstractNumId w:val="12"/>
  </w:num>
  <w:num w:numId="7" w16cid:durableId="1778518464">
    <w:abstractNumId w:val="8"/>
  </w:num>
  <w:num w:numId="8" w16cid:durableId="856237373">
    <w:abstractNumId w:val="3"/>
  </w:num>
  <w:num w:numId="9" w16cid:durableId="1497527241">
    <w:abstractNumId w:val="2"/>
  </w:num>
  <w:num w:numId="10" w16cid:durableId="305430412">
    <w:abstractNumId w:val="1"/>
  </w:num>
  <w:num w:numId="11" w16cid:durableId="1734234117">
    <w:abstractNumId w:val="0"/>
  </w:num>
  <w:num w:numId="12" w16cid:durableId="1901746010">
    <w:abstractNumId w:val="9"/>
  </w:num>
  <w:num w:numId="13" w16cid:durableId="221212544">
    <w:abstractNumId w:val="7"/>
  </w:num>
  <w:num w:numId="14" w16cid:durableId="802118041">
    <w:abstractNumId w:val="6"/>
  </w:num>
  <w:num w:numId="15" w16cid:durableId="1194806729">
    <w:abstractNumId w:val="5"/>
  </w:num>
  <w:num w:numId="16" w16cid:durableId="205413550">
    <w:abstractNumId w:val="4"/>
  </w:num>
  <w:num w:numId="17" w16cid:durableId="1433740728">
    <w:abstractNumId w:val="24"/>
  </w:num>
  <w:num w:numId="18" w16cid:durableId="1481190606">
    <w:abstractNumId w:val="17"/>
  </w:num>
  <w:num w:numId="19" w16cid:durableId="1649741992">
    <w:abstractNumId w:val="25"/>
  </w:num>
  <w:num w:numId="20" w16cid:durableId="1922446508">
    <w:abstractNumId w:val="29"/>
  </w:num>
  <w:num w:numId="21" w16cid:durableId="1702169896">
    <w:abstractNumId w:val="28"/>
  </w:num>
  <w:num w:numId="22" w16cid:durableId="47076411">
    <w:abstractNumId w:val="16"/>
  </w:num>
  <w:num w:numId="23" w16cid:durableId="1275553467">
    <w:abstractNumId w:val="17"/>
    <w:lvlOverride w:ilvl="0">
      <w:startOverride w:val="1"/>
    </w:lvlOverride>
  </w:num>
  <w:num w:numId="24" w16cid:durableId="1965765764">
    <w:abstractNumId w:val="23"/>
  </w:num>
  <w:num w:numId="25" w16cid:durableId="2087069259">
    <w:abstractNumId w:val="22"/>
  </w:num>
  <w:num w:numId="26" w16cid:durableId="1230649042">
    <w:abstractNumId w:val="19"/>
  </w:num>
  <w:num w:numId="27" w16cid:durableId="1422414754">
    <w:abstractNumId w:val="18"/>
  </w:num>
  <w:num w:numId="28" w16cid:durableId="1944998932">
    <w:abstractNumId w:val="11"/>
  </w:num>
  <w:num w:numId="29" w16cid:durableId="1586039671">
    <w:abstractNumId w:val="20"/>
  </w:num>
  <w:num w:numId="30" w16cid:durableId="598878928">
    <w:abstractNumId w:val="30"/>
  </w:num>
  <w:num w:numId="31" w16cid:durableId="1768693701">
    <w:abstractNumId w:val="15"/>
  </w:num>
  <w:num w:numId="32" w16cid:durableId="421469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078B1"/>
    <w:rsid w:val="000117CB"/>
    <w:rsid w:val="00020DF9"/>
    <w:rsid w:val="0003148D"/>
    <w:rsid w:val="0003174F"/>
    <w:rsid w:val="00031EEC"/>
    <w:rsid w:val="00044E48"/>
    <w:rsid w:val="00051566"/>
    <w:rsid w:val="00053607"/>
    <w:rsid w:val="00055A1D"/>
    <w:rsid w:val="000562A9"/>
    <w:rsid w:val="00062A9A"/>
    <w:rsid w:val="00065058"/>
    <w:rsid w:val="00067DD3"/>
    <w:rsid w:val="0007071E"/>
    <w:rsid w:val="00084C32"/>
    <w:rsid w:val="000857F0"/>
    <w:rsid w:val="00086C39"/>
    <w:rsid w:val="000874F5"/>
    <w:rsid w:val="00094514"/>
    <w:rsid w:val="000A03B2"/>
    <w:rsid w:val="000B36A9"/>
    <w:rsid w:val="000C7709"/>
    <w:rsid w:val="000D0268"/>
    <w:rsid w:val="000D34BE"/>
    <w:rsid w:val="000D4A5E"/>
    <w:rsid w:val="000D7BF3"/>
    <w:rsid w:val="000E0993"/>
    <w:rsid w:val="000E0B3C"/>
    <w:rsid w:val="000E102F"/>
    <w:rsid w:val="000E36F1"/>
    <w:rsid w:val="000E3A73"/>
    <w:rsid w:val="000E414A"/>
    <w:rsid w:val="000E75FD"/>
    <w:rsid w:val="000E7662"/>
    <w:rsid w:val="000F093C"/>
    <w:rsid w:val="000F22CD"/>
    <w:rsid w:val="000F787B"/>
    <w:rsid w:val="000F7C6F"/>
    <w:rsid w:val="000F7FEC"/>
    <w:rsid w:val="00100568"/>
    <w:rsid w:val="0010377E"/>
    <w:rsid w:val="00114FFC"/>
    <w:rsid w:val="0012091F"/>
    <w:rsid w:val="00124C00"/>
    <w:rsid w:val="00126BC2"/>
    <w:rsid w:val="001308B6"/>
    <w:rsid w:val="00130954"/>
    <w:rsid w:val="00130BE2"/>
    <w:rsid w:val="00130CB1"/>
    <w:rsid w:val="0013121F"/>
    <w:rsid w:val="00131FE6"/>
    <w:rsid w:val="0013263F"/>
    <w:rsid w:val="001331DF"/>
    <w:rsid w:val="00134DE4"/>
    <w:rsid w:val="0013637D"/>
    <w:rsid w:val="0014034D"/>
    <w:rsid w:val="00140BF5"/>
    <w:rsid w:val="00140FE3"/>
    <w:rsid w:val="00141C3E"/>
    <w:rsid w:val="0014339A"/>
    <w:rsid w:val="00144D16"/>
    <w:rsid w:val="00150E59"/>
    <w:rsid w:val="00152DE3"/>
    <w:rsid w:val="001634B7"/>
    <w:rsid w:val="00164CF9"/>
    <w:rsid w:val="0016668E"/>
    <w:rsid w:val="001667A6"/>
    <w:rsid w:val="00167EC0"/>
    <w:rsid w:val="001727C4"/>
    <w:rsid w:val="00177060"/>
    <w:rsid w:val="00181090"/>
    <w:rsid w:val="0018171E"/>
    <w:rsid w:val="00184962"/>
    <w:rsid w:val="00184AD6"/>
    <w:rsid w:val="001917EA"/>
    <w:rsid w:val="001921D2"/>
    <w:rsid w:val="00194F8C"/>
    <w:rsid w:val="001A4502"/>
    <w:rsid w:val="001A4AF7"/>
    <w:rsid w:val="001A6BB3"/>
    <w:rsid w:val="001B0349"/>
    <w:rsid w:val="001B1E93"/>
    <w:rsid w:val="001B46ED"/>
    <w:rsid w:val="001B65C1"/>
    <w:rsid w:val="001C0CFF"/>
    <w:rsid w:val="001C260F"/>
    <w:rsid w:val="001C5C3A"/>
    <w:rsid w:val="001C684B"/>
    <w:rsid w:val="001D0CFB"/>
    <w:rsid w:val="001D21AF"/>
    <w:rsid w:val="001D2F10"/>
    <w:rsid w:val="001D373D"/>
    <w:rsid w:val="001D3D32"/>
    <w:rsid w:val="001D53FC"/>
    <w:rsid w:val="001E2AA7"/>
    <w:rsid w:val="001E5818"/>
    <w:rsid w:val="001F0992"/>
    <w:rsid w:val="001F2A2C"/>
    <w:rsid w:val="001F42A5"/>
    <w:rsid w:val="001F4DB1"/>
    <w:rsid w:val="001F7B9D"/>
    <w:rsid w:val="00201C93"/>
    <w:rsid w:val="002021D8"/>
    <w:rsid w:val="00205CFB"/>
    <w:rsid w:val="00211FB3"/>
    <w:rsid w:val="002224B4"/>
    <w:rsid w:val="0022574B"/>
    <w:rsid w:val="00243186"/>
    <w:rsid w:val="002447EF"/>
    <w:rsid w:val="00251550"/>
    <w:rsid w:val="002528DC"/>
    <w:rsid w:val="002631DF"/>
    <w:rsid w:val="00263B05"/>
    <w:rsid w:val="002714BF"/>
    <w:rsid w:val="0027221A"/>
    <w:rsid w:val="00275B61"/>
    <w:rsid w:val="00280FAF"/>
    <w:rsid w:val="00282656"/>
    <w:rsid w:val="002924DE"/>
    <w:rsid w:val="00295BC8"/>
    <w:rsid w:val="00296B83"/>
    <w:rsid w:val="002A045C"/>
    <w:rsid w:val="002A1873"/>
    <w:rsid w:val="002B4015"/>
    <w:rsid w:val="002B5476"/>
    <w:rsid w:val="002B6BE1"/>
    <w:rsid w:val="002B78CE"/>
    <w:rsid w:val="002C1F54"/>
    <w:rsid w:val="002C2FB6"/>
    <w:rsid w:val="002C426F"/>
    <w:rsid w:val="002D231A"/>
    <w:rsid w:val="002E2328"/>
    <w:rsid w:val="002E5FA7"/>
    <w:rsid w:val="002E6202"/>
    <w:rsid w:val="002F0E16"/>
    <w:rsid w:val="002F253A"/>
    <w:rsid w:val="002F3309"/>
    <w:rsid w:val="002F5851"/>
    <w:rsid w:val="002F597A"/>
    <w:rsid w:val="0030023A"/>
    <w:rsid w:val="003008CE"/>
    <w:rsid w:val="003009B7"/>
    <w:rsid w:val="00300E56"/>
    <w:rsid w:val="0030152C"/>
    <w:rsid w:val="0030469C"/>
    <w:rsid w:val="00304CE8"/>
    <w:rsid w:val="00307D9D"/>
    <w:rsid w:val="00311489"/>
    <w:rsid w:val="00312066"/>
    <w:rsid w:val="00320E07"/>
    <w:rsid w:val="00321CA6"/>
    <w:rsid w:val="00323763"/>
    <w:rsid w:val="00323C5F"/>
    <w:rsid w:val="00326F41"/>
    <w:rsid w:val="00334C09"/>
    <w:rsid w:val="003362EE"/>
    <w:rsid w:val="00340AE0"/>
    <w:rsid w:val="003411E9"/>
    <w:rsid w:val="003462CD"/>
    <w:rsid w:val="00351F8B"/>
    <w:rsid w:val="003611F7"/>
    <w:rsid w:val="00361FED"/>
    <w:rsid w:val="00370CB6"/>
    <w:rsid w:val="003723D4"/>
    <w:rsid w:val="003810AC"/>
    <w:rsid w:val="00381905"/>
    <w:rsid w:val="00384CC8"/>
    <w:rsid w:val="003871FD"/>
    <w:rsid w:val="0038E070"/>
    <w:rsid w:val="0039051E"/>
    <w:rsid w:val="00393AA3"/>
    <w:rsid w:val="00394792"/>
    <w:rsid w:val="003A0DAF"/>
    <w:rsid w:val="003A116A"/>
    <w:rsid w:val="003A1E30"/>
    <w:rsid w:val="003A2829"/>
    <w:rsid w:val="003A7091"/>
    <w:rsid w:val="003A7D1C"/>
    <w:rsid w:val="003A7D8D"/>
    <w:rsid w:val="003B05B2"/>
    <w:rsid w:val="003B304B"/>
    <w:rsid w:val="003B3146"/>
    <w:rsid w:val="003B3D6E"/>
    <w:rsid w:val="003B49CD"/>
    <w:rsid w:val="003D1E02"/>
    <w:rsid w:val="003E6FF0"/>
    <w:rsid w:val="003F015E"/>
    <w:rsid w:val="00400414"/>
    <w:rsid w:val="00400B30"/>
    <w:rsid w:val="0041446B"/>
    <w:rsid w:val="00435B36"/>
    <w:rsid w:val="00436EA6"/>
    <w:rsid w:val="0043CFA5"/>
    <w:rsid w:val="0044071E"/>
    <w:rsid w:val="0044227E"/>
    <w:rsid w:val="00442A99"/>
    <w:rsid w:val="0044329C"/>
    <w:rsid w:val="004457DB"/>
    <w:rsid w:val="00446D22"/>
    <w:rsid w:val="00447150"/>
    <w:rsid w:val="00450EDE"/>
    <w:rsid w:val="004525FE"/>
    <w:rsid w:val="00453E24"/>
    <w:rsid w:val="0045413B"/>
    <w:rsid w:val="00457456"/>
    <w:rsid w:val="004577FE"/>
    <w:rsid w:val="00457B9C"/>
    <w:rsid w:val="0046078A"/>
    <w:rsid w:val="0046164A"/>
    <w:rsid w:val="004628D2"/>
    <w:rsid w:val="00462DCD"/>
    <w:rsid w:val="004648AD"/>
    <w:rsid w:val="004654E3"/>
    <w:rsid w:val="00466429"/>
    <w:rsid w:val="004703A9"/>
    <w:rsid w:val="00474EB5"/>
    <w:rsid w:val="004751E6"/>
    <w:rsid w:val="00475660"/>
    <w:rsid w:val="004760DE"/>
    <w:rsid w:val="004763D7"/>
    <w:rsid w:val="00476965"/>
    <w:rsid w:val="00482624"/>
    <w:rsid w:val="00484130"/>
    <w:rsid w:val="00484645"/>
    <w:rsid w:val="004917F5"/>
    <w:rsid w:val="004A004E"/>
    <w:rsid w:val="004A24CF"/>
    <w:rsid w:val="004A2601"/>
    <w:rsid w:val="004B5485"/>
    <w:rsid w:val="004C199E"/>
    <w:rsid w:val="004C3D1D"/>
    <w:rsid w:val="004C3D84"/>
    <w:rsid w:val="004C7913"/>
    <w:rsid w:val="004D09BA"/>
    <w:rsid w:val="004E4DD6"/>
    <w:rsid w:val="004F5E36"/>
    <w:rsid w:val="00504EA0"/>
    <w:rsid w:val="00506F84"/>
    <w:rsid w:val="00507B47"/>
    <w:rsid w:val="00507BEF"/>
    <w:rsid w:val="00507CC9"/>
    <w:rsid w:val="005119A5"/>
    <w:rsid w:val="00512512"/>
    <w:rsid w:val="00515131"/>
    <w:rsid w:val="00515943"/>
    <w:rsid w:val="005278B7"/>
    <w:rsid w:val="00532016"/>
    <w:rsid w:val="00532BF3"/>
    <w:rsid w:val="005346C8"/>
    <w:rsid w:val="00534E43"/>
    <w:rsid w:val="00542BF6"/>
    <w:rsid w:val="00543E7D"/>
    <w:rsid w:val="00547A68"/>
    <w:rsid w:val="005531C9"/>
    <w:rsid w:val="00554879"/>
    <w:rsid w:val="005634EC"/>
    <w:rsid w:val="00563B08"/>
    <w:rsid w:val="00570C43"/>
    <w:rsid w:val="00572A73"/>
    <w:rsid w:val="00576EB0"/>
    <w:rsid w:val="00585024"/>
    <w:rsid w:val="00592274"/>
    <w:rsid w:val="0059870C"/>
    <w:rsid w:val="005B2110"/>
    <w:rsid w:val="005B350B"/>
    <w:rsid w:val="005B61E6"/>
    <w:rsid w:val="005C77E1"/>
    <w:rsid w:val="005D668A"/>
    <w:rsid w:val="005D6A2F"/>
    <w:rsid w:val="005E0592"/>
    <w:rsid w:val="005E1A82"/>
    <w:rsid w:val="005E570A"/>
    <w:rsid w:val="005E794C"/>
    <w:rsid w:val="005F0A28"/>
    <w:rsid w:val="005F0BE7"/>
    <w:rsid w:val="005F0E5E"/>
    <w:rsid w:val="00600535"/>
    <w:rsid w:val="00610CD6"/>
    <w:rsid w:val="006141E3"/>
    <w:rsid w:val="00620DEE"/>
    <w:rsid w:val="00621F92"/>
    <w:rsid w:val="0062280A"/>
    <w:rsid w:val="00622C7E"/>
    <w:rsid w:val="006231E1"/>
    <w:rsid w:val="00623BFD"/>
    <w:rsid w:val="00625639"/>
    <w:rsid w:val="0062612D"/>
    <w:rsid w:val="00626342"/>
    <w:rsid w:val="006271F7"/>
    <w:rsid w:val="0062779E"/>
    <w:rsid w:val="00631B33"/>
    <w:rsid w:val="00633E39"/>
    <w:rsid w:val="006344BE"/>
    <w:rsid w:val="00640B00"/>
    <w:rsid w:val="0064184D"/>
    <w:rsid w:val="006422CC"/>
    <w:rsid w:val="00645E77"/>
    <w:rsid w:val="00651D18"/>
    <w:rsid w:val="00654CBF"/>
    <w:rsid w:val="00660E3E"/>
    <w:rsid w:val="00661897"/>
    <w:rsid w:val="00662E74"/>
    <w:rsid w:val="006704DF"/>
    <w:rsid w:val="00680C23"/>
    <w:rsid w:val="00683E23"/>
    <w:rsid w:val="00684A2E"/>
    <w:rsid w:val="00686DA5"/>
    <w:rsid w:val="00691041"/>
    <w:rsid w:val="00692555"/>
    <w:rsid w:val="00693766"/>
    <w:rsid w:val="00693986"/>
    <w:rsid w:val="006A3281"/>
    <w:rsid w:val="006A5D1D"/>
    <w:rsid w:val="006A6DE5"/>
    <w:rsid w:val="006A7EFA"/>
    <w:rsid w:val="006B3AE7"/>
    <w:rsid w:val="006B4888"/>
    <w:rsid w:val="006C2D11"/>
    <w:rsid w:val="006C2E45"/>
    <w:rsid w:val="006C359C"/>
    <w:rsid w:val="006C5579"/>
    <w:rsid w:val="006D1B2D"/>
    <w:rsid w:val="006D448B"/>
    <w:rsid w:val="006D6E8B"/>
    <w:rsid w:val="006D7209"/>
    <w:rsid w:val="006E45FE"/>
    <w:rsid w:val="006E595F"/>
    <w:rsid w:val="006E737D"/>
    <w:rsid w:val="006F2219"/>
    <w:rsid w:val="006F4859"/>
    <w:rsid w:val="006F64F8"/>
    <w:rsid w:val="006FB6FF"/>
    <w:rsid w:val="00706484"/>
    <w:rsid w:val="00707DD1"/>
    <w:rsid w:val="00711E6D"/>
    <w:rsid w:val="00713973"/>
    <w:rsid w:val="00716C53"/>
    <w:rsid w:val="00717A48"/>
    <w:rsid w:val="00720A24"/>
    <w:rsid w:val="007248B3"/>
    <w:rsid w:val="00732386"/>
    <w:rsid w:val="00732F05"/>
    <w:rsid w:val="0073514D"/>
    <w:rsid w:val="0074271A"/>
    <w:rsid w:val="0074444F"/>
    <w:rsid w:val="007447F3"/>
    <w:rsid w:val="00753796"/>
    <w:rsid w:val="0075499F"/>
    <w:rsid w:val="007661C8"/>
    <w:rsid w:val="00770575"/>
    <w:rsid w:val="0077098D"/>
    <w:rsid w:val="0078594E"/>
    <w:rsid w:val="00785BF9"/>
    <w:rsid w:val="00787A30"/>
    <w:rsid w:val="00791ABF"/>
    <w:rsid w:val="007931FA"/>
    <w:rsid w:val="00797989"/>
    <w:rsid w:val="007A4861"/>
    <w:rsid w:val="007A6DAF"/>
    <w:rsid w:val="007A7BBA"/>
    <w:rsid w:val="007B0C50"/>
    <w:rsid w:val="007B165C"/>
    <w:rsid w:val="007B2ACD"/>
    <w:rsid w:val="007B48F9"/>
    <w:rsid w:val="007B5E36"/>
    <w:rsid w:val="007C0D3D"/>
    <w:rsid w:val="007C11FD"/>
    <w:rsid w:val="007C1A43"/>
    <w:rsid w:val="007C289F"/>
    <w:rsid w:val="007C424E"/>
    <w:rsid w:val="007D0951"/>
    <w:rsid w:val="007D4A5F"/>
    <w:rsid w:val="007D610D"/>
    <w:rsid w:val="007D6E8C"/>
    <w:rsid w:val="007E0CA8"/>
    <w:rsid w:val="007F32FA"/>
    <w:rsid w:val="0080013E"/>
    <w:rsid w:val="00801759"/>
    <w:rsid w:val="00802EBF"/>
    <w:rsid w:val="00807257"/>
    <w:rsid w:val="008121AA"/>
    <w:rsid w:val="00813288"/>
    <w:rsid w:val="008168FC"/>
    <w:rsid w:val="00820528"/>
    <w:rsid w:val="00830996"/>
    <w:rsid w:val="008345F1"/>
    <w:rsid w:val="008441F9"/>
    <w:rsid w:val="00845A6D"/>
    <w:rsid w:val="0084701A"/>
    <w:rsid w:val="008528A8"/>
    <w:rsid w:val="00865B07"/>
    <w:rsid w:val="008667EA"/>
    <w:rsid w:val="0087637F"/>
    <w:rsid w:val="008766E8"/>
    <w:rsid w:val="00892AD5"/>
    <w:rsid w:val="008A1512"/>
    <w:rsid w:val="008A1EFB"/>
    <w:rsid w:val="008A33BB"/>
    <w:rsid w:val="008B60D5"/>
    <w:rsid w:val="008C0C5A"/>
    <w:rsid w:val="008C1B13"/>
    <w:rsid w:val="008C4601"/>
    <w:rsid w:val="008D2196"/>
    <w:rsid w:val="008D32B9"/>
    <w:rsid w:val="008D433B"/>
    <w:rsid w:val="008D4A16"/>
    <w:rsid w:val="008E5401"/>
    <w:rsid w:val="008E566E"/>
    <w:rsid w:val="0090161A"/>
    <w:rsid w:val="00901EB6"/>
    <w:rsid w:val="009041F8"/>
    <w:rsid w:val="00904AB1"/>
    <w:rsid w:val="00904C62"/>
    <w:rsid w:val="00922BA8"/>
    <w:rsid w:val="00924DAC"/>
    <w:rsid w:val="00925C39"/>
    <w:rsid w:val="00927058"/>
    <w:rsid w:val="00942750"/>
    <w:rsid w:val="00944A98"/>
    <w:rsid w:val="009450CE"/>
    <w:rsid w:val="009459BB"/>
    <w:rsid w:val="00946B6F"/>
    <w:rsid w:val="00947179"/>
    <w:rsid w:val="0095164B"/>
    <w:rsid w:val="00952C29"/>
    <w:rsid w:val="0095325C"/>
    <w:rsid w:val="009535ED"/>
    <w:rsid w:val="00954090"/>
    <w:rsid w:val="009543C4"/>
    <w:rsid w:val="009573E7"/>
    <w:rsid w:val="00957A4C"/>
    <w:rsid w:val="00963E05"/>
    <w:rsid w:val="00964A45"/>
    <w:rsid w:val="00967843"/>
    <w:rsid w:val="00967D54"/>
    <w:rsid w:val="00971028"/>
    <w:rsid w:val="00971DDF"/>
    <w:rsid w:val="009738F6"/>
    <w:rsid w:val="00982374"/>
    <w:rsid w:val="009914A1"/>
    <w:rsid w:val="00993B84"/>
    <w:rsid w:val="00994C6A"/>
    <w:rsid w:val="00996483"/>
    <w:rsid w:val="0099658B"/>
    <w:rsid w:val="00996F5A"/>
    <w:rsid w:val="009B041A"/>
    <w:rsid w:val="009B1BB9"/>
    <w:rsid w:val="009B502B"/>
    <w:rsid w:val="009B6E57"/>
    <w:rsid w:val="009C37C3"/>
    <w:rsid w:val="009C7C86"/>
    <w:rsid w:val="009D2FF7"/>
    <w:rsid w:val="009E0F0B"/>
    <w:rsid w:val="009E1ED6"/>
    <w:rsid w:val="009E7884"/>
    <w:rsid w:val="009E788A"/>
    <w:rsid w:val="009F0E08"/>
    <w:rsid w:val="009F1926"/>
    <w:rsid w:val="00A037F8"/>
    <w:rsid w:val="00A079AE"/>
    <w:rsid w:val="00A1763D"/>
    <w:rsid w:val="00A1782B"/>
    <w:rsid w:val="00A17CEC"/>
    <w:rsid w:val="00A24F18"/>
    <w:rsid w:val="00A27EF0"/>
    <w:rsid w:val="00A41B44"/>
    <w:rsid w:val="00A42361"/>
    <w:rsid w:val="00A50B20"/>
    <w:rsid w:val="00A51390"/>
    <w:rsid w:val="00A60D13"/>
    <w:rsid w:val="00A63F03"/>
    <w:rsid w:val="00A664CB"/>
    <w:rsid w:val="00A7223D"/>
    <w:rsid w:val="00A72745"/>
    <w:rsid w:val="00A76EFC"/>
    <w:rsid w:val="00A81EC0"/>
    <w:rsid w:val="00A8317F"/>
    <w:rsid w:val="00A87D50"/>
    <w:rsid w:val="00A91010"/>
    <w:rsid w:val="00A97F29"/>
    <w:rsid w:val="00AA1A45"/>
    <w:rsid w:val="00AA471C"/>
    <w:rsid w:val="00AA534C"/>
    <w:rsid w:val="00AA702E"/>
    <w:rsid w:val="00AA7D26"/>
    <w:rsid w:val="00AB0964"/>
    <w:rsid w:val="00AB5011"/>
    <w:rsid w:val="00AB66CD"/>
    <w:rsid w:val="00AC7368"/>
    <w:rsid w:val="00AD16B9"/>
    <w:rsid w:val="00AD1791"/>
    <w:rsid w:val="00AD2A5C"/>
    <w:rsid w:val="00AE377D"/>
    <w:rsid w:val="00AF0EBA"/>
    <w:rsid w:val="00AF1C38"/>
    <w:rsid w:val="00AF1C74"/>
    <w:rsid w:val="00AF2463"/>
    <w:rsid w:val="00AF5712"/>
    <w:rsid w:val="00AF6721"/>
    <w:rsid w:val="00B02C8A"/>
    <w:rsid w:val="00B17FBD"/>
    <w:rsid w:val="00B272F8"/>
    <w:rsid w:val="00B315A6"/>
    <w:rsid w:val="00B31813"/>
    <w:rsid w:val="00B31865"/>
    <w:rsid w:val="00B33365"/>
    <w:rsid w:val="00B51EF5"/>
    <w:rsid w:val="00B563BC"/>
    <w:rsid w:val="00B564FB"/>
    <w:rsid w:val="00B57B36"/>
    <w:rsid w:val="00B57E6F"/>
    <w:rsid w:val="00B658C7"/>
    <w:rsid w:val="00B739EE"/>
    <w:rsid w:val="00B73B09"/>
    <w:rsid w:val="00B80BCC"/>
    <w:rsid w:val="00B8136B"/>
    <w:rsid w:val="00B85732"/>
    <w:rsid w:val="00B8686D"/>
    <w:rsid w:val="00B93F69"/>
    <w:rsid w:val="00BA72DE"/>
    <w:rsid w:val="00BB1DDC"/>
    <w:rsid w:val="00BB27A9"/>
    <w:rsid w:val="00BB4A06"/>
    <w:rsid w:val="00BB5566"/>
    <w:rsid w:val="00BC30C9"/>
    <w:rsid w:val="00BD077D"/>
    <w:rsid w:val="00BD50FA"/>
    <w:rsid w:val="00BD6CCF"/>
    <w:rsid w:val="00BD7FC3"/>
    <w:rsid w:val="00BE0C9D"/>
    <w:rsid w:val="00BE3E58"/>
    <w:rsid w:val="00BF13CE"/>
    <w:rsid w:val="00BF4D22"/>
    <w:rsid w:val="00BF5820"/>
    <w:rsid w:val="00BF6F80"/>
    <w:rsid w:val="00C01616"/>
    <w:rsid w:val="00C0162B"/>
    <w:rsid w:val="00C068ED"/>
    <w:rsid w:val="00C16CB5"/>
    <w:rsid w:val="00C22E0C"/>
    <w:rsid w:val="00C241D6"/>
    <w:rsid w:val="00C25E66"/>
    <w:rsid w:val="00C341BD"/>
    <w:rsid w:val="00C345B1"/>
    <w:rsid w:val="00C345EF"/>
    <w:rsid w:val="00C35D39"/>
    <w:rsid w:val="00C36AC7"/>
    <w:rsid w:val="00C40142"/>
    <w:rsid w:val="00C45261"/>
    <w:rsid w:val="00C52C3C"/>
    <w:rsid w:val="00C57182"/>
    <w:rsid w:val="00C57863"/>
    <w:rsid w:val="00C60750"/>
    <w:rsid w:val="00C63140"/>
    <w:rsid w:val="00C640AF"/>
    <w:rsid w:val="00C6536E"/>
    <w:rsid w:val="00C655FD"/>
    <w:rsid w:val="00C65C8C"/>
    <w:rsid w:val="00C7070A"/>
    <w:rsid w:val="00C73CCB"/>
    <w:rsid w:val="00C7534F"/>
    <w:rsid w:val="00C75407"/>
    <w:rsid w:val="00C80C38"/>
    <w:rsid w:val="00C841C6"/>
    <w:rsid w:val="00C870A8"/>
    <w:rsid w:val="00C94434"/>
    <w:rsid w:val="00CA0A4C"/>
    <w:rsid w:val="00CA0D75"/>
    <w:rsid w:val="00CA1C95"/>
    <w:rsid w:val="00CA4616"/>
    <w:rsid w:val="00CA5A9C"/>
    <w:rsid w:val="00CC4C20"/>
    <w:rsid w:val="00CD22B8"/>
    <w:rsid w:val="00CD3517"/>
    <w:rsid w:val="00CD3B40"/>
    <w:rsid w:val="00CD5FE2"/>
    <w:rsid w:val="00CE31AF"/>
    <w:rsid w:val="00CE7C68"/>
    <w:rsid w:val="00CF16D9"/>
    <w:rsid w:val="00D0279A"/>
    <w:rsid w:val="00D02B4C"/>
    <w:rsid w:val="00D040C4"/>
    <w:rsid w:val="00D14A9E"/>
    <w:rsid w:val="00D20AD1"/>
    <w:rsid w:val="00D2582C"/>
    <w:rsid w:val="00D25BCC"/>
    <w:rsid w:val="00D37D5D"/>
    <w:rsid w:val="00D46B7E"/>
    <w:rsid w:val="00D51AEB"/>
    <w:rsid w:val="00D523A6"/>
    <w:rsid w:val="00D536A7"/>
    <w:rsid w:val="00D57C84"/>
    <w:rsid w:val="00D6057D"/>
    <w:rsid w:val="00D71640"/>
    <w:rsid w:val="00D779A4"/>
    <w:rsid w:val="00D836C5"/>
    <w:rsid w:val="00D84576"/>
    <w:rsid w:val="00DA1399"/>
    <w:rsid w:val="00DA24C6"/>
    <w:rsid w:val="00DA4D7B"/>
    <w:rsid w:val="00DC2840"/>
    <w:rsid w:val="00DC5AB6"/>
    <w:rsid w:val="00DC73EE"/>
    <w:rsid w:val="00DC76E0"/>
    <w:rsid w:val="00DD271C"/>
    <w:rsid w:val="00DD482A"/>
    <w:rsid w:val="00DE264A"/>
    <w:rsid w:val="00DF0073"/>
    <w:rsid w:val="00DF08A0"/>
    <w:rsid w:val="00DF140A"/>
    <w:rsid w:val="00DF3142"/>
    <w:rsid w:val="00DF5072"/>
    <w:rsid w:val="00E01F04"/>
    <w:rsid w:val="00E02D18"/>
    <w:rsid w:val="00E0375A"/>
    <w:rsid w:val="00E041E7"/>
    <w:rsid w:val="00E23CA1"/>
    <w:rsid w:val="00E409A8"/>
    <w:rsid w:val="00E50C12"/>
    <w:rsid w:val="00E51825"/>
    <w:rsid w:val="00E61231"/>
    <w:rsid w:val="00E65B91"/>
    <w:rsid w:val="00E7209D"/>
    <w:rsid w:val="00E72EAD"/>
    <w:rsid w:val="00E731FE"/>
    <w:rsid w:val="00E7344D"/>
    <w:rsid w:val="00E7647E"/>
    <w:rsid w:val="00E76ED1"/>
    <w:rsid w:val="00E77223"/>
    <w:rsid w:val="00E8528B"/>
    <w:rsid w:val="00E85B94"/>
    <w:rsid w:val="00E921BA"/>
    <w:rsid w:val="00E96287"/>
    <w:rsid w:val="00E978D0"/>
    <w:rsid w:val="00EA38CA"/>
    <w:rsid w:val="00EA3BBF"/>
    <w:rsid w:val="00EA4613"/>
    <w:rsid w:val="00EA5AD3"/>
    <w:rsid w:val="00EA7F91"/>
    <w:rsid w:val="00EB1523"/>
    <w:rsid w:val="00EB23E1"/>
    <w:rsid w:val="00EB6CA1"/>
    <w:rsid w:val="00EC0E49"/>
    <w:rsid w:val="00EC101F"/>
    <w:rsid w:val="00EC147D"/>
    <w:rsid w:val="00EC1D9F"/>
    <w:rsid w:val="00EC2170"/>
    <w:rsid w:val="00EC4FF7"/>
    <w:rsid w:val="00ED1166"/>
    <w:rsid w:val="00EE0131"/>
    <w:rsid w:val="00EE1291"/>
    <w:rsid w:val="00EE17B0"/>
    <w:rsid w:val="00EF06D9"/>
    <w:rsid w:val="00EF0F36"/>
    <w:rsid w:val="00EF6C4A"/>
    <w:rsid w:val="00F00D65"/>
    <w:rsid w:val="00F05291"/>
    <w:rsid w:val="00F05BE0"/>
    <w:rsid w:val="00F12FA9"/>
    <w:rsid w:val="00F15C62"/>
    <w:rsid w:val="00F3049E"/>
    <w:rsid w:val="00F30C64"/>
    <w:rsid w:val="00F31F53"/>
    <w:rsid w:val="00F32BA2"/>
    <w:rsid w:val="00F32CDB"/>
    <w:rsid w:val="00F34F46"/>
    <w:rsid w:val="00F40881"/>
    <w:rsid w:val="00F41EE4"/>
    <w:rsid w:val="00F426C1"/>
    <w:rsid w:val="00F457AE"/>
    <w:rsid w:val="00F51839"/>
    <w:rsid w:val="00F565FE"/>
    <w:rsid w:val="00F63A70"/>
    <w:rsid w:val="00F63D8C"/>
    <w:rsid w:val="00F71EEE"/>
    <w:rsid w:val="00F7534E"/>
    <w:rsid w:val="00F810F2"/>
    <w:rsid w:val="00F834F4"/>
    <w:rsid w:val="00F8597D"/>
    <w:rsid w:val="00F87087"/>
    <w:rsid w:val="00F870A6"/>
    <w:rsid w:val="00F9096B"/>
    <w:rsid w:val="00F93EDF"/>
    <w:rsid w:val="00FA0514"/>
    <w:rsid w:val="00FA0D36"/>
    <w:rsid w:val="00FA1802"/>
    <w:rsid w:val="00FA21D0"/>
    <w:rsid w:val="00FA5F5F"/>
    <w:rsid w:val="00FA6EA3"/>
    <w:rsid w:val="00FB09E8"/>
    <w:rsid w:val="00FB4E25"/>
    <w:rsid w:val="00FB730C"/>
    <w:rsid w:val="00FC2695"/>
    <w:rsid w:val="00FC3E03"/>
    <w:rsid w:val="00FC3FC1"/>
    <w:rsid w:val="00FD2022"/>
    <w:rsid w:val="00FF7A13"/>
    <w:rsid w:val="012610B8"/>
    <w:rsid w:val="0168C960"/>
    <w:rsid w:val="01B7F3C5"/>
    <w:rsid w:val="02755F1B"/>
    <w:rsid w:val="02C77506"/>
    <w:rsid w:val="034C8604"/>
    <w:rsid w:val="03BD6030"/>
    <w:rsid w:val="03EB791E"/>
    <w:rsid w:val="042FCA1D"/>
    <w:rsid w:val="048FC551"/>
    <w:rsid w:val="04ABFDB7"/>
    <w:rsid w:val="04B0BF0A"/>
    <w:rsid w:val="051C6351"/>
    <w:rsid w:val="0530385E"/>
    <w:rsid w:val="058777DE"/>
    <w:rsid w:val="06443EBF"/>
    <w:rsid w:val="064E4A0C"/>
    <w:rsid w:val="0655511F"/>
    <w:rsid w:val="06857E1D"/>
    <w:rsid w:val="068AC588"/>
    <w:rsid w:val="06B454C5"/>
    <w:rsid w:val="071DDFB7"/>
    <w:rsid w:val="0742549F"/>
    <w:rsid w:val="0761191F"/>
    <w:rsid w:val="07BA7482"/>
    <w:rsid w:val="0871AE7E"/>
    <w:rsid w:val="088C5B4D"/>
    <w:rsid w:val="0896901E"/>
    <w:rsid w:val="08C39530"/>
    <w:rsid w:val="0AB0B824"/>
    <w:rsid w:val="0B2C3347"/>
    <w:rsid w:val="0B33007C"/>
    <w:rsid w:val="0B34A29B"/>
    <w:rsid w:val="0B4565B8"/>
    <w:rsid w:val="0B46D073"/>
    <w:rsid w:val="0B47BCAD"/>
    <w:rsid w:val="0BB31AB0"/>
    <w:rsid w:val="0BC9A0B0"/>
    <w:rsid w:val="0BEFA82A"/>
    <w:rsid w:val="0C2BF40E"/>
    <w:rsid w:val="0C4754CA"/>
    <w:rsid w:val="0D6E93F5"/>
    <w:rsid w:val="0D772EC2"/>
    <w:rsid w:val="0D8CB719"/>
    <w:rsid w:val="0DAB76E4"/>
    <w:rsid w:val="0DB8B4C6"/>
    <w:rsid w:val="0DD12FE0"/>
    <w:rsid w:val="0DE91199"/>
    <w:rsid w:val="0DF45A8F"/>
    <w:rsid w:val="0E4FABAF"/>
    <w:rsid w:val="0E82DD82"/>
    <w:rsid w:val="0F0E7520"/>
    <w:rsid w:val="0FF10286"/>
    <w:rsid w:val="1004BD37"/>
    <w:rsid w:val="106E2229"/>
    <w:rsid w:val="108C037D"/>
    <w:rsid w:val="10906E6C"/>
    <w:rsid w:val="11263B26"/>
    <w:rsid w:val="11A0AF8A"/>
    <w:rsid w:val="1201AA71"/>
    <w:rsid w:val="121506BE"/>
    <w:rsid w:val="122F24FA"/>
    <w:rsid w:val="1288EB3E"/>
    <w:rsid w:val="143B7F69"/>
    <w:rsid w:val="1447DBC9"/>
    <w:rsid w:val="14E43884"/>
    <w:rsid w:val="15B540E1"/>
    <w:rsid w:val="15F95701"/>
    <w:rsid w:val="1601F749"/>
    <w:rsid w:val="1607C457"/>
    <w:rsid w:val="16E6F0F5"/>
    <w:rsid w:val="16F5A46D"/>
    <w:rsid w:val="1739462E"/>
    <w:rsid w:val="182420C0"/>
    <w:rsid w:val="1839A57E"/>
    <w:rsid w:val="185241AF"/>
    <w:rsid w:val="18636EF2"/>
    <w:rsid w:val="18969A1F"/>
    <w:rsid w:val="19E36C37"/>
    <w:rsid w:val="1A03DC51"/>
    <w:rsid w:val="1A61B891"/>
    <w:rsid w:val="1B3F8BBC"/>
    <w:rsid w:val="1BB7AC85"/>
    <w:rsid w:val="1BC20A8B"/>
    <w:rsid w:val="1BCB0C98"/>
    <w:rsid w:val="1C1DC3C4"/>
    <w:rsid w:val="1C3825A4"/>
    <w:rsid w:val="1C8B08D4"/>
    <w:rsid w:val="1CA17398"/>
    <w:rsid w:val="1CA5AE93"/>
    <w:rsid w:val="1CCBE249"/>
    <w:rsid w:val="1CD4A60B"/>
    <w:rsid w:val="1CD6F304"/>
    <w:rsid w:val="1CE98166"/>
    <w:rsid w:val="1D44BC27"/>
    <w:rsid w:val="1D5709BA"/>
    <w:rsid w:val="1D96E243"/>
    <w:rsid w:val="1E670B3E"/>
    <w:rsid w:val="1E7A2E33"/>
    <w:rsid w:val="1E939C4C"/>
    <w:rsid w:val="1EEC0877"/>
    <w:rsid w:val="1F7B663F"/>
    <w:rsid w:val="1FBFA608"/>
    <w:rsid w:val="1FD57E1D"/>
    <w:rsid w:val="216D7F9D"/>
    <w:rsid w:val="221DD71F"/>
    <w:rsid w:val="22428294"/>
    <w:rsid w:val="22976AB1"/>
    <w:rsid w:val="22DEFB01"/>
    <w:rsid w:val="2301A62B"/>
    <w:rsid w:val="2318D9AA"/>
    <w:rsid w:val="2407A6B1"/>
    <w:rsid w:val="249785E8"/>
    <w:rsid w:val="24B12AB6"/>
    <w:rsid w:val="24E1BEE3"/>
    <w:rsid w:val="24EFDA51"/>
    <w:rsid w:val="2502CEAE"/>
    <w:rsid w:val="2519F6DD"/>
    <w:rsid w:val="252D4D46"/>
    <w:rsid w:val="25C035D3"/>
    <w:rsid w:val="25DCD188"/>
    <w:rsid w:val="260664B1"/>
    <w:rsid w:val="2612D6E8"/>
    <w:rsid w:val="27288F35"/>
    <w:rsid w:val="27491B77"/>
    <w:rsid w:val="2787A389"/>
    <w:rsid w:val="281403DA"/>
    <w:rsid w:val="282F2B70"/>
    <w:rsid w:val="2920B614"/>
    <w:rsid w:val="2968437C"/>
    <w:rsid w:val="29AFAD44"/>
    <w:rsid w:val="29E678FE"/>
    <w:rsid w:val="2A23283F"/>
    <w:rsid w:val="2A6529F1"/>
    <w:rsid w:val="2AC928F2"/>
    <w:rsid w:val="2B2E2A7E"/>
    <w:rsid w:val="2B52358F"/>
    <w:rsid w:val="2B7F2FA3"/>
    <w:rsid w:val="2B964A91"/>
    <w:rsid w:val="2BC6B14B"/>
    <w:rsid w:val="2BE1CBFE"/>
    <w:rsid w:val="2BE939F8"/>
    <w:rsid w:val="2CD45131"/>
    <w:rsid w:val="2D0EECBF"/>
    <w:rsid w:val="2D2EBF9C"/>
    <w:rsid w:val="2D44016B"/>
    <w:rsid w:val="2D67236B"/>
    <w:rsid w:val="2D6B8BBC"/>
    <w:rsid w:val="2E11CDE4"/>
    <w:rsid w:val="2E129426"/>
    <w:rsid w:val="2EC78B6D"/>
    <w:rsid w:val="2EF57B13"/>
    <w:rsid w:val="2F07A1B9"/>
    <w:rsid w:val="2F2785E0"/>
    <w:rsid w:val="2F82E677"/>
    <w:rsid w:val="2F935EC4"/>
    <w:rsid w:val="2F9A8613"/>
    <w:rsid w:val="30569C28"/>
    <w:rsid w:val="3088A7E3"/>
    <w:rsid w:val="3140A6FD"/>
    <w:rsid w:val="316BB676"/>
    <w:rsid w:val="328FA17F"/>
    <w:rsid w:val="32CE1BDB"/>
    <w:rsid w:val="333CFBD2"/>
    <w:rsid w:val="337F6883"/>
    <w:rsid w:val="33BB51C8"/>
    <w:rsid w:val="340D2EFD"/>
    <w:rsid w:val="34253FFD"/>
    <w:rsid w:val="34507817"/>
    <w:rsid w:val="3517B8F4"/>
    <w:rsid w:val="35190E21"/>
    <w:rsid w:val="358D1BEC"/>
    <w:rsid w:val="35BB1F3A"/>
    <w:rsid w:val="35DA5320"/>
    <w:rsid w:val="35E86FB6"/>
    <w:rsid w:val="36471BF9"/>
    <w:rsid w:val="366872E0"/>
    <w:rsid w:val="36A0A7B1"/>
    <w:rsid w:val="36D0DC33"/>
    <w:rsid w:val="36FCEB0A"/>
    <w:rsid w:val="372870C4"/>
    <w:rsid w:val="37326FEE"/>
    <w:rsid w:val="382E869C"/>
    <w:rsid w:val="387D608C"/>
    <w:rsid w:val="38D99A86"/>
    <w:rsid w:val="38FEB444"/>
    <w:rsid w:val="390EA147"/>
    <w:rsid w:val="39C1F5FB"/>
    <w:rsid w:val="3A755C95"/>
    <w:rsid w:val="3AE64AA0"/>
    <w:rsid w:val="3AF59B9D"/>
    <w:rsid w:val="3B096187"/>
    <w:rsid w:val="3B1F8DAC"/>
    <w:rsid w:val="3B376769"/>
    <w:rsid w:val="3B382773"/>
    <w:rsid w:val="3C08D204"/>
    <w:rsid w:val="3C5A0143"/>
    <w:rsid w:val="3C6F61F3"/>
    <w:rsid w:val="3C8A6851"/>
    <w:rsid w:val="3DD5231A"/>
    <w:rsid w:val="3DF4D574"/>
    <w:rsid w:val="3E0A03A8"/>
    <w:rsid w:val="3ED43311"/>
    <w:rsid w:val="3F1A9B86"/>
    <w:rsid w:val="3F9E3D41"/>
    <w:rsid w:val="402064D1"/>
    <w:rsid w:val="40536AB8"/>
    <w:rsid w:val="40D1F5D3"/>
    <w:rsid w:val="40D3B466"/>
    <w:rsid w:val="40D7734F"/>
    <w:rsid w:val="41D70663"/>
    <w:rsid w:val="422CF94D"/>
    <w:rsid w:val="425330E4"/>
    <w:rsid w:val="42F9D605"/>
    <w:rsid w:val="43647ABF"/>
    <w:rsid w:val="436A95AA"/>
    <w:rsid w:val="437C1053"/>
    <w:rsid w:val="43C73FAC"/>
    <w:rsid w:val="43CEC54F"/>
    <w:rsid w:val="43DDAF33"/>
    <w:rsid w:val="43E4903C"/>
    <w:rsid w:val="4468FCF9"/>
    <w:rsid w:val="448AA933"/>
    <w:rsid w:val="451E053C"/>
    <w:rsid w:val="4523C704"/>
    <w:rsid w:val="45AF0149"/>
    <w:rsid w:val="46875709"/>
    <w:rsid w:val="474A262C"/>
    <w:rsid w:val="47856ACB"/>
    <w:rsid w:val="478898AB"/>
    <w:rsid w:val="478C1CEE"/>
    <w:rsid w:val="48250DA4"/>
    <w:rsid w:val="4874009C"/>
    <w:rsid w:val="4878D0BA"/>
    <w:rsid w:val="4884D61D"/>
    <w:rsid w:val="48B4A4C7"/>
    <w:rsid w:val="48D51217"/>
    <w:rsid w:val="49AD8753"/>
    <w:rsid w:val="4A2A4194"/>
    <w:rsid w:val="4A4D5197"/>
    <w:rsid w:val="4A6DA419"/>
    <w:rsid w:val="4ADE43A9"/>
    <w:rsid w:val="4AE71A29"/>
    <w:rsid w:val="4B698CF1"/>
    <w:rsid w:val="4C52D5BA"/>
    <w:rsid w:val="4C78471D"/>
    <w:rsid w:val="4CD99A37"/>
    <w:rsid w:val="4CF092BB"/>
    <w:rsid w:val="4E1494A3"/>
    <w:rsid w:val="4ECC2BDE"/>
    <w:rsid w:val="4F33AE2B"/>
    <w:rsid w:val="4F6B23F7"/>
    <w:rsid w:val="4FACE8D4"/>
    <w:rsid w:val="500D09AA"/>
    <w:rsid w:val="513BA672"/>
    <w:rsid w:val="51489512"/>
    <w:rsid w:val="51EFB619"/>
    <w:rsid w:val="529F0996"/>
    <w:rsid w:val="5339CA4B"/>
    <w:rsid w:val="534701C8"/>
    <w:rsid w:val="5471A0D5"/>
    <w:rsid w:val="54CEB28A"/>
    <w:rsid w:val="54E24E79"/>
    <w:rsid w:val="55187853"/>
    <w:rsid w:val="563189F1"/>
    <w:rsid w:val="56DA9B3F"/>
    <w:rsid w:val="581F28A4"/>
    <w:rsid w:val="5884A893"/>
    <w:rsid w:val="593B0EB7"/>
    <w:rsid w:val="59739B99"/>
    <w:rsid w:val="59F5E0BB"/>
    <w:rsid w:val="59FE47FC"/>
    <w:rsid w:val="5A4EF062"/>
    <w:rsid w:val="5A7A7543"/>
    <w:rsid w:val="5A935187"/>
    <w:rsid w:val="5C4A5A70"/>
    <w:rsid w:val="5C74C57F"/>
    <w:rsid w:val="5C99098D"/>
    <w:rsid w:val="5CB93F86"/>
    <w:rsid w:val="5CC4CFC0"/>
    <w:rsid w:val="5D1F2D39"/>
    <w:rsid w:val="5D326E9F"/>
    <w:rsid w:val="5D72FAD2"/>
    <w:rsid w:val="5DA96143"/>
    <w:rsid w:val="5DE3A848"/>
    <w:rsid w:val="5E36ECB3"/>
    <w:rsid w:val="5E73BCBD"/>
    <w:rsid w:val="5F049118"/>
    <w:rsid w:val="5F2203E2"/>
    <w:rsid w:val="6015839C"/>
    <w:rsid w:val="601D5B69"/>
    <w:rsid w:val="60511540"/>
    <w:rsid w:val="60C48100"/>
    <w:rsid w:val="60EE2A53"/>
    <w:rsid w:val="60F70DC7"/>
    <w:rsid w:val="6116F39F"/>
    <w:rsid w:val="612D1306"/>
    <w:rsid w:val="61B81C8C"/>
    <w:rsid w:val="61BE1A23"/>
    <w:rsid w:val="61E37540"/>
    <w:rsid w:val="6222FFB9"/>
    <w:rsid w:val="625A02ED"/>
    <w:rsid w:val="62AA584A"/>
    <w:rsid w:val="63062528"/>
    <w:rsid w:val="630AFE56"/>
    <w:rsid w:val="63709690"/>
    <w:rsid w:val="6403E805"/>
    <w:rsid w:val="64362722"/>
    <w:rsid w:val="64572FF8"/>
    <w:rsid w:val="64CB1315"/>
    <w:rsid w:val="64EE3241"/>
    <w:rsid w:val="65403AE6"/>
    <w:rsid w:val="65571AA3"/>
    <w:rsid w:val="656877EB"/>
    <w:rsid w:val="65EE5D49"/>
    <w:rsid w:val="6612E591"/>
    <w:rsid w:val="663E0012"/>
    <w:rsid w:val="6687E667"/>
    <w:rsid w:val="66BB9754"/>
    <w:rsid w:val="66D15783"/>
    <w:rsid w:val="6716F287"/>
    <w:rsid w:val="671CD1CF"/>
    <w:rsid w:val="676348A8"/>
    <w:rsid w:val="679D75DD"/>
    <w:rsid w:val="679FF76D"/>
    <w:rsid w:val="67E1D20A"/>
    <w:rsid w:val="683BACF5"/>
    <w:rsid w:val="6843E62B"/>
    <w:rsid w:val="686044DE"/>
    <w:rsid w:val="688012E9"/>
    <w:rsid w:val="68C5DD00"/>
    <w:rsid w:val="690BCB50"/>
    <w:rsid w:val="699619C8"/>
    <w:rsid w:val="69F3DA35"/>
    <w:rsid w:val="6A7F6F50"/>
    <w:rsid w:val="6ACA6C42"/>
    <w:rsid w:val="6AE5F232"/>
    <w:rsid w:val="6B8D0A1D"/>
    <w:rsid w:val="6B9287CC"/>
    <w:rsid w:val="6BF12988"/>
    <w:rsid w:val="6C73B4D8"/>
    <w:rsid w:val="6CC31860"/>
    <w:rsid w:val="6DB291DC"/>
    <w:rsid w:val="6E282BA7"/>
    <w:rsid w:val="6E48E4CE"/>
    <w:rsid w:val="6E7F870D"/>
    <w:rsid w:val="6EAC2787"/>
    <w:rsid w:val="6EB6FA30"/>
    <w:rsid w:val="6F388CD7"/>
    <w:rsid w:val="6F53E27F"/>
    <w:rsid w:val="6F5943E1"/>
    <w:rsid w:val="6F693A5F"/>
    <w:rsid w:val="6F6F77CD"/>
    <w:rsid w:val="6FAB0808"/>
    <w:rsid w:val="700B9871"/>
    <w:rsid w:val="7021406C"/>
    <w:rsid w:val="703FE440"/>
    <w:rsid w:val="7179DB9C"/>
    <w:rsid w:val="7193F70A"/>
    <w:rsid w:val="7255FEFF"/>
    <w:rsid w:val="73121C72"/>
    <w:rsid w:val="73D4B991"/>
    <w:rsid w:val="742BAC98"/>
    <w:rsid w:val="745528E2"/>
    <w:rsid w:val="74760FA7"/>
    <w:rsid w:val="749368E7"/>
    <w:rsid w:val="74A9CFD0"/>
    <w:rsid w:val="74E1C7B2"/>
    <w:rsid w:val="754CFF71"/>
    <w:rsid w:val="7584A0CB"/>
    <w:rsid w:val="758B19E3"/>
    <w:rsid w:val="75CBD19E"/>
    <w:rsid w:val="75FC9AFE"/>
    <w:rsid w:val="769F10B3"/>
    <w:rsid w:val="77134AF7"/>
    <w:rsid w:val="7729D1D6"/>
    <w:rsid w:val="77710531"/>
    <w:rsid w:val="777DA26D"/>
    <w:rsid w:val="77C8E73D"/>
    <w:rsid w:val="77CCB67A"/>
    <w:rsid w:val="77F8E558"/>
    <w:rsid w:val="784BEBDE"/>
    <w:rsid w:val="78BFC757"/>
    <w:rsid w:val="796D6F86"/>
    <w:rsid w:val="7A01AB75"/>
    <w:rsid w:val="7A631BDF"/>
    <w:rsid w:val="7B513A09"/>
    <w:rsid w:val="7C40CA1E"/>
    <w:rsid w:val="7D09673C"/>
    <w:rsid w:val="7D53BFF6"/>
    <w:rsid w:val="7DE7B133"/>
    <w:rsid w:val="7E0E5CF0"/>
    <w:rsid w:val="7E34F194"/>
    <w:rsid w:val="7F1B478B"/>
    <w:rsid w:val="7F4703BC"/>
    <w:rsid w:val="7FA37394"/>
    <w:rsid w:val="7FD2995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3E32D95-AC5A-4A30-8DC5-C34E5316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515131"/>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h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6"/>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6"/>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aSimples-1">
    <w:name w:val="Table Simple 1"/>
    <w:basedOn w:val="Tabelanormal"/>
    <w:semiHidden/>
    <w:rsid w:val="000E414A"/>
    <w:pPr>
      <w:numPr>
        <w:ilvl w:val="3"/>
        <w:numId w:val="6"/>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rio">
    <w:name w:val="annotation reference"/>
    <w:basedOn w:val="Fontepargpadro"/>
    <w:uiPriority w:val="99"/>
    <w:semiHidden/>
    <w:unhideWhenUsed/>
    <w:rsid w:val="004577FE"/>
    <w:rPr>
      <w:sz w:val="16"/>
      <w:szCs w:val="16"/>
    </w:rPr>
  </w:style>
  <w:style w:type="paragraph" w:styleId="Textodebalo">
    <w:name w:val="Balloon Text"/>
    <w:basedOn w:val="Normal"/>
    <w:link w:val="TextodebaloChar"/>
    <w:uiPriority w:val="99"/>
    <w:semiHidden/>
    <w:unhideWhenUsed/>
    <w:rsid w:val="000D34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texto2">
    <w:name w:val="Body Text 2"/>
    <w:basedOn w:val="Normal"/>
    <w:link w:val="Corpodetexto2Char"/>
    <w:uiPriority w:val="99"/>
    <w:semiHidden/>
    <w:unhideWhenUsed/>
    <w:rsid w:val="0003148D"/>
    <w:pPr>
      <w:spacing w:after="120" w:line="480" w:lineRule="auto"/>
    </w:pPr>
  </w:style>
  <w:style w:type="character" w:customStyle="1" w:styleId="Corpodetexto2Char">
    <w:name w:val="Corpo de texto 2 Char"/>
    <w:basedOn w:val="Fontepargpadro"/>
    <w:link w:val="Corpodetexto2"/>
    <w:uiPriority w:val="99"/>
    <w:semiHidden/>
    <w:rsid w:val="0003148D"/>
  </w:style>
  <w:style w:type="paragraph" w:styleId="Corpodetexto3">
    <w:name w:val="Body Text 3"/>
    <w:basedOn w:val="Normal"/>
    <w:link w:val="Corpodetexto3Char"/>
    <w:uiPriority w:val="99"/>
    <w:semiHidden/>
    <w:unhideWhenUsed/>
    <w:rsid w:val="0003148D"/>
    <w:pPr>
      <w:spacing w:after="120"/>
    </w:pPr>
    <w:rPr>
      <w:sz w:val="16"/>
      <w:szCs w:val="16"/>
    </w:rPr>
  </w:style>
  <w:style w:type="character" w:customStyle="1" w:styleId="Corpodetexto3Char">
    <w:name w:val="Corpo de texto 3 Char"/>
    <w:basedOn w:val="Fontepargpadro"/>
    <w:link w:val="Corpodetexto3"/>
    <w:uiPriority w:val="99"/>
    <w:semiHidden/>
    <w:rsid w:val="0003148D"/>
    <w:rPr>
      <w:sz w:val="16"/>
      <w:szCs w:val="16"/>
    </w:rPr>
  </w:style>
  <w:style w:type="paragraph" w:styleId="Corpodetexto">
    <w:name w:val="Body Text"/>
    <w:basedOn w:val="Normal"/>
    <w:link w:val="CorpodetextoChar"/>
    <w:uiPriority w:val="99"/>
    <w:semiHidden/>
    <w:unhideWhenUsed/>
    <w:rsid w:val="0003148D"/>
    <w:pPr>
      <w:spacing w:after="120"/>
    </w:pPr>
  </w:style>
  <w:style w:type="character" w:customStyle="1" w:styleId="CorpodetextoChar">
    <w:name w:val="Corpo de texto Char"/>
    <w:basedOn w:val="Fontepargpadro"/>
    <w:link w:val="Corpodetexto"/>
    <w:uiPriority w:val="99"/>
    <w:semiHidden/>
    <w:rsid w:val="0003148D"/>
  </w:style>
  <w:style w:type="paragraph" w:styleId="Data">
    <w:name w:val="Date"/>
    <w:basedOn w:val="Normal"/>
    <w:next w:val="Normal"/>
    <w:link w:val="DataChar"/>
    <w:uiPriority w:val="99"/>
    <w:semiHidden/>
    <w:unhideWhenUsed/>
    <w:rsid w:val="0003148D"/>
  </w:style>
  <w:style w:type="character" w:customStyle="1" w:styleId="DataChar">
    <w:name w:val="Data Char"/>
    <w:basedOn w:val="Fontepargpadro"/>
    <w:link w:val="Data"/>
    <w:uiPriority w:val="99"/>
    <w:semiHidden/>
    <w:rsid w:val="0003148D"/>
  </w:style>
  <w:style w:type="paragraph" w:styleId="Legenda">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Listadecontinuao">
    <w:name w:val="List Continue"/>
    <w:basedOn w:val="Normal"/>
    <w:uiPriority w:val="99"/>
    <w:semiHidden/>
    <w:unhideWhenUsed/>
    <w:rsid w:val="0003148D"/>
    <w:pPr>
      <w:spacing w:after="120"/>
      <w:ind w:left="283"/>
      <w:contextualSpacing/>
    </w:pPr>
  </w:style>
  <w:style w:type="paragraph" w:styleId="Listadecontinuao2">
    <w:name w:val="List Continue 2"/>
    <w:basedOn w:val="Normal"/>
    <w:uiPriority w:val="99"/>
    <w:semiHidden/>
    <w:unhideWhenUsed/>
    <w:rsid w:val="0003148D"/>
    <w:pPr>
      <w:spacing w:after="120"/>
      <w:ind w:left="566"/>
      <w:contextualSpacing/>
    </w:pPr>
  </w:style>
  <w:style w:type="paragraph" w:styleId="Listadecontinuao3">
    <w:name w:val="List Continue 3"/>
    <w:basedOn w:val="Normal"/>
    <w:uiPriority w:val="99"/>
    <w:semiHidden/>
    <w:unhideWhenUsed/>
    <w:rsid w:val="0003148D"/>
    <w:pPr>
      <w:spacing w:after="120"/>
      <w:ind w:left="849"/>
      <w:contextualSpacing/>
    </w:pPr>
  </w:style>
  <w:style w:type="paragraph" w:styleId="Listadecontinuao4">
    <w:name w:val="List Continue 4"/>
    <w:basedOn w:val="Normal"/>
    <w:uiPriority w:val="99"/>
    <w:semiHidden/>
    <w:unhideWhenUsed/>
    <w:rsid w:val="0003148D"/>
    <w:pPr>
      <w:spacing w:after="120"/>
      <w:ind w:left="1132"/>
      <w:contextualSpacing/>
    </w:pPr>
  </w:style>
  <w:style w:type="paragraph" w:styleId="Listadecontinuao5">
    <w:name w:val="List Continue 5"/>
    <w:basedOn w:val="Normal"/>
    <w:uiPriority w:val="99"/>
    <w:semiHidden/>
    <w:unhideWhenUsed/>
    <w:rsid w:val="0003148D"/>
    <w:pPr>
      <w:spacing w:after="120"/>
      <w:ind w:left="1415"/>
      <w:contextualSpacing/>
    </w:pPr>
  </w:style>
  <w:style w:type="paragraph" w:styleId="Assinatura">
    <w:name w:val="Signature"/>
    <w:basedOn w:val="Normal"/>
    <w:link w:val="AssinaturaChar"/>
    <w:uiPriority w:val="99"/>
    <w:semiHidden/>
    <w:unhideWhenUsed/>
    <w:rsid w:val="0003148D"/>
    <w:pPr>
      <w:spacing w:line="240" w:lineRule="auto"/>
      <w:ind w:left="4252"/>
    </w:pPr>
  </w:style>
  <w:style w:type="character" w:customStyle="1" w:styleId="AssinaturaChar">
    <w:name w:val="Assinatura Char"/>
    <w:basedOn w:val="Fontepargpadro"/>
    <w:link w:val="Assinatura"/>
    <w:uiPriority w:val="99"/>
    <w:semiHidden/>
    <w:rsid w:val="0003148D"/>
  </w:style>
  <w:style w:type="paragraph" w:styleId="AssinaturadeEmail">
    <w:name w:val="E-mail Signature"/>
    <w:basedOn w:val="Normal"/>
    <w:link w:val="AssinaturadeEmailChar"/>
    <w:uiPriority w:val="99"/>
    <w:semiHidden/>
    <w:unhideWhenUsed/>
    <w:rsid w:val="0003148D"/>
    <w:pPr>
      <w:spacing w:line="240" w:lineRule="auto"/>
    </w:pPr>
  </w:style>
  <w:style w:type="character" w:customStyle="1" w:styleId="AssinaturadeEmailChar">
    <w:name w:val="Assinatura de Email Char"/>
    <w:basedOn w:val="Fontepargpadro"/>
    <w:link w:val="AssinaturadeEmail"/>
    <w:uiPriority w:val="99"/>
    <w:semiHidden/>
    <w:rsid w:val="0003148D"/>
  </w:style>
  <w:style w:type="paragraph" w:styleId="Saudao">
    <w:name w:val="Salutation"/>
    <w:basedOn w:val="Normal"/>
    <w:next w:val="Normal"/>
    <w:link w:val="SaudaoChar"/>
    <w:uiPriority w:val="99"/>
    <w:semiHidden/>
    <w:unhideWhenUsed/>
    <w:rsid w:val="0003148D"/>
  </w:style>
  <w:style w:type="character" w:customStyle="1" w:styleId="SaudaoChar">
    <w:name w:val="Saudação Char"/>
    <w:basedOn w:val="Fontepargpadro"/>
    <w:link w:val="Saudao"/>
    <w:uiPriority w:val="99"/>
    <w:semiHidden/>
    <w:rsid w:val="0003148D"/>
  </w:style>
  <w:style w:type="paragraph" w:styleId="Encerramento">
    <w:name w:val="Closing"/>
    <w:basedOn w:val="Normal"/>
    <w:link w:val="EncerramentoChar"/>
    <w:uiPriority w:val="99"/>
    <w:semiHidden/>
    <w:unhideWhenUsed/>
    <w:rsid w:val="0003148D"/>
    <w:pPr>
      <w:spacing w:line="240" w:lineRule="auto"/>
      <w:ind w:left="4252"/>
    </w:pPr>
  </w:style>
  <w:style w:type="character" w:customStyle="1" w:styleId="EncerramentoChar">
    <w:name w:val="Encerramento Char"/>
    <w:basedOn w:val="Fontepargpadro"/>
    <w:link w:val="Encerramento"/>
    <w:uiPriority w:val="99"/>
    <w:semiHidden/>
    <w:rsid w:val="0003148D"/>
  </w:style>
  <w:style w:type="paragraph" w:styleId="Remissivo1">
    <w:name w:val="index 1"/>
    <w:basedOn w:val="Normal"/>
    <w:next w:val="Normal"/>
    <w:autoRedefine/>
    <w:uiPriority w:val="99"/>
    <w:semiHidden/>
    <w:unhideWhenUsed/>
    <w:rsid w:val="0003148D"/>
    <w:pPr>
      <w:spacing w:line="240" w:lineRule="auto"/>
      <w:ind w:left="220" w:hanging="220"/>
    </w:pPr>
  </w:style>
  <w:style w:type="paragraph" w:styleId="Remissivo2">
    <w:name w:val="index 2"/>
    <w:basedOn w:val="Normal"/>
    <w:next w:val="Normal"/>
    <w:autoRedefine/>
    <w:uiPriority w:val="99"/>
    <w:semiHidden/>
    <w:unhideWhenUsed/>
    <w:rsid w:val="0003148D"/>
    <w:pPr>
      <w:spacing w:line="240" w:lineRule="auto"/>
      <w:ind w:left="440" w:hanging="220"/>
    </w:pPr>
  </w:style>
  <w:style w:type="paragraph" w:styleId="Remissivo3">
    <w:name w:val="index 3"/>
    <w:basedOn w:val="Normal"/>
    <w:next w:val="Normal"/>
    <w:autoRedefine/>
    <w:uiPriority w:val="99"/>
    <w:semiHidden/>
    <w:unhideWhenUsed/>
    <w:rsid w:val="0003148D"/>
    <w:pPr>
      <w:spacing w:line="240" w:lineRule="auto"/>
      <w:ind w:left="660" w:hanging="220"/>
    </w:pPr>
  </w:style>
  <w:style w:type="paragraph" w:styleId="Remissivo4">
    <w:name w:val="index 4"/>
    <w:basedOn w:val="Normal"/>
    <w:next w:val="Normal"/>
    <w:autoRedefine/>
    <w:uiPriority w:val="99"/>
    <w:semiHidden/>
    <w:unhideWhenUsed/>
    <w:rsid w:val="0003148D"/>
    <w:pPr>
      <w:spacing w:line="240" w:lineRule="auto"/>
      <w:ind w:left="880" w:hanging="220"/>
    </w:pPr>
  </w:style>
  <w:style w:type="paragraph" w:styleId="Remissivo5">
    <w:name w:val="index 5"/>
    <w:basedOn w:val="Normal"/>
    <w:next w:val="Normal"/>
    <w:autoRedefine/>
    <w:uiPriority w:val="99"/>
    <w:semiHidden/>
    <w:unhideWhenUsed/>
    <w:rsid w:val="0003148D"/>
    <w:pPr>
      <w:spacing w:line="240" w:lineRule="auto"/>
      <w:ind w:left="1100" w:hanging="220"/>
    </w:pPr>
  </w:style>
  <w:style w:type="paragraph" w:styleId="Remissivo6">
    <w:name w:val="index 6"/>
    <w:basedOn w:val="Normal"/>
    <w:next w:val="Normal"/>
    <w:autoRedefine/>
    <w:uiPriority w:val="99"/>
    <w:semiHidden/>
    <w:unhideWhenUsed/>
    <w:rsid w:val="0003148D"/>
    <w:pPr>
      <w:spacing w:line="240" w:lineRule="auto"/>
      <w:ind w:left="1320" w:hanging="220"/>
    </w:pPr>
  </w:style>
  <w:style w:type="paragraph" w:styleId="Remissivo7">
    <w:name w:val="index 7"/>
    <w:basedOn w:val="Normal"/>
    <w:next w:val="Normal"/>
    <w:autoRedefine/>
    <w:uiPriority w:val="99"/>
    <w:semiHidden/>
    <w:unhideWhenUsed/>
    <w:rsid w:val="0003148D"/>
    <w:pPr>
      <w:spacing w:line="240" w:lineRule="auto"/>
      <w:ind w:left="1540" w:hanging="220"/>
    </w:pPr>
  </w:style>
  <w:style w:type="paragraph" w:styleId="Remissivo8">
    <w:name w:val="index 8"/>
    <w:basedOn w:val="Normal"/>
    <w:next w:val="Normal"/>
    <w:autoRedefine/>
    <w:uiPriority w:val="99"/>
    <w:semiHidden/>
    <w:unhideWhenUsed/>
    <w:rsid w:val="0003148D"/>
    <w:pPr>
      <w:spacing w:line="240" w:lineRule="auto"/>
      <w:ind w:left="1760" w:hanging="220"/>
    </w:pPr>
  </w:style>
  <w:style w:type="paragraph" w:styleId="Remissivo9">
    <w:name w:val="index 9"/>
    <w:basedOn w:val="Normal"/>
    <w:next w:val="Normal"/>
    <w:autoRedefine/>
    <w:uiPriority w:val="99"/>
    <w:semiHidden/>
    <w:unhideWhenUsed/>
    <w:rsid w:val="0003148D"/>
    <w:pPr>
      <w:spacing w:line="240" w:lineRule="auto"/>
      <w:ind w:left="1980" w:hanging="220"/>
    </w:pPr>
  </w:style>
  <w:style w:type="paragraph" w:styleId="ndicedeilustraes">
    <w:name w:val="table of figures"/>
    <w:basedOn w:val="Normal"/>
    <w:next w:val="Normal"/>
    <w:uiPriority w:val="99"/>
    <w:semiHidden/>
    <w:unhideWhenUsed/>
    <w:rsid w:val="0003148D"/>
  </w:style>
  <w:style w:type="paragraph" w:styleId="ndicedeautoridades">
    <w:name w:val="table of authorities"/>
    <w:basedOn w:val="Normal"/>
    <w:next w:val="Normal"/>
    <w:uiPriority w:val="99"/>
    <w:semiHidden/>
    <w:unhideWhenUsed/>
    <w:rsid w:val="0003148D"/>
    <w:pPr>
      <w:ind w:left="220" w:hanging="220"/>
    </w:pPr>
  </w:style>
  <w:style w:type="paragraph" w:styleId="Destinatrio">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dereoHTML">
    <w:name w:val="HTML Address"/>
    <w:basedOn w:val="Normal"/>
    <w:link w:val="EndereoHTMLChar"/>
    <w:uiPriority w:val="99"/>
    <w:semiHidden/>
    <w:unhideWhenUsed/>
    <w:rsid w:val="0003148D"/>
    <w:pPr>
      <w:spacing w:line="240" w:lineRule="auto"/>
    </w:pPr>
    <w:rPr>
      <w:i/>
      <w:iCs/>
    </w:rPr>
  </w:style>
  <w:style w:type="character" w:customStyle="1" w:styleId="EndereoHTMLChar">
    <w:name w:val="Endereço HTML Char"/>
    <w:basedOn w:val="Fontepargpadro"/>
    <w:link w:val="EndereoHTML"/>
    <w:uiPriority w:val="99"/>
    <w:semiHidden/>
    <w:rsid w:val="0003148D"/>
    <w:rPr>
      <w:i/>
      <w:iCs/>
    </w:rPr>
  </w:style>
  <w:style w:type="paragraph" w:styleId="Remetent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Cabealhodamensagem">
    <w:name w:val="Message Header"/>
    <w:basedOn w:val="Normal"/>
    <w:link w:val="Cabealhodamensagem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03148D"/>
    <w:rPr>
      <w:rFonts w:asciiTheme="majorHAnsi" w:eastAsiaTheme="majorEastAsia" w:hAnsiTheme="majorHAnsi" w:cstheme="majorBidi"/>
      <w:sz w:val="24"/>
      <w:szCs w:val="24"/>
      <w:shd w:val="pct20" w:color="auto" w:fill="auto"/>
    </w:rPr>
  </w:style>
  <w:style w:type="paragraph" w:styleId="Ttulodanota">
    <w:name w:val="Note Heading"/>
    <w:basedOn w:val="Normal"/>
    <w:next w:val="Normal"/>
    <w:link w:val="TtulodanotaChar"/>
    <w:uiPriority w:val="99"/>
    <w:semiHidden/>
    <w:unhideWhenUsed/>
    <w:rsid w:val="0003148D"/>
    <w:pPr>
      <w:spacing w:line="240" w:lineRule="auto"/>
    </w:pPr>
  </w:style>
  <w:style w:type="character" w:customStyle="1" w:styleId="TtulodanotaChar">
    <w:name w:val="Título da nota Char"/>
    <w:basedOn w:val="Fontepargpadro"/>
    <w:link w:val="Ttulodanota"/>
    <w:uiPriority w:val="99"/>
    <w:semiHidden/>
    <w:rsid w:val="0003148D"/>
  </w:style>
  <w:style w:type="paragraph" w:styleId="MapadoDocumento">
    <w:name w:val="Document Map"/>
    <w:basedOn w:val="Normal"/>
    <w:link w:val="MapadoDocumentoChar"/>
    <w:uiPriority w:val="99"/>
    <w:semiHidden/>
    <w:unhideWhenUsed/>
    <w:rsid w:val="0003148D"/>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Numerada">
    <w:name w:val="List Number"/>
    <w:basedOn w:val="Normal"/>
    <w:uiPriority w:val="99"/>
    <w:semiHidden/>
    <w:unhideWhenUsed/>
    <w:rsid w:val="0003148D"/>
    <w:pPr>
      <w:numPr>
        <w:numId w:val="7"/>
      </w:numPr>
      <w:contextualSpacing/>
    </w:pPr>
  </w:style>
  <w:style w:type="paragraph" w:styleId="Numerada2">
    <w:name w:val="List Number 2"/>
    <w:basedOn w:val="Normal"/>
    <w:uiPriority w:val="99"/>
    <w:semiHidden/>
    <w:unhideWhenUsed/>
    <w:rsid w:val="0003148D"/>
    <w:pPr>
      <w:numPr>
        <w:numId w:val="8"/>
      </w:numPr>
      <w:contextualSpacing/>
    </w:pPr>
  </w:style>
  <w:style w:type="paragraph" w:styleId="Numerada3">
    <w:name w:val="List Number 3"/>
    <w:basedOn w:val="Normal"/>
    <w:uiPriority w:val="99"/>
    <w:semiHidden/>
    <w:unhideWhenUsed/>
    <w:rsid w:val="0003148D"/>
    <w:pPr>
      <w:numPr>
        <w:numId w:val="9"/>
      </w:numPr>
      <w:contextualSpacing/>
    </w:pPr>
  </w:style>
  <w:style w:type="paragraph" w:styleId="Numerada4">
    <w:name w:val="List Number 4"/>
    <w:basedOn w:val="Normal"/>
    <w:uiPriority w:val="99"/>
    <w:semiHidden/>
    <w:unhideWhenUsed/>
    <w:rsid w:val="0003148D"/>
    <w:pPr>
      <w:numPr>
        <w:numId w:val="10"/>
      </w:numPr>
      <w:contextualSpacing/>
    </w:pPr>
  </w:style>
  <w:style w:type="paragraph" w:styleId="Numerada5">
    <w:name w:val="List Number 5"/>
    <w:basedOn w:val="Normal"/>
    <w:uiPriority w:val="99"/>
    <w:semiHidden/>
    <w:unhideWhenUsed/>
    <w:rsid w:val="0003148D"/>
    <w:pPr>
      <w:numPr>
        <w:numId w:val="11"/>
      </w:numPr>
      <w:contextualSpacing/>
    </w:pPr>
  </w:style>
  <w:style w:type="paragraph" w:styleId="Pr-formataoHTML">
    <w:name w:val="HTML Preformatted"/>
    <w:basedOn w:val="Normal"/>
    <w:link w:val="Pr-formataoHTMLChar"/>
    <w:uiPriority w:val="99"/>
    <w:semiHidden/>
    <w:unhideWhenUsed/>
    <w:rsid w:val="0003148D"/>
    <w:pPr>
      <w:spacing w:line="240" w:lineRule="auto"/>
    </w:pPr>
    <w:rPr>
      <w:rFonts w:ascii="Consolas" w:hAnsi="Consolas" w:cs="Consolas"/>
    </w:rPr>
  </w:style>
  <w:style w:type="character" w:customStyle="1" w:styleId="Pr-formataoHTMLChar">
    <w:name w:val="Pré-formatação HTML Char"/>
    <w:basedOn w:val="Fontepargpadro"/>
    <w:link w:val="Pr-formataoHTML"/>
    <w:uiPriority w:val="99"/>
    <w:semiHidden/>
    <w:rsid w:val="0003148D"/>
    <w:rPr>
      <w:rFonts w:ascii="Consolas" w:hAnsi="Consolas" w:cs="Consolas"/>
      <w:sz w:val="20"/>
      <w:szCs w:val="20"/>
    </w:rPr>
  </w:style>
  <w:style w:type="paragraph" w:styleId="Primeirorecuodecorpodetexto">
    <w:name w:val="Body Text First Indent"/>
    <w:basedOn w:val="Corpodetexto"/>
    <w:link w:val="PrimeirorecuodecorpodetextoChar"/>
    <w:uiPriority w:val="99"/>
    <w:semiHidden/>
    <w:unhideWhenUsed/>
    <w:rsid w:val="0003148D"/>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rsid w:val="0003148D"/>
  </w:style>
  <w:style w:type="paragraph" w:styleId="Recuodecorpodetexto">
    <w:name w:val="Body Text Indent"/>
    <w:basedOn w:val="Normal"/>
    <w:link w:val="RecuodecorpodetextoChar"/>
    <w:uiPriority w:val="99"/>
    <w:semiHidden/>
    <w:unhideWhenUsed/>
    <w:rsid w:val="0003148D"/>
    <w:pPr>
      <w:spacing w:after="120"/>
      <w:ind w:left="283"/>
    </w:pPr>
  </w:style>
  <w:style w:type="character" w:customStyle="1" w:styleId="RecuodecorpodetextoChar">
    <w:name w:val="Recuo de corpo de texto Char"/>
    <w:basedOn w:val="Fontepargpadro"/>
    <w:link w:val="Recuodecorpodetexto"/>
    <w:uiPriority w:val="99"/>
    <w:semiHidden/>
    <w:rsid w:val="0003148D"/>
  </w:style>
  <w:style w:type="paragraph" w:styleId="Primeirorecuodecorpodetexto2">
    <w:name w:val="Body Text First Indent 2"/>
    <w:basedOn w:val="Recuodecorpodetexto"/>
    <w:link w:val="Primeirorecuodecorpodetexto2Char"/>
    <w:uiPriority w:val="99"/>
    <w:semiHidden/>
    <w:unhideWhenUsed/>
    <w:rsid w:val="0003148D"/>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03148D"/>
  </w:style>
  <w:style w:type="paragraph" w:styleId="Commarcadores">
    <w:name w:val="List Bullet"/>
    <w:basedOn w:val="Normal"/>
    <w:uiPriority w:val="99"/>
    <w:semiHidden/>
    <w:unhideWhenUsed/>
    <w:rsid w:val="0003148D"/>
    <w:pPr>
      <w:numPr>
        <w:numId w:val="12"/>
      </w:numPr>
      <w:contextualSpacing/>
    </w:pPr>
  </w:style>
  <w:style w:type="paragraph" w:styleId="Commarcadores2">
    <w:name w:val="List Bullet 2"/>
    <w:basedOn w:val="Normal"/>
    <w:uiPriority w:val="99"/>
    <w:semiHidden/>
    <w:unhideWhenUsed/>
    <w:rsid w:val="0003148D"/>
    <w:pPr>
      <w:numPr>
        <w:numId w:val="13"/>
      </w:numPr>
      <w:contextualSpacing/>
    </w:pPr>
  </w:style>
  <w:style w:type="paragraph" w:styleId="Commarcadores3">
    <w:name w:val="List Bullet 3"/>
    <w:basedOn w:val="Normal"/>
    <w:uiPriority w:val="99"/>
    <w:semiHidden/>
    <w:unhideWhenUsed/>
    <w:rsid w:val="0003148D"/>
    <w:pPr>
      <w:numPr>
        <w:numId w:val="14"/>
      </w:numPr>
      <w:contextualSpacing/>
    </w:pPr>
  </w:style>
  <w:style w:type="paragraph" w:styleId="Commarcadores4">
    <w:name w:val="List Bullet 4"/>
    <w:basedOn w:val="Normal"/>
    <w:uiPriority w:val="99"/>
    <w:semiHidden/>
    <w:unhideWhenUsed/>
    <w:rsid w:val="0003148D"/>
    <w:pPr>
      <w:numPr>
        <w:numId w:val="15"/>
      </w:numPr>
      <w:contextualSpacing/>
    </w:pPr>
  </w:style>
  <w:style w:type="paragraph" w:styleId="Commarcadores5">
    <w:name w:val="List Bullet 5"/>
    <w:basedOn w:val="Normal"/>
    <w:uiPriority w:val="99"/>
    <w:semiHidden/>
    <w:unhideWhenUsed/>
    <w:rsid w:val="0003148D"/>
    <w:pPr>
      <w:numPr>
        <w:numId w:val="16"/>
      </w:numPr>
      <w:contextualSpacing/>
    </w:pPr>
  </w:style>
  <w:style w:type="paragraph" w:styleId="Recuodecorpodetexto2">
    <w:name w:val="Body Text Indent 2"/>
    <w:basedOn w:val="Normal"/>
    <w:link w:val="Recuodecorpodetexto2Char"/>
    <w:uiPriority w:val="99"/>
    <w:semiHidden/>
    <w:unhideWhenUsed/>
    <w:rsid w:val="0003148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3148D"/>
  </w:style>
  <w:style w:type="paragraph" w:styleId="Recuodecorpodetexto3">
    <w:name w:val="Body Text Indent 3"/>
    <w:basedOn w:val="Normal"/>
    <w:link w:val="Recuodecorpodetexto3Char"/>
    <w:uiPriority w:val="99"/>
    <w:semiHidden/>
    <w:unhideWhenUsed/>
    <w:rsid w:val="0003148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3148D"/>
    <w:rPr>
      <w:sz w:val="16"/>
      <w:szCs w:val="16"/>
    </w:rPr>
  </w:style>
  <w:style w:type="paragraph" w:styleId="Recuonormal">
    <w:name w:val="Normal Indent"/>
    <w:basedOn w:val="Normal"/>
    <w:uiPriority w:val="99"/>
    <w:semiHidden/>
    <w:unhideWhenUsed/>
    <w:rsid w:val="0003148D"/>
    <w:pPr>
      <w:ind w:left="720"/>
    </w:pPr>
  </w:style>
  <w:style w:type="paragraph" w:styleId="Textodecomentrio">
    <w:name w:val="annotation text"/>
    <w:basedOn w:val="Normal"/>
    <w:link w:val="TextodecomentrioChar"/>
    <w:uiPriority w:val="99"/>
    <w:unhideWhenUsed/>
    <w:rsid w:val="0003148D"/>
    <w:pPr>
      <w:spacing w:line="240" w:lineRule="auto"/>
    </w:pPr>
  </w:style>
  <w:style w:type="character" w:customStyle="1" w:styleId="TextodecomentrioChar">
    <w:name w:val="Texto de comentário Char"/>
    <w:basedOn w:val="Fontepargpadro"/>
    <w:link w:val="Textodecomentrio"/>
    <w:uiPriority w:val="99"/>
    <w:rsid w:val="0003148D"/>
    <w:rPr>
      <w:sz w:val="20"/>
      <w:szCs w:val="20"/>
    </w:rPr>
  </w:style>
  <w:style w:type="paragraph" w:styleId="Assuntodocomentrio">
    <w:name w:val="annotation subject"/>
    <w:basedOn w:val="Textodecomentrio"/>
    <w:next w:val="Textodecomentrio"/>
    <w:link w:val="AssuntodocomentrioChar"/>
    <w:uiPriority w:val="99"/>
    <w:semiHidden/>
    <w:unhideWhenUsed/>
    <w:rsid w:val="0003148D"/>
    <w:rPr>
      <w:b/>
      <w:bCs/>
    </w:rPr>
  </w:style>
  <w:style w:type="character" w:customStyle="1" w:styleId="AssuntodocomentrioChar">
    <w:name w:val="Assunto do comentário Char"/>
    <w:basedOn w:val="TextodecomentrioChar"/>
    <w:link w:val="Assuntodocomentrio"/>
    <w:uiPriority w:val="99"/>
    <w:semiHidden/>
    <w:rsid w:val="0003148D"/>
    <w:rPr>
      <w:b/>
      <w:bCs/>
      <w:sz w:val="20"/>
      <w:szCs w:val="20"/>
    </w:rPr>
  </w:style>
  <w:style w:type="paragraph" w:styleId="Sumrio1">
    <w:name w:val="toc 1"/>
    <w:basedOn w:val="Normal"/>
    <w:next w:val="Normal"/>
    <w:autoRedefine/>
    <w:uiPriority w:val="39"/>
    <w:semiHidden/>
    <w:unhideWhenUsed/>
    <w:rsid w:val="0003148D"/>
    <w:pPr>
      <w:spacing w:after="100"/>
    </w:pPr>
  </w:style>
  <w:style w:type="paragraph" w:styleId="Sumrio2">
    <w:name w:val="toc 2"/>
    <w:basedOn w:val="Normal"/>
    <w:next w:val="Normal"/>
    <w:autoRedefine/>
    <w:uiPriority w:val="39"/>
    <w:semiHidden/>
    <w:unhideWhenUsed/>
    <w:rsid w:val="0003148D"/>
    <w:pPr>
      <w:spacing w:after="100"/>
      <w:ind w:left="220"/>
    </w:pPr>
  </w:style>
  <w:style w:type="paragraph" w:styleId="Sumrio3">
    <w:name w:val="toc 3"/>
    <w:basedOn w:val="Normal"/>
    <w:next w:val="Normal"/>
    <w:autoRedefine/>
    <w:uiPriority w:val="39"/>
    <w:semiHidden/>
    <w:unhideWhenUsed/>
    <w:rsid w:val="0003148D"/>
    <w:pPr>
      <w:spacing w:after="100"/>
      <w:ind w:left="440"/>
    </w:pPr>
  </w:style>
  <w:style w:type="paragraph" w:styleId="Sumrio4">
    <w:name w:val="toc 4"/>
    <w:basedOn w:val="Normal"/>
    <w:next w:val="Normal"/>
    <w:autoRedefine/>
    <w:uiPriority w:val="39"/>
    <w:semiHidden/>
    <w:unhideWhenUsed/>
    <w:rsid w:val="0003148D"/>
    <w:pPr>
      <w:spacing w:after="100"/>
      <w:ind w:left="660"/>
    </w:pPr>
  </w:style>
  <w:style w:type="paragraph" w:styleId="Sumrio5">
    <w:name w:val="toc 5"/>
    <w:basedOn w:val="Normal"/>
    <w:next w:val="Normal"/>
    <w:autoRedefine/>
    <w:uiPriority w:val="39"/>
    <w:semiHidden/>
    <w:unhideWhenUsed/>
    <w:rsid w:val="0003148D"/>
    <w:pPr>
      <w:spacing w:after="100"/>
      <w:ind w:left="880"/>
    </w:pPr>
  </w:style>
  <w:style w:type="paragraph" w:styleId="Sumrio6">
    <w:name w:val="toc 6"/>
    <w:basedOn w:val="Normal"/>
    <w:next w:val="Normal"/>
    <w:autoRedefine/>
    <w:uiPriority w:val="39"/>
    <w:semiHidden/>
    <w:unhideWhenUsed/>
    <w:rsid w:val="0003148D"/>
    <w:pPr>
      <w:spacing w:after="100"/>
      <w:ind w:left="1100"/>
    </w:pPr>
  </w:style>
  <w:style w:type="paragraph" w:styleId="Sumrio7">
    <w:name w:val="toc 7"/>
    <w:basedOn w:val="Normal"/>
    <w:next w:val="Normal"/>
    <w:autoRedefine/>
    <w:uiPriority w:val="39"/>
    <w:semiHidden/>
    <w:unhideWhenUsed/>
    <w:rsid w:val="0003148D"/>
    <w:pPr>
      <w:spacing w:after="100"/>
      <w:ind w:left="1320"/>
    </w:pPr>
  </w:style>
  <w:style w:type="paragraph" w:styleId="Sumrio8">
    <w:name w:val="toc 8"/>
    <w:basedOn w:val="Normal"/>
    <w:next w:val="Normal"/>
    <w:autoRedefine/>
    <w:uiPriority w:val="39"/>
    <w:semiHidden/>
    <w:unhideWhenUsed/>
    <w:rsid w:val="0003148D"/>
    <w:pPr>
      <w:spacing w:after="100"/>
      <w:ind w:left="1540"/>
    </w:pPr>
  </w:style>
  <w:style w:type="paragraph" w:styleId="Sumrio9">
    <w:name w:val="toc 9"/>
    <w:basedOn w:val="Normal"/>
    <w:next w:val="Normal"/>
    <w:autoRedefine/>
    <w:uiPriority w:val="39"/>
    <w:semiHidden/>
    <w:unhideWhenUsed/>
    <w:rsid w:val="0003148D"/>
    <w:pPr>
      <w:spacing w:after="100"/>
      <w:ind w:left="1760"/>
    </w:pPr>
  </w:style>
  <w:style w:type="paragraph" w:styleId="Textoembloco">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demacro">
    <w:name w:val="macro"/>
    <w:link w:val="Textodemacro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demacroChar">
    <w:name w:val="Texto de macro Char"/>
    <w:basedOn w:val="Fontepargpadro"/>
    <w:link w:val="Textodemacro"/>
    <w:uiPriority w:val="99"/>
    <w:semiHidden/>
    <w:rsid w:val="0003148D"/>
    <w:rPr>
      <w:rFonts w:ascii="Consolas" w:hAnsi="Consolas" w:cs="Consolas"/>
      <w:sz w:val="20"/>
      <w:szCs w:val="20"/>
    </w:rPr>
  </w:style>
  <w:style w:type="paragraph" w:styleId="TextosemFormatao">
    <w:name w:val="Plain Text"/>
    <w:basedOn w:val="Normal"/>
    <w:link w:val="TextosemFormataoChar"/>
    <w:uiPriority w:val="99"/>
    <w:semiHidden/>
    <w:unhideWhenUsed/>
    <w:rsid w:val="0003148D"/>
    <w:pPr>
      <w:spacing w:line="240" w:lineRule="auto"/>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03148D"/>
    <w:rPr>
      <w:rFonts w:ascii="Consolas" w:hAnsi="Consolas" w:cs="Consolas"/>
      <w:sz w:val="21"/>
      <w:szCs w:val="21"/>
    </w:rPr>
  </w:style>
  <w:style w:type="paragraph" w:styleId="Textodenotaderodap">
    <w:name w:val="footnote text"/>
    <w:basedOn w:val="Normal"/>
    <w:link w:val="TextodenotaderodapChar"/>
    <w:uiPriority w:val="99"/>
    <w:semiHidden/>
    <w:unhideWhenUsed/>
    <w:rsid w:val="0003148D"/>
    <w:pPr>
      <w:spacing w:line="240" w:lineRule="auto"/>
    </w:pPr>
  </w:style>
  <w:style w:type="character" w:customStyle="1" w:styleId="TextodenotaderodapChar">
    <w:name w:val="Texto de nota de rodapé Char"/>
    <w:basedOn w:val="Fontepargpadro"/>
    <w:link w:val="Textodenotaderodap"/>
    <w:uiPriority w:val="99"/>
    <w:semiHidden/>
    <w:rsid w:val="0003148D"/>
    <w:rPr>
      <w:sz w:val="20"/>
      <w:szCs w:val="20"/>
    </w:rPr>
  </w:style>
  <w:style w:type="paragraph" w:styleId="Textodenotadefim">
    <w:name w:val="endnote text"/>
    <w:basedOn w:val="Normal"/>
    <w:link w:val="TextodenotadefimChar"/>
    <w:uiPriority w:val="99"/>
    <w:semiHidden/>
    <w:unhideWhenUsed/>
    <w:rsid w:val="0003148D"/>
    <w:pPr>
      <w:spacing w:line="240" w:lineRule="auto"/>
    </w:pPr>
  </w:style>
  <w:style w:type="character" w:customStyle="1" w:styleId="TextodenotadefimChar">
    <w:name w:val="Texto de nota de fim Char"/>
    <w:basedOn w:val="Fontepargpadro"/>
    <w:link w:val="Textodenotadefim"/>
    <w:uiPriority w:val="99"/>
    <w:semiHidden/>
    <w:rsid w:val="0003148D"/>
    <w:rPr>
      <w:sz w:val="20"/>
      <w:szCs w:val="20"/>
    </w:rPr>
  </w:style>
  <w:style w:type="character" w:customStyle="1" w:styleId="Ttulo1Char">
    <w:name w:val="Título 1 Char"/>
    <w:basedOn w:val="Fontepargpadro"/>
    <w:link w:val="Ttulo1"/>
    <w:uiPriority w:val="9"/>
    <w:rsid w:val="004F5E36"/>
    <w:rPr>
      <w:rFonts w:ascii="Arial" w:eastAsia="Times New Roman" w:hAnsi="Arial" w:cs="Times New Roman"/>
      <w:b/>
      <w:sz w:val="20"/>
      <w:szCs w:val="20"/>
      <w:lang w:val="en-GB"/>
    </w:rPr>
  </w:style>
  <w:style w:type="character" w:customStyle="1" w:styleId="Ttulo2Char">
    <w:name w:val="Título 2 Char"/>
    <w:basedOn w:val="Fontepargpadro"/>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3148D"/>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remissivo">
    <w:name w:val="index heading"/>
    <w:basedOn w:val="Normal"/>
    <w:next w:val="Remissivo1"/>
    <w:uiPriority w:val="99"/>
    <w:semiHidden/>
    <w:unhideWhenUsed/>
    <w:rsid w:val="0003148D"/>
    <w:rPr>
      <w:rFonts w:asciiTheme="majorHAnsi" w:eastAsiaTheme="majorEastAsia" w:hAnsiTheme="majorHAnsi" w:cstheme="majorBidi"/>
      <w:b/>
      <w:bCs/>
    </w:rPr>
  </w:style>
  <w:style w:type="paragraph" w:styleId="Ttulodendicedeautoridades">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CabealhodoSumrio">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ontepargpadr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8"/>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9"/>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20"/>
      </w:numPr>
      <w:spacing w:after="0" w:line="264" w:lineRule="auto"/>
    </w:pPr>
    <w:rPr>
      <w:rFonts w:ascii="Arial" w:eastAsia="Times New Roman" w:hAnsi="Arial" w:cs="Times New Roman"/>
      <w:sz w:val="18"/>
      <w:szCs w:val="20"/>
      <w:lang w:val="en-GB"/>
    </w:rPr>
  </w:style>
  <w:style w:type="paragraph" w:styleId="Cabealho">
    <w:name w:val="header"/>
    <w:basedOn w:val="Normal"/>
    <w:link w:val="CabealhoChar"/>
    <w:uiPriority w:val="99"/>
    <w:unhideWhenUsed/>
    <w:rsid w:val="005278B7"/>
    <w:pPr>
      <w:tabs>
        <w:tab w:val="clear" w:pos="7100"/>
        <w:tab w:val="center" w:pos="4819"/>
        <w:tab w:val="right" w:pos="9638"/>
      </w:tabs>
      <w:spacing w:line="240" w:lineRule="auto"/>
    </w:pPr>
  </w:style>
  <w:style w:type="character" w:customStyle="1" w:styleId="CabealhoChar">
    <w:name w:val="Cabeçalho Char"/>
    <w:basedOn w:val="Fontepargpadro"/>
    <w:link w:val="Cabealho"/>
    <w:uiPriority w:val="99"/>
    <w:rsid w:val="005278B7"/>
    <w:rPr>
      <w:rFonts w:ascii="Arial" w:eastAsia="Times New Roman" w:hAnsi="Arial" w:cs="Times New Roman"/>
      <w:sz w:val="18"/>
      <w:szCs w:val="20"/>
      <w:lang w:val="en-GB"/>
    </w:rPr>
  </w:style>
  <w:style w:type="paragraph" w:styleId="Rodap">
    <w:name w:val="footer"/>
    <w:basedOn w:val="Normal"/>
    <w:link w:val="RodapChar"/>
    <w:uiPriority w:val="99"/>
    <w:unhideWhenUsed/>
    <w:rsid w:val="005278B7"/>
    <w:pPr>
      <w:tabs>
        <w:tab w:val="clear" w:pos="7100"/>
        <w:tab w:val="center" w:pos="4819"/>
        <w:tab w:val="right" w:pos="9638"/>
      </w:tabs>
      <w:spacing w:line="240" w:lineRule="auto"/>
    </w:pPr>
  </w:style>
  <w:style w:type="character" w:customStyle="1" w:styleId="RodapChar">
    <w:name w:val="Rodapé Char"/>
    <w:basedOn w:val="Fontepargpadro"/>
    <w:link w:val="Rodap"/>
    <w:uiPriority w:val="99"/>
    <w:rsid w:val="005278B7"/>
    <w:rPr>
      <w:rFonts w:ascii="Arial" w:eastAsia="Times New Roman" w:hAnsi="Arial" w:cs="Times New Roman"/>
      <w:sz w:val="18"/>
      <w:szCs w:val="20"/>
      <w:lang w:val="en-GB"/>
    </w:rPr>
  </w:style>
  <w:style w:type="table" w:styleId="Tabelacomgrade">
    <w:name w:val="Table Grid"/>
    <w:basedOn w:val="Tabe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04C62"/>
    <w:rPr>
      <w:color w:val="0000FF" w:themeColor="hyperlink"/>
      <w:u w:val="single"/>
    </w:rPr>
  </w:style>
  <w:style w:type="character" w:customStyle="1" w:styleId="eudoraheader">
    <w:name w:val="eudoraheader"/>
    <w:basedOn w:val="Fontepargpadr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grafodaLista">
    <w:name w:val="List Paragraph"/>
    <w:basedOn w:val="Normal"/>
    <w:uiPriority w:val="34"/>
    <w:rsid w:val="00280FAF"/>
    <w:pPr>
      <w:ind w:left="720"/>
      <w:contextualSpacing/>
    </w:pPr>
  </w:style>
  <w:style w:type="character" w:customStyle="1" w:styleId="gmail-apple-converted-space">
    <w:name w:val="gmail-apple-converted-space"/>
    <w:basedOn w:val="Fontepargpadro"/>
    <w:rsid w:val="00005A19"/>
  </w:style>
  <w:style w:type="character" w:styleId="TextodoEspaoReservado">
    <w:name w:val="Placeholder Text"/>
    <w:basedOn w:val="Fontepargpadro"/>
    <w:uiPriority w:val="99"/>
    <w:semiHidden/>
    <w:rsid w:val="6E7F870D"/>
    <w:rPr>
      <w:color w:val="808080" w:themeColor="background1" w:themeShade="80"/>
    </w:rPr>
  </w:style>
  <w:style w:type="character" w:styleId="MenoPendente">
    <w:name w:val="Unresolved Mention"/>
    <w:basedOn w:val="Fontepargpadro"/>
    <w:uiPriority w:val="99"/>
    <w:semiHidden/>
    <w:unhideWhenUsed/>
    <w:rsid w:val="007C0D3D"/>
    <w:rPr>
      <w:color w:val="605E5C"/>
      <w:shd w:val="clear" w:color="auto" w:fill="E1DFDD"/>
    </w:rPr>
  </w:style>
  <w:style w:type="paragraph" w:styleId="Reviso">
    <w:name w:val="Revision"/>
    <w:hidden/>
    <w:uiPriority w:val="99"/>
    <w:semiHidden/>
    <w:rsid w:val="0007071E"/>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1121">
      <w:bodyDiv w:val="1"/>
      <w:marLeft w:val="0"/>
      <w:marRight w:val="0"/>
      <w:marTop w:val="0"/>
      <w:marBottom w:val="0"/>
      <w:divBdr>
        <w:top w:val="none" w:sz="0" w:space="0" w:color="auto"/>
        <w:left w:val="none" w:sz="0" w:space="0" w:color="auto"/>
        <w:bottom w:val="none" w:sz="0" w:space="0" w:color="auto"/>
        <w:right w:val="none" w:sz="0" w:space="0" w:color="auto"/>
      </w:divBdr>
      <w:divsChild>
        <w:div w:id="1379936325">
          <w:marLeft w:val="0"/>
          <w:marRight w:val="0"/>
          <w:marTop w:val="0"/>
          <w:marBottom w:val="0"/>
          <w:divBdr>
            <w:top w:val="none" w:sz="0" w:space="0" w:color="auto"/>
            <w:left w:val="none" w:sz="0" w:space="0" w:color="auto"/>
            <w:bottom w:val="none" w:sz="0" w:space="0" w:color="auto"/>
            <w:right w:val="none" w:sz="0" w:space="0" w:color="auto"/>
          </w:divBdr>
        </w:div>
      </w:divsChild>
    </w:div>
    <w:div w:id="36704550">
      <w:bodyDiv w:val="1"/>
      <w:marLeft w:val="0"/>
      <w:marRight w:val="0"/>
      <w:marTop w:val="0"/>
      <w:marBottom w:val="0"/>
      <w:divBdr>
        <w:top w:val="none" w:sz="0" w:space="0" w:color="auto"/>
        <w:left w:val="none" w:sz="0" w:space="0" w:color="auto"/>
        <w:bottom w:val="none" w:sz="0" w:space="0" w:color="auto"/>
        <w:right w:val="none" w:sz="0" w:space="0" w:color="auto"/>
      </w:divBdr>
    </w:div>
    <w:div w:id="49042477">
      <w:bodyDiv w:val="1"/>
      <w:marLeft w:val="0"/>
      <w:marRight w:val="0"/>
      <w:marTop w:val="0"/>
      <w:marBottom w:val="0"/>
      <w:divBdr>
        <w:top w:val="none" w:sz="0" w:space="0" w:color="auto"/>
        <w:left w:val="none" w:sz="0" w:space="0" w:color="auto"/>
        <w:bottom w:val="none" w:sz="0" w:space="0" w:color="auto"/>
        <w:right w:val="none" w:sz="0" w:space="0" w:color="auto"/>
      </w:divBdr>
      <w:divsChild>
        <w:div w:id="1972780617">
          <w:marLeft w:val="0"/>
          <w:marRight w:val="0"/>
          <w:marTop w:val="0"/>
          <w:marBottom w:val="0"/>
          <w:divBdr>
            <w:top w:val="none" w:sz="0" w:space="0" w:color="auto"/>
            <w:left w:val="none" w:sz="0" w:space="0" w:color="auto"/>
            <w:bottom w:val="none" w:sz="0" w:space="0" w:color="auto"/>
            <w:right w:val="none" w:sz="0" w:space="0" w:color="auto"/>
          </w:divBdr>
        </w:div>
      </w:divsChild>
    </w:div>
    <w:div w:id="56636400">
      <w:bodyDiv w:val="1"/>
      <w:marLeft w:val="0"/>
      <w:marRight w:val="0"/>
      <w:marTop w:val="0"/>
      <w:marBottom w:val="0"/>
      <w:divBdr>
        <w:top w:val="none" w:sz="0" w:space="0" w:color="auto"/>
        <w:left w:val="none" w:sz="0" w:space="0" w:color="auto"/>
        <w:bottom w:val="none" w:sz="0" w:space="0" w:color="auto"/>
        <w:right w:val="none" w:sz="0" w:space="0" w:color="auto"/>
      </w:divBdr>
      <w:divsChild>
        <w:div w:id="15888276">
          <w:marLeft w:val="480"/>
          <w:marRight w:val="0"/>
          <w:marTop w:val="0"/>
          <w:marBottom w:val="0"/>
          <w:divBdr>
            <w:top w:val="none" w:sz="0" w:space="0" w:color="auto"/>
            <w:left w:val="none" w:sz="0" w:space="0" w:color="auto"/>
            <w:bottom w:val="none" w:sz="0" w:space="0" w:color="auto"/>
            <w:right w:val="none" w:sz="0" w:space="0" w:color="auto"/>
          </w:divBdr>
        </w:div>
        <w:div w:id="830373193">
          <w:marLeft w:val="480"/>
          <w:marRight w:val="0"/>
          <w:marTop w:val="0"/>
          <w:marBottom w:val="0"/>
          <w:divBdr>
            <w:top w:val="none" w:sz="0" w:space="0" w:color="auto"/>
            <w:left w:val="none" w:sz="0" w:space="0" w:color="auto"/>
            <w:bottom w:val="none" w:sz="0" w:space="0" w:color="auto"/>
            <w:right w:val="none" w:sz="0" w:space="0" w:color="auto"/>
          </w:divBdr>
        </w:div>
        <w:div w:id="1434203265">
          <w:marLeft w:val="480"/>
          <w:marRight w:val="0"/>
          <w:marTop w:val="0"/>
          <w:marBottom w:val="0"/>
          <w:divBdr>
            <w:top w:val="none" w:sz="0" w:space="0" w:color="auto"/>
            <w:left w:val="none" w:sz="0" w:space="0" w:color="auto"/>
            <w:bottom w:val="none" w:sz="0" w:space="0" w:color="auto"/>
            <w:right w:val="none" w:sz="0" w:space="0" w:color="auto"/>
          </w:divBdr>
        </w:div>
        <w:div w:id="1015688064">
          <w:marLeft w:val="480"/>
          <w:marRight w:val="0"/>
          <w:marTop w:val="0"/>
          <w:marBottom w:val="0"/>
          <w:divBdr>
            <w:top w:val="none" w:sz="0" w:space="0" w:color="auto"/>
            <w:left w:val="none" w:sz="0" w:space="0" w:color="auto"/>
            <w:bottom w:val="none" w:sz="0" w:space="0" w:color="auto"/>
            <w:right w:val="none" w:sz="0" w:space="0" w:color="auto"/>
          </w:divBdr>
        </w:div>
        <w:div w:id="368915058">
          <w:marLeft w:val="480"/>
          <w:marRight w:val="0"/>
          <w:marTop w:val="0"/>
          <w:marBottom w:val="0"/>
          <w:divBdr>
            <w:top w:val="none" w:sz="0" w:space="0" w:color="auto"/>
            <w:left w:val="none" w:sz="0" w:space="0" w:color="auto"/>
            <w:bottom w:val="none" w:sz="0" w:space="0" w:color="auto"/>
            <w:right w:val="none" w:sz="0" w:space="0" w:color="auto"/>
          </w:divBdr>
        </w:div>
        <w:div w:id="1654262668">
          <w:marLeft w:val="480"/>
          <w:marRight w:val="0"/>
          <w:marTop w:val="0"/>
          <w:marBottom w:val="0"/>
          <w:divBdr>
            <w:top w:val="none" w:sz="0" w:space="0" w:color="auto"/>
            <w:left w:val="none" w:sz="0" w:space="0" w:color="auto"/>
            <w:bottom w:val="none" w:sz="0" w:space="0" w:color="auto"/>
            <w:right w:val="none" w:sz="0" w:space="0" w:color="auto"/>
          </w:divBdr>
        </w:div>
        <w:div w:id="414056566">
          <w:marLeft w:val="480"/>
          <w:marRight w:val="0"/>
          <w:marTop w:val="0"/>
          <w:marBottom w:val="0"/>
          <w:divBdr>
            <w:top w:val="none" w:sz="0" w:space="0" w:color="auto"/>
            <w:left w:val="none" w:sz="0" w:space="0" w:color="auto"/>
            <w:bottom w:val="none" w:sz="0" w:space="0" w:color="auto"/>
            <w:right w:val="none" w:sz="0" w:space="0" w:color="auto"/>
          </w:divBdr>
        </w:div>
        <w:div w:id="488988278">
          <w:marLeft w:val="480"/>
          <w:marRight w:val="0"/>
          <w:marTop w:val="0"/>
          <w:marBottom w:val="0"/>
          <w:divBdr>
            <w:top w:val="none" w:sz="0" w:space="0" w:color="auto"/>
            <w:left w:val="none" w:sz="0" w:space="0" w:color="auto"/>
            <w:bottom w:val="none" w:sz="0" w:space="0" w:color="auto"/>
            <w:right w:val="none" w:sz="0" w:space="0" w:color="auto"/>
          </w:divBdr>
        </w:div>
        <w:div w:id="549001697">
          <w:marLeft w:val="480"/>
          <w:marRight w:val="0"/>
          <w:marTop w:val="0"/>
          <w:marBottom w:val="0"/>
          <w:divBdr>
            <w:top w:val="none" w:sz="0" w:space="0" w:color="auto"/>
            <w:left w:val="none" w:sz="0" w:space="0" w:color="auto"/>
            <w:bottom w:val="none" w:sz="0" w:space="0" w:color="auto"/>
            <w:right w:val="none" w:sz="0" w:space="0" w:color="auto"/>
          </w:divBdr>
        </w:div>
        <w:div w:id="1460152614">
          <w:marLeft w:val="480"/>
          <w:marRight w:val="0"/>
          <w:marTop w:val="0"/>
          <w:marBottom w:val="0"/>
          <w:divBdr>
            <w:top w:val="none" w:sz="0" w:space="0" w:color="auto"/>
            <w:left w:val="none" w:sz="0" w:space="0" w:color="auto"/>
            <w:bottom w:val="none" w:sz="0" w:space="0" w:color="auto"/>
            <w:right w:val="none" w:sz="0" w:space="0" w:color="auto"/>
          </w:divBdr>
        </w:div>
        <w:div w:id="1188834311">
          <w:marLeft w:val="480"/>
          <w:marRight w:val="0"/>
          <w:marTop w:val="0"/>
          <w:marBottom w:val="0"/>
          <w:divBdr>
            <w:top w:val="none" w:sz="0" w:space="0" w:color="auto"/>
            <w:left w:val="none" w:sz="0" w:space="0" w:color="auto"/>
            <w:bottom w:val="none" w:sz="0" w:space="0" w:color="auto"/>
            <w:right w:val="none" w:sz="0" w:space="0" w:color="auto"/>
          </w:divBdr>
        </w:div>
        <w:div w:id="1931698477">
          <w:marLeft w:val="480"/>
          <w:marRight w:val="0"/>
          <w:marTop w:val="0"/>
          <w:marBottom w:val="0"/>
          <w:divBdr>
            <w:top w:val="none" w:sz="0" w:space="0" w:color="auto"/>
            <w:left w:val="none" w:sz="0" w:space="0" w:color="auto"/>
            <w:bottom w:val="none" w:sz="0" w:space="0" w:color="auto"/>
            <w:right w:val="none" w:sz="0" w:space="0" w:color="auto"/>
          </w:divBdr>
        </w:div>
        <w:div w:id="835342247">
          <w:marLeft w:val="480"/>
          <w:marRight w:val="0"/>
          <w:marTop w:val="0"/>
          <w:marBottom w:val="0"/>
          <w:divBdr>
            <w:top w:val="none" w:sz="0" w:space="0" w:color="auto"/>
            <w:left w:val="none" w:sz="0" w:space="0" w:color="auto"/>
            <w:bottom w:val="none" w:sz="0" w:space="0" w:color="auto"/>
            <w:right w:val="none" w:sz="0" w:space="0" w:color="auto"/>
          </w:divBdr>
        </w:div>
      </w:divsChild>
    </w:div>
    <w:div w:id="98456032">
      <w:bodyDiv w:val="1"/>
      <w:marLeft w:val="0"/>
      <w:marRight w:val="0"/>
      <w:marTop w:val="0"/>
      <w:marBottom w:val="0"/>
      <w:divBdr>
        <w:top w:val="none" w:sz="0" w:space="0" w:color="auto"/>
        <w:left w:val="none" w:sz="0" w:space="0" w:color="auto"/>
        <w:bottom w:val="none" w:sz="0" w:space="0" w:color="auto"/>
        <w:right w:val="none" w:sz="0" w:space="0" w:color="auto"/>
      </w:divBdr>
    </w:div>
    <w:div w:id="121844939">
      <w:bodyDiv w:val="1"/>
      <w:marLeft w:val="0"/>
      <w:marRight w:val="0"/>
      <w:marTop w:val="0"/>
      <w:marBottom w:val="0"/>
      <w:divBdr>
        <w:top w:val="none" w:sz="0" w:space="0" w:color="auto"/>
        <w:left w:val="none" w:sz="0" w:space="0" w:color="auto"/>
        <w:bottom w:val="none" w:sz="0" w:space="0" w:color="auto"/>
        <w:right w:val="none" w:sz="0" w:space="0" w:color="auto"/>
      </w:divBdr>
    </w:div>
    <w:div w:id="125901973">
      <w:bodyDiv w:val="1"/>
      <w:marLeft w:val="0"/>
      <w:marRight w:val="0"/>
      <w:marTop w:val="0"/>
      <w:marBottom w:val="0"/>
      <w:divBdr>
        <w:top w:val="none" w:sz="0" w:space="0" w:color="auto"/>
        <w:left w:val="none" w:sz="0" w:space="0" w:color="auto"/>
        <w:bottom w:val="none" w:sz="0" w:space="0" w:color="auto"/>
        <w:right w:val="none" w:sz="0" w:space="0" w:color="auto"/>
      </w:divBdr>
      <w:divsChild>
        <w:div w:id="231357920">
          <w:marLeft w:val="480"/>
          <w:marRight w:val="0"/>
          <w:marTop w:val="0"/>
          <w:marBottom w:val="0"/>
          <w:divBdr>
            <w:top w:val="none" w:sz="0" w:space="0" w:color="auto"/>
            <w:left w:val="none" w:sz="0" w:space="0" w:color="auto"/>
            <w:bottom w:val="none" w:sz="0" w:space="0" w:color="auto"/>
            <w:right w:val="none" w:sz="0" w:space="0" w:color="auto"/>
          </w:divBdr>
        </w:div>
        <w:div w:id="379286348">
          <w:marLeft w:val="480"/>
          <w:marRight w:val="0"/>
          <w:marTop w:val="0"/>
          <w:marBottom w:val="0"/>
          <w:divBdr>
            <w:top w:val="none" w:sz="0" w:space="0" w:color="auto"/>
            <w:left w:val="none" w:sz="0" w:space="0" w:color="auto"/>
            <w:bottom w:val="none" w:sz="0" w:space="0" w:color="auto"/>
            <w:right w:val="none" w:sz="0" w:space="0" w:color="auto"/>
          </w:divBdr>
        </w:div>
        <w:div w:id="1363827965">
          <w:marLeft w:val="480"/>
          <w:marRight w:val="0"/>
          <w:marTop w:val="0"/>
          <w:marBottom w:val="0"/>
          <w:divBdr>
            <w:top w:val="none" w:sz="0" w:space="0" w:color="auto"/>
            <w:left w:val="none" w:sz="0" w:space="0" w:color="auto"/>
            <w:bottom w:val="none" w:sz="0" w:space="0" w:color="auto"/>
            <w:right w:val="none" w:sz="0" w:space="0" w:color="auto"/>
          </w:divBdr>
        </w:div>
        <w:div w:id="2146852303">
          <w:marLeft w:val="480"/>
          <w:marRight w:val="0"/>
          <w:marTop w:val="0"/>
          <w:marBottom w:val="0"/>
          <w:divBdr>
            <w:top w:val="none" w:sz="0" w:space="0" w:color="auto"/>
            <w:left w:val="none" w:sz="0" w:space="0" w:color="auto"/>
            <w:bottom w:val="none" w:sz="0" w:space="0" w:color="auto"/>
            <w:right w:val="none" w:sz="0" w:space="0" w:color="auto"/>
          </w:divBdr>
        </w:div>
        <w:div w:id="149323404">
          <w:marLeft w:val="480"/>
          <w:marRight w:val="0"/>
          <w:marTop w:val="0"/>
          <w:marBottom w:val="0"/>
          <w:divBdr>
            <w:top w:val="none" w:sz="0" w:space="0" w:color="auto"/>
            <w:left w:val="none" w:sz="0" w:space="0" w:color="auto"/>
            <w:bottom w:val="none" w:sz="0" w:space="0" w:color="auto"/>
            <w:right w:val="none" w:sz="0" w:space="0" w:color="auto"/>
          </w:divBdr>
        </w:div>
        <w:div w:id="1034771928">
          <w:marLeft w:val="480"/>
          <w:marRight w:val="0"/>
          <w:marTop w:val="0"/>
          <w:marBottom w:val="0"/>
          <w:divBdr>
            <w:top w:val="none" w:sz="0" w:space="0" w:color="auto"/>
            <w:left w:val="none" w:sz="0" w:space="0" w:color="auto"/>
            <w:bottom w:val="none" w:sz="0" w:space="0" w:color="auto"/>
            <w:right w:val="none" w:sz="0" w:space="0" w:color="auto"/>
          </w:divBdr>
        </w:div>
        <w:div w:id="396899779">
          <w:marLeft w:val="480"/>
          <w:marRight w:val="0"/>
          <w:marTop w:val="0"/>
          <w:marBottom w:val="0"/>
          <w:divBdr>
            <w:top w:val="none" w:sz="0" w:space="0" w:color="auto"/>
            <w:left w:val="none" w:sz="0" w:space="0" w:color="auto"/>
            <w:bottom w:val="none" w:sz="0" w:space="0" w:color="auto"/>
            <w:right w:val="none" w:sz="0" w:space="0" w:color="auto"/>
          </w:divBdr>
        </w:div>
        <w:div w:id="729577783">
          <w:marLeft w:val="480"/>
          <w:marRight w:val="0"/>
          <w:marTop w:val="0"/>
          <w:marBottom w:val="0"/>
          <w:divBdr>
            <w:top w:val="none" w:sz="0" w:space="0" w:color="auto"/>
            <w:left w:val="none" w:sz="0" w:space="0" w:color="auto"/>
            <w:bottom w:val="none" w:sz="0" w:space="0" w:color="auto"/>
            <w:right w:val="none" w:sz="0" w:space="0" w:color="auto"/>
          </w:divBdr>
        </w:div>
        <w:div w:id="596910992">
          <w:marLeft w:val="480"/>
          <w:marRight w:val="0"/>
          <w:marTop w:val="0"/>
          <w:marBottom w:val="0"/>
          <w:divBdr>
            <w:top w:val="none" w:sz="0" w:space="0" w:color="auto"/>
            <w:left w:val="none" w:sz="0" w:space="0" w:color="auto"/>
            <w:bottom w:val="none" w:sz="0" w:space="0" w:color="auto"/>
            <w:right w:val="none" w:sz="0" w:space="0" w:color="auto"/>
          </w:divBdr>
        </w:div>
        <w:div w:id="2138336073">
          <w:marLeft w:val="480"/>
          <w:marRight w:val="0"/>
          <w:marTop w:val="0"/>
          <w:marBottom w:val="0"/>
          <w:divBdr>
            <w:top w:val="none" w:sz="0" w:space="0" w:color="auto"/>
            <w:left w:val="none" w:sz="0" w:space="0" w:color="auto"/>
            <w:bottom w:val="none" w:sz="0" w:space="0" w:color="auto"/>
            <w:right w:val="none" w:sz="0" w:space="0" w:color="auto"/>
          </w:divBdr>
        </w:div>
        <w:div w:id="742416379">
          <w:marLeft w:val="480"/>
          <w:marRight w:val="0"/>
          <w:marTop w:val="0"/>
          <w:marBottom w:val="0"/>
          <w:divBdr>
            <w:top w:val="none" w:sz="0" w:space="0" w:color="auto"/>
            <w:left w:val="none" w:sz="0" w:space="0" w:color="auto"/>
            <w:bottom w:val="none" w:sz="0" w:space="0" w:color="auto"/>
            <w:right w:val="none" w:sz="0" w:space="0" w:color="auto"/>
          </w:divBdr>
        </w:div>
        <w:div w:id="489753532">
          <w:marLeft w:val="480"/>
          <w:marRight w:val="0"/>
          <w:marTop w:val="0"/>
          <w:marBottom w:val="0"/>
          <w:divBdr>
            <w:top w:val="none" w:sz="0" w:space="0" w:color="auto"/>
            <w:left w:val="none" w:sz="0" w:space="0" w:color="auto"/>
            <w:bottom w:val="none" w:sz="0" w:space="0" w:color="auto"/>
            <w:right w:val="none" w:sz="0" w:space="0" w:color="auto"/>
          </w:divBdr>
        </w:div>
        <w:div w:id="1525944956">
          <w:marLeft w:val="480"/>
          <w:marRight w:val="0"/>
          <w:marTop w:val="0"/>
          <w:marBottom w:val="0"/>
          <w:divBdr>
            <w:top w:val="none" w:sz="0" w:space="0" w:color="auto"/>
            <w:left w:val="none" w:sz="0" w:space="0" w:color="auto"/>
            <w:bottom w:val="none" w:sz="0" w:space="0" w:color="auto"/>
            <w:right w:val="none" w:sz="0" w:space="0" w:color="auto"/>
          </w:divBdr>
        </w:div>
        <w:div w:id="928923876">
          <w:marLeft w:val="480"/>
          <w:marRight w:val="0"/>
          <w:marTop w:val="0"/>
          <w:marBottom w:val="0"/>
          <w:divBdr>
            <w:top w:val="none" w:sz="0" w:space="0" w:color="auto"/>
            <w:left w:val="none" w:sz="0" w:space="0" w:color="auto"/>
            <w:bottom w:val="none" w:sz="0" w:space="0" w:color="auto"/>
            <w:right w:val="none" w:sz="0" w:space="0" w:color="auto"/>
          </w:divBdr>
        </w:div>
      </w:divsChild>
    </w:div>
    <w:div w:id="129446999">
      <w:bodyDiv w:val="1"/>
      <w:marLeft w:val="0"/>
      <w:marRight w:val="0"/>
      <w:marTop w:val="0"/>
      <w:marBottom w:val="0"/>
      <w:divBdr>
        <w:top w:val="none" w:sz="0" w:space="0" w:color="auto"/>
        <w:left w:val="none" w:sz="0" w:space="0" w:color="auto"/>
        <w:bottom w:val="none" w:sz="0" w:space="0" w:color="auto"/>
        <w:right w:val="none" w:sz="0" w:space="0" w:color="auto"/>
      </w:divBdr>
    </w:div>
    <w:div w:id="148446935">
      <w:bodyDiv w:val="1"/>
      <w:marLeft w:val="0"/>
      <w:marRight w:val="0"/>
      <w:marTop w:val="0"/>
      <w:marBottom w:val="0"/>
      <w:divBdr>
        <w:top w:val="none" w:sz="0" w:space="0" w:color="auto"/>
        <w:left w:val="none" w:sz="0" w:space="0" w:color="auto"/>
        <w:bottom w:val="none" w:sz="0" w:space="0" w:color="auto"/>
        <w:right w:val="none" w:sz="0" w:space="0" w:color="auto"/>
      </w:divBdr>
      <w:divsChild>
        <w:div w:id="1043602437">
          <w:marLeft w:val="0"/>
          <w:marRight w:val="0"/>
          <w:marTop w:val="0"/>
          <w:marBottom w:val="0"/>
          <w:divBdr>
            <w:top w:val="none" w:sz="0" w:space="0" w:color="auto"/>
            <w:left w:val="none" w:sz="0" w:space="0" w:color="auto"/>
            <w:bottom w:val="none" w:sz="0" w:space="0" w:color="auto"/>
            <w:right w:val="none" w:sz="0" w:space="0" w:color="auto"/>
          </w:divBdr>
        </w:div>
      </w:divsChild>
    </w:div>
    <w:div w:id="152110652">
      <w:bodyDiv w:val="1"/>
      <w:marLeft w:val="0"/>
      <w:marRight w:val="0"/>
      <w:marTop w:val="0"/>
      <w:marBottom w:val="0"/>
      <w:divBdr>
        <w:top w:val="none" w:sz="0" w:space="0" w:color="auto"/>
        <w:left w:val="none" w:sz="0" w:space="0" w:color="auto"/>
        <w:bottom w:val="none" w:sz="0" w:space="0" w:color="auto"/>
        <w:right w:val="none" w:sz="0" w:space="0" w:color="auto"/>
      </w:divBdr>
      <w:divsChild>
        <w:div w:id="1299258737">
          <w:marLeft w:val="0"/>
          <w:marRight w:val="0"/>
          <w:marTop w:val="0"/>
          <w:marBottom w:val="0"/>
          <w:divBdr>
            <w:top w:val="none" w:sz="0" w:space="0" w:color="auto"/>
            <w:left w:val="none" w:sz="0" w:space="0" w:color="auto"/>
            <w:bottom w:val="none" w:sz="0" w:space="0" w:color="auto"/>
            <w:right w:val="none" w:sz="0" w:space="0" w:color="auto"/>
          </w:divBdr>
        </w:div>
      </w:divsChild>
    </w:div>
    <w:div w:id="177084262">
      <w:bodyDiv w:val="1"/>
      <w:marLeft w:val="0"/>
      <w:marRight w:val="0"/>
      <w:marTop w:val="0"/>
      <w:marBottom w:val="0"/>
      <w:divBdr>
        <w:top w:val="none" w:sz="0" w:space="0" w:color="auto"/>
        <w:left w:val="none" w:sz="0" w:space="0" w:color="auto"/>
        <w:bottom w:val="none" w:sz="0" w:space="0" w:color="auto"/>
        <w:right w:val="none" w:sz="0" w:space="0" w:color="auto"/>
      </w:divBdr>
    </w:div>
    <w:div w:id="181090512">
      <w:bodyDiv w:val="1"/>
      <w:marLeft w:val="0"/>
      <w:marRight w:val="0"/>
      <w:marTop w:val="0"/>
      <w:marBottom w:val="0"/>
      <w:divBdr>
        <w:top w:val="none" w:sz="0" w:space="0" w:color="auto"/>
        <w:left w:val="none" w:sz="0" w:space="0" w:color="auto"/>
        <w:bottom w:val="none" w:sz="0" w:space="0" w:color="auto"/>
        <w:right w:val="none" w:sz="0" w:space="0" w:color="auto"/>
      </w:divBdr>
    </w:div>
    <w:div w:id="181751070">
      <w:bodyDiv w:val="1"/>
      <w:marLeft w:val="0"/>
      <w:marRight w:val="0"/>
      <w:marTop w:val="0"/>
      <w:marBottom w:val="0"/>
      <w:divBdr>
        <w:top w:val="none" w:sz="0" w:space="0" w:color="auto"/>
        <w:left w:val="none" w:sz="0" w:space="0" w:color="auto"/>
        <w:bottom w:val="none" w:sz="0" w:space="0" w:color="auto"/>
        <w:right w:val="none" w:sz="0" w:space="0" w:color="auto"/>
      </w:divBdr>
    </w:div>
    <w:div w:id="200561411">
      <w:bodyDiv w:val="1"/>
      <w:marLeft w:val="0"/>
      <w:marRight w:val="0"/>
      <w:marTop w:val="0"/>
      <w:marBottom w:val="0"/>
      <w:divBdr>
        <w:top w:val="none" w:sz="0" w:space="0" w:color="auto"/>
        <w:left w:val="none" w:sz="0" w:space="0" w:color="auto"/>
        <w:bottom w:val="none" w:sz="0" w:space="0" w:color="auto"/>
        <w:right w:val="none" w:sz="0" w:space="0" w:color="auto"/>
      </w:divBdr>
      <w:divsChild>
        <w:div w:id="294411593">
          <w:marLeft w:val="480"/>
          <w:marRight w:val="0"/>
          <w:marTop w:val="0"/>
          <w:marBottom w:val="0"/>
          <w:divBdr>
            <w:top w:val="none" w:sz="0" w:space="0" w:color="auto"/>
            <w:left w:val="none" w:sz="0" w:space="0" w:color="auto"/>
            <w:bottom w:val="none" w:sz="0" w:space="0" w:color="auto"/>
            <w:right w:val="none" w:sz="0" w:space="0" w:color="auto"/>
          </w:divBdr>
        </w:div>
        <w:div w:id="550923597">
          <w:marLeft w:val="480"/>
          <w:marRight w:val="0"/>
          <w:marTop w:val="0"/>
          <w:marBottom w:val="0"/>
          <w:divBdr>
            <w:top w:val="none" w:sz="0" w:space="0" w:color="auto"/>
            <w:left w:val="none" w:sz="0" w:space="0" w:color="auto"/>
            <w:bottom w:val="none" w:sz="0" w:space="0" w:color="auto"/>
            <w:right w:val="none" w:sz="0" w:space="0" w:color="auto"/>
          </w:divBdr>
        </w:div>
        <w:div w:id="1442607548">
          <w:marLeft w:val="480"/>
          <w:marRight w:val="0"/>
          <w:marTop w:val="0"/>
          <w:marBottom w:val="0"/>
          <w:divBdr>
            <w:top w:val="none" w:sz="0" w:space="0" w:color="auto"/>
            <w:left w:val="none" w:sz="0" w:space="0" w:color="auto"/>
            <w:bottom w:val="none" w:sz="0" w:space="0" w:color="auto"/>
            <w:right w:val="none" w:sz="0" w:space="0" w:color="auto"/>
          </w:divBdr>
        </w:div>
        <w:div w:id="954562461">
          <w:marLeft w:val="480"/>
          <w:marRight w:val="0"/>
          <w:marTop w:val="0"/>
          <w:marBottom w:val="0"/>
          <w:divBdr>
            <w:top w:val="none" w:sz="0" w:space="0" w:color="auto"/>
            <w:left w:val="none" w:sz="0" w:space="0" w:color="auto"/>
            <w:bottom w:val="none" w:sz="0" w:space="0" w:color="auto"/>
            <w:right w:val="none" w:sz="0" w:space="0" w:color="auto"/>
          </w:divBdr>
        </w:div>
        <w:div w:id="2002926759">
          <w:marLeft w:val="480"/>
          <w:marRight w:val="0"/>
          <w:marTop w:val="0"/>
          <w:marBottom w:val="0"/>
          <w:divBdr>
            <w:top w:val="none" w:sz="0" w:space="0" w:color="auto"/>
            <w:left w:val="none" w:sz="0" w:space="0" w:color="auto"/>
            <w:bottom w:val="none" w:sz="0" w:space="0" w:color="auto"/>
            <w:right w:val="none" w:sz="0" w:space="0" w:color="auto"/>
          </w:divBdr>
        </w:div>
        <w:div w:id="464158147">
          <w:marLeft w:val="480"/>
          <w:marRight w:val="0"/>
          <w:marTop w:val="0"/>
          <w:marBottom w:val="0"/>
          <w:divBdr>
            <w:top w:val="none" w:sz="0" w:space="0" w:color="auto"/>
            <w:left w:val="none" w:sz="0" w:space="0" w:color="auto"/>
            <w:bottom w:val="none" w:sz="0" w:space="0" w:color="auto"/>
            <w:right w:val="none" w:sz="0" w:space="0" w:color="auto"/>
          </w:divBdr>
        </w:div>
        <w:div w:id="1219122119">
          <w:marLeft w:val="480"/>
          <w:marRight w:val="0"/>
          <w:marTop w:val="0"/>
          <w:marBottom w:val="0"/>
          <w:divBdr>
            <w:top w:val="none" w:sz="0" w:space="0" w:color="auto"/>
            <w:left w:val="none" w:sz="0" w:space="0" w:color="auto"/>
            <w:bottom w:val="none" w:sz="0" w:space="0" w:color="auto"/>
            <w:right w:val="none" w:sz="0" w:space="0" w:color="auto"/>
          </w:divBdr>
        </w:div>
        <w:div w:id="85730461">
          <w:marLeft w:val="480"/>
          <w:marRight w:val="0"/>
          <w:marTop w:val="0"/>
          <w:marBottom w:val="0"/>
          <w:divBdr>
            <w:top w:val="none" w:sz="0" w:space="0" w:color="auto"/>
            <w:left w:val="none" w:sz="0" w:space="0" w:color="auto"/>
            <w:bottom w:val="none" w:sz="0" w:space="0" w:color="auto"/>
            <w:right w:val="none" w:sz="0" w:space="0" w:color="auto"/>
          </w:divBdr>
        </w:div>
      </w:divsChild>
    </w:div>
    <w:div w:id="235671170">
      <w:bodyDiv w:val="1"/>
      <w:marLeft w:val="0"/>
      <w:marRight w:val="0"/>
      <w:marTop w:val="0"/>
      <w:marBottom w:val="0"/>
      <w:divBdr>
        <w:top w:val="none" w:sz="0" w:space="0" w:color="auto"/>
        <w:left w:val="none" w:sz="0" w:space="0" w:color="auto"/>
        <w:bottom w:val="none" w:sz="0" w:space="0" w:color="auto"/>
        <w:right w:val="none" w:sz="0" w:space="0" w:color="auto"/>
      </w:divBdr>
      <w:divsChild>
        <w:div w:id="342561126">
          <w:marLeft w:val="480"/>
          <w:marRight w:val="0"/>
          <w:marTop w:val="0"/>
          <w:marBottom w:val="0"/>
          <w:divBdr>
            <w:top w:val="none" w:sz="0" w:space="0" w:color="auto"/>
            <w:left w:val="none" w:sz="0" w:space="0" w:color="auto"/>
            <w:bottom w:val="none" w:sz="0" w:space="0" w:color="auto"/>
            <w:right w:val="none" w:sz="0" w:space="0" w:color="auto"/>
          </w:divBdr>
        </w:div>
        <w:div w:id="319700036">
          <w:marLeft w:val="480"/>
          <w:marRight w:val="0"/>
          <w:marTop w:val="0"/>
          <w:marBottom w:val="0"/>
          <w:divBdr>
            <w:top w:val="none" w:sz="0" w:space="0" w:color="auto"/>
            <w:left w:val="none" w:sz="0" w:space="0" w:color="auto"/>
            <w:bottom w:val="none" w:sz="0" w:space="0" w:color="auto"/>
            <w:right w:val="none" w:sz="0" w:space="0" w:color="auto"/>
          </w:divBdr>
        </w:div>
        <w:div w:id="1506090303">
          <w:marLeft w:val="480"/>
          <w:marRight w:val="0"/>
          <w:marTop w:val="0"/>
          <w:marBottom w:val="0"/>
          <w:divBdr>
            <w:top w:val="none" w:sz="0" w:space="0" w:color="auto"/>
            <w:left w:val="none" w:sz="0" w:space="0" w:color="auto"/>
            <w:bottom w:val="none" w:sz="0" w:space="0" w:color="auto"/>
            <w:right w:val="none" w:sz="0" w:space="0" w:color="auto"/>
          </w:divBdr>
        </w:div>
        <w:div w:id="1686705399">
          <w:marLeft w:val="480"/>
          <w:marRight w:val="0"/>
          <w:marTop w:val="0"/>
          <w:marBottom w:val="0"/>
          <w:divBdr>
            <w:top w:val="none" w:sz="0" w:space="0" w:color="auto"/>
            <w:left w:val="none" w:sz="0" w:space="0" w:color="auto"/>
            <w:bottom w:val="none" w:sz="0" w:space="0" w:color="auto"/>
            <w:right w:val="none" w:sz="0" w:space="0" w:color="auto"/>
          </w:divBdr>
        </w:div>
        <w:div w:id="1107582016">
          <w:marLeft w:val="480"/>
          <w:marRight w:val="0"/>
          <w:marTop w:val="0"/>
          <w:marBottom w:val="0"/>
          <w:divBdr>
            <w:top w:val="none" w:sz="0" w:space="0" w:color="auto"/>
            <w:left w:val="none" w:sz="0" w:space="0" w:color="auto"/>
            <w:bottom w:val="none" w:sz="0" w:space="0" w:color="auto"/>
            <w:right w:val="none" w:sz="0" w:space="0" w:color="auto"/>
          </w:divBdr>
        </w:div>
        <w:div w:id="1800298671">
          <w:marLeft w:val="480"/>
          <w:marRight w:val="0"/>
          <w:marTop w:val="0"/>
          <w:marBottom w:val="0"/>
          <w:divBdr>
            <w:top w:val="none" w:sz="0" w:space="0" w:color="auto"/>
            <w:left w:val="none" w:sz="0" w:space="0" w:color="auto"/>
            <w:bottom w:val="none" w:sz="0" w:space="0" w:color="auto"/>
            <w:right w:val="none" w:sz="0" w:space="0" w:color="auto"/>
          </w:divBdr>
        </w:div>
        <w:div w:id="1210991088">
          <w:marLeft w:val="480"/>
          <w:marRight w:val="0"/>
          <w:marTop w:val="0"/>
          <w:marBottom w:val="0"/>
          <w:divBdr>
            <w:top w:val="none" w:sz="0" w:space="0" w:color="auto"/>
            <w:left w:val="none" w:sz="0" w:space="0" w:color="auto"/>
            <w:bottom w:val="none" w:sz="0" w:space="0" w:color="auto"/>
            <w:right w:val="none" w:sz="0" w:space="0" w:color="auto"/>
          </w:divBdr>
        </w:div>
        <w:div w:id="654072921">
          <w:marLeft w:val="480"/>
          <w:marRight w:val="0"/>
          <w:marTop w:val="0"/>
          <w:marBottom w:val="0"/>
          <w:divBdr>
            <w:top w:val="none" w:sz="0" w:space="0" w:color="auto"/>
            <w:left w:val="none" w:sz="0" w:space="0" w:color="auto"/>
            <w:bottom w:val="none" w:sz="0" w:space="0" w:color="auto"/>
            <w:right w:val="none" w:sz="0" w:space="0" w:color="auto"/>
          </w:divBdr>
        </w:div>
        <w:div w:id="1885629107">
          <w:marLeft w:val="480"/>
          <w:marRight w:val="0"/>
          <w:marTop w:val="0"/>
          <w:marBottom w:val="0"/>
          <w:divBdr>
            <w:top w:val="none" w:sz="0" w:space="0" w:color="auto"/>
            <w:left w:val="none" w:sz="0" w:space="0" w:color="auto"/>
            <w:bottom w:val="none" w:sz="0" w:space="0" w:color="auto"/>
            <w:right w:val="none" w:sz="0" w:space="0" w:color="auto"/>
          </w:divBdr>
        </w:div>
        <w:div w:id="87581264">
          <w:marLeft w:val="480"/>
          <w:marRight w:val="0"/>
          <w:marTop w:val="0"/>
          <w:marBottom w:val="0"/>
          <w:divBdr>
            <w:top w:val="none" w:sz="0" w:space="0" w:color="auto"/>
            <w:left w:val="none" w:sz="0" w:space="0" w:color="auto"/>
            <w:bottom w:val="none" w:sz="0" w:space="0" w:color="auto"/>
            <w:right w:val="none" w:sz="0" w:space="0" w:color="auto"/>
          </w:divBdr>
        </w:div>
        <w:div w:id="947853354">
          <w:marLeft w:val="480"/>
          <w:marRight w:val="0"/>
          <w:marTop w:val="0"/>
          <w:marBottom w:val="0"/>
          <w:divBdr>
            <w:top w:val="none" w:sz="0" w:space="0" w:color="auto"/>
            <w:left w:val="none" w:sz="0" w:space="0" w:color="auto"/>
            <w:bottom w:val="none" w:sz="0" w:space="0" w:color="auto"/>
            <w:right w:val="none" w:sz="0" w:space="0" w:color="auto"/>
          </w:divBdr>
        </w:div>
        <w:div w:id="1709063122">
          <w:marLeft w:val="480"/>
          <w:marRight w:val="0"/>
          <w:marTop w:val="0"/>
          <w:marBottom w:val="0"/>
          <w:divBdr>
            <w:top w:val="none" w:sz="0" w:space="0" w:color="auto"/>
            <w:left w:val="none" w:sz="0" w:space="0" w:color="auto"/>
            <w:bottom w:val="none" w:sz="0" w:space="0" w:color="auto"/>
            <w:right w:val="none" w:sz="0" w:space="0" w:color="auto"/>
          </w:divBdr>
        </w:div>
        <w:div w:id="1445997656">
          <w:marLeft w:val="480"/>
          <w:marRight w:val="0"/>
          <w:marTop w:val="0"/>
          <w:marBottom w:val="0"/>
          <w:divBdr>
            <w:top w:val="none" w:sz="0" w:space="0" w:color="auto"/>
            <w:left w:val="none" w:sz="0" w:space="0" w:color="auto"/>
            <w:bottom w:val="none" w:sz="0" w:space="0" w:color="auto"/>
            <w:right w:val="none" w:sz="0" w:space="0" w:color="auto"/>
          </w:divBdr>
        </w:div>
        <w:div w:id="1710571571">
          <w:marLeft w:val="480"/>
          <w:marRight w:val="0"/>
          <w:marTop w:val="0"/>
          <w:marBottom w:val="0"/>
          <w:divBdr>
            <w:top w:val="none" w:sz="0" w:space="0" w:color="auto"/>
            <w:left w:val="none" w:sz="0" w:space="0" w:color="auto"/>
            <w:bottom w:val="none" w:sz="0" w:space="0" w:color="auto"/>
            <w:right w:val="none" w:sz="0" w:space="0" w:color="auto"/>
          </w:divBdr>
        </w:div>
      </w:divsChild>
    </w:div>
    <w:div w:id="245960252">
      <w:bodyDiv w:val="1"/>
      <w:marLeft w:val="0"/>
      <w:marRight w:val="0"/>
      <w:marTop w:val="0"/>
      <w:marBottom w:val="0"/>
      <w:divBdr>
        <w:top w:val="none" w:sz="0" w:space="0" w:color="auto"/>
        <w:left w:val="none" w:sz="0" w:space="0" w:color="auto"/>
        <w:bottom w:val="none" w:sz="0" w:space="0" w:color="auto"/>
        <w:right w:val="none" w:sz="0" w:space="0" w:color="auto"/>
      </w:divBdr>
      <w:divsChild>
        <w:div w:id="1609508660">
          <w:marLeft w:val="480"/>
          <w:marRight w:val="0"/>
          <w:marTop w:val="0"/>
          <w:marBottom w:val="0"/>
          <w:divBdr>
            <w:top w:val="none" w:sz="0" w:space="0" w:color="auto"/>
            <w:left w:val="none" w:sz="0" w:space="0" w:color="auto"/>
            <w:bottom w:val="none" w:sz="0" w:space="0" w:color="auto"/>
            <w:right w:val="none" w:sz="0" w:space="0" w:color="auto"/>
          </w:divBdr>
        </w:div>
        <w:div w:id="574558260">
          <w:marLeft w:val="480"/>
          <w:marRight w:val="0"/>
          <w:marTop w:val="0"/>
          <w:marBottom w:val="0"/>
          <w:divBdr>
            <w:top w:val="none" w:sz="0" w:space="0" w:color="auto"/>
            <w:left w:val="none" w:sz="0" w:space="0" w:color="auto"/>
            <w:bottom w:val="none" w:sz="0" w:space="0" w:color="auto"/>
            <w:right w:val="none" w:sz="0" w:space="0" w:color="auto"/>
          </w:divBdr>
        </w:div>
        <w:div w:id="1681734518">
          <w:marLeft w:val="480"/>
          <w:marRight w:val="0"/>
          <w:marTop w:val="0"/>
          <w:marBottom w:val="0"/>
          <w:divBdr>
            <w:top w:val="none" w:sz="0" w:space="0" w:color="auto"/>
            <w:left w:val="none" w:sz="0" w:space="0" w:color="auto"/>
            <w:bottom w:val="none" w:sz="0" w:space="0" w:color="auto"/>
            <w:right w:val="none" w:sz="0" w:space="0" w:color="auto"/>
          </w:divBdr>
        </w:div>
        <w:div w:id="621227046">
          <w:marLeft w:val="480"/>
          <w:marRight w:val="0"/>
          <w:marTop w:val="0"/>
          <w:marBottom w:val="0"/>
          <w:divBdr>
            <w:top w:val="none" w:sz="0" w:space="0" w:color="auto"/>
            <w:left w:val="none" w:sz="0" w:space="0" w:color="auto"/>
            <w:bottom w:val="none" w:sz="0" w:space="0" w:color="auto"/>
            <w:right w:val="none" w:sz="0" w:space="0" w:color="auto"/>
          </w:divBdr>
        </w:div>
        <w:div w:id="1982036797">
          <w:marLeft w:val="480"/>
          <w:marRight w:val="0"/>
          <w:marTop w:val="0"/>
          <w:marBottom w:val="0"/>
          <w:divBdr>
            <w:top w:val="none" w:sz="0" w:space="0" w:color="auto"/>
            <w:left w:val="none" w:sz="0" w:space="0" w:color="auto"/>
            <w:bottom w:val="none" w:sz="0" w:space="0" w:color="auto"/>
            <w:right w:val="none" w:sz="0" w:space="0" w:color="auto"/>
          </w:divBdr>
        </w:div>
        <w:div w:id="109863691">
          <w:marLeft w:val="480"/>
          <w:marRight w:val="0"/>
          <w:marTop w:val="0"/>
          <w:marBottom w:val="0"/>
          <w:divBdr>
            <w:top w:val="none" w:sz="0" w:space="0" w:color="auto"/>
            <w:left w:val="none" w:sz="0" w:space="0" w:color="auto"/>
            <w:bottom w:val="none" w:sz="0" w:space="0" w:color="auto"/>
            <w:right w:val="none" w:sz="0" w:space="0" w:color="auto"/>
          </w:divBdr>
        </w:div>
      </w:divsChild>
    </w:div>
    <w:div w:id="258106646">
      <w:bodyDiv w:val="1"/>
      <w:marLeft w:val="0"/>
      <w:marRight w:val="0"/>
      <w:marTop w:val="0"/>
      <w:marBottom w:val="0"/>
      <w:divBdr>
        <w:top w:val="none" w:sz="0" w:space="0" w:color="auto"/>
        <w:left w:val="none" w:sz="0" w:space="0" w:color="auto"/>
        <w:bottom w:val="none" w:sz="0" w:space="0" w:color="auto"/>
        <w:right w:val="none" w:sz="0" w:space="0" w:color="auto"/>
      </w:divBdr>
    </w:div>
    <w:div w:id="259022314">
      <w:bodyDiv w:val="1"/>
      <w:marLeft w:val="0"/>
      <w:marRight w:val="0"/>
      <w:marTop w:val="0"/>
      <w:marBottom w:val="0"/>
      <w:divBdr>
        <w:top w:val="none" w:sz="0" w:space="0" w:color="auto"/>
        <w:left w:val="none" w:sz="0" w:space="0" w:color="auto"/>
        <w:bottom w:val="none" w:sz="0" w:space="0" w:color="auto"/>
        <w:right w:val="none" w:sz="0" w:space="0" w:color="auto"/>
      </w:divBdr>
    </w:div>
    <w:div w:id="276176846">
      <w:bodyDiv w:val="1"/>
      <w:marLeft w:val="0"/>
      <w:marRight w:val="0"/>
      <w:marTop w:val="0"/>
      <w:marBottom w:val="0"/>
      <w:divBdr>
        <w:top w:val="none" w:sz="0" w:space="0" w:color="auto"/>
        <w:left w:val="none" w:sz="0" w:space="0" w:color="auto"/>
        <w:bottom w:val="none" w:sz="0" w:space="0" w:color="auto"/>
        <w:right w:val="none" w:sz="0" w:space="0" w:color="auto"/>
      </w:divBdr>
    </w:div>
    <w:div w:id="278683452">
      <w:bodyDiv w:val="1"/>
      <w:marLeft w:val="0"/>
      <w:marRight w:val="0"/>
      <w:marTop w:val="0"/>
      <w:marBottom w:val="0"/>
      <w:divBdr>
        <w:top w:val="none" w:sz="0" w:space="0" w:color="auto"/>
        <w:left w:val="none" w:sz="0" w:space="0" w:color="auto"/>
        <w:bottom w:val="none" w:sz="0" w:space="0" w:color="auto"/>
        <w:right w:val="none" w:sz="0" w:space="0" w:color="auto"/>
      </w:divBdr>
      <w:divsChild>
        <w:div w:id="1599094920">
          <w:marLeft w:val="480"/>
          <w:marRight w:val="0"/>
          <w:marTop w:val="0"/>
          <w:marBottom w:val="0"/>
          <w:divBdr>
            <w:top w:val="none" w:sz="0" w:space="0" w:color="auto"/>
            <w:left w:val="none" w:sz="0" w:space="0" w:color="auto"/>
            <w:bottom w:val="none" w:sz="0" w:space="0" w:color="auto"/>
            <w:right w:val="none" w:sz="0" w:space="0" w:color="auto"/>
          </w:divBdr>
        </w:div>
        <w:div w:id="1002780144">
          <w:marLeft w:val="480"/>
          <w:marRight w:val="0"/>
          <w:marTop w:val="0"/>
          <w:marBottom w:val="0"/>
          <w:divBdr>
            <w:top w:val="none" w:sz="0" w:space="0" w:color="auto"/>
            <w:left w:val="none" w:sz="0" w:space="0" w:color="auto"/>
            <w:bottom w:val="none" w:sz="0" w:space="0" w:color="auto"/>
            <w:right w:val="none" w:sz="0" w:space="0" w:color="auto"/>
          </w:divBdr>
        </w:div>
        <w:div w:id="550196891">
          <w:marLeft w:val="480"/>
          <w:marRight w:val="0"/>
          <w:marTop w:val="0"/>
          <w:marBottom w:val="0"/>
          <w:divBdr>
            <w:top w:val="none" w:sz="0" w:space="0" w:color="auto"/>
            <w:left w:val="none" w:sz="0" w:space="0" w:color="auto"/>
            <w:bottom w:val="none" w:sz="0" w:space="0" w:color="auto"/>
            <w:right w:val="none" w:sz="0" w:space="0" w:color="auto"/>
          </w:divBdr>
        </w:div>
        <w:div w:id="2109345219">
          <w:marLeft w:val="480"/>
          <w:marRight w:val="0"/>
          <w:marTop w:val="0"/>
          <w:marBottom w:val="0"/>
          <w:divBdr>
            <w:top w:val="none" w:sz="0" w:space="0" w:color="auto"/>
            <w:left w:val="none" w:sz="0" w:space="0" w:color="auto"/>
            <w:bottom w:val="none" w:sz="0" w:space="0" w:color="auto"/>
            <w:right w:val="none" w:sz="0" w:space="0" w:color="auto"/>
          </w:divBdr>
        </w:div>
        <w:div w:id="115569420">
          <w:marLeft w:val="480"/>
          <w:marRight w:val="0"/>
          <w:marTop w:val="0"/>
          <w:marBottom w:val="0"/>
          <w:divBdr>
            <w:top w:val="none" w:sz="0" w:space="0" w:color="auto"/>
            <w:left w:val="none" w:sz="0" w:space="0" w:color="auto"/>
            <w:bottom w:val="none" w:sz="0" w:space="0" w:color="auto"/>
            <w:right w:val="none" w:sz="0" w:space="0" w:color="auto"/>
          </w:divBdr>
        </w:div>
        <w:div w:id="1821262891">
          <w:marLeft w:val="480"/>
          <w:marRight w:val="0"/>
          <w:marTop w:val="0"/>
          <w:marBottom w:val="0"/>
          <w:divBdr>
            <w:top w:val="none" w:sz="0" w:space="0" w:color="auto"/>
            <w:left w:val="none" w:sz="0" w:space="0" w:color="auto"/>
            <w:bottom w:val="none" w:sz="0" w:space="0" w:color="auto"/>
            <w:right w:val="none" w:sz="0" w:space="0" w:color="auto"/>
          </w:divBdr>
        </w:div>
        <w:div w:id="568266942">
          <w:marLeft w:val="480"/>
          <w:marRight w:val="0"/>
          <w:marTop w:val="0"/>
          <w:marBottom w:val="0"/>
          <w:divBdr>
            <w:top w:val="none" w:sz="0" w:space="0" w:color="auto"/>
            <w:left w:val="none" w:sz="0" w:space="0" w:color="auto"/>
            <w:bottom w:val="none" w:sz="0" w:space="0" w:color="auto"/>
            <w:right w:val="none" w:sz="0" w:space="0" w:color="auto"/>
          </w:divBdr>
        </w:div>
        <w:div w:id="883251769">
          <w:marLeft w:val="480"/>
          <w:marRight w:val="0"/>
          <w:marTop w:val="0"/>
          <w:marBottom w:val="0"/>
          <w:divBdr>
            <w:top w:val="none" w:sz="0" w:space="0" w:color="auto"/>
            <w:left w:val="none" w:sz="0" w:space="0" w:color="auto"/>
            <w:bottom w:val="none" w:sz="0" w:space="0" w:color="auto"/>
            <w:right w:val="none" w:sz="0" w:space="0" w:color="auto"/>
          </w:divBdr>
        </w:div>
        <w:div w:id="393742681">
          <w:marLeft w:val="480"/>
          <w:marRight w:val="0"/>
          <w:marTop w:val="0"/>
          <w:marBottom w:val="0"/>
          <w:divBdr>
            <w:top w:val="none" w:sz="0" w:space="0" w:color="auto"/>
            <w:left w:val="none" w:sz="0" w:space="0" w:color="auto"/>
            <w:bottom w:val="none" w:sz="0" w:space="0" w:color="auto"/>
            <w:right w:val="none" w:sz="0" w:space="0" w:color="auto"/>
          </w:divBdr>
        </w:div>
        <w:div w:id="2079085321">
          <w:marLeft w:val="480"/>
          <w:marRight w:val="0"/>
          <w:marTop w:val="0"/>
          <w:marBottom w:val="0"/>
          <w:divBdr>
            <w:top w:val="none" w:sz="0" w:space="0" w:color="auto"/>
            <w:left w:val="none" w:sz="0" w:space="0" w:color="auto"/>
            <w:bottom w:val="none" w:sz="0" w:space="0" w:color="auto"/>
            <w:right w:val="none" w:sz="0" w:space="0" w:color="auto"/>
          </w:divBdr>
        </w:div>
        <w:div w:id="1087921211">
          <w:marLeft w:val="480"/>
          <w:marRight w:val="0"/>
          <w:marTop w:val="0"/>
          <w:marBottom w:val="0"/>
          <w:divBdr>
            <w:top w:val="none" w:sz="0" w:space="0" w:color="auto"/>
            <w:left w:val="none" w:sz="0" w:space="0" w:color="auto"/>
            <w:bottom w:val="none" w:sz="0" w:space="0" w:color="auto"/>
            <w:right w:val="none" w:sz="0" w:space="0" w:color="auto"/>
          </w:divBdr>
        </w:div>
      </w:divsChild>
    </w:div>
    <w:div w:id="278687704">
      <w:bodyDiv w:val="1"/>
      <w:marLeft w:val="0"/>
      <w:marRight w:val="0"/>
      <w:marTop w:val="0"/>
      <w:marBottom w:val="0"/>
      <w:divBdr>
        <w:top w:val="none" w:sz="0" w:space="0" w:color="auto"/>
        <w:left w:val="none" w:sz="0" w:space="0" w:color="auto"/>
        <w:bottom w:val="none" w:sz="0" w:space="0" w:color="auto"/>
        <w:right w:val="none" w:sz="0" w:space="0" w:color="auto"/>
      </w:divBdr>
    </w:div>
    <w:div w:id="324820836">
      <w:bodyDiv w:val="1"/>
      <w:marLeft w:val="0"/>
      <w:marRight w:val="0"/>
      <w:marTop w:val="0"/>
      <w:marBottom w:val="0"/>
      <w:divBdr>
        <w:top w:val="none" w:sz="0" w:space="0" w:color="auto"/>
        <w:left w:val="none" w:sz="0" w:space="0" w:color="auto"/>
        <w:bottom w:val="none" w:sz="0" w:space="0" w:color="auto"/>
        <w:right w:val="none" w:sz="0" w:space="0" w:color="auto"/>
      </w:divBdr>
      <w:divsChild>
        <w:div w:id="364529397">
          <w:marLeft w:val="480"/>
          <w:marRight w:val="0"/>
          <w:marTop w:val="0"/>
          <w:marBottom w:val="0"/>
          <w:divBdr>
            <w:top w:val="none" w:sz="0" w:space="0" w:color="auto"/>
            <w:left w:val="none" w:sz="0" w:space="0" w:color="auto"/>
            <w:bottom w:val="none" w:sz="0" w:space="0" w:color="auto"/>
            <w:right w:val="none" w:sz="0" w:space="0" w:color="auto"/>
          </w:divBdr>
        </w:div>
        <w:div w:id="464353462">
          <w:marLeft w:val="480"/>
          <w:marRight w:val="0"/>
          <w:marTop w:val="0"/>
          <w:marBottom w:val="0"/>
          <w:divBdr>
            <w:top w:val="none" w:sz="0" w:space="0" w:color="auto"/>
            <w:left w:val="none" w:sz="0" w:space="0" w:color="auto"/>
            <w:bottom w:val="none" w:sz="0" w:space="0" w:color="auto"/>
            <w:right w:val="none" w:sz="0" w:space="0" w:color="auto"/>
          </w:divBdr>
        </w:div>
        <w:div w:id="172764418">
          <w:marLeft w:val="480"/>
          <w:marRight w:val="0"/>
          <w:marTop w:val="0"/>
          <w:marBottom w:val="0"/>
          <w:divBdr>
            <w:top w:val="none" w:sz="0" w:space="0" w:color="auto"/>
            <w:left w:val="none" w:sz="0" w:space="0" w:color="auto"/>
            <w:bottom w:val="none" w:sz="0" w:space="0" w:color="auto"/>
            <w:right w:val="none" w:sz="0" w:space="0" w:color="auto"/>
          </w:divBdr>
        </w:div>
        <w:div w:id="1423330664">
          <w:marLeft w:val="480"/>
          <w:marRight w:val="0"/>
          <w:marTop w:val="0"/>
          <w:marBottom w:val="0"/>
          <w:divBdr>
            <w:top w:val="none" w:sz="0" w:space="0" w:color="auto"/>
            <w:left w:val="none" w:sz="0" w:space="0" w:color="auto"/>
            <w:bottom w:val="none" w:sz="0" w:space="0" w:color="auto"/>
            <w:right w:val="none" w:sz="0" w:space="0" w:color="auto"/>
          </w:divBdr>
        </w:div>
        <w:div w:id="866673758">
          <w:marLeft w:val="480"/>
          <w:marRight w:val="0"/>
          <w:marTop w:val="0"/>
          <w:marBottom w:val="0"/>
          <w:divBdr>
            <w:top w:val="none" w:sz="0" w:space="0" w:color="auto"/>
            <w:left w:val="none" w:sz="0" w:space="0" w:color="auto"/>
            <w:bottom w:val="none" w:sz="0" w:space="0" w:color="auto"/>
            <w:right w:val="none" w:sz="0" w:space="0" w:color="auto"/>
          </w:divBdr>
        </w:div>
        <w:div w:id="2119597125">
          <w:marLeft w:val="480"/>
          <w:marRight w:val="0"/>
          <w:marTop w:val="0"/>
          <w:marBottom w:val="0"/>
          <w:divBdr>
            <w:top w:val="none" w:sz="0" w:space="0" w:color="auto"/>
            <w:left w:val="none" w:sz="0" w:space="0" w:color="auto"/>
            <w:bottom w:val="none" w:sz="0" w:space="0" w:color="auto"/>
            <w:right w:val="none" w:sz="0" w:space="0" w:color="auto"/>
          </w:divBdr>
        </w:div>
        <w:div w:id="1318993828">
          <w:marLeft w:val="480"/>
          <w:marRight w:val="0"/>
          <w:marTop w:val="0"/>
          <w:marBottom w:val="0"/>
          <w:divBdr>
            <w:top w:val="none" w:sz="0" w:space="0" w:color="auto"/>
            <w:left w:val="none" w:sz="0" w:space="0" w:color="auto"/>
            <w:bottom w:val="none" w:sz="0" w:space="0" w:color="auto"/>
            <w:right w:val="none" w:sz="0" w:space="0" w:color="auto"/>
          </w:divBdr>
        </w:div>
        <w:div w:id="261766251">
          <w:marLeft w:val="480"/>
          <w:marRight w:val="0"/>
          <w:marTop w:val="0"/>
          <w:marBottom w:val="0"/>
          <w:divBdr>
            <w:top w:val="none" w:sz="0" w:space="0" w:color="auto"/>
            <w:left w:val="none" w:sz="0" w:space="0" w:color="auto"/>
            <w:bottom w:val="none" w:sz="0" w:space="0" w:color="auto"/>
            <w:right w:val="none" w:sz="0" w:space="0" w:color="auto"/>
          </w:divBdr>
        </w:div>
        <w:div w:id="1064372452">
          <w:marLeft w:val="480"/>
          <w:marRight w:val="0"/>
          <w:marTop w:val="0"/>
          <w:marBottom w:val="0"/>
          <w:divBdr>
            <w:top w:val="none" w:sz="0" w:space="0" w:color="auto"/>
            <w:left w:val="none" w:sz="0" w:space="0" w:color="auto"/>
            <w:bottom w:val="none" w:sz="0" w:space="0" w:color="auto"/>
            <w:right w:val="none" w:sz="0" w:space="0" w:color="auto"/>
          </w:divBdr>
        </w:div>
        <w:div w:id="959261449">
          <w:marLeft w:val="480"/>
          <w:marRight w:val="0"/>
          <w:marTop w:val="0"/>
          <w:marBottom w:val="0"/>
          <w:divBdr>
            <w:top w:val="none" w:sz="0" w:space="0" w:color="auto"/>
            <w:left w:val="none" w:sz="0" w:space="0" w:color="auto"/>
            <w:bottom w:val="none" w:sz="0" w:space="0" w:color="auto"/>
            <w:right w:val="none" w:sz="0" w:space="0" w:color="auto"/>
          </w:divBdr>
        </w:div>
        <w:div w:id="1260529770">
          <w:marLeft w:val="480"/>
          <w:marRight w:val="0"/>
          <w:marTop w:val="0"/>
          <w:marBottom w:val="0"/>
          <w:divBdr>
            <w:top w:val="none" w:sz="0" w:space="0" w:color="auto"/>
            <w:left w:val="none" w:sz="0" w:space="0" w:color="auto"/>
            <w:bottom w:val="none" w:sz="0" w:space="0" w:color="auto"/>
            <w:right w:val="none" w:sz="0" w:space="0" w:color="auto"/>
          </w:divBdr>
        </w:div>
        <w:div w:id="2087608937">
          <w:marLeft w:val="480"/>
          <w:marRight w:val="0"/>
          <w:marTop w:val="0"/>
          <w:marBottom w:val="0"/>
          <w:divBdr>
            <w:top w:val="none" w:sz="0" w:space="0" w:color="auto"/>
            <w:left w:val="none" w:sz="0" w:space="0" w:color="auto"/>
            <w:bottom w:val="none" w:sz="0" w:space="0" w:color="auto"/>
            <w:right w:val="none" w:sz="0" w:space="0" w:color="auto"/>
          </w:divBdr>
        </w:div>
        <w:div w:id="538278499">
          <w:marLeft w:val="480"/>
          <w:marRight w:val="0"/>
          <w:marTop w:val="0"/>
          <w:marBottom w:val="0"/>
          <w:divBdr>
            <w:top w:val="none" w:sz="0" w:space="0" w:color="auto"/>
            <w:left w:val="none" w:sz="0" w:space="0" w:color="auto"/>
            <w:bottom w:val="none" w:sz="0" w:space="0" w:color="auto"/>
            <w:right w:val="none" w:sz="0" w:space="0" w:color="auto"/>
          </w:divBdr>
        </w:div>
        <w:div w:id="578099179">
          <w:marLeft w:val="480"/>
          <w:marRight w:val="0"/>
          <w:marTop w:val="0"/>
          <w:marBottom w:val="0"/>
          <w:divBdr>
            <w:top w:val="none" w:sz="0" w:space="0" w:color="auto"/>
            <w:left w:val="none" w:sz="0" w:space="0" w:color="auto"/>
            <w:bottom w:val="none" w:sz="0" w:space="0" w:color="auto"/>
            <w:right w:val="none" w:sz="0" w:space="0" w:color="auto"/>
          </w:divBdr>
        </w:div>
        <w:div w:id="2017921515">
          <w:marLeft w:val="480"/>
          <w:marRight w:val="0"/>
          <w:marTop w:val="0"/>
          <w:marBottom w:val="0"/>
          <w:divBdr>
            <w:top w:val="none" w:sz="0" w:space="0" w:color="auto"/>
            <w:left w:val="none" w:sz="0" w:space="0" w:color="auto"/>
            <w:bottom w:val="none" w:sz="0" w:space="0" w:color="auto"/>
            <w:right w:val="none" w:sz="0" w:space="0" w:color="auto"/>
          </w:divBdr>
        </w:div>
      </w:divsChild>
    </w:div>
    <w:div w:id="337078520">
      <w:bodyDiv w:val="1"/>
      <w:marLeft w:val="0"/>
      <w:marRight w:val="0"/>
      <w:marTop w:val="0"/>
      <w:marBottom w:val="0"/>
      <w:divBdr>
        <w:top w:val="none" w:sz="0" w:space="0" w:color="auto"/>
        <w:left w:val="none" w:sz="0" w:space="0" w:color="auto"/>
        <w:bottom w:val="none" w:sz="0" w:space="0" w:color="auto"/>
        <w:right w:val="none" w:sz="0" w:space="0" w:color="auto"/>
      </w:divBdr>
    </w:div>
    <w:div w:id="338385656">
      <w:bodyDiv w:val="1"/>
      <w:marLeft w:val="0"/>
      <w:marRight w:val="0"/>
      <w:marTop w:val="0"/>
      <w:marBottom w:val="0"/>
      <w:divBdr>
        <w:top w:val="none" w:sz="0" w:space="0" w:color="auto"/>
        <w:left w:val="none" w:sz="0" w:space="0" w:color="auto"/>
        <w:bottom w:val="none" w:sz="0" w:space="0" w:color="auto"/>
        <w:right w:val="none" w:sz="0" w:space="0" w:color="auto"/>
      </w:divBdr>
      <w:divsChild>
        <w:div w:id="501749041">
          <w:marLeft w:val="0"/>
          <w:marRight w:val="0"/>
          <w:marTop w:val="0"/>
          <w:marBottom w:val="0"/>
          <w:divBdr>
            <w:top w:val="none" w:sz="0" w:space="0" w:color="auto"/>
            <w:left w:val="none" w:sz="0" w:space="0" w:color="auto"/>
            <w:bottom w:val="none" w:sz="0" w:space="0" w:color="auto"/>
            <w:right w:val="none" w:sz="0" w:space="0" w:color="auto"/>
          </w:divBdr>
        </w:div>
      </w:divsChild>
    </w:div>
    <w:div w:id="357774910">
      <w:bodyDiv w:val="1"/>
      <w:marLeft w:val="0"/>
      <w:marRight w:val="0"/>
      <w:marTop w:val="0"/>
      <w:marBottom w:val="0"/>
      <w:divBdr>
        <w:top w:val="none" w:sz="0" w:space="0" w:color="auto"/>
        <w:left w:val="none" w:sz="0" w:space="0" w:color="auto"/>
        <w:bottom w:val="none" w:sz="0" w:space="0" w:color="auto"/>
        <w:right w:val="none" w:sz="0" w:space="0" w:color="auto"/>
      </w:divBdr>
      <w:divsChild>
        <w:div w:id="223495364">
          <w:marLeft w:val="480"/>
          <w:marRight w:val="0"/>
          <w:marTop w:val="0"/>
          <w:marBottom w:val="0"/>
          <w:divBdr>
            <w:top w:val="none" w:sz="0" w:space="0" w:color="auto"/>
            <w:left w:val="none" w:sz="0" w:space="0" w:color="auto"/>
            <w:bottom w:val="none" w:sz="0" w:space="0" w:color="auto"/>
            <w:right w:val="none" w:sz="0" w:space="0" w:color="auto"/>
          </w:divBdr>
        </w:div>
        <w:div w:id="2093962050">
          <w:marLeft w:val="480"/>
          <w:marRight w:val="0"/>
          <w:marTop w:val="0"/>
          <w:marBottom w:val="0"/>
          <w:divBdr>
            <w:top w:val="none" w:sz="0" w:space="0" w:color="auto"/>
            <w:left w:val="none" w:sz="0" w:space="0" w:color="auto"/>
            <w:bottom w:val="none" w:sz="0" w:space="0" w:color="auto"/>
            <w:right w:val="none" w:sz="0" w:space="0" w:color="auto"/>
          </w:divBdr>
        </w:div>
        <w:div w:id="1224490887">
          <w:marLeft w:val="480"/>
          <w:marRight w:val="0"/>
          <w:marTop w:val="0"/>
          <w:marBottom w:val="0"/>
          <w:divBdr>
            <w:top w:val="none" w:sz="0" w:space="0" w:color="auto"/>
            <w:left w:val="none" w:sz="0" w:space="0" w:color="auto"/>
            <w:bottom w:val="none" w:sz="0" w:space="0" w:color="auto"/>
            <w:right w:val="none" w:sz="0" w:space="0" w:color="auto"/>
          </w:divBdr>
        </w:div>
        <w:div w:id="779253408">
          <w:marLeft w:val="480"/>
          <w:marRight w:val="0"/>
          <w:marTop w:val="0"/>
          <w:marBottom w:val="0"/>
          <w:divBdr>
            <w:top w:val="none" w:sz="0" w:space="0" w:color="auto"/>
            <w:left w:val="none" w:sz="0" w:space="0" w:color="auto"/>
            <w:bottom w:val="none" w:sz="0" w:space="0" w:color="auto"/>
            <w:right w:val="none" w:sz="0" w:space="0" w:color="auto"/>
          </w:divBdr>
        </w:div>
        <w:div w:id="1609698859">
          <w:marLeft w:val="480"/>
          <w:marRight w:val="0"/>
          <w:marTop w:val="0"/>
          <w:marBottom w:val="0"/>
          <w:divBdr>
            <w:top w:val="none" w:sz="0" w:space="0" w:color="auto"/>
            <w:left w:val="none" w:sz="0" w:space="0" w:color="auto"/>
            <w:bottom w:val="none" w:sz="0" w:space="0" w:color="auto"/>
            <w:right w:val="none" w:sz="0" w:space="0" w:color="auto"/>
          </w:divBdr>
        </w:div>
        <w:div w:id="288706368">
          <w:marLeft w:val="480"/>
          <w:marRight w:val="0"/>
          <w:marTop w:val="0"/>
          <w:marBottom w:val="0"/>
          <w:divBdr>
            <w:top w:val="none" w:sz="0" w:space="0" w:color="auto"/>
            <w:left w:val="none" w:sz="0" w:space="0" w:color="auto"/>
            <w:bottom w:val="none" w:sz="0" w:space="0" w:color="auto"/>
            <w:right w:val="none" w:sz="0" w:space="0" w:color="auto"/>
          </w:divBdr>
        </w:div>
        <w:div w:id="1030689800">
          <w:marLeft w:val="480"/>
          <w:marRight w:val="0"/>
          <w:marTop w:val="0"/>
          <w:marBottom w:val="0"/>
          <w:divBdr>
            <w:top w:val="none" w:sz="0" w:space="0" w:color="auto"/>
            <w:left w:val="none" w:sz="0" w:space="0" w:color="auto"/>
            <w:bottom w:val="none" w:sz="0" w:space="0" w:color="auto"/>
            <w:right w:val="none" w:sz="0" w:space="0" w:color="auto"/>
          </w:divBdr>
        </w:div>
        <w:div w:id="352263812">
          <w:marLeft w:val="480"/>
          <w:marRight w:val="0"/>
          <w:marTop w:val="0"/>
          <w:marBottom w:val="0"/>
          <w:divBdr>
            <w:top w:val="none" w:sz="0" w:space="0" w:color="auto"/>
            <w:left w:val="none" w:sz="0" w:space="0" w:color="auto"/>
            <w:bottom w:val="none" w:sz="0" w:space="0" w:color="auto"/>
            <w:right w:val="none" w:sz="0" w:space="0" w:color="auto"/>
          </w:divBdr>
        </w:div>
        <w:div w:id="796291568">
          <w:marLeft w:val="480"/>
          <w:marRight w:val="0"/>
          <w:marTop w:val="0"/>
          <w:marBottom w:val="0"/>
          <w:divBdr>
            <w:top w:val="none" w:sz="0" w:space="0" w:color="auto"/>
            <w:left w:val="none" w:sz="0" w:space="0" w:color="auto"/>
            <w:bottom w:val="none" w:sz="0" w:space="0" w:color="auto"/>
            <w:right w:val="none" w:sz="0" w:space="0" w:color="auto"/>
          </w:divBdr>
        </w:div>
        <w:div w:id="41834469">
          <w:marLeft w:val="480"/>
          <w:marRight w:val="0"/>
          <w:marTop w:val="0"/>
          <w:marBottom w:val="0"/>
          <w:divBdr>
            <w:top w:val="none" w:sz="0" w:space="0" w:color="auto"/>
            <w:left w:val="none" w:sz="0" w:space="0" w:color="auto"/>
            <w:bottom w:val="none" w:sz="0" w:space="0" w:color="auto"/>
            <w:right w:val="none" w:sz="0" w:space="0" w:color="auto"/>
          </w:divBdr>
        </w:div>
        <w:div w:id="1974479715">
          <w:marLeft w:val="480"/>
          <w:marRight w:val="0"/>
          <w:marTop w:val="0"/>
          <w:marBottom w:val="0"/>
          <w:divBdr>
            <w:top w:val="none" w:sz="0" w:space="0" w:color="auto"/>
            <w:left w:val="none" w:sz="0" w:space="0" w:color="auto"/>
            <w:bottom w:val="none" w:sz="0" w:space="0" w:color="auto"/>
            <w:right w:val="none" w:sz="0" w:space="0" w:color="auto"/>
          </w:divBdr>
        </w:div>
        <w:div w:id="1077557104">
          <w:marLeft w:val="480"/>
          <w:marRight w:val="0"/>
          <w:marTop w:val="0"/>
          <w:marBottom w:val="0"/>
          <w:divBdr>
            <w:top w:val="none" w:sz="0" w:space="0" w:color="auto"/>
            <w:left w:val="none" w:sz="0" w:space="0" w:color="auto"/>
            <w:bottom w:val="none" w:sz="0" w:space="0" w:color="auto"/>
            <w:right w:val="none" w:sz="0" w:space="0" w:color="auto"/>
          </w:divBdr>
        </w:div>
        <w:div w:id="1304389191">
          <w:marLeft w:val="480"/>
          <w:marRight w:val="0"/>
          <w:marTop w:val="0"/>
          <w:marBottom w:val="0"/>
          <w:divBdr>
            <w:top w:val="none" w:sz="0" w:space="0" w:color="auto"/>
            <w:left w:val="none" w:sz="0" w:space="0" w:color="auto"/>
            <w:bottom w:val="none" w:sz="0" w:space="0" w:color="auto"/>
            <w:right w:val="none" w:sz="0" w:space="0" w:color="auto"/>
          </w:divBdr>
        </w:div>
        <w:div w:id="1218904564">
          <w:marLeft w:val="480"/>
          <w:marRight w:val="0"/>
          <w:marTop w:val="0"/>
          <w:marBottom w:val="0"/>
          <w:divBdr>
            <w:top w:val="none" w:sz="0" w:space="0" w:color="auto"/>
            <w:left w:val="none" w:sz="0" w:space="0" w:color="auto"/>
            <w:bottom w:val="none" w:sz="0" w:space="0" w:color="auto"/>
            <w:right w:val="none" w:sz="0" w:space="0" w:color="auto"/>
          </w:divBdr>
        </w:div>
        <w:div w:id="524366167">
          <w:marLeft w:val="480"/>
          <w:marRight w:val="0"/>
          <w:marTop w:val="0"/>
          <w:marBottom w:val="0"/>
          <w:divBdr>
            <w:top w:val="none" w:sz="0" w:space="0" w:color="auto"/>
            <w:left w:val="none" w:sz="0" w:space="0" w:color="auto"/>
            <w:bottom w:val="none" w:sz="0" w:space="0" w:color="auto"/>
            <w:right w:val="none" w:sz="0" w:space="0" w:color="auto"/>
          </w:divBdr>
        </w:div>
        <w:div w:id="1854295314">
          <w:marLeft w:val="480"/>
          <w:marRight w:val="0"/>
          <w:marTop w:val="0"/>
          <w:marBottom w:val="0"/>
          <w:divBdr>
            <w:top w:val="none" w:sz="0" w:space="0" w:color="auto"/>
            <w:left w:val="none" w:sz="0" w:space="0" w:color="auto"/>
            <w:bottom w:val="none" w:sz="0" w:space="0" w:color="auto"/>
            <w:right w:val="none" w:sz="0" w:space="0" w:color="auto"/>
          </w:divBdr>
        </w:div>
      </w:divsChild>
    </w:div>
    <w:div w:id="375086473">
      <w:bodyDiv w:val="1"/>
      <w:marLeft w:val="0"/>
      <w:marRight w:val="0"/>
      <w:marTop w:val="0"/>
      <w:marBottom w:val="0"/>
      <w:divBdr>
        <w:top w:val="none" w:sz="0" w:space="0" w:color="auto"/>
        <w:left w:val="none" w:sz="0" w:space="0" w:color="auto"/>
        <w:bottom w:val="none" w:sz="0" w:space="0" w:color="auto"/>
        <w:right w:val="none" w:sz="0" w:space="0" w:color="auto"/>
      </w:divBdr>
    </w:div>
    <w:div w:id="379785980">
      <w:bodyDiv w:val="1"/>
      <w:marLeft w:val="0"/>
      <w:marRight w:val="0"/>
      <w:marTop w:val="0"/>
      <w:marBottom w:val="0"/>
      <w:divBdr>
        <w:top w:val="none" w:sz="0" w:space="0" w:color="auto"/>
        <w:left w:val="none" w:sz="0" w:space="0" w:color="auto"/>
        <w:bottom w:val="none" w:sz="0" w:space="0" w:color="auto"/>
        <w:right w:val="none" w:sz="0" w:space="0" w:color="auto"/>
      </w:divBdr>
    </w:div>
    <w:div w:id="380061124">
      <w:bodyDiv w:val="1"/>
      <w:marLeft w:val="0"/>
      <w:marRight w:val="0"/>
      <w:marTop w:val="0"/>
      <w:marBottom w:val="0"/>
      <w:divBdr>
        <w:top w:val="none" w:sz="0" w:space="0" w:color="auto"/>
        <w:left w:val="none" w:sz="0" w:space="0" w:color="auto"/>
        <w:bottom w:val="none" w:sz="0" w:space="0" w:color="auto"/>
        <w:right w:val="none" w:sz="0" w:space="0" w:color="auto"/>
      </w:divBdr>
    </w:div>
    <w:div w:id="387267258">
      <w:bodyDiv w:val="1"/>
      <w:marLeft w:val="0"/>
      <w:marRight w:val="0"/>
      <w:marTop w:val="0"/>
      <w:marBottom w:val="0"/>
      <w:divBdr>
        <w:top w:val="none" w:sz="0" w:space="0" w:color="auto"/>
        <w:left w:val="none" w:sz="0" w:space="0" w:color="auto"/>
        <w:bottom w:val="none" w:sz="0" w:space="0" w:color="auto"/>
        <w:right w:val="none" w:sz="0" w:space="0" w:color="auto"/>
      </w:divBdr>
    </w:div>
    <w:div w:id="415828543">
      <w:bodyDiv w:val="1"/>
      <w:marLeft w:val="0"/>
      <w:marRight w:val="0"/>
      <w:marTop w:val="0"/>
      <w:marBottom w:val="0"/>
      <w:divBdr>
        <w:top w:val="none" w:sz="0" w:space="0" w:color="auto"/>
        <w:left w:val="none" w:sz="0" w:space="0" w:color="auto"/>
        <w:bottom w:val="none" w:sz="0" w:space="0" w:color="auto"/>
        <w:right w:val="none" w:sz="0" w:space="0" w:color="auto"/>
      </w:divBdr>
      <w:divsChild>
        <w:div w:id="1168711426">
          <w:marLeft w:val="0"/>
          <w:marRight w:val="0"/>
          <w:marTop w:val="0"/>
          <w:marBottom w:val="0"/>
          <w:divBdr>
            <w:top w:val="none" w:sz="0" w:space="0" w:color="auto"/>
            <w:left w:val="none" w:sz="0" w:space="0" w:color="auto"/>
            <w:bottom w:val="none" w:sz="0" w:space="0" w:color="auto"/>
            <w:right w:val="none" w:sz="0" w:space="0" w:color="auto"/>
          </w:divBdr>
        </w:div>
      </w:divsChild>
    </w:div>
    <w:div w:id="438378040">
      <w:bodyDiv w:val="1"/>
      <w:marLeft w:val="0"/>
      <w:marRight w:val="0"/>
      <w:marTop w:val="0"/>
      <w:marBottom w:val="0"/>
      <w:divBdr>
        <w:top w:val="none" w:sz="0" w:space="0" w:color="auto"/>
        <w:left w:val="none" w:sz="0" w:space="0" w:color="auto"/>
        <w:bottom w:val="none" w:sz="0" w:space="0" w:color="auto"/>
        <w:right w:val="none" w:sz="0" w:space="0" w:color="auto"/>
      </w:divBdr>
    </w:div>
    <w:div w:id="461926216">
      <w:bodyDiv w:val="1"/>
      <w:marLeft w:val="0"/>
      <w:marRight w:val="0"/>
      <w:marTop w:val="0"/>
      <w:marBottom w:val="0"/>
      <w:divBdr>
        <w:top w:val="none" w:sz="0" w:space="0" w:color="auto"/>
        <w:left w:val="none" w:sz="0" w:space="0" w:color="auto"/>
        <w:bottom w:val="none" w:sz="0" w:space="0" w:color="auto"/>
        <w:right w:val="none" w:sz="0" w:space="0" w:color="auto"/>
      </w:divBdr>
      <w:divsChild>
        <w:div w:id="2002349828">
          <w:marLeft w:val="0"/>
          <w:marRight w:val="0"/>
          <w:marTop w:val="0"/>
          <w:marBottom w:val="0"/>
          <w:divBdr>
            <w:top w:val="none" w:sz="0" w:space="0" w:color="auto"/>
            <w:left w:val="none" w:sz="0" w:space="0" w:color="auto"/>
            <w:bottom w:val="none" w:sz="0" w:space="0" w:color="auto"/>
            <w:right w:val="none" w:sz="0" w:space="0" w:color="auto"/>
          </w:divBdr>
        </w:div>
      </w:divsChild>
    </w:div>
    <w:div w:id="466826579">
      <w:bodyDiv w:val="1"/>
      <w:marLeft w:val="0"/>
      <w:marRight w:val="0"/>
      <w:marTop w:val="0"/>
      <w:marBottom w:val="0"/>
      <w:divBdr>
        <w:top w:val="none" w:sz="0" w:space="0" w:color="auto"/>
        <w:left w:val="none" w:sz="0" w:space="0" w:color="auto"/>
        <w:bottom w:val="none" w:sz="0" w:space="0" w:color="auto"/>
        <w:right w:val="none" w:sz="0" w:space="0" w:color="auto"/>
      </w:divBdr>
      <w:divsChild>
        <w:div w:id="1697928782">
          <w:marLeft w:val="0"/>
          <w:marRight w:val="0"/>
          <w:marTop w:val="0"/>
          <w:marBottom w:val="0"/>
          <w:divBdr>
            <w:top w:val="none" w:sz="0" w:space="0" w:color="auto"/>
            <w:left w:val="none" w:sz="0" w:space="0" w:color="auto"/>
            <w:bottom w:val="none" w:sz="0" w:space="0" w:color="auto"/>
            <w:right w:val="none" w:sz="0" w:space="0" w:color="auto"/>
          </w:divBdr>
        </w:div>
      </w:divsChild>
    </w:div>
    <w:div w:id="470824738">
      <w:bodyDiv w:val="1"/>
      <w:marLeft w:val="0"/>
      <w:marRight w:val="0"/>
      <w:marTop w:val="0"/>
      <w:marBottom w:val="0"/>
      <w:divBdr>
        <w:top w:val="none" w:sz="0" w:space="0" w:color="auto"/>
        <w:left w:val="none" w:sz="0" w:space="0" w:color="auto"/>
        <w:bottom w:val="none" w:sz="0" w:space="0" w:color="auto"/>
        <w:right w:val="none" w:sz="0" w:space="0" w:color="auto"/>
      </w:divBdr>
      <w:divsChild>
        <w:div w:id="359009656">
          <w:marLeft w:val="480"/>
          <w:marRight w:val="0"/>
          <w:marTop w:val="0"/>
          <w:marBottom w:val="0"/>
          <w:divBdr>
            <w:top w:val="none" w:sz="0" w:space="0" w:color="auto"/>
            <w:left w:val="none" w:sz="0" w:space="0" w:color="auto"/>
            <w:bottom w:val="none" w:sz="0" w:space="0" w:color="auto"/>
            <w:right w:val="none" w:sz="0" w:space="0" w:color="auto"/>
          </w:divBdr>
        </w:div>
        <w:div w:id="692729522">
          <w:marLeft w:val="480"/>
          <w:marRight w:val="0"/>
          <w:marTop w:val="0"/>
          <w:marBottom w:val="0"/>
          <w:divBdr>
            <w:top w:val="none" w:sz="0" w:space="0" w:color="auto"/>
            <w:left w:val="none" w:sz="0" w:space="0" w:color="auto"/>
            <w:bottom w:val="none" w:sz="0" w:space="0" w:color="auto"/>
            <w:right w:val="none" w:sz="0" w:space="0" w:color="auto"/>
          </w:divBdr>
        </w:div>
        <w:div w:id="1597472666">
          <w:marLeft w:val="480"/>
          <w:marRight w:val="0"/>
          <w:marTop w:val="0"/>
          <w:marBottom w:val="0"/>
          <w:divBdr>
            <w:top w:val="none" w:sz="0" w:space="0" w:color="auto"/>
            <w:left w:val="none" w:sz="0" w:space="0" w:color="auto"/>
            <w:bottom w:val="none" w:sz="0" w:space="0" w:color="auto"/>
            <w:right w:val="none" w:sz="0" w:space="0" w:color="auto"/>
          </w:divBdr>
        </w:div>
        <w:div w:id="482357282">
          <w:marLeft w:val="480"/>
          <w:marRight w:val="0"/>
          <w:marTop w:val="0"/>
          <w:marBottom w:val="0"/>
          <w:divBdr>
            <w:top w:val="none" w:sz="0" w:space="0" w:color="auto"/>
            <w:left w:val="none" w:sz="0" w:space="0" w:color="auto"/>
            <w:bottom w:val="none" w:sz="0" w:space="0" w:color="auto"/>
            <w:right w:val="none" w:sz="0" w:space="0" w:color="auto"/>
          </w:divBdr>
        </w:div>
        <w:div w:id="1127696699">
          <w:marLeft w:val="480"/>
          <w:marRight w:val="0"/>
          <w:marTop w:val="0"/>
          <w:marBottom w:val="0"/>
          <w:divBdr>
            <w:top w:val="none" w:sz="0" w:space="0" w:color="auto"/>
            <w:left w:val="none" w:sz="0" w:space="0" w:color="auto"/>
            <w:bottom w:val="none" w:sz="0" w:space="0" w:color="auto"/>
            <w:right w:val="none" w:sz="0" w:space="0" w:color="auto"/>
          </w:divBdr>
        </w:div>
        <w:div w:id="532957057">
          <w:marLeft w:val="480"/>
          <w:marRight w:val="0"/>
          <w:marTop w:val="0"/>
          <w:marBottom w:val="0"/>
          <w:divBdr>
            <w:top w:val="none" w:sz="0" w:space="0" w:color="auto"/>
            <w:left w:val="none" w:sz="0" w:space="0" w:color="auto"/>
            <w:bottom w:val="none" w:sz="0" w:space="0" w:color="auto"/>
            <w:right w:val="none" w:sz="0" w:space="0" w:color="auto"/>
          </w:divBdr>
        </w:div>
        <w:div w:id="612052894">
          <w:marLeft w:val="480"/>
          <w:marRight w:val="0"/>
          <w:marTop w:val="0"/>
          <w:marBottom w:val="0"/>
          <w:divBdr>
            <w:top w:val="none" w:sz="0" w:space="0" w:color="auto"/>
            <w:left w:val="none" w:sz="0" w:space="0" w:color="auto"/>
            <w:bottom w:val="none" w:sz="0" w:space="0" w:color="auto"/>
            <w:right w:val="none" w:sz="0" w:space="0" w:color="auto"/>
          </w:divBdr>
        </w:div>
        <w:div w:id="1294940004">
          <w:marLeft w:val="480"/>
          <w:marRight w:val="0"/>
          <w:marTop w:val="0"/>
          <w:marBottom w:val="0"/>
          <w:divBdr>
            <w:top w:val="none" w:sz="0" w:space="0" w:color="auto"/>
            <w:left w:val="none" w:sz="0" w:space="0" w:color="auto"/>
            <w:bottom w:val="none" w:sz="0" w:space="0" w:color="auto"/>
            <w:right w:val="none" w:sz="0" w:space="0" w:color="auto"/>
          </w:divBdr>
        </w:div>
      </w:divsChild>
    </w:div>
    <w:div w:id="481115975">
      <w:bodyDiv w:val="1"/>
      <w:marLeft w:val="0"/>
      <w:marRight w:val="0"/>
      <w:marTop w:val="0"/>
      <w:marBottom w:val="0"/>
      <w:divBdr>
        <w:top w:val="none" w:sz="0" w:space="0" w:color="auto"/>
        <w:left w:val="none" w:sz="0" w:space="0" w:color="auto"/>
        <w:bottom w:val="none" w:sz="0" w:space="0" w:color="auto"/>
        <w:right w:val="none" w:sz="0" w:space="0" w:color="auto"/>
      </w:divBdr>
      <w:divsChild>
        <w:div w:id="337273625">
          <w:marLeft w:val="480"/>
          <w:marRight w:val="0"/>
          <w:marTop w:val="0"/>
          <w:marBottom w:val="0"/>
          <w:divBdr>
            <w:top w:val="none" w:sz="0" w:space="0" w:color="auto"/>
            <w:left w:val="none" w:sz="0" w:space="0" w:color="auto"/>
            <w:bottom w:val="none" w:sz="0" w:space="0" w:color="auto"/>
            <w:right w:val="none" w:sz="0" w:space="0" w:color="auto"/>
          </w:divBdr>
        </w:div>
        <w:div w:id="285739294">
          <w:marLeft w:val="480"/>
          <w:marRight w:val="0"/>
          <w:marTop w:val="0"/>
          <w:marBottom w:val="0"/>
          <w:divBdr>
            <w:top w:val="none" w:sz="0" w:space="0" w:color="auto"/>
            <w:left w:val="none" w:sz="0" w:space="0" w:color="auto"/>
            <w:bottom w:val="none" w:sz="0" w:space="0" w:color="auto"/>
            <w:right w:val="none" w:sz="0" w:space="0" w:color="auto"/>
          </w:divBdr>
        </w:div>
        <w:div w:id="424115636">
          <w:marLeft w:val="480"/>
          <w:marRight w:val="0"/>
          <w:marTop w:val="0"/>
          <w:marBottom w:val="0"/>
          <w:divBdr>
            <w:top w:val="none" w:sz="0" w:space="0" w:color="auto"/>
            <w:left w:val="none" w:sz="0" w:space="0" w:color="auto"/>
            <w:bottom w:val="none" w:sz="0" w:space="0" w:color="auto"/>
            <w:right w:val="none" w:sz="0" w:space="0" w:color="auto"/>
          </w:divBdr>
        </w:div>
        <w:div w:id="1552109840">
          <w:marLeft w:val="480"/>
          <w:marRight w:val="0"/>
          <w:marTop w:val="0"/>
          <w:marBottom w:val="0"/>
          <w:divBdr>
            <w:top w:val="none" w:sz="0" w:space="0" w:color="auto"/>
            <w:left w:val="none" w:sz="0" w:space="0" w:color="auto"/>
            <w:bottom w:val="none" w:sz="0" w:space="0" w:color="auto"/>
            <w:right w:val="none" w:sz="0" w:space="0" w:color="auto"/>
          </w:divBdr>
        </w:div>
        <w:div w:id="1972982220">
          <w:marLeft w:val="480"/>
          <w:marRight w:val="0"/>
          <w:marTop w:val="0"/>
          <w:marBottom w:val="0"/>
          <w:divBdr>
            <w:top w:val="none" w:sz="0" w:space="0" w:color="auto"/>
            <w:left w:val="none" w:sz="0" w:space="0" w:color="auto"/>
            <w:bottom w:val="none" w:sz="0" w:space="0" w:color="auto"/>
            <w:right w:val="none" w:sz="0" w:space="0" w:color="auto"/>
          </w:divBdr>
        </w:div>
        <w:div w:id="1527257094">
          <w:marLeft w:val="480"/>
          <w:marRight w:val="0"/>
          <w:marTop w:val="0"/>
          <w:marBottom w:val="0"/>
          <w:divBdr>
            <w:top w:val="none" w:sz="0" w:space="0" w:color="auto"/>
            <w:left w:val="none" w:sz="0" w:space="0" w:color="auto"/>
            <w:bottom w:val="none" w:sz="0" w:space="0" w:color="auto"/>
            <w:right w:val="none" w:sz="0" w:space="0" w:color="auto"/>
          </w:divBdr>
        </w:div>
        <w:div w:id="1862626989">
          <w:marLeft w:val="480"/>
          <w:marRight w:val="0"/>
          <w:marTop w:val="0"/>
          <w:marBottom w:val="0"/>
          <w:divBdr>
            <w:top w:val="none" w:sz="0" w:space="0" w:color="auto"/>
            <w:left w:val="none" w:sz="0" w:space="0" w:color="auto"/>
            <w:bottom w:val="none" w:sz="0" w:space="0" w:color="auto"/>
            <w:right w:val="none" w:sz="0" w:space="0" w:color="auto"/>
          </w:divBdr>
        </w:div>
        <w:div w:id="1313676010">
          <w:marLeft w:val="480"/>
          <w:marRight w:val="0"/>
          <w:marTop w:val="0"/>
          <w:marBottom w:val="0"/>
          <w:divBdr>
            <w:top w:val="none" w:sz="0" w:space="0" w:color="auto"/>
            <w:left w:val="none" w:sz="0" w:space="0" w:color="auto"/>
            <w:bottom w:val="none" w:sz="0" w:space="0" w:color="auto"/>
            <w:right w:val="none" w:sz="0" w:space="0" w:color="auto"/>
          </w:divBdr>
        </w:div>
        <w:div w:id="669531220">
          <w:marLeft w:val="480"/>
          <w:marRight w:val="0"/>
          <w:marTop w:val="0"/>
          <w:marBottom w:val="0"/>
          <w:divBdr>
            <w:top w:val="none" w:sz="0" w:space="0" w:color="auto"/>
            <w:left w:val="none" w:sz="0" w:space="0" w:color="auto"/>
            <w:bottom w:val="none" w:sz="0" w:space="0" w:color="auto"/>
            <w:right w:val="none" w:sz="0" w:space="0" w:color="auto"/>
          </w:divBdr>
        </w:div>
        <w:div w:id="1207638309">
          <w:marLeft w:val="480"/>
          <w:marRight w:val="0"/>
          <w:marTop w:val="0"/>
          <w:marBottom w:val="0"/>
          <w:divBdr>
            <w:top w:val="none" w:sz="0" w:space="0" w:color="auto"/>
            <w:left w:val="none" w:sz="0" w:space="0" w:color="auto"/>
            <w:bottom w:val="none" w:sz="0" w:space="0" w:color="auto"/>
            <w:right w:val="none" w:sz="0" w:space="0" w:color="auto"/>
          </w:divBdr>
        </w:div>
        <w:div w:id="2020619595">
          <w:marLeft w:val="480"/>
          <w:marRight w:val="0"/>
          <w:marTop w:val="0"/>
          <w:marBottom w:val="0"/>
          <w:divBdr>
            <w:top w:val="none" w:sz="0" w:space="0" w:color="auto"/>
            <w:left w:val="none" w:sz="0" w:space="0" w:color="auto"/>
            <w:bottom w:val="none" w:sz="0" w:space="0" w:color="auto"/>
            <w:right w:val="none" w:sz="0" w:space="0" w:color="auto"/>
          </w:divBdr>
        </w:div>
        <w:div w:id="905603281">
          <w:marLeft w:val="480"/>
          <w:marRight w:val="0"/>
          <w:marTop w:val="0"/>
          <w:marBottom w:val="0"/>
          <w:divBdr>
            <w:top w:val="none" w:sz="0" w:space="0" w:color="auto"/>
            <w:left w:val="none" w:sz="0" w:space="0" w:color="auto"/>
            <w:bottom w:val="none" w:sz="0" w:space="0" w:color="auto"/>
            <w:right w:val="none" w:sz="0" w:space="0" w:color="auto"/>
          </w:divBdr>
        </w:div>
        <w:div w:id="1868445773">
          <w:marLeft w:val="480"/>
          <w:marRight w:val="0"/>
          <w:marTop w:val="0"/>
          <w:marBottom w:val="0"/>
          <w:divBdr>
            <w:top w:val="none" w:sz="0" w:space="0" w:color="auto"/>
            <w:left w:val="none" w:sz="0" w:space="0" w:color="auto"/>
            <w:bottom w:val="none" w:sz="0" w:space="0" w:color="auto"/>
            <w:right w:val="none" w:sz="0" w:space="0" w:color="auto"/>
          </w:divBdr>
        </w:div>
        <w:div w:id="202521012">
          <w:marLeft w:val="480"/>
          <w:marRight w:val="0"/>
          <w:marTop w:val="0"/>
          <w:marBottom w:val="0"/>
          <w:divBdr>
            <w:top w:val="none" w:sz="0" w:space="0" w:color="auto"/>
            <w:left w:val="none" w:sz="0" w:space="0" w:color="auto"/>
            <w:bottom w:val="none" w:sz="0" w:space="0" w:color="auto"/>
            <w:right w:val="none" w:sz="0" w:space="0" w:color="auto"/>
          </w:divBdr>
        </w:div>
      </w:divsChild>
    </w:div>
    <w:div w:id="498615586">
      <w:bodyDiv w:val="1"/>
      <w:marLeft w:val="0"/>
      <w:marRight w:val="0"/>
      <w:marTop w:val="0"/>
      <w:marBottom w:val="0"/>
      <w:divBdr>
        <w:top w:val="none" w:sz="0" w:space="0" w:color="auto"/>
        <w:left w:val="none" w:sz="0" w:space="0" w:color="auto"/>
        <w:bottom w:val="none" w:sz="0" w:space="0" w:color="auto"/>
        <w:right w:val="none" w:sz="0" w:space="0" w:color="auto"/>
      </w:divBdr>
    </w:div>
    <w:div w:id="508645079">
      <w:bodyDiv w:val="1"/>
      <w:marLeft w:val="0"/>
      <w:marRight w:val="0"/>
      <w:marTop w:val="0"/>
      <w:marBottom w:val="0"/>
      <w:divBdr>
        <w:top w:val="none" w:sz="0" w:space="0" w:color="auto"/>
        <w:left w:val="none" w:sz="0" w:space="0" w:color="auto"/>
        <w:bottom w:val="none" w:sz="0" w:space="0" w:color="auto"/>
        <w:right w:val="none" w:sz="0" w:space="0" w:color="auto"/>
      </w:divBdr>
      <w:divsChild>
        <w:div w:id="938871524">
          <w:marLeft w:val="480"/>
          <w:marRight w:val="0"/>
          <w:marTop w:val="0"/>
          <w:marBottom w:val="0"/>
          <w:divBdr>
            <w:top w:val="none" w:sz="0" w:space="0" w:color="auto"/>
            <w:left w:val="none" w:sz="0" w:space="0" w:color="auto"/>
            <w:bottom w:val="none" w:sz="0" w:space="0" w:color="auto"/>
            <w:right w:val="none" w:sz="0" w:space="0" w:color="auto"/>
          </w:divBdr>
        </w:div>
        <w:div w:id="1621956986">
          <w:marLeft w:val="480"/>
          <w:marRight w:val="0"/>
          <w:marTop w:val="0"/>
          <w:marBottom w:val="0"/>
          <w:divBdr>
            <w:top w:val="none" w:sz="0" w:space="0" w:color="auto"/>
            <w:left w:val="none" w:sz="0" w:space="0" w:color="auto"/>
            <w:bottom w:val="none" w:sz="0" w:space="0" w:color="auto"/>
            <w:right w:val="none" w:sz="0" w:space="0" w:color="auto"/>
          </w:divBdr>
        </w:div>
        <w:div w:id="1198082060">
          <w:marLeft w:val="480"/>
          <w:marRight w:val="0"/>
          <w:marTop w:val="0"/>
          <w:marBottom w:val="0"/>
          <w:divBdr>
            <w:top w:val="none" w:sz="0" w:space="0" w:color="auto"/>
            <w:left w:val="none" w:sz="0" w:space="0" w:color="auto"/>
            <w:bottom w:val="none" w:sz="0" w:space="0" w:color="auto"/>
            <w:right w:val="none" w:sz="0" w:space="0" w:color="auto"/>
          </w:divBdr>
        </w:div>
        <w:div w:id="2035762395">
          <w:marLeft w:val="480"/>
          <w:marRight w:val="0"/>
          <w:marTop w:val="0"/>
          <w:marBottom w:val="0"/>
          <w:divBdr>
            <w:top w:val="none" w:sz="0" w:space="0" w:color="auto"/>
            <w:left w:val="none" w:sz="0" w:space="0" w:color="auto"/>
            <w:bottom w:val="none" w:sz="0" w:space="0" w:color="auto"/>
            <w:right w:val="none" w:sz="0" w:space="0" w:color="auto"/>
          </w:divBdr>
        </w:div>
        <w:div w:id="319817271">
          <w:marLeft w:val="480"/>
          <w:marRight w:val="0"/>
          <w:marTop w:val="0"/>
          <w:marBottom w:val="0"/>
          <w:divBdr>
            <w:top w:val="none" w:sz="0" w:space="0" w:color="auto"/>
            <w:left w:val="none" w:sz="0" w:space="0" w:color="auto"/>
            <w:bottom w:val="none" w:sz="0" w:space="0" w:color="auto"/>
            <w:right w:val="none" w:sz="0" w:space="0" w:color="auto"/>
          </w:divBdr>
        </w:div>
        <w:div w:id="1593589828">
          <w:marLeft w:val="480"/>
          <w:marRight w:val="0"/>
          <w:marTop w:val="0"/>
          <w:marBottom w:val="0"/>
          <w:divBdr>
            <w:top w:val="none" w:sz="0" w:space="0" w:color="auto"/>
            <w:left w:val="none" w:sz="0" w:space="0" w:color="auto"/>
            <w:bottom w:val="none" w:sz="0" w:space="0" w:color="auto"/>
            <w:right w:val="none" w:sz="0" w:space="0" w:color="auto"/>
          </w:divBdr>
        </w:div>
        <w:div w:id="1705593230">
          <w:marLeft w:val="480"/>
          <w:marRight w:val="0"/>
          <w:marTop w:val="0"/>
          <w:marBottom w:val="0"/>
          <w:divBdr>
            <w:top w:val="none" w:sz="0" w:space="0" w:color="auto"/>
            <w:left w:val="none" w:sz="0" w:space="0" w:color="auto"/>
            <w:bottom w:val="none" w:sz="0" w:space="0" w:color="auto"/>
            <w:right w:val="none" w:sz="0" w:space="0" w:color="auto"/>
          </w:divBdr>
        </w:div>
        <w:div w:id="151257667">
          <w:marLeft w:val="480"/>
          <w:marRight w:val="0"/>
          <w:marTop w:val="0"/>
          <w:marBottom w:val="0"/>
          <w:divBdr>
            <w:top w:val="none" w:sz="0" w:space="0" w:color="auto"/>
            <w:left w:val="none" w:sz="0" w:space="0" w:color="auto"/>
            <w:bottom w:val="none" w:sz="0" w:space="0" w:color="auto"/>
            <w:right w:val="none" w:sz="0" w:space="0" w:color="auto"/>
          </w:divBdr>
        </w:div>
        <w:div w:id="1000036910">
          <w:marLeft w:val="480"/>
          <w:marRight w:val="0"/>
          <w:marTop w:val="0"/>
          <w:marBottom w:val="0"/>
          <w:divBdr>
            <w:top w:val="none" w:sz="0" w:space="0" w:color="auto"/>
            <w:left w:val="none" w:sz="0" w:space="0" w:color="auto"/>
            <w:bottom w:val="none" w:sz="0" w:space="0" w:color="auto"/>
            <w:right w:val="none" w:sz="0" w:space="0" w:color="auto"/>
          </w:divBdr>
        </w:div>
        <w:div w:id="2011061481">
          <w:marLeft w:val="480"/>
          <w:marRight w:val="0"/>
          <w:marTop w:val="0"/>
          <w:marBottom w:val="0"/>
          <w:divBdr>
            <w:top w:val="none" w:sz="0" w:space="0" w:color="auto"/>
            <w:left w:val="none" w:sz="0" w:space="0" w:color="auto"/>
            <w:bottom w:val="none" w:sz="0" w:space="0" w:color="auto"/>
            <w:right w:val="none" w:sz="0" w:space="0" w:color="auto"/>
          </w:divBdr>
        </w:div>
        <w:div w:id="1845392065">
          <w:marLeft w:val="480"/>
          <w:marRight w:val="0"/>
          <w:marTop w:val="0"/>
          <w:marBottom w:val="0"/>
          <w:divBdr>
            <w:top w:val="none" w:sz="0" w:space="0" w:color="auto"/>
            <w:left w:val="none" w:sz="0" w:space="0" w:color="auto"/>
            <w:bottom w:val="none" w:sz="0" w:space="0" w:color="auto"/>
            <w:right w:val="none" w:sz="0" w:space="0" w:color="auto"/>
          </w:divBdr>
        </w:div>
      </w:divsChild>
    </w:div>
    <w:div w:id="520238465">
      <w:bodyDiv w:val="1"/>
      <w:marLeft w:val="0"/>
      <w:marRight w:val="0"/>
      <w:marTop w:val="0"/>
      <w:marBottom w:val="0"/>
      <w:divBdr>
        <w:top w:val="none" w:sz="0" w:space="0" w:color="auto"/>
        <w:left w:val="none" w:sz="0" w:space="0" w:color="auto"/>
        <w:bottom w:val="none" w:sz="0" w:space="0" w:color="auto"/>
        <w:right w:val="none" w:sz="0" w:space="0" w:color="auto"/>
      </w:divBdr>
    </w:div>
    <w:div w:id="535853631">
      <w:bodyDiv w:val="1"/>
      <w:marLeft w:val="0"/>
      <w:marRight w:val="0"/>
      <w:marTop w:val="0"/>
      <w:marBottom w:val="0"/>
      <w:divBdr>
        <w:top w:val="none" w:sz="0" w:space="0" w:color="auto"/>
        <w:left w:val="none" w:sz="0" w:space="0" w:color="auto"/>
        <w:bottom w:val="none" w:sz="0" w:space="0" w:color="auto"/>
        <w:right w:val="none" w:sz="0" w:space="0" w:color="auto"/>
      </w:divBdr>
    </w:div>
    <w:div w:id="555972588">
      <w:bodyDiv w:val="1"/>
      <w:marLeft w:val="0"/>
      <w:marRight w:val="0"/>
      <w:marTop w:val="0"/>
      <w:marBottom w:val="0"/>
      <w:divBdr>
        <w:top w:val="none" w:sz="0" w:space="0" w:color="auto"/>
        <w:left w:val="none" w:sz="0" w:space="0" w:color="auto"/>
        <w:bottom w:val="none" w:sz="0" w:space="0" w:color="auto"/>
        <w:right w:val="none" w:sz="0" w:space="0" w:color="auto"/>
      </w:divBdr>
      <w:divsChild>
        <w:div w:id="782194611">
          <w:marLeft w:val="0"/>
          <w:marRight w:val="0"/>
          <w:marTop w:val="0"/>
          <w:marBottom w:val="0"/>
          <w:divBdr>
            <w:top w:val="none" w:sz="0" w:space="0" w:color="auto"/>
            <w:left w:val="none" w:sz="0" w:space="0" w:color="auto"/>
            <w:bottom w:val="none" w:sz="0" w:space="0" w:color="auto"/>
            <w:right w:val="none" w:sz="0" w:space="0" w:color="auto"/>
          </w:divBdr>
        </w:div>
      </w:divsChild>
    </w:div>
    <w:div w:id="559630956">
      <w:bodyDiv w:val="1"/>
      <w:marLeft w:val="0"/>
      <w:marRight w:val="0"/>
      <w:marTop w:val="0"/>
      <w:marBottom w:val="0"/>
      <w:divBdr>
        <w:top w:val="none" w:sz="0" w:space="0" w:color="auto"/>
        <w:left w:val="none" w:sz="0" w:space="0" w:color="auto"/>
        <w:bottom w:val="none" w:sz="0" w:space="0" w:color="auto"/>
        <w:right w:val="none" w:sz="0" w:space="0" w:color="auto"/>
      </w:divBdr>
    </w:div>
    <w:div w:id="567692865">
      <w:bodyDiv w:val="1"/>
      <w:marLeft w:val="0"/>
      <w:marRight w:val="0"/>
      <w:marTop w:val="0"/>
      <w:marBottom w:val="0"/>
      <w:divBdr>
        <w:top w:val="none" w:sz="0" w:space="0" w:color="auto"/>
        <w:left w:val="none" w:sz="0" w:space="0" w:color="auto"/>
        <w:bottom w:val="none" w:sz="0" w:space="0" w:color="auto"/>
        <w:right w:val="none" w:sz="0" w:space="0" w:color="auto"/>
      </w:divBdr>
    </w:div>
    <w:div w:id="582763631">
      <w:bodyDiv w:val="1"/>
      <w:marLeft w:val="0"/>
      <w:marRight w:val="0"/>
      <w:marTop w:val="0"/>
      <w:marBottom w:val="0"/>
      <w:divBdr>
        <w:top w:val="none" w:sz="0" w:space="0" w:color="auto"/>
        <w:left w:val="none" w:sz="0" w:space="0" w:color="auto"/>
        <w:bottom w:val="none" w:sz="0" w:space="0" w:color="auto"/>
        <w:right w:val="none" w:sz="0" w:space="0" w:color="auto"/>
      </w:divBdr>
    </w:div>
    <w:div w:id="590313574">
      <w:bodyDiv w:val="1"/>
      <w:marLeft w:val="0"/>
      <w:marRight w:val="0"/>
      <w:marTop w:val="0"/>
      <w:marBottom w:val="0"/>
      <w:divBdr>
        <w:top w:val="none" w:sz="0" w:space="0" w:color="auto"/>
        <w:left w:val="none" w:sz="0" w:space="0" w:color="auto"/>
        <w:bottom w:val="none" w:sz="0" w:space="0" w:color="auto"/>
        <w:right w:val="none" w:sz="0" w:space="0" w:color="auto"/>
      </w:divBdr>
      <w:divsChild>
        <w:div w:id="1648122568">
          <w:marLeft w:val="480"/>
          <w:marRight w:val="0"/>
          <w:marTop w:val="0"/>
          <w:marBottom w:val="0"/>
          <w:divBdr>
            <w:top w:val="none" w:sz="0" w:space="0" w:color="auto"/>
            <w:left w:val="none" w:sz="0" w:space="0" w:color="auto"/>
            <w:bottom w:val="none" w:sz="0" w:space="0" w:color="auto"/>
            <w:right w:val="none" w:sz="0" w:space="0" w:color="auto"/>
          </w:divBdr>
        </w:div>
        <w:div w:id="1635985944">
          <w:marLeft w:val="480"/>
          <w:marRight w:val="0"/>
          <w:marTop w:val="0"/>
          <w:marBottom w:val="0"/>
          <w:divBdr>
            <w:top w:val="none" w:sz="0" w:space="0" w:color="auto"/>
            <w:left w:val="none" w:sz="0" w:space="0" w:color="auto"/>
            <w:bottom w:val="none" w:sz="0" w:space="0" w:color="auto"/>
            <w:right w:val="none" w:sz="0" w:space="0" w:color="auto"/>
          </w:divBdr>
        </w:div>
        <w:div w:id="1890192187">
          <w:marLeft w:val="480"/>
          <w:marRight w:val="0"/>
          <w:marTop w:val="0"/>
          <w:marBottom w:val="0"/>
          <w:divBdr>
            <w:top w:val="none" w:sz="0" w:space="0" w:color="auto"/>
            <w:left w:val="none" w:sz="0" w:space="0" w:color="auto"/>
            <w:bottom w:val="none" w:sz="0" w:space="0" w:color="auto"/>
            <w:right w:val="none" w:sz="0" w:space="0" w:color="auto"/>
          </w:divBdr>
        </w:div>
        <w:div w:id="1292979624">
          <w:marLeft w:val="480"/>
          <w:marRight w:val="0"/>
          <w:marTop w:val="0"/>
          <w:marBottom w:val="0"/>
          <w:divBdr>
            <w:top w:val="none" w:sz="0" w:space="0" w:color="auto"/>
            <w:left w:val="none" w:sz="0" w:space="0" w:color="auto"/>
            <w:bottom w:val="none" w:sz="0" w:space="0" w:color="auto"/>
            <w:right w:val="none" w:sz="0" w:space="0" w:color="auto"/>
          </w:divBdr>
        </w:div>
        <w:div w:id="271666161">
          <w:marLeft w:val="480"/>
          <w:marRight w:val="0"/>
          <w:marTop w:val="0"/>
          <w:marBottom w:val="0"/>
          <w:divBdr>
            <w:top w:val="none" w:sz="0" w:space="0" w:color="auto"/>
            <w:left w:val="none" w:sz="0" w:space="0" w:color="auto"/>
            <w:bottom w:val="none" w:sz="0" w:space="0" w:color="auto"/>
            <w:right w:val="none" w:sz="0" w:space="0" w:color="auto"/>
          </w:divBdr>
        </w:div>
        <w:div w:id="1850176856">
          <w:marLeft w:val="480"/>
          <w:marRight w:val="0"/>
          <w:marTop w:val="0"/>
          <w:marBottom w:val="0"/>
          <w:divBdr>
            <w:top w:val="none" w:sz="0" w:space="0" w:color="auto"/>
            <w:left w:val="none" w:sz="0" w:space="0" w:color="auto"/>
            <w:bottom w:val="none" w:sz="0" w:space="0" w:color="auto"/>
            <w:right w:val="none" w:sz="0" w:space="0" w:color="auto"/>
          </w:divBdr>
        </w:div>
        <w:div w:id="1120878108">
          <w:marLeft w:val="480"/>
          <w:marRight w:val="0"/>
          <w:marTop w:val="0"/>
          <w:marBottom w:val="0"/>
          <w:divBdr>
            <w:top w:val="none" w:sz="0" w:space="0" w:color="auto"/>
            <w:left w:val="none" w:sz="0" w:space="0" w:color="auto"/>
            <w:bottom w:val="none" w:sz="0" w:space="0" w:color="auto"/>
            <w:right w:val="none" w:sz="0" w:space="0" w:color="auto"/>
          </w:divBdr>
        </w:div>
        <w:div w:id="2141074388">
          <w:marLeft w:val="480"/>
          <w:marRight w:val="0"/>
          <w:marTop w:val="0"/>
          <w:marBottom w:val="0"/>
          <w:divBdr>
            <w:top w:val="none" w:sz="0" w:space="0" w:color="auto"/>
            <w:left w:val="none" w:sz="0" w:space="0" w:color="auto"/>
            <w:bottom w:val="none" w:sz="0" w:space="0" w:color="auto"/>
            <w:right w:val="none" w:sz="0" w:space="0" w:color="auto"/>
          </w:divBdr>
        </w:div>
        <w:div w:id="849753259">
          <w:marLeft w:val="480"/>
          <w:marRight w:val="0"/>
          <w:marTop w:val="0"/>
          <w:marBottom w:val="0"/>
          <w:divBdr>
            <w:top w:val="none" w:sz="0" w:space="0" w:color="auto"/>
            <w:left w:val="none" w:sz="0" w:space="0" w:color="auto"/>
            <w:bottom w:val="none" w:sz="0" w:space="0" w:color="auto"/>
            <w:right w:val="none" w:sz="0" w:space="0" w:color="auto"/>
          </w:divBdr>
        </w:div>
        <w:div w:id="177349677">
          <w:marLeft w:val="480"/>
          <w:marRight w:val="0"/>
          <w:marTop w:val="0"/>
          <w:marBottom w:val="0"/>
          <w:divBdr>
            <w:top w:val="none" w:sz="0" w:space="0" w:color="auto"/>
            <w:left w:val="none" w:sz="0" w:space="0" w:color="auto"/>
            <w:bottom w:val="none" w:sz="0" w:space="0" w:color="auto"/>
            <w:right w:val="none" w:sz="0" w:space="0" w:color="auto"/>
          </w:divBdr>
        </w:div>
        <w:div w:id="1158770319">
          <w:marLeft w:val="480"/>
          <w:marRight w:val="0"/>
          <w:marTop w:val="0"/>
          <w:marBottom w:val="0"/>
          <w:divBdr>
            <w:top w:val="none" w:sz="0" w:space="0" w:color="auto"/>
            <w:left w:val="none" w:sz="0" w:space="0" w:color="auto"/>
            <w:bottom w:val="none" w:sz="0" w:space="0" w:color="auto"/>
            <w:right w:val="none" w:sz="0" w:space="0" w:color="auto"/>
          </w:divBdr>
        </w:div>
      </w:divsChild>
    </w:div>
    <w:div w:id="597103930">
      <w:bodyDiv w:val="1"/>
      <w:marLeft w:val="0"/>
      <w:marRight w:val="0"/>
      <w:marTop w:val="0"/>
      <w:marBottom w:val="0"/>
      <w:divBdr>
        <w:top w:val="none" w:sz="0" w:space="0" w:color="auto"/>
        <w:left w:val="none" w:sz="0" w:space="0" w:color="auto"/>
        <w:bottom w:val="none" w:sz="0" w:space="0" w:color="auto"/>
        <w:right w:val="none" w:sz="0" w:space="0" w:color="auto"/>
      </w:divBdr>
      <w:divsChild>
        <w:div w:id="277949120">
          <w:marLeft w:val="480"/>
          <w:marRight w:val="0"/>
          <w:marTop w:val="0"/>
          <w:marBottom w:val="0"/>
          <w:divBdr>
            <w:top w:val="none" w:sz="0" w:space="0" w:color="auto"/>
            <w:left w:val="none" w:sz="0" w:space="0" w:color="auto"/>
            <w:bottom w:val="none" w:sz="0" w:space="0" w:color="auto"/>
            <w:right w:val="none" w:sz="0" w:space="0" w:color="auto"/>
          </w:divBdr>
        </w:div>
        <w:div w:id="156001585">
          <w:marLeft w:val="480"/>
          <w:marRight w:val="0"/>
          <w:marTop w:val="0"/>
          <w:marBottom w:val="0"/>
          <w:divBdr>
            <w:top w:val="none" w:sz="0" w:space="0" w:color="auto"/>
            <w:left w:val="none" w:sz="0" w:space="0" w:color="auto"/>
            <w:bottom w:val="none" w:sz="0" w:space="0" w:color="auto"/>
            <w:right w:val="none" w:sz="0" w:space="0" w:color="auto"/>
          </w:divBdr>
        </w:div>
        <w:div w:id="1960869734">
          <w:marLeft w:val="480"/>
          <w:marRight w:val="0"/>
          <w:marTop w:val="0"/>
          <w:marBottom w:val="0"/>
          <w:divBdr>
            <w:top w:val="none" w:sz="0" w:space="0" w:color="auto"/>
            <w:left w:val="none" w:sz="0" w:space="0" w:color="auto"/>
            <w:bottom w:val="none" w:sz="0" w:space="0" w:color="auto"/>
            <w:right w:val="none" w:sz="0" w:space="0" w:color="auto"/>
          </w:divBdr>
        </w:div>
        <w:div w:id="1342900538">
          <w:marLeft w:val="480"/>
          <w:marRight w:val="0"/>
          <w:marTop w:val="0"/>
          <w:marBottom w:val="0"/>
          <w:divBdr>
            <w:top w:val="none" w:sz="0" w:space="0" w:color="auto"/>
            <w:left w:val="none" w:sz="0" w:space="0" w:color="auto"/>
            <w:bottom w:val="none" w:sz="0" w:space="0" w:color="auto"/>
            <w:right w:val="none" w:sz="0" w:space="0" w:color="auto"/>
          </w:divBdr>
        </w:div>
        <w:div w:id="1033922240">
          <w:marLeft w:val="480"/>
          <w:marRight w:val="0"/>
          <w:marTop w:val="0"/>
          <w:marBottom w:val="0"/>
          <w:divBdr>
            <w:top w:val="none" w:sz="0" w:space="0" w:color="auto"/>
            <w:left w:val="none" w:sz="0" w:space="0" w:color="auto"/>
            <w:bottom w:val="none" w:sz="0" w:space="0" w:color="auto"/>
            <w:right w:val="none" w:sz="0" w:space="0" w:color="auto"/>
          </w:divBdr>
        </w:div>
        <w:div w:id="213394392">
          <w:marLeft w:val="480"/>
          <w:marRight w:val="0"/>
          <w:marTop w:val="0"/>
          <w:marBottom w:val="0"/>
          <w:divBdr>
            <w:top w:val="none" w:sz="0" w:space="0" w:color="auto"/>
            <w:left w:val="none" w:sz="0" w:space="0" w:color="auto"/>
            <w:bottom w:val="none" w:sz="0" w:space="0" w:color="auto"/>
            <w:right w:val="none" w:sz="0" w:space="0" w:color="auto"/>
          </w:divBdr>
        </w:div>
        <w:div w:id="616446065">
          <w:marLeft w:val="480"/>
          <w:marRight w:val="0"/>
          <w:marTop w:val="0"/>
          <w:marBottom w:val="0"/>
          <w:divBdr>
            <w:top w:val="none" w:sz="0" w:space="0" w:color="auto"/>
            <w:left w:val="none" w:sz="0" w:space="0" w:color="auto"/>
            <w:bottom w:val="none" w:sz="0" w:space="0" w:color="auto"/>
            <w:right w:val="none" w:sz="0" w:space="0" w:color="auto"/>
          </w:divBdr>
        </w:div>
        <w:div w:id="507601319">
          <w:marLeft w:val="480"/>
          <w:marRight w:val="0"/>
          <w:marTop w:val="0"/>
          <w:marBottom w:val="0"/>
          <w:divBdr>
            <w:top w:val="none" w:sz="0" w:space="0" w:color="auto"/>
            <w:left w:val="none" w:sz="0" w:space="0" w:color="auto"/>
            <w:bottom w:val="none" w:sz="0" w:space="0" w:color="auto"/>
            <w:right w:val="none" w:sz="0" w:space="0" w:color="auto"/>
          </w:divBdr>
        </w:div>
        <w:div w:id="655256552">
          <w:marLeft w:val="480"/>
          <w:marRight w:val="0"/>
          <w:marTop w:val="0"/>
          <w:marBottom w:val="0"/>
          <w:divBdr>
            <w:top w:val="none" w:sz="0" w:space="0" w:color="auto"/>
            <w:left w:val="none" w:sz="0" w:space="0" w:color="auto"/>
            <w:bottom w:val="none" w:sz="0" w:space="0" w:color="auto"/>
            <w:right w:val="none" w:sz="0" w:space="0" w:color="auto"/>
          </w:divBdr>
        </w:div>
        <w:div w:id="1904171988">
          <w:marLeft w:val="480"/>
          <w:marRight w:val="0"/>
          <w:marTop w:val="0"/>
          <w:marBottom w:val="0"/>
          <w:divBdr>
            <w:top w:val="none" w:sz="0" w:space="0" w:color="auto"/>
            <w:left w:val="none" w:sz="0" w:space="0" w:color="auto"/>
            <w:bottom w:val="none" w:sz="0" w:space="0" w:color="auto"/>
            <w:right w:val="none" w:sz="0" w:space="0" w:color="auto"/>
          </w:divBdr>
        </w:div>
        <w:div w:id="1516530738">
          <w:marLeft w:val="480"/>
          <w:marRight w:val="0"/>
          <w:marTop w:val="0"/>
          <w:marBottom w:val="0"/>
          <w:divBdr>
            <w:top w:val="none" w:sz="0" w:space="0" w:color="auto"/>
            <w:left w:val="none" w:sz="0" w:space="0" w:color="auto"/>
            <w:bottom w:val="none" w:sz="0" w:space="0" w:color="auto"/>
            <w:right w:val="none" w:sz="0" w:space="0" w:color="auto"/>
          </w:divBdr>
        </w:div>
        <w:div w:id="1463503908">
          <w:marLeft w:val="480"/>
          <w:marRight w:val="0"/>
          <w:marTop w:val="0"/>
          <w:marBottom w:val="0"/>
          <w:divBdr>
            <w:top w:val="none" w:sz="0" w:space="0" w:color="auto"/>
            <w:left w:val="none" w:sz="0" w:space="0" w:color="auto"/>
            <w:bottom w:val="none" w:sz="0" w:space="0" w:color="auto"/>
            <w:right w:val="none" w:sz="0" w:space="0" w:color="auto"/>
          </w:divBdr>
        </w:div>
        <w:div w:id="954408558">
          <w:marLeft w:val="480"/>
          <w:marRight w:val="0"/>
          <w:marTop w:val="0"/>
          <w:marBottom w:val="0"/>
          <w:divBdr>
            <w:top w:val="none" w:sz="0" w:space="0" w:color="auto"/>
            <w:left w:val="none" w:sz="0" w:space="0" w:color="auto"/>
            <w:bottom w:val="none" w:sz="0" w:space="0" w:color="auto"/>
            <w:right w:val="none" w:sz="0" w:space="0" w:color="auto"/>
          </w:divBdr>
        </w:div>
        <w:div w:id="482896793">
          <w:marLeft w:val="480"/>
          <w:marRight w:val="0"/>
          <w:marTop w:val="0"/>
          <w:marBottom w:val="0"/>
          <w:divBdr>
            <w:top w:val="none" w:sz="0" w:space="0" w:color="auto"/>
            <w:left w:val="none" w:sz="0" w:space="0" w:color="auto"/>
            <w:bottom w:val="none" w:sz="0" w:space="0" w:color="auto"/>
            <w:right w:val="none" w:sz="0" w:space="0" w:color="auto"/>
          </w:divBdr>
        </w:div>
      </w:divsChild>
    </w:div>
    <w:div w:id="612591775">
      <w:bodyDiv w:val="1"/>
      <w:marLeft w:val="0"/>
      <w:marRight w:val="0"/>
      <w:marTop w:val="0"/>
      <w:marBottom w:val="0"/>
      <w:divBdr>
        <w:top w:val="none" w:sz="0" w:space="0" w:color="auto"/>
        <w:left w:val="none" w:sz="0" w:space="0" w:color="auto"/>
        <w:bottom w:val="none" w:sz="0" w:space="0" w:color="auto"/>
        <w:right w:val="none" w:sz="0" w:space="0" w:color="auto"/>
      </w:divBdr>
    </w:div>
    <w:div w:id="627249537">
      <w:bodyDiv w:val="1"/>
      <w:marLeft w:val="0"/>
      <w:marRight w:val="0"/>
      <w:marTop w:val="0"/>
      <w:marBottom w:val="0"/>
      <w:divBdr>
        <w:top w:val="none" w:sz="0" w:space="0" w:color="auto"/>
        <w:left w:val="none" w:sz="0" w:space="0" w:color="auto"/>
        <w:bottom w:val="none" w:sz="0" w:space="0" w:color="auto"/>
        <w:right w:val="none" w:sz="0" w:space="0" w:color="auto"/>
      </w:divBdr>
    </w:div>
    <w:div w:id="655299484">
      <w:bodyDiv w:val="1"/>
      <w:marLeft w:val="0"/>
      <w:marRight w:val="0"/>
      <w:marTop w:val="0"/>
      <w:marBottom w:val="0"/>
      <w:divBdr>
        <w:top w:val="none" w:sz="0" w:space="0" w:color="auto"/>
        <w:left w:val="none" w:sz="0" w:space="0" w:color="auto"/>
        <w:bottom w:val="none" w:sz="0" w:space="0" w:color="auto"/>
        <w:right w:val="none" w:sz="0" w:space="0" w:color="auto"/>
      </w:divBdr>
    </w:div>
    <w:div w:id="658116260">
      <w:bodyDiv w:val="1"/>
      <w:marLeft w:val="0"/>
      <w:marRight w:val="0"/>
      <w:marTop w:val="0"/>
      <w:marBottom w:val="0"/>
      <w:divBdr>
        <w:top w:val="none" w:sz="0" w:space="0" w:color="auto"/>
        <w:left w:val="none" w:sz="0" w:space="0" w:color="auto"/>
        <w:bottom w:val="none" w:sz="0" w:space="0" w:color="auto"/>
        <w:right w:val="none" w:sz="0" w:space="0" w:color="auto"/>
      </w:divBdr>
    </w:div>
    <w:div w:id="669675542">
      <w:bodyDiv w:val="1"/>
      <w:marLeft w:val="0"/>
      <w:marRight w:val="0"/>
      <w:marTop w:val="0"/>
      <w:marBottom w:val="0"/>
      <w:divBdr>
        <w:top w:val="none" w:sz="0" w:space="0" w:color="auto"/>
        <w:left w:val="none" w:sz="0" w:space="0" w:color="auto"/>
        <w:bottom w:val="none" w:sz="0" w:space="0" w:color="auto"/>
        <w:right w:val="none" w:sz="0" w:space="0" w:color="auto"/>
      </w:divBdr>
    </w:div>
    <w:div w:id="675350994">
      <w:bodyDiv w:val="1"/>
      <w:marLeft w:val="0"/>
      <w:marRight w:val="0"/>
      <w:marTop w:val="0"/>
      <w:marBottom w:val="0"/>
      <w:divBdr>
        <w:top w:val="none" w:sz="0" w:space="0" w:color="auto"/>
        <w:left w:val="none" w:sz="0" w:space="0" w:color="auto"/>
        <w:bottom w:val="none" w:sz="0" w:space="0" w:color="auto"/>
        <w:right w:val="none" w:sz="0" w:space="0" w:color="auto"/>
      </w:divBdr>
    </w:div>
    <w:div w:id="688682802">
      <w:bodyDiv w:val="1"/>
      <w:marLeft w:val="0"/>
      <w:marRight w:val="0"/>
      <w:marTop w:val="0"/>
      <w:marBottom w:val="0"/>
      <w:divBdr>
        <w:top w:val="none" w:sz="0" w:space="0" w:color="auto"/>
        <w:left w:val="none" w:sz="0" w:space="0" w:color="auto"/>
        <w:bottom w:val="none" w:sz="0" w:space="0" w:color="auto"/>
        <w:right w:val="none" w:sz="0" w:space="0" w:color="auto"/>
      </w:divBdr>
      <w:divsChild>
        <w:div w:id="1101533643">
          <w:marLeft w:val="480"/>
          <w:marRight w:val="0"/>
          <w:marTop w:val="0"/>
          <w:marBottom w:val="0"/>
          <w:divBdr>
            <w:top w:val="none" w:sz="0" w:space="0" w:color="auto"/>
            <w:left w:val="none" w:sz="0" w:space="0" w:color="auto"/>
            <w:bottom w:val="none" w:sz="0" w:space="0" w:color="auto"/>
            <w:right w:val="none" w:sz="0" w:space="0" w:color="auto"/>
          </w:divBdr>
        </w:div>
        <w:div w:id="1506818053">
          <w:marLeft w:val="480"/>
          <w:marRight w:val="0"/>
          <w:marTop w:val="0"/>
          <w:marBottom w:val="0"/>
          <w:divBdr>
            <w:top w:val="none" w:sz="0" w:space="0" w:color="auto"/>
            <w:left w:val="none" w:sz="0" w:space="0" w:color="auto"/>
            <w:bottom w:val="none" w:sz="0" w:space="0" w:color="auto"/>
            <w:right w:val="none" w:sz="0" w:space="0" w:color="auto"/>
          </w:divBdr>
        </w:div>
        <w:div w:id="1840846796">
          <w:marLeft w:val="480"/>
          <w:marRight w:val="0"/>
          <w:marTop w:val="0"/>
          <w:marBottom w:val="0"/>
          <w:divBdr>
            <w:top w:val="none" w:sz="0" w:space="0" w:color="auto"/>
            <w:left w:val="none" w:sz="0" w:space="0" w:color="auto"/>
            <w:bottom w:val="none" w:sz="0" w:space="0" w:color="auto"/>
            <w:right w:val="none" w:sz="0" w:space="0" w:color="auto"/>
          </w:divBdr>
        </w:div>
        <w:div w:id="769855795">
          <w:marLeft w:val="480"/>
          <w:marRight w:val="0"/>
          <w:marTop w:val="0"/>
          <w:marBottom w:val="0"/>
          <w:divBdr>
            <w:top w:val="none" w:sz="0" w:space="0" w:color="auto"/>
            <w:left w:val="none" w:sz="0" w:space="0" w:color="auto"/>
            <w:bottom w:val="none" w:sz="0" w:space="0" w:color="auto"/>
            <w:right w:val="none" w:sz="0" w:space="0" w:color="auto"/>
          </w:divBdr>
        </w:div>
        <w:div w:id="1653748952">
          <w:marLeft w:val="480"/>
          <w:marRight w:val="0"/>
          <w:marTop w:val="0"/>
          <w:marBottom w:val="0"/>
          <w:divBdr>
            <w:top w:val="none" w:sz="0" w:space="0" w:color="auto"/>
            <w:left w:val="none" w:sz="0" w:space="0" w:color="auto"/>
            <w:bottom w:val="none" w:sz="0" w:space="0" w:color="auto"/>
            <w:right w:val="none" w:sz="0" w:space="0" w:color="auto"/>
          </w:divBdr>
        </w:div>
        <w:div w:id="1518539542">
          <w:marLeft w:val="480"/>
          <w:marRight w:val="0"/>
          <w:marTop w:val="0"/>
          <w:marBottom w:val="0"/>
          <w:divBdr>
            <w:top w:val="none" w:sz="0" w:space="0" w:color="auto"/>
            <w:left w:val="none" w:sz="0" w:space="0" w:color="auto"/>
            <w:bottom w:val="none" w:sz="0" w:space="0" w:color="auto"/>
            <w:right w:val="none" w:sz="0" w:space="0" w:color="auto"/>
          </w:divBdr>
        </w:div>
        <w:div w:id="1096823394">
          <w:marLeft w:val="480"/>
          <w:marRight w:val="0"/>
          <w:marTop w:val="0"/>
          <w:marBottom w:val="0"/>
          <w:divBdr>
            <w:top w:val="none" w:sz="0" w:space="0" w:color="auto"/>
            <w:left w:val="none" w:sz="0" w:space="0" w:color="auto"/>
            <w:bottom w:val="none" w:sz="0" w:space="0" w:color="auto"/>
            <w:right w:val="none" w:sz="0" w:space="0" w:color="auto"/>
          </w:divBdr>
        </w:div>
        <w:div w:id="1447655671">
          <w:marLeft w:val="480"/>
          <w:marRight w:val="0"/>
          <w:marTop w:val="0"/>
          <w:marBottom w:val="0"/>
          <w:divBdr>
            <w:top w:val="none" w:sz="0" w:space="0" w:color="auto"/>
            <w:left w:val="none" w:sz="0" w:space="0" w:color="auto"/>
            <w:bottom w:val="none" w:sz="0" w:space="0" w:color="auto"/>
            <w:right w:val="none" w:sz="0" w:space="0" w:color="auto"/>
          </w:divBdr>
        </w:div>
        <w:div w:id="2079014707">
          <w:marLeft w:val="480"/>
          <w:marRight w:val="0"/>
          <w:marTop w:val="0"/>
          <w:marBottom w:val="0"/>
          <w:divBdr>
            <w:top w:val="none" w:sz="0" w:space="0" w:color="auto"/>
            <w:left w:val="none" w:sz="0" w:space="0" w:color="auto"/>
            <w:bottom w:val="none" w:sz="0" w:space="0" w:color="auto"/>
            <w:right w:val="none" w:sz="0" w:space="0" w:color="auto"/>
          </w:divBdr>
        </w:div>
        <w:div w:id="255869459">
          <w:marLeft w:val="480"/>
          <w:marRight w:val="0"/>
          <w:marTop w:val="0"/>
          <w:marBottom w:val="0"/>
          <w:divBdr>
            <w:top w:val="none" w:sz="0" w:space="0" w:color="auto"/>
            <w:left w:val="none" w:sz="0" w:space="0" w:color="auto"/>
            <w:bottom w:val="none" w:sz="0" w:space="0" w:color="auto"/>
            <w:right w:val="none" w:sz="0" w:space="0" w:color="auto"/>
          </w:divBdr>
        </w:div>
        <w:div w:id="1066606976">
          <w:marLeft w:val="480"/>
          <w:marRight w:val="0"/>
          <w:marTop w:val="0"/>
          <w:marBottom w:val="0"/>
          <w:divBdr>
            <w:top w:val="none" w:sz="0" w:space="0" w:color="auto"/>
            <w:left w:val="none" w:sz="0" w:space="0" w:color="auto"/>
            <w:bottom w:val="none" w:sz="0" w:space="0" w:color="auto"/>
            <w:right w:val="none" w:sz="0" w:space="0" w:color="auto"/>
          </w:divBdr>
        </w:div>
        <w:div w:id="75054268">
          <w:marLeft w:val="480"/>
          <w:marRight w:val="0"/>
          <w:marTop w:val="0"/>
          <w:marBottom w:val="0"/>
          <w:divBdr>
            <w:top w:val="none" w:sz="0" w:space="0" w:color="auto"/>
            <w:left w:val="none" w:sz="0" w:space="0" w:color="auto"/>
            <w:bottom w:val="none" w:sz="0" w:space="0" w:color="auto"/>
            <w:right w:val="none" w:sz="0" w:space="0" w:color="auto"/>
          </w:divBdr>
        </w:div>
        <w:div w:id="1126856166">
          <w:marLeft w:val="480"/>
          <w:marRight w:val="0"/>
          <w:marTop w:val="0"/>
          <w:marBottom w:val="0"/>
          <w:divBdr>
            <w:top w:val="none" w:sz="0" w:space="0" w:color="auto"/>
            <w:left w:val="none" w:sz="0" w:space="0" w:color="auto"/>
            <w:bottom w:val="none" w:sz="0" w:space="0" w:color="auto"/>
            <w:right w:val="none" w:sz="0" w:space="0" w:color="auto"/>
          </w:divBdr>
        </w:div>
        <w:div w:id="779108316">
          <w:marLeft w:val="480"/>
          <w:marRight w:val="0"/>
          <w:marTop w:val="0"/>
          <w:marBottom w:val="0"/>
          <w:divBdr>
            <w:top w:val="none" w:sz="0" w:space="0" w:color="auto"/>
            <w:left w:val="none" w:sz="0" w:space="0" w:color="auto"/>
            <w:bottom w:val="none" w:sz="0" w:space="0" w:color="auto"/>
            <w:right w:val="none" w:sz="0" w:space="0" w:color="auto"/>
          </w:divBdr>
        </w:div>
      </w:divsChild>
    </w:div>
    <w:div w:id="717247874">
      <w:bodyDiv w:val="1"/>
      <w:marLeft w:val="0"/>
      <w:marRight w:val="0"/>
      <w:marTop w:val="0"/>
      <w:marBottom w:val="0"/>
      <w:divBdr>
        <w:top w:val="none" w:sz="0" w:space="0" w:color="auto"/>
        <w:left w:val="none" w:sz="0" w:space="0" w:color="auto"/>
        <w:bottom w:val="none" w:sz="0" w:space="0" w:color="auto"/>
        <w:right w:val="none" w:sz="0" w:space="0" w:color="auto"/>
      </w:divBdr>
    </w:div>
    <w:div w:id="729426933">
      <w:bodyDiv w:val="1"/>
      <w:marLeft w:val="0"/>
      <w:marRight w:val="0"/>
      <w:marTop w:val="0"/>
      <w:marBottom w:val="0"/>
      <w:divBdr>
        <w:top w:val="none" w:sz="0" w:space="0" w:color="auto"/>
        <w:left w:val="none" w:sz="0" w:space="0" w:color="auto"/>
        <w:bottom w:val="none" w:sz="0" w:space="0" w:color="auto"/>
        <w:right w:val="none" w:sz="0" w:space="0" w:color="auto"/>
      </w:divBdr>
    </w:div>
    <w:div w:id="764811659">
      <w:bodyDiv w:val="1"/>
      <w:marLeft w:val="0"/>
      <w:marRight w:val="0"/>
      <w:marTop w:val="0"/>
      <w:marBottom w:val="0"/>
      <w:divBdr>
        <w:top w:val="none" w:sz="0" w:space="0" w:color="auto"/>
        <w:left w:val="none" w:sz="0" w:space="0" w:color="auto"/>
        <w:bottom w:val="none" w:sz="0" w:space="0" w:color="auto"/>
        <w:right w:val="none" w:sz="0" w:space="0" w:color="auto"/>
      </w:divBdr>
      <w:divsChild>
        <w:div w:id="1806893073">
          <w:marLeft w:val="480"/>
          <w:marRight w:val="0"/>
          <w:marTop w:val="0"/>
          <w:marBottom w:val="0"/>
          <w:divBdr>
            <w:top w:val="none" w:sz="0" w:space="0" w:color="auto"/>
            <w:left w:val="none" w:sz="0" w:space="0" w:color="auto"/>
            <w:bottom w:val="none" w:sz="0" w:space="0" w:color="auto"/>
            <w:right w:val="none" w:sz="0" w:space="0" w:color="auto"/>
          </w:divBdr>
        </w:div>
        <w:div w:id="1414353571">
          <w:marLeft w:val="480"/>
          <w:marRight w:val="0"/>
          <w:marTop w:val="0"/>
          <w:marBottom w:val="0"/>
          <w:divBdr>
            <w:top w:val="none" w:sz="0" w:space="0" w:color="auto"/>
            <w:left w:val="none" w:sz="0" w:space="0" w:color="auto"/>
            <w:bottom w:val="none" w:sz="0" w:space="0" w:color="auto"/>
            <w:right w:val="none" w:sz="0" w:space="0" w:color="auto"/>
          </w:divBdr>
        </w:div>
        <w:div w:id="1164780874">
          <w:marLeft w:val="480"/>
          <w:marRight w:val="0"/>
          <w:marTop w:val="0"/>
          <w:marBottom w:val="0"/>
          <w:divBdr>
            <w:top w:val="none" w:sz="0" w:space="0" w:color="auto"/>
            <w:left w:val="none" w:sz="0" w:space="0" w:color="auto"/>
            <w:bottom w:val="none" w:sz="0" w:space="0" w:color="auto"/>
            <w:right w:val="none" w:sz="0" w:space="0" w:color="auto"/>
          </w:divBdr>
        </w:div>
        <w:div w:id="1170291474">
          <w:marLeft w:val="480"/>
          <w:marRight w:val="0"/>
          <w:marTop w:val="0"/>
          <w:marBottom w:val="0"/>
          <w:divBdr>
            <w:top w:val="none" w:sz="0" w:space="0" w:color="auto"/>
            <w:left w:val="none" w:sz="0" w:space="0" w:color="auto"/>
            <w:bottom w:val="none" w:sz="0" w:space="0" w:color="auto"/>
            <w:right w:val="none" w:sz="0" w:space="0" w:color="auto"/>
          </w:divBdr>
        </w:div>
        <w:div w:id="443620020">
          <w:marLeft w:val="480"/>
          <w:marRight w:val="0"/>
          <w:marTop w:val="0"/>
          <w:marBottom w:val="0"/>
          <w:divBdr>
            <w:top w:val="none" w:sz="0" w:space="0" w:color="auto"/>
            <w:left w:val="none" w:sz="0" w:space="0" w:color="auto"/>
            <w:bottom w:val="none" w:sz="0" w:space="0" w:color="auto"/>
            <w:right w:val="none" w:sz="0" w:space="0" w:color="auto"/>
          </w:divBdr>
        </w:div>
        <w:div w:id="1618835836">
          <w:marLeft w:val="480"/>
          <w:marRight w:val="0"/>
          <w:marTop w:val="0"/>
          <w:marBottom w:val="0"/>
          <w:divBdr>
            <w:top w:val="none" w:sz="0" w:space="0" w:color="auto"/>
            <w:left w:val="none" w:sz="0" w:space="0" w:color="auto"/>
            <w:bottom w:val="none" w:sz="0" w:space="0" w:color="auto"/>
            <w:right w:val="none" w:sz="0" w:space="0" w:color="auto"/>
          </w:divBdr>
        </w:div>
        <w:div w:id="996424568">
          <w:marLeft w:val="480"/>
          <w:marRight w:val="0"/>
          <w:marTop w:val="0"/>
          <w:marBottom w:val="0"/>
          <w:divBdr>
            <w:top w:val="none" w:sz="0" w:space="0" w:color="auto"/>
            <w:left w:val="none" w:sz="0" w:space="0" w:color="auto"/>
            <w:bottom w:val="none" w:sz="0" w:space="0" w:color="auto"/>
            <w:right w:val="none" w:sz="0" w:space="0" w:color="auto"/>
          </w:divBdr>
        </w:div>
        <w:div w:id="590117156">
          <w:marLeft w:val="480"/>
          <w:marRight w:val="0"/>
          <w:marTop w:val="0"/>
          <w:marBottom w:val="0"/>
          <w:divBdr>
            <w:top w:val="none" w:sz="0" w:space="0" w:color="auto"/>
            <w:left w:val="none" w:sz="0" w:space="0" w:color="auto"/>
            <w:bottom w:val="none" w:sz="0" w:space="0" w:color="auto"/>
            <w:right w:val="none" w:sz="0" w:space="0" w:color="auto"/>
          </w:divBdr>
        </w:div>
        <w:div w:id="1510483152">
          <w:marLeft w:val="480"/>
          <w:marRight w:val="0"/>
          <w:marTop w:val="0"/>
          <w:marBottom w:val="0"/>
          <w:divBdr>
            <w:top w:val="none" w:sz="0" w:space="0" w:color="auto"/>
            <w:left w:val="none" w:sz="0" w:space="0" w:color="auto"/>
            <w:bottom w:val="none" w:sz="0" w:space="0" w:color="auto"/>
            <w:right w:val="none" w:sz="0" w:space="0" w:color="auto"/>
          </w:divBdr>
        </w:div>
        <w:div w:id="1263614124">
          <w:marLeft w:val="480"/>
          <w:marRight w:val="0"/>
          <w:marTop w:val="0"/>
          <w:marBottom w:val="0"/>
          <w:divBdr>
            <w:top w:val="none" w:sz="0" w:space="0" w:color="auto"/>
            <w:left w:val="none" w:sz="0" w:space="0" w:color="auto"/>
            <w:bottom w:val="none" w:sz="0" w:space="0" w:color="auto"/>
            <w:right w:val="none" w:sz="0" w:space="0" w:color="auto"/>
          </w:divBdr>
        </w:div>
        <w:div w:id="1123037628">
          <w:marLeft w:val="480"/>
          <w:marRight w:val="0"/>
          <w:marTop w:val="0"/>
          <w:marBottom w:val="0"/>
          <w:divBdr>
            <w:top w:val="none" w:sz="0" w:space="0" w:color="auto"/>
            <w:left w:val="none" w:sz="0" w:space="0" w:color="auto"/>
            <w:bottom w:val="none" w:sz="0" w:space="0" w:color="auto"/>
            <w:right w:val="none" w:sz="0" w:space="0" w:color="auto"/>
          </w:divBdr>
        </w:div>
        <w:div w:id="988822323">
          <w:marLeft w:val="480"/>
          <w:marRight w:val="0"/>
          <w:marTop w:val="0"/>
          <w:marBottom w:val="0"/>
          <w:divBdr>
            <w:top w:val="none" w:sz="0" w:space="0" w:color="auto"/>
            <w:left w:val="none" w:sz="0" w:space="0" w:color="auto"/>
            <w:bottom w:val="none" w:sz="0" w:space="0" w:color="auto"/>
            <w:right w:val="none" w:sz="0" w:space="0" w:color="auto"/>
          </w:divBdr>
        </w:div>
        <w:div w:id="821971491">
          <w:marLeft w:val="480"/>
          <w:marRight w:val="0"/>
          <w:marTop w:val="0"/>
          <w:marBottom w:val="0"/>
          <w:divBdr>
            <w:top w:val="none" w:sz="0" w:space="0" w:color="auto"/>
            <w:left w:val="none" w:sz="0" w:space="0" w:color="auto"/>
            <w:bottom w:val="none" w:sz="0" w:space="0" w:color="auto"/>
            <w:right w:val="none" w:sz="0" w:space="0" w:color="auto"/>
          </w:divBdr>
        </w:div>
      </w:divsChild>
    </w:div>
    <w:div w:id="775054905">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2129">
      <w:bodyDiv w:val="1"/>
      <w:marLeft w:val="0"/>
      <w:marRight w:val="0"/>
      <w:marTop w:val="0"/>
      <w:marBottom w:val="0"/>
      <w:divBdr>
        <w:top w:val="none" w:sz="0" w:space="0" w:color="auto"/>
        <w:left w:val="none" w:sz="0" w:space="0" w:color="auto"/>
        <w:bottom w:val="none" w:sz="0" w:space="0" w:color="auto"/>
        <w:right w:val="none" w:sz="0" w:space="0" w:color="auto"/>
      </w:divBdr>
    </w:div>
    <w:div w:id="814106892">
      <w:bodyDiv w:val="1"/>
      <w:marLeft w:val="0"/>
      <w:marRight w:val="0"/>
      <w:marTop w:val="0"/>
      <w:marBottom w:val="0"/>
      <w:divBdr>
        <w:top w:val="none" w:sz="0" w:space="0" w:color="auto"/>
        <w:left w:val="none" w:sz="0" w:space="0" w:color="auto"/>
        <w:bottom w:val="none" w:sz="0" w:space="0" w:color="auto"/>
        <w:right w:val="none" w:sz="0" w:space="0" w:color="auto"/>
      </w:divBdr>
    </w:div>
    <w:div w:id="814681045">
      <w:bodyDiv w:val="1"/>
      <w:marLeft w:val="0"/>
      <w:marRight w:val="0"/>
      <w:marTop w:val="0"/>
      <w:marBottom w:val="0"/>
      <w:divBdr>
        <w:top w:val="none" w:sz="0" w:space="0" w:color="auto"/>
        <w:left w:val="none" w:sz="0" w:space="0" w:color="auto"/>
        <w:bottom w:val="none" w:sz="0" w:space="0" w:color="auto"/>
        <w:right w:val="none" w:sz="0" w:space="0" w:color="auto"/>
      </w:divBdr>
    </w:div>
    <w:div w:id="839004577">
      <w:bodyDiv w:val="1"/>
      <w:marLeft w:val="0"/>
      <w:marRight w:val="0"/>
      <w:marTop w:val="0"/>
      <w:marBottom w:val="0"/>
      <w:divBdr>
        <w:top w:val="none" w:sz="0" w:space="0" w:color="auto"/>
        <w:left w:val="none" w:sz="0" w:space="0" w:color="auto"/>
        <w:bottom w:val="none" w:sz="0" w:space="0" w:color="auto"/>
        <w:right w:val="none" w:sz="0" w:space="0" w:color="auto"/>
      </w:divBdr>
      <w:divsChild>
        <w:div w:id="1949121478">
          <w:marLeft w:val="480"/>
          <w:marRight w:val="0"/>
          <w:marTop w:val="0"/>
          <w:marBottom w:val="0"/>
          <w:divBdr>
            <w:top w:val="none" w:sz="0" w:space="0" w:color="auto"/>
            <w:left w:val="none" w:sz="0" w:space="0" w:color="auto"/>
            <w:bottom w:val="none" w:sz="0" w:space="0" w:color="auto"/>
            <w:right w:val="none" w:sz="0" w:space="0" w:color="auto"/>
          </w:divBdr>
        </w:div>
        <w:div w:id="1413433489">
          <w:marLeft w:val="480"/>
          <w:marRight w:val="0"/>
          <w:marTop w:val="0"/>
          <w:marBottom w:val="0"/>
          <w:divBdr>
            <w:top w:val="none" w:sz="0" w:space="0" w:color="auto"/>
            <w:left w:val="none" w:sz="0" w:space="0" w:color="auto"/>
            <w:bottom w:val="none" w:sz="0" w:space="0" w:color="auto"/>
            <w:right w:val="none" w:sz="0" w:space="0" w:color="auto"/>
          </w:divBdr>
        </w:div>
        <w:div w:id="93481394">
          <w:marLeft w:val="480"/>
          <w:marRight w:val="0"/>
          <w:marTop w:val="0"/>
          <w:marBottom w:val="0"/>
          <w:divBdr>
            <w:top w:val="none" w:sz="0" w:space="0" w:color="auto"/>
            <w:left w:val="none" w:sz="0" w:space="0" w:color="auto"/>
            <w:bottom w:val="none" w:sz="0" w:space="0" w:color="auto"/>
            <w:right w:val="none" w:sz="0" w:space="0" w:color="auto"/>
          </w:divBdr>
        </w:div>
        <w:div w:id="749931091">
          <w:marLeft w:val="480"/>
          <w:marRight w:val="0"/>
          <w:marTop w:val="0"/>
          <w:marBottom w:val="0"/>
          <w:divBdr>
            <w:top w:val="none" w:sz="0" w:space="0" w:color="auto"/>
            <w:left w:val="none" w:sz="0" w:space="0" w:color="auto"/>
            <w:bottom w:val="none" w:sz="0" w:space="0" w:color="auto"/>
            <w:right w:val="none" w:sz="0" w:space="0" w:color="auto"/>
          </w:divBdr>
        </w:div>
        <w:div w:id="1206529465">
          <w:marLeft w:val="480"/>
          <w:marRight w:val="0"/>
          <w:marTop w:val="0"/>
          <w:marBottom w:val="0"/>
          <w:divBdr>
            <w:top w:val="none" w:sz="0" w:space="0" w:color="auto"/>
            <w:left w:val="none" w:sz="0" w:space="0" w:color="auto"/>
            <w:bottom w:val="none" w:sz="0" w:space="0" w:color="auto"/>
            <w:right w:val="none" w:sz="0" w:space="0" w:color="auto"/>
          </w:divBdr>
        </w:div>
        <w:div w:id="1700163227">
          <w:marLeft w:val="480"/>
          <w:marRight w:val="0"/>
          <w:marTop w:val="0"/>
          <w:marBottom w:val="0"/>
          <w:divBdr>
            <w:top w:val="none" w:sz="0" w:space="0" w:color="auto"/>
            <w:left w:val="none" w:sz="0" w:space="0" w:color="auto"/>
            <w:bottom w:val="none" w:sz="0" w:space="0" w:color="auto"/>
            <w:right w:val="none" w:sz="0" w:space="0" w:color="auto"/>
          </w:divBdr>
        </w:div>
        <w:div w:id="670447820">
          <w:marLeft w:val="480"/>
          <w:marRight w:val="0"/>
          <w:marTop w:val="0"/>
          <w:marBottom w:val="0"/>
          <w:divBdr>
            <w:top w:val="none" w:sz="0" w:space="0" w:color="auto"/>
            <w:left w:val="none" w:sz="0" w:space="0" w:color="auto"/>
            <w:bottom w:val="none" w:sz="0" w:space="0" w:color="auto"/>
            <w:right w:val="none" w:sz="0" w:space="0" w:color="auto"/>
          </w:divBdr>
        </w:div>
        <w:div w:id="1769232262">
          <w:marLeft w:val="480"/>
          <w:marRight w:val="0"/>
          <w:marTop w:val="0"/>
          <w:marBottom w:val="0"/>
          <w:divBdr>
            <w:top w:val="none" w:sz="0" w:space="0" w:color="auto"/>
            <w:left w:val="none" w:sz="0" w:space="0" w:color="auto"/>
            <w:bottom w:val="none" w:sz="0" w:space="0" w:color="auto"/>
            <w:right w:val="none" w:sz="0" w:space="0" w:color="auto"/>
          </w:divBdr>
        </w:div>
        <w:div w:id="1495100756">
          <w:marLeft w:val="480"/>
          <w:marRight w:val="0"/>
          <w:marTop w:val="0"/>
          <w:marBottom w:val="0"/>
          <w:divBdr>
            <w:top w:val="none" w:sz="0" w:space="0" w:color="auto"/>
            <w:left w:val="none" w:sz="0" w:space="0" w:color="auto"/>
            <w:bottom w:val="none" w:sz="0" w:space="0" w:color="auto"/>
            <w:right w:val="none" w:sz="0" w:space="0" w:color="auto"/>
          </w:divBdr>
        </w:div>
        <w:div w:id="1581525883">
          <w:marLeft w:val="480"/>
          <w:marRight w:val="0"/>
          <w:marTop w:val="0"/>
          <w:marBottom w:val="0"/>
          <w:divBdr>
            <w:top w:val="none" w:sz="0" w:space="0" w:color="auto"/>
            <w:left w:val="none" w:sz="0" w:space="0" w:color="auto"/>
            <w:bottom w:val="none" w:sz="0" w:space="0" w:color="auto"/>
            <w:right w:val="none" w:sz="0" w:space="0" w:color="auto"/>
          </w:divBdr>
        </w:div>
        <w:div w:id="1762949495">
          <w:marLeft w:val="480"/>
          <w:marRight w:val="0"/>
          <w:marTop w:val="0"/>
          <w:marBottom w:val="0"/>
          <w:divBdr>
            <w:top w:val="none" w:sz="0" w:space="0" w:color="auto"/>
            <w:left w:val="none" w:sz="0" w:space="0" w:color="auto"/>
            <w:bottom w:val="none" w:sz="0" w:space="0" w:color="auto"/>
            <w:right w:val="none" w:sz="0" w:space="0" w:color="auto"/>
          </w:divBdr>
        </w:div>
        <w:div w:id="16472518">
          <w:marLeft w:val="480"/>
          <w:marRight w:val="0"/>
          <w:marTop w:val="0"/>
          <w:marBottom w:val="0"/>
          <w:divBdr>
            <w:top w:val="none" w:sz="0" w:space="0" w:color="auto"/>
            <w:left w:val="none" w:sz="0" w:space="0" w:color="auto"/>
            <w:bottom w:val="none" w:sz="0" w:space="0" w:color="auto"/>
            <w:right w:val="none" w:sz="0" w:space="0" w:color="auto"/>
          </w:divBdr>
        </w:div>
        <w:div w:id="2095973122">
          <w:marLeft w:val="480"/>
          <w:marRight w:val="0"/>
          <w:marTop w:val="0"/>
          <w:marBottom w:val="0"/>
          <w:divBdr>
            <w:top w:val="none" w:sz="0" w:space="0" w:color="auto"/>
            <w:left w:val="none" w:sz="0" w:space="0" w:color="auto"/>
            <w:bottom w:val="none" w:sz="0" w:space="0" w:color="auto"/>
            <w:right w:val="none" w:sz="0" w:space="0" w:color="auto"/>
          </w:divBdr>
        </w:div>
        <w:div w:id="1839610903">
          <w:marLeft w:val="480"/>
          <w:marRight w:val="0"/>
          <w:marTop w:val="0"/>
          <w:marBottom w:val="0"/>
          <w:divBdr>
            <w:top w:val="none" w:sz="0" w:space="0" w:color="auto"/>
            <w:left w:val="none" w:sz="0" w:space="0" w:color="auto"/>
            <w:bottom w:val="none" w:sz="0" w:space="0" w:color="auto"/>
            <w:right w:val="none" w:sz="0" w:space="0" w:color="auto"/>
          </w:divBdr>
        </w:div>
      </w:divsChild>
    </w:div>
    <w:div w:id="849569020">
      <w:bodyDiv w:val="1"/>
      <w:marLeft w:val="0"/>
      <w:marRight w:val="0"/>
      <w:marTop w:val="0"/>
      <w:marBottom w:val="0"/>
      <w:divBdr>
        <w:top w:val="none" w:sz="0" w:space="0" w:color="auto"/>
        <w:left w:val="none" w:sz="0" w:space="0" w:color="auto"/>
        <w:bottom w:val="none" w:sz="0" w:space="0" w:color="auto"/>
        <w:right w:val="none" w:sz="0" w:space="0" w:color="auto"/>
      </w:divBdr>
    </w:div>
    <w:div w:id="855386138">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192489">
      <w:bodyDiv w:val="1"/>
      <w:marLeft w:val="0"/>
      <w:marRight w:val="0"/>
      <w:marTop w:val="0"/>
      <w:marBottom w:val="0"/>
      <w:divBdr>
        <w:top w:val="none" w:sz="0" w:space="0" w:color="auto"/>
        <w:left w:val="none" w:sz="0" w:space="0" w:color="auto"/>
        <w:bottom w:val="none" w:sz="0" w:space="0" w:color="auto"/>
        <w:right w:val="none" w:sz="0" w:space="0" w:color="auto"/>
      </w:divBdr>
    </w:div>
    <w:div w:id="875000672">
      <w:bodyDiv w:val="1"/>
      <w:marLeft w:val="0"/>
      <w:marRight w:val="0"/>
      <w:marTop w:val="0"/>
      <w:marBottom w:val="0"/>
      <w:divBdr>
        <w:top w:val="none" w:sz="0" w:space="0" w:color="auto"/>
        <w:left w:val="none" w:sz="0" w:space="0" w:color="auto"/>
        <w:bottom w:val="none" w:sz="0" w:space="0" w:color="auto"/>
        <w:right w:val="none" w:sz="0" w:space="0" w:color="auto"/>
      </w:divBdr>
      <w:divsChild>
        <w:div w:id="727387257">
          <w:marLeft w:val="480"/>
          <w:marRight w:val="0"/>
          <w:marTop w:val="0"/>
          <w:marBottom w:val="0"/>
          <w:divBdr>
            <w:top w:val="none" w:sz="0" w:space="0" w:color="auto"/>
            <w:left w:val="none" w:sz="0" w:space="0" w:color="auto"/>
            <w:bottom w:val="none" w:sz="0" w:space="0" w:color="auto"/>
            <w:right w:val="none" w:sz="0" w:space="0" w:color="auto"/>
          </w:divBdr>
        </w:div>
        <w:div w:id="1782142821">
          <w:marLeft w:val="480"/>
          <w:marRight w:val="0"/>
          <w:marTop w:val="0"/>
          <w:marBottom w:val="0"/>
          <w:divBdr>
            <w:top w:val="none" w:sz="0" w:space="0" w:color="auto"/>
            <w:left w:val="none" w:sz="0" w:space="0" w:color="auto"/>
            <w:bottom w:val="none" w:sz="0" w:space="0" w:color="auto"/>
            <w:right w:val="none" w:sz="0" w:space="0" w:color="auto"/>
          </w:divBdr>
        </w:div>
        <w:div w:id="2122413132">
          <w:marLeft w:val="480"/>
          <w:marRight w:val="0"/>
          <w:marTop w:val="0"/>
          <w:marBottom w:val="0"/>
          <w:divBdr>
            <w:top w:val="none" w:sz="0" w:space="0" w:color="auto"/>
            <w:left w:val="none" w:sz="0" w:space="0" w:color="auto"/>
            <w:bottom w:val="none" w:sz="0" w:space="0" w:color="auto"/>
            <w:right w:val="none" w:sz="0" w:space="0" w:color="auto"/>
          </w:divBdr>
        </w:div>
        <w:div w:id="663363859">
          <w:marLeft w:val="480"/>
          <w:marRight w:val="0"/>
          <w:marTop w:val="0"/>
          <w:marBottom w:val="0"/>
          <w:divBdr>
            <w:top w:val="none" w:sz="0" w:space="0" w:color="auto"/>
            <w:left w:val="none" w:sz="0" w:space="0" w:color="auto"/>
            <w:bottom w:val="none" w:sz="0" w:space="0" w:color="auto"/>
            <w:right w:val="none" w:sz="0" w:space="0" w:color="auto"/>
          </w:divBdr>
        </w:div>
        <w:div w:id="106585808">
          <w:marLeft w:val="480"/>
          <w:marRight w:val="0"/>
          <w:marTop w:val="0"/>
          <w:marBottom w:val="0"/>
          <w:divBdr>
            <w:top w:val="none" w:sz="0" w:space="0" w:color="auto"/>
            <w:left w:val="none" w:sz="0" w:space="0" w:color="auto"/>
            <w:bottom w:val="none" w:sz="0" w:space="0" w:color="auto"/>
            <w:right w:val="none" w:sz="0" w:space="0" w:color="auto"/>
          </w:divBdr>
        </w:div>
        <w:div w:id="2003310272">
          <w:marLeft w:val="480"/>
          <w:marRight w:val="0"/>
          <w:marTop w:val="0"/>
          <w:marBottom w:val="0"/>
          <w:divBdr>
            <w:top w:val="none" w:sz="0" w:space="0" w:color="auto"/>
            <w:left w:val="none" w:sz="0" w:space="0" w:color="auto"/>
            <w:bottom w:val="none" w:sz="0" w:space="0" w:color="auto"/>
            <w:right w:val="none" w:sz="0" w:space="0" w:color="auto"/>
          </w:divBdr>
        </w:div>
        <w:div w:id="1576552367">
          <w:marLeft w:val="480"/>
          <w:marRight w:val="0"/>
          <w:marTop w:val="0"/>
          <w:marBottom w:val="0"/>
          <w:divBdr>
            <w:top w:val="none" w:sz="0" w:space="0" w:color="auto"/>
            <w:left w:val="none" w:sz="0" w:space="0" w:color="auto"/>
            <w:bottom w:val="none" w:sz="0" w:space="0" w:color="auto"/>
            <w:right w:val="none" w:sz="0" w:space="0" w:color="auto"/>
          </w:divBdr>
        </w:div>
        <w:div w:id="576979450">
          <w:marLeft w:val="480"/>
          <w:marRight w:val="0"/>
          <w:marTop w:val="0"/>
          <w:marBottom w:val="0"/>
          <w:divBdr>
            <w:top w:val="none" w:sz="0" w:space="0" w:color="auto"/>
            <w:left w:val="none" w:sz="0" w:space="0" w:color="auto"/>
            <w:bottom w:val="none" w:sz="0" w:space="0" w:color="auto"/>
            <w:right w:val="none" w:sz="0" w:space="0" w:color="auto"/>
          </w:divBdr>
        </w:div>
        <w:div w:id="658922964">
          <w:marLeft w:val="480"/>
          <w:marRight w:val="0"/>
          <w:marTop w:val="0"/>
          <w:marBottom w:val="0"/>
          <w:divBdr>
            <w:top w:val="none" w:sz="0" w:space="0" w:color="auto"/>
            <w:left w:val="none" w:sz="0" w:space="0" w:color="auto"/>
            <w:bottom w:val="none" w:sz="0" w:space="0" w:color="auto"/>
            <w:right w:val="none" w:sz="0" w:space="0" w:color="auto"/>
          </w:divBdr>
        </w:div>
        <w:div w:id="324090852">
          <w:marLeft w:val="480"/>
          <w:marRight w:val="0"/>
          <w:marTop w:val="0"/>
          <w:marBottom w:val="0"/>
          <w:divBdr>
            <w:top w:val="none" w:sz="0" w:space="0" w:color="auto"/>
            <w:left w:val="none" w:sz="0" w:space="0" w:color="auto"/>
            <w:bottom w:val="none" w:sz="0" w:space="0" w:color="auto"/>
            <w:right w:val="none" w:sz="0" w:space="0" w:color="auto"/>
          </w:divBdr>
        </w:div>
        <w:div w:id="1246186561">
          <w:marLeft w:val="480"/>
          <w:marRight w:val="0"/>
          <w:marTop w:val="0"/>
          <w:marBottom w:val="0"/>
          <w:divBdr>
            <w:top w:val="none" w:sz="0" w:space="0" w:color="auto"/>
            <w:left w:val="none" w:sz="0" w:space="0" w:color="auto"/>
            <w:bottom w:val="none" w:sz="0" w:space="0" w:color="auto"/>
            <w:right w:val="none" w:sz="0" w:space="0" w:color="auto"/>
          </w:divBdr>
        </w:div>
      </w:divsChild>
    </w:div>
    <w:div w:id="875198468">
      <w:bodyDiv w:val="1"/>
      <w:marLeft w:val="0"/>
      <w:marRight w:val="0"/>
      <w:marTop w:val="0"/>
      <w:marBottom w:val="0"/>
      <w:divBdr>
        <w:top w:val="none" w:sz="0" w:space="0" w:color="auto"/>
        <w:left w:val="none" w:sz="0" w:space="0" w:color="auto"/>
        <w:bottom w:val="none" w:sz="0" w:space="0" w:color="auto"/>
        <w:right w:val="none" w:sz="0" w:space="0" w:color="auto"/>
      </w:divBdr>
    </w:div>
    <w:div w:id="875242764">
      <w:bodyDiv w:val="1"/>
      <w:marLeft w:val="0"/>
      <w:marRight w:val="0"/>
      <w:marTop w:val="0"/>
      <w:marBottom w:val="0"/>
      <w:divBdr>
        <w:top w:val="none" w:sz="0" w:space="0" w:color="auto"/>
        <w:left w:val="none" w:sz="0" w:space="0" w:color="auto"/>
        <w:bottom w:val="none" w:sz="0" w:space="0" w:color="auto"/>
        <w:right w:val="none" w:sz="0" w:space="0" w:color="auto"/>
      </w:divBdr>
    </w:div>
    <w:div w:id="877935918">
      <w:bodyDiv w:val="1"/>
      <w:marLeft w:val="0"/>
      <w:marRight w:val="0"/>
      <w:marTop w:val="0"/>
      <w:marBottom w:val="0"/>
      <w:divBdr>
        <w:top w:val="none" w:sz="0" w:space="0" w:color="auto"/>
        <w:left w:val="none" w:sz="0" w:space="0" w:color="auto"/>
        <w:bottom w:val="none" w:sz="0" w:space="0" w:color="auto"/>
        <w:right w:val="none" w:sz="0" w:space="0" w:color="auto"/>
      </w:divBdr>
      <w:divsChild>
        <w:div w:id="1827166265">
          <w:marLeft w:val="0"/>
          <w:marRight w:val="0"/>
          <w:marTop w:val="0"/>
          <w:marBottom w:val="0"/>
          <w:divBdr>
            <w:top w:val="none" w:sz="0" w:space="0" w:color="auto"/>
            <w:left w:val="none" w:sz="0" w:space="0" w:color="auto"/>
            <w:bottom w:val="none" w:sz="0" w:space="0" w:color="auto"/>
            <w:right w:val="none" w:sz="0" w:space="0" w:color="auto"/>
          </w:divBdr>
        </w:div>
      </w:divsChild>
    </w:div>
    <w:div w:id="886600796">
      <w:bodyDiv w:val="1"/>
      <w:marLeft w:val="0"/>
      <w:marRight w:val="0"/>
      <w:marTop w:val="0"/>
      <w:marBottom w:val="0"/>
      <w:divBdr>
        <w:top w:val="none" w:sz="0" w:space="0" w:color="auto"/>
        <w:left w:val="none" w:sz="0" w:space="0" w:color="auto"/>
        <w:bottom w:val="none" w:sz="0" w:space="0" w:color="auto"/>
        <w:right w:val="none" w:sz="0" w:space="0" w:color="auto"/>
      </w:divBdr>
      <w:divsChild>
        <w:div w:id="1326393275">
          <w:marLeft w:val="0"/>
          <w:marRight w:val="0"/>
          <w:marTop w:val="0"/>
          <w:marBottom w:val="0"/>
          <w:divBdr>
            <w:top w:val="none" w:sz="0" w:space="0" w:color="auto"/>
            <w:left w:val="none" w:sz="0" w:space="0" w:color="auto"/>
            <w:bottom w:val="none" w:sz="0" w:space="0" w:color="auto"/>
            <w:right w:val="none" w:sz="0" w:space="0" w:color="auto"/>
          </w:divBdr>
        </w:div>
      </w:divsChild>
    </w:div>
    <w:div w:id="887762731">
      <w:bodyDiv w:val="1"/>
      <w:marLeft w:val="0"/>
      <w:marRight w:val="0"/>
      <w:marTop w:val="0"/>
      <w:marBottom w:val="0"/>
      <w:divBdr>
        <w:top w:val="none" w:sz="0" w:space="0" w:color="auto"/>
        <w:left w:val="none" w:sz="0" w:space="0" w:color="auto"/>
        <w:bottom w:val="none" w:sz="0" w:space="0" w:color="auto"/>
        <w:right w:val="none" w:sz="0" w:space="0" w:color="auto"/>
      </w:divBdr>
      <w:divsChild>
        <w:div w:id="1552572393">
          <w:marLeft w:val="480"/>
          <w:marRight w:val="0"/>
          <w:marTop w:val="0"/>
          <w:marBottom w:val="0"/>
          <w:divBdr>
            <w:top w:val="none" w:sz="0" w:space="0" w:color="auto"/>
            <w:left w:val="none" w:sz="0" w:space="0" w:color="auto"/>
            <w:bottom w:val="none" w:sz="0" w:space="0" w:color="auto"/>
            <w:right w:val="none" w:sz="0" w:space="0" w:color="auto"/>
          </w:divBdr>
        </w:div>
        <w:div w:id="228150877">
          <w:marLeft w:val="480"/>
          <w:marRight w:val="0"/>
          <w:marTop w:val="0"/>
          <w:marBottom w:val="0"/>
          <w:divBdr>
            <w:top w:val="none" w:sz="0" w:space="0" w:color="auto"/>
            <w:left w:val="none" w:sz="0" w:space="0" w:color="auto"/>
            <w:bottom w:val="none" w:sz="0" w:space="0" w:color="auto"/>
            <w:right w:val="none" w:sz="0" w:space="0" w:color="auto"/>
          </w:divBdr>
        </w:div>
        <w:div w:id="175657913">
          <w:marLeft w:val="480"/>
          <w:marRight w:val="0"/>
          <w:marTop w:val="0"/>
          <w:marBottom w:val="0"/>
          <w:divBdr>
            <w:top w:val="none" w:sz="0" w:space="0" w:color="auto"/>
            <w:left w:val="none" w:sz="0" w:space="0" w:color="auto"/>
            <w:bottom w:val="none" w:sz="0" w:space="0" w:color="auto"/>
            <w:right w:val="none" w:sz="0" w:space="0" w:color="auto"/>
          </w:divBdr>
        </w:div>
        <w:div w:id="493909688">
          <w:marLeft w:val="480"/>
          <w:marRight w:val="0"/>
          <w:marTop w:val="0"/>
          <w:marBottom w:val="0"/>
          <w:divBdr>
            <w:top w:val="none" w:sz="0" w:space="0" w:color="auto"/>
            <w:left w:val="none" w:sz="0" w:space="0" w:color="auto"/>
            <w:bottom w:val="none" w:sz="0" w:space="0" w:color="auto"/>
            <w:right w:val="none" w:sz="0" w:space="0" w:color="auto"/>
          </w:divBdr>
        </w:div>
        <w:div w:id="685668031">
          <w:marLeft w:val="480"/>
          <w:marRight w:val="0"/>
          <w:marTop w:val="0"/>
          <w:marBottom w:val="0"/>
          <w:divBdr>
            <w:top w:val="none" w:sz="0" w:space="0" w:color="auto"/>
            <w:left w:val="none" w:sz="0" w:space="0" w:color="auto"/>
            <w:bottom w:val="none" w:sz="0" w:space="0" w:color="auto"/>
            <w:right w:val="none" w:sz="0" w:space="0" w:color="auto"/>
          </w:divBdr>
        </w:div>
        <w:div w:id="978727069">
          <w:marLeft w:val="480"/>
          <w:marRight w:val="0"/>
          <w:marTop w:val="0"/>
          <w:marBottom w:val="0"/>
          <w:divBdr>
            <w:top w:val="none" w:sz="0" w:space="0" w:color="auto"/>
            <w:left w:val="none" w:sz="0" w:space="0" w:color="auto"/>
            <w:bottom w:val="none" w:sz="0" w:space="0" w:color="auto"/>
            <w:right w:val="none" w:sz="0" w:space="0" w:color="auto"/>
          </w:divBdr>
        </w:div>
        <w:div w:id="914509459">
          <w:marLeft w:val="480"/>
          <w:marRight w:val="0"/>
          <w:marTop w:val="0"/>
          <w:marBottom w:val="0"/>
          <w:divBdr>
            <w:top w:val="none" w:sz="0" w:space="0" w:color="auto"/>
            <w:left w:val="none" w:sz="0" w:space="0" w:color="auto"/>
            <w:bottom w:val="none" w:sz="0" w:space="0" w:color="auto"/>
            <w:right w:val="none" w:sz="0" w:space="0" w:color="auto"/>
          </w:divBdr>
        </w:div>
        <w:div w:id="1808936825">
          <w:marLeft w:val="480"/>
          <w:marRight w:val="0"/>
          <w:marTop w:val="0"/>
          <w:marBottom w:val="0"/>
          <w:divBdr>
            <w:top w:val="none" w:sz="0" w:space="0" w:color="auto"/>
            <w:left w:val="none" w:sz="0" w:space="0" w:color="auto"/>
            <w:bottom w:val="none" w:sz="0" w:space="0" w:color="auto"/>
            <w:right w:val="none" w:sz="0" w:space="0" w:color="auto"/>
          </w:divBdr>
        </w:div>
        <w:div w:id="68700378">
          <w:marLeft w:val="480"/>
          <w:marRight w:val="0"/>
          <w:marTop w:val="0"/>
          <w:marBottom w:val="0"/>
          <w:divBdr>
            <w:top w:val="none" w:sz="0" w:space="0" w:color="auto"/>
            <w:left w:val="none" w:sz="0" w:space="0" w:color="auto"/>
            <w:bottom w:val="none" w:sz="0" w:space="0" w:color="auto"/>
            <w:right w:val="none" w:sz="0" w:space="0" w:color="auto"/>
          </w:divBdr>
        </w:div>
      </w:divsChild>
    </w:div>
    <w:div w:id="889809512">
      <w:bodyDiv w:val="1"/>
      <w:marLeft w:val="0"/>
      <w:marRight w:val="0"/>
      <w:marTop w:val="0"/>
      <w:marBottom w:val="0"/>
      <w:divBdr>
        <w:top w:val="none" w:sz="0" w:space="0" w:color="auto"/>
        <w:left w:val="none" w:sz="0" w:space="0" w:color="auto"/>
        <w:bottom w:val="none" w:sz="0" w:space="0" w:color="auto"/>
        <w:right w:val="none" w:sz="0" w:space="0" w:color="auto"/>
      </w:divBdr>
      <w:divsChild>
        <w:div w:id="2087921892">
          <w:marLeft w:val="480"/>
          <w:marRight w:val="0"/>
          <w:marTop w:val="0"/>
          <w:marBottom w:val="0"/>
          <w:divBdr>
            <w:top w:val="none" w:sz="0" w:space="0" w:color="auto"/>
            <w:left w:val="none" w:sz="0" w:space="0" w:color="auto"/>
            <w:bottom w:val="none" w:sz="0" w:space="0" w:color="auto"/>
            <w:right w:val="none" w:sz="0" w:space="0" w:color="auto"/>
          </w:divBdr>
        </w:div>
        <w:div w:id="2079665807">
          <w:marLeft w:val="480"/>
          <w:marRight w:val="0"/>
          <w:marTop w:val="0"/>
          <w:marBottom w:val="0"/>
          <w:divBdr>
            <w:top w:val="none" w:sz="0" w:space="0" w:color="auto"/>
            <w:left w:val="none" w:sz="0" w:space="0" w:color="auto"/>
            <w:bottom w:val="none" w:sz="0" w:space="0" w:color="auto"/>
            <w:right w:val="none" w:sz="0" w:space="0" w:color="auto"/>
          </w:divBdr>
        </w:div>
        <w:div w:id="2138255995">
          <w:marLeft w:val="480"/>
          <w:marRight w:val="0"/>
          <w:marTop w:val="0"/>
          <w:marBottom w:val="0"/>
          <w:divBdr>
            <w:top w:val="none" w:sz="0" w:space="0" w:color="auto"/>
            <w:left w:val="none" w:sz="0" w:space="0" w:color="auto"/>
            <w:bottom w:val="none" w:sz="0" w:space="0" w:color="auto"/>
            <w:right w:val="none" w:sz="0" w:space="0" w:color="auto"/>
          </w:divBdr>
        </w:div>
        <w:div w:id="855928134">
          <w:marLeft w:val="480"/>
          <w:marRight w:val="0"/>
          <w:marTop w:val="0"/>
          <w:marBottom w:val="0"/>
          <w:divBdr>
            <w:top w:val="none" w:sz="0" w:space="0" w:color="auto"/>
            <w:left w:val="none" w:sz="0" w:space="0" w:color="auto"/>
            <w:bottom w:val="none" w:sz="0" w:space="0" w:color="auto"/>
            <w:right w:val="none" w:sz="0" w:space="0" w:color="auto"/>
          </w:divBdr>
        </w:div>
        <w:div w:id="292565678">
          <w:marLeft w:val="480"/>
          <w:marRight w:val="0"/>
          <w:marTop w:val="0"/>
          <w:marBottom w:val="0"/>
          <w:divBdr>
            <w:top w:val="none" w:sz="0" w:space="0" w:color="auto"/>
            <w:left w:val="none" w:sz="0" w:space="0" w:color="auto"/>
            <w:bottom w:val="none" w:sz="0" w:space="0" w:color="auto"/>
            <w:right w:val="none" w:sz="0" w:space="0" w:color="auto"/>
          </w:divBdr>
        </w:div>
        <w:div w:id="1629584088">
          <w:marLeft w:val="480"/>
          <w:marRight w:val="0"/>
          <w:marTop w:val="0"/>
          <w:marBottom w:val="0"/>
          <w:divBdr>
            <w:top w:val="none" w:sz="0" w:space="0" w:color="auto"/>
            <w:left w:val="none" w:sz="0" w:space="0" w:color="auto"/>
            <w:bottom w:val="none" w:sz="0" w:space="0" w:color="auto"/>
            <w:right w:val="none" w:sz="0" w:space="0" w:color="auto"/>
          </w:divBdr>
        </w:div>
        <w:div w:id="213855115">
          <w:marLeft w:val="480"/>
          <w:marRight w:val="0"/>
          <w:marTop w:val="0"/>
          <w:marBottom w:val="0"/>
          <w:divBdr>
            <w:top w:val="none" w:sz="0" w:space="0" w:color="auto"/>
            <w:left w:val="none" w:sz="0" w:space="0" w:color="auto"/>
            <w:bottom w:val="none" w:sz="0" w:space="0" w:color="auto"/>
            <w:right w:val="none" w:sz="0" w:space="0" w:color="auto"/>
          </w:divBdr>
        </w:div>
        <w:div w:id="259148093">
          <w:marLeft w:val="480"/>
          <w:marRight w:val="0"/>
          <w:marTop w:val="0"/>
          <w:marBottom w:val="0"/>
          <w:divBdr>
            <w:top w:val="none" w:sz="0" w:space="0" w:color="auto"/>
            <w:left w:val="none" w:sz="0" w:space="0" w:color="auto"/>
            <w:bottom w:val="none" w:sz="0" w:space="0" w:color="auto"/>
            <w:right w:val="none" w:sz="0" w:space="0" w:color="auto"/>
          </w:divBdr>
        </w:div>
        <w:div w:id="1829902150">
          <w:marLeft w:val="480"/>
          <w:marRight w:val="0"/>
          <w:marTop w:val="0"/>
          <w:marBottom w:val="0"/>
          <w:divBdr>
            <w:top w:val="none" w:sz="0" w:space="0" w:color="auto"/>
            <w:left w:val="none" w:sz="0" w:space="0" w:color="auto"/>
            <w:bottom w:val="none" w:sz="0" w:space="0" w:color="auto"/>
            <w:right w:val="none" w:sz="0" w:space="0" w:color="auto"/>
          </w:divBdr>
        </w:div>
        <w:div w:id="2048796922">
          <w:marLeft w:val="480"/>
          <w:marRight w:val="0"/>
          <w:marTop w:val="0"/>
          <w:marBottom w:val="0"/>
          <w:divBdr>
            <w:top w:val="none" w:sz="0" w:space="0" w:color="auto"/>
            <w:left w:val="none" w:sz="0" w:space="0" w:color="auto"/>
            <w:bottom w:val="none" w:sz="0" w:space="0" w:color="auto"/>
            <w:right w:val="none" w:sz="0" w:space="0" w:color="auto"/>
          </w:divBdr>
        </w:div>
        <w:div w:id="2040347726">
          <w:marLeft w:val="480"/>
          <w:marRight w:val="0"/>
          <w:marTop w:val="0"/>
          <w:marBottom w:val="0"/>
          <w:divBdr>
            <w:top w:val="none" w:sz="0" w:space="0" w:color="auto"/>
            <w:left w:val="none" w:sz="0" w:space="0" w:color="auto"/>
            <w:bottom w:val="none" w:sz="0" w:space="0" w:color="auto"/>
            <w:right w:val="none" w:sz="0" w:space="0" w:color="auto"/>
          </w:divBdr>
        </w:div>
        <w:div w:id="2063674430">
          <w:marLeft w:val="480"/>
          <w:marRight w:val="0"/>
          <w:marTop w:val="0"/>
          <w:marBottom w:val="0"/>
          <w:divBdr>
            <w:top w:val="none" w:sz="0" w:space="0" w:color="auto"/>
            <w:left w:val="none" w:sz="0" w:space="0" w:color="auto"/>
            <w:bottom w:val="none" w:sz="0" w:space="0" w:color="auto"/>
            <w:right w:val="none" w:sz="0" w:space="0" w:color="auto"/>
          </w:divBdr>
        </w:div>
        <w:div w:id="1618485615">
          <w:marLeft w:val="480"/>
          <w:marRight w:val="0"/>
          <w:marTop w:val="0"/>
          <w:marBottom w:val="0"/>
          <w:divBdr>
            <w:top w:val="none" w:sz="0" w:space="0" w:color="auto"/>
            <w:left w:val="none" w:sz="0" w:space="0" w:color="auto"/>
            <w:bottom w:val="none" w:sz="0" w:space="0" w:color="auto"/>
            <w:right w:val="none" w:sz="0" w:space="0" w:color="auto"/>
          </w:divBdr>
        </w:div>
        <w:div w:id="1089428651">
          <w:marLeft w:val="480"/>
          <w:marRight w:val="0"/>
          <w:marTop w:val="0"/>
          <w:marBottom w:val="0"/>
          <w:divBdr>
            <w:top w:val="none" w:sz="0" w:space="0" w:color="auto"/>
            <w:left w:val="none" w:sz="0" w:space="0" w:color="auto"/>
            <w:bottom w:val="none" w:sz="0" w:space="0" w:color="auto"/>
            <w:right w:val="none" w:sz="0" w:space="0" w:color="auto"/>
          </w:divBdr>
        </w:div>
      </w:divsChild>
    </w:div>
    <w:div w:id="894897751">
      <w:bodyDiv w:val="1"/>
      <w:marLeft w:val="0"/>
      <w:marRight w:val="0"/>
      <w:marTop w:val="0"/>
      <w:marBottom w:val="0"/>
      <w:divBdr>
        <w:top w:val="none" w:sz="0" w:space="0" w:color="auto"/>
        <w:left w:val="none" w:sz="0" w:space="0" w:color="auto"/>
        <w:bottom w:val="none" w:sz="0" w:space="0" w:color="auto"/>
        <w:right w:val="none" w:sz="0" w:space="0" w:color="auto"/>
      </w:divBdr>
      <w:divsChild>
        <w:div w:id="1707828807">
          <w:marLeft w:val="480"/>
          <w:marRight w:val="0"/>
          <w:marTop w:val="0"/>
          <w:marBottom w:val="0"/>
          <w:divBdr>
            <w:top w:val="none" w:sz="0" w:space="0" w:color="auto"/>
            <w:left w:val="none" w:sz="0" w:space="0" w:color="auto"/>
            <w:bottom w:val="none" w:sz="0" w:space="0" w:color="auto"/>
            <w:right w:val="none" w:sz="0" w:space="0" w:color="auto"/>
          </w:divBdr>
        </w:div>
        <w:div w:id="831331993">
          <w:marLeft w:val="480"/>
          <w:marRight w:val="0"/>
          <w:marTop w:val="0"/>
          <w:marBottom w:val="0"/>
          <w:divBdr>
            <w:top w:val="none" w:sz="0" w:space="0" w:color="auto"/>
            <w:left w:val="none" w:sz="0" w:space="0" w:color="auto"/>
            <w:bottom w:val="none" w:sz="0" w:space="0" w:color="auto"/>
            <w:right w:val="none" w:sz="0" w:space="0" w:color="auto"/>
          </w:divBdr>
        </w:div>
        <w:div w:id="2122383799">
          <w:marLeft w:val="480"/>
          <w:marRight w:val="0"/>
          <w:marTop w:val="0"/>
          <w:marBottom w:val="0"/>
          <w:divBdr>
            <w:top w:val="none" w:sz="0" w:space="0" w:color="auto"/>
            <w:left w:val="none" w:sz="0" w:space="0" w:color="auto"/>
            <w:bottom w:val="none" w:sz="0" w:space="0" w:color="auto"/>
            <w:right w:val="none" w:sz="0" w:space="0" w:color="auto"/>
          </w:divBdr>
        </w:div>
        <w:div w:id="1598053698">
          <w:marLeft w:val="480"/>
          <w:marRight w:val="0"/>
          <w:marTop w:val="0"/>
          <w:marBottom w:val="0"/>
          <w:divBdr>
            <w:top w:val="none" w:sz="0" w:space="0" w:color="auto"/>
            <w:left w:val="none" w:sz="0" w:space="0" w:color="auto"/>
            <w:bottom w:val="none" w:sz="0" w:space="0" w:color="auto"/>
            <w:right w:val="none" w:sz="0" w:space="0" w:color="auto"/>
          </w:divBdr>
        </w:div>
        <w:div w:id="372463276">
          <w:marLeft w:val="480"/>
          <w:marRight w:val="0"/>
          <w:marTop w:val="0"/>
          <w:marBottom w:val="0"/>
          <w:divBdr>
            <w:top w:val="none" w:sz="0" w:space="0" w:color="auto"/>
            <w:left w:val="none" w:sz="0" w:space="0" w:color="auto"/>
            <w:bottom w:val="none" w:sz="0" w:space="0" w:color="auto"/>
            <w:right w:val="none" w:sz="0" w:space="0" w:color="auto"/>
          </w:divBdr>
        </w:div>
        <w:div w:id="2131898041">
          <w:marLeft w:val="480"/>
          <w:marRight w:val="0"/>
          <w:marTop w:val="0"/>
          <w:marBottom w:val="0"/>
          <w:divBdr>
            <w:top w:val="none" w:sz="0" w:space="0" w:color="auto"/>
            <w:left w:val="none" w:sz="0" w:space="0" w:color="auto"/>
            <w:bottom w:val="none" w:sz="0" w:space="0" w:color="auto"/>
            <w:right w:val="none" w:sz="0" w:space="0" w:color="auto"/>
          </w:divBdr>
        </w:div>
        <w:div w:id="805315199">
          <w:marLeft w:val="480"/>
          <w:marRight w:val="0"/>
          <w:marTop w:val="0"/>
          <w:marBottom w:val="0"/>
          <w:divBdr>
            <w:top w:val="none" w:sz="0" w:space="0" w:color="auto"/>
            <w:left w:val="none" w:sz="0" w:space="0" w:color="auto"/>
            <w:bottom w:val="none" w:sz="0" w:space="0" w:color="auto"/>
            <w:right w:val="none" w:sz="0" w:space="0" w:color="auto"/>
          </w:divBdr>
        </w:div>
        <w:div w:id="219680249">
          <w:marLeft w:val="480"/>
          <w:marRight w:val="0"/>
          <w:marTop w:val="0"/>
          <w:marBottom w:val="0"/>
          <w:divBdr>
            <w:top w:val="none" w:sz="0" w:space="0" w:color="auto"/>
            <w:left w:val="none" w:sz="0" w:space="0" w:color="auto"/>
            <w:bottom w:val="none" w:sz="0" w:space="0" w:color="auto"/>
            <w:right w:val="none" w:sz="0" w:space="0" w:color="auto"/>
          </w:divBdr>
        </w:div>
        <w:div w:id="237834681">
          <w:marLeft w:val="480"/>
          <w:marRight w:val="0"/>
          <w:marTop w:val="0"/>
          <w:marBottom w:val="0"/>
          <w:divBdr>
            <w:top w:val="none" w:sz="0" w:space="0" w:color="auto"/>
            <w:left w:val="none" w:sz="0" w:space="0" w:color="auto"/>
            <w:bottom w:val="none" w:sz="0" w:space="0" w:color="auto"/>
            <w:right w:val="none" w:sz="0" w:space="0" w:color="auto"/>
          </w:divBdr>
        </w:div>
        <w:div w:id="1186797188">
          <w:marLeft w:val="480"/>
          <w:marRight w:val="0"/>
          <w:marTop w:val="0"/>
          <w:marBottom w:val="0"/>
          <w:divBdr>
            <w:top w:val="none" w:sz="0" w:space="0" w:color="auto"/>
            <w:left w:val="none" w:sz="0" w:space="0" w:color="auto"/>
            <w:bottom w:val="none" w:sz="0" w:space="0" w:color="auto"/>
            <w:right w:val="none" w:sz="0" w:space="0" w:color="auto"/>
          </w:divBdr>
        </w:div>
        <w:div w:id="565455124">
          <w:marLeft w:val="480"/>
          <w:marRight w:val="0"/>
          <w:marTop w:val="0"/>
          <w:marBottom w:val="0"/>
          <w:divBdr>
            <w:top w:val="none" w:sz="0" w:space="0" w:color="auto"/>
            <w:left w:val="none" w:sz="0" w:space="0" w:color="auto"/>
            <w:bottom w:val="none" w:sz="0" w:space="0" w:color="auto"/>
            <w:right w:val="none" w:sz="0" w:space="0" w:color="auto"/>
          </w:divBdr>
        </w:div>
        <w:div w:id="159931281">
          <w:marLeft w:val="480"/>
          <w:marRight w:val="0"/>
          <w:marTop w:val="0"/>
          <w:marBottom w:val="0"/>
          <w:divBdr>
            <w:top w:val="none" w:sz="0" w:space="0" w:color="auto"/>
            <w:left w:val="none" w:sz="0" w:space="0" w:color="auto"/>
            <w:bottom w:val="none" w:sz="0" w:space="0" w:color="auto"/>
            <w:right w:val="none" w:sz="0" w:space="0" w:color="auto"/>
          </w:divBdr>
        </w:div>
        <w:div w:id="1535145462">
          <w:marLeft w:val="480"/>
          <w:marRight w:val="0"/>
          <w:marTop w:val="0"/>
          <w:marBottom w:val="0"/>
          <w:divBdr>
            <w:top w:val="none" w:sz="0" w:space="0" w:color="auto"/>
            <w:left w:val="none" w:sz="0" w:space="0" w:color="auto"/>
            <w:bottom w:val="none" w:sz="0" w:space="0" w:color="auto"/>
            <w:right w:val="none" w:sz="0" w:space="0" w:color="auto"/>
          </w:divBdr>
        </w:div>
      </w:divsChild>
    </w:div>
    <w:div w:id="917520573">
      <w:bodyDiv w:val="1"/>
      <w:marLeft w:val="0"/>
      <w:marRight w:val="0"/>
      <w:marTop w:val="0"/>
      <w:marBottom w:val="0"/>
      <w:divBdr>
        <w:top w:val="none" w:sz="0" w:space="0" w:color="auto"/>
        <w:left w:val="none" w:sz="0" w:space="0" w:color="auto"/>
        <w:bottom w:val="none" w:sz="0" w:space="0" w:color="auto"/>
        <w:right w:val="none" w:sz="0" w:space="0" w:color="auto"/>
      </w:divBdr>
    </w:div>
    <w:div w:id="927075781">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51021">
      <w:bodyDiv w:val="1"/>
      <w:marLeft w:val="0"/>
      <w:marRight w:val="0"/>
      <w:marTop w:val="0"/>
      <w:marBottom w:val="0"/>
      <w:divBdr>
        <w:top w:val="none" w:sz="0" w:space="0" w:color="auto"/>
        <w:left w:val="none" w:sz="0" w:space="0" w:color="auto"/>
        <w:bottom w:val="none" w:sz="0" w:space="0" w:color="auto"/>
        <w:right w:val="none" w:sz="0" w:space="0" w:color="auto"/>
      </w:divBdr>
    </w:div>
    <w:div w:id="943028829">
      <w:bodyDiv w:val="1"/>
      <w:marLeft w:val="0"/>
      <w:marRight w:val="0"/>
      <w:marTop w:val="0"/>
      <w:marBottom w:val="0"/>
      <w:divBdr>
        <w:top w:val="none" w:sz="0" w:space="0" w:color="auto"/>
        <w:left w:val="none" w:sz="0" w:space="0" w:color="auto"/>
        <w:bottom w:val="none" w:sz="0" w:space="0" w:color="auto"/>
        <w:right w:val="none" w:sz="0" w:space="0" w:color="auto"/>
      </w:divBdr>
    </w:div>
    <w:div w:id="945189613">
      <w:bodyDiv w:val="1"/>
      <w:marLeft w:val="0"/>
      <w:marRight w:val="0"/>
      <w:marTop w:val="0"/>
      <w:marBottom w:val="0"/>
      <w:divBdr>
        <w:top w:val="none" w:sz="0" w:space="0" w:color="auto"/>
        <w:left w:val="none" w:sz="0" w:space="0" w:color="auto"/>
        <w:bottom w:val="none" w:sz="0" w:space="0" w:color="auto"/>
        <w:right w:val="none" w:sz="0" w:space="0" w:color="auto"/>
      </w:divBdr>
      <w:divsChild>
        <w:div w:id="1954441684">
          <w:marLeft w:val="480"/>
          <w:marRight w:val="0"/>
          <w:marTop w:val="0"/>
          <w:marBottom w:val="0"/>
          <w:divBdr>
            <w:top w:val="none" w:sz="0" w:space="0" w:color="auto"/>
            <w:left w:val="none" w:sz="0" w:space="0" w:color="auto"/>
            <w:bottom w:val="none" w:sz="0" w:space="0" w:color="auto"/>
            <w:right w:val="none" w:sz="0" w:space="0" w:color="auto"/>
          </w:divBdr>
        </w:div>
        <w:div w:id="143469009">
          <w:marLeft w:val="480"/>
          <w:marRight w:val="0"/>
          <w:marTop w:val="0"/>
          <w:marBottom w:val="0"/>
          <w:divBdr>
            <w:top w:val="none" w:sz="0" w:space="0" w:color="auto"/>
            <w:left w:val="none" w:sz="0" w:space="0" w:color="auto"/>
            <w:bottom w:val="none" w:sz="0" w:space="0" w:color="auto"/>
            <w:right w:val="none" w:sz="0" w:space="0" w:color="auto"/>
          </w:divBdr>
        </w:div>
        <w:div w:id="2078673413">
          <w:marLeft w:val="480"/>
          <w:marRight w:val="0"/>
          <w:marTop w:val="0"/>
          <w:marBottom w:val="0"/>
          <w:divBdr>
            <w:top w:val="none" w:sz="0" w:space="0" w:color="auto"/>
            <w:left w:val="none" w:sz="0" w:space="0" w:color="auto"/>
            <w:bottom w:val="none" w:sz="0" w:space="0" w:color="auto"/>
            <w:right w:val="none" w:sz="0" w:space="0" w:color="auto"/>
          </w:divBdr>
        </w:div>
        <w:div w:id="395588837">
          <w:marLeft w:val="480"/>
          <w:marRight w:val="0"/>
          <w:marTop w:val="0"/>
          <w:marBottom w:val="0"/>
          <w:divBdr>
            <w:top w:val="none" w:sz="0" w:space="0" w:color="auto"/>
            <w:left w:val="none" w:sz="0" w:space="0" w:color="auto"/>
            <w:bottom w:val="none" w:sz="0" w:space="0" w:color="auto"/>
            <w:right w:val="none" w:sz="0" w:space="0" w:color="auto"/>
          </w:divBdr>
        </w:div>
        <w:div w:id="1918050829">
          <w:marLeft w:val="480"/>
          <w:marRight w:val="0"/>
          <w:marTop w:val="0"/>
          <w:marBottom w:val="0"/>
          <w:divBdr>
            <w:top w:val="none" w:sz="0" w:space="0" w:color="auto"/>
            <w:left w:val="none" w:sz="0" w:space="0" w:color="auto"/>
            <w:bottom w:val="none" w:sz="0" w:space="0" w:color="auto"/>
            <w:right w:val="none" w:sz="0" w:space="0" w:color="auto"/>
          </w:divBdr>
        </w:div>
        <w:div w:id="1205942177">
          <w:marLeft w:val="480"/>
          <w:marRight w:val="0"/>
          <w:marTop w:val="0"/>
          <w:marBottom w:val="0"/>
          <w:divBdr>
            <w:top w:val="none" w:sz="0" w:space="0" w:color="auto"/>
            <w:left w:val="none" w:sz="0" w:space="0" w:color="auto"/>
            <w:bottom w:val="none" w:sz="0" w:space="0" w:color="auto"/>
            <w:right w:val="none" w:sz="0" w:space="0" w:color="auto"/>
          </w:divBdr>
        </w:div>
        <w:div w:id="1678191408">
          <w:marLeft w:val="480"/>
          <w:marRight w:val="0"/>
          <w:marTop w:val="0"/>
          <w:marBottom w:val="0"/>
          <w:divBdr>
            <w:top w:val="none" w:sz="0" w:space="0" w:color="auto"/>
            <w:left w:val="none" w:sz="0" w:space="0" w:color="auto"/>
            <w:bottom w:val="none" w:sz="0" w:space="0" w:color="auto"/>
            <w:right w:val="none" w:sz="0" w:space="0" w:color="auto"/>
          </w:divBdr>
        </w:div>
        <w:div w:id="258831925">
          <w:marLeft w:val="480"/>
          <w:marRight w:val="0"/>
          <w:marTop w:val="0"/>
          <w:marBottom w:val="0"/>
          <w:divBdr>
            <w:top w:val="none" w:sz="0" w:space="0" w:color="auto"/>
            <w:left w:val="none" w:sz="0" w:space="0" w:color="auto"/>
            <w:bottom w:val="none" w:sz="0" w:space="0" w:color="auto"/>
            <w:right w:val="none" w:sz="0" w:space="0" w:color="auto"/>
          </w:divBdr>
        </w:div>
        <w:div w:id="125587841">
          <w:marLeft w:val="480"/>
          <w:marRight w:val="0"/>
          <w:marTop w:val="0"/>
          <w:marBottom w:val="0"/>
          <w:divBdr>
            <w:top w:val="none" w:sz="0" w:space="0" w:color="auto"/>
            <w:left w:val="none" w:sz="0" w:space="0" w:color="auto"/>
            <w:bottom w:val="none" w:sz="0" w:space="0" w:color="auto"/>
            <w:right w:val="none" w:sz="0" w:space="0" w:color="auto"/>
          </w:divBdr>
        </w:div>
        <w:div w:id="1413425826">
          <w:marLeft w:val="480"/>
          <w:marRight w:val="0"/>
          <w:marTop w:val="0"/>
          <w:marBottom w:val="0"/>
          <w:divBdr>
            <w:top w:val="none" w:sz="0" w:space="0" w:color="auto"/>
            <w:left w:val="none" w:sz="0" w:space="0" w:color="auto"/>
            <w:bottom w:val="none" w:sz="0" w:space="0" w:color="auto"/>
            <w:right w:val="none" w:sz="0" w:space="0" w:color="auto"/>
          </w:divBdr>
        </w:div>
        <w:div w:id="1606308088">
          <w:marLeft w:val="480"/>
          <w:marRight w:val="0"/>
          <w:marTop w:val="0"/>
          <w:marBottom w:val="0"/>
          <w:divBdr>
            <w:top w:val="none" w:sz="0" w:space="0" w:color="auto"/>
            <w:left w:val="none" w:sz="0" w:space="0" w:color="auto"/>
            <w:bottom w:val="none" w:sz="0" w:space="0" w:color="auto"/>
            <w:right w:val="none" w:sz="0" w:space="0" w:color="auto"/>
          </w:divBdr>
        </w:div>
        <w:div w:id="565994435">
          <w:marLeft w:val="480"/>
          <w:marRight w:val="0"/>
          <w:marTop w:val="0"/>
          <w:marBottom w:val="0"/>
          <w:divBdr>
            <w:top w:val="none" w:sz="0" w:space="0" w:color="auto"/>
            <w:left w:val="none" w:sz="0" w:space="0" w:color="auto"/>
            <w:bottom w:val="none" w:sz="0" w:space="0" w:color="auto"/>
            <w:right w:val="none" w:sz="0" w:space="0" w:color="auto"/>
          </w:divBdr>
        </w:div>
        <w:div w:id="1763526831">
          <w:marLeft w:val="480"/>
          <w:marRight w:val="0"/>
          <w:marTop w:val="0"/>
          <w:marBottom w:val="0"/>
          <w:divBdr>
            <w:top w:val="none" w:sz="0" w:space="0" w:color="auto"/>
            <w:left w:val="none" w:sz="0" w:space="0" w:color="auto"/>
            <w:bottom w:val="none" w:sz="0" w:space="0" w:color="auto"/>
            <w:right w:val="none" w:sz="0" w:space="0" w:color="auto"/>
          </w:divBdr>
        </w:div>
      </w:divsChild>
    </w:div>
    <w:div w:id="979187056">
      <w:bodyDiv w:val="1"/>
      <w:marLeft w:val="0"/>
      <w:marRight w:val="0"/>
      <w:marTop w:val="0"/>
      <w:marBottom w:val="0"/>
      <w:divBdr>
        <w:top w:val="none" w:sz="0" w:space="0" w:color="auto"/>
        <w:left w:val="none" w:sz="0" w:space="0" w:color="auto"/>
        <w:bottom w:val="none" w:sz="0" w:space="0" w:color="auto"/>
        <w:right w:val="none" w:sz="0" w:space="0" w:color="auto"/>
      </w:divBdr>
    </w:div>
    <w:div w:id="994455040">
      <w:bodyDiv w:val="1"/>
      <w:marLeft w:val="0"/>
      <w:marRight w:val="0"/>
      <w:marTop w:val="0"/>
      <w:marBottom w:val="0"/>
      <w:divBdr>
        <w:top w:val="none" w:sz="0" w:space="0" w:color="auto"/>
        <w:left w:val="none" w:sz="0" w:space="0" w:color="auto"/>
        <w:bottom w:val="none" w:sz="0" w:space="0" w:color="auto"/>
        <w:right w:val="none" w:sz="0" w:space="0" w:color="auto"/>
      </w:divBdr>
      <w:divsChild>
        <w:div w:id="1574387424">
          <w:marLeft w:val="480"/>
          <w:marRight w:val="0"/>
          <w:marTop w:val="0"/>
          <w:marBottom w:val="0"/>
          <w:divBdr>
            <w:top w:val="none" w:sz="0" w:space="0" w:color="auto"/>
            <w:left w:val="none" w:sz="0" w:space="0" w:color="auto"/>
            <w:bottom w:val="none" w:sz="0" w:space="0" w:color="auto"/>
            <w:right w:val="none" w:sz="0" w:space="0" w:color="auto"/>
          </w:divBdr>
        </w:div>
        <w:div w:id="2030639103">
          <w:marLeft w:val="480"/>
          <w:marRight w:val="0"/>
          <w:marTop w:val="0"/>
          <w:marBottom w:val="0"/>
          <w:divBdr>
            <w:top w:val="none" w:sz="0" w:space="0" w:color="auto"/>
            <w:left w:val="none" w:sz="0" w:space="0" w:color="auto"/>
            <w:bottom w:val="none" w:sz="0" w:space="0" w:color="auto"/>
            <w:right w:val="none" w:sz="0" w:space="0" w:color="auto"/>
          </w:divBdr>
        </w:div>
        <w:div w:id="149828400">
          <w:marLeft w:val="480"/>
          <w:marRight w:val="0"/>
          <w:marTop w:val="0"/>
          <w:marBottom w:val="0"/>
          <w:divBdr>
            <w:top w:val="none" w:sz="0" w:space="0" w:color="auto"/>
            <w:left w:val="none" w:sz="0" w:space="0" w:color="auto"/>
            <w:bottom w:val="none" w:sz="0" w:space="0" w:color="auto"/>
            <w:right w:val="none" w:sz="0" w:space="0" w:color="auto"/>
          </w:divBdr>
        </w:div>
        <w:div w:id="8340099">
          <w:marLeft w:val="480"/>
          <w:marRight w:val="0"/>
          <w:marTop w:val="0"/>
          <w:marBottom w:val="0"/>
          <w:divBdr>
            <w:top w:val="none" w:sz="0" w:space="0" w:color="auto"/>
            <w:left w:val="none" w:sz="0" w:space="0" w:color="auto"/>
            <w:bottom w:val="none" w:sz="0" w:space="0" w:color="auto"/>
            <w:right w:val="none" w:sz="0" w:space="0" w:color="auto"/>
          </w:divBdr>
        </w:div>
        <w:div w:id="1657295952">
          <w:marLeft w:val="480"/>
          <w:marRight w:val="0"/>
          <w:marTop w:val="0"/>
          <w:marBottom w:val="0"/>
          <w:divBdr>
            <w:top w:val="none" w:sz="0" w:space="0" w:color="auto"/>
            <w:left w:val="none" w:sz="0" w:space="0" w:color="auto"/>
            <w:bottom w:val="none" w:sz="0" w:space="0" w:color="auto"/>
            <w:right w:val="none" w:sz="0" w:space="0" w:color="auto"/>
          </w:divBdr>
        </w:div>
        <w:div w:id="602036019">
          <w:marLeft w:val="480"/>
          <w:marRight w:val="0"/>
          <w:marTop w:val="0"/>
          <w:marBottom w:val="0"/>
          <w:divBdr>
            <w:top w:val="none" w:sz="0" w:space="0" w:color="auto"/>
            <w:left w:val="none" w:sz="0" w:space="0" w:color="auto"/>
            <w:bottom w:val="none" w:sz="0" w:space="0" w:color="auto"/>
            <w:right w:val="none" w:sz="0" w:space="0" w:color="auto"/>
          </w:divBdr>
        </w:div>
        <w:div w:id="488256492">
          <w:marLeft w:val="480"/>
          <w:marRight w:val="0"/>
          <w:marTop w:val="0"/>
          <w:marBottom w:val="0"/>
          <w:divBdr>
            <w:top w:val="none" w:sz="0" w:space="0" w:color="auto"/>
            <w:left w:val="none" w:sz="0" w:space="0" w:color="auto"/>
            <w:bottom w:val="none" w:sz="0" w:space="0" w:color="auto"/>
            <w:right w:val="none" w:sz="0" w:space="0" w:color="auto"/>
          </w:divBdr>
        </w:div>
        <w:div w:id="1371299462">
          <w:marLeft w:val="480"/>
          <w:marRight w:val="0"/>
          <w:marTop w:val="0"/>
          <w:marBottom w:val="0"/>
          <w:divBdr>
            <w:top w:val="none" w:sz="0" w:space="0" w:color="auto"/>
            <w:left w:val="none" w:sz="0" w:space="0" w:color="auto"/>
            <w:bottom w:val="none" w:sz="0" w:space="0" w:color="auto"/>
            <w:right w:val="none" w:sz="0" w:space="0" w:color="auto"/>
          </w:divBdr>
        </w:div>
        <w:div w:id="2135322026">
          <w:marLeft w:val="480"/>
          <w:marRight w:val="0"/>
          <w:marTop w:val="0"/>
          <w:marBottom w:val="0"/>
          <w:divBdr>
            <w:top w:val="none" w:sz="0" w:space="0" w:color="auto"/>
            <w:left w:val="none" w:sz="0" w:space="0" w:color="auto"/>
            <w:bottom w:val="none" w:sz="0" w:space="0" w:color="auto"/>
            <w:right w:val="none" w:sz="0" w:space="0" w:color="auto"/>
          </w:divBdr>
        </w:div>
        <w:div w:id="216160971">
          <w:marLeft w:val="480"/>
          <w:marRight w:val="0"/>
          <w:marTop w:val="0"/>
          <w:marBottom w:val="0"/>
          <w:divBdr>
            <w:top w:val="none" w:sz="0" w:space="0" w:color="auto"/>
            <w:left w:val="none" w:sz="0" w:space="0" w:color="auto"/>
            <w:bottom w:val="none" w:sz="0" w:space="0" w:color="auto"/>
            <w:right w:val="none" w:sz="0" w:space="0" w:color="auto"/>
          </w:divBdr>
        </w:div>
        <w:div w:id="879173745">
          <w:marLeft w:val="480"/>
          <w:marRight w:val="0"/>
          <w:marTop w:val="0"/>
          <w:marBottom w:val="0"/>
          <w:divBdr>
            <w:top w:val="none" w:sz="0" w:space="0" w:color="auto"/>
            <w:left w:val="none" w:sz="0" w:space="0" w:color="auto"/>
            <w:bottom w:val="none" w:sz="0" w:space="0" w:color="auto"/>
            <w:right w:val="none" w:sz="0" w:space="0" w:color="auto"/>
          </w:divBdr>
        </w:div>
        <w:div w:id="1968046584">
          <w:marLeft w:val="480"/>
          <w:marRight w:val="0"/>
          <w:marTop w:val="0"/>
          <w:marBottom w:val="0"/>
          <w:divBdr>
            <w:top w:val="none" w:sz="0" w:space="0" w:color="auto"/>
            <w:left w:val="none" w:sz="0" w:space="0" w:color="auto"/>
            <w:bottom w:val="none" w:sz="0" w:space="0" w:color="auto"/>
            <w:right w:val="none" w:sz="0" w:space="0" w:color="auto"/>
          </w:divBdr>
        </w:div>
        <w:div w:id="1803159136">
          <w:marLeft w:val="480"/>
          <w:marRight w:val="0"/>
          <w:marTop w:val="0"/>
          <w:marBottom w:val="0"/>
          <w:divBdr>
            <w:top w:val="none" w:sz="0" w:space="0" w:color="auto"/>
            <w:left w:val="none" w:sz="0" w:space="0" w:color="auto"/>
            <w:bottom w:val="none" w:sz="0" w:space="0" w:color="auto"/>
            <w:right w:val="none" w:sz="0" w:space="0" w:color="auto"/>
          </w:divBdr>
        </w:div>
        <w:div w:id="693459966">
          <w:marLeft w:val="480"/>
          <w:marRight w:val="0"/>
          <w:marTop w:val="0"/>
          <w:marBottom w:val="0"/>
          <w:divBdr>
            <w:top w:val="none" w:sz="0" w:space="0" w:color="auto"/>
            <w:left w:val="none" w:sz="0" w:space="0" w:color="auto"/>
            <w:bottom w:val="none" w:sz="0" w:space="0" w:color="auto"/>
            <w:right w:val="none" w:sz="0" w:space="0" w:color="auto"/>
          </w:divBdr>
        </w:div>
      </w:divsChild>
    </w:div>
    <w:div w:id="996348405">
      <w:bodyDiv w:val="1"/>
      <w:marLeft w:val="0"/>
      <w:marRight w:val="0"/>
      <w:marTop w:val="0"/>
      <w:marBottom w:val="0"/>
      <w:divBdr>
        <w:top w:val="none" w:sz="0" w:space="0" w:color="auto"/>
        <w:left w:val="none" w:sz="0" w:space="0" w:color="auto"/>
        <w:bottom w:val="none" w:sz="0" w:space="0" w:color="auto"/>
        <w:right w:val="none" w:sz="0" w:space="0" w:color="auto"/>
      </w:divBdr>
      <w:divsChild>
        <w:div w:id="800419783">
          <w:marLeft w:val="480"/>
          <w:marRight w:val="0"/>
          <w:marTop w:val="0"/>
          <w:marBottom w:val="0"/>
          <w:divBdr>
            <w:top w:val="none" w:sz="0" w:space="0" w:color="auto"/>
            <w:left w:val="none" w:sz="0" w:space="0" w:color="auto"/>
            <w:bottom w:val="none" w:sz="0" w:space="0" w:color="auto"/>
            <w:right w:val="none" w:sz="0" w:space="0" w:color="auto"/>
          </w:divBdr>
        </w:div>
        <w:div w:id="1834684176">
          <w:marLeft w:val="480"/>
          <w:marRight w:val="0"/>
          <w:marTop w:val="0"/>
          <w:marBottom w:val="0"/>
          <w:divBdr>
            <w:top w:val="none" w:sz="0" w:space="0" w:color="auto"/>
            <w:left w:val="none" w:sz="0" w:space="0" w:color="auto"/>
            <w:bottom w:val="none" w:sz="0" w:space="0" w:color="auto"/>
            <w:right w:val="none" w:sz="0" w:space="0" w:color="auto"/>
          </w:divBdr>
        </w:div>
        <w:div w:id="739595534">
          <w:marLeft w:val="480"/>
          <w:marRight w:val="0"/>
          <w:marTop w:val="0"/>
          <w:marBottom w:val="0"/>
          <w:divBdr>
            <w:top w:val="none" w:sz="0" w:space="0" w:color="auto"/>
            <w:left w:val="none" w:sz="0" w:space="0" w:color="auto"/>
            <w:bottom w:val="none" w:sz="0" w:space="0" w:color="auto"/>
            <w:right w:val="none" w:sz="0" w:space="0" w:color="auto"/>
          </w:divBdr>
        </w:div>
        <w:div w:id="401296034">
          <w:marLeft w:val="480"/>
          <w:marRight w:val="0"/>
          <w:marTop w:val="0"/>
          <w:marBottom w:val="0"/>
          <w:divBdr>
            <w:top w:val="none" w:sz="0" w:space="0" w:color="auto"/>
            <w:left w:val="none" w:sz="0" w:space="0" w:color="auto"/>
            <w:bottom w:val="none" w:sz="0" w:space="0" w:color="auto"/>
            <w:right w:val="none" w:sz="0" w:space="0" w:color="auto"/>
          </w:divBdr>
        </w:div>
        <w:div w:id="286086242">
          <w:marLeft w:val="480"/>
          <w:marRight w:val="0"/>
          <w:marTop w:val="0"/>
          <w:marBottom w:val="0"/>
          <w:divBdr>
            <w:top w:val="none" w:sz="0" w:space="0" w:color="auto"/>
            <w:left w:val="none" w:sz="0" w:space="0" w:color="auto"/>
            <w:bottom w:val="none" w:sz="0" w:space="0" w:color="auto"/>
            <w:right w:val="none" w:sz="0" w:space="0" w:color="auto"/>
          </w:divBdr>
        </w:div>
        <w:div w:id="692924300">
          <w:marLeft w:val="480"/>
          <w:marRight w:val="0"/>
          <w:marTop w:val="0"/>
          <w:marBottom w:val="0"/>
          <w:divBdr>
            <w:top w:val="none" w:sz="0" w:space="0" w:color="auto"/>
            <w:left w:val="none" w:sz="0" w:space="0" w:color="auto"/>
            <w:bottom w:val="none" w:sz="0" w:space="0" w:color="auto"/>
            <w:right w:val="none" w:sz="0" w:space="0" w:color="auto"/>
          </w:divBdr>
        </w:div>
        <w:div w:id="324207332">
          <w:marLeft w:val="480"/>
          <w:marRight w:val="0"/>
          <w:marTop w:val="0"/>
          <w:marBottom w:val="0"/>
          <w:divBdr>
            <w:top w:val="none" w:sz="0" w:space="0" w:color="auto"/>
            <w:left w:val="none" w:sz="0" w:space="0" w:color="auto"/>
            <w:bottom w:val="none" w:sz="0" w:space="0" w:color="auto"/>
            <w:right w:val="none" w:sz="0" w:space="0" w:color="auto"/>
          </w:divBdr>
        </w:div>
        <w:div w:id="1547640950">
          <w:marLeft w:val="480"/>
          <w:marRight w:val="0"/>
          <w:marTop w:val="0"/>
          <w:marBottom w:val="0"/>
          <w:divBdr>
            <w:top w:val="none" w:sz="0" w:space="0" w:color="auto"/>
            <w:left w:val="none" w:sz="0" w:space="0" w:color="auto"/>
            <w:bottom w:val="none" w:sz="0" w:space="0" w:color="auto"/>
            <w:right w:val="none" w:sz="0" w:space="0" w:color="auto"/>
          </w:divBdr>
        </w:div>
        <w:div w:id="1765879414">
          <w:marLeft w:val="480"/>
          <w:marRight w:val="0"/>
          <w:marTop w:val="0"/>
          <w:marBottom w:val="0"/>
          <w:divBdr>
            <w:top w:val="none" w:sz="0" w:space="0" w:color="auto"/>
            <w:left w:val="none" w:sz="0" w:space="0" w:color="auto"/>
            <w:bottom w:val="none" w:sz="0" w:space="0" w:color="auto"/>
            <w:right w:val="none" w:sz="0" w:space="0" w:color="auto"/>
          </w:divBdr>
        </w:div>
        <w:div w:id="1423725752">
          <w:marLeft w:val="480"/>
          <w:marRight w:val="0"/>
          <w:marTop w:val="0"/>
          <w:marBottom w:val="0"/>
          <w:divBdr>
            <w:top w:val="none" w:sz="0" w:space="0" w:color="auto"/>
            <w:left w:val="none" w:sz="0" w:space="0" w:color="auto"/>
            <w:bottom w:val="none" w:sz="0" w:space="0" w:color="auto"/>
            <w:right w:val="none" w:sz="0" w:space="0" w:color="auto"/>
          </w:divBdr>
        </w:div>
        <w:div w:id="1736969605">
          <w:marLeft w:val="480"/>
          <w:marRight w:val="0"/>
          <w:marTop w:val="0"/>
          <w:marBottom w:val="0"/>
          <w:divBdr>
            <w:top w:val="none" w:sz="0" w:space="0" w:color="auto"/>
            <w:left w:val="none" w:sz="0" w:space="0" w:color="auto"/>
            <w:bottom w:val="none" w:sz="0" w:space="0" w:color="auto"/>
            <w:right w:val="none" w:sz="0" w:space="0" w:color="auto"/>
          </w:divBdr>
        </w:div>
        <w:div w:id="1623657359">
          <w:marLeft w:val="480"/>
          <w:marRight w:val="0"/>
          <w:marTop w:val="0"/>
          <w:marBottom w:val="0"/>
          <w:divBdr>
            <w:top w:val="none" w:sz="0" w:space="0" w:color="auto"/>
            <w:left w:val="none" w:sz="0" w:space="0" w:color="auto"/>
            <w:bottom w:val="none" w:sz="0" w:space="0" w:color="auto"/>
            <w:right w:val="none" w:sz="0" w:space="0" w:color="auto"/>
          </w:divBdr>
        </w:div>
        <w:div w:id="435103096">
          <w:marLeft w:val="480"/>
          <w:marRight w:val="0"/>
          <w:marTop w:val="0"/>
          <w:marBottom w:val="0"/>
          <w:divBdr>
            <w:top w:val="none" w:sz="0" w:space="0" w:color="auto"/>
            <w:left w:val="none" w:sz="0" w:space="0" w:color="auto"/>
            <w:bottom w:val="none" w:sz="0" w:space="0" w:color="auto"/>
            <w:right w:val="none" w:sz="0" w:space="0" w:color="auto"/>
          </w:divBdr>
        </w:div>
        <w:div w:id="126358434">
          <w:marLeft w:val="480"/>
          <w:marRight w:val="0"/>
          <w:marTop w:val="0"/>
          <w:marBottom w:val="0"/>
          <w:divBdr>
            <w:top w:val="none" w:sz="0" w:space="0" w:color="auto"/>
            <w:left w:val="none" w:sz="0" w:space="0" w:color="auto"/>
            <w:bottom w:val="none" w:sz="0" w:space="0" w:color="auto"/>
            <w:right w:val="none" w:sz="0" w:space="0" w:color="auto"/>
          </w:divBdr>
        </w:div>
        <w:div w:id="1457598884">
          <w:marLeft w:val="480"/>
          <w:marRight w:val="0"/>
          <w:marTop w:val="0"/>
          <w:marBottom w:val="0"/>
          <w:divBdr>
            <w:top w:val="none" w:sz="0" w:space="0" w:color="auto"/>
            <w:left w:val="none" w:sz="0" w:space="0" w:color="auto"/>
            <w:bottom w:val="none" w:sz="0" w:space="0" w:color="auto"/>
            <w:right w:val="none" w:sz="0" w:space="0" w:color="auto"/>
          </w:divBdr>
        </w:div>
      </w:divsChild>
    </w:div>
    <w:div w:id="1005202779">
      <w:bodyDiv w:val="1"/>
      <w:marLeft w:val="0"/>
      <w:marRight w:val="0"/>
      <w:marTop w:val="0"/>
      <w:marBottom w:val="0"/>
      <w:divBdr>
        <w:top w:val="none" w:sz="0" w:space="0" w:color="auto"/>
        <w:left w:val="none" w:sz="0" w:space="0" w:color="auto"/>
        <w:bottom w:val="none" w:sz="0" w:space="0" w:color="auto"/>
        <w:right w:val="none" w:sz="0" w:space="0" w:color="auto"/>
      </w:divBdr>
    </w:div>
    <w:div w:id="1021008737">
      <w:bodyDiv w:val="1"/>
      <w:marLeft w:val="0"/>
      <w:marRight w:val="0"/>
      <w:marTop w:val="0"/>
      <w:marBottom w:val="0"/>
      <w:divBdr>
        <w:top w:val="none" w:sz="0" w:space="0" w:color="auto"/>
        <w:left w:val="none" w:sz="0" w:space="0" w:color="auto"/>
        <w:bottom w:val="none" w:sz="0" w:space="0" w:color="auto"/>
        <w:right w:val="none" w:sz="0" w:space="0" w:color="auto"/>
      </w:divBdr>
    </w:div>
    <w:div w:id="1021977696">
      <w:bodyDiv w:val="1"/>
      <w:marLeft w:val="0"/>
      <w:marRight w:val="0"/>
      <w:marTop w:val="0"/>
      <w:marBottom w:val="0"/>
      <w:divBdr>
        <w:top w:val="none" w:sz="0" w:space="0" w:color="auto"/>
        <w:left w:val="none" w:sz="0" w:space="0" w:color="auto"/>
        <w:bottom w:val="none" w:sz="0" w:space="0" w:color="auto"/>
        <w:right w:val="none" w:sz="0" w:space="0" w:color="auto"/>
      </w:divBdr>
    </w:div>
    <w:div w:id="1023750736">
      <w:bodyDiv w:val="1"/>
      <w:marLeft w:val="0"/>
      <w:marRight w:val="0"/>
      <w:marTop w:val="0"/>
      <w:marBottom w:val="0"/>
      <w:divBdr>
        <w:top w:val="none" w:sz="0" w:space="0" w:color="auto"/>
        <w:left w:val="none" w:sz="0" w:space="0" w:color="auto"/>
        <w:bottom w:val="none" w:sz="0" w:space="0" w:color="auto"/>
        <w:right w:val="none" w:sz="0" w:space="0" w:color="auto"/>
      </w:divBdr>
    </w:div>
    <w:div w:id="1064911516">
      <w:bodyDiv w:val="1"/>
      <w:marLeft w:val="0"/>
      <w:marRight w:val="0"/>
      <w:marTop w:val="0"/>
      <w:marBottom w:val="0"/>
      <w:divBdr>
        <w:top w:val="none" w:sz="0" w:space="0" w:color="auto"/>
        <w:left w:val="none" w:sz="0" w:space="0" w:color="auto"/>
        <w:bottom w:val="none" w:sz="0" w:space="0" w:color="auto"/>
        <w:right w:val="none" w:sz="0" w:space="0" w:color="auto"/>
      </w:divBdr>
    </w:div>
    <w:div w:id="1081414922">
      <w:bodyDiv w:val="1"/>
      <w:marLeft w:val="0"/>
      <w:marRight w:val="0"/>
      <w:marTop w:val="0"/>
      <w:marBottom w:val="0"/>
      <w:divBdr>
        <w:top w:val="none" w:sz="0" w:space="0" w:color="auto"/>
        <w:left w:val="none" w:sz="0" w:space="0" w:color="auto"/>
        <w:bottom w:val="none" w:sz="0" w:space="0" w:color="auto"/>
        <w:right w:val="none" w:sz="0" w:space="0" w:color="auto"/>
      </w:divBdr>
      <w:divsChild>
        <w:div w:id="1634941260">
          <w:marLeft w:val="0"/>
          <w:marRight w:val="0"/>
          <w:marTop w:val="0"/>
          <w:marBottom w:val="0"/>
          <w:divBdr>
            <w:top w:val="none" w:sz="0" w:space="0" w:color="auto"/>
            <w:left w:val="none" w:sz="0" w:space="0" w:color="auto"/>
            <w:bottom w:val="none" w:sz="0" w:space="0" w:color="auto"/>
            <w:right w:val="none" w:sz="0" w:space="0" w:color="auto"/>
          </w:divBdr>
        </w:div>
      </w:divsChild>
    </w:div>
    <w:div w:id="1109929905">
      <w:bodyDiv w:val="1"/>
      <w:marLeft w:val="0"/>
      <w:marRight w:val="0"/>
      <w:marTop w:val="0"/>
      <w:marBottom w:val="0"/>
      <w:divBdr>
        <w:top w:val="none" w:sz="0" w:space="0" w:color="auto"/>
        <w:left w:val="none" w:sz="0" w:space="0" w:color="auto"/>
        <w:bottom w:val="none" w:sz="0" w:space="0" w:color="auto"/>
        <w:right w:val="none" w:sz="0" w:space="0" w:color="auto"/>
      </w:divBdr>
      <w:divsChild>
        <w:div w:id="4092744">
          <w:marLeft w:val="0"/>
          <w:marRight w:val="0"/>
          <w:marTop w:val="0"/>
          <w:marBottom w:val="0"/>
          <w:divBdr>
            <w:top w:val="none" w:sz="0" w:space="0" w:color="auto"/>
            <w:left w:val="none" w:sz="0" w:space="0" w:color="auto"/>
            <w:bottom w:val="none" w:sz="0" w:space="0" w:color="auto"/>
            <w:right w:val="none" w:sz="0" w:space="0" w:color="auto"/>
          </w:divBdr>
        </w:div>
      </w:divsChild>
    </w:div>
    <w:div w:id="1110010681">
      <w:bodyDiv w:val="1"/>
      <w:marLeft w:val="0"/>
      <w:marRight w:val="0"/>
      <w:marTop w:val="0"/>
      <w:marBottom w:val="0"/>
      <w:divBdr>
        <w:top w:val="none" w:sz="0" w:space="0" w:color="auto"/>
        <w:left w:val="none" w:sz="0" w:space="0" w:color="auto"/>
        <w:bottom w:val="none" w:sz="0" w:space="0" w:color="auto"/>
        <w:right w:val="none" w:sz="0" w:space="0" w:color="auto"/>
      </w:divBdr>
      <w:divsChild>
        <w:div w:id="1445885300">
          <w:marLeft w:val="480"/>
          <w:marRight w:val="0"/>
          <w:marTop w:val="0"/>
          <w:marBottom w:val="0"/>
          <w:divBdr>
            <w:top w:val="none" w:sz="0" w:space="0" w:color="auto"/>
            <w:left w:val="none" w:sz="0" w:space="0" w:color="auto"/>
            <w:bottom w:val="none" w:sz="0" w:space="0" w:color="auto"/>
            <w:right w:val="none" w:sz="0" w:space="0" w:color="auto"/>
          </w:divBdr>
        </w:div>
        <w:div w:id="519705996">
          <w:marLeft w:val="480"/>
          <w:marRight w:val="0"/>
          <w:marTop w:val="0"/>
          <w:marBottom w:val="0"/>
          <w:divBdr>
            <w:top w:val="none" w:sz="0" w:space="0" w:color="auto"/>
            <w:left w:val="none" w:sz="0" w:space="0" w:color="auto"/>
            <w:bottom w:val="none" w:sz="0" w:space="0" w:color="auto"/>
            <w:right w:val="none" w:sz="0" w:space="0" w:color="auto"/>
          </w:divBdr>
        </w:div>
        <w:div w:id="82262201">
          <w:marLeft w:val="480"/>
          <w:marRight w:val="0"/>
          <w:marTop w:val="0"/>
          <w:marBottom w:val="0"/>
          <w:divBdr>
            <w:top w:val="none" w:sz="0" w:space="0" w:color="auto"/>
            <w:left w:val="none" w:sz="0" w:space="0" w:color="auto"/>
            <w:bottom w:val="none" w:sz="0" w:space="0" w:color="auto"/>
            <w:right w:val="none" w:sz="0" w:space="0" w:color="auto"/>
          </w:divBdr>
        </w:div>
        <w:div w:id="154345965">
          <w:marLeft w:val="480"/>
          <w:marRight w:val="0"/>
          <w:marTop w:val="0"/>
          <w:marBottom w:val="0"/>
          <w:divBdr>
            <w:top w:val="none" w:sz="0" w:space="0" w:color="auto"/>
            <w:left w:val="none" w:sz="0" w:space="0" w:color="auto"/>
            <w:bottom w:val="none" w:sz="0" w:space="0" w:color="auto"/>
            <w:right w:val="none" w:sz="0" w:space="0" w:color="auto"/>
          </w:divBdr>
        </w:div>
        <w:div w:id="618991386">
          <w:marLeft w:val="480"/>
          <w:marRight w:val="0"/>
          <w:marTop w:val="0"/>
          <w:marBottom w:val="0"/>
          <w:divBdr>
            <w:top w:val="none" w:sz="0" w:space="0" w:color="auto"/>
            <w:left w:val="none" w:sz="0" w:space="0" w:color="auto"/>
            <w:bottom w:val="none" w:sz="0" w:space="0" w:color="auto"/>
            <w:right w:val="none" w:sz="0" w:space="0" w:color="auto"/>
          </w:divBdr>
        </w:div>
        <w:div w:id="896864528">
          <w:marLeft w:val="480"/>
          <w:marRight w:val="0"/>
          <w:marTop w:val="0"/>
          <w:marBottom w:val="0"/>
          <w:divBdr>
            <w:top w:val="none" w:sz="0" w:space="0" w:color="auto"/>
            <w:left w:val="none" w:sz="0" w:space="0" w:color="auto"/>
            <w:bottom w:val="none" w:sz="0" w:space="0" w:color="auto"/>
            <w:right w:val="none" w:sz="0" w:space="0" w:color="auto"/>
          </w:divBdr>
        </w:div>
        <w:div w:id="1711414616">
          <w:marLeft w:val="480"/>
          <w:marRight w:val="0"/>
          <w:marTop w:val="0"/>
          <w:marBottom w:val="0"/>
          <w:divBdr>
            <w:top w:val="none" w:sz="0" w:space="0" w:color="auto"/>
            <w:left w:val="none" w:sz="0" w:space="0" w:color="auto"/>
            <w:bottom w:val="none" w:sz="0" w:space="0" w:color="auto"/>
            <w:right w:val="none" w:sz="0" w:space="0" w:color="auto"/>
          </w:divBdr>
        </w:div>
        <w:div w:id="181746049">
          <w:marLeft w:val="480"/>
          <w:marRight w:val="0"/>
          <w:marTop w:val="0"/>
          <w:marBottom w:val="0"/>
          <w:divBdr>
            <w:top w:val="none" w:sz="0" w:space="0" w:color="auto"/>
            <w:left w:val="none" w:sz="0" w:space="0" w:color="auto"/>
            <w:bottom w:val="none" w:sz="0" w:space="0" w:color="auto"/>
            <w:right w:val="none" w:sz="0" w:space="0" w:color="auto"/>
          </w:divBdr>
        </w:div>
        <w:div w:id="1742218566">
          <w:marLeft w:val="480"/>
          <w:marRight w:val="0"/>
          <w:marTop w:val="0"/>
          <w:marBottom w:val="0"/>
          <w:divBdr>
            <w:top w:val="none" w:sz="0" w:space="0" w:color="auto"/>
            <w:left w:val="none" w:sz="0" w:space="0" w:color="auto"/>
            <w:bottom w:val="none" w:sz="0" w:space="0" w:color="auto"/>
            <w:right w:val="none" w:sz="0" w:space="0" w:color="auto"/>
          </w:divBdr>
        </w:div>
        <w:div w:id="473183484">
          <w:marLeft w:val="480"/>
          <w:marRight w:val="0"/>
          <w:marTop w:val="0"/>
          <w:marBottom w:val="0"/>
          <w:divBdr>
            <w:top w:val="none" w:sz="0" w:space="0" w:color="auto"/>
            <w:left w:val="none" w:sz="0" w:space="0" w:color="auto"/>
            <w:bottom w:val="none" w:sz="0" w:space="0" w:color="auto"/>
            <w:right w:val="none" w:sz="0" w:space="0" w:color="auto"/>
          </w:divBdr>
        </w:div>
        <w:div w:id="1096756453">
          <w:marLeft w:val="480"/>
          <w:marRight w:val="0"/>
          <w:marTop w:val="0"/>
          <w:marBottom w:val="0"/>
          <w:divBdr>
            <w:top w:val="none" w:sz="0" w:space="0" w:color="auto"/>
            <w:left w:val="none" w:sz="0" w:space="0" w:color="auto"/>
            <w:bottom w:val="none" w:sz="0" w:space="0" w:color="auto"/>
            <w:right w:val="none" w:sz="0" w:space="0" w:color="auto"/>
          </w:divBdr>
        </w:div>
        <w:div w:id="146016001">
          <w:marLeft w:val="480"/>
          <w:marRight w:val="0"/>
          <w:marTop w:val="0"/>
          <w:marBottom w:val="0"/>
          <w:divBdr>
            <w:top w:val="none" w:sz="0" w:space="0" w:color="auto"/>
            <w:left w:val="none" w:sz="0" w:space="0" w:color="auto"/>
            <w:bottom w:val="none" w:sz="0" w:space="0" w:color="auto"/>
            <w:right w:val="none" w:sz="0" w:space="0" w:color="auto"/>
          </w:divBdr>
        </w:div>
        <w:div w:id="1201361412">
          <w:marLeft w:val="480"/>
          <w:marRight w:val="0"/>
          <w:marTop w:val="0"/>
          <w:marBottom w:val="0"/>
          <w:divBdr>
            <w:top w:val="none" w:sz="0" w:space="0" w:color="auto"/>
            <w:left w:val="none" w:sz="0" w:space="0" w:color="auto"/>
            <w:bottom w:val="none" w:sz="0" w:space="0" w:color="auto"/>
            <w:right w:val="none" w:sz="0" w:space="0" w:color="auto"/>
          </w:divBdr>
        </w:div>
        <w:div w:id="1905991620">
          <w:marLeft w:val="480"/>
          <w:marRight w:val="0"/>
          <w:marTop w:val="0"/>
          <w:marBottom w:val="0"/>
          <w:divBdr>
            <w:top w:val="none" w:sz="0" w:space="0" w:color="auto"/>
            <w:left w:val="none" w:sz="0" w:space="0" w:color="auto"/>
            <w:bottom w:val="none" w:sz="0" w:space="0" w:color="auto"/>
            <w:right w:val="none" w:sz="0" w:space="0" w:color="auto"/>
          </w:divBdr>
        </w:div>
      </w:divsChild>
    </w:div>
    <w:div w:id="1114445353">
      <w:bodyDiv w:val="1"/>
      <w:marLeft w:val="0"/>
      <w:marRight w:val="0"/>
      <w:marTop w:val="0"/>
      <w:marBottom w:val="0"/>
      <w:divBdr>
        <w:top w:val="none" w:sz="0" w:space="0" w:color="auto"/>
        <w:left w:val="none" w:sz="0" w:space="0" w:color="auto"/>
        <w:bottom w:val="none" w:sz="0" w:space="0" w:color="auto"/>
        <w:right w:val="none" w:sz="0" w:space="0" w:color="auto"/>
      </w:divBdr>
    </w:div>
    <w:div w:id="1121264536">
      <w:bodyDiv w:val="1"/>
      <w:marLeft w:val="0"/>
      <w:marRight w:val="0"/>
      <w:marTop w:val="0"/>
      <w:marBottom w:val="0"/>
      <w:divBdr>
        <w:top w:val="none" w:sz="0" w:space="0" w:color="auto"/>
        <w:left w:val="none" w:sz="0" w:space="0" w:color="auto"/>
        <w:bottom w:val="none" w:sz="0" w:space="0" w:color="auto"/>
        <w:right w:val="none" w:sz="0" w:space="0" w:color="auto"/>
      </w:divBdr>
    </w:div>
    <w:div w:id="1123578372">
      <w:bodyDiv w:val="1"/>
      <w:marLeft w:val="0"/>
      <w:marRight w:val="0"/>
      <w:marTop w:val="0"/>
      <w:marBottom w:val="0"/>
      <w:divBdr>
        <w:top w:val="none" w:sz="0" w:space="0" w:color="auto"/>
        <w:left w:val="none" w:sz="0" w:space="0" w:color="auto"/>
        <w:bottom w:val="none" w:sz="0" w:space="0" w:color="auto"/>
        <w:right w:val="none" w:sz="0" w:space="0" w:color="auto"/>
      </w:divBdr>
    </w:div>
    <w:div w:id="1124884461">
      <w:bodyDiv w:val="1"/>
      <w:marLeft w:val="0"/>
      <w:marRight w:val="0"/>
      <w:marTop w:val="0"/>
      <w:marBottom w:val="0"/>
      <w:divBdr>
        <w:top w:val="none" w:sz="0" w:space="0" w:color="auto"/>
        <w:left w:val="none" w:sz="0" w:space="0" w:color="auto"/>
        <w:bottom w:val="none" w:sz="0" w:space="0" w:color="auto"/>
        <w:right w:val="none" w:sz="0" w:space="0" w:color="auto"/>
      </w:divBdr>
    </w:div>
    <w:div w:id="1149708664">
      <w:bodyDiv w:val="1"/>
      <w:marLeft w:val="0"/>
      <w:marRight w:val="0"/>
      <w:marTop w:val="0"/>
      <w:marBottom w:val="0"/>
      <w:divBdr>
        <w:top w:val="none" w:sz="0" w:space="0" w:color="auto"/>
        <w:left w:val="none" w:sz="0" w:space="0" w:color="auto"/>
        <w:bottom w:val="none" w:sz="0" w:space="0" w:color="auto"/>
        <w:right w:val="none" w:sz="0" w:space="0" w:color="auto"/>
      </w:divBdr>
      <w:divsChild>
        <w:div w:id="994063524">
          <w:marLeft w:val="480"/>
          <w:marRight w:val="0"/>
          <w:marTop w:val="0"/>
          <w:marBottom w:val="0"/>
          <w:divBdr>
            <w:top w:val="none" w:sz="0" w:space="0" w:color="auto"/>
            <w:left w:val="none" w:sz="0" w:space="0" w:color="auto"/>
            <w:bottom w:val="none" w:sz="0" w:space="0" w:color="auto"/>
            <w:right w:val="none" w:sz="0" w:space="0" w:color="auto"/>
          </w:divBdr>
        </w:div>
        <w:div w:id="1801878319">
          <w:marLeft w:val="480"/>
          <w:marRight w:val="0"/>
          <w:marTop w:val="0"/>
          <w:marBottom w:val="0"/>
          <w:divBdr>
            <w:top w:val="none" w:sz="0" w:space="0" w:color="auto"/>
            <w:left w:val="none" w:sz="0" w:space="0" w:color="auto"/>
            <w:bottom w:val="none" w:sz="0" w:space="0" w:color="auto"/>
            <w:right w:val="none" w:sz="0" w:space="0" w:color="auto"/>
          </w:divBdr>
        </w:div>
        <w:div w:id="966545975">
          <w:marLeft w:val="480"/>
          <w:marRight w:val="0"/>
          <w:marTop w:val="0"/>
          <w:marBottom w:val="0"/>
          <w:divBdr>
            <w:top w:val="none" w:sz="0" w:space="0" w:color="auto"/>
            <w:left w:val="none" w:sz="0" w:space="0" w:color="auto"/>
            <w:bottom w:val="none" w:sz="0" w:space="0" w:color="auto"/>
            <w:right w:val="none" w:sz="0" w:space="0" w:color="auto"/>
          </w:divBdr>
        </w:div>
        <w:div w:id="109520019">
          <w:marLeft w:val="480"/>
          <w:marRight w:val="0"/>
          <w:marTop w:val="0"/>
          <w:marBottom w:val="0"/>
          <w:divBdr>
            <w:top w:val="none" w:sz="0" w:space="0" w:color="auto"/>
            <w:left w:val="none" w:sz="0" w:space="0" w:color="auto"/>
            <w:bottom w:val="none" w:sz="0" w:space="0" w:color="auto"/>
            <w:right w:val="none" w:sz="0" w:space="0" w:color="auto"/>
          </w:divBdr>
        </w:div>
        <w:div w:id="238103461">
          <w:marLeft w:val="480"/>
          <w:marRight w:val="0"/>
          <w:marTop w:val="0"/>
          <w:marBottom w:val="0"/>
          <w:divBdr>
            <w:top w:val="none" w:sz="0" w:space="0" w:color="auto"/>
            <w:left w:val="none" w:sz="0" w:space="0" w:color="auto"/>
            <w:bottom w:val="none" w:sz="0" w:space="0" w:color="auto"/>
            <w:right w:val="none" w:sz="0" w:space="0" w:color="auto"/>
          </w:divBdr>
        </w:div>
        <w:div w:id="1859272026">
          <w:marLeft w:val="480"/>
          <w:marRight w:val="0"/>
          <w:marTop w:val="0"/>
          <w:marBottom w:val="0"/>
          <w:divBdr>
            <w:top w:val="none" w:sz="0" w:space="0" w:color="auto"/>
            <w:left w:val="none" w:sz="0" w:space="0" w:color="auto"/>
            <w:bottom w:val="none" w:sz="0" w:space="0" w:color="auto"/>
            <w:right w:val="none" w:sz="0" w:space="0" w:color="auto"/>
          </w:divBdr>
        </w:div>
        <w:div w:id="1962881420">
          <w:marLeft w:val="480"/>
          <w:marRight w:val="0"/>
          <w:marTop w:val="0"/>
          <w:marBottom w:val="0"/>
          <w:divBdr>
            <w:top w:val="none" w:sz="0" w:space="0" w:color="auto"/>
            <w:left w:val="none" w:sz="0" w:space="0" w:color="auto"/>
            <w:bottom w:val="none" w:sz="0" w:space="0" w:color="auto"/>
            <w:right w:val="none" w:sz="0" w:space="0" w:color="auto"/>
          </w:divBdr>
        </w:div>
        <w:div w:id="1363553685">
          <w:marLeft w:val="480"/>
          <w:marRight w:val="0"/>
          <w:marTop w:val="0"/>
          <w:marBottom w:val="0"/>
          <w:divBdr>
            <w:top w:val="none" w:sz="0" w:space="0" w:color="auto"/>
            <w:left w:val="none" w:sz="0" w:space="0" w:color="auto"/>
            <w:bottom w:val="none" w:sz="0" w:space="0" w:color="auto"/>
            <w:right w:val="none" w:sz="0" w:space="0" w:color="auto"/>
          </w:divBdr>
        </w:div>
        <w:div w:id="1896500574">
          <w:marLeft w:val="480"/>
          <w:marRight w:val="0"/>
          <w:marTop w:val="0"/>
          <w:marBottom w:val="0"/>
          <w:divBdr>
            <w:top w:val="none" w:sz="0" w:space="0" w:color="auto"/>
            <w:left w:val="none" w:sz="0" w:space="0" w:color="auto"/>
            <w:bottom w:val="none" w:sz="0" w:space="0" w:color="auto"/>
            <w:right w:val="none" w:sz="0" w:space="0" w:color="auto"/>
          </w:divBdr>
        </w:div>
        <w:div w:id="1732774503">
          <w:marLeft w:val="480"/>
          <w:marRight w:val="0"/>
          <w:marTop w:val="0"/>
          <w:marBottom w:val="0"/>
          <w:divBdr>
            <w:top w:val="none" w:sz="0" w:space="0" w:color="auto"/>
            <w:left w:val="none" w:sz="0" w:space="0" w:color="auto"/>
            <w:bottom w:val="none" w:sz="0" w:space="0" w:color="auto"/>
            <w:right w:val="none" w:sz="0" w:space="0" w:color="auto"/>
          </w:divBdr>
        </w:div>
        <w:div w:id="439032025">
          <w:marLeft w:val="480"/>
          <w:marRight w:val="0"/>
          <w:marTop w:val="0"/>
          <w:marBottom w:val="0"/>
          <w:divBdr>
            <w:top w:val="none" w:sz="0" w:space="0" w:color="auto"/>
            <w:left w:val="none" w:sz="0" w:space="0" w:color="auto"/>
            <w:bottom w:val="none" w:sz="0" w:space="0" w:color="auto"/>
            <w:right w:val="none" w:sz="0" w:space="0" w:color="auto"/>
          </w:divBdr>
        </w:div>
      </w:divsChild>
    </w:div>
    <w:div w:id="1155103588">
      <w:bodyDiv w:val="1"/>
      <w:marLeft w:val="0"/>
      <w:marRight w:val="0"/>
      <w:marTop w:val="0"/>
      <w:marBottom w:val="0"/>
      <w:divBdr>
        <w:top w:val="none" w:sz="0" w:space="0" w:color="auto"/>
        <w:left w:val="none" w:sz="0" w:space="0" w:color="auto"/>
        <w:bottom w:val="none" w:sz="0" w:space="0" w:color="auto"/>
        <w:right w:val="none" w:sz="0" w:space="0" w:color="auto"/>
      </w:divBdr>
      <w:divsChild>
        <w:div w:id="1829786384">
          <w:marLeft w:val="480"/>
          <w:marRight w:val="0"/>
          <w:marTop w:val="0"/>
          <w:marBottom w:val="0"/>
          <w:divBdr>
            <w:top w:val="none" w:sz="0" w:space="0" w:color="auto"/>
            <w:left w:val="none" w:sz="0" w:space="0" w:color="auto"/>
            <w:bottom w:val="none" w:sz="0" w:space="0" w:color="auto"/>
            <w:right w:val="none" w:sz="0" w:space="0" w:color="auto"/>
          </w:divBdr>
        </w:div>
        <w:div w:id="2055696463">
          <w:marLeft w:val="480"/>
          <w:marRight w:val="0"/>
          <w:marTop w:val="0"/>
          <w:marBottom w:val="0"/>
          <w:divBdr>
            <w:top w:val="none" w:sz="0" w:space="0" w:color="auto"/>
            <w:left w:val="none" w:sz="0" w:space="0" w:color="auto"/>
            <w:bottom w:val="none" w:sz="0" w:space="0" w:color="auto"/>
            <w:right w:val="none" w:sz="0" w:space="0" w:color="auto"/>
          </w:divBdr>
        </w:div>
        <w:div w:id="81798073">
          <w:marLeft w:val="480"/>
          <w:marRight w:val="0"/>
          <w:marTop w:val="0"/>
          <w:marBottom w:val="0"/>
          <w:divBdr>
            <w:top w:val="none" w:sz="0" w:space="0" w:color="auto"/>
            <w:left w:val="none" w:sz="0" w:space="0" w:color="auto"/>
            <w:bottom w:val="none" w:sz="0" w:space="0" w:color="auto"/>
            <w:right w:val="none" w:sz="0" w:space="0" w:color="auto"/>
          </w:divBdr>
        </w:div>
        <w:div w:id="1189224796">
          <w:marLeft w:val="480"/>
          <w:marRight w:val="0"/>
          <w:marTop w:val="0"/>
          <w:marBottom w:val="0"/>
          <w:divBdr>
            <w:top w:val="none" w:sz="0" w:space="0" w:color="auto"/>
            <w:left w:val="none" w:sz="0" w:space="0" w:color="auto"/>
            <w:bottom w:val="none" w:sz="0" w:space="0" w:color="auto"/>
            <w:right w:val="none" w:sz="0" w:space="0" w:color="auto"/>
          </w:divBdr>
        </w:div>
        <w:div w:id="669600928">
          <w:marLeft w:val="480"/>
          <w:marRight w:val="0"/>
          <w:marTop w:val="0"/>
          <w:marBottom w:val="0"/>
          <w:divBdr>
            <w:top w:val="none" w:sz="0" w:space="0" w:color="auto"/>
            <w:left w:val="none" w:sz="0" w:space="0" w:color="auto"/>
            <w:bottom w:val="none" w:sz="0" w:space="0" w:color="auto"/>
            <w:right w:val="none" w:sz="0" w:space="0" w:color="auto"/>
          </w:divBdr>
        </w:div>
        <w:div w:id="675113790">
          <w:marLeft w:val="480"/>
          <w:marRight w:val="0"/>
          <w:marTop w:val="0"/>
          <w:marBottom w:val="0"/>
          <w:divBdr>
            <w:top w:val="none" w:sz="0" w:space="0" w:color="auto"/>
            <w:left w:val="none" w:sz="0" w:space="0" w:color="auto"/>
            <w:bottom w:val="none" w:sz="0" w:space="0" w:color="auto"/>
            <w:right w:val="none" w:sz="0" w:space="0" w:color="auto"/>
          </w:divBdr>
        </w:div>
        <w:div w:id="1317371472">
          <w:marLeft w:val="480"/>
          <w:marRight w:val="0"/>
          <w:marTop w:val="0"/>
          <w:marBottom w:val="0"/>
          <w:divBdr>
            <w:top w:val="none" w:sz="0" w:space="0" w:color="auto"/>
            <w:left w:val="none" w:sz="0" w:space="0" w:color="auto"/>
            <w:bottom w:val="none" w:sz="0" w:space="0" w:color="auto"/>
            <w:right w:val="none" w:sz="0" w:space="0" w:color="auto"/>
          </w:divBdr>
        </w:div>
        <w:div w:id="1006590939">
          <w:marLeft w:val="480"/>
          <w:marRight w:val="0"/>
          <w:marTop w:val="0"/>
          <w:marBottom w:val="0"/>
          <w:divBdr>
            <w:top w:val="none" w:sz="0" w:space="0" w:color="auto"/>
            <w:left w:val="none" w:sz="0" w:space="0" w:color="auto"/>
            <w:bottom w:val="none" w:sz="0" w:space="0" w:color="auto"/>
            <w:right w:val="none" w:sz="0" w:space="0" w:color="auto"/>
          </w:divBdr>
        </w:div>
        <w:div w:id="572667291">
          <w:marLeft w:val="480"/>
          <w:marRight w:val="0"/>
          <w:marTop w:val="0"/>
          <w:marBottom w:val="0"/>
          <w:divBdr>
            <w:top w:val="none" w:sz="0" w:space="0" w:color="auto"/>
            <w:left w:val="none" w:sz="0" w:space="0" w:color="auto"/>
            <w:bottom w:val="none" w:sz="0" w:space="0" w:color="auto"/>
            <w:right w:val="none" w:sz="0" w:space="0" w:color="auto"/>
          </w:divBdr>
        </w:div>
        <w:div w:id="125047405">
          <w:marLeft w:val="480"/>
          <w:marRight w:val="0"/>
          <w:marTop w:val="0"/>
          <w:marBottom w:val="0"/>
          <w:divBdr>
            <w:top w:val="none" w:sz="0" w:space="0" w:color="auto"/>
            <w:left w:val="none" w:sz="0" w:space="0" w:color="auto"/>
            <w:bottom w:val="none" w:sz="0" w:space="0" w:color="auto"/>
            <w:right w:val="none" w:sz="0" w:space="0" w:color="auto"/>
          </w:divBdr>
        </w:div>
        <w:div w:id="1422945797">
          <w:marLeft w:val="480"/>
          <w:marRight w:val="0"/>
          <w:marTop w:val="0"/>
          <w:marBottom w:val="0"/>
          <w:divBdr>
            <w:top w:val="none" w:sz="0" w:space="0" w:color="auto"/>
            <w:left w:val="none" w:sz="0" w:space="0" w:color="auto"/>
            <w:bottom w:val="none" w:sz="0" w:space="0" w:color="auto"/>
            <w:right w:val="none" w:sz="0" w:space="0" w:color="auto"/>
          </w:divBdr>
        </w:div>
        <w:div w:id="689911488">
          <w:marLeft w:val="480"/>
          <w:marRight w:val="0"/>
          <w:marTop w:val="0"/>
          <w:marBottom w:val="0"/>
          <w:divBdr>
            <w:top w:val="none" w:sz="0" w:space="0" w:color="auto"/>
            <w:left w:val="none" w:sz="0" w:space="0" w:color="auto"/>
            <w:bottom w:val="none" w:sz="0" w:space="0" w:color="auto"/>
            <w:right w:val="none" w:sz="0" w:space="0" w:color="auto"/>
          </w:divBdr>
        </w:div>
        <w:div w:id="320043744">
          <w:marLeft w:val="480"/>
          <w:marRight w:val="0"/>
          <w:marTop w:val="0"/>
          <w:marBottom w:val="0"/>
          <w:divBdr>
            <w:top w:val="none" w:sz="0" w:space="0" w:color="auto"/>
            <w:left w:val="none" w:sz="0" w:space="0" w:color="auto"/>
            <w:bottom w:val="none" w:sz="0" w:space="0" w:color="auto"/>
            <w:right w:val="none" w:sz="0" w:space="0" w:color="auto"/>
          </w:divBdr>
        </w:div>
        <w:div w:id="281032275">
          <w:marLeft w:val="480"/>
          <w:marRight w:val="0"/>
          <w:marTop w:val="0"/>
          <w:marBottom w:val="0"/>
          <w:divBdr>
            <w:top w:val="none" w:sz="0" w:space="0" w:color="auto"/>
            <w:left w:val="none" w:sz="0" w:space="0" w:color="auto"/>
            <w:bottom w:val="none" w:sz="0" w:space="0" w:color="auto"/>
            <w:right w:val="none" w:sz="0" w:space="0" w:color="auto"/>
          </w:divBdr>
        </w:div>
      </w:divsChild>
    </w:div>
    <w:div w:id="1180585841">
      <w:bodyDiv w:val="1"/>
      <w:marLeft w:val="0"/>
      <w:marRight w:val="0"/>
      <w:marTop w:val="0"/>
      <w:marBottom w:val="0"/>
      <w:divBdr>
        <w:top w:val="none" w:sz="0" w:space="0" w:color="auto"/>
        <w:left w:val="none" w:sz="0" w:space="0" w:color="auto"/>
        <w:bottom w:val="none" w:sz="0" w:space="0" w:color="auto"/>
        <w:right w:val="none" w:sz="0" w:space="0" w:color="auto"/>
      </w:divBdr>
    </w:div>
    <w:div w:id="1208640210">
      <w:bodyDiv w:val="1"/>
      <w:marLeft w:val="0"/>
      <w:marRight w:val="0"/>
      <w:marTop w:val="0"/>
      <w:marBottom w:val="0"/>
      <w:divBdr>
        <w:top w:val="none" w:sz="0" w:space="0" w:color="auto"/>
        <w:left w:val="none" w:sz="0" w:space="0" w:color="auto"/>
        <w:bottom w:val="none" w:sz="0" w:space="0" w:color="auto"/>
        <w:right w:val="none" w:sz="0" w:space="0" w:color="auto"/>
      </w:divBdr>
    </w:div>
    <w:div w:id="1216507583">
      <w:bodyDiv w:val="1"/>
      <w:marLeft w:val="0"/>
      <w:marRight w:val="0"/>
      <w:marTop w:val="0"/>
      <w:marBottom w:val="0"/>
      <w:divBdr>
        <w:top w:val="none" w:sz="0" w:space="0" w:color="auto"/>
        <w:left w:val="none" w:sz="0" w:space="0" w:color="auto"/>
        <w:bottom w:val="none" w:sz="0" w:space="0" w:color="auto"/>
        <w:right w:val="none" w:sz="0" w:space="0" w:color="auto"/>
      </w:divBdr>
      <w:divsChild>
        <w:div w:id="109785083">
          <w:marLeft w:val="0"/>
          <w:marRight w:val="0"/>
          <w:marTop w:val="0"/>
          <w:marBottom w:val="0"/>
          <w:divBdr>
            <w:top w:val="none" w:sz="0" w:space="0" w:color="auto"/>
            <w:left w:val="none" w:sz="0" w:space="0" w:color="auto"/>
            <w:bottom w:val="none" w:sz="0" w:space="0" w:color="auto"/>
            <w:right w:val="none" w:sz="0" w:space="0" w:color="auto"/>
          </w:divBdr>
        </w:div>
      </w:divsChild>
    </w:div>
    <w:div w:id="1230458503">
      <w:bodyDiv w:val="1"/>
      <w:marLeft w:val="0"/>
      <w:marRight w:val="0"/>
      <w:marTop w:val="0"/>
      <w:marBottom w:val="0"/>
      <w:divBdr>
        <w:top w:val="none" w:sz="0" w:space="0" w:color="auto"/>
        <w:left w:val="none" w:sz="0" w:space="0" w:color="auto"/>
        <w:bottom w:val="none" w:sz="0" w:space="0" w:color="auto"/>
        <w:right w:val="none" w:sz="0" w:space="0" w:color="auto"/>
      </w:divBdr>
      <w:divsChild>
        <w:div w:id="318115920">
          <w:marLeft w:val="480"/>
          <w:marRight w:val="0"/>
          <w:marTop w:val="0"/>
          <w:marBottom w:val="0"/>
          <w:divBdr>
            <w:top w:val="none" w:sz="0" w:space="0" w:color="auto"/>
            <w:left w:val="none" w:sz="0" w:space="0" w:color="auto"/>
            <w:bottom w:val="none" w:sz="0" w:space="0" w:color="auto"/>
            <w:right w:val="none" w:sz="0" w:space="0" w:color="auto"/>
          </w:divBdr>
        </w:div>
        <w:div w:id="1855729921">
          <w:marLeft w:val="480"/>
          <w:marRight w:val="0"/>
          <w:marTop w:val="0"/>
          <w:marBottom w:val="0"/>
          <w:divBdr>
            <w:top w:val="none" w:sz="0" w:space="0" w:color="auto"/>
            <w:left w:val="none" w:sz="0" w:space="0" w:color="auto"/>
            <w:bottom w:val="none" w:sz="0" w:space="0" w:color="auto"/>
            <w:right w:val="none" w:sz="0" w:space="0" w:color="auto"/>
          </w:divBdr>
        </w:div>
        <w:div w:id="1964847061">
          <w:marLeft w:val="480"/>
          <w:marRight w:val="0"/>
          <w:marTop w:val="0"/>
          <w:marBottom w:val="0"/>
          <w:divBdr>
            <w:top w:val="none" w:sz="0" w:space="0" w:color="auto"/>
            <w:left w:val="none" w:sz="0" w:space="0" w:color="auto"/>
            <w:bottom w:val="none" w:sz="0" w:space="0" w:color="auto"/>
            <w:right w:val="none" w:sz="0" w:space="0" w:color="auto"/>
          </w:divBdr>
        </w:div>
        <w:div w:id="2127848914">
          <w:marLeft w:val="480"/>
          <w:marRight w:val="0"/>
          <w:marTop w:val="0"/>
          <w:marBottom w:val="0"/>
          <w:divBdr>
            <w:top w:val="none" w:sz="0" w:space="0" w:color="auto"/>
            <w:left w:val="none" w:sz="0" w:space="0" w:color="auto"/>
            <w:bottom w:val="none" w:sz="0" w:space="0" w:color="auto"/>
            <w:right w:val="none" w:sz="0" w:space="0" w:color="auto"/>
          </w:divBdr>
        </w:div>
        <w:div w:id="863598254">
          <w:marLeft w:val="480"/>
          <w:marRight w:val="0"/>
          <w:marTop w:val="0"/>
          <w:marBottom w:val="0"/>
          <w:divBdr>
            <w:top w:val="none" w:sz="0" w:space="0" w:color="auto"/>
            <w:left w:val="none" w:sz="0" w:space="0" w:color="auto"/>
            <w:bottom w:val="none" w:sz="0" w:space="0" w:color="auto"/>
            <w:right w:val="none" w:sz="0" w:space="0" w:color="auto"/>
          </w:divBdr>
        </w:div>
        <w:div w:id="1588424124">
          <w:marLeft w:val="480"/>
          <w:marRight w:val="0"/>
          <w:marTop w:val="0"/>
          <w:marBottom w:val="0"/>
          <w:divBdr>
            <w:top w:val="none" w:sz="0" w:space="0" w:color="auto"/>
            <w:left w:val="none" w:sz="0" w:space="0" w:color="auto"/>
            <w:bottom w:val="none" w:sz="0" w:space="0" w:color="auto"/>
            <w:right w:val="none" w:sz="0" w:space="0" w:color="auto"/>
          </w:divBdr>
        </w:div>
        <w:div w:id="224687842">
          <w:marLeft w:val="480"/>
          <w:marRight w:val="0"/>
          <w:marTop w:val="0"/>
          <w:marBottom w:val="0"/>
          <w:divBdr>
            <w:top w:val="none" w:sz="0" w:space="0" w:color="auto"/>
            <w:left w:val="none" w:sz="0" w:space="0" w:color="auto"/>
            <w:bottom w:val="none" w:sz="0" w:space="0" w:color="auto"/>
            <w:right w:val="none" w:sz="0" w:space="0" w:color="auto"/>
          </w:divBdr>
        </w:div>
        <w:div w:id="809902384">
          <w:marLeft w:val="480"/>
          <w:marRight w:val="0"/>
          <w:marTop w:val="0"/>
          <w:marBottom w:val="0"/>
          <w:divBdr>
            <w:top w:val="none" w:sz="0" w:space="0" w:color="auto"/>
            <w:left w:val="none" w:sz="0" w:space="0" w:color="auto"/>
            <w:bottom w:val="none" w:sz="0" w:space="0" w:color="auto"/>
            <w:right w:val="none" w:sz="0" w:space="0" w:color="auto"/>
          </w:divBdr>
        </w:div>
        <w:div w:id="321857933">
          <w:marLeft w:val="480"/>
          <w:marRight w:val="0"/>
          <w:marTop w:val="0"/>
          <w:marBottom w:val="0"/>
          <w:divBdr>
            <w:top w:val="none" w:sz="0" w:space="0" w:color="auto"/>
            <w:left w:val="none" w:sz="0" w:space="0" w:color="auto"/>
            <w:bottom w:val="none" w:sz="0" w:space="0" w:color="auto"/>
            <w:right w:val="none" w:sz="0" w:space="0" w:color="auto"/>
          </w:divBdr>
        </w:div>
        <w:div w:id="977950550">
          <w:marLeft w:val="480"/>
          <w:marRight w:val="0"/>
          <w:marTop w:val="0"/>
          <w:marBottom w:val="0"/>
          <w:divBdr>
            <w:top w:val="none" w:sz="0" w:space="0" w:color="auto"/>
            <w:left w:val="none" w:sz="0" w:space="0" w:color="auto"/>
            <w:bottom w:val="none" w:sz="0" w:space="0" w:color="auto"/>
            <w:right w:val="none" w:sz="0" w:space="0" w:color="auto"/>
          </w:divBdr>
        </w:div>
        <w:div w:id="1546522212">
          <w:marLeft w:val="480"/>
          <w:marRight w:val="0"/>
          <w:marTop w:val="0"/>
          <w:marBottom w:val="0"/>
          <w:divBdr>
            <w:top w:val="none" w:sz="0" w:space="0" w:color="auto"/>
            <w:left w:val="none" w:sz="0" w:space="0" w:color="auto"/>
            <w:bottom w:val="none" w:sz="0" w:space="0" w:color="auto"/>
            <w:right w:val="none" w:sz="0" w:space="0" w:color="auto"/>
          </w:divBdr>
        </w:div>
        <w:div w:id="457383466">
          <w:marLeft w:val="480"/>
          <w:marRight w:val="0"/>
          <w:marTop w:val="0"/>
          <w:marBottom w:val="0"/>
          <w:divBdr>
            <w:top w:val="none" w:sz="0" w:space="0" w:color="auto"/>
            <w:left w:val="none" w:sz="0" w:space="0" w:color="auto"/>
            <w:bottom w:val="none" w:sz="0" w:space="0" w:color="auto"/>
            <w:right w:val="none" w:sz="0" w:space="0" w:color="auto"/>
          </w:divBdr>
        </w:div>
        <w:div w:id="2138646917">
          <w:marLeft w:val="480"/>
          <w:marRight w:val="0"/>
          <w:marTop w:val="0"/>
          <w:marBottom w:val="0"/>
          <w:divBdr>
            <w:top w:val="none" w:sz="0" w:space="0" w:color="auto"/>
            <w:left w:val="none" w:sz="0" w:space="0" w:color="auto"/>
            <w:bottom w:val="none" w:sz="0" w:space="0" w:color="auto"/>
            <w:right w:val="none" w:sz="0" w:space="0" w:color="auto"/>
          </w:divBdr>
        </w:div>
        <w:div w:id="476726944">
          <w:marLeft w:val="480"/>
          <w:marRight w:val="0"/>
          <w:marTop w:val="0"/>
          <w:marBottom w:val="0"/>
          <w:divBdr>
            <w:top w:val="none" w:sz="0" w:space="0" w:color="auto"/>
            <w:left w:val="none" w:sz="0" w:space="0" w:color="auto"/>
            <w:bottom w:val="none" w:sz="0" w:space="0" w:color="auto"/>
            <w:right w:val="none" w:sz="0" w:space="0" w:color="auto"/>
          </w:divBdr>
        </w:div>
      </w:divsChild>
    </w:div>
    <w:div w:id="1237014479">
      <w:bodyDiv w:val="1"/>
      <w:marLeft w:val="0"/>
      <w:marRight w:val="0"/>
      <w:marTop w:val="0"/>
      <w:marBottom w:val="0"/>
      <w:divBdr>
        <w:top w:val="none" w:sz="0" w:space="0" w:color="auto"/>
        <w:left w:val="none" w:sz="0" w:space="0" w:color="auto"/>
        <w:bottom w:val="none" w:sz="0" w:space="0" w:color="auto"/>
        <w:right w:val="none" w:sz="0" w:space="0" w:color="auto"/>
      </w:divBdr>
      <w:divsChild>
        <w:div w:id="391268524">
          <w:marLeft w:val="480"/>
          <w:marRight w:val="0"/>
          <w:marTop w:val="0"/>
          <w:marBottom w:val="0"/>
          <w:divBdr>
            <w:top w:val="none" w:sz="0" w:space="0" w:color="auto"/>
            <w:left w:val="none" w:sz="0" w:space="0" w:color="auto"/>
            <w:bottom w:val="none" w:sz="0" w:space="0" w:color="auto"/>
            <w:right w:val="none" w:sz="0" w:space="0" w:color="auto"/>
          </w:divBdr>
        </w:div>
        <w:div w:id="1804958908">
          <w:marLeft w:val="480"/>
          <w:marRight w:val="0"/>
          <w:marTop w:val="0"/>
          <w:marBottom w:val="0"/>
          <w:divBdr>
            <w:top w:val="none" w:sz="0" w:space="0" w:color="auto"/>
            <w:left w:val="none" w:sz="0" w:space="0" w:color="auto"/>
            <w:bottom w:val="none" w:sz="0" w:space="0" w:color="auto"/>
            <w:right w:val="none" w:sz="0" w:space="0" w:color="auto"/>
          </w:divBdr>
        </w:div>
        <w:div w:id="451870980">
          <w:marLeft w:val="480"/>
          <w:marRight w:val="0"/>
          <w:marTop w:val="0"/>
          <w:marBottom w:val="0"/>
          <w:divBdr>
            <w:top w:val="none" w:sz="0" w:space="0" w:color="auto"/>
            <w:left w:val="none" w:sz="0" w:space="0" w:color="auto"/>
            <w:bottom w:val="none" w:sz="0" w:space="0" w:color="auto"/>
            <w:right w:val="none" w:sz="0" w:space="0" w:color="auto"/>
          </w:divBdr>
        </w:div>
        <w:div w:id="880243841">
          <w:marLeft w:val="480"/>
          <w:marRight w:val="0"/>
          <w:marTop w:val="0"/>
          <w:marBottom w:val="0"/>
          <w:divBdr>
            <w:top w:val="none" w:sz="0" w:space="0" w:color="auto"/>
            <w:left w:val="none" w:sz="0" w:space="0" w:color="auto"/>
            <w:bottom w:val="none" w:sz="0" w:space="0" w:color="auto"/>
            <w:right w:val="none" w:sz="0" w:space="0" w:color="auto"/>
          </w:divBdr>
        </w:div>
        <w:div w:id="916479652">
          <w:marLeft w:val="480"/>
          <w:marRight w:val="0"/>
          <w:marTop w:val="0"/>
          <w:marBottom w:val="0"/>
          <w:divBdr>
            <w:top w:val="none" w:sz="0" w:space="0" w:color="auto"/>
            <w:left w:val="none" w:sz="0" w:space="0" w:color="auto"/>
            <w:bottom w:val="none" w:sz="0" w:space="0" w:color="auto"/>
            <w:right w:val="none" w:sz="0" w:space="0" w:color="auto"/>
          </w:divBdr>
        </w:div>
        <w:div w:id="251939841">
          <w:marLeft w:val="480"/>
          <w:marRight w:val="0"/>
          <w:marTop w:val="0"/>
          <w:marBottom w:val="0"/>
          <w:divBdr>
            <w:top w:val="none" w:sz="0" w:space="0" w:color="auto"/>
            <w:left w:val="none" w:sz="0" w:space="0" w:color="auto"/>
            <w:bottom w:val="none" w:sz="0" w:space="0" w:color="auto"/>
            <w:right w:val="none" w:sz="0" w:space="0" w:color="auto"/>
          </w:divBdr>
        </w:div>
        <w:div w:id="2080517722">
          <w:marLeft w:val="480"/>
          <w:marRight w:val="0"/>
          <w:marTop w:val="0"/>
          <w:marBottom w:val="0"/>
          <w:divBdr>
            <w:top w:val="none" w:sz="0" w:space="0" w:color="auto"/>
            <w:left w:val="none" w:sz="0" w:space="0" w:color="auto"/>
            <w:bottom w:val="none" w:sz="0" w:space="0" w:color="auto"/>
            <w:right w:val="none" w:sz="0" w:space="0" w:color="auto"/>
          </w:divBdr>
        </w:div>
        <w:div w:id="682317109">
          <w:marLeft w:val="480"/>
          <w:marRight w:val="0"/>
          <w:marTop w:val="0"/>
          <w:marBottom w:val="0"/>
          <w:divBdr>
            <w:top w:val="none" w:sz="0" w:space="0" w:color="auto"/>
            <w:left w:val="none" w:sz="0" w:space="0" w:color="auto"/>
            <w:bottom w:val="none" w:sz="0" w:space="0" w:color="auto"/>
            <w:right w:val="none" w:sz="0" w:space="0" w:color="auto"/>
          </w:divBdr>
        </w:div>
        <w:div w:id="1057558220">
          <w:marLeft w:val="480"/>
          <w:marRight w:val="0"/>
          <w:marTop w:val="0"/>
          <w:marBottom w:val="0"/>
          <w:divBdr>
            <w:top w:val="none" w:sz="0" w:space="0" w:color="auto"/>
            <w:left w:val="none" w:sz="0" w:space="0" w:color="auto"/>
            <w:bottom w:val="none" w:sz="0" w:space="0" w:color="auto"/>
            <w:right w:val="none" w:sz="0" w:space="0" w:color="auto"/>
          </w:divBdr>
        </w:div>
        <w:div w:id="1858929276">
          <w:marLeft w:val="480"/>
          <w:marRight w:val="0"/>
          <w:marTop w:val="0"/>
          <w:marBottom w:val="0"/>
          <w:divBdr>
            <w:top w:val="none" w:sz="0" w:space="0" w:color="auto"/>
            <w:left w:val="none" w:sz="0" w:space="0" w:color="auto"/>
            <w:bottom w:val="none" w:sz="0" w:space="0" w:color="auto"/>
            <w:right w:val="none" w:sz="0" w:space="0" w:color="auto"/>
          </w:divBdr>
        </w:div>
        <w:div w:id="1968587087">
          <w:marLeft w:val="480"/>
          <w:marRight w:val="0"/>
          <w:marTop w:val="0"/>
          <w:marBottom w:val="0"/>
          <w:divBdr>
            <w:top w:val="none" w:sz="0" w:space="0" w:color="auto"/>
            <w:left w:val="none" w:sz="0" w:space="0" w:color="auto"/>
            <w:bottom w:val="none" w:sz="0" w:space="0" w:color="auto"/>
            <w:right w:val="none" w:sz="0" w:space="0" w:color="auto"/>
          </w:divBdr>
        </w:div>
        <w:div w:id="460223506">
          <w:marLeft w:val="480"/>
          <w:marRight w:val="0"/>
          <w:marTop w:val="0"/>
          <w:marBottom w:val="0"/>
          <w:divBdr>
            <w:top w:val="none" w:sz="0" w:space="0" w:color="auto"/>
            <w:left w:val="none" w:sz="0" w:space="0" w:color="auto"/>
            <w:bottom w:val="none" w:sz="0" w:space="0" w:color="auto"/>
            <w:right w:val="none" w:sz="0" w:space="0" w:color="auto"/>
          </w:divBdr>
        </w:div>
        <w:div w:id="1125536363">
          <w:marLeft w:val="480"/>
          <w:marRight w:val="0"/>
          <w:marTop w:val="0"/>
          <w:marBottom w:val="0"/>
          <w:divBdr>
            <w:top w:val="none" w:sz="0" w:space="0" w:color="auto"/>
            <w:left w:val="none" w:sz="0" w:space="0" w:color="auto"/>
            <w:bottom w:val="none" w:sz="0" w:space="0" w:color="auto"/>
            <w:right w:val="none" w:sz="0" w:space="0" w:color="auto"/>
          </w:divBdr>
        </w:div>
        <w:div w:id="1747142640">
          <w:marLeft w:val="480"/>
          <w:marRight w:val="0"/>
          <w:marTop w:val="0"/>
          <w:marBottom w:val="0"/>
          <w:divBdr>
            <w:top w:val="none" w:sz="0" w:space="0" w:color="auto"/>
            <w:left w:val="none" w:sz="0" w:space="0" w:color="auto"/>
            <w:bottom w:val="none" w:sz="0" w:space="0" w:color="auto"/>
            <w:right w:val="none" w:sz="0" w:space="0" w:color="auto"/>
          </w:divBdr>
        </w:div>
      </w:divsChild>
    </w:div>
    <w:div w:id="1239094824">
      <w:bodyDiv w:val="1"/>
      <w:marLeft w:val="0"/>
      <w:marRight w:val="0"/>
      <w:marTop w:val="0"/>
      <w:marBottom w:val="0"/>
      <w:divBdr>
        <w:top w:val="none" w:sz="0" w:space="0" w:color="auto"/>
        <w:left w:val="none" w:sz="0" w:space="0" w:color="auto"/>
        <w:bottom w:val="none" w:sz="0" w:space="0" w:color="auto"/>
        <w:right w:val="none" w:sz="0" w:space="0" w:color="auto"/>
      </w:divBdr>
    </w:div>
    <w:div w:id="1258295731">
      <w:bodyDiv w:val="1"/>
      <w:marLeft w:val="0"/>
      <w:marRight w:val="0"/>
      <w:marTop w:val="0"/>
      <w:marBottom w:val="0"/>
      <w:divBdr>
        <w:top w:val="none" w:sz="0" w:space="0" w:color="auto"/>
        <w:left w:val="none" w:sz="0" w:space="0" w:color="auto"/>
        <w:bottom w:val="none" w:sz="0" w:space="0" w:color="auto"/>
        <w:right w:val="none" w:sz="0" w:space="0" w:color="auto"/>
      </w:divBdr>
      <w:divsChild>
        <w:div w:id="1036006134">
          <w:marLeft w:val="480"/>
          <w:marRight w:val="0"/>
          <w:marTop w:val="0"/>
          <w:marBottom w:val="0"/>
          <w:divBdr>
            <w:top w:val="none" w:sz="0" w:space="0" w:color="auto"/>
            <w:left w:val="none" w:sz="0" w:space="0" w:color="auto"/>
            <w:bottom w:val="none" w:sz="0" w:space="0" w:color="auto"/>
            <w:right w:val="none" w:sz="0" w:space="0" w:color="auto"/>
          </w:divBdr>
        </w:div>
        <w:div w:id="756557046">
          <w:marLeft w:val="480"/>
          <w:marRight w:val="0"/>
          <w:marTop w:val="0"/>
          <w:marBottom w:val="0"/>
          <w:divBdr>
            <w:top w:val="none" w:sz="0" w:space="0" w:color="auto"/>
            <w:left w:val="none" w:sz="0" w:space="0" w:color="auto"/>
            <w:bottom w:val="none" w:sz="0" w:space="0" w:color="auto"/>
            <w:right w:val="none" w:sz="0" w:space="0" w:color="auto"/>
          </w:divBdr>
        </w:div>
        <w:div w:id="1141069859">
          <w:marLeft w:val="480"/>
          <w:marRight w:val="0"/>
          <w:marTop w:val="0"/>
          <w:marBottom w:val="0"/>
          <w:divBdr>
            <w:top w:val="none" w:sz="0" w:space="0" w:color="auto"/>
            <w:left w:val="none" w:sz="0" w:space="0" w:color="auto"/>
            <w:bottom w:val="none" w:sz="0" w:space="0" w:color="auto"/>
            <w:right w:val="none" w:sz="0" w:space="0" w:color="auto"/>
          </w:divBdr>
        </w:div>
        <w:div w:id="1067607190">
          <w:marLeft w:val="480"/>
          <w:marRight w:val="0"/>
          <w:marTop w:val="0"/>
          <w:marBottom w:val="0"/>
          <w:divBdr>
            <w:top w:val="none" w:sz="0" w:space="0" w:color="auto"/>
            <w:left w:val="none" w:sz="0" w:space="0" w:color="auto"/>
            <w:bottom w:val="none" w:sz="0" w:space="0" w:color="auto"/>
            <w:right w:val="none" w:sz="0" w:space="0" w:color="auto"/>
          </w:divBdr>
        </w:div>
        <w:div w:id="1074283373">
          <w:marLeft w:val="480"/>
          <w:marRight w:val="0"/>
          <w:marTop w:val="0"/>
          <w:marBottom w:val="0"/>
          <w:divBdr>
            <w:top w:val="none" w:sz="0" w:space="0" w:color="auto"/>
            <w:left w:val="none" w:sz="0" w:space="0" w:color="auto"/>
            <w:bottom w:val="none" w:sz="0" w:space="0" w:color="auto"/>
            <w:right w:val="none" w:sz="0" w:space="0" w:color="auto"/>
          </w:divBdr>
        </w:div>
        <w:div w:id="2111312144">
          <w:marLeft w:val="480"/>
          <w:marRight w:val="0"/>
          <w:marTop w:val="0"/>
          <w:marBottom w:val="0"/>
          <w:divBdr>
            <w:top w:val="none" w:sz="0" w:space="0" w:color="auto"/>
            <w:left w:val="none" w:sz="0" w:space="0" w:color="auto"/>
            <w:bottom w:val="none" w:sz="0" w:space="0" w:color="auto"/>
            <w:right w:val="none" w:sz="0" w:space="0" w:color="auto"/>
          </w:divBdr>
        </w:div>
        <w:div w:id="1557083731">
          <w:marLeft w:val="480"/>
          <w:marRight w:val="0"/>
          <w:marTop w:val="0"/>
          <w:marBottom w:val="0"/>
          <w:divBdr>
            <w:top w:val="none" w:sz="0" w:space="0" w:color="auto"/>
            <w:left w:val="none" w:sz="0" w:space="0" w:color="auto"/>
            <w:bottom w:val="none" w:sz="0" w:space="0" w:color="auto"/>
            <w:right w:val="none" w:sz="0" w:space="0" w:color="auto"/>
          </w:divBdr>
        </w:div>
        <w:div w:id="2097899406">
          <w:marLeft w:val="480"/>
          <w:marRight w:val="0"/>
          <w:marTop w:val="0"/>
          <w:marBottom w:val="0"/>
          <w:divBdr>
            <w:top w:val="none" w:sz="0" w:space="0" w:color="auto"/>
            <w:left w:val="none" w:sz="0" w:space="0" w:color="auto"/>
            <w:bottom w:val="none" w:sz="0" w:space="0" w:color="auto"/>
            <w:right w:val="none" w:sz="0" w:space="0" w:color="auto"/>
          </w:divBdr>
        </w:div>
        <w:div w:id="7678093">
          <w:marLeft w:val="480"/>
          <w:marRight w:val="0"/>
          <w:marTop w:val="0"/>
          <w:marBottom w:val="0"/>
          <w:divBdr>
            <w:top w:val="none" w:sz="0" w:space="0" w:color="auto"/>
            <w:left w:val="none" w:sz="0" w:space="0" w:color="auto"/>
            <w:bottom w:val="none" w:sz="0" w:space="0" w:color="auto"/>
            <w:right w:val="none" w:sz="0" w:space="0" w:color="auto"/>
          </w:divBdr>
        </w:div>
        <w:div w:id="1444033595">
          <w:marLeft w:val="480"/>
          <w:marRight w:val="0"/>
          <w:marTop w:val="0"/>
          <w:marBottom w:val="0"/>
          <w:divBdr>
            <w:top w:val="none" w:sz="0" w:space="0" w:color="auto"/>
            <w:left w:val="none" w:sz="0" w:space="0" w:color="auto"/>
            <w:bottom w:val="none" w:sz="0" w:space="0" w:color="auto"/>
            <w:right w:val="none" w:sz="0" w:space="0" w:color="auto"/>
          </w:divBdr>
        </w:div>
        <w:div w:id="1608344704">
          <w:marLeft w:val="480"/>
          <w:marRight w:val="0"/>
          <w:marTop w:val="0"/>
          <w:marBottom w:val="0"/>
          <w:divBdr>
            <w:top w:val="none" w:sz="0" w:space="0" w:color="auto"/>
            <w:left w:val="none" w:sz="0" w:space="0" w:color="auto"/>
            <w:bottom w:val="none" w:sz="0" w:space="0" w:color="auto"/>
            <w:right w:val="none" w:sz="0" w:space="0" w:color="auto"/>
          </w:divBdr>
        </w:div>
      </w:divsChild>
    </w:div>
    <w:div w:id="1261838924">
      <w:bodyDiv w:val="1"/>
      <w:marLeft w:val="0"/>
      <w:marRight w:val="0"/>
      <w:marTop w:val="0"/>
      <w:marBottom w:val="0"/>
      <w:divBdr>
        <w:top w:val="none" w:sz="0" w:space="0" w:color="auto"/>
        <w:left w:val="none" w:sz="0" w:space="0" w:color="auto"/>
        <w:bottom w:val="none" w:sz="0" w:space="0" w:color="auto"/>
        <w:right w:val="none" w:sz="0" w:space="0" w:color="auto"/>
      </w:divBdr>
    </w:div>
    <w:div w:id="1269238237">
      <w:bodyDiv w:val="1"/>
      <w:marLeft w:val="0"/>
      <w:marRight w:val="0"/>
      <w:marTop w:val="0"/>
      <w:marBottom w:val="0"/>
      <w:divBdr>
        <w:top w:val="none" w:sz="0" w:space="0" w:color="auto"/>
        <w:left w:val="none" w:sz="0" w:space="0" w:color="auto"/>
        <w:bottom w:val="none" w:sz="0" w:space="0" w:color="auto"/>
        <w:right w:val="none" w:sz="0" w:space="0" w:color="auto"/>
      </w:divBdr>
      <w:divsChild>
        <w:div w:id="262155576">
          <w:marLeft w:val="0"/>
          <w:marRight w:val="0"/>
          <w:marTop w:val="0"/>
          <w:marBottom w:val="0"/>
          <w:divBdr>
            <w:top w:val="none" w:sz="0" w:space="0" w:color="auto"/>
            <w:left w:val="none" w:sz="0" w:space="0" w:color="auto"/>
            <w:bottom w:val="none" w:sz="0" w:space="0" w:color="auto"/>
            <w:right w:val="none" w:sz="0" w:space="0" w:color="auto"/>
          </w:divBdr>
        </w:div>
      </w:divsChild>
    </w:div>
    <w:div w:id="1270166686">
      <w:bodyDiv w:val="1"/>
      <w:marLeft w:val="0"/>
      <w:marRight w:val="0"/>
      <w:marTop w:val="0"/>
      <w:marBottom w:val="0"/>
      <w:divBdr>
        <w:top w:val="none" w:sz="0" w:space="0" w:color="auto"/>
        <w:left w:val="none" w:sz="0" w:space="0" w:color="auto"/>
        <w:bottom w:val="none" w:sz="0" w:space="0" w:color="auto"/>
        <w:right w:val="none" w:sz="0" w:space="0" w:color="auto"/>
      </w:divBdr>
    </w:div>
    <w:div w:id="1289894840">
      <w:bodyDiv w:val="1"/>
      <w:marLeft w:val="0"/>
      <w:marRight w:val="0"/>
      <w:marTop w:val="0"/>
      <w:marBottom w:val="0"/>
      <w:divBdr>
        <w:top w:val="none" w:sz="0" w:space="0" w:color="auto"/>
        <w:left w:val="none" w:sz="0" w:space="0" w:color="auto"/>
        <w:bottom w:val="none" w:sz="0" w:space="0" w:color="auto"/>
        <w:right w:val="none" w:sz="0" w:space="0" w:color="auto"/>
      </w:divBdr>
    </w:div>
    <w:div w:id="1315601802">
      <w:bodyDiv w:val="1"/>
      <w:marLeft w:val="0"/>
      <w:marRight w:val="0"/>
      <w:marTop w:val="0"/>
      <w:marBottom w:val="0"/>
      <w:divBdr>
        <w:top w:val="none" w:sz="0" w:space="0" w:color="auto"/>
        <w:left w:val="none" w:sz="0" w:space="0" w:color="auto"/>
        <w:bottom w:val="none" w:sz="0" w:space="0" w:color="auto"/>
        <w:right w:val="none" w:sz="0" w:space="0" w:color="auto"/>
      </w:divBdr>
      <w:divsChild>
        <w:div w:id="1161460575">
          <w:marLeft w:val="480"/>
          <w:marRight w:val="0"/>
          <w:marTop w:val="0"/>
          <w:marBottom w:val="0"/>
          <w:divBdr>
            <w:top w:val="none" w:sz="0" w:space="0" w:color="auto"/>
            <w:left w:val="none" w:sz="0" w:space="0" w:color="auto"/>
            <w:bottom w:val="none" w:sz="0" w:space="0" w:color="auto"/>
            <w:right w:val="none" w:sz="0" w:space="0" w:color="auto"/>
          </w:divBdr>
        </w:div>
        <w:div w:id="758212455">
          <w:marLeft w:val="480"/>
          <w:marRight w:val="0"/>
          <w:marTop w:val="0"/>
          <w:marBottom w:val="0"/>
          <w:divBdr>
            <w:top w:val="none" w:sz="0" w:space="0" w:color="auto"/>
            <w:left w:val="none" w:sz="0" w:space="0" w:color="auto"/>
            <w:bottom w:val="none" w:sz="0" w:space="0" w:color="auto"/>
            <w:right w:val="none" w:sz="0" w:space="0" w:color="auto"/>
          </w:divBdr>
        </w:div>
        <w:div w:id="1498495907">
          <w:marLeft w:val="480"/>
          <w:marRight w:val="0"/>
          <w:marTop w:val="0"/>
          <w:marBottom w:val="0"/>
          <w:divBdr>
            <w:top w:val="none" w:sz="0" w:space="0" w:color="auto"/>
            <w:left w:val="none" w:sz="0" w:space="0" w:color="auto"/>
            <w:bottom w:val="none" w:sz="0" w:space="0" w:color="auto"/>
            <w:right w:val="none" w:sz="0" w:space="0" w:color="auto"/>
          </w:divBdr>
        </w:div>
        <w:div w:id="1755348475">
          <w:marLeft w:val="480"/>
          <w:marRight w:val="0"/>
          <w:marTop w:val="0"/>
          <w:marBottom w:val="0"/>
          <w:divBdr>
            <w:top w:val="none" w:sz="0" w:space="0" w:color="auto"/>
            <w:left w:val="none" w:sz="0" w:space="0" w:color="auto"/>
            <w:bottom w:val="none" w:sz="0" w:space="0" w:color="auto"/>
            <w:right w:val="none" w:sz="0" w:space="0" w:color="auto"/>
          </w:divBdr>
        </w:div>
        <w:div w:id="1280992238">
          <w:marLeft w:val="480"/>
          <w:marRight w:val="0"/>
          <w:marTop w:val="0"/>
          <w:marBottom w:val="0"/>
          <w:divBdr>
            <w:top w:val="none" w:sz="0" w:space="0" w:color="auto"/>
            <w:left w:val="none" w:sz="0" w:space="0" w:color="auto"/>
            <w:bottom w:val="none" w:sz="0" w:space="0" w:color="auto"/>
            <w:right w:val="none" w:sz="0" w:space="0" w:color="auto"/>
          </w:divBdr>
        </w:div>
        <w:div w:id="1523009131">
          <w:marLeft w:val="480"/>
          <w:marRight w:val="0"/>
          <w:marTop w:val="0"/>
          <w:marBottom w:val="0"/>
          <w:divBdr>
            <w:top w:val="none" w:sz="0" w:space="0" w:color="auto"/>
            <w:left w:val="none" w:sz="0" w:space="0" w:color="auto"/>
            <w:bottom w:val="none" w:sz="0" w:space="0" w:color="auto"/>
            <w:right w:val="none" w:sz="0" w:space="0" w:color="auto"/>
          </w:divBdr>
        </w:div>
        <w:div w:id="907887484">
          <w:marLeft w:val="480"/>
          <w:marRight w:val="0"/>
          <w:marTop w:val="0"/>
          <w:marBottom w:val="0"/>
          <w:divBdr>
            <w:top w:val="none" w:sz="0" w:space="0" w:color="auto"/>
            <w:left w:val="none" w:sz="0" w:space="0" w:color="auto"/>
            <w:bottom w:val="none" w:sz="0" w:space="0" w:color="auto"/>
            <w:right w:val="none" w:sz="0" w:space="0" w:color="auto"/>
          </w:divBdr>
        </w:div>
        <w:div w:id="2055537743">
          <w:marLeft w:val="480"/>
          <w:marRight w:val="0"/>
          <w:marTop w:val="0"/>
          <w:marBottom w:val="0"/>
          <w:divBdr>
            <w:top w:val="none" w:sz="0" w:space="0" w:color="auto"/>
            <w:left w:val="none" w:sz="0" w:space="0" w:color="auto"/>
            <w:bottom w:val="none" w:sz="0" w:space="0" w:color="auto"/>
            <w:right w:val="none" w:sz="0" w:space="0" w:color="auto"/>
          </w:divBdr>
        </w:div>
        <w:div w:id="527719777">
          <w:marLeft w:val="480"/>
          <w:marRight w:val="0"/>
          <w:marTop w:val="0"/>
          <w:marBottom w:val="0"/>
          <w:divBdr>
            <w:top w:val="none" w:sz="0" w:space="0" w:color="auto"/>
            <w:left w:val="none" w:sz="0" w:space="0" w:color="auto"/>
            <w:bottom w:val="none" w:sz="0" w:space="0" w:color="auto"/>
            <w:right w:val="none" w:sz="0" w:space="0" w:color="auto"/>
          </w:divBdr>
        </w:div>
        <w:div w:id="1048146852">
          <w:marLeft w:val="480"/>
          <w:marRight w:val="0"/>
          <w:marTop w:val="0"/>
          <w:marBottom w:val="0"/>
          <w:divBdr>
            <w:top w:val="none" w:sz="0" w:space="0" w:color="auto"/>
            <w:left w:val="none" w:sz="0" w:space="0" w:color="auto"/>
            <w:bottom w:val="none" w:sz="0" w:space="0" w:color="auto"/>
            <w:right w:val="none" w:sz="0" w:space="0" w:color="auto"/>
          </w:divBdr>
        </w:div>
        <w:div w:id="2053072726">
          <w:marLeft w:val="480"/>
          <w:marRight w:val="0"/>
          <w:marTop w:val="0"/>
          <w:marBottom w:val="0"/>
          <w:divBdr>
            <w:top w:val="none" w:sz="0" w:space="0" w:color="auto"/>
            <w:left w:val="none" w:sz="0" w:space="0" w:color="auto"/>
            <w:bottom w:val="none" w:sz="0" w:space="0" w:color="auto"/>
            <w:right w:val="none" w:sz="0" w:space="0" w:color="auto"/>
          </w:divBdr>
        </w:div>
        <w:div w:id="869882675">
          <w:marLeft w:val="480"/>
          <w:marRight w:val="0"/>
          <w:marTop w:val="0"/>
          <w:marBottom w:val="0"/>
          <w:divBdr>
            <w:top w:val="none" w:sz="0" w:space="0" w:color="auto"/>
            <w:left w:val="none" w:sz="0" w:space="0" w:color="auto"/>
            <w:bottom w:val="none" w:sz="0" w:space="0" w:color="auto"/>
            <w:right w:val="none" w:sz="0" w:space="0" w:color="auto"/>
          </w:divBdr>
        </w:div>
        <w:div w:id="1192721781">
          <w:marLeft w:val="480"/>
          <w:marRight w:val="0"/>
          <w:marTop w:val="0"/>
          <w:marBottom w:val="0"/>
          <w:divBdr>
            <w:top w:val="none" w:sz="0" w:space="0" w:color="auto"/>
            <w:left w:val="none" w:sz="0" w:space="0" w:color="auto"/>
            <w:bottom w:val="none" w:sz="0" w:space="0" w:color="auto"/>
            <w:right w:val="none" w:sz="0" w:space="0" w:color="auto"/>
          </w:divBdr>
        </w:div>
        <w:div w:id="1846625234">
          <w:marLeft w:val="480"/>
          <w:marRight w:val="0"/>
          <w:marTop w:val="0"/>
          <w:marBottom w:val="0"/>
          <w:divBdr>
            <w:top w:val="none" w:sz="0" w:space="0" w:color="auto"/>
            <w:left w:val="none" w:sz="0" w:space="0" w:color="auto"/>
            <w:bottom w:val="none" w:sz="0" w:space="0" w:color="auto"/>
            <w:right w:val="none" w:sz="0" w:space="0" w:color="auto"/>
          </w:divBdr>
        </w:div>
      </w:divsChild>
    </w:div>
    <w:div w:id="1330791832">
      <w:bodyDiv w:val="1"/>
      <w:marLeft w:val="0"/>
      <w:marRight w:val="0"/>
      <w:marTop w:val="0"/>
      <w:marBottom w:val="0"/>
      <w:divBdr>
        <w:top w:val="none" w:sz="0" w:space="0" w:color="auto"/>
        <w:left w:val="none" w:sz="0" w:space="0" w:color="auto"/>
        <w:bottom w:val="none" w:sz="0" w:space="0" w:color="auto"/>
        <w:right w:val="none" w:sz="0" w:space="0" w:color="auto"/>
      </w:divBdr>
    </w:div>
    <w:div w:id="1335496497">
      <w:bodyDiv w:val="1"/>
      <w:marLeft w:val="0"/>
      <w:marRight w:val="0"/>
      <w:marTop w:val="0"/>
      <w:marBottom w:val="0"/>
      <w:divBdr>
        <w:top w:val="none" w:sz="0" w:space="0" w:color="auto"/>
        <w:left w:val="none" w:sz="0" w:space="0" w:color="auto"/>
        <w:bottom w:val="none" w:sz="0" w:space="0" w:color="auto"/>
        <w:right w:val="none" w:sz="0" w:space="0" w:color="auto"/>
      </w:divBdr>
    </w:div>
    <w:div w:id="1336685133">
      <w:bodyDiv w:val="1"/>
      <w:marLeft w:val="0"/>
      <w:marRight w:val="0"/>
      <w:marTop w:val="0"/>
      <w:marBottom w:val="0"/>
      <w:divBdr>
        <w:top w:val="none" w:sz="0" w:space="0" w:color="auto"/>
        <w:left w:val="none" w:sz="0" w:space="0" w:color="auto"/>
        <w:bottom w:val="none" w:sz="0" w:space="0" w:color="auto"/>
        <w:right w:val="none" w:sz="0" w:space="0" w:color="auto"/>
      </w:divBdr>
      <w:divsChild>
        <w:div w:id="616567164">
          <w:marLeft w:val="480"/>
          <w:marRight w:val="0"/>
          <w:marTop w:val="0"/>
          <w:marBottom w:val="0"/>
          <w:divBdr>
            <w:top w:val="none" w:sz="0" w:space="0" w:color="auto"/>
            <w:left w:val="none" w:sz="0" w:space="0" w:color="auto"/>
            <w:bottom w:val="none" w:sz="0" w:space="0" w:color="auto"/>
            <w:right w:val="none" w:sz="0" w:space="0" w:color="auto"/>
          </w:divBdr>
        </w:div>
        <w:div w:id="27220348">
          <w:marLeft w:val="480"/>
          <w:marRight w:val="0"/>
          <w:marTop w:val="0"/>
          <w:marBottom w:val="0"/>
          <w:divBdr>
            <w:top w:val="none" w:sz="0" w:space="0" w:color="auto"/>
            <w:left w:val="none" w:sz="0" w:space="0" w:color="auto"/>
            <w:bottom w:val="none" w:sz="0" w:space="0" w:color="auto"/>
            <w:right w:val="none" w:sz="0" w:space="0" w:color="auto"/>
          </w:divBdr>
        </w:div>
        <w:div w:id="688723205">
          <w:marLeft w:val="480"/>
          <w:marRight w:val="0"/>
          <w:marTop w:val="0"/>
          <w:marBottom w:val="0"/>
          <w:divBdr>
            <w:top w:val="none" w:sz="0" w:space="0" w:color="auto"/>
            <w:left w:val="none" w:sz="0" w:space="0" w:color="auto"/>
            <w:bottom w:val="none" w:sz="0" w:space="0" w:color="auto"/>
            <w:right w:val="none" w:sz="0" w:space="0" w:color="auto"/>
          </w:divBdr>
        </w:div>
        <w:div w:id="515968922">
          <w:marLeft w:val="480"/>
          <w:marRight w:val="0"/>
          <w:marTop w:val="0"/>
          <w:marBottom w:val="0"/>
          <w:divBdr>
            <w:top w:val="none" w:sz="0" w:space="0" w:color="auto"/>
            <w:left w:val="none" w:sz="0" w:space="0" w:color="auto"/>
            <w:bottom w:val="none" w:sz="0" w:space="0" w:color="auto"/>
            <w:right w:val="none" w:sz="0" w:space="0" w:color="auto"/>
          </w:divBdr>
        </w:div>
        <w:div w:id="172035495">
          <w:marLeft w:val="480"/>
          <w:marRight w:val="0"/>
          <w:marTop w:val="0"/>
          <w:marBottom w:val="0"/>
          <w:divBdr>
            <w:top w:val="none" w:sz="0" w:space="0" w:color="auto"/>
            <w:left w:val="none" w:sz="0" w:space="0" w:color="auto"/>
            <w:bottom w:val="none" w:sz="0" w:space="0" w:color="auto"/>
            <w:right w:val="none" w:sz="0" w:space="0" w:color="auto"/>
          </w:divBdr>
        </w:div>
      </w:divsChild>
    </w:div>
    <w:div w:id="1349990245">
      <w:bodyDiv w:val="1"/>
      <w:marLeft w:val="0"/>
      <w:marRight w:val="0"/>
      <w:marTop w:val="0"/>
      <w:marBottom w:val="0"/>
      <w:divBdr>
        <w:top w:val="none" w:sz="0" w:space="0" w:color="auto"/>
        <w:left w:val="none" w:sz="0" w:space="0" w:color="auto"/>
        <w:bottom w:val="none" w:sz="0" w:space="0" w:color="auto"/>
        <w:right w:val="none" w:sz="0" w:space="0" w:color="auto"/>
      </w:divBdr>
      <w:divsChild>
        <w:div w:id="1861775687">
          <w:marLeft w:val="0"/>
          <w:marRight w:val="0"/>
          <w:marTop w:val="0"/>
          <w:marBottom w:val="0"/>
          <w:divBdr>
            <w:top w:val="none" w:sz="0" w:space="0" w:color="auto"/>
            <w:left w:val="none" w:sz="0" w:space="0" w:color="auto"/>
            <w:bottom w:val="none" w:sz="0" w:space="0" w:color="auto"/>
            <w:right w:val="none" w:sz="0" w:space="0" w:color="auto"/>
          </w:divBdr>
        </w:div>
      </w:divsChild>
    </w:div>
    <w:div w:id="1351418989">
      <w:bodyDiv w:val="1"/>
      <w:marLeft w:val="0"/>
      <w:marRight w:val="0"/>
      <w:marTop w:val="0"/>
      <w:marBottom w:val="0"/>
      <w:divBdr>
        <w:top w:val="none" w:sz="0" w:space="0" w:color="auto"/>
        <w:left w:val="none" w:sz="0" w:space="0" w:color="auto"/>
        <w:bottom w:val="none" w:sz="0" w:space="0" w:color="auto"/>
        <w:right w:val="none" w:sz="0" w:space="0" w:color="auto"/>
      </w:divBdr>
      <w:divsChild>
        <w:div w:id="779766738">
          <w:marLeft w:val="0"/>
          <w:marRight w:val="0"/>
          <w:marTop w:val="0"/>
          <w:marBottom w:val="0"/>
          <w:divBdr>
            <w:top w:val="none" w:sz="0" w:space="0" w:color="auto"/>
            <w:left w:val="none" w:sz="0" w:space="0" w:color="auto"/>
            <w:bottom w:val="none" w:sz="0" w:space="0" w:color="auto"/>
            <w:right w:val="none" w:sz="0" w:space="0" w:color="auto"/>
          </w:divBdr>
        </w:div>
      </w:divsChild>
    </w:div>
    <w:div w:id="1356034342">
      <w:bodyDiv w:val="1"/>
      <w:marLeft w:val="0"/>
      <w:marRight w:val="0"/>
      <w:marTop w:val="0"/>
      <w:marBottom w:val="0"/>
      <w:divBdr>
        <w:top w:val="none" w:sz="0" w:space="0" w:color="auto"/>
        <w:left w:val="none" w:sz="0" w:space="0" w:color="auto"/>
        <w:bottom w:val="none" w:sz="0" w:space="0" w:color="auto"/>
        <w:right w:val="none" w:sz="0" w:space="0" w:color="auto"/>
      </w:divBdr>
    </w:div>
    <w:div w:id="1363246783">
      <w:bodyDiv w:val="1"/>
      <w:marLeft w:val="0"/>
      <w:marRight w:val="0"/>
      <w:marTop w:val="0"/>
      <w:marBottom w:val="0"/>
      <w:divBdr>
        <w:top w:val="none" w:sz="0" w:space="0" w:color="auto"/>
        <w:left w:val="none" w:sz="0" w:space="0" w:color="auto"/>
        <w:bottom w:val="none" w:sz="0" w:space="0" w:color="auto"/>
        <w:right w:val="none" w:sz="0" w:space="0" w:color="auto"/>
      </w:divBdr>
      <w:divsChild>
        <w:div w:id="642585643">
          <w:marLeft w:val="480"/>
          <w:marRight w:val="0"/>
          <w:marTop w:val="0"/>
          <w:marBottom w:val="0"/>
          <w:divBdr>
            <w:top w:val="none" w:sz="0" w:space="0" w:color="auto"/>
            <w:left w:val="none" w:sz="0" w:space="0" w:color="auto"/>
            <w:bottom w:val="none" w:sz="0" w:space="0" w:color="auto"/>
            <w:right w:val="none" w:sz="0" w:space="0" w:color="auto"/>
          </w:divBdr>
        </w:div>
        <w:div w:id="1713191161">
          <w:marLeft w:val="480"/>
          <w:marRight w:val="0"/>
          <w:marTop w:val="0"/>
          <w:marBottom w:val="0"/>
          <w:divBdr>
            <w:top w:val="none" w:sz="0" w:space="0" w:color="auto"/>
            <w:left w:val="none" w:sz="0" w:space="0" w:color="auto"/>
            <w:bottom w:val="none" w:sz="0" w:space="0" w:color="auto"/>
            <w:right w:val="none" w:sz="0" w:space="0" w:color="auto"/>
          </w:divBdr>
        </w:div>
        <w:div w:id="1691763775">
          <w:marLeft w:val="480"/>
          <w:marRight w:val="0"/>
          <w:marTop w:val="0"/>
          <w:marBottom w:val="0"/>
          <w:divBdr>
            <w:top w:val="none" w:sz="0" w:space="0" w:color="auto"/>
            <w:left w:val="none" w:sz="0" w:space="0" w:color="auto"/>
            <w:bottom w:val="none" w:sz="0" w:space="0" w:color="auto"/>
            <w:right w:val="none" w:sz="0" w:space="0" w:color="auto"/>
          </w:divBdr>
        </w:div>
        <w:div w:id="807013071">
          <w:marLeft w:val="480"/>
          <w:marRight w:val="0"/>
          <w:marTop w:val="0"/>
          <w:marBottom w:val="0"/>
          <w:divBdr>
            <w:top w:val="none" w:sz="0" w:space="0" w:color="auto"/>
            <w:left w:val="none" w:sz="0" w:space="0" w:color="auto"/>
            <w:bottom w:val="none" w:sz="0" w:space="0" w:color="auto"/>
            <w:right w:val="none" w:sz="0" w:space="0" w:color="auto"/>
          </w:divBdr>
        </w:div>
        <w:div w:id="185756791">
          <w:marLeft w:val="480"/>
          <w:marRight w:val="0"/>
          <w:marTop w:val="0"/>
          <w:marBottom w:val="0"/>
          <w:divBdr>
            <w:top w:val="none" w:sz="0" w:space="0" w:color="auto"/>
            <w:left w:val="none" w:sz="0" w:space="0" w:color="auto"/>
            <w:bottom w:val="none" w:sz="0" w:space="0" w:color="auto"/>
            <w:right w:val="none" w:sz="0" w:space="0" w:color="auto"/>
          </w:divBdr>
        </w:div>
        <w:div w:id="899828478">
          <w:marLeft w:val="480"/>
          <w:marRight w:val="0"/>
          <w:marTop w:val="0"/>
          <w:marBottom w:val="0"/>
          <w:divBdr>
            <w:top w:val="none" w:sz="0" w:space="0" w:color="auto"/>
            <w:left w:val="none" w:sz="0" w:space="0" w:color="auto"/>
            <w:bottom w:val="none" w:sz="0" w:space="0" w:color="auto"/>
            <w:right w:val="none" w:sz="0" w:space="0" w:color="auto"/>
          </w:divBdr>
        </w:div>
        <w:div w:id="1570270179">
          <w:marLeft w:val="480"/>
          <w:marRight w:val="0"/>
          <w:marTop w:val="0"/>
          <w:marBottom w:val="0"/>
          <w:divBdr>
            <w:top w:val="none" w:sz="0" w:space="0" w:color="auto"/>
            <w:left w:val="none" w:sz="0" w:space="0" w:color="auto"/>
            <w:bottom w:val="none" w:sz="0" w:space="0" w:color="auto"/>
            <w:right w:val="none" w:sz="0" w:space="0" w:color="auto"/>
          </w:divBdr>
        </w:div>
        <w:div w:id="183567033">
          <w:marLeft w:val="480"/>
          <w:marRight w:val="0"/>
          <w:marTop w:val="0"/>
          <w:marBottom w:val="0"/>
          <w:divBdr>
            <w:top w:val="none" w:sz="0" w:space="0" w:color="auto"/>
            <w:left w:val="none" w:sz="0" w:space="0" w:color="auto"/>
            <w:bottom w:val="none" w:sz="0" w:space="0" w:color="auto"/>
            <w:right w:val="none" w:sz="0" w:space="0" w:color="auto"/>
          </w:divBdr>
        </w:div>
        <w:div w:id="1119840942">
          <w:marLeft w:val="480"/>
          <w:marRight w:val="0"/>
          <w:marTop w:val="0"/>
          <w:marBottom w:val="0"/>
          <w:divBdr>
            <w:top w:val="none" w:sz="0" w:space="0" w:color="auto"/>
            <w:left w:val="none" w:sz="0" w:space="0" w:color="auto"/>
            <w:bottom w:val="none" w:sz="0" w:space="0" w:color="auto"/>
            <w:right w:val="none" w:sz="0" w:space="0" w:color="auto"/>
          </w:divBdr>
        </w:div>
        <w:div w:id="2029717645">
          <w:marLeft w:val="480"/>
          <w:marRight w:val="0"/>
          <w:marTop w:val="0"/>
          <w:marBottom w:val="0"/>
          <w:divBdr>
            <w:top w:val="none" w:sz="0" w:space="0" w:color="auto"/>
            <w:left w:val="none" w:sz="0" w:space="0" w:color="auto"/>
            <w:bottom w:val="none" w:sz="0" w:space="0" w:color="auto"/>
            <w:right w:val="none" w:sz="0" w:space="0" w:color="auto"/>
          </w:divBdr>
        </w:div>
        <w:div w:id="327438322">
          <w:marLeft w:val="480"/>
          <w:marRight w:val="0"/>
          <w:marTop w:val="0"/>
          <w:marBottom w:val="0"/>
          <w:divBdr>
            <w:top w:val="none" w:sz="0" w:space="0" w:color="auto"/>
            <w:left w:val="none" w:sz="0" w:space="0" w:color="auto"/>
            <w:bottom w:val="none" w:sz="0" w:space="0" w:color="auto"/>
            <w:right w:val="none" w:sz="0" w:space="0" w:color="auto"/>
          </w:divBdr>
        </w:div>
        <w:div w:id="1156068349">
          <w:marLeft w:val="480"/>
          <w:marRight w:val="0"/>
          <w:marTop w:val="0"/>
          <w:marBottom w:val="0"/>
          <w:divBdr>
            <w:top w:val="none" w:sz="0" w:space="0" w:color="auto"/>
            <w:left w:val="none" w:sz="0" w:space="0" w:color="auto"/>
            <w:bottom w:val="none" w:sz="0" w:space="0" w:color="auto"/>
            <w:right w:val="none" w:sz="0" w:space="0" w:color="auto"/>
          </w:divBdr>
        </w:div>
        <w:div w:id="753627068">
          <w:marLeft w:val="480"/>
          <w:marRight w:val="0"/>
          <w:marTop w:val="0"/>
          <w:marBottom w:val="0"/>
          <w:divBdr>
            <w:top w:val="none" w:sz="0" w:space="0" w:color="auto"/>
            <w:left w:val="none" w:sz="0" w:space="0" w:color="auto"/>
            <w:bottom w:val="none" w:sz="0" w:space="0" w:color="auto"/>
            <w:right w:val="none" w:sz="0" w:space="0" w:color="auto"/>
          </w:divBdr>
        </w:div>
      </w:divsChild>
    </w:div>
    <w:div w:id="1365598103">
      <w:bodyDiv w:val="1"/>
      <w:marLeft w:val="0"/>
      <w:marRight w:val="0"/>
      <w:marTop w:val="0"/>
      <w:marBottom w:val="0"/>
      <w:divBdr>
        <w:top w:val="none" w:sz="0" w:space="0" w:color="auto"/>
        <w:left w:val="none" w:sz="0" w:space="0" w:color="auto"/>
        <w:bottom w:val="none" w:sz="0" w:space="0" w:color="auto"/>
        <w:right w:val="none" w:sz="0" w:space="0" w:color="auto"/>
      </w:divBdr>
    </w:div>
    <w:div w:id="1368064460">
      <w:bodyDiv w:val="1"/>
      <w:marLeft w:val="0"/>
      <w:marRight w:val="0"/>
      <w:marTop w:val="0"/>
      <w:marBottom w:val="0"/>
      <w:divBdr>
        <w:top w:val="none" w:sz="0" w:space="0" w:color="auto"/>
        <w:left w:val="none" w:sz="0" w:space="0" w:color="auto"/>
        <w:bottom w:val="none" w:sz="0" w:space="0" w:color="auto"/>
        <w:right w:val="none" w:sz="0" w:space="0" w:color="auto"/>
      </w:divBdr>
    </w:div>
    <w:div w:id="1374425776">
      <w:bodyDiv w:val="1"/>
      <w:marLeft w:val="0"/>
      <w:marRight w:val="0"/>
      <w:marTop w:val="0"/>
      <w:marBottom w:val="0"/>
      <w:divBdr>
        <w:top w:val="none" w:sz="0" w:space="0" w:color="auto"/>
        <w:left w:val="none" w:sz="0" w:space="0" w:color="auto"/>
        <w:bottom w:val="none" w:sz="0" w:space="0" w:color="auto"/>
        <w:right w:val="none" w:sz="0" w:space="0" w:color="auto"/>
      </w:divBdr>
      <w:divsChild>
        <w:div w:id="1224028515">
          <w:marLeft w:val="480"/>
          <w:marRight w:val="0"/>
          <w:marTop w:val="0"/>
          <w:marBottom w:val="0"/>
          <w:divBdr>
            <w:top w:val="none" w:sz="0" w:space="0" w:color="auto"/>
            <w:left w:val="none" w:sz="0" w:space="0" w:color="auto"/>
            <w:bottom w:val="none" w:sz="0" w:space="0" w:color="auto"/>
            <w:right w:val="none" w:sz="0" w:space="0" w:color="auto"/>
          </w:divBdr>
        </w:div>
        <w:div w:id="1406146377">
          <w:marLeft w:val="480"/>
          <w:marRight w:val="0"/>
          <w:marTop w:val="0"/>
          <w:marBottom w:val="0"/>
          <w:divBdr>
            <w:top w:val="none" w:sz="0" w:space="0" w:color="auto"/>
            <w:left w:val="none" w:sz="0" w:space="0" w:color="auto"/>
            <w:bottom w:val="none" w:sz="0" w:space="0" w:color="auto"/>
            <w:right w:val="none" w:sz="0" w:space="0" w:color="auto"/>
          </w:divBdr>
        </w:div>
        <w:div w:id="1069302351">
          <w:marLeft w:val="480"/>
          <w:marRight w:val="0"/>
          <w:marTop w:val="0"/>
          <w:marBottom w:val="0"/>
          <w:divBdr>
            <w:top w:val="none" w:sz="0" w:space="0" w:color="auto"/>
            <w:left w:val="none" w:sz="0" w:space="0" w:color="auto"/>
            <w:bottom w:val="none" w:sz="0" w:space="0" w:color="auto"/>
            <w:right w:val="none" w:sz="0" w:space="0" w:color="auto"/>
          </w:divBdr>
        </w:div>
        <w:div w:id="267784062">
          <w:marLeft w:val="480"/>
          <w:marRight w:val="0"/>
          <w:marTop w:val="0"/>
          <w:marBottom w:val="0"/>
          <w:divBdr>
            <w:top w:val="none" w:sz="0" w:space="0" w:color="auto"/>
            <w:left w:val="none" w:sz="0" w:space="0" w:color="auto"/>
            <w:bottom w:val="none" w:sz="0" w:space="0" w:color="auto"/>
            <w:right w:val="none" w:sz="0" w:space="0" w:color="auto"/>
          </w:divBdr>
        </w:div>
        <w:div w:id="34157925">
          <w:marLeft w:val="480"/>
          <w:marRight w:val="0"/>
          <w:marTop w:val="0"/>
          <w:marBottom w:val="0"/>
          <w:divBdr>
            <w:top w:val="none" w:sz="0" w:space="0" w:color="auto"/>
            <w:left w:val="none" w:sz="0" w:space="0" w:color="auto"/>
            <w:bottom w:val="none" w:sz="0" w:space="0" w:color="auto"/>
            <w:right w:val="none" w:sz="0" w:space="0" w:color="auto"/>
          </w:divBdr>
        </w:div>
        <w:div w:id="2007004776">
          <w:marLeft w:val="480"/>
          <w:marRight w:val="0"/>
          <w:marTop w:val="0"/>
          <w:marBottom w:val="0"/>
          <w:divBdr>
            <w:top w:val="none" w:sz="0" w:space="0" w:color="auto"/>
            <w:left w:val="none" w:sz="0" w:space="0" w:color="auto"/>
            <w:bottom w:val="none" w:sz="0" w:space="0" w:color="auto"/>
            <w:right w:val="none" w:sz="0" w:space="0" w:color="auto"/>
          </w:divBdr>
        </w:div>
        <w:div w:id="1356081762">
          <w:marLeft w:val="480"/>
          <w:marRight w:val="0"/>
          <w:marTop w:val="0"/>
          <w:marBottom w:val="0"/>
          <w:divBdr>
            <w:top w:val="none" w:sz="0" w:space="0" w:color="auto"/>
            <w:left w:val="none" w:sz="0" w:space="0" w:color="auto"/>
            <w:bottom w:val="none" w:sz="0" w:space="0" w:color="auto"/>
            <w:right w:val="none" w:sz="0" w:space="0" w:color="auto"/>
          </w:divBdr>
        </w:div>
        <w:div w:id="963073251">
          <w:marLeft w:val="480"/>
          <w:marRight w:val="0"/>
          <w:marTop w:val="0"/>
          <w:marBottom w:val="0"/>
          <w:divBdr>
            <w:top w:val="none" w:sz="0" w:space="0" w:color="auto"/>
            <w:left w:val="none" w:sz="0" w:space="0" w:color="auto"/>
            <w:bottom w:val="none" w:sz="0" w:space="0" w:color="auto"/>
            <w:right w:val="none" w:sz="0" w:space="0" w:color="auto"/>
          </w:divBdr>
        </w:div>
        <w:div w:id="1150560008">
          <w:marLeft w:val="480"/>
          <w:marRight w:val="0"/>
          <w:marTop w:val="0"/>
          <w:marBottom w:val="0"/>
          <w:divBdr>
            <w:top w:val="none" w:sz="0" w:space="0" w:color="auto"/>
            <w:left w:val="none" w:sz="0" w:space="0" w:color="auto"/>
            <w:bottom w:val="none" w:sz="0" w:space="0" w:color="auto"/>
            <w:right w:val="none" w:sz="0" w:space="0" w:color="auto"/>
          </w:divBdr>
        </w:div>
        <w:div w:id="164133306">
          <w:marLeft w:val="480"/>
          <w:marRight w:val="0"/>
          <w:marTop w:val="0"/>
          <w:marBottom w:val="0"/>
          <w:divBdr>
            <w:top w:val="none" w:sz="0" w:space="0" w:color="auto"/>
            <w:left w:val="none" w:sz="0" w:space="0" w:color="auto"/>
            <w:bottom w:val="none" w:sz="0" w:space="0" w:color="auto"/>
            <w:right w:val="none" w:sz="0" w:space="0" w:color="auto"/>
          </w:divBdr>
        </w:div>
        <w:div w:id="845249260">
          <w:marLeft w:val="480"/>
          <w:marRight w:val="0"/>
          <w:marTop w:val="0"/>
          <w:marBottom w:val="0"/>
          <w:divBdr>
            <w:top w:val="none" w:sz="0" w:space="0" w:color="auto"/>
            <w:left w:val="none" w:sz="0" w:space="0" w:color="auto"/>
            <w:bottom w:val="none" w:sz="0" w:space="0" w:color="auto"/>
            <w:right w:val="none" w:sz="0" w:space="0" w:color="auto"/>
          </w:divBdr>
        </w:div>
        <w:div w:id="1824740427">
          <w:marLeft w:val="480"/>
          <w:marRight w:val="0"/>
          <w:marTop w:val="0"/>
          <w:marBottom w:val="0"/>
          <w:divBdr>
            <w:top w:val="none" w:sz="0" w:space="0" w:color="auto"/>
            <w:left w:val="none" w:sz="0" w:space="0" w:color="auto"/>
            <w:bottom w:val="none" w:sz="0" w:space="0" w:color="auto"/>
            <w:right w:val="none" w:sz="0" w:space="0" w:color="auto"/>
          </w:divBdr>
        </w:div>
        <w:div w:id="1426271488">
          <w:marLeft w:val="480"/>
          <w:marRight w:val="0"/>
          <w:marTop w:val="0"/>
          <w:marBottom w:val="0"/>
          <w:divBdr>
            <w:top w:val="none" w:sz="0" w:space="0" w:color="auto"/>
            <w:left w:val="none" w:sz="0" w:space="0" w:color="auto"/>
            <w:bottom w:val="none" w:sz="0" w:space="0" w:color="auto"/>
            <w:right w:val="none" w:sz="0" w:space="0" w:color="auto"/>
          </w:divBdr>
        </w:div>
        <w:div w:id="887648067">
          <w:marLeft w:val="480"/>
          <w:marRight w:val="0"/>
          <w:marTop w:val="0"/>
          <w:marBottom w:val="0"/>
          <w:divBdr>
            <w:top w:val="none" w:sz="0" w:space="0" w:color="auto"/>
            <w:left w:val="none" w:sz="0" w:space="0" w:color="auto"/>
            <w:bottom w:val="none" w:sz="0" w:space="0" w:color="auto"/>
            <w:right w:val="none" w:sz="0" w:space="0" w:color="auto"/>
          </w:divBdr>
        </w:div>
      </w:divsChild>
    </w:div>
    <w:div w:id="1375234679">
      <w:bodyDiv w:val="1"/>
      <w:marLeft w:val="0"/>
      <w:marRight w:val="0"/>
      <w:marTop w:val="0"/>
      <w:marBottom w:val="0"/>
      <w:divBdr>
        <w:top w:val="none" w:sz="0" w:space="0" w:color="auto"/>
        <w:left w:val="none" w:sz="0" w:space="0" w:color="auto"/>
        <w:bottom w:val="none" w:sz="0" w:space="0" w:color="auto"/>
        <w:right w:val="none" w:sz="0" w:space="0" w:color="auto"/>
      </w:divBdr>
    </w:div>
    <w:div w:id="1377857083">
      <w:bodyDiv w:val="1"/>
      <w:marLeft w:val="0"/>
      <w:marRight w:val="0"/>
      <w:marTop w:val="0"/>
      <w:marBottom w:val="0"/>
      <w:divBdr>
        <w:top w:val="none" w:sz="0" w:space="0" w:color="auto"/>
        <w:left w:val="none" w:sz="0" w:space="0" w:color="auto"/>
        <w:bottom w:val="none" w:sz="0" w:space="0" w:color="auto"/>
        <w:right w:val="none" w:sz="0" w:space="0" w:color="auto"/>
      </w:divBdr>
    </w:div>
    <w:div w:id="1396780337">
      <w:bodyDiv w:val="1"/>
      <w:marLeft w:val="0"/>
      <w:marRight w:val="0"/>
      <w:marTop w:val="0"/>
      <w:marBottom w:val="0"/>
      <w:divBdr>
        <w:top w:val="none" w:sz="0" w:space="0" w:color="auto"/>
        <w:left w:val="none" w:sz="0" w:space="0" w:color="auto"/>
        <w:bottom w:val="none" w:sz="0" w:space="0" w:color="auto"/>
        <w:right w:val="none" w:sz="0" w:space="0" w:color="auto"/>
      </w:divBdr>
    </w:div>
    <w:div w:id="1407535567">
      <w:bodyDiv w:val="1"/>
      <w:marLeft w:val="0"/>
      <w:marRight w:val="0"/>
      <w:marTop w:val="0"/>
      <w:marBottom w:val="0"/>
      <w:divBdr>
        <w:top w:val="none" w:sz="0" w:space="0" w:color="auto"/>
        <w:left w:val="none" w:sz="0" w:space="0" w:color="auto"/>
        <w:bottom w:val="none" w:sz="0" w:space="0" w:color="auto"/>
        <w:right w:val="none" w:sz="0" w:space="0" w:color="auto"/>
      </w:divBdr>
      <w:divsChild>
        <w:div w:id="36242316">
          <w:marLeft w:val="480"/>
          <w:marRight w:val="0"/>
          <w:marTop w:val="0"/>
          <w:marBottom w:val="0"/>
          <w:divBdr>
            <w:top w:val="none" w:sz="0" w:space="0" w:color="auto"/>
            <w:left w:val="none" w:sz="0" w:space="0" w:color="auto"/>
            <w:bottom w:val="none" w:sz="0" w:space="0" w:color="auto"/>
            <w:right w:val="none" w:sz="0" w:space="0" w:color="auto"/>
          </w:divBdr>
        </w:div>
        <w:div w:id="435947387">
          <w:marLeft w:val="480"/>
          <w:marRight w:val="0"/>
          <w:marTop w:val="0"/>
          <w:marBottom w:val="0"/>
          <w:divBdr>
            <w:top w:val="none" w:sz="0" w:space="0" w:color="auto"/>
            <w:left w:val="none" w:sz="0" w:space="0" w:color="auto"/>
            <w:bottom w:val="none" w:sz="0" w:space="0" w:color="auto"/>
            <w:right w:val="none" w:sz="0" w:space="0" w:color="auto"/>
          </w:divBdr>
        </w:div>
        <w:div w:id="506292373">
          <w:marLeft w:val="480"/>
          <w:marRight w:val="0"/>
          <w:marTop w:val="0"/>
          <w:marBottom w:val="0"/>
          <w:divBdr>
            <w:top w:val="none" w:sz="0" w:space="0" w:color="auto"/>
            <w:left w:val="none" w:sz="0" w:space="0" w:color="auto"/>
            <w:bottom w:val="none" w:sz="0" w:space="0" w:color="auto"/>
            <w:right w:val="none" w:sz="0" w:space="0" w:color="auto"/>
          </w:divBdr>
        </w:div>
        <w:div w:id="553732994">
          <w:marLeft w:val="480"/>
          <w:marRight w:val="0"/>
          <w:marTop w:val="0"/>
          <w:marBottom w:val="0"/>
          <w:divBdr>
            <w:top w:val="none" w:sz="0" w:space="0" w:color="auto"/>
            <w:left w:val="none" w:sz="0" w:space="0" w:color="auto"/>
            <w:bottom w:val="none" w:sz="0" w:space="0" w:color="auto"/>
            <w:right w:val="none" w:sz="0" w:space="0" w:color="auto"/>
          </w:divBdr>
        </w:div>
        <w:div w:id="1301304703">
          <w:marLeft w:val="480"/>
          <w:marRight w:val="0"/>
          <w:marTop w:val="0"/>
          <w:marBottom w:val="0"/>
          <w:divBdr>
            <w:top w:val="none" w:sz="0" w:space="0" w:color="auto"/>
            <w:left w:val="none" w:sz="0" w:space="0" w:color="auto"/>
            <w:bottom w:val="none" w:sz="0" w:space="0" w:color="auto"/>
            <w:right w:val="none" w:sz="0" w:space="0" w:color="auto"/>
          </w:divBdr>
        </w:div>
        <w:div w:id="677735644">
          <w:marLeft w:val="480"/>
          <w:marRight w:val="0"/>
          <w:marTop w:val="0"/>
          <w:marBottom w:val="0"/>
          <w:divBdr>
            <w:top w:val="none" w:sz="0" w:space="0" w:color="auto"/>
            <w:left w:val="none" w:sz="0" w:space="0" w:color="auto"/>
            <w:bottom w:val="none" w:sz="0" w:space="0" w:color="auto"/>
            <w:right w:val="none" w:sz="0" w:space="0" w:color="auto"/>
          </w:divBdr>
        </w:div>
      </w:divsChild>
    </w:div>
    <w:div w:id="1413431709">
      <w:bodyDiv w:val="1"/>
      <w:marLeft w:val="0"/>
      <w:marRight w:val="0"/>
      <w:marTop w:val="0"/>
      <w:marBottom w:val="0"/>
      <w:divBdr>
        <w:top w:val="none" w:sz="0" w:space="0" w:color="auto"/>
        <w:left w:val="none" w:sz="0" w:space="0" w:color="auto"/>
        <w:bottom w:val="none" w:sz="0" w:space="0" w:color="auto"/>
        <w:right w:val="none" w:sz="0" w:space="0" w:color="auto"/>
      </w:divBdr>
    </w:div>
    <w:div w:id="1423793828">
      <w:bodyDiv w:val="1"/>
      <w:marLeft w:val="0"/>
      <w:marRight w:val="0"/>
      <w:marTop w:val="0"/>
      <w:marBottom w:val="0"/>
      <w:divBdr>
        <w:top w:val="none" w:sz="0" w:space="0" w:color="auto"/>
        <w:left w:val="none" w:sz="0" w:space="0" w:color="auto"/>
        <w:bottom w:val="none" w:sz="0" w:space="0" w:color="auto"/>
        <w:right w:val="none" w:sz="0" w:space="0" w:color="auto"/>
      </w:divBdr>
    </w:div>
    <w:div w:id="1424036886">
      <w:bodyDiv w:val="1"/>
      <w:marLeft w:val="0"/>
      <w:marRight w:val="0"/>
      <w:marTop w:val="0"/>
      <w:marBottom w:val="0"/>
      <w:divBdr>
        <w:top w:val="none" w:sz="0" w:space="0" w:color="auto"/>
        <w:left w:val="none" w:sz="0" w:space="0" w:color="auto"/>
        <w:bottom w:val="none" w:sz="0" w:space="0" w:color="auto"/>
        <w:right w:val="none" w:sz="0" w:space="0" w:color="auto"/>
      </w:divBdr>
    </w:div>
    <w:div w:id="1424112226">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43761338">
      <w:bodyDiv w:val="1"/>
      <w:marLeft w:val="0"/>
      <w:marRight w:val="0"/>
      <w:marTop w:val="0"/>
      <w:marBottom w:val="0"/>
      <w:divBdr>
        <w:top w:val="none" w:sz="0" w:space="0" w:color="auto"/>
        <w:left w:val="none" w:sz="0" w:space="0" w:color="auto"/>
        <w:bottom w:val="none" w:sz="0" w:space="0" w:color="auto"/>
        <w:right w:val="none" w:sz="0" w:space="0" w:color="auto"/>
      </w:divBdr>
    </w:div>
    <w:div w:id="1443914865">
      <w:bodyDiv w:val="1"/>
      <w:marLeft w:val="0"/>
      <w:marRight w:val="0"/>
      <w:marTop w:val="0"/>
      <w:marBottom w:val="0"/>
      <w:divBdr>
        <w:top w:val="none" w:sz="0" w:space="0" w:color="auto"/>
        <w:left w:val="none" w:sz="0" w:space="0" w:color="auto"/>
        <w:bottom w:val="none" w:sz="0" w:space="0" w:color="auto"/>
        <w:right w:val="none" w:sz="0" w:space="0" w:color="auto"/>
      </w:divBdr>
      <w:divsChild>
        <w:div w:id="1210653827">
          <w:marLeft w:val="0"/>
          <w:marRight w:val="0"/>
          <w:marTop w:val="0"/>
          <w:marBottom w:val="0"/>
          <w:divBdr>
            <w:top w:val="none" w:sz="0" w:space="0" w:color="auto"/>
            <w:left w:val="none" w:sz="0" w:space="0" w:color="auto"/>
            <w:bottom w:val="none" w:sz="0" w:space="0" w:color="auto"/>
            <w:right w:val="none" w:sz="0" w:space="0" w:color="auto"/>
          </w:divBdr>
        </w:div>
      </w:divsChild>
    </w:div>
    <w:div w:id="1445030696">
      <w:bodyDiv w:val="1"/>
      <w:marLeft w:val="0"/>
      <w:marRight w:val="0"/>
      <w:marTop w:val="0"/>
      <w:marBottom w:val="0"/>
      <w:divBdr>
        <w:top w:val="none" w:sz="0" w:space="0" w:color="auto"/>
        <w:left w:val="none" w:sz="0" w:space="0" w:color="auto"/>
        <w:bottom w:val="none" w:sz="0" w:space="0" w:color="auto"/>
        <w:right w:val="none" w:sz="0" w:space="0" w:color="auto"/>
      </w:divBdr>
    </w:div>
    <w:div w:id="1475872839">
      <w:bodyDiv w:val="1"/>
      <w:marLeft w:val="0"/>
      <w:marRight w:val="0"/>
      <w:marTop w:val="0"/>
      <w:marBottom w:val="0"/>
      <w:divBdr>
        <w:top w:val="none" w:sz="0" w:space="0" w:color="auto"/>
        <w:left w:val="none" w:sz="0" w:space="0" w:color="auto"/>
        <w:bottom w:val="none" w:sz="0" w:space="0" w:color="auto"/>
        <w:right w:val="none" w:sz="0" w:space="0" w:color="auto"/>
      </w:divBdr>
      <w:divsChild>
        <w:div w:id="1427117523">
          <w:marLeft w:val="0"/>
          <w:marRight w:val="0"/>
          <w:marTop w:val="0"/>
          <w:marBottom w:val="0"/>
          <w:divBdr>
            <w:top w:val="none" w:sz="0" w:space="0" w:color="auto"/>
            <w:left w:val="none" w:sz="0" w:space="0" w:color="auto"/>
            <w:bottom w:val="none" w:sz="0" w:space="0" w:color="auto"/>
            <w:right w:val="none" w:sz="0" w:space="0" w:color="auto"/>
          </w:divBdr>
        </w:div>
      </w:divsChild>
    </w:div>
    <w:div w:id="1480072879">
      <w:bodyDiv w:val="1"/>
      <w:marLeft w:val="0"/>
      <w:marRight w:val="0"/>
      <w:marTop w:val="0"/>
      <w:marBottom w:val="0"/>
      <w:divBdr>
        <w:top w:val="none" w:sz="0" w:space="0" w:color="auto"/>
        <w:left w:val="none" w:sz="0" w:space="0" w:color="auto"/>
        <w:bottom w:val="none" w:sz="0" w:space="0" w:color="auto"/>
        <w:right w:val="none" w:sz="0" w:space="0" w:color="auto"/>
      </w:divBdr>
    </w:div>
    <w:div w:id="1481730991">
      <w:bodyDiv w:val="1"/>
      <w:marLeft w:val="0"/>
      <w:marRight w:val="0"/>
      <w:marTop w:val="0"/>
      <w:marBottom w:val="0"/>
      <w:divBdr>
        <w:top w:val="none" w:sz="0" w:space="0" w:color="auto"/>
        <w:left w:val="none" w:sz="0" w:space="0" w:color="auto"/>
        <w:bottom w:val="none" w:sz="0" w:space="0" w:color="auto"/>
        <w:right w:val="none" w:sz="0" w:space="0" w:color="auto"/>
      </w:divBdr>
    </w:div>
    <w:div w:id="1484157226">
      <w:bodyDiv w:val="1"/>
      <w:marLeft w:val="0"/>
      <w:marRight w:val="0"/>
      <w:marTop w:val="0"/>
      <w:marBottom w:val="0"/>
      <w:divBdr>
        <w:top w:val="none" w:sz="0" w:space="0" w:color="auto"/>
        <w:left w:val="none" w:sz="0" w:space="0" w:color="auto"/>
        <w:bottom w:val="none" w:sz="0" w:space="0" w:color="auto"/>
        <w:right w:val="none" w:sz="0" w:space="0" w:color="auto"/>
      </w:divBdr>
      <w:divsChild>
        <w:div w:id="1376389568">
          <w:marLeft w:val="480"/>
          <w:marRight w:val="0"/>
          <w:marTop w:val="0"/>
          <w:marBottom w:val="0"/>
          <w:divBdr>
            <w:top w:val="none" w:sz="0" w:space="0" w:color="auto"/>
            <w:left w:val="none" w:sz="0" w:space="0" w:color="auto"/>
            <w:bottom w:val="none" w:sz="0" w:space="0" w:color="auto"/>
            <w:right w:val="none" w:sz="0" w:space="0" w:color="auto"/>
          </w:divBdr>
        </w:div>
        <w:div w:id="1318458765">
          <w:marLeft w:val="480"/>
          <w:marRight w:val="0"/>
          <w:marTop w:val="0"/>
          <w:marBottom w:val="0"/>
          <w:divBdr>
            <w:top w:val="none" w:sz="0" w:space="0" w:color="auto"/>
            <w:left w:val="none" w:sz="0" w:space="0" w:color="auto"/>
            <w:bottom w:val="none" w:sz="0" w:space="0" w:color="auto"/>
            <w:right w:val="none" w:sz="0" w:space="0" w:color="auto"/>
          </w:divBdr>
        </w:div>
        <w:div w:id="1961302075">
          <w:marLeft w:val="480"/>
          <w:marRight w:val="0"/>
          <w:marTop w:val="0"/>
          <w:marBottom w:val="0"/>
          <w:divBdr>
            <w:top w:val="none" w:sz="0" w:space="0" w:color="auto"/>
            <w:left w:val="none" w:sz="0" w:space="0" w:color="auto"/>
            <w:bottom w:val="none" w:sz="0" w:space="0" w:color="auto"/>
            <w:right w:val="none" w:sz="0" w:space="0" w:color="auto"/>
          </w:divBdr>
        </w:div>
        <w:div w:id="1693460181">
          <w:marLeft w:val="480"/>
          <w:marRight w:val="0"/>
          <w:marTop w:val="0"/>
          <w:marBottom w:val="0"/>
          <w:divBdr>
            <w:top w:val="none" w:sz="0" w:space="0" w:color="auto"/>
            <w:left w:val="none" w:sz="0" w:space="0" w:color="auto"/>
            <w:bottom w:val="none" w:sz="0" w:space="0" w:color="auto"/>
            <w:right w:val="none" w:sz="0" w:space="0" w:color="auto"/>
          </w:divBdr>
        </w:div>
        <w:div w:id="854881166">
          <w:marLeft w:val="480"/>
          <w:marRight w:val="0"/>
          <w:marTop w:val="0"/>
          <w:marBottom w:val="0"/>
          <w:divBdr>
            <w:top w:val="none" w:sz="0" w:space="0" w:color="auto"/>
            <w:left w:val="none" w:sz="0" w:space="0" w:color="auto"/>
            <w:bottom w:val="none" w:sz="0" w:space="0" w:color="auto"/>
            <w:right w:val="none" w:sz="0" w:space="0" w:color="auto"/>
          </w:divBdr>
        </w:div>
        <w:div w:id="2086339644">
          <w:marLeft w:val="480"/>
          <w:marRight w:val="0"/>
          <w:marTop w:val="0"/>
          <w:marBottom w:val="0"/>
          <w:divBdr>
            <w:top w:val="none" w:sz="0" w:space="0" w:color="auto"/>
            <w:left w:val="none" w:sz="0" w:space="0" w:color="auto"/>
            <w:bottom w:val="none" w:sz="0" w:space="0" w:color="auto"/>
            <w:right w:val="none" w:sz="0" w:space="0" w:color="auto"/>
          </w:divBdr>
        </w:div>
        <w:div w:id="1071343336">
          <w:marLeft w:val="480"/>
          <w:marRight w:val="0"/>
          <w:marTop w:val="0"/>
          <w:marBottom w:val="0"/>
          <w:divBdr>
            <w:top w:val="none" w:sz="0" w:space="0" w:color="auto"/>
            <w:left w:val="none" w:sz="0" w:space="0" w:color="auto"/>
            <w:bottom w:val="none" w:sz="0" w:space="0" w:color="auto"/>
            <w:right w:val="none" w:sz="0" w:space="0" w:color="auto"/>
          </w:divBdr>
        </w:div>
        <w:div w:id="537545204">
          <w:marLeft w:val="480"/>
          <w:marRight w:val="0"/>
          <w:marTop w:val="0"/>
          <w:marBottom w:val="0"/>
          <w:divBdr>
            <w:top w:val="none" w:sz="0" w:space="0" w:color="auto"/>
            <w:left w:val="none" w:sz="0" w:space="0" w:color="auto"/>
            <w:bottom w:val="none" w:sz="0" w:space="0" w:color="auto"/>
            <w:right w:val="none" w:sz="0" w:space="0" w:color="auto"/>
          </w:divBdr>
        </w:div>
        <w:div w:id="821238803">
          <w:marLeft w:val="480"/>
          <w:marRight w:val="0"/>
          <w:marTop w:val="0"/>
          <w:marBottom w:val="0"/>
          <w:divBdr>
            <w:top w:val="none" w:sz="0" w:space="0" w:color="auto"/>
            <w:left w:val="none" w:sz="0" w:space="0" w:color="auto"/>
            <w:bottom w:val="none" w:sz="0" w:space="0" w:color="auto"/>
            <w:right w:val="none" w:sz="0" w:space="0" w:color="auto"/>
          </w:divBdr>
        </w:div>
        <w:div w:id="979386760">
          <w:marLeft w:val="480"/>
          <w:marRight w:val="0"/>
          <w:marTop w:val="0"/>
          <w:marBottom w:val="0"/>
          <w:divBdr>
            <w:top w:val="none" w:sz="0" w:space="0" w:color="auto"/>
            <w:left w:val="none" w:sz="0" w:space="0" w:color="auto"/>
            <w:bottom w:val="none" w:sz="0" w:space="0" w:color="auto"/>
            <w:right w:val="none" w:sz="0" w:space="0" w:color="auto"/>
          </w:divBdr>
        </w:div>
        <w:div w:id="1701710552">
          <w:marLeft w:val="480"/>
          <w:marRight w:val="0"/>
          <w:marTop w:val="0"/>
          <w:marBottom w:val="0"/>
          <w:divBdr>
            <w:top w:val="none" w:sz="0" w:space="0" w:color="auto"/>
            <w:left w:val="none" w:sz="0" w:space="0" w:color="auto"/>
            <w:bottom w:val="none" w:sz="0" w:space="0" w:color="auto"/>
            <w:right w:val="none" w:sz="0" w:space="0" w:color="auto"/>
          </w:divBdr>
        </w:div>
      </w:divsChild>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05975761">
      <w:bodyDiv w:val="1"/>
      <w:marLeft w:val="0"/>
      <w:marRight w:val="0"/>
      <w:marTop w:val="0"/>
      <w:marBottom w:val="0"/>
      <w:divBdr>
        <w:top w:val="none" w:sz="0" w:space="0" w:color="auto"/>
        <w:left w:val="none" w:sz="0" w:space="0" w:color="auto"/>
        <w:bottom w:val="none" w:sz="0" w:space="0" w:color="auto"/>
        <w:right w:val="none" w:sz="0" w:space="0" w:color="auto"/>
      </w:divBdr>
      <w:divsChild>
        <w:div w:id="2082825282">
          <w:marLeft w:val="0"/>
          <w:marRight w:val="0"/>
          <w:marTop w:val="0"/>
          <w:marBottom w:val="0"/>
          <w:divBdr>
            <w:top w:val="none" w:sz="0" w:space="0" w:color="auto"/>
            <w:left w:val="none" w:sz="0" w:space="0" w:color="auto"/>
            <w:bottom w:val="none" w:sz="0" w:space="0" w:color="auto"/>
            <w:right w:val="none" w:sz="0" w:space="0" w:color="auto"/>
          </w:divBdr>
        </w:div>
      </w:divsChild>
    </w:div>
    <w:div w:id="1508906502">
      <w:bodyDiv w:val="1"/>
      <w:marLeft w:val="0"/>
      <w:marRight w:val="0"/>
      <w:marTop w:val="0"/>
      <w:marBottom w:val="0"/>
      <w:divBdr>
        <w:top w:val="none" w:sz="0" w:space="0" w:color="auto"/>
        <w:left w:val="none" w:sz="0" w:space="0" w:color="auto"/>
        <w:bottom w:val="none" w:sz="0" w:space="0" w:color="auto"/>
        <w:right w:val="none" w:sz="0" w:space="0" w:color="auto"/>
      </w:divBdr>
    </w:div>
    <w:div w:id="1515223636">
      <w:bodyDiv w:val="1"/>
      <w:marLeft w:val="0"/>
      <w:marRight w:val="0"/>
      <w:marTop w:val="0"/>
      <w:marBottom w:val="0"/>
      <w:divBdr>
        <w:top w:val="none" w:sz="0" w:space="0" w:color="auto"/>
        <w:left w:val="none" w:sz="0" w:space="0" w:color="auto"/>
        <w:bottom w:val="none" w:sz="0" w:space="0" w:color="auto"/>
        <w:right w:val="none" w:sz="0" w:space="0" w:color="auto"/>
      </w:divBdr>
    </w:div>
    <w:div w:id="1524245907">
      <w:bodyDiv w:val="1"/>
      <w:marLeft w:val="0"/>
      <w:marRight w:val="0"/>
      <w:marTop w:val="0"/>
      <w:marBottom w:val="0"/>
      <w:divBdr>
        <w:top w:val="none" w:sz="0" w:space="0" w:color="auto"/>
        <w:left w:val="none" w:sz="0" w:space="0" w:color="auto"/>
        <w:bottom w:val="none" w:sz="0" w:space="0" w:color="auto"/>
        <w:right w:val="none" w:sz="0" w:space="0" w:color="auto"/>
      </w:divBdr>
      <w:divsChild>
        <w:div w:id="360477666">
          <w:marLeft w:val="480"/>
          <w:marRight w:val="0"/>
          <w:marTop w:val="0"/>
          <w:marBottom w:val="0"/>
          <w:divBdr>
            <w:top w:val="none" w:sz="0" w:space="0" w:color="auto"/>
            <w:left w:val="none" w:sz="0" w:space="0" w:color="auto"/>
            <w:bottom w:val="none" w:sz="0" w:space="0" w:color="auto"/>
            <w:right w:val="none" w:sz="0" w:space="0" w:color="auto"/>
          </w:divBdr>
        </w:div>
        <w:div w:id="975721515">
          <w:marLeft w:val="480"/>
          <w:marRight w:val="0"/>
          <w:marTop w:val="0"/>
          <w:marBottom w:val="0"/>
          <w:divBdr>
            <w:top w:val="none" w:sz="0" w:space="0" w:color="auto"/>
            <w:left w:val="none" w:sz="0" w:space="0" w:color="auto"/>
            <w:bottom w:val="none" w:sz="0" w:space="0" w:color="auto"/>
            <w:right w:val="none" w:sz="0" w:space="0" w:color="auto"/>
          </w:divBdr>
        </w:div>
        <w:div w:id="1827623104">
          <w:marLeft w:val="480"/>
          <w:marRight w:val="0"/>
          <w:marTop w:val="0"/>
          <w:marBottom w:val="0"/>
          <w:divBdr>
            <w:top w:val="none" w:sz="0" w:space="0" w:color="auto"/>
            <w:left w:val="none" w:sz="0" w:space="0" w:color="auto"/>
            <w:bottom w:val="none" w:sz="0" w:space="0" w:color="auto"/>
            <w:right w:val="none" w:sz="0" w:space="0" w:color="auto"/>
          </w:divBdr>
        </w:div>
        <w:div w:id="192109966">
          <w:marLeft w:val="480"/>
          <w:marRight w:val="0"/>
          <w:marTop w:val="0"/>
          <w:marBottom w:val="0"/>
          <w:divBdr>
            <w:top w:val="none" w:sz="0" w:space="0" w:color="auto"/>
            <w:left w:val="none" w:sz="0" w:space="0" w:color="auto"/>
            <w:bottom w:val="none" w:sz="0" w:space="0" w:color="auto"/>
            <w:right w:val="none" w:sz="0" w:space="0" w:color="auto"/>
          </w:divBdr>
        </w:div>
        <w:div w:id="1446342484">
          <w:marLeft w:val="480"/>
          <w:marRight w:val="0"/>
          <w:marTop w:val="0"/>
          <w:marBottom w:val="0"/>
          <w:divBdr>
            <w:top w:val="none" w:sz="0" w:space="0" w:color="auto"/>
            <w:left w:val="none" w:sz="0" w:space="0" w:color="auto"/>
            <w:bottom w:val="none" w:sz="0" w:space="0" w:color="auto"/>
            <w:right w:val="none" w:sz="0" w:space="0" w:color="auto"/>
          </w:divBdr>
        </w:div>
        <w:div w:id="1376126361">
          <w:marLeft w:val="480"/>
          <w:marRight w:val="0"/>
          <w:marTop w:val="0"/>
          <w:marBottom w:val="0"/>
          <w:divBdr>
            <w:top w:val="none" w:sz="0" w:space="0" w:color="auto"/>
            <w:left w:val="none" w:sz="0" w:space="0" w:color="auto"/>
            <w:bottom w:val="none" w:sz="0" w:space="0" w:color="auto"/>
            <w:right w:val="none" w:sz="0" w:space="0" w:color="auto"/>
          </w:divBdr>
        </w:div>
        <w:div w:id="760612028">
          <w:marLeft w:val="480"/>
          <w:marRight w:val="0"/>
          <w:marTop w:val="0"/>
          <w:marBottom w:val="0"/>
          <w:divBdr>
            <w:top w:val="none" w:sz="0" w:space="0" w:color="auto"/>
            <w:left w:val="none" w:sz="0" w:space="0" w:color="auto"/>
            <w:bottom w:val="none" w:sz="0" w:space="0" w:color="auto"/>
            <w:right w:val="none" w:sz="0" w:space="0" w:color="auto"/>
          </w:divBdr>
        </w:div>
        <w:div w:id="1214538684">
          <w:marLeft w:val="480"/>
          <w:marRight w:val="0"/>
          <w:marTop w:val="0"/>
          <w:marBottom w:val="0"/>
          <w:divBdr>
            <w:top w:val="none" w:sz="0" w:space="0" w:color="auto"/>
            <w:left w:val="none" w:sz="0" w:space="0" w:color="auto"/>
            <w:bottom w:val="none" w:sz="0" w:space="0" w:color="auto"/>
            <w:right w:val="none" w:sz="0" w:space="0" w:color="auto"/>
          </w:divBdr>
        </w:div>
        <w:div w:id="46683165">
          <w:marLeft w:val="480"/>
          <w:marRight w:val="0"/>
          <w:marTop w:val="0"/>
          <w:marBottom w:val="0"/>
          <w:divBdr>
            <w:top w:val="none" w:sz="0" w:space="0" w:color="auto"/>
            <w:left w:val="none" w:sz="0" w:space="0" w:color="auto"/>
            <w:bottom w:val="none" w:sz="0" w:space="0" w:color="auto"/>
            <w:right w:val="none" w:sz="0" w:space="0" w:color="auto"/>
          </w:divBdr>
        </w:div>
        <w:div w:id="1348559438">
          <w:marLeft w:val="480"/>
          <w:marRight w:val="0"/>
          <w:marTop w:val="0"/>
          <w:marBottom w:val="0"/>
          <w:divBdr>
            <w:top w:val="none" w:sz="0" w:space="0" w:color="auto"/>
            <w:left w:val="none" w:sz="0" w:space="0" w:color="auto"/>
            <w:bottom w:val="none" w:sz="0" w:space="0" w:color="auto"/>
            <w:right w:val="none" w:sz="0" w:space="0" w:color="auto"/>
          </w:divBdr>
        </w:div>
        <w:div w:id="1624264742">
          <w:marLeft w:val="480"/>
          <w:marRight w:val="0"/>
          <w:marTop w:val="0"/>
          <w:marBottom w:val="0"/>
          <w:divBdr>
            <w:top w:val="none" w:sz="0" w:space="0" w:color="auto"/>
            <w:left w:val="none" w:sz="0" w:space="0" w:color="auto"/>
            <w:bottom w:val="none" w:sz="0" w:space="0" w:color="auto"/>
            <w:right w:val="none" w:sz="0" w:space="0" w:color="auto"/>
          </w:divBdr>
        </w:div>
        <w:div w:id="732702726">
          <w:marLeft w:val="480"/>
          <w:marRight w:val="0"/>
          <w:marTop w:val="0"/>
          <w:marBottom w:val="0"/>
          <w:divBdr>
            <w:top w:val="none" w:sz="0" w:space="0" w:color="auto"/>
            <w:left w:val="none" w:sz="0" w:space="0" w:color="auto"/>
            <w:bottom w:val="none" w:sz="0" w:space="0" w:color="auto"/>
            <w:right w:val="none" w:sz="0" w:space="0" w:color="auto"/>
          </w:divBdr>
        </w:div>
      </w:divsChild>
    </w:div>
    <w:div w:id="1555775177">
      <w:bodyDiv w:val="1"/>
      <w:marLeft w:val="0"/>
      <w:marRight w:val="0"/>
      <w:marTop w:val="0"/>
      <w:marBottom w:val="0"/>
      <w:divBdr>
        <w:top w:val="none" w:sz="0" w:space="0" w:color="auto"/>
        <w:left w:val="none" w:sz="0" w:space="0" w:color="auto"/>
        <w:bottom w:val="none" w:sz="0" w:space="0" w:color="auto"/>
        <w:right w:val="none" w:sz="0" w:space="0" w:color="auto"/>
      </w:divBdr>
      <w:divsChild>
        <w:div w:id="1012991839">
          <w:marLeft w:val="480"/>
          <w:marRight w:val="0"/>
          <w:marTop w:val="0"/>
          <w:marBottom w:val="0"/>
          <w:divBdr>
            <w:top w:val="none" w:sz="0" w:space="0" w:color="auto"/>
            <w:left w:val="none" w:sz="0" w:space="0" w:color="auto"/>
            <w:bottom w:val="none" w:sz="0" w:space="0" w:color="auto"/>
            <w:right w:val="none" w:sz="0" w:space="0" w:color="auto"/>
          </w:divBdr>
        </w:div>
        <w:div w:id="1819107059">
          <w:marLeft w:val="480"/>
          <w:marRight w:val="0"/>
          <w:marTop w:val="0"/>
          <w:marBottom w:val="0"/>
          <w:divBdr>
            <w:top w:val="none" w:sz="0" w:space="0" w:color="auto"/>
            <w:left w:val="none" w:sz="0" w:space="0" w:color="auto"/>
            <w:bottom w:val="none" w:sz="0" w:space="0" w:color="auto"/>
            <w:right w:val="none" w:sz="0" w:space="0" w:color="auto"/>
          </w:divBdr>
        </w:div>
        <w:div w:id="1844080543">
          <w:marLeft w:val="480"/>
          <w:marRight w:val="0"/>
          <w:marTop w:val="0"/>
          <w:marBottom w:val="0"/>
          <w:divBdr>
            <w:top w:val="none" w:sz="0" w:space="0" w:color="auto"/>
            <w:left w:val="none" w:sz="0" w:space="0" w:color="auto"/>
            <w:bottom w:val="none" w:sz="0" w:space="0" w:color="auto"/>
            <w:right w:val="none" w:sz="0" w:space="0" w:color="auto"/>
          </w:divBdr>
        </w:div>
        <w:div w:id="1566140550">
          <w:marLeft w:val="480"/>
          <w:marRight w:val="0"/>
          <w:marTop w:val="0"/>
          <w:marBottom w:val="0"/>
          <w:divBdr>
            <w:top w:val="none" w:sz="0" w:space="0" w:color="auto"/>
            <w:left w:val="none" w:sz="0" w:space="0" w:color="auto"/>
            <w:bottom w:val="none" w:sz="0" w:space="0" w:color="auto"/>
            <w:right w:val="none" w:sz="0" w:space="0" w:color="auto"/>
          </w:divBdr>
        </w:div>
        <w:div w:id="490103537">
          <w:marLeft w:val="480"/>
          <w:marRight w:val="0"/>
          <w:marTop w:val="0"/>
          <w:marBottom w:val="0"/>
          <w:divBdr>
            <w:top w:val="none" w:sz="0" w:space="0" w:color="auto"/>
            <w:left w:val="none" w:sz="0" w:space="0" w:color="auto"/>
            <w:bottom w:val="none" w:sz="0" w:space="0" w:color="auto"/>
            <w:right w:val="none" w:sz="0" w:space="0" w:color="auto"/>
          </w:divBdr>
        </w:div>
        <w:div w:id="1983342604">
          <w:marLeft w:val="480"/>
          <w:marRight w:val="0"/>
          <w:marTop w:val="0"/>
          <w:marBottom w:val="0"/>
          <w:divBdr>
            <w:top w:val="none" w:sz="0" w:space="0" w:color="auto"/>
            <w:left w:val="none" w:sz="0" w:space="0" w:color="auto"/>
            <w:bottom w:val="none" w:sz="0" w:space="0" w:color="auto"/>
            <w:right w:val="none" w:sz="0" w:space="0" w:color="auto"/>
          </w:divBdr>
        </w:div>
        <w:div w:id="1851598411">
          <w:marLeft w:val="480"/>
          <w:marRight w:val="0"/>
          <w:marTop w:val="0"/>
          <w:marBottom w:val="0"/>
          <w:divBdr>
            <w:top w:val="none" w:sz="0" w:space="0" w:color="auto"/>
            <w:left w:val="none" w:sz="0" w:space="0" w:color="auto"/>
            <w:bottom w:val="none" w:sz="0" w:space="0" w:color="auto"/>
            <w:right w:val="none" w:sz="0" w:space="0" w:color="auto"/>
          </w:divBdr>
        </w:div>
        <w:div w:id="67268805">
          <w:marLeft w:val="480"/>
          <w:marRight w:val="0"/>
          <w:marTop w:val="0"/>
          <w:marBottom w:val="0"/>
          <w:divBdr>
            <w:top w:val="none" w:sz="0" w:space="0" w:color="auto"/>
            <w:left w:val="none" w:sz="0" w:space="0" w:color="auto"/>
            <w:bottom w:val="none" w:sz="0" w:space="0" w:color="auto"/>
            <w:right w:val="none" w:sz="0" w:space="0" w:color="auto"/>
          </w:divBdr>
        </w:div>
        <w:div w:id="1930843450">
          <w:marLeft w:val="480"/>
          <w:marRight w:val="0"/>
          <w:marTop w:val="0"/>
          <w:marBottom w:val="0"/>
          <w:divBdr>
            <w:top w:val="none" w:sz="0" w:space="0" w:color="auto"/>
            <w:left w:val="none" w:sz="0" w:space="0" w:color="auto"/>
            <w:bottom w:val="none" w:sz="0" w:space="0" w:color="auto"/>
            <w:right w:val="none" w:sz="0" w:space="0" w:color="auto"/>
          </w:divBdr>
        </w:div>
        <w:div w:id="1520315160">
          <w:marLeft w:val="480"/>
          <w:marRight w:val="0"/>
          <w:marTop w:val="0"/>
          <w:marBottom w:val="0"/>
          <w:divBdr>
            <w:top w:val="none" w:sz="0" w:space="0" w:color="auto"/>
            <w:left w:val="none" w:sz="0" w:space="0" w:color="auto"/>
            <w:bottom w:val="none" w:sz="0" w:space="0" w:color="auto"/>
            <w:right w:val="none" w:sz="0" w:space="0" w:color="auto"/>
          </w:divBdr>
        </w:div>
        <w:div w:id="802965293">
          <w:marLeft w:val="480"/>
          <w:marRight w:val="0"/>
          <w:marTop w:val="0"/>
          <w:marBottom w:val="0"/>
          <w:divBdr>
            <w:top w:val="none" w:sz="0" w:space="0" w:color="auto"/>
            <w:left w:val="none" w:sz="0" w:space="0" w:color="auto"/>
            <w:bottom w:val="none" w:sz="0" w:space="0" w:color="auto"/>
            <w:right w:val="none" w:sz="0" w:space="0" w:color="auto"/>
          </w:divBdr>
        </w:div>
      </w:divsChild>
    </w:div>
    <w:div w:id="1570268913">
      <w:bodyDiv w:val="1"/>
      <w:marLeft w:val="0"/>
      <w:marRight w:val="0"/>
      <w:marTop w:val="0"/>
      <w:marBottom w:val="0"/>
      <w:divBdr>
        <w:top w:val="none" w:sz="0" w:space="0" w:color="auto"/>
        <w:left w:val="none" w:sz="0" w:space="0" w:color="auto"/>
        <w:bottom w:val="none" w:sz="0" w:space="0" w:color="auto"/>
        <w:right w:val="none" w:sz="0" w:space="0" w:color="auto"/>
      </w:divBdr>
      <w:divsChild>
        <w:div w:id="649554670">
          <w:marLeft w:val="480"/>
          <w:marRight w:val="0"/>
          <w:marTop w:val="0"/>
          <w:marBottom w:val="0"/>
          <w:divBdr>
            <w:top w:val="none" w:sz="0" w:space="0" w:color="auto"/>
            <w:left w:val="none" w:sz="0" w:space="0" w:color="auto"/>
            <w:bottom w:val="none" w:sz="0" w:space="0" w:color="auto"/>
            <w:right w:val="none" w:sz="0" w:space="0" w:color="auto"/>
          </w:divBdr>
        </w:div>
        <w:div w:id="1759058965">
          <w:marLeft w:val="480"/>
          <w:marRight w:val="0"/>
          <w:marTop w:val="0"/>
          <w:marBottom w:val="0"/>
          <w:divBdr>
            <w:top w:val="none" w:sz="0" w:space="0" w:color="auto"/>
            <w:left w:val="none" w:sz="0" w:space="0" w:color="auto"/>
            <w:bottom w:val="none" w:sz="0" w:space="0" w:color="auto"/>
            <w:right w:val="none" w:sz="0" w:space="0" w:color="auto"/>
          </w:divBdr>
        </w:div>
        <w:div w:id="2007511056">
          <w:marLeft w:val="480"/>
          <w:marRight w:val="0"/>
          <w:marTop w:val="0"/>
          <w:marBottom w:val="0"/>
          <w:divBdr>
            <w:top w:val="none" w:sz="0" w:space="0" w:color="auto"/>
            <w:left w:val="none" w:sz="0" w:space="0" w:color="auto"/>
            <w:bottom w:val="none" w:sz="0" w:space="0" w:color="auto"/>
            <w:right w:val="none" w:sz="0" w:space="0" w:color="auto"/>
          </w:divBdr>
        </w:div>
        <w:div w:id="164173568">
          <w:marLeft w:val="480"/>
          <w:marRight w:val="0"/>
          <w:marTop w:val="0"/>
          <w:marBottom w:val="0"/>
          <w:divBdr>
            <w:top w:val="none" w:sz="0" w:space="0" w:color="auto"/>
            <w:left w:val="none" w:sz="0" w:space="0" w:color="auto"/>
            <w:bottom w:val="none" w:sz="0" w:space="0" w:color="auto"/>
            <w:right w:val="none" w:sz="0" w:space="0" w:color="auto"/>
          </w:divBdr>
        </w:div>
        <w:div w:id="911617720">
          <w:marLeft w:val="480"/>
          <w:marRight w:val="0"/>
          <w:marTop w:val="0"/>
          <w:marBottom w:val="0"/>
          <w:divBdr>
            <w:top w:val="none" w:sz="0" w:space="0" w:color="auto"/>
            <w:left w:val="none" w:sz="0" w:space="0" w:color="auto"/>
            <w:bottom w:val="none" w:sz="0" w:space="0" w:color="auto"/>
            <w:right w:val="none" w:sz="0" w:space="0" w:color="auto"/>
          </w:divBdr>
        </w:div>
        <w:div w:id="2064330043">
          <w:marLeft w:val="480"/>
          <w:marRight w:val="0"/>
          <w:marTop w:val="0"/>
          <w:marBottom w:val="0"/>
          <w:divBdr>
            <w:top w:val="none" w:sz="0" w:space="0" w:color="auto"/>
            <w:left w:val="none" w:sz="0" w:space="0" w:color="auto"/>
            <w:bottom w:val="none" w:sz="0" w:space="0" w:color="auto"/>
            <w:right w:val="none" w:sz="0" w:space="0" w:color="auto"/>
          </w:divBdr>
        </w:div>
        <w:div w:id="1057703877">
          <w:marLeft w:val="480"/>
          <w:marRight w:val="0"/>
          <w:marTop w:val="0"/>
          <w:marBottom w:val="0"/>
          <w:divBdr>
            <w:top w:val="none" w:sz="0" w:space="0" w:color="auto"/>
            <w:left w:val="none" w:sz="0" w:space="0" w:color="auto"/>
            <w:bottom w:val="none" w:sz="0" w:space="0" w:color="auto"/>
            <w:right w:val="none" w:sz="0" w:space="0" w:color="auto"/>
          </w:divBdr>
        </w:div>
        <w:div w:id="501622743">
          <w:marLeft w:val="480"/>
          <w:marRight w:val="0"/>
          <w:marTop w:val="0"/>
          <w:marBottom w:val="0"/>
          <w:divBdr>
            <w:top w:val="none" w:sz="0" w:space="0" w:color="auto"/>
            <w:left w:val="none" w:sz="0" w:space="0" w:color="auto"/>
            <w:bottom w:val="none" w:sz="0" w:space="0" w:color="auto"/>
            <w:right w:val="none" w:sz="0" w:space="0" w:color="auto"/>
          </w:divBdr>
        </w:div>
        <w:div w:id="1075934336">
          <w:marLeft w:val="480"/>
          <w:marRight w:val="0"/>
          <w:marTop w:val="0"/>
          <w:marBottom w:val="0"/>
          <w:divBdr>
            <w:top w:val="none" w:sz="0" w:space="0" w:color="auto"/>
            <w:left w:val="none" w:sz="0" w:space="0" w:color="auto"/>
            <w:bottom w:val="none" w:sz="0" w:space="0" w:color="auto"/>
            <w:right w:val="none" w:sz="0" w:space="0" w:color="auto"/>
          </w:divBdr>
        </w:div>
        <w:div w:id="1856069476">
          <w:marLeft w:val="480"/>
          <w:marRight w:val="0"/>
          <w:marTop w:val="0"/>
          <w:marBottom w:val="0"/>
          <w:divBdr>
            <w:top w:val="none" w:sz="0" w:space="0" w:color="auto"/>
            <w:left w:val="none" w:sz="0" w:space="0" w:color="auto"/>
            <w:bottom w:val="none" w:sz="0" w:space="0" w:color="auto"/>
            <w:right w:val="none" w:sz="0" w:space="0" w:color="auto"/>
          </w:divBdr>
        </w:div>
        <w:div w:id="772823310">
          <w:marLeft w:val="480"/>
          <w:marRight w:val="0"/>
          <w:marTop w:val="0"/>
          <w:marBottom w:val="0"/>
          <w:divBdr>
            <w:top w:val="none" w:sz="0" w:space="0" w:color="auto"/>
            <w:left w:val="none" w:sz="0" w:space="0" w:color="auto"/>
            <w:bottom w:val="none" w:sz="0" w:space="0" w:color="auto"/>
            <w:right w:val="none" w:sz="0" w:space="0" w:color="auto"/>
          </w:divBdr>
        </w:div>
        <w:div w:id="680083701">
          <w:marLeft w:val="480"/>
          <w:marRight w:val="0"/>
          <w:marTop w:val="0"/>
          <w:marBottom w:val="0"/>
          <w:divBdr>
            <w:top w:val="none" w:sz="0" w:space="0" w:color="auto"/>
            <w:left w:val="none" w:sz="0" w:space="0" w:color="auto"/>
            <w:bottom w:val="none" w:sz="0" w:space="0" w:color="auto"/>
            <w:right w:val="none" w:sz="0" w:space="0" w:color="auto"/>
          </w:divBdr>
        </w:div>
        <w:div w:id="1133715632">
          <w:marLeft w:val="480"/>
          <w:marRight w:val="0"/>
          <w:marTop w:val="0"/>
          <w:marBottom w:val="0"/>
          <w:divBdr>
            <w:top w:val="none" w:sz="0" w:space="0" w:color="auto"/>
            <w:left w:val="none" w:sz="0" w:space="0" w:color="auto"/>
            <w:bottom w:val="none" w:sz="0" w:space="0" w:color="auto"/>
            <w:right w:val="none" w:sz="0" w:space="0" w:color="auto"/>
          </w:divBdr>
        </w:div>
        <w:div w:id="484200419">
          <w:marLeft w:val="480"/>
          <w:marRight w:val="0"/>
          <w:marTop w:val="0"/>
          <w:marBottom w:val="0"/>
          <w:divBdr>
            <w:top w:val="none" w:sz="0" w:space="0" w:color="auto"/>
            <w:left w:val="none" w:sz="0" w:space="0" w:color="auto"/>
            <w:bottom w:val="none" w:sz="0" w:space="0" w:color="auto"/>
            <w:right w:val="none" w:sz="0" w:space="0" w:color="auto"/>
          </w:divBdr>
        </w:div>
        <w:div w:id="2141338651">
          <w:marLeft w:val="480"/>
          <w:marRight w:val="0"/>
          <w:marTop w:val="0"/>
          <w:marBottom w:val="0"/>
          <w:divBdr>
            <w:top w:val="none" w:sz="0" w:space="0" w:color="auto"/>
            <w:left w:val="none" w:sz="0" w:space="0" w:color="auto"/>
            <w:bottom w:val="none" w:sz="0" w:space="0" w:color="auto"/>
            <w:right w:val="none" w:sz="0" w:space="0" w:color="auto"/>
          </w:divBdr>
        </w:div>
      </w:divsChild>
    </w:div>
    <w:div w:id="1577982507">
      <w:bodyDiv w:val="1"/>
      <w:marLeft w:val="0"/>
      <w:marRight w:val="0"/>
      <w:marTop w:val="0"/>
      <w:marBottom w:val="0"/>
      <w:divBdr>
        <w:top w:val="none" w:sz="0" w:space="0" w:color="auto"/>
        <w:left w:val="none" w:sz="0" w:space="0" w:color="auto"/>
        <w:bottom w:val="none" w:sz="0" w:space="0" w:color="auto"/>
        <w:right w:val="none" w:sz="0" w:space="0" w:color="auto"/>
      </w:divBdr>
      <w:divsChild>
        <w:div w:id="354186874">
          <w:marLeft w:val="0"/>
          <w:marRight w:val="0"/>
          <w:marTop w:val="0"/>
          <w:marBottom w:val="0"/>
          <w:divBdr>
            <w:top w:val="none" w:sz="0" w:space="0" w:color="auto"/>
            <w:left w:val="none" w:sz="0" w:space="0" w:color="auto"/>
            <w:bottom w:val="none" w:sz="0" w:space="0" w:color="auto"/>
            <w:right w:val="none" w:sz="0" w:space="0" w:color="auto"/>
          </w:divBdr>
        </w:div>
      </w:divsChild>
    </w:div>
    <w:div w:id="1585872685">
      <w:bodyDiv w:val="1"/>
      <w:marLeft w:val="0"/>
      <w:marRight w:val="0"/>
      <w:marTop w:val="0"/>
      <w:marBottom w:val="0"/>
      <w:divBdr>
        <w:top w:val="none" w:sz="0" w:space="0" w:color="auto"/>
        <w:left w:val="none" w:sz="0" w:space="0" w:color="auto"/>
        <w:bottom w:val="none" w:sz="0" w:space="0" w:color="auto"/>
        <w:right w:val="none" w:sz="0" w:space="0" w:color="auto"/>
      </w:divBdr>
      <w:divsChild>
        <w:div w:id="1897811827">
          <w:marLeft w:val="480"/>
          <w:marRight w:val="0"/>
          <w:marTop w:val="0"/>
          <w:marBottom w:val="0"/>
          <w:divBdr>
            <w:top w:val="none" w:sz="0" w:space="0" w:color="auto"/>
            <w:left w:val="none" w:sz="0" w:space="0" w:color="auto"/>
            <w:bottom w:val="none" w:sz="0" w:space="0" w:color="auto"/>
            <w:right w:val="none" w:sz="0" w:space="0" w:color="auto"/>
          </w:divBdr>
        </w:div>
        <w:div w:id="1583444320">
          <w:marLeft w:val="480"/>
          <w:marRight w:val="0"/>
          <w:marTop w:val="0"/>
          <w:marBottom w:val="0"/>
          <w:divBdr>
            <w:top w:val="none" w:sz="0" w:space="0" w:color="auto"/>
            <w:left w:val="none" w:sz="0" w:space="0" w:color="auto"/>
            <w:bottom w:val="none" w:sz="0" w:space="0" w:color="auto"/>
            <w:right w:val="none" w:sz="0" w:space="0" w:color="auto"/>
          </w:divBdr>
        </w:div>
        <w:div w:id="259417771">
          <w:marLeft w:val="480"/>
          <w:marRight w:val="0"/>
          <w:marTop w:val="0"/>
          <w:marBottom w:val="0"/>
          <w:divBdr>
            <w:top w:val="none" w:sz="0" w:space="0" w:color="auto"/>
            <w:left w:val="none" w:sz="0" w:space="0" w:color="auto"/>
            <w:bottom w:val="none" w:sz="0" w:space="0" w:color="auto"/>
            <w:right w:val="none" w:sz="0" w:space="0" w:color="auto"/>
          </w:divBdr>
        </w:div>
        <w:div w:id="1461263975">
          <w:marLeft w:val="480"/>
          <w:marRight w:val="0"/>
          <w:marTop w:val="0"/>
          <w:marBottom w:val="0"/>
          <w:divBdr>
            <w:top w:val="none" w:sz="0" w:space="0" w:color="auto"/>
            <w:left w:val="none" w:sz="0" w:space="0" w:color="auto"/>
            <w:bottom w:val="none" w:sz="0" w:space="0" w:color="auto"/>
            <w:right w:val="none" w:sz="0" w:space="0" w:color="auto"/>
          </w:divBdr>
        </w:div>
        <w:div w:id="1972206595">
          <w:marLeft w:val="480"/>
          <w:marRight w:val="0"/>
          <w:marTop w:val="0"/>
          <w:marBottom w:val="0"/>
          <w:divBdr>
            <w:top w:val="none" w:sz="0" w:space="0" w:color="auto"/>
            <w:left w:val="none" w:sz="0" w:space="0" w:color="auto"/>
            <w:bottom w:val="none" w:sz="0" w:space="0" w:color="auto"/>
            <w:right w:val="none" w:sz="0" w:space="0" w:color="auto"/>
          </w:divBdr>
        </w:div>
        <w:div w:id="1680350641">
          <w:marLeft w:val="480"/>
          <w:marRight w:val="0"/>
          <w:marTop w:val="0"/>
          <w:marBottom w:val="0"/>
          <w:divBdr>
            <w:top w:val="none" w:sz="0" w:space="0" w:color="auto"/>
            <w:left w:val="none" w:sz="0" w:space="0" w:color="auto"/>
            <w:bottom w:val="none" w:sz="0" w:space="0" w:color="auto"/>
            <w:right w:val="none" w:sz="0" w:space="0" w:color="auto"/>
          </w:divBdr>
        </w:div>
        <w:div w:id="2095472537">
          <w:marLeft w:val="480"/>
          <w:marRight w:val="0"/>
          <w:marTop w:val="0"/>
          <w:marBottom w:val="0"/>
          <w:divBdr>
            <w:top w:val="none" w:sz="0" w:space="0" w:color="auto"/>
            <w:left w:val="none" w:sz="0" w:space="0" w:color="auto"/>
            <w:bottom w:val="none" w:sz="0" w:space="0" w:color="auto"/>
            <w:right w:val="none" w:sz="0" w:space="0" w:color="auto"/>
          </w:divBdr>
        </w:div>
      </w:divsChild>
    </w:div>
    <w:div w:id="1591964244">
      <w:bodyDiv w:val="1"/>
      <w:marLeft w:val="0"/>
      <w:marRight w:val="0"/>
      <w:marTop w:val="0"/>
      <w:marBottom w:val="0"/>
      <w:divBdr>
        <w:top w:val="none" w:sz="0" w:space="0" w:color="auto"/>
        <w:left w:val="none" w:sz="0" w:space="0" w:color="auto"/>
        <w:bottom w:val="none" w:sz="0" w:space="0" w:color="auto"/>
        <w:right w:val="none" w:sz="0" w:space="0" w:color="auto"/>
      </w:divBdr>
    </w:div>
    <w:div w:id="1643120569">
      <w:bodyDiv w:val="1"/>
      <w:marLeft w:val="0"/>
      <w:marRight w:val="0"/>
      <w:marTop w:val="0"/>
      <w:marBottom w:val="0"/>
      <w:divBdr>
        <w:top w:val="none" w:sz="0" w:space="0" w:color="auto"/>
        <w:left w:val="none" w:sz="0" w:space="0" w:color="auto"/>
        <w:bottom w:val="none" w:sz="0" w:space="0" w:color="auto"/>
        <w:right w:val="none" w:sz="0" w:space="0" w:color="auto"/>
      </w:divBdr>
    </w:div>
    <w:div w:id="1648775645">
      <w:bodyDiv w:val="1"/>
      <w:marLeft w:val="0"/>
      <w:marRight w:val="0"/>
      <w:marTop w:val="0"/>
      <w:marBottom w:val="0"/>
      <w:divBdr>
        <w:top w:val="none" w:sz="0" w:space="0" w:color="auto"/>
        <w:left w:val="none" w:sz="0" w:space="0" w:color="auto"/>
        <w:bottom w:val="none" w:sz="0" w:space="0" w:color="auto"/>
        <w:right w:val="none" w:sz="0" w:space="0" w:color="auto"/>
      </w:divBdr>
    </w:div>
    <w:div w:id="1665353782">
      <w:bodyDiv w:val="1"/>
      <w:marLeft w:val="0"/>
      <w:marRight w:val="0"/>
      <w:marTop w:val="0"/>
      <w:marBottom w:val="0"/>
      <w:divBdr>
        <w:top w:val="none" w:sz="0" w:space="0" w:color="auto"/>
        <w:left w:val="none" w:sz="0" w:space="0" w:color="auto"/>
        <w:bottom w:val="none" w:sz="0" w:space="0" w:color="auto"/>
        <w:right w:val="none" w:sz="0" w:space="0" w:color="auto"/>
      </w:divBdr>
      <w:divsChild>
        <w:div w:id="1609502571">
          <w:marLeft w:val="480"/>
          <w:marRight w:val="0"/>
          <w:marTop w:val="0"/>
          <w:marBottom w:val="0"/>
          <w:divBdr>
            <w:top w:val="none" w:sz="0" w:space="0" w:color="auto"/>
            <w:left w:val="none" w:sz="0" w:space="0" w:color="auto"/>
            <w:bottom w:val="none" w:sz="0" w:space="0" w:color="auto"/>
            <w:right w:val="none" w:sz="0" w:space="0" w:color="auto"/>
          </w:divBdr>
        </w:div>
        <w:div w:id="295792515">
          <w:marLeft w:val="480"/>
          <w:marRight w:val="0"/>
          <w:marTop w:val="0"/>
          <w:marBottom w:val="0"/>
          <w:divBdr>
            <w:top w:val="none" w:sz="0" w:space="0" w:color="auto"/>
            <w:left w:val="none" w:sz="0" w:space="0" w:color="auto"/>
            <w:bottom w:val="none" w:sz="0" w:space="0" w:color="auto"/>
            <w:right w:val="none" w:sz="0" w:space="0" w:color="auto"/>
          </w:divBdr>
        </w:div>
        <w:div w:id="141696022">
          <w:marLeft w:val="480"/>
          <w:marRight w:val="0"/>
          <w:marTop w:val="0"/>
          <w:marBottom w:val="0"/>
          <w:divBdr>
            <w:top w:val="none" w:sz="0" w:space="0" w:color="auto"/>
            <w:left w:val="none" w:sz="0" w:space="0" w:color="auto"/>
            <w:bottom w:val="none" w:sz="0" w:space="0" w:color="auto"/>
            <w:right w:val="none" w:sz="0" w:space="0" w:color="auto"/>
          </w:divBdr>
        </w:div>
        <w:div w:id="922182319">
          <w:marLeft w:val="480"/>
          <w:marRight w:val="0"/>
          <w:marTop w:val="0"/>
          <w:marBottom w:val="0"/>
          <w:divBdr>
            <w:top w:val="none" w:sz="0" w:space="0" w:color="auto"/>
            <w:left w:val="none" w:sz="0" w:space="0" w:color="auto"/>
            <w:bottom w:val="none" w:sz="0" w:space="0" w:color="auto"/>
            <w:right w:val="none" w:sz="0" w:space="0" w:color="auto"/>
          </w:divBdr>
        </w:div>
        <w:div w:id="179777064">
          <w:marLeft w:val="480"/>
          <w:marRight w:val="0"/>
          <w:marTop w:val="0"/>
          <w:marBottom w:val="0"/>
          <w:divBdr>
            <w:top w:val="none" w:sz="0" w:space="0" w:color="auto"/>
            <w:left w:val="none" w:sz="0" w:space="0" w:color="auto"/>
            <w:bottom w:val="none" w:sz="0" w:space="0" w:color="auto"/>
            <w:right w:val="none" w:sz="0" w:space="0" w:color="auto"/>
          </w:divBdr>
        </w:div>
        <w:div w:id="1352301703">
          <w:marLeft w:val="480"/>
          <w:marRight w:val="0"/>
          <w:marTop w:val="0"/>
          <w:marBottom w:val="0"/>
          <w:divBdr>
            <w:top w:val="none" w:sz="0" w:space="0" w:color="auto"/>
            <w:left w:val="none" w:sz="0" w:space="0" w:color="auto"/>
            <w:bottom w:val="none" w:sz="0" w:space="0" w:color="auto"/>
            <w:right w:val="none" w:sz="0" w:space="0" w:color="auto"/>
          </w:divBdr>
        </w:div>
        <w:div w:id="121577141">
          <w:marLeft w:val="480"/>
          <w:marRight w:val="0"/>
          <w:marTop w:val="0"/>
          <w:marBottom w:val="0"/>
          <w:divBdr>
            <w:top w:val="none" w:sz="0" w:space="0" w:color="auto"/>
            <w:left w:val="none" w:sz="0" w:space="0" w:color="auto"/>
            <w:bottom w:val="none" w:sz="0" w:space="0" w:color="auto"/>
            <w:right w:val="none" w:sz="0" w:space="0" w:color="auto"/>
          </w:divBdr>
        </w:div>
        <w:div w:id="1888181323">
          <w:marLeft w:val="480"/>
          <w:marRight w:val="0"/>
          <w:marTop w:val="0"/>
          <w:marBottom w:val="0"/>
          <w:divBdr>
            <w:top w:val="none" w:sz="0" w:space="0" w:color="auto"/>
            <w:left w:val="none" w:sz="0" w:space="0" w:color="auto"/>
            <w:bottom w:val="none" w:sz="0" w:space="0" w:color="auto"/>
            <w:right w:val="none" w:sz="0" w:space="0" w:color="auto"/>
          </w:divBdr>
        </w:div>
        <w:div w:id="1035735874">
          <w:marLeft w:val="480"/>
          <w:marRight w:val="0"/>
          <w:marTop w:val="0"/>
          <w:marBottom w:val="0"/>
          <w:divBdr>
            <w:top w:val="none" w:sz="0" w:space="0" w:color="auto"/>
            <w:left w:val="none" w:sz="0" w:space="0" w:color="auto"/>
            <w:bottom w:val="none" w:sz="0" w:space="0" w:color="auto"/>
            <w:right w:val="none" w:sz="0" w:space="0" w:color="auto"/>
          </w:divBdr>
        </w:div>
        <w:div w:id="854611687">
          <w:marLeft w:val="480"/>
          <w:marRight w:val="0"/>
          <w:marTop w:val="0"/>
          <w:marBottom w:val="0"/>
          <w:divBdr>
            <w:top w:val="none" w:sz="0" w:space="0" w:color="auto"/>
            <w:left w:val="none" w:sz="0" w:space="0" w:color="auto"/>
            <w:bottom w:val="none" w:sz="0" w:space="0" w:color="auto"/>
            <w:right w:val="none" w:sz="0" w:space="0" w:color="auto"/>
          </w:divBdr>
        </w:div>
        <w:div w:id="390929165">
          <w:marLeft w:val="480"/>
          <w:marRight w:val="0"/>
          <w:marTop w:val="0"/>
          <w:marBottom w:val="0"/>
          <w:divBdr>
            <w:top w:val="none" w:sz="0" w:space="0" w:color="auto"/>
            <w:left w:val="none" w:sz="0" w:space="0" w:color="auto"/>
            <w:bottom w:val="none" w:sz="0" w:space="0" w:color="auto"/>
            <w:right w:val="none" w:sz="0" w:space="0" w:color="auto"/>
          </w:divBdr>
        </w:div>
        <w:div w:id="689575127">
          <w:marLeft w:val="480"/>
          <w:marRight w:val="0"/>
          <w:marTop w:val="0"/>
          <w:marBottom w:val="0"/>
          <w:divBdr>
            <w:top w:val="none" w:sz="0" w:space="0" w:color="auto"/>
            <w:left w:val="none" w:sz="0" w:space="0" w:color="auto"/>
            <w:bottom w:val="none" w:sz="0" w:space="0" w:color="auto"/>
            <w:right w:val="none" w:sz="0" w:space="0" w:color="auto"/>
          </w:divBdr>
        </w:div>
      </w:divsChild>
    </w:div>
    <w:div w:id="1666275080">
      <w:bodyDiv w:val="1"/>
      <w:marLeft w:val="0"/>
      <w:marRight w:val="0"/>
      <w:marTop w:val="0"/>
      <w:marBottom w:val="0"/>
      <w:divBdr>
        <w:top w:val="none" w:sz="0" w:space="0" w:color="auto"/>
        <w:left w:val="none" w:sz="0" w:space="0" w:color="auto"/>
        <w:bottom w:val="none" w:sz="0" w:space="0" w:color="auto"/>
        <w:right w:val="none" w:sz="0" w:space="0" w:color="auto"/>
      </w:divBdr>
    </w:div>
    <w:div w:id="1678650418">
      <w:bodyDiv w:val="1"/>
      <w:marLeft w:val="0"/>
      <w:marRight w:val="0"/>
      <w:marTop w:val="0"/>
      <w:marBottom w:val="0"/>
      <w:divBdr>
        <w:top w:val="none" w:sz="0" w:space="0" w:color="auto"/>
        <w:left w:val="none" w:sz="0" w:space="0" w:color="auto"/>
        <w:bottom w:val="none" w:sz="0" w:space="0" w:color="auto"/>
        <w:right w:val="none" w:sz="0" w:space="0" w:color="auto"/>
      </w:divBdr>
    </w:div>
    <w:div w:id="1681201302">
      <w:bodyDiv w:val="1"/>
      <w:marLeft w:val="0"/>
      <w:marRight w:val="0"/>
      <w:marTop w:val="0"/>
      <w:marBottom w:val="0"/>
      <w:divBdr>
        <w:top w:val="none" w:sz="0" w:space="0" w:color="auto"/>
        <w:left w:val="none" w:sz="0" w:space="0" w:color="auto"/>
        <w:bottom w:val="none" w:sz="0" w:space="0" w:color="auto"/>
        <w:right w:val="none" w:sz="0" w:space="0" w:color="auto"/>
      </w:divBdr>
      <w:divsChild>
        <w:div w:id="580061180">
          <w:marLeft w:val="0"/>
          <w:marRight w:val="0"/>
          <w:marTop w:val="0"/>
          <w:marBottom w:val="0"/>
          <w:divBdr>
            <w:top w:val="none" w:sz="0" w:space="0" w:color="auto"/>
            <w:left w:val="none" w:sz="0" w:space="0" w:color="auto"/>
            <w:bottom w:val="none" w:sz="0" w:space="0" w:color="auto"/>
            <w:right w:val="none" w:sz="0" w:space="0" w:color="auto"/>
          </w:divBdr>
        </w:div>
      </w:divsChild>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50091">
      <w:bodyDiv w:val="1"/>
      <w:marLeft w:val="0"/>
      <w:marRight w:val="0"/>
      <w:marTop w:val="0"/>
      <w:marBottom w:val="0"/>
      <w:divBdr>
        <w:top w:val="none" w:sz="0" w:space="0" w:color="auto"/>
        <w:left w:val="none" w:sz="0" w:space="0" w:color="auto"/>
        <w:bottom w:val="none" w:sz="0" w:space="0" w:color="auto"/>
        <w:right w:val="none" w:sz="0" w:space="0" w:color="auto"/>
      </w:divBdr>
      <w:divsChild>
        <w:div w:id="167213487">
          <w:marLeft w:val="0"/>
          <w:marRight w:val="0"/>
          <w:marTop w:val="0"/>
          <w:marBottom w:val="0"/>
          <w:divBdr>
            <w:top w:val="none" w:sz="0" w:space="0" w:color="auto"/>
            <w:left w:val="none" w:sz="0" w:space="0" w:color="auto"/>
            <w:bottom w:val="none" w:sz="0" w:space="0" w:color="auto"/>
            <w:right w:val="none" w:sz="0" w:space="0" w:color="auto"/>
          </w:divBdr>
        </w:div>
      </w:divsChild>
    </w:div>
    <w:div w:id="1702705566">
      <w:bodyDiv w:val="1"/>
      <w:marLeft w:val="0"/>
      <w:marRight w:val="0"/>
      <w:marTop w:val="0"/>
      <w:marBottom w:val="0"/>
      <w:divBdr>
        <w:top w:val="none" w:sz="0" w:space="0" w:color="auto"/>
        <w:left w:val="none" w:sz="0" w:space="0" w:color="auto"/>
        <w:bottom w:val="none" w:sz="0" w:space="0" w:color="auto"/>
        <w:right w:val="none" w:sz="0" w:space="0" w:color="auto"/>
      </w:divBdr>
    </w:div>
    <w:div w:id="1716392594">
      <w:bodyDiv w:val="1"/>
      <w:marLeft w:val="0"/>
      <w:marRight w:val="0"/>
      <w:marTop w:val="0"/>
      <w:marBottom w:val="0"/>
      <w:divBdr>
        <w:top w:val="none" w:sz="0" w:space="0" w:color="auto"/>
        <w:left w:val="none" w:sz="0" w:space="0" w:color="auto"/>
        <w:bottom w:val="none" w:sz="0" w:space="0" w:color="auto"/>
        <w:right w:val="none" w:sz="0" w:space="0" w:color="auto"/>
      </w:divBdr>
    </w:div>
    <w:div w:id="1720589360">
      <w:bodyDiv w:val="1"/>
      <w:marLeft w:val="0"/>
      <w:marRight w:val="0"/>
      <w:marTop w:val="0"/>
      <w:marBottom w:val="0"/>
      <w:divBdr>
        <w:top w:val="none" w:sz="0" w:space="0" w:color="auto"/>
        <w:left w:val="none" w:sz="0" w:space="0" w:color="auto"/>
        <w:bottom w:val="none" w:sz="0" w:space="0" w:color="auto"/>
        <w:right w:val="none" w:sz="0" w:space="0" w:color="auto"/>
      </w:divBdr>
      <w:divsChild>
        <w:div w:id="1973948731">
          <w:marLeft w:val="480"/>
          <w:marRight w:val="0"/>
          <w:marTop w:val="0"/>
          <w:marBottom w:val="0"/>
          <w:divBdr>
            <w:top w:val="none" w:sz="0" w:space="0" w:color="auto"/>
            <w:left w:val="none" w:sz="0" w:space="0" w:color="auto"/>
            <w:bottom w:val="none" w:sz="0" w:space="0" w:color="auto"/>
            <w:right w:val="none" w:sz="0" w:space="0" w:color="auto"/>
          </w:divBdr>
        </w:div>
        <w:div w:id="1944995402">
          <w:marLeft w:val="480"/>
          <w:marRight w:val="0"/>
          <w:marTop w:val="0"/>
          <w:marBottom w:val="0"/>
          <w:divBdr>
            <w:top w:val="none" w:sz="0" w:space="0" w:color="auto"/>
            <w:left w:val="none" w:sz="0" w:space="0" w:color="auto"/>
            <w:bottom w:val="none" w:sz="0" w:space="0" w:color="auto"/>
            <w:right w:val="none" w:sz="0" w:space="0" w:color="auto"/>
          </w:divBdr>
        </w:div>
        <w:div w:id="1994946958">
          <w:marLeft w:val="480"/>
          <w:marRight w:val="0"/>
          <w:marTop w:val="0"/>
          <w:marBottom w:val="0"/>
          <w:divBdr>
            <w:top w:val="none" w:sz="0" w:space="0" w:color="auto"/>
            <w:left w:val="none" w:sz="0" w:space="0" w:color="auto"/>
            <w:bottom w:val="none" w:sz="0" w:space="0" w:color="auto"/>
            <w:right w:val="none" w:sz="0" w:space="0" w:color="auto"/>
          </w:divBdr>
        </w:div>
        <w:div w:id="1076829181">
          <w:marLeft w:val="480"/>
          <w:marRight w:val="0"/>
          <w:marTop w:val="0"/>
          <w:marBottom w:val="0"/>
          <w:divBdr>
            <w:top w:val="none" w:sz="0" w:space="0" w:color="auto"/>
            <w:left w:val="none" w:sz="0" w:space="0" w:color="auto"/>
            <w:bottom w:val="none" w:sz="0" w:space="0" w:color="auto"/>
            <w:right w:val="none" w:sz="0" w:space="0" w:color="auto"/>
          </w:divBdr>
        </w:div>
        <w:div w:id="1819492480">
          <w:marLeft w:val="480"/>
          <w:marRight w:val="0"/>
          <w:marTop w:val="0"/>
          <w:marBottom w:val="0"/>
          <w:divBdr>
            <w:top w:val="none" w:sz="0" w:space="0" w:color="auto"/>
            <w:left w:val="none" w:sz="0" w:space="0" w:color="auto"/>
            <w:bottom w:val="none" w:sz="0" w:space="0" w:color="auto"/>
            <w:right w:val="none" w:sz="0" w:space="0" w:color="auto"/>
          </w:divBdr>
        </w:div>
        <w:div w:id="1087727725">
          <w:marLeft w:val="480"/>
          <w:marRight w:val="0"/>
          <w:marTop w:val="0"/>
          <w:marBottom w:val="0"/>
          <w:divBdr>
            <w:top w:val="none" w:sz="0" w:space="0" w:color="auto"/>
            <w:left w:val="none" w:sz="0" w:space="0" w:color="auto"/>
            <w:bottom w:val="none" w:sz="0" w:space="0" w:color="auto"/>
            <w:right w:val="none" w:sz="0" w:space="0" w:color="auto"/>
          </w:divBdr>
        </w:div>
        <w:div w:id="748115461">
          <w:marLeft w:val="480"/>
          <w:marRight w:val="0"/>
          <w:marTop w:val="0"/>
          <w:marBottom w:val="0"/>
          <w:divBdr>
            <w:top w:val="none" w:sz="0" w:space="0" w:color="auto"/>
            <w:left w:val="none" w:sz="0" w:space="0" w:color="auto"/>
            <w:bottom w:val="none" w:sz="0" w:space="0" w:color="auto"/>
            <w:right w:val="none" w:sz="0" w:space="0" w:color="auto"/>
          </w:divBdr>
        </w:div>
        <w:div w:id="1232157646">
          <w:marLeft w:val="480"/>
          <w:marRight w:val="0"/>
          <w:marTop w:val="0"/>
          <w:marBottom w:val="0"/>
          <w:divBdr>
            <w:top w:val="none" w:sz="0" w:space="0" w:color="auto"/>
            <w:left w:val="none" w:sz="0" w:space="0" w:color="auto"/>
            <w:bottom w:val="none" w:sz="0" w:space="0" w:color="auto"/>
            <w:right w:val="none" w:sz="0" w:space="0" w:color="auto"/>
          </w:divBdr>
        </w:div>
        <w:div w:id="85810996">
          <w:marLeft w:val="480"/>
          <w:marRight w:val="0"/>
          <w:marTop w:val="0"/>
          <w:marBottom w:val="0"/>
          <w:divBdr>
            <w:top w:val="none" w:sz="0" w:space="0" w:color="auto"/>
            <w:left w:val="none" w:sz="0" w:space="0" w:color="auto"/>
            <w:bottom w:val="none" w:sz="0" w:space="0" w:color="auto"/>
            <w:right w:val="none" w:sz="0" w:space="0" w:color="auto"/>
          </w:divBdr>
        </w:div>
        <w:div w:id="633296682">
          <w:marLeft w:val="480"/>
          <w:marRight w:val="0"/>
          <w:marTop w:val="0"/>
          <w:marBottom w:val="0"/>
          <w:divBdr>
            <w:top w:val="none" w:sz="0" w:space="0" w:color="auto"/>
            <w:left w:val="none" w:sz="0" w:space="0" w:color="auto"/>
            <w:bottom w:val="none" w:sz="0" w:space="0" w:color="auto"/>
            <w:right w:val="none" w:sz="0" w:space="0" w:color="auto"/>
          </w:divBdr>
        </w:div>
        <w:div w:id="1008169766">
          <w:marLeft w:val="480"/>
          <w:marRight w:val="0"/>
          <w:marTop w:val="0"/>
          <w:marBottom w:val="0"/>
          <w:divBdr>
            <w:top w:val="none" w:sz="0" w:space="0" w:color="auto"/>
            <w:left w:val="none" w:sz="0" w:space="0" w:color="auto"/>
            <w:bottom w:val="none" w:sz="0" w:space="0" w:color="auto"/>
            <w:right w:val="none" w:sz="0" w:space="0" w:color="auto"/>
          </w:divBdr>
        </w:div>
        <w:div w:id="1039475803">
          <w:marLeft w:val="480"/>
          <w:marRight w:val="0"/>
          <w:marTop w:val="0"/>
          <w:marBottom w:val="0"/>
          <w:divBdr>
            <w:top w:val="none" w:sz="0" w:space="0" w:color="auto"/>
            <w:left w:val="none" w:sz="0" w:space="0" w:color="auto"/>
            <w:bottom w:val="none" w:sz="0" w:space="0" w:color="auto"/>
            <w:right w:val="none" w:sz="0" w:space="0" w:color="auto"/>
          </w:divBdr>
        </w:div>
        <w:div w:id="1936285285">
          <w:marLeft w:val="480"/>
          <w:marRight w:val="0"/>
          <w:marTop w:val="0"/>
          <w:marBottom w:val="0"/>
          <w:divBdr>
            <w:top w:val="none" w:sz="0" w:space="0" w:color="auto"/>
            <w:left w:val="none" w:sz="0" w:space="0" w:color="auto"/>
            <w:bottom w:val="none" w:sz="0" w:space="0" w:color="auto"/>
            <w:right w:val="none" w:sz="0" w:space="0" w:color="auto"/>
          </w:divBdr>
        </w:div>
        <w:div w:id="1765493819">
          <w:marLeft w:val="480"/>
          <w:marRight w:val="0"/>
          <w:marTop w:val="0"/>
          <w:marBottom w:val="0"/>
          <w:divBdr>
            <w:top w:val="none" w:sz="0" w:space="0" w:color="auto"/>
            <w:left w:val="none" w:sz="0" w:space="0" w:color="auto"/>
            <w:bottom w:val="none" w:sz="0" w:space="0" w:color="auto"/>
            <w:right w:val="none" w:sz="0" w:space="0" w:color="auto"/>
          </w:divBdr>
        </w:div>
      </w:divsChild>
    </w:div>
    <w:div w:id="1726491600">
      <w:bodyDiv w:val="1"/>
      <w:marLeft w:val="0"/>
      <w:marRight w:val="0"/>
      <w:marTop w:val="0"/>
      <w:marBottom w:val="0"/>
      <w:divBdr>
        <w:top w:val="none" w:sz="0" w:space="0" w:color="auto"/>
        <w:left w:val="none" w:sz="0" w:space="0" w:color="auto"/>
        <w:bottom w:val="none" w:sz="0" w:space="0" w:color="auto"/>
        <w:right w:val="none" w:sz="0" w:space="0" w:color="auto"/>
      </w:divBdr>
    </w:div>
    <w:div w:id="1732849683">
      <w:bodyDiv w:val="1"/>
      <w:marLeft w:val="0"/>
      <w:marRight w:val="0"/>
      <w:marTop w:val="0"/>
      <w:marBottom w:val="0"/>
      <w:divBdr>
        <w:top w:val="none" w:sz="0" w:space="0" w:color="auto"/>
        <w:left w:val="none" w:sz="0" w:space="0" w:color="auto"/>
        <w:bottom w:val="none" w:sz="0" w:space="0" w:color="auto"/>
        <w:right w:val="none" w:sz="0" w:space="0" w:color="auto"/>
      </w:divBdr>
      <w:divsChild>
        <w:div w:id="1846935700">
          <w:marLeft w:val="480"/>
          <w:marRight w:val="0"/>
          <w:marTop w:val="0"/>
          <w:marBottom w:val="0"/>
          <w:divBdr>
            <w:top w:val="none" w:sz="0" w:space="0" w:color="auto"/>
            <w:left w:val="none" w:sz="0" w:space="0" w:color="auto"/>
            <w:bottom w:val="none" w:sz="0" w:space="0" w:color="auto"/>
            <w:right w:val="none" w:sz="0" w:space="0" w:color="auto"/>
          </w:divBdr>
        </w:div>
        <w:div w:id="1470056323">
          <w:marLeft w:val="480"/>
          <w:marRight w:val="0"/>
          <w:marTop w:val="0"/>
          <w:marBottom w:val="0"/>
          <w:divBdr>
            <w:top w:val="none" w:sz="0" w:space="0" w:color="auto"/>
            <w:left w:val="none" w:sz="0" w:space="0" w:color="auto"/>
            <w:bottom w:val="none" w:sz="0" w:space="0" w:color="auto"/>
            <w:right w:val="none" w:sz="0" w:space="0" w:color="auto"/>
          </w:divBdr>
        </w:div>
        <w:div w:id="625239514">
          <w:marLeft w:val="480"/>
          <w:marRight w:val="0"/>
          <w:marTop w:val="0"/>
          <w:marBottom w:val="0"/>
          <w:divBdr>
            <w:top w:val="none" w:sz="0" w:space="0" w:color="auto"/>
            <w:left w:val="none" w:sz="0" w:space="0" w:color="auto"/>
            <w:bottom w:val="none" w:sz="0" w:space="0" w:color="auto"/>
            <w:right w:val="none" w:sz="0" w:space="0" w:color="auto"/>
          </w:divBdr>
        </w:div>
        <w:div w:id="582379302">
          <w:marLeft w:val="480"/>
          <w:marRight w:val="0"/>
          <w:marTop w:val="0"/>
          <w:marBottom w:val="0"/>
          <w:divBdr>
            <w:top w:val="none" w:sz="0" w:space="0" w:color="auto"/>
            <w:left w:val="none" w:sz="0" w:space="0" w:color="auto"/>
            <w:bottom w:val="none" w:sz="0" w:space="0" w:color="auto"/>
            <w:right w:val="none" w:sz="0" w:space="0" w:color="auto"/>
          </w:divBdr>
        </w:div>
        <w:div w:id="1196121098">
          <w:marLeft w:val="480"/>
          <w:marRight w:val="0"/>
          <w:marTop w:val="0"/>
          <w:marBottom w:val="0"/>
          <w:divBdr>
            <w:top w:val="none" w:sz="0" w:space="0" w:color="auto"/>
            <w:left w:val="none" w:sz="0" w:space="0" w:color="auto"/>
            <w:bottom w:val="none" w:sz="0" w:space="0" w:color="auto"/>
            <w:right w:val="none" w:sz="0" w:space="0" w:color="auto"/>
          </w:divBdr>
        </w:div>
        <w:div w:id="846135531">
          <w:marLeft w:val="480"/>
          <w:marRight w:val="0"/>
          <w:marTop w:val="0"/>
          <w:marBottom w:val="0"/>
          <w:divBdr>
            <w:top w:val="none" w:sz="0" w:space="0" w:color="auto"/>
            <w:left w:val="none" w:sz="0" w:space="0" w:color="auto"/>
            <w:bottom w:val="none" w:sz="0" w:space="0" w:color="auto"/>
            <w:right w:val="none" w:sz="0" w:space="0" w:color="auto"/>
          </w:divBdr>
        </w:div>
        <w:div w:id="1614827691">
          <w:marLeft w:val="480"/>
          <w:marRight w:val="0"/>
          <w:marTop w:val="0"/>
          <w:marBottom w:val="0"/>
          <w:divBdr>
            <w:top w:val="none" w:sz="0" w:space="0" w:color="auto"/>
            <w:left w:val="none" w:sz="0" w:space="0" w:color="auto"/>
            <w:bottom w:val="none" w:sz="0" w:space="0" w:color="auto"/>
            <w:right w:val="none" w:sz="0" w:space="0" w:color="auto"/>
          </w:divBdr>
        </w:div>
        <w:div w:id="1105345412">
          <w:marLeft w:val="480"/>
          <w:marRight w:val="0"/>
          <w:marTop w:val="0"/>
          <w:marBottom w:val="0"/>
          <w:divBdr>
            <w:top w:val="none" w:sz="0" w:space="0" w:color="auto"/>
            <w:left w:val="none" w:sz="0" w:space="0" w:color="auto"/>
            <w:bottom w:val="none" w:sz="0" w:space="0" w:color="auto"/>
            <w:right w:val="none" w:sz="0" w:space="0" w:color="auto"/>
          </w:divBdr>
        </w:div>
        <w:div w:id="1171332770">
          <w:marLeft w:val="480"/>
          <w:marRight w:val="0"/>
          <w:marTop w:val="0"/>
          <w:marBottom w:val="0"/>
          <w:divBdr>
            <w:top w:val="none" w:sz="0" w:space="0" w:color="auto"/>
            <w:left w:val="none" w:sz="0" w:space="0" w:color="auto"/>
            <w:bottom w:val="none" w:sz="0" w:space="0" w:color="auto"/>
            <w:right w:val="none" w:sz="0" w:space="0" w:color="auto"/>
          </w:divBdr>
        </w:div>
        <w:div w:id="1169901998">
          <w:marLeft w:val="480"/>
          <w:marRight w:val="0"/>
          <w:marTop w:val="0"/>
          <w:marBottom w:val="0"/>
          <w:divBdr>
            <w:top w:val="none" w:sz="0" w:space="0" w:color="auto"/>
            <w:left w:val="none" w:sz="0" w:space="0" w:color="auto"/>
            <w:bottom w:val="none" w:sz="0" w:space="0" w:color="auto"/>
            <w:right w:val="none" w:sz="0" w:space="0" w:color="auto"/>
          </w:divBdr>
        </w:div>
        <w:div w:id="1211184897">
          <w:marLeft w:val="480"/>
          <w:marRight w:val="0"/>
          <w:marTop w:val="0"/>
          <w:marBottom w:val="0"/>
          <w:divBdr>
            <w:top w:val="none" w:sz="0" w:space="0" w:color="auto"/>
            <w:left w:val="none" w:sz="0" w:space="0" w:color="auto"/>
            <w:bottom w:val="none" w:sz="0" w:space="0" w:color="auto"/>
            <w:right w:val="none" w:sz="0" w:space="0" w:color="auto"/>
          </w:divBdr>
        </w:div>
        <w:div w:id="421726689">
          <w:marLeft w:val="480"/>
          <w:marRight w:val="0"/>
          <w:marTop w:val="0"/>
          <w:marBottom w:val="0"/>
          <w:divBdr>
            <w:top w:val="none" w:sz="0" w:space="0" w:color="auto"/>
            <w:left w:val="none" w:sz="0" w:space="0" w:color="auto"/>
            <w:bottom w:val="none" w:sz="0" w:space="0" w:color="auto"/>
            <w:right w:val="none" w:sz="0" w:space="0" w:color="auto"/>
          </w:divBdr>
        </w:div>
        <w:div w:id="1133868267">
          <w:marLeft w:val="480"/>
          <w:marRight w:val="0"/>
          <w:marTop w:val="0"/>
          <w:marBottom w:val="0"/>
          <w:divBdr>
            <w:top w:val="none" w:sz="0" w:space="0" w:color="auto"/>
            <w:left w:val="none" w:sz="0" w:space="0" w:color="auto"/>
            <w:bottom w:val="none" w:sz="0" w:space="0" w:color="auto"/>
            <w:right w:val="none" w:sz="0" w:space="0" w:color="auto"/>
          </w:divBdr>
        </w:div>
        <w:div w:id="1142503844">
          <w:marLeft w:val="480"/>
          <w:marRight w:val="0"/>
          <w:marTop w:val="0"/>
          <w:marBottom w:val="0"/>
          <w:divBdr>
            <w:top w:val="none" w:sz="0" w:space="0" w:color="auto"/>
            <w:left w:val="none" w:sz="0" w:space="0" w:color="auto"/>
            <w:bottom w:val="none" w:sz="0" w:space="0" w:color="auto"/>
            <w:right w:val="none" w:sz="0" w:space="0" w:color="auto"/>
          </w:divBdr>
        </w:div>
      </w:divsChild>
    </w:div>
    <w:div w:id="1733577649">
      <w:bodyDiv w:val="1"/>
      <w:marLeft w:val="0"/>
      <w:marRight w:val="0"/>
      <w:marTop w:val="0"/>
      <w:marBottom w:val="0"/>
      <w:divBdr>
        <w:top w:val="none" w:sz="0" w:space="0" w:color="auto"/>
        <w:left w:val="none" w:sz="0" w:space="0" w:color="auto"/>
        <w:bottom w:val="none" w:sz="0" w:space="0" w:color="auto"/>
        <w:right w:val="none" w:sz="0" w:space="0" w:color="auto"/>
      </w:divBdr>
    </w:div>
    <w:div w:id="1741516607">
      <w:bodyDiv w:val="1"/>
      <w:marLeft w:val="0"/>
      <w:marRight w:val="0"/>
      <w:marTop w:val="0"/>
      <w:marBottom w:val="0"/>
      <w:divBdr>
        <w:top w:val="none" w:sz="0" w:space="0" w:color="auto"/>
        <w:left w:val="none" w:sz="0" w:space="0" w:color="auto"/>
        <w:bottom w:val="none" w:sz="0" w:space="0" w:color="auto"/>
        <w:right w:val="none" w:sz="0" w:space="0" w:color="auto"/>
      </w:divBdr>
      <w:divsChild>
        <w:div w:id="1936551309">
          <w:marLeft w:val="0"/>
          <w:marRight w:val="0"/>
          <w:marTop w:val="0"/>
          <w:marBottom w:val="0"/>
          <w:divBdr>
            <w:top w:val="none" w:sz="0" w:space="0" w:color="auto"/>
            <w:left w:val="none" w:sz="0" w:space="0" w:color="auto"/>
            <w:bottom w:val="none" w:sz="0" w:space="0" w:color="auto"/>
            <w:right w:val="none" w:sz="0" w:space="0" w:color="auto"/>
          </w:divBdr>
        </w:div>
      </w:divsChild>
    </w:div>
    <w:div w:id="1743288412">
      <w:bodyDiv w:val="1"/>
      <w:marLeft w:val="0"/>
      <w:marRight w:val="0"/>
      <w:marTop w:val="0"/>
      <w:marBottom w:val="0"/>
      <w:divBdr>
        <w:top w:val="none" w:sz="0" w:space="0" w:color="auto"/>
        <w:left w:val="none" w:sz="0" w:space="0" w:color="auto"/>
        <w:bottom w:val="none" w:sz="0" w:space="0" w:color="auto"/>
        <w:right w:val="none" w:sz="0" w:space="0" w:color="auto"/>
      </w:divBdr>
    </w:div>
    <w:div w:id="1744912131">
      <w:bodyDiv w:val="1"/>
      <w:marLeft w:val="0"/>
      <w:marRight w:val="0"/>
      <w:marTop w:val="0"/>
      <w:marBottom w:val="0"/>
      <w:divBdr>
        <w:top w:val="none" w:sz="0" w:space="0" w:color="auto"/>
        <w:left w:val="none" w:sz="0" w:space="0" w:color="auto"/>
        <w:bottom w:val="none" w:sz="0" w:space="0" w:color="auto"/>
        <w:right w:val="none" w:sz="0" w:space="0" w:color="auto"/>
      </w:divBdr>
    </w:div>
    <w:div w:id="1753044232">
      <w:bodyDiv w:val="1"/>
      <w:marLeft w:val="0"/>
      <w:marRight w:val="0"/>
      <w:marTop w:val="0"/>
      <w:marBottom w:val="0"/>
      <w:divBdr>
        <w:top w:val="none" w:sz="0" w:space="0" w:color="auto"/>
        <w:left w:val="none" w:sz="0" w:space="0" w:color="auto"/>
        <w:bottom w:val="none" w:sz="0" w:space="0" w:color="auto"/>
        <w:right w:val="none" w:sz="0" w:space="0" w:color="auto"/>
      </w:divBdr>
    </w:div>
    <w:div w:id="1753157054">
      <w:bodyDiv w:val="1"/>
      <w:marLeft w:val="0"/>
      <w:marRight w:val="0"/>
      <w:marTop w:val="0"/>
      <w:marBottom w:val="0"/>
      <w:divBdr>
        <w:top w:val="none" w:sz="0" w:space="0" w:color="auto"/>
        <w:left w:val="none" w:sz="0" w:space="0" w:color="auto"/>
        <w:bottom w:val="none" w:sz="0" w:space="0" w:color="auto"/>
        <w:right w:val="none" w:sz="0" w:space="0" w:color="auto"/>
      </w:divBdr>
      <w:divsChild>
        <w:div w:id="573006050">
          <w:marLeft w:val="480"/>
          <w:marRight w:val="0"/>
          <w:marTop w:val="0"/>
          <w:marBottom w:val="0"/>
          <w:divBdr>
            <w:top w:val="none" w:sz="0" w:space="0" w:color="auto"/>
            <w:left w:val="none" w:sz="0" w:space="0" w:color="auto"/>
            <w:bottom w:val="none" w:sz="0" w:space="0" w:color="auto"/>
            <w:right w:val="none" w:sz="0" w:space="0" w:color="auto"/>
          </w:divBdr>
        </w:div>
        <w:div w:id="1883714940">
          <w:marLeft w:val="480"/>
          <w:marRight w:val="0"/>
          <w:marTop w:val="0"/>
          <w:marBottom w:val="0"/>
          <w:divBdr>
            <w:top w:val="none" w:sz="0" w:space="0" w:color="auto"/>
            <w:left w:val="none" w:sz="0" w:space="0" w:color="auto"/>
            <w:bottom w:val="none" w:sz="0" w:space="0" w:color="auto"/>
            <w:right w:val="none" w:sz="0" w:space="0" w:color="auto"/>
          </w:divBdr>
        </w:div>
        <w:div w:id="1145010519">
          <w:marLeft w:val="480"/>
          <w:marRight w:val="0"/>
          <w:marTop w:val="0"/>
          <w:marBottom w:val="0"/>
          <w:divBdr>
            <w:top w:val="none" w:sz="0" w:space="0" w:color="auto"/>
            <w:left w:val="none" w:sz="0" w:space="0" w:color="auto"/>
            <w:bottom w:val="none" w:sz="0" w:space="0" w:color="auto"/>
            <w:right w:val="none" w:sz="0" w:space="0" w:color="auto"/>
          </w:divBdr>
        </w:div>
        <w:div w:id="1123616925">
          <w:marLeft w:val="480"/>
          <w:marRight w:val="0"/>
          <w:marTop w:val="0"/>
          <w:marBottom w:val="0"/>
          <w:divBdr>
            <w:top w:val="none" w:sz="0" w:space="0" w:color="auto"/>
            <w:left w:val="none" w:sz="0" w:space="0" w:color="auto"/>
            <w:bottom w:val="none" w:sz="0" w:space="0" w:color="auto"/>
            <w:right w:val="none" w:sz="0" w:space="0" w:color="auto"/>
          </w:divBdr>
        </w:div>
        <w:div w:id="1783762903">
          <w:marLeft w:val="480"/>
          <w:marRight w:val="0"/>
          <w:marTop w:val="0"/>
          <w:marBottom w:val="0"/>
          <w:divBdr>
            <w:top w:val="none" w:sz="0" w:space="0" w:color="auto"/>
            <w:left w:val="none" w:sz="0" w:space="0" w:color="auto"/>
            <w:bottom w:val="none" w:sz="0" w:space="0" w:color="auto"/>
            <w:right w:val="none" w:sz="0" w:space="0" w:color="auto"/>
          </w:divBdr>
        </w:div>
      </w:divsChild>
    </w:div>
    <w:div w:id="1765343279">
      <w:bodyDiv w:val="1"/>
      <w:marLeft w:val="0"/>
      <w:marRight w:val="0"/>
      <w:marTop w:val="0"/>
      <w:marBottom w:val="0"/>
      <w:divBdr>
        <w:top w:val="none" w:sz="0" w:space="0" w:color="auto"/>
        <w:left w:val="none" w:sz="0" w:space="0" w:color="auto"/>
        <w:bottom w:val="none" w:sz="0" w:space="0" w:color="auto"/>
        <w:right w:val="none" w:sz="0" w:space="0" w:color="auto"/>
      </w:divBdr>
    </w:div>
    <w:div w:id="1767309798">
      <w:bodyDiv w:val="1"/>
      <w:marLeft w:val="0"/>
      <w:marRight w:val="0"/>
      <w:marTop w:val="0"/>
      <w:marBottom w:val="0"/>
      <w:divBdr>
        <w:top w:val="none" w:sz="0" w:space="0" w:color="auto"/>
        <w:left w:val="none" w:sz="0" w:space="0" w:color="auto"/>
        <w:bottom w:val="none" w:sz="0" w:space="0" w:color="auto"/>
        <w:right w:val="none" w:sz="0" w:space="0" w:color="auto"/>
      </w:divBdr>
    </w:div>
    <w:div w:id="1777746914">
      <w:bodyDiv w:val="1"/>
      <w:marLeft w:val="0"/>
      <w:marRight w:val="0"/>
      <w:marTop w:val="0"/>
      <w:marBottom w:val="0"/>
      <w:divBdr>
        <w:top w:val="none" w:sz="0" w:space="0" w:color="auto"/>
        <w:left w:val="none" w:sz="0" w:space="0" w:color="auto"/>
        <w:bottom w:val="none" w:sz="0" w:space="0" w:color="auto"/>
        <w:right w:val="none" w:sz="0" w:space="0" w:color="auto"/>
      </w:divBdr>
    </w:div>
    <w:div w:id="1779333162">
      <w:bodyDiv w:val="1"/>
      <w:marLeft w:val="0"/>
      <w:marRight w:val="0"/>
      <w:marTop w:val="0"/>
      <w:marBottom w:val="0"/>
      <w:divBdr>
        <w:top w:val="none" w:sz="0" w:space="0" w:color="auto"/>
        <w:left w:val="none" w:sz="0" w:space="0" w:color="auto"/>
        <w:bottom w:val="none" w:sz="0" w:space="0" w:color="auto"/>
        <w:right w:val="none" w:sz="0" w:space="0" w:color="auto"/>
      </w:divBdr>
    </w:div>
    <w:div w:id="1781416720">
      <w:bodyDiv w:val="1"/>
      <w:marLeft w:val="0"/>
      <w:marRight w:val="0"/>
      <w:marTop w:val="0"/>
      <w:marBottom w:val="0"/>
      <w:divBdr>
        <w:top w:val="none" w:sz="0" w:space="0" w:color="auto"/>
        <w:left w:val="none" w:sz="0" w:space="0" w:color="auto"/>
        <w:bottom w:val="none" w:sz="0" w:space="0" w:color="auto"/>
        <w:right w:val="none" w:sz="0" w:space="0" w:color="auto"/>
      </w:divBdr>
    </w:div>
    <w:div w:id="1799372299">
      <w:bodyDiv w:val="1"/>
      <w:marLeft w:val="0"/>
      <w:marRight w:val="0"/>
      <w:marTop w:val="0"/>
      <w:marBottom w:val="0"/>
      <w:divBdr>
        <w:top w:val="none" w:sz="0" w:space="0" w:color="auto"/>
        <w:left w:val="none" w:sz="0" w:space="0" w:color="auto"/>
        <w:bottom w:val="none" w:sz="0" w:space="0" w:color="auto"/>
        <w:right w:val="none" w:sz="0" w:space="0" w:color="auto"/>
      </w:divBdr>
      <w:divsChild>
        <w:div w:id="359018514">
          <w:marLeft w:val="480"/>
          <w:marRight w:val="0"/>
          <w:marTop w:val="0"/>
          <w:marBottom w:val="0"/>
          <w:divBdr>
            <w:top w:val="none" w:sz="0" w:space="0" w:color="auto"/>
            <w:left w:val="none" w:sz="0" w:space="0" w:color="auto"/>
            <w:bottom w:val="none" w:sz="0" w:space="0" w:color="auto"/>
            <w:right w:val="none" w:sz="0" w:space="0" w:color="auto"/>
          </w:divBdr>
        </w:div>
        <w:div w:id="364332463">
          <w:marLeft w:val="480"/>
          <w:marRight w:val="0"/>
          <w:marTop w:val="0"/>
          <w:marBottom w:val="0"/>
          <w:divBdr>
            <w:top w:val="none" w:sz="0" w:space="0" w:color="auto"/>
            <w:left w:val="none" w:sz="0" w:space="0" w:color="auto"/>
            <w:bottom w:val="none" w:sz="0" w:space="0" w:color="auto"/>
            <w:right w:val="none" w:sz="0" w:space="0" w:color="auto"/>
          </w:divBdr>
        </w:div>
        <w:div w:id="181357380">
          <w:marLeft w:val="480"/>
          <w:marRight w:val="0"/>
          <w:marTop w:val="0"/>
          <w:marBottom w:val="0"/>
          <w:divBdr>
            <w:top w:val="none" w:sz="0" w:space="0" w:color="auto"/>
            <w:left w:val="none" w:sz="0" w:space="0" w:color="auto"/>
            <w:bottom w:val="none" w:sz="0" w:space="0" w:color="auto"/>
            <w:right w:val="none" w:sz="0" w:space="0" w:color="auto"/>
          </w:divBdr>
        </w:div>
        <w:div w:id="708721587">
          <w:marLeft w:val="480"/>
          <w:marRight w:val="0"/>
          <w:marTop w:val="0"/>
          <w:marBottom w:val="0"/>
          <w:divBdr>
            <w:top w:val="none" w:sz="0" w:space="0" w:color="auto"/>
            <w:left w:val="none" w:sz="0" w:space="0" w:color="auto"/>
            <w:bottom w:val="none" w:sz="0" w:space="0" w:color="auto"/>
            <w:right w:val="none" w:sz="0" w:space="0" w:color="auto"/>
          </w:divBdr>
        </w:div>
        <w:div w:id="977303579">
          <w:marLeft w:val="480"/>
          <w:marRight w:val="0"/>
          <w:marTop w:val="0"/>
          <w:marBottom w:val="0"/>
          <w:divBdr>
            <w:top w:val="none" w:sz="0" w:space="0" w:color="auto"/>
            <w:left w:val="none" w:sz="0" w:space="0" w:color="auto"/>
            <w:bottom w:val="none" w:sz="0" w:space="0" w:color="auto"/>
            <w:right w:val="none" w:sz="0" w:space="0" w:color="auto"/>
          </w:divBdr>
        </w:div>
        <w:div w:id="1146822637">
          <w:marLeft w:val="480"/>
          <w:marRight w:val="0"/>
          <w:marTop w:val="0"/>
          <w:marBottom w:val="0"/>
          <w:divBdr>
            <w:top w:val="none" w:sz="0" w:space="0" w:color="auto"/>
            <w:left w:val="none" w:sz="0" w:space="0" w:color="auto"/>
            <w:bottom w:val="none" w:sz="0" w:space="0" w:color="auto"/>
            <w:right w:val="none" w:sz="0" w:space="0" w:color="auto"/>
          </w:divBdr>
        </w:div>
        <w:div w:id="76899963">
          <w:marLeft w:val="480"/>
          <w:marRight w:val="0"/>
          <w:marTop w:val="0"/>
          <w:marBottom w:val="0"/>
          <w:divBdr>
            <w:top w:val="none" w:sz="0" w:space="0" w:color="auto"/>
            <w:left w:val="none" w:sz="0" w:space="0" w:color="auto"/>
            <w:bottom w:val="none" w:sz="0" w:space="0" w:color="auto"/>
            <w:right w:val="none" w:sz="0" w:space="0" w:color="auto"/>
          </w:divBdr>
        </w:div>
        <w:div w:id="375589609">
          <w:marLeft w:val="480"/>
          <w:marRight w:val="0"/>
          <w:marTop w:val="0"/>
          <w:marBottom w:val="0"/>
          <w:divBdr>
            <w:top w:val="none" w:sz="0" w:space="0" w:color="auto"/>
            <w:left w:val="none" w:sz="0" w:space="0" w:color="auto"/>
            <w:bottom w:val="none" w:sz="0" w:space="0" w:color="auto"/>
            <w:right w:val="none" w:sz="0" w:space="0" w:color="auto"/>
          </w:divBdr>
        </w:div>
        <w:div w:id="1976640053">
          <w:marLeft w:val="480"/>
          <w:marRight w:val="0"/>
          <w:marTop w:val="0"/>
          <w:marBottom w:val="0"/>
          <w:divBdr>
            <w:top w:val="none" w:sz="0" w:space="0" w:color="auto"/>
            <w:left w:val="none" w:sz="0" w:space="0" w:color="auto"/>
            <w:bottom w:val="none" w:sz="0" w:space="0" w:color="auto"/>
            <w:right w:val="none" w:sz="0" w:space="0" w:color="auto"/>
          </w:divBdr>
        </w:div>
        <w:div w:id="1379084965">
          <w:marLeft w:val="480"/>
          <w:marRight w:val="0"/>
          <w:marTop w:val="0"/>
          <w:marBottom w:val="0"/>
          <w:divBdr>
            <w:top w:val="none" w:sz="0" w:space="0" w:color="auto"/>
            <w:left w:val="none" w:sz="0" w:space="0" w:color="auto"/>
            <w:bottom w:val="none" w:sz="0" w:space="0" w:color="auto"/>
            <w:right w:val="none" w:sz="0" w:space="0" w:color="auto"/>
          </w:divBdr>
        </w:div>
        <w:div w:id="447970942">
          <w:marLeft w:val="480"/>
          <w:marRight w:val="0"/>
          <w:marTop w:val="0"/>
          <w:marBottom w:val="0"/>
          <w:divBdr>
            <w:top w:val="none" w:sz="0" w:space="0" w:color="auto"/>
            <w:left w:val="none" w:sz="0" w:space="0" w:color="auto"/>
            <w:bottom w:val="none" w:sz="0" w:space="0" w:color="auto"/>
            <w:right w:val="none" w:sz="0" w:space="0" w:color="auto"/>
          </w:divBdr>
        </w:div>
        <w:div w:id="29304029">
          <w:marLeft w:val="480"/>
          <w:marRight w:val="0"/>
          <w:marTop w:val="0"/>
          <w:marBottom w:val="0"/>
          <w:divBdr>
            <w:top w:val="none" w:sz="0" w:space="0" w:color="auto"/>
            <w:left w:val="none" w:sz="0" w:space="0" w:color="auto"/>
            <w:bottom w:val="none" w:sz="0" w:space="0" w:color="auto"/>
            <w:right w:val="none" w:sz="0" w:space="0" w:color="auto"/>
          </w:divBdr>
        </w:div>
        <w:div w:id="220753800">
          <w:marLeft w:val="480"/>
          <w:marRight w:val="0"/>
          <w:marTop w:val="0"/>
          <w:marBottom w:val="0"/>
          <w:divBdr>
            <w:top w:val="none" w:sz="0" w:space="0" w:color="auto"/>
            <w:left w:val="none" w:sz="0" w:space="0" w:color="auto"/>
            <w:bottom w:val="none" w:sz="0" w:space="0" w:color="auto"/>
            <w:right w:val="none" w:sz="0" w:space="0" w:color="auto"/>
          </w:divBdr>
        </w:div>
        <w:div w:id="1401751363">
          <w:marLeft w:val="480"/>
          <w:marRight w:val="0"/>
          <w:marTop w:val="0"/>
          <w:marBottom w:val="0"/>
          <w:divBdr>
            <w:top w:val="none" w:sz="0" w:space="0" w:color="auto"/>
            <w:left w:val="none" w:sz="0" w:space="0" w:color="auto"/>
            <w:bottom w:val="none" w:sz="0" w:space="0" w:color="auto"/>
            <w:right w:val="none" w:sz="0" w:space="0" w:color="auto"/>
          </w:divBdr>
        </w:div>
      </w:divsChild>
    </w:div>
    <w:div w:id="1826966429">
      <w:bodyDiv w:val="1"/>
      <w:marLeft w:val="0"/>
      <w:marRight w:val="0"/>
      <w:marTop w:val="0"/>
      <w:marBottom w:val="0"/>
      <w:divBdr>
        <w:top w:val="none" w:sz="0" w:space="0" w:color="auto"/>
        <w:left w:val="none" w:sz="0" w:space="0" w:color="auto"/>
        <w:bottom w:val="none" w:sz="0" w:space="0" w:color="auto"/>
        <w:right w:val="none" w:sz="0" w:space="0" w:color="auto"/>
      </w:divBdr>
      <w:divsChild>
        <w:div w:id="2007631728">
          <w:marLeft w:val="0"/>
          <w:marRight w:val="0"/>
          <w:marTop w:val="0"/>
          <w:marBottom w:val="0"/>
          <w:divBdr>
            <w:top w:val="none" w:sz="0" w:space="0" w:color="auto"/>
            <w:left w:val="none" w:sz="0" w:space="0" w:color="auto"/>
            <w:bottom w:val="none" w:sz="0" w:space="0" w:color="auto"/>
            <w:right w:val="none" w:sz="0" w:space="0" w:color="auto"/>
          </w:divBdr>
        </w:div>
      </w:divsChild>
    </w:div>
    <w:div w:id="1831557954">
      <w:bodyDiv w:val="1"/>
      <w:marLeft w:val="0"/>
      <w:marRight w:val="0"/>
      <w:marTop w:val="0"/>
      <w:marBottom w:val="0"/>
      <w:divBdr>
        <w:top w:val="none" w:sz="0" w:space="0" w:color="auto"/>
        <w:left w:val="none" w:sz="0" w:space="0" w:color="auto"/>
        <w:bottom w:val="none" w:sz="0" w:space="0" w:color="auto"/>
        <w:right w:val="none" w:sz="0" w:space="0" w:color="auto"/>
      </w:divBdr>
    </w:div>
    <w:div w:id="1840655287">
      <w:bodyDiv w:val="1"/>
      <w:marLeft w:val="0"/>
      <w:marRight w:val="0"/>
      <w:marTop w:val="0"/>
      <w:marBottom w:val="0"/>
      <w:divBdr>
        <w:top w:val="none" w:sz="0" w:space="0" w:color="auto"/>
        <w:left w:val="none" w:sz="0" w:space="0" w:color="auto"/>
        <w:bottom w:val="none" w:sz="0" w:space="0" w:color="auto"/>
        <w:right w:val="none" w:sz="0" w:space="0" w:color="auto"/>
      </w:divBdr>
    </w:div>
    <w:div w:id="1845784011">
      <w:bodyDiv w:val="1"/>
      <w:marLeft w:val="0"/>
      <w:marRight w:val="0"/>
      <w:marTop w:val="0"/>
      <w:marBottom w:val="0"/>
      <w:divBdr>
        <w:top w:val="none" w:sz="0" w:space="0" w:color="auto"/>
        <w:left w:val="none" w:sz="0" w:space="0" w:color="auto"/>
        <w:bottom w:val="none" w:sz="0" w:space="0" w:color="auto"/>
        <w:right w:val="none" w:sz="0" w:space="0" w:color="auto"/>
      </w:divBdr>
    </w:div>
    <w:div w:id="1857501769">
      <w:bodyDiv w:val="1"/>
      <w:marLeft w:val="0"/>
      <w:marRight w:val="0"/>
      <w:marTop w:val="0"/>
      <w:marBottom w:val="0"/>
      <w:divBdr>
        <w:top w:val="none" w:sz="0" w:space="0" w:color="auto"/>
        <w:left w:val="none" w:sz="0" w:space="0" w:color="auto"/>
        <w:bottom w:val="none" w:sz="0" w:space="0" w:color="auto"/>
        <w:right w:val="none" w:sz="0" w:space="0" w:color="auto"/>
      </w:divBdr>
    </w:div>
    <w:div w:id="1875731396">
      <w:bodyDiv w:val="1"/>
      <w:marLeft w:val="0"/>
      <w:marRight w:val="0"/>
      <w:marTop w:val="0"/>
      <w:marBottom w:val="0"/>
      <w:divBdr>
        <w:top w:val="none" w:sz="0" w:space="0" w:color="auto"/>
        <w:left w:val="none" w:sz="0" w:space="0" w:color="auto"/>
        <w:bottom w:val="none" w:sz="0" w:space="0" w:color="auto"/>
        <w:right w:val="none" w:sz="0" w:space="0" w:color="auto"/>
      </w:divBdr>
      <w:divsChild>
        <w:div w:id="628784479">
          <w:marLeft w:val="480"/>
          <w:marRight w:val="0"/>
          <w:marTop w:val="0"/>
          <w:marBottom w:val="0"/>
          <w:divBdr>
            <w:top w:val="none" w:sz="0" w:space="0" w:color="auto"/>
            <w:left w:val="none" w:sz="0" w:space="0" w:color="auto"/>
            <w:bottom w:val="none" w:sz="0" w:space="0" w:color="auto"/>
            <w:right w:val="none" w:sz="0" w:space="0" w:color="auto"/>
          </w:divBdr>
        </w:div>
        <w:div w:id="1451364254">
          <w:marLeft w:val="480"/>
          <w:marRight w:val="0"/>
          <w:marTop w:val="0"/>
          <w:marBottom w:val="0"/>
          <w:divBdr>
            <w:top w:val="none" w:sz="0" w:space="0" w:color="auto"/>
            <w:left w:val="none" w:sz="0" w:space="0" w:color="auto"/>
            <w:bottom w:val="none" w:sz="0" w:space="0" w:color="auto"/>
            <w:right w:val="none" w:sz="0" w:space="0" w:color="auto"/>
          </w:divBdr>
        </w:div>
        <w:div w:id="382757529">
          <w:marLeft w:val="480"/>
          <w:marRight w:val="0"/>
          <w:marTop w:val="0"/>
          <w:marBottom w:val="0"/>
          <w:divBdr>
            <w:top w:val="none" w:sz="0" w:space="0" w:color="auto"/>
            <w:left w:val="none" w:sz="0" w:space="0" w:color="auto"/>
            <w:bottom w:val="none" w:sz="0" w:space="0" w:color="auto"/>
            <w:right w:val="none" w:sz="0" w:space="0" w:color="auto"/>
          </w:divBdr>
        </w:div>
        <w:div w:id="1924140226">
          <w:marLeft w:val="480"/>
          <w:marRight w:val="0"/>
          <w:marTop w:val="0"/>
          <w:marBottom w:val="0"/>
          <w:divBdr>
            <w:top w:val="none" w:sz="0" w:space="0" w:color="auto"/>
            <w:left w:val="none" w:sz="0" w:space="0" w:color="auto"/>
            <w:bottom w:val="none" w:sz="0" w:space="0" w:color="auto"/>
            <w:right w:val="none" w:sz="0" w:space="0" w:color="auto"/>
          </w:divBdr>
        </w:div>
        <w:div w:id="1634823432">
          <w:marLeft w:val="480"/>
          <w:marRight w:val="0"/>
          <w:marTop w:val="0"/>
          <w:marBottom w:val="0"/>
          <w:divBdr>
            <w:top w:val="none" w:sz="0" w:space="0" w:color="auto"/>
            <w:left w:val="none" w:sz="0" w:space="0" w:color="auto"/>
            <w:bottom w:val="none" w:sz="0" w:space="0" w:color="auto"/>
            <w:right w:val="none" w:sz="0" w:space="0" w:color="auto"/>
          </w:divBdr>
        </w:div>
        <w:div w:id="1289320446">
          <w:marLeft w:val="480"/>
          <w:marRight w:val="0"/>
          <w:marTop w:val="0"/>
          <w:marBottom w:val="0"/>
          <w:divBdr>
            <w:top w:val="none" w:sz="0" w:space="0" w:color="auto"/>
            <w:left w:val="none" w:sz="0" w:space="0" w:color="auto"/>
            <w:bottom w:val="none" w:sz="0" w:space="0" w:color="auto"/>
            <w:right w:val="none" w:sz="0" w:space="0" w:color="auto"/>
          </w:divBdr>
        </w:div>
        <w:div w:id="657344632">
          <w:marLeft w:val="480"/>
          <w:marRight w:val="0"/>
          <w:marTop w:val="0"/>
          <w:marBottom w:val="0"/>
          <w:divBdr>
            <w:top w:val="none" w:sz="0" w:space="0" w:color="auto"/>
            <w:left w:val="none" w:sz="0" w:space="0" w:color="auto"/>
            <w:bottom w:val="none" w:sz="0" w:space="0" w:color="auto"/>
            <w:right w:val="none" w:sz="0" w:space="0" w:color="auto"/>
          </w:divBdr>
        </w:div>
        <w:div w:id="1020426050">
          <w:marLeft w:val="480"/>
          <w:marRight w:val="0"/>
          <w:marTop w:val="0"/>
          <w:marBottom w:val="0"/>
          <w:divBdr>
            <w:top w:val="none" w:sz="0" w:space="0" w:color="auto"/>
            <w:left w:val="none" w:sz="0" w:space="0" w:color="auto"/>
            <w:bottom w:val="none" w:sz="0" w:space="0" w:color="auto"/>
            <w:right w:val="none" w:sz="0" w:space="0" w:color="auto"/>
          </w:divBdr>
        </w:div>
        <w:div w:id="1121070931">
          <w:marLeft w:val="480"/>
          <w:marRight w:val="0"/>
          <w:marTop w:val="0"/>
          <w:marBottom w:val="0"/>
          <w:divBdr>
            <w:top w:val="none" w:sz="0" w:space="0" w:color="auto"/>
            <w:left w:val="none" w:sz="0" w:space="0" w:color="auto"/>
            <w:bottom w:val="none" w:sz="0" w:space="0" w:color="auto"/>
            <w:right w:val="none" w:sz="0" w:space="0" w:color="auto"/>
          </w:divBdr>
        </w:div>
        <w:div w:id="1372877108">
          <w:marLeft w:val="480"/>
          <w:marRight w:val="0"/>
          <w:marTop w:val="0"/>
          <w:marBottom w:val="0"/>
          <w:divBdr>
            <w:top w:val="none" w:sz="0" w:space="0" w:color="auto"/>
            <w:left w:val="none" w:sz="0" w:space="0" w:color="auto"/>
            <w:bottom w:val="none" w:sz="0" w:space="0" w:color="auto"/>
            <w:right w:val="none" w:sz="0" w:space="0" w:color="auto"/>
          </w:divBdr>
        </w:div>
        <w:div w:id="384643820">
          <w:marLeft w:val="480"/>
          <w:marRight w:val="0"/>
          <w:marTop w:val="0"/>
          <w:marBottom w:val="0"/>
          <w:divBdr>
            <w:top w:val="none" w:sz="0" w:space="0" w:color="auto"/>
            <w:left w:val="none" w:sz="0" w:space="0" w:color="auto"/>
            <w:bottom w:val="none" w:sz="0" w:space="0" w:color="auto"/>
            <w:right w:val="none" w:sz="0" w:space="0" w:color="auto"/>
          </w:divBdr>
        </w:div>
        <w:div w:id="901524833">
          <w:marLeft w:val="480"/>
          <w:marRight w:val="0"/>
          <w:marTop w:val="0"/>
          <w:marBottom w:val="0"/>
          <w:divBdr>
            <w:top w:val="none" w:sz="0" w:space="0" w:color="auto"/>
            <w:left w:val="none" w:sz="0" w:space="0" w:color="auto"/>
            <w:bottom w:val="none" w:sz="0" w:space="0" w:color="auto"/>
            <w:right w:val="none" w:sz="0" w:space="0" w:color="auto"/>
          </w:divBdr>
        </w:div>
        <w:div w:id="729695312">
          <w:marLeft w:val="480"/>
          <w:marRight w:val="0"/>
          <w:marTop w:val="0"/>
          <w:marBottom w:val="0"/>
          <w:divBdr>
            <w:top w:val="none" w:sz="0" w:space="0" w:color="auto"/>
            <w:left w:val="none" w:sz="0" w:space="0" w:color="auto"/>
            <w:bottom w:val="none" w:sz="0" w:space="0" w:color="auto"/>
            <w:right w:val="none" w:sz="0" w:space="0" w:color="auto"/>
          </w:divBdr>
        </w:div>
        <w:div w:id="1592350235">
          <w:marLeft w:val="480"/>
          <w:marRight w:val="0"/>
          <w:marTop w:val="0"/>
          <w:marBottom w:val="0"/>
          <w:divBdr>
            <w:top w:val="none" w:sz="0" w:space="0" w:color="auto"/>
            <w:left w:val="none" w:sz="0" w:space="0" w:color="auto"/>
            <w:bottom w:val="none" w:sz="0" w:space="0" w:color="auto"/>
            <w:right w:val="none" w:sz="0" w:space="0" w:color="auto"/>
          </w:divBdr>
        </w:div>
        <w:div w:id="161894552">
          <w:marLeft w:val="480"/>
          <w:marRight w:val="0"/>
          <w:marTop w:val="0"/>
          <w:marBottom w:val="0"/>
          <w:divBdr>
            <w:top w:val="none" w:sz="0" w:space="0" w:color="auto"/>
            <w:left w:val="none" w:sz="0" w:space="0" w:color="auto"/>
            <w:bottom w:val="none" w:sz="0" w:space="0" w:color="auto"/>
            <w:right w:val="none" w:sz="0" w:space="0" w:color="auto"/>
          </w:divBdr>
        </w:div>
      </w:divsChild>
    </w:div>
    <w:div w:id="1882086652">
      <w:bodyDiv w:val="1"/>
      <w:marLeft w:val="0"/>
      <w:marRight w:val="0"/>
      <w:marTop w:val="0"/>
      <w:marBottom w:val="0"/>
      <w:divBdr>
        <w:top w:val="none" w:sz="0" w:space="0" w:color="auto"/>
        <w:left w:val="none" w:sz="0" w:space="0" w:color="auto"/>
        <w:bottom w:val="none" w:sz="0" w:space="0" w:color="auto"/>
        <w:right w:val="none" w:sz="0" w:space="0" w:color="auto"/>
      </w:divBdr>
    </w:div>
    <w:div w:id="1899587163">
      <w:bodyDiv w:val="1"/>
      <w:marLeft w:val="0"/>
      <w:marRight w:val="0"/>
      <w:marTop w:val="0"/>
      <w:marBottom w:val="0"/>
      <w:divBdr>
        <w:top w:val="none" w:sz="0" w:space="0" w:color="auto"/>
        <w:left w:val="none" w:sz="0" w:space="0" w:color="auto"/>
        <w:bottom w:val="none" w:sz="0" w:space="0" w:color="auto"/>
        <w:right w:val="none" w:sz="0" w:space="0" w:color="auto"/>
      </w:divBdr>
      <w:divsChild>
        <w:div w:id="209610615">
          <w:marLeft w:val="0"/>
          <w:marRight w:val="0"/>
          <w:marTop w:val="0"/>
          <w:marBottom w:val="0"/>
          <w:divBdr>
            <w:top w:val="none" w:sz="0" w:space="0" w:color="auto"/>
            <w:left w:val="none" w:sz="0" w:space="0" w:color="auto"/>
            <w:bottom w:val="none" w:sz="0" w:space="0" w:color="auto"/>
            <w:right w:val="none" w:sz="0" w:space="0" w:color="auto"/>
          </w:divBdr>
        </w:div>
      </w:divsChild>
    </w:div>
    <w:div w:id="1910119148">
      <w:bodyDiv w:val="1"/>
      <w:marLeft w:val="0"/>
      <w:marRight w:val="0"/>
      <w:marTop w:val="0"/>
      <w:marBottom w:val="0"/>
      <w:divBdr>
        <w:top w:val="none" w:sz="0" w:space="0" w:color="auto"/>
        <w:left w:val="none" w:sz="0" w:space="0" w:color="auto"/>
        <w:bottom w:val="none" w:sz="0" w:space="0" w:color="auto"/>
        <w:right w:val="none" w:sz="0" w:space="0" w:color="auto"/>
      </w:divBdr>
    </w:div>
    <w:div w:id="1911957928">
      <w:bodyDiv w:val="1"/>
      <w:marLeft w:val="0"/>
      <w:marRight w:val="0"/>
      <w:marTop w:val="0"/>
      <w:marBottom w:val="0"/>
      <w:divBdr>
        <w:top w:val="none" w:sz="0" w:space="0" w:color="auto"/>
        <w:left w:val="none" w:sz="0" w:space="0" w:color="auto"/>
        <w:bottom w:val="none" w:sz="0" w:space="0" w:color="auto"/>
        <w:right w:val="none" w:sz="0" w:space="0" w:color="auto"/>
      </w:divBdr>
    </w:div>
    <w:div w:id="1931616563">
      <w:bodyDiv w:val="1"/>
      <w:marLeft w:val="0"/>
      <w:marRight w:val="0"/>
      <w:marTop w:val="0"/>
      <w:marBottom w:val="0"/>
      <w:divBdr>
        <w:top w:val="none" w:sz="0" w:space="0" w:color="auto"/>
        <w:left w:val="none" w:sz="0" w:space="0" w:color="auto"/>
        <w:bottom w:val="none" w:sz="0" w:space="0" w:color="auto"/>
        <w:right w:val="none" w:sz="0" w:space="0" w:color="auto"/>
      </w:divBdr>
    </w:div>
    <w:div w:id="1943411472">
      <w:bodyDiv w:val="1"/>
      <w:marLeft w:val="0"/>
      <w:marRight w:val="0"/>
      <w:marTop w:val="0"/>
      <w:marBottom w:val="0"/>
      <w:divBdr>
        <w:top w:val="none" w:sz="0" w:space="0" w:color="auto"/>
        <w:left w:val="none" w:sz="0" w:space="0" w:color="auto"/>
        <w:bottom w:val="none" w:sz="0" w:space="0" w:color="auto"/>
        <w:right w:val="none" w:sz="0" w:space="0" w:color="auto"/>
      </w:divBdr>
    </w:div>
    <w:div w:id="1944878355">
      <w:bodyDiv w:val="1"/>
      <w:marLeft w:val="0"/>
      <w:marRight w:val="0"/>
      <w:marTop w:val="0"/>
      <w:marBottom w:val="0"/>
      <w:divBdr>
        <w:top w:val="none" w:sz="0" w:space="0" w:color="auto"/>
        <w:left w:val="none" w:sz="0" w:space="0" w:color="auto"/>
        <w:bottom w:val="none" w:sz="0" w:space="0" w:color="auto"/>
        <w:right w:val="none" w:sz="0" w:space="0" w:color="auto"/>
      </w:divBdr>
      <w:divsChild>
        <w:div w:id="1131367843">
          <w:marLeft w:val="0"/>
          <w:marRight w:val="0"/>
          <w:marTop w:val="0"/>
          <w:marBottom w:val="0"/>
          <w:divBdr>
            <w:top w:val="none" w:sz="0" w:space="0" w:color="auto"/>
            <w:left w:val="none" w:sz="0" w:space="0" w:color="auto"/>
            <w:bottom w:val="none" w:sz="0" w:space="0" w:color="auto"/>
            <w:right w:val="none" w:sz="0" w:space="0" w:color="auto"/>
          </w:divBdr>
        </w:div>
      </w:divsChild>
    </w:div>
    <w:div w:id="1967156372">
      <w:bodyDiv w:val="1"/>
      <w:marLeft w:val="0"/>
      <w:marRight w:val="0"/>
      <w:marTop w:val="0"/>
      <w:marBottom w:val="0"/>
      <w:divBdr>
        <w:top w:val="none" w:sz="0" w:space="0" w:color="auto"/>
        <w:left w:val="none" w:sz="0" w:space="0" w:color="auto"/>
        <w:bottom w:val="none" w:sz="0" w:space="0" w:color="auto"/>
        <w:right w:val="none" w:sz="0" w:space="0" w:color="auto"/>
      </w:divBdr>
      <w:divsChild>
        <w:div w:id="981621656">
          <w:marLeft w:val="480"/>
          <w:marRight w:val="0"/>
          <w:marTop w:val="0"/>
          <w:marBottom w:val="0"/>
          <w:divBdr>
            <w:top w:val="none" w:sz="0" w:space="0" w:color="auto"/>
            <w:left w:val="none" w:sz="0" w:space="0" w:color="auto"/>
            <w:bottom w:val="none" w:sz="0" w:space="0" w:color="auto"/>
            <w:right w:val="none" w:sz="0" w:space="0" w:color="auto"/>
          </w:divBdr>
        </w:div>
        <w:div w:id="395325216">
          <w:marLeft w:val="480"/>
          <w:marRight w:val="0"/>
          <w:marTop w:val="0"/>
          <w:marBottom w:val="0"/>
          <w:divBdr>
            <w:top w:val="none" w:sz="0" w:space="0" w:color="auto"/>
            <w:left w:val="none" w:sz="0" w:space="0" w:color="auto"/>
            <w:bottom w:val="none" w:sz="0" w:space="0" w:color="auto"/>
            <w:right w:val="none" w:sz="0" w:space="0" w:color="auto"/>
          </w:divBdr>
        </w:div>
        <w:div w:id="1907259271">
          <w:marLeft w:val="480"/>
          <w:marRight w:val="0"/>
          <w:marTop w:val="0"/>
          <w:marBottom w:val="0"/>
          <w:divBdr>
            <w:top w:val="none" w:sz="0" w:space="0" w:color="auto"/>
            <w:left w:val="none" w:sz="0" w:space="0" w:color="auto"/>
            <w:bottom w:val="none" w:sz="0" w:space="0" w:color="auto"/>
            <w:right w:val="none" w:sz="0" w:space="0" w:color="auto"/>
          </w:divBdr>
        </w:div>
        <w:div w:id="1658412982">
          <w:marLeft w:val="480"/>
          <w:marRight w:val="0"/>
          <w:marTop w:val="0"/>
          <w:marBottom w:val="0"/>
          <w:divBdr>
            <w:top w:val="none" w:sz="0" w:space="0" w:color="auto"/>
            <w:left w:val="none" w:sz="0" w:space="0" w:color="auto"/>
            <w:bottom w:val="none" w:sz="0" w:space="0" w:color="auto"/>
            <w:right w:val="none" w:sz="0" w:space="0" w:color="auto"/>
          </w:divBdr>
        </w:div>
        <w:div w:id="1599949158">
          <w:marLeft w:val="480"/>
          <w:marRight w:val="0"/>
          <w:marTop w:val="0"/>
          <w:marBottom w:val="0"/>
          <w:divBdr>
            <w:top w:val="none" w:sz="0" w:space="0" w:color="auto"/>
            <w:left w:val="none" w:sz="0" w:space="0" w:color="auto"/>
            <w:bottom w:val="none" w:sz="0" w:space="0" w:color="auto"/>
            <w:right w:val="none" w:sz="0" w:space="0" w:color="auto"/>
          </w:divBdr>
        </w:div>
        <w:div w:id="660163721">
          <w:marLeft w:val="480"/>
          <w:marRight w:val="0"/>
          <w:marTop w:val="0"/>
          <w:marBottom w:val="0"/>
          <w:divBdr>
            <w:top w:val="none" w:sz="0" w:space="0" w:color="auto"/>
            <w:left w:val="none" w:sz="0" w:space="0" w:color="auto"/>
            <w:bottom w:val="none" w:sz="0" w:space="0" w:color="auto"/>
            <w:right w:val="none" w:sz="0" w:space="0" w:color="auto"/>
          </w:divBdr>
        </w:div>
        <w:div w:id="51467091">
          <w:marLeft w:val="480"/>
          <w:marRight w:val="0"/>
          <w:marTop w:val="0"/>
          <w:marBottom w:val="0"/>
          <w:divBdr>
            <w:top w:val="none" w:sz="0" w:space="0" w:color="auto"/>
            <w:left w:val="none" w:sz="0" w:space="0" w:color="auto"/>
            <w:bottom w:val="none" w:sz="0" w:space="0" w:color="auto"/>
            <w:right w:val="none" w:sz="0" w:space="0" w:color="auto"/>
          </w:divBdr>
        </w:div>
        <w:div w:id="139351667">
          <w:marLeft w:val="480"/>
          <w:marRight w:val="0"/>
          <w:marTop w:val="0"/>
          <w:marBottom w:val="0"/>
          <w:divBdr>
            <w:top w:val="none" w:sz="0" w:space="0" w:color="auto"/>
            <w:left w:val="none" w:sz="0" w:space="0" w:color="auto"/>
            <w:bottom w:val="none" w:sz="0" w:space="0" w:color="auto"/>
            <w:right w:val="none" w:sz="0" w:space="0" w:color="auto"/>
          </w:divBdr>
        </w:div>
        <w:div w:id="1592159091">
          <w:marLeft w:val="480"/>
          <w:marRight w:val="0"/>
          <w:marTop w:val="0"/>
          <w:marBottom w:val="0"/>
          <w:divBdr>
            <w:top w:val="none" w:sz="0" w:space="0" w:color="auto"/>
            <w:left w:val="none" w:sz="0" w:space="0" w:color="auto"/>
            <w:bottom w:val="none" w:sz="0" w:space="0" w:color="auto"/>
            <w:right w:val="none" w:sz="0" w:space="0" w:color="auto"/>
          </w:divBdr>
        </w:div>
        <w:div w:id="177895559">
          <w:marLeft w:val="480"/>
          <w:marRight w:val="0"/>
          <w:marTop w:val="0"/>
          <w:marBottom w:val="0"/>
          <w:divBdr>
            <w:top w:val="none" w:sz="0" w:space="0" w:color="auto"/>
            <w:left w:val="none" w:sz="0" w:space="0" w:color="auto"/>
            <w:bottom w:val="none" w:sz="0" w:space="0" w:color="auto"/>
            <w:right w:val="none" w:sz="0" w:space="0" w:color="auto"/>
          </w:divBdr>
        </w:div>
        <w:div w:id="919676669">
          <w:marLeft w:val="480"/>
          <w:marRight w:val="0"/>
          <w:marTop w:val="0"/>
          <w:marBottom w:val="0"/>
          <w:divBdr>
            <w:top w:val="none" w:sz="0" w:space="0" w:color="auto"/>
            <w:left w:val="none" w:sz="0" w:space="0" w:color="auto"/>
            <w:bottom w:val="none" w:sz="0" w:space="0" w:color="auto"/>
            <w:right w:val="none" w:sz="0" w:space="0" w:color="auto"/>
          </w:divBdr>
        </w:div>
        <w:div w:id="697194004">
          <w:marLeft w:val="480"/>
          <w:marRight w:val="0"/>
          <w:marTop w:val="0"/>
          <w:marBottom w:val="0"/>
          <w:divBdr>
            <w:top w:val="none" w:sz="0" w:space="0" w:color="auto"/>
            <w:left w:val="none" w:sz="0" w:space="0" w:color="auto"/>
            <w:bottom w:val="none" w:sz="0" w:space="0" w:color="auto"/>
            <w:right w:val="none" w:sz="0" w:space="0" w:color="auto"/>
          </w:divBdr>
        </w:div>
        <w:div w:id="1449398973">
          <w:marLeft w:val="480"/>
          <w:marRight w:val="0"/>
          <w:marTop w:val="0"/>
          <w:marBottom w:val="0"/>
          <w:divBdr>
            <w:top w:val="none" w:sz="0" w:space="0" w:color="auto"/>
            <w:left w:val="none" w:sz="0" w:space="0" w:color="auto"/>
            <w:bottom w:val="none" w:sz="0" w:space="0" w:color="auto"/>
            <w:right w:val="none" w:sz="0" w:space="0" w:color="auto"/>
          </w:divBdr>
        </w:div>
      </w:divsChild>
    </w:div>
    <w:div w:id="1984659200">
      <w:bodyDiv w:val="1"/>
      <w:marLeft w:val="0"/>
      <w:marRight w:val="0"/>
      <w:marTop w:val="0"/>
      <w:marBottom w:val="0"/>
      <w:divBdr>
        <w:top w:val="none" w:sz="0" w:space="0" w:color="auto"/>
        <w:left w:val="none" w:sz="0" w:space="0" w:color="auto"/>
        <w:bottom w:val="none" w:sz="0" w:space="0" w:color="auto"/>
        <w:right w:val="none" w:sz="0" w:space="0" w:color="auto"/>
      </w:divBdr>
    </w:div>
    <w:div w:id="1986666983">
      <w:bodyDiv w:val="1"/>
      <w:marLeft w:val="0"/>
      <w:marRight w:val="0"/>
      <w:marTop w:val="0"/>
      <w:marBottom w:val="0"/>
      <w:divBdr>
        <w:top w:val="none" w:sz="0" w:space="0" w:color="auto"/>
        <w:left w:val="none" w:sz="0" w:space="0" w:color="auto"/>
        <w:bottom w:val="none" w:sz="0" w:space="0" w:color="auto"/>
        <w:right w:val="none" w:sz="0" w:space="0" w:color="auto"/>
      </w:divBdr>
      <w:divsChild>
        <w:div w:id="1195577883">
          <w:marLeft w:val="480"/>
          <w:marRight w:val="0"/>
          <w:marTop w:val="0"/>
          <w:marBottom w:val="0"/>
          <w:divBdr>
            <w:top w:val="none" w:sz="0" w:space="0" w:color="auto"/>
            <w:left w:val="none" w:sz="0" w:space="0" w:color="auto"/>
            <w:bottom w:val="none" w:sz="0" w:space="0" w:color="auto"/>
            <w:right w:val="none" w:sz="0" w:space="0" w:color="auto"/>
          </w:divBdr>
        </w:div>
        <w:div w:id="1889949853">
          <w:marLeft w:val="480"/>
          <w:marRight w:val="0"/>
          <w:marTop w:val="0"/>
          <w:marBottom w:val="0"/>
          <w:divBdr>
            <w:top w:val="none" w:sz="0" w:space="0" w:color="auto"/>
            <w:left w:val="none" w:sz="0" w:space="0" w:color="auto"/>
            <w:bottom w:val="none" w:sz="0" w:space="0" w:color="auto"/>
            <w:right w:val="none" w:sz="0" w:space="0" w:color="auto"/>
          </w:divBdr>
        </w:div>
        <w:div w:id="943998466">
          <w:marLeft w:val="480"/>
          <w:marRight w:val="0"/>
          <w:marTop w:val="0"/>
          <w:marBottom w:val="0"/>
          <w:divBdr>
            <w:top w:val="none" w:sz="0" w:space="0" w:color="auto"/>
            <w:left w:val="none" w:sz="0" w:space="0" w:color="auto"/>
            <w:bottom w:val="none" w:sz="0" w:space="0" w:color="auto"/>
            <w:right w:val="none" w:sz="0" w:space="0" w:color="auto"/>
          </w:divBdr>
        </w:div>
        <w:div w:id="1070999843">
          <w:marLeft w:val="480"/>
          <w:marRight w:val="0"/>
          <w:marTop w:val="0"/>
          <w:marBottom w:val="0"/>
          <w:divBdr>
            <w:top w:val="none" w:sz="0" w:space="0" w:color="auto"/>
            <w:left w:val="none" w:sz="0" w:space="0" w:color="auto"/>
            <w:bottom w:val="none" w:sz="0" w:space="0" w:color="auto"/>
            <w:right w:val="none" w:sz="0" w:space="0" w:color="auto"/>
          </w:divBdr>
        </w:div>
        <w:div w:id="1297222130">
          <w:marLeft w:val="480"/>
          <w:marRight w:val="0"/>
          <w:marTop w:val="0"/>
          <w:marBottom w:val="0"/>
          <w:divBdr>
            <w:top w:val="none" w:sz="0" w:space="0" w:color="auto"/>
            <w:left w:val="none" w:sz="0" w:space="0" w:color="auto"/>
            <w:bottom w:val="none" w:sz="0" w:space="0" w:color="auto"/>
            <w:right w:val="none" w:sz="0" w:space="0" w:color="auto"/>
          </w:divBdr>
        </w:div>
        <w:div w:id="1242057398">
          <w:marLeft w:val="480"/>
          <w:marRight w:val="0"/>
          <w:marTop w:val="0"/>
          <w:marBottom w:val="0"/>
          <w:divBdr>
            <w:top w:val="none" w:sz="0" w:space="0" w:color="auto"/>
            <w:left w:val="none" w:sz="0" w:space="0" w:color="auto"/>
            <w:bottom w:val="none" w:sz="0" w:space="0" w:color="auto"/>
            <w:right w:val="none" w:sz="0" w:space="0" w:color="auto"/>
          </w:divBdr>
        </w:div>
        <w:div w:id="646054222">
          <w:marLeft w:val="480"/>
          <w:marRight w:val="0"/>
          <w:marTop w:val="0"/>
          <w:marBottom w:val="0"/>
          <w:divBdr>
            <w:top w:val="none" w:sz="0" w:space="0" w:color="auto"/>
            <w:left w:val="none" w:sz="0" w:space="0" w:color="auto"/>
            <w:bottom w:val="none" w:sz="0" w:space="0" w:color="auto"/>
            <w:right w:val="none" w:sz="0" w:space="0" w:color="auto"/>
          </w:divBdr>
        </w:div>
        <w:div w:id="66078104">
          <w:marLeft w:val="480"/>
          <w:marRight w:val="0"/>
          <w:marTop w:val="0"/>
          <w:marBottom w:val="0"/>
          <w:divBdr>
            <w:top w:val="none" w:sz="0" w:space="0" w:color="auto"/>
            <w:left w:val="none" w:sz="0" w:space="0" w:color="auto"/>
            <w:bottom w:val="none" w:sz="0" w:space="0" w:color="auto"/>
            <w:right w:val="none" w:sz="0" w:space="0" w:color="auto"/>
          </w:divBdr>
        </w:div>
        <w:div w:id="745760822">
          <w:marLeft w:val="480"/>
          <w:marRight w:val="0"/>
          <w:marTop w:val="0"/>
          <w:marBottom w:val="0"/>
          <w:divBdr>
            <w:top w:val="none" w:sz="0" w:space="0" w:color="auto"/>
            <w:left w:val="none" w:sz="0" w:space="0" w:color="auto"/>
            <w:bottom w:val="none" w:sz="0" w:space="0" w:color="auto"/>
            <w:right w:val="none" w:sz="0" w:space="0" w:color="auto"/>
          </w:divBdr>
        </w:div>
        <w:div w:id="1855220848">
          <w:marLeft w:val="480"/>
          <w:marRight w:val="0"/>
          <w:marTop w:val="0"/>
          <w:marBottom w:val="0"/>
          <w:divBdr>
            <w:top w:val="none" w:sz="0" w:space="0" w:color="auto"/>
            <w:left w:val="none" w:sz="0" w:space="0" w:color="auto"/>
            <w:bottom w:val="none" w:sz="0" w:space="0" w:color="auto"/>
            <w:right w:val="none" w:sz="0" w:space="0" w:color="auto"/>
          </w:divBdr>
        </w:div>
      </w:divsChild>
    </w:div>
    <w:div w:id="1993024608">
      <w:bodyDiv w:val="1"/>
      <w:marLeft w:val="0"/>
      <w:marRight w:val="0"/>
      <w:marTop w:val="0"/>
      <w:marBottom w:val="0"/>
      <w:divBdr>
        <w:top w:val="none" w:sz="0" w:space="0" w:color="auto"/>
        <w:left w:val="none" w:sz="0" w:space="0" w:color="auto"/>
        <w:bottom w:val="none" w:sz="0" w:space="0" w:color="auto"/>
        <w:right w:val="none" w:sz="0" w:space="0" w:color="auto"/>
      </w:divBdr>
    </w:div>
    <w:div w:id="1996105191">
      <w:bodyDiv w:val="1"/>
      <w:marLeft w:val="0"/>
      <w:marRight w:val="0"/>
      <w:marTop w:val="0"/>
      <w:marBottom w:val="0"/>
      <w:divBdr>
        <w:top w:val="none" w:sz="0" w:space="0" w:color="auto"/>
        <w:left w:val="none" w:sz="0" w:space="0" w:color="auto"/>
        <w:bottom w:val="none" w:sz="0" w:space="0" w:color="auto"/>
        <w:right w:val="none" w:sz="0" w:space="0" w:color="auto"/>
      </w:divBdr>
    </w:div>
    <w:div w:id="1998224929">
      <w:bodyDiv w:val="1"/>
      <w:marLeft w:val="0"/>
      <w:marRight w:val="0"/>
      <w:marTop w:val="0"/>
      <w:marBottom w:val="0"/>
      <w:divBdr>
        <w:top w:val="none" w:sz="0" w:space="0" w:color="auto"/>
        <w:left w:val="none" w:sz="0" w:space="0" w:color="auto"/>
        <w:bottom w:val="none" w:sz="0" w:space="0" w:color="auto"/>
        <w:right w:val="none" w:sz="0" w:space="0" w:color="auto"/>
      </w:divBdr>
    </w:div>
    <w:div w:id="2030639729">
      <w:bodyDiv w:val="1"/>
      <w:marLeft w:val="0"/>
      <w:marRight w:val="0"/>
      <w:marTop w:val="0"/>
      <w:marBottom w:val="0"/>
      <w:divBdr>
        <w:top w:val="none" w:sz="0" w:space="0" w:color="auto"/>
        <w:left w:val="none" w:sz="0" w:space="0" w:color="auto"/>
        <w:bottom w:val="none" w:sz="0" w:space="0" w:color="auto"/>
        <w:right w:val="none" w:sz="0" w:space="0" w:color="auto"/>
      </w:divBdr>
      <w:divsChild>
        <w:div w:id="124078939">
          <w:marLeft w:val="480"/>
          <w:marRight w:val="0"/>
          <w:marTop w:val="0"/>
          <w:marBottom w:val="0"/>
          <w:divBdr>
            <w:top w:val="none" w:sz="0" w:space="0" w:color="auto"/>
            <w:left w:val="none" w:sz="0" w:space="0" w:color="auto"/>
            <w:bottom w:val="none" w:sz="0" w:space="0" w:color="auto"/>
            <w:right w:val="none" w:sz="0" w:space="0" w:color="auto"/>
          </w:divBdr>
        </w:div>
        <w:div w:id="1524324668">
          <w:marLeft w:val="480"/>
          <w:marRight w:val="0"/>
          <w:marTop w:val="0"/>
          <w:marBottom w:val="0"/>
          <w:divBdr>
            <w:top w:val="none" w:sz="0" w:space="0" w:color="auto"/>
            <w:left w:val="none" w:sz="0" w:space="0" w:color="auto"/>
            <w:bottom w:val="none" w:sz="0" w:space="0" w:color="auto"/>
            <w:right w:val="none" w:sz="0" w:space="0" w:color="auto"/>
          </w:divBdr>
        </w:div>
        <w:div w:id="1107384593">
          <w:marLeft w:val="480"/>
          <w:marRight w:val="0"/>
          <w:marTop w:val="0"/>
          <w:marBottom w:val="0"/>
          <w:divBdr>
            <w:top w:val="none" w:sz="0" w:space="0" w:color="auto"/>
            <w:left w:val="none" w:sz="0" w:space="0" w:color="auto"/>
            <w:bottom w:val="none" w:sz="0" w:space="0" w:color="auto"/>
            <w:right w:val="none" w:sz="0" w:space="0" w:color="auto"/>
          </w:divBdr>
        </w:div>
        <w:div w:id="1072504382">
          <w:marLeft w:val="480"/>
          <w:marRight w:val="0"/>
          <w:marTop w:val="0"/>
          <w:marBottom w:val="0"/>
          <w:divBdr>
            <w:top w:val="none" w:sz="0" w:space="0" w:color="auto"/>
            <w:left w:val="none" w:sz="0" w:space="0" w:color="auto"/>
            <w:bottom w:val="none" w:sz="0" w:space="0" w:color="auto"/>
            <w:right w:val="none" w:sz="0" w:space="0" w:color="auto"/>
          </w:divBdr>
        </w:div>
        <w:div w:id="1451125199">
          <w:marLeft w:val="480"/>
          <w:marRight w:val="0"/>
          <w:marTop w:val="0"/>
          <w:marBottom w:val="0"/>
          <w:divBdr>
            <w:top w:val="none" w:sz="0" w:space="0" w:color="auto"/>
            <w:left w:val="none" w:sz="0" w:space="0" w:color="auto"/>
            <w:bottom w:val="none" w:sz="0" w:space="0" w:color="auto"/>
            <w:right w:val="none" w:sz="0" w:space="0" w:color="auto"/>
          </w:divBdr>
        </w:div>
        <w:div w:id="919949242">
          <w:marLeft w:val="480"/>
          <w:marRight w:val="0"/>
          <w:marTop w:val="0"/>
          <w:marBottom w:val="0"/>
          <w:divBdr>
            <w:top w:val="none" w:sz="0" w:space="0" w:color="auto"/>
            <w:left w:val="none" w:sz="0" w:space="0" w:color="auto"/>
            <w:bottom w:val="none" w:sz="0" w:space="0" w:color="auto"/>
            <w:right w:val="none" w:sz="0" w:space="0" w:color="auto"/>
          </w:divBdr>
        </w:div>
        <w:div w:id="1040403522">
          <w:marLeft w:val="480"/>
          <w:marRight w:val="0"/>
          <w:marTop w:val="0"/>
          <w:marBottom w:val="0"/>
          <w:divBdr>
            <w:top w:val="none" w:sz="0" w:space="0" w:color="auto"/>
            <w:left w:val="none" w:sz="0" w:space="0" w:color="auto"/>
            <w:bottom w:val="none" w:sz="0" w:space="0" w:color="auto"/>
            <w:right w:val="none" w:sz="0" w:space="0" w:color="auto"/>
          </w:divBdr>
        </w:div>
        <w:div w:id="88016046">
          <w:marLeft w:val="480"/>
          <w:marRight w:val="0"/>
          <w:marTop w:val="0"/>
          <w:marBottom w:val="0"/>
          <w:divBdr>
            <w:top w:val="none" w:sz="0" w:space="0" w:color="auto"/>
            <w:left w:val="none" w:sz="0" w:space="0" w:color="auto"/>
            <w:bottom w:val="none" w:sz="0" w:space="0" w:color="auto"/>
            <w:right w:val="none" w:sz="0" w:space="0" w:color="auto"/>
          </w:divBdr>
        </w:div>
        <w:div w:id="310139895">
          <w:marLeft w:val="480"/>
          <w:marRight w:val="0"/>
          <w:marTop w:val="0"/>
          <w:marBottom w:val="0"/>
          <w:divBdr>
            <w:top w:val="none" w:sz="0" w:space="0" w:color="auto"/>
            <w:left w:val="none" w:sz="0" w:space="0" w:color="auto"/>
            <w:bottom w:val="none" w:sz="0" w:space="0" w:color="auto"/>
            <w:right w:val="none" w:sz="0" w:space="0" w:color="auto"/>
          </w:divBdr>
        </w:div>
        <w:div w:id="1195730447">
          <w:marLeft w:val="480"/>
          <w:marRight w:val="0"/>
          <w:marTop w:val="0"/>
          <w:marBottom w:val="0"/>
          <w:divBdr>
            <w:top w:val="none" w:sz="0" w:space="0" w:color="auto"/>
            <w:left w:val="none" w:sz="0" w:space="0" w:color="auto"/>
            <w:bottom w:val="none" w:sz="0" w:space="0" w:color="auto"/>
            <w:right w:val="none" w:sz="0" w:space="0" w:color="auto"/>
          </w:divBdr>
        </w:div>
        <w:div w:id="580674905">
          <w:marLeft w:val="480"/>
          <w:marRight w:val="0"/>
          <w:marTop w:val="0"/>
          <w:marBottom w:val="0"/>
          <w:divBdr>
            <w:top w:val="none" w:sz="0" w:space="0" w:color="auto"/>
            <w:left w:val="none" w:sz="0" w:space="0" w:color="auto"/>
            <w:bottom w:val="none" w:sz="0" w:space="0" w:color="auto"/>
            <w:right w:val="none" w:sz="0" w:space="0" w:color="auto"/>
          </w:divBdr>
        </w:div>
        <w:div w:id="530804069">
          <w:marLeft w:val="480"/>
          <w:marRight w:val="0"/>
          <w:marTop w:val="0"/>
          <w:marBottom w:val="0"/>
          <w:divBdr>
            <w:top w:val="none" w:sz="0" w:space="0" w:color="auto"/>
            <w:left w:val="none" w:sz="0" w:space="0" w:color="auto"/>
            <w:bottom w:val="none" w:sz="0" w:space="0" w:color="auto"/>
            <w:right w:val="none" w:sz="0" w:space="0" w:color="auto"/>
          </w:divBdr>
        </w:div>
        <w:div w:id="1092506711">
          <w:marLeft w:val="480"/>
          <w:marRight w:val="0"/>
          <w:marTop w:val="0"/>
          <w:marBottom w:val="0"/>
          <w:divBdr>
            <w:top w:val="none" w:sz="0" w:space="0" w:color="auto"/>
            <w:left w:val="none" w:sz="0" w:space="0" w:color="auto"/>
            <w:bottom w:val="none" w:sz="0" w:space="0" w:color="auto"/>
            <w:right w:val="none" w:sz="0" w:space="0" w:color="auto"/>
          </w:divBdr>
        </w:div>
        <w:div w:id="1228685740">
          <w:marLeft w:val="480"/>
          <w:marRight w:val="0"/>
          <w:marTop w:val="0"/>
          <w:marBottom w:val="0"/>
          <w:divBdr>
            <w:top w:val="none" w:sz="0" w:space="0" w:color="auto"/>
            <w:left w:val="none" w:sz="0" w:space="0" w:color="auto"/>
            <w:bottom w:val="none" w:sz="0" w:space="0" w:color="auto"/>
            <w:right w:val="none" w:sz="0" w:space="0" w:color="auto"/>
          </w:divBdr>
        </w:div>
      </w:divsChild>
    </w:div>
    <w:div w:id="2051026566">
      <w:bodyDiv w:val="1"/>
      <w:marLeft w:val="0"/>
      <w:marRight w:val="0"/>
      <w:marTop w:val="0"/>
      <w:marBottom w:val="0"/>
      <w:divBdr>
        <w:top w:val="none" w:sz="0" w:space="0" w:color="auto"/>
        <w:left w:val="none" w:sz="0" w:space="0" w:color="auto"/>
        <w:bottom w:val="none" w:sz="0" w:space="0" w:color="auto"/>
        <w:right w:val="none" w:sz="0" w:space="0" w:color="auto"/>
      </w:divBdr>
      <w:divsChild>
        <w:div w:id="1721827461">
          <w:marLeft w:val="480"/>
          <w:marRight w:val="0"/>
          <w:marTop w:val="0"/>
          <w:marBottom w:val="0"/>
          <w:divBdr>
            <w:top w:val="none" w:sz="0" w:space="0" w:color="auto"/>
            <w:left w:val="none" w:sz="0" w:space="0" w:color="auto"/>
            <w:bottom w:val="none" w:sz="0" w:space="0" w:color="auto"/>
            <w:right w:val="none" w:sz="0" w:space="0" w:color="auto"/>
          </w:divBdr>
        </w:div>
        <w:div w:id="1417941529">
          <w:marLeft w:val="480"/>
          <w:marRight w:val="0"/>
          <w:marTop w:val="0"/>
          <w:marBottom w:val="0"/>
          <w:divBdr>
            <w:top w:val="none" w:sz="0" w:space="0" w:color="auto"/>
            <w:left w:val="none" w:sz="0" w:space="0" w:color="auto"/>
            <w:bottom w:val="none" w:sz="0" w:space="0" w:color="auto"/>
            <w:right w:val="none" w:sz="0" w:space="0" w:color="auto"/>
          </w:divBdr>
        </w:div>
        <w:div w:id="1254436923">
          <w:marLeft w:val="480"/>
          <w:marRight w:val="0"/>
          <w:marTop w:val="0"/>
          <w:marBottom w:val="0"/>
          <w:divBdr>
            <w:top w:val="none" w:sz="0" w:space="0" w:color="auto"/>
            <w:left w:val="none" w:sz="0" w:space="0" w:color="auto"/>
            <w:bottom w:val="none" w:sz="0" w:space="0" w:color="auto"/>
            <w:right w:val="none" w:sz="0" w:space="0" w:color="auto"/>
          </w:divBdr>
        </w:div>
        <w:div w:id="418674447">
          <w:marLeft w:val="480"/>
          <w:marRight w:val="0"/>
          <w:marTop w:val="0"/>
          <w:marBottom w:val="0"/>
          <w:divBdr>
            <w:top w:val="none" w:sz="0" w:space="0" w:color="auto"/>
            <w:left w:val="none" w:sz="0" w:space="0" w:color="auto"/>
            <w:bottom w:val="none" w:sz="0" w:space="0" w:color="auto"/>
            <w:right w:val="none" w:sz="0" w:space="0" w:color="auto"/>
          </w:divBdr>
        </w:div>
        <w:div w:id="123541805">
          <w:marLeft w:val="480"/>
          <w:marRight w:val="0"/>
          <w:marTop w:val="0"/>
          <w:marBottom w:val="0"/>
          <w:divBdr>
            <w:top w:val="none" w:sz="0" w:space="0" w:color="auto"/>
            <w:left w:val="none" w:sz="0" w:space="0" w:color="auto"/>
            <w:bottom w:val="none" w:sz="0" w:space="0" w:color="auto"/>
            <w:right w:val="none" w:sz="0" w:space="0" w:color="auto"/>
          </w:divBdr>
        </w:div>
        <w:div w:id="748431584">
          <w:marLeft w:val="480"/>
          <w:marRight w:val="0"/>
          <w:marTop w:val="0"/>
          <w:marBottom w:val="0"/>
          <w:divBdr>
            <w:top w:val="none" w:sz="0" w:space="0" w:color="auto"/>
            <w:left w:val="none" w:sz="0" w:space="0" w:color="auto"/>
            <w:bottom w:val="none" w:sz="0" w:space="0" w:color="auto"/>
            <w:right w:val="none" w:sz="0" w:space="0" w:color="auto"/>
          </w:divBdr>
        </w:div>
        <w:div w:id="1187251908">
          <w:marLeft w:val="480"/>
          <w:marRight w:val="0"/>
          <w:marTop w:val="0"/>
          <w:marBottom w:val="0"/>
          <w:divBdr>
            <w:top w:val="none" w:sz="0" w:space="0" w:color="auto"/>
            <w:left w:val="none" w:sz="0" w:space="0" w:color="auto"/>
            <w:bottom w:val="none" w:sz="0" w:space="0" w:color="auto"/>
            <w:right w:val="none" w:sz="0" w:space="0" w:color="auto"/>
          </w:divBdr>
        </w:div>
        <w:div w:id="311446353">
          <w:marLeft w:val="480"/>
          <w:marRight w:val="0"/>
          <w:marTop w:val="0"/>
          <w:marBottom w:val="0"/>
          <w:divBdr>
            <w:top w:val="none" w:sz="0" w:space="0" w:color="auto"/>
            <w:left w:val="none" w:sz="0" w:space="0" w:color="auto"/>
            <w:bottom w:val="none" w:sz="0" w:space="0" w:color="auto"/>
            <w:right w:val="none" w:sz="0" w:space="0" w:color="auto"/>
          </w:divBdr>
        </w:div>
        <w:div w:id="1564217777">
          <w:marLeft w:val="480"/>
          <w:marRight w:val="0"/>
          <w:marTop w:val="0"/>
          <w:marBottom w:val="0"/>
          <w:divBdr>
            <w:top w:val="none" w:sz="0" w:space="0" w:color="auto"/>
            <w:left w:val="none" w:sz="0" w:space="0" w:color="auto"/>
            <w:bottom w:val="none" w:sz="0" w:space="0" w:color="auto"/>
            <w:right w:val="none" w:sz="0" w:space="0" w:color="auto"/>
          </w:divBdr>
        </w:div>
        <w:div w:id="1470126604">
          <w:marLeft w:val="480"/>
          <w:marRight w:val="0"/>
          <w:marTop w:val="0"/>
          <w:marBottom w:val="0"/>
          <w:divBdr>
            <w:top w:val="none" w:sz="0" w:space="0" w:color="auto"/>
            <w:left w:val="none" w:sz="0" w:space="0" w:color="auto"/>
            <w:bottom w:val="none" w:sz="0" w:space="0" w:color="auto"/>
            <w:right w:val="none" w:sz="0" w:space="0" w:color="auto"/>
          </w:divBdr>
        </w:div>
        <w:div w:id="1197356610">
          <w:marLeft w:val="480"/>
          <w:marRight w:val="0"/>
          <w:marTop w:val="0"/>
          <w:marBottom w:val="0"/>
          <w:divBdr>
            <w:top w:val="none" w:sz="0" w:space="0" w:color="auto"/>
            <w:left w:val="none" w:sz="0" w:space="0" w:color="auto"/>
            <w:bottom w:val="none" w:sz="0" w:space="0" w:color="auto"/>
            <w:right w:val="none" w:sz="0" w:space="0" w:color="auto"/>
          </w:divBdr>
        </w:div>
        <w:div w:id="1139344119">
          <w:marLeft w:val="480"/>
          <w:marRight w:val="0"/>
          <w:marTop w:val="0"/>
          <w:marBottom w:val="0"/>
          <w:divBdr>
            <w:top w:val="none" w:sz="0" w:space="0" w:color="auto"/>
            <w:left w:val="none" w:sz="0" w:space="0" w:color="auto"/>
            <w:bottom w:val="none" w:sz="0" w:space="0" w:color="auto"/>
            <w:right w:val="none" w:sz="0" w:space="0" w:color="auto"/>
          </w:divBdr>
        </w:div>
        <w:div w:id="2056849701">
          <w:marLeft w:val="480"/>
          <w:marRight w:val="0"/>
          <w:marTop w:val="0"/>
          <w:marBottom w:val="0"/>
          <w:divBdr>
            <w:top w:val="none" w:sz="0" w:space="0" w:color="auto"/>
            <w:left w:val="none" w:sz="0" w:space="0" w:color="auto"/>
            <w:bottom w:val="none" w:sz="0" w:space="0" w:color="auto"/>
            <w:right w:val="none" w:sz="0" w:space="0" w:color="auto"/>
          </w:divBdr>
        </w:div>
        <w:div w:id="1645114897">
          <w:marLeft w:val="480"/>
          <w:marRight w:val="0"/>
          <w:marTop w:val="0"/>
          <w:marBottom w:val="0"/>
          <w:divBdr>
            <w:top w:val="none" w:sz="0" w:space="0" w:color="auto"/>
            <w:left w:val="none" w:sz="0" w:space="0" w:color="auto"/>
            <w:bottom w:val="none" w:sz="0" w:space="0" w:color="auto"/>
            <w:right w:val="none" w:sz="0" w:space="0" w:color="auto"/>
          </w:divBdr>
        </w:div>
      </w:divsChild>
    </w:div>
    <w:div w:id="2062708211">
      <w:bodyDiv w:val="1"/>
      <w:marLeft w:val="0"/>
      <w:marRight w:val="0"/>
      <w:marTop w:val="0"/>
      <w:marBottom w:val="0"/>
      <w:divBdr>
        <w:top w:val="none" w:sz="0" w:space="0" w:color="auto"/>
        <w:left w:val="none" w:sz="0" w:space="0" w:color="auto"/>
        <w:bottom w:val="none" w:sz="0" w:space="0" w:color="auto"/>
        <w:right w:val="none" w:sz="0" w:space="0" w:color="auto"/>
      </w:divBdr>
      <w:divsChild>
        <w:div w:id="635573031">
          <w:marLeft w:val="480"/>
          <w:marRight w:val="0"/>
          <w:marTop w:val="0"/>
          <w:marBottom w:val="0"/>
          <w:divBdr>
            <w:top w:val="none" w:sz="0" w:space="0" w:color="auto"/>
            <w:left w:val="none" w:sz="0" w:space="0" w:color="auto"/>
            <w:bottom w:val="none" w:sz="0" w:space="0" w:color="auto"/>
            <w:right w:val="none" w:sz="0" w:space="0" w:color="auto"/>
          </w:divBdr>
        </w:div>
        <w:div w:id="556628123">
          <w:marLeft w:val="480"/>
          <w:marRight w:val="0"/>
          <w:marTop w:val="0"/>
          <w:marBottom w:val="0"/>
          <w:divBdr>
            <w:top w:val="none" w:sz="0" w:space="0" w:color="auto"/>
            <w:left w:val="none" w:sz="0" w:space="0" w:color="auto"/>
            <w:bottom w:val="none" w:sz="0" w:space="0" w:color="auto"/>
            <w:right w:val="none" w:sz="0" w:space="0" w:color="auto"/>
          </w:divBdr>
        </w:div>
        <w:div w:id="68966459">
          <w:marLeft w:val="480"/>
          <w:marRight w:val="0"/>
          <w:marTop w:val="0"/>
          <w:marBottom w:val="0"/>
          <w:divBdr>
            <w:top w:val="none" w:sz="0" w:space="0" w:color="auto"/>
            <w:left w:val="none" w:sz="0" w:space="0" w:color="auto"/>
            <w:bottom w:val="none" w:sz="0" w:space="0" w:color="auto"/>
            <w:right w:val="none" w:sz="0" w:space="0" w:color="auto"/>
          </w:divBdr>
        </w:div>
        <w:div w:id="1162741542">
          <w:marLeft w:val="480"/>
          <w:marRight w:val="0"/>
          <w:marTop w:val="0"/>
          <w:marBottom w:val="0"/>
          <w:divBdr>
            <w:top w:val="none" w:sz="0" w:space="0" w:color="auto"/>
            <w:left w:val="none" w:sz="0" w:space="0" w:color="auto"/>
            <w:bottom w:val="none" w:sz="0" w:space="0" w:color="auto"/>
            <w:right w:val="none" w:sz="0" w:space="0" w:color="auto"/>
          </w:divBdr>
        </w:div>
        <w:div w:id="1586067089">
          <w:marLeft w:val="480"/>
          <w:marRight w:val="0"/>
          <w:marTop w:val="0"/>
          <w:marBottom w:val="0"/>
          <w:divBdr>
            <w:top w:val="none" w:sz="0" w:space="0" w:color="auto"/>
            <w:left w:val="none" w:sz="0" w:space="0" w:color="auto"/>
            <w:bottom w:val="none" w:sz="0" w:space="0" w:color="auto"/>
            <w:right w:val="none" w:sz="0" w:space="0" w:color="auto"/>
          </w:divBdr>
        </w:div>
        <w:div w:id="1072195586">
          <w:marLeft w:val="480"/>
          <w:marRight w:val="0"/>
          <w:marTop w:val="0"/>
          <w:marBottom w:val="0"/>
          <w:divBdr>
            <w:top w:val="none" w:sz="0" w:space="0" w:color="auto"/>
            <w:left w:val="none" w:sz="0" w:space="0" w:color="auto"/>
            <w:bottom w:val="none" w:sz="0" w:space="0" w:color="auto"/>
            <w:right w:val="none" w:sz="0" w:space="0" w:color="auto"/>
          </w:divBdr>
        </w:div>
        <w:div w:id="1855997752">
          <w:marLeft w:val="480"/>
          <w:marRight w:val="0"/>
          <w:marTop w:val="0"/>
          <w:marBottom w:val="0"/>
          <w:divBdr>
            <w:top w:val="none" w:sz="0" w:space="0" w:color="auto"/>
            <w:left w:val="none" w:sz="0" w:space="0" w:color="auto"/>
            <w:bottom w:val="none" w:sz="0" w:space="0" w:color="auto"/>
            <w:right w:val="none" w:sz="0" w:space="0" w:color="auto"/>
          </w:divBdr>
        </w:div>
      </w:divsChild>
    </w:div>
    <w:div w:id="2068141282">
      <w:bodyDiv w:val="1"/>
      <w:marLeft w:val="0"/>
      <w:marRight w:val="0"/>
      <w:marTop w:val="0"/>
      <w:marBottom w:val="0"/>
      <w:divBdr>
        <w:top w:val="none" w:sz="0" w:space="0" w:color="auto"/>
        <w:left w:val="none" w:sz="0" w:space="0" w:color="auto"/>
        <w:bottom w:val="none" w:sz="0" w:space="0" w:color="auto"/>
        <w:right w:val="none" w:sz="0" w:space="0" w:color="auto"/>
      </w:divBdr>
    </w:div>
    <w:div w:id="2072457996">
      <w:bodyDiv w:val="1"/>
      <w:marLeft w:val="0"/>
      <w:marRight w:val="0"/>
      <w:marTop w:val="0"/>
      <w:marBottom w:val="0"/>
      <w:divBdr>
        <w:top w:val="none" w:sz="0" w:space="0" w:color="auto"/>
        <w:left w:val="none" w:sz="0" w:space="0" w:color="auto"/>
        <w:bottom w:val="none" w:sz="0" w:space="0" w:color="auto"/>
        <w:right w:val="none" w:sz="0" w:space="0" w:color="auto"/>
      </w:divBdr>
      <w:divsChild>
        <w:div w:id="2123572841">
          <w:marLeft w:val="480"/>
          <w:marRight w:val="0"/>
          <w:marTop w:val="0"/>
          <w:marBottom w:val="0"/>
          <w:divBdr>
            <w:top w:val="none" w:sz="0" w:space="0" w:color="auto"/>
            <w:left w:val="none" w:sz="0" w:space="0" w:color="auto"/>
            <w:bottom w:val="none" w:sz="0" w:space="0" w:color="auto"/>
            <w:right w:val="none" w:sz="0" w:space="0" w:color="auto"/>
          </w:divBdr>
        </w:div>
        <w:div w:id="1410662911">
          <w:marLeft w:val="480"/>
          <w:marRight w:val="0"/>
          <w:marTop w:val="0"/>
          <w:marBottom w:val="0"/>
          <w:divBdr>
            <w:top w:val="none" w:sz="0" w:space="0" w:color="auto"/>
            <w:left w:val="none" w:sz="0" w:space="0" w:color="auto"/>
            <w:bottom w:val="none" w:sz="0" w:space="0" w:color="auto"/>
            <w:right w:val="none" w:sz="0" w:space="0" w:color="auto"/>
          </w:divBdr>
        </w:div>
        <w:div w:id="871304367">
          <w:marLeft w:val="480"/>
          <w:marRight w:val="0"/>
          <w:marTop w:val="0"/>
          <w:marBottom w:val="0"/>
          <w:divBdr>
            <w:top w:val="none" w:sz="0" w:space="0" w:color="auto"/>
            <w:left w:val="none" w:sz="0" w:space="0" w:color="auto"/>
            <w:bottom w:val="none" w:sz="0" w:space="0" w:color="auto"/>
            <w:right w:val="none" w:sz="0" w:space="0" w:color="auto"/>
          </w:divBdr>
        </w:div>
        <w:div w:id="1467580114">
          <w:marLeft w:val="480"/>
          <w:marRight w:val="0"/>
          <w:marTop w:val="0"/>
          <w:marBottom w:val="0"/>
          <w:divBdr>
            <w:top w:val="none" w:sz="0" w:space="0" w:color="auto"/>
            <w:left w:val="none" w:sz="0" w:space="0" w:color="auto"/>
            <w:bottom w:val="none" w:sz="0" w:space="0" w:color="auto"/>
            <w:right w:val="none" w:sz="0" w:space="0" w:color="auto"/>
          </w:divBdr>
        </w:div>
        <w:div w:id="462040764">
          <w:marLeft w:val="480"/>
          <w:marRight w:val="0"/>
          <w:marTop w:val="0"/>
          <w:marBottom w:val="0"/>
          <w:divBdr>
            <w:top w:val="none" w:sz="0" w:space="0" w:color="auto"/>
            <w:left w:val="none" w:sz="0" w:space="0" w:color="auto"/>
            <w:bottom w:val="none" w:sz="0" w:space="0" w:color="auto"/>
            <w:right w:val="none" w:sz="0" w:space="0" w:color="auto"/>
          </w:divBdr>
        </w:div>
        <w:div w:id="1158619069">
          <w:marLeft w:val="480"/>
          <w:marRight w:val="0"/>
          <w:marTop w:val="0"/>
          <w:marBottom w:val="0"/>
          <w:divBdr>
            <w:top w:val="none" w:sz="0" w:space="0" w:color="auto"/>
            <w:left w:val="none" w:sz="0" w:space="0" w:color="auto"/>
            <w:bottom w:val="none" w:sz="0" w:space="0" w:color="auto"/>
            <w:right w:val="none" w:sz="0" w:space="0" w:color="auto"/>
          </w:divBdr>
        </w:div>
        <w:div w:id="313335650">
          <w:marLeft w:val="480"/>
          <w:marRight w:val="0"/>
          <w:marTop w:val="0"/>
          <w:marBottom w:val="0"/>
          <w:divBdr>
            <w:top w:val="none" w:sz="0" w:space="0" w:color="auto"/>
            <w:left w:val="none" w:sz="0" w:space="0" w:color="auto"/>
            <w:bottom w:val="none" w:sz="0" w:space="0" w:color="auto"/>
            <w:right w:val="none" w:sz="0" w:space="0" w:color="auto"/>
          </w:divBdr>
        </w:div>
        <w:div w:id="307443823">
          <w:marLeft w:val="480"/>
          <w:marRight w:val="0"/>
          <w:marTop w:val="0"/>
          <w:marBottom w:val="0"/>
          <w:divBdr>
            <w:top w:val="none" w:sz="0" w:space="0" w:color="auto"/>
            <w:left w:val="none" w:sz="0" w:space="0" w:color="auto"/>
            <w:bottom w:val="none" w:sz="0" w:space="0" w:color="auto"/>
            <w:right w:val="none" w:sz="0" w:space="0" w:color="auto"/>
          </w:divBdr>
        </w:div>
        <w:div w:id="546259631">
          <w:marLeft w:val="480"/>
          <w:marRight w:val="0"/>
          <w:marTop w:val="0"/>
          <w:marBottom w:val="0"/>
          <w:divBdr>
            <w:top w:val="none" w:sz="0" w:space="0" w:color="auto"/>
            <w:left w:val="none" w:sz="0" w:space="0" w:color="auto"/>
            <w:bottom w:val="none" w:sz="0" w:space="0" w:color="auto"/>
            <w:right w:val="none" w:sz="0" w:space="0" w:color="auto"/>
          </w:divBdr>
        </w:div>
        <w:div w:id="901601844">
          <w:marLeft w:val="480"/>
          <w:marRight w:val="0"/>
          <w:marTop w:val="0"/>
          <w:marBottom w:val="0"/>
          <w:divBdr>
            <w:top w:val="none" w:sz="0" w:space="0" w:color="auto"/>
            <w:left w:val="none" w:sz="0" w:space="0" w:color="auto"/>
            <w:bottom w:val="none" w:sz="0" w:space="0" w:color="auto"/>
            <w:right w:val="none" w:sz="0" w:space="0" w:color="auto"/>
          </w:divBdr>
        </w:div>
        <w:div w:id="477116917">
          <w:marLeft w:val="480"/>
          <w:marRight w:val="0"/>
          <w:marTop w:val="0"/>
          <w:marBottom w:val="0"/>
          <w:divBdr>
            <w:top w:val="none" w:sz="0" w:space="0" w:color="auto"/>
            <w:left w:val="none" w:sz="0" w:space="0" w:color="auto"/>
            <w:bottom w:val="none" w:sz="0" w:space="0" w:color="auto"/>
            <w:right w:val="none" w:sz="0" w:space="0" w:color="auto"/>
          </w:divBdr>
        </w:div>
        <w:div w:id="998341806">
          <w:marLeft w:val="480"/>
          <w:marRight w:val="0"/>
          <w:marTop w:val="0"/>
          <w:marBottom w:val="0"/>
          <w:divBdr>
            <w:top w:val="none" w:sz="0" w:space="0" w:color="auto"/>
            <w:left w:val="none" w:sz="0" w:space="0" w:color="auto"/>
            <w:bottom w:val="none" w:sz="0" w:space="0" w:color="auto"/>
            <w:right w:val="none" w:sz="0" w:space="0" w:color="auto"/>
          </w:divBdr>
        </w:div>
        <w:div w:id="2132169363">
          <w:marLeft w:val="480"/>
          <w:marRight w:val="0"/>
          <w:marTop w:val="0"/>
          <w:marBottom w:val="0"/>
          <w:divBdr>
            <w:top w:val="none" w:sz="0" w:space="0" w:color="auto"/>
            <w:left w:val="none" w:sz="0" w:space="0" w:color="auto"/>
            <w:bottom w:val="none" w:sz="0" w:space="0" w:color="auto"/>
            <w:right w:val="none" w:sz="0" w:space="0" w:color="auto"/>
          </w:divBdr>
        </w:div>
        <w:div w:id="1017193676">
          <w:marLeft w:val="480"/>
          <w:marRight w:val="0"/>
          <w:marTop w:val="0"/>
          <w:marBottom w:val="0"/>
          <w:divBdr>
            <w:top w:val="none" w:sz="0" w:space="0" w:color="auto"/>
            <w:left w:val="none" w:sz="0" w:space="0" w:color="auto"/>
            <w:bottom w:val="none" w:sz="0" w:space="0" w:color="auto"/>
            <w:right w:val="none" w:sz="0" w:space="0" w:color="auto"/>
          </w:divBdr>
        </w:div>
      </w:divsChild>
    </w:div>
    <w:div w:id="2081754842">
      <w:bodyDiv w:val="1"/>
      <w:marLeft w:val="0"/>
      <w:marRight w:val="0"/>
      <w:marTop w:val="0"/>
      <w:marBottom w:val="0"/>
      <w:divBdr>
        <w:top w:val="none" w:sz="0" w:space="0" w:color="auto"/>
        <w:left w:val="none" w:sz="0" w:space="0" w:color="auto"/>
        <w:bottom w:val="none" w:sz="0" w:space="0" w:color="auto"/>
        <w:right w:val="none" w:sz="0" w:space="0" w:color="auto"/>
      </w:divBdr>
    </w:div>
    <w:div w:id="2082099990">
      <w:bodyDiv w:val="1"/>
      <w:marLeft w:val="0"/>
      <w:marRight w:val="0"/>
      <w:marTop w:val="0"/>
      <w:marBottom w:val="0"/>
      <w:divBdr>
        <w:top w:val="none" w:sz="0" w:space="0" w:color="auto"/>
        <w:left w:val="none" w:sz="0" w:space="0" w:color="auto"/>
        <w:bottom w:val="none" w:sz="0" w:space="0" w:color="auto"/>
        <w:right w:val="none" w:sz="0" w:space="0" w:color="auto"/>
      </w:divBdr>
      <w:divsChild>
        <w:div w:id="843979701">
          <w:marLeft w:val="0"/>
          <w:marRight w:val="0"/>
          <w:marTop w:val="0"/>
          <w:marBottom w:val="0"/>
          <w:divBdr>
            <w:top w:val="none" w:sz="0" w:space="0" w:color="auto"/>
            <w:left w:val="none" w:sz="0" w:space="0" w:color="auto"/>
            <w:bottom w:val="none" w:sz="0" w:space="0" w:color="auto"/>
            <w:right w:val="none" w:sz="0" w:space="0" w:color="auto"/>
          </w:divBdr>
        </w:div>
      </w:divsChild>
    </w:div>
    <w:div w:id="2084985028">
      <w:bodyDiv w:val="1"/>
      <w:marLeft w:val="0"/>
      <w:marRight w:val="0"/>
      <w:marTop w:val="0"/>
      <w:marBottom w:val="0"/>
      <w:divBdr>
        <w:top w:val="none" w:sz="0" w:space="0" w:color="auto"/>
        <w:left w:val="none" w:sz="0" w:space="0" w:color="auto"/>
        <w:bottom w:val="none" w:sz="0" w:space="0" w:color="auto"/>
        <w:right w:val="none" w:sz="0" w:space="0" w:color="auto"/>
      </w:divBdr>
    </w:div>
    <w:div w:id="2089108557">
      <w:bodyDiv w:val="1"/>
      <w:marLeft w:val="0"/>
      <w:marRight w:val="0"/>
      <w:marTop w:val="0"/>
      <w:marBottom w:val="0"/>
      <w:divBdr>
        <w:top w:val="none" w:sz="0" w:space="0" w:color="auto"/>
        <w:left w:val="none" w:sz="0" w:space="0" w:color="auto"/>
        <w:bottom w:val="none" w:sz="0" w:space="0" w:color="auto"/>
        <w:right w:val="none" w:sz="0" w:space="0" w:color="auto"/>
      </w:divBdr>
      <w:divsChild>
        <w:div w:id="591671566">
          <w:marLeft w:val="480"/>
          <w:marRight w:val="0"/>
          <w:marTop w:val="0"/>
          <w:marBottom w:val="0"/>
          <w:divBdr>
            <w:top w:val="none" w:sz="0" w:space="0" w:color="auto"/>
            <w:left w:val="none" w:sz="0" w:space="0" w:color="auto"/>
            <w:bottom w:val="none" w:sz="0" w:space="0" w:color="auto"/>
            <w:right w:val="none" w:sz="0" w:space="0" w:color="auto"/>
          </w:divBdr>
        </w:div>
        <w:div w:id="2072268616">
          <w:marLeft w:val="480"/>
          <w:marRight w:val="0"/>
          <w:marTop w:val="0"/>
          <w:marBottom w:val="0"/>
          <w:divBdr>
            <w:top w:val="none" w:sz="0" w:space="0" w:color="auto"/>
            <w:left w:val="none" w:sz="0" w:space="0" w:color="auto"/>
            <w:bottom w:val="none" w:sz="0" w:space="0" w:color="auto"/>
            <w:right w:val="none" w:sz="0" w:space="0" w:color="auto"/>
          </w:divBdr>
        </w:div>
        <w:div w:id="1587761040">
          <w:marLeft w:val="480"/>
          <w:marRight w:val="0"/>
          <w:marTop w:val="0"/>
          <w:marBottom w:val="0"/>
          <w:divBdr>
            <w:top w:val="none" w:sz="0" w:space="0" w:color="auto"/>
            <w:left w:val="none" w:sz="0" w:space="0" w:color="auto"/>
            <w:bottom w:val="none" w:sz="0" w:space="0" w:color="auto"/>
            <w:right w:val="none" w:sz="0" w:space="0" w:color="auto"/>
          </w:divBdr>
        </w:div>
        <w:div w:id="1709377796">
          <w:marLeft w:val="480"/>
          <w:marRight w:val="0"/>
          <w:marTop w:val="0"/>
          <w:marBottom w:val="0"/>
          <w:divBdr>
            <w:top w:val="none" w:sz="0" w:space="0" w:color="auto"/>
            <w:left w:val="none" w:sz="0" w:space="0" w:color="auto"/>
            <w:bottom w:val="none" w:sz="0" w:space="0" w:color="auto"/>
            <w:right w:val="none" w:sz="0" w:space="0" w:color="auto"/>
          </w:divBdr>
        </w:div>
        <w:div w:id="1228032439">
          <w:marLeft w:val="480"/>
          <w:marRight w:val="0"/>
          <w:marTop w:val="0"/>
          <w:marBottom w:val="0"/>
          <w:divBdr>
            <w:top w:val="none" w:sz="0" w:space="0" w:color="auto"/>
            <w:left w:val="none" w:sz="0" w:space="0" w:color="auto"/>
            <w:bottom w:val="none" w:sz="0" w:space="0" w:color="auto"/>
            <w:right w:val="none" w:sz="0" w:space="0" w:color="auto"/>
          </w:divBdr>
        </w:div>
        <w:div w:id="291324217">
          <w:marLeft w:val="480"/>
          <w:marRight w:val="0"/>
          <w:marTop w:val="0"/>
          <w:marBottom w:val="0"/>
          <w:divBdr>
            <w:top w:val="none" w:sz="0" w:space="0" w:color="auto"/>
            <w:left w:val="none" w:sz="0" w:space="0" w:color="auto"/>
            <w:bottom w:val="none" w:sz="0" w:space="0" w:color="auto"/>
            <w:right w:val="none" w:sz="0" w:space="0" w:color="auto"/>
          </w:divBdr>
        </w:div>
        <w:div w:id="1837577772">
          <w:marLeft w:val="480"/>
          <w:marRight w:val="0"/>
          <w:marTop w:val="0"/>
          <w:marBottom w:val="0"/>
          <w:divBdr>
            <w:top w:val="none" w:sz="0" w:space="0" w:color="auto"/>
            <w:left w:val="none" w:sz="0" w:space="0" w:color="auto"/>
            <w:bottom w:val="none" w:sz="0" w:space="0" w:color="auto"/>
            <w:right w:val="none" w:sz="0" w:space="0" w:color="auto"/>
          </w:divBdr>
        </w:div>
        <w:div w:id="2069182699">
          <w:marLeft w:val="480"/>
          <w:marRight w:val="0"/>
          <w:marTop w:val="0"/>
          <w:marBottom w:val="0"/>
          <w:divBdr>
            <w:top w:val="none" w:sz="0" w:space="0" w:color="auto"/>
            <w:left w:val="none" w:sz="0" w:space="0" w:color="auto"/>
            <w:bottom w:val="none" w:sz="0" w:space="0" w:color="auto"/>
            <w:right w:val="none" w:sz="0" w:space="0" w:color="auto"/>
          </w:divBdr>
        </w:div>
        <w:div w:id="1169100504">
          <w:marLeft w:val="480"/>
          <w:marRight w:val="0"/>
          <w:marTop w:val="0"/>
          <w:marBottom w:val="0"/>
          <w:divBdr>
            <w:top w:val="none" w:sz="0" w:space="0" w:color="auto"/>
            <w:left w:val="none" w:sz="0" w:space="0" w:color="auto"/>
            <w:bottom w:val="none" w:sz="0" w:space="0" w:color="auto"/>
            <w:right w:val="none" w:sz="0" w:space="0" w:color="auto"/>
          </w:divBdr>
        </w:div>
        <w:div w:id="951716256">
          <w:marLeft w:val="480"/>
          <w:marRight w:val="0"/>
          <w:marTop w:val="0"/>
          <w:marBottom w:val="0"/>
          <w:divBdr>
            <w:top w:val="none" w:sz="0" w:space="0" w:color="auto"/>
            <w:left w:val="none" w:sz="0" w:space="0" w:color="auto"/>
            <w:bottom w:val="none" w:sz="0" w:space="0" w:color="auto"/>
            <w:right w:val="none" w:sz="0" w:space="0" w:color="auto"/>
          </w:divBdr>
        </w:div>
        <w:div w:id="903369070">
          <w:marLeft w:val="480"/>
          <w:marRight w:val="0"/>
          <w:marTop w:val="0"/>
          <w:marBottom w:val="0"/>
          <w:divBdr>
            <w:top w:val="none" w:sz="0" w:space="0" w:color="auto"/>
            <w:left w:val="none" w:sz="0" w:space="0" w:color="auto"/>
            <w:bottom w:val="none" w:sz="0" w:space="0" w:color="auto"/>
            <w:right w:val="none" w:sz="0" w:space="0" w:color="auto"/>
          </w:divBdr>
        </w:div>
        <w:div w:id="1042367703">
          <w:marLeft w:val="480"/>
          <w:marRight w:val="0"/>
          <w:marTop w:val="0"/>
          <w:marBottom w:val="0"/>
          <w:divBdr>
            <w:top w:val="none" w:sz="0" w:space="0" w:color="auto"/>
            <w:left w:val="none" w:sz="0" w:space="0" w:color="auto"/>
            <w:bottom w:val="none" w:sz="0" w:space="0" w:color="auto"/>
            <w:right w:val="none" w:sz="0" w:space="0" w:color="auto"/>
          </w:divBdr>
        </w:div>
        <w:div w:id="91322740">
          <w:marLeft w:val="480"/>
          <w:marRight w:val="0"/>
          <w:marTop w:val="0"/>
          <w:marBottom w:val="0"/>
          <w:divBdr>
            <w:top w:val="none" w:sz="0" w:space="0" w:color="auto"/>
            <w:left w:val="none" w:sz="0" w:space="0" w:color="auto"/>
            <w:bottom w:val="none" w:sz="0" w:space="0" w:color="auto"/>
            <w:right w:val="none" w:sz="0" w:space="0" w:color="auto"/>
          </w:divBdr>
        </w:div>
        <w:div w:id="204417253">
          <w:marLeft w:val="480"/>
          <w:marRight w:val="0"/>
          <w:marTop w:val="0"/>
          <w:marBottom w:val="0"/>
          <w:divBdr>
            <w:top w:val="none" w:sz="0" w:space="0" w:color="auto"/>
            <w:left w:val="none" w:sz="0" w:space="0" w:color="auto"/>
            <w:bottom w:val="none" w:sz="0" w:space="0" w:color="auto"/>
            <w:right w:val="none" w:sz="0" w:space="0" w:color="auto"/>
          </w:divBdr>
        </w:div>
      </w:divsChild>
    </w:div>
    <w:div w:id="2113082445">
      <w:bodyDiv w:val="1"/>
      <w:marLeft w:val="0"/>
      <w:marRight w:val="0"/>
      <w:marTop w:val="0"/>
      <w:marBottom w:val="0"/>
      <w:divBdr>
        <w:top w:val="none" w:sz="0" w:space="0" w:color="auto"/>
        <w:left w:val="none" w:sz="0" w:space="0" w:color="auto"/>
        <w:bottom w:val="none" w:sz="0" w:space="0" w:color="auto"/>
        <w:right w:val="none" w:sz="0" w:space="0" w:color="auto"/>
      </w:divBdr>
      <w:divsChild>
        <w:div w:id="1519806414">
          <w:marLeft w:val="0"/>
          <w:marRight w:val="0"/>
          <w:marTop w:val="0"/>
          <w:marBottom w:val="0"/>
          <w:divBdr>
            <w:top w:val="none" w:sz="0" w:space="0" w:color="auto"/>
            <w:left w:val="none" w:sz="0" w:space="0" w:color="auto"/>
            <w:bottom w:val="none" w:sz="0" w:space="0" w:color="auto"/>
            <w:right w:val="none" w:sz="0" w:space="0" w:color="auto"/>
          </w:divBdr>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742410">
      <w:bodyDiv w:val="1"/>
      <w:marLeft w:val="0"/>
      <w:marRight w:val="0"/>
      <w:marTop w:val="0"/>
      <w:marBottom w:val="0"/>
      <w:divBdr>
        <w:top w:val="none" w:sz="0" w:space="0" w:color="auto"/>
        <w:left w:val="none" w:sz="0" w:space="0" w:color="auto"/>
        <w:bottom w:val="none" w:sz="0" w:space="0" w:color="auto"/>
        <w:right w:val="none" w:sz="0" w:space="0" w:color="auto"/>
      </w:divBdr>
    </w:div>
    <w:div w:id="2145464160">
      <w:bodyDiv w:val="1"/>
      <w:marLeft w:val="0"/>
      <w:marRight w:val="0"/>
      <w:marTop w:val="0"/>
      <w:marBottom w:val="0"/>
      <w:divBdr>
        <w:top w:val="none" w:sz="0" w:space="0" w:color="auto"/>
        <w:left w:val="none" w:sz="0" w:space="0" w:color="auto"/>
        <w:bottom w:val="none" w:sz="0" w:space="0" w:color="auto"/>
        <w:right w:val="none" w:sz="0" w:space="0" w:color="auto"/>
      </w:divBdr>
      <w:divsChild>
        <w:div w:id="1868327567">
          <w:marLeft w:val="480"/>
          <w:marRight w:val="0"/>
          <w:marTop w:val="0"/>
          <w:marBottom w:val="0"/>
          <w:divBdr>
            <w:top w:val="none" w:sz="0" w:space="0" w:color="auto"/>
            <w:left w:val="none" w:sz="0" w:space="0" w:color="auto"/>
            <w:bottom w:val="none" w:sz="0" w:space="0" w:color="auto"/>
            <w:right w:val="none" w:sz="0" w:space="0" w:color="auto"/>
          </w:divBdr>
        </w:div>
        <w:div w:id="731271690">
          <w:marLeft w:val="480"/>
          <w:marRight w:val="0"/>
          <w:marTop w:val="0"/>
          <w:marBottom w:val="0"/>
          <w:divBdr>
            <w:top w:val="none" w:sz="0" w:space="0" w:color="auto"/>
            <w:left w:val="none" w:sz="0" w:space="0" w:color="auto"/>
            <w:bottom w:val="none" w:sz="0" w:space="0" w:color="auto"/>
            <w:right w:val="none" w:sz="0" w:space="0" w:color="auto"/>
          </w:divBdr>
        </w:div>
        <w:div w:id="212889860">
          <w:marLeft w:val="480"/>
          <w:marRight w:val="0"/>
          <w:marTop w:val="0"/>
          <w:marBottom w:val="0"/>
          <w:divBdr>
            <w:top w:val="none" w:sz="0" w:space="0" w:color="auto"/>
            <w:left w:val="none" w:sz="0" w:space="0" w:color="auto"/>
            <w:bottom w:val="none" w:sz="0" w:space="0" w:color="auto"/>
            <w:right w:val="none" w:sz="0" w:space="0" w:color="auto"/>
          </w:divBdr>
        </w:div>
        <w:div w:id="1338463276">
          <w:marLeft w:val="480"/>
          <w:marRight w:val="0"/>
          <w:marTop w:val="0"/>
          <w:marBottom w:val="0"/>
          <w:divBdr>
            <w:top w:val="none" w:sz="0" w:space="0" w:color="auto"/>
            <w:left w:val="none" w:sz="0" w:space="0" w:color="auto"/>
            <w:bottom w:val="none" w:sz="0" w:space="0" w:color="auto"/>
            <w:right w:val="none" w:sz="0" w:space="0" w:color="auto"/>
          </w:divBdr>
        </w:div>
        <w:div w:id="1847086915">
          <w:marLeft w:val="480"/>
          <w:marRight w:val="0"/>
          <w:marTop w:val="0"/>
          <w:marBottom w:val="0"/>
          <w:divBdr>
            <w:top w:val="none" w:sz="0" w:space="0" w:color="auto"/>
            <w:left w:val="none" w:sz="0" w:space="0" w:color="auto"/>
            <w:bottom w:val="none" w:sz="0" w:space="0" w:color="auto"/>
            <w:right w:val="none" w:sz="0" w:space="0" w:color="auto"/>
          </w:divBdr>
        </w:div>
        <w:div w:id="715009504">
          <w:marLeft w:val="480"/>
          <w:marRight w:val="0"/>
          <w:marTop w:val="0"/>
          <w:marBottom w:val="0"/>
          <w:divBdr>
            <w:top w:val="none" w:sz="0" w:space="0" w:color="auto"/>
            <w:left w:val="none" w:sz="0" w:space="0" w:color="auto"/>
            <w:bottom w:val="none" w:sz="0" w:space="0" w:color="auto"/>
            <w:right w:val="none" w:sz="0" w:space="0" w:color="auto"/>
          </w:divBdr>
        </w:div>
        <w:div w:id="449981773">
          <w:marLeft w:val="480"/>
          <w:marRight w:val="0"/>
          <w:marTop w:val="0"/>
          <w:marBottom w:val="0"/>
          <w:divBdr>
            <w:top w:val="none" w:sz="0" w:space="0" w:color="auto"/>
            <w:left w:val="none" w:sz="0" w:space="0" w:color="auto"/>
            <w:bottom w:val="none" w:sz="0" w:space="0" w:color="auto"/>
            <w:right w:val="none" w:sz="0" w:space="0" w:color="auto"/>
          </w:divBdr>
        </w:div>
        <w:div w:id="2042313632">
          <w:marLeft w:val="480"/>
          <w:marRight w:val="0"/>
          <w:marTop w:val="0"/>
          <w:marBottom w:val="0"/>
          <w:divBdr>
            <w:top w:val="none" w:sz="0" w:space="0" w:color="auto"/>
            <w:left w:val="none" w:sz="0" w:space="0" w:color="auto"/>
            <w:bottom w:val="none" w:sz="0" w:space="0" w:color="auto"/>
            <w:right w:val="none" w:sz="0" w:space="0" w:color="auto"/>
          </w:divBdr>
        </w:div>
        <w:div w:id="1330715322">
          <w:marLeft w:val="480"/>
          <w:marRight w:val="0"/>
          <w:marTop w:val="0"/>
          <w:marBottom w:val="0"/>
          <w:divBdr>
            <w:top w:val="none" w:sz="0" w:space="0" w:color="auto"/>
            <w:left w:val="none" w:sz="0" w:space="0" w:color="auto"/>
            <w:bottom w:val="none" w:sz="0" w:space="0" w:color="auto"/>
            <w:right w:val="none" w:sz="0" w:space="0" w:color="auto"/>
          </w:divBdr>
        </w:div>
        <w:div w:id="2146000221">
          <w:marLeft w:val="480"/>
          <w:marRight w:val="0"/>
          <w:marTop w:val="0"/>
          <w:marBottom w:val="0"/>
          <w:divBdr>
            <w:top w:val="none" w:sz="0" w:space="0" w:color="auto"/>
            <w:left w:val="none" w:sz="0" w:space="0" w:color="auto"/>
            <w:bottom w:val="none" w:sz="0" w:space="0" w:color="auto"/>
            <w:right w:val="none" w:sz="0" w:space="0" w:color="auto"/>
          </w:divBdr>
        </w:div>
        <w:div w:id="990451326">
          <w:marLeft w:val="480"/>
          <w:marRight w:val="0"/>
          <w:marTop w:val="0"/>
          <w:marBottom w:val="0"/>
          <w:divBdr>
            <w:top w:val="none" w:sz="0" w:space="0" w:color="auto"/>
            <w:left w:val="none" w:sz="0" w:space="0" w:color="auto"/>
            <w:bottom w:val="none" w:sz="0" w:space="0" w:color="auto"/>
            <w:right w:val="none" w:sz="0" w:space="0" w:color="auto"/>
          </w:divBdr>
        </w:div>
        <w:div w:id="1104181560">
          <w:marLeft w:val="480"/>
          <w:marRight w:val="0"/>
          <w:marTop w:val="0"/>
          <w:marBottom w:val="0"/>
          <w:divBdr>
            <w:top w:val="none" w:sz="0" w:space="0" w:color="auto"/>
            <w:left w:val="none" w:sz="0" w:space="0" w:color="auto"/>
            <w:bottom w:val="none" w:sz="0" w:space="0" w:color="auto"/>
            <w:right w:val="none" w:sz="0" w:space="0" w:color="auto"/>
          </w:divBdr>
        </w:div>
        <w:div w:id="1432117865">
          <w:marLeft w:val="480"/>
          <w:marRight w:val="0"/>
          <w:marTop w:val="0"/>
          <w:marBottom w:val="0"/>
          <w:divBdr>
            <w:top w:val="none" w:sz="0" w:space="0" w:color="auto"/>
            <w:left w:val="none" w:sz="0" w:space="0" w:color="auto"/>
            <w:bottom w:val="none" w:sz="0" w:space="0" w:color="auto"/>
            <w:right w:val="none" w:sz="0" w:space="0" w:color="auto"/>
          </w:divBdr>
        </w:div>
        <w:div w:id="103030577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yperlink" Target="https://doi.org/10.1080/00401706.1960.10489912" TargetMode="External"/><Relationship Id="rId26" Type="http://schemas.openxmlformats.org/officeDocument/2006/relationships/hyperlink" Target="https://doi.org/10.1016/j.colsurfa.2023.132628" TargetMode="External"/><Relationship Id="rId3" Type="http://schemas.openxmlformats.org/officeDocument/2006/relationships/styles" Target="styles.xml"/><Relationship Id="rId21" Type="http://schemas.openxmlformats.org/officeDocument/2006/relationships/hyperlink" Target="https://doi.org/10.1016/j.jiec.2014.09.02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3303/CET2186002" TargetMode="External"/><Relationship Id="rId25" Type="http://schemas.openxmlformats.org/officeDocument/2006/relationships/hyperlink" Target="https://www.maximizemarketresearch.com/market-report/global-phenolic-antioxidant-market/25444/" TargetMode="External"/><Relationship Id="rId33"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https://doi.org/10.1016/j.jclepro.2023.137810" TargetMode="External"/><Relationship Id="rId20" Type="http://schemas.openxmlformats.org/officeDocument/2006/relationships/hyperlink" Target="https://doi.org/10.1111/j.1750-3841.2007.00535.x" TargetMode="External"/><Relationship Id="rId29" Type="http://schemas.openxmlformats.org/officeDocument/2006/relationships/hyperlink" Target="https://doi.org/10.1016/S1875-5364(17)3010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16/B978-0-12-816455-6.00004-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jwpe.2024.106305" TargetMode="External"/><Relationship Id="rId23" Type="http://schemas.openxmlformats.org/officeDocument/2006/relationships/hyperlink" Target="https://doi.org/10.1007/s11783-009-0030-7" TargetMode="External"/><Relationship Id="rId28" Type="http://schemas.openxmlformats.org/officeDocument/2006/relationships/hyperlink" Target="https://doi.org/10.1111/j.1750-3841.2010.01548.x" TargetMode="External"/><Relationship Id="rId10" Type="http://schemas.openxmlformats.org/officeDocument/2006/relationships/image" Target="media/image3.jpeg"/><Relationship Id="rId19" Type="http://schemas.openxmlformats.org/officeDocument/2006/relationships/hyperlink" Target="https://doi.org/10.1111/ijfs.12858"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s://doi.org/10.1111/j.1745-4530.2012.00675.x" TargetMode="External"/><Relationship Id="rId27" Type="http://schemas.openxmlformats.org/officeDocument/2006/relationships/hyperlink" Target="https://doi.org/10.1016/j.molliq.2018.10.098"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9FB9918-19EA-45AF-B191-7804C27E5BDC}"/>
      </w:docPartPr>
      <w:docPartBody>
        <w:p w:rsidR="001634B7" w:rsidRDefault="001634B7">
          <w:r w:rsidRPr="6E7F870D">
            <w:t>Clique ou toque aqui para inserir o texto.</w:t>
          </w:r>
        </w:p>
      </w:docPartBody>
    </w:docPart>
    <w:docPart>
      <w:docPartPr>
        <w:name w:val="F13D1B1D8A474CC7A9A148C5669ED0BD"/>
        <w:category>
          <w:name w:val="Geral"/>
          <w:gallery w:val="placeholder"/>
        </w:category>
        <w:types>
          <w:type w:val="bbPlcHdr"/>
        </w:types>
        <w:behaviors>
          <w:behavior w:val="content"/>
        </w:behaviors>
        <w:guid w:val="{909D8FD1-A2D0-4267-8090-1ABFFB861367}"/>
      </w:docPartPr>
      <w:docPartBody>
        <w:p w:rsidR="00433410" w:rsidRDefault="00B8136B" w:rsidP="00B8136B">
          <w:pPr>
            <w:pStyle w:val="F13D1B1D8A474CC7A9A148C5669ED0BD"/>
          </w:pPr>
          <w:r w:rsidRPr="6E7F870D">
            <w:t>Clique ou toque aqui para inserir o texto.</w:t>
          </w:r>
        </w:p>
      </w:docPartBody>
    </w:docPart>
    <w:docPart>
      <w:docPartPr>
        <w:name w:val="B7F8FE2751804922B68B516410985CE8"/>
        <w:category>
          <w:name w:val="Geral"/>
          <w:gallery w:val="placeholder"/>
        </w:category>
        <w:types>
          <w:type w:val="bbPlcHdr"/>
        </w:types>
        <w:behaviors>
          <w:behavior w:val="content"/>
        </w:behaviors>
        <w:guid w:val="{CA72505A-33BE-4AA9-885A-E5BDE36891C3}"/>
      </w:docPartPr>
      <w:docPartBody>
        <w:p w:rsidR="00433410" w:rsidRDefault="00B8136B" w:rsidP="00B8136B">
          <w:pPr>
            <w:pStyle w:val="B7F8FE2751804922B68B516410985CE8"/>
          </w:pPr>
          <w:r w:rsidRPr="6E7F870D">
            <w:t>Clique ou toque aqui para inserir o texto.</w:t>
          </w:r>
        </w:p>
      </w:docPartBody>
    </w:docPart>
    <w:docPart>
      <w:docPartPr>
        <w:name w:val="4935B17149AE40EE9163825ABECE05C6"/>
        <w:category>
          <w:name w:val="Geral"/>
          <w:gallery w:val="placeholder"/>
        </w:category>
        <w:types>
          <w:type w:val="bbPlcHdr"/>
        </w:types>
        <w:behaviors>
          <w:behavior w:val="content"/>
        </w:behaviors>
        <w:guid w:val="{9569A027-A8DB-4FEE-82B0-8221EB5D20AB}"/>
      </w:docPartPr>
      <w:docPartBody>
        <w:p w:rsidR="00433410" w:rsidRDefault="00B8136B" w:rsidP="00B8136B">
          <w:pPr>
            <w:pStyle w:val="4935B17149AE40EE9163825ABECE05C6"/>
          </w:pPr>
          <w:r w:rsidRPr="6E7F870D">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634B7"/>
    <w:rsid w:val="000C62E8"/>
    <w:rsid w:val="001634B7"/>
    <w:rsid w:val="001869BE"/>
    <w:rsid w:val="00243186"/>
    <w:rsid w:val="00361FED"/>
    <w:rsid w:val="0039285A"/>
    <w:rsid w:val="00433410"/>
    <w:rsid w:val="004F750B"/>
    <w:rsid w:val="00542BF6"/>
    <w:rsid w:val="00675775"/>
    <w:rsid w:val="00773D8A"/>
    <w:rsid w:val="008A318C"/>
    <w:rsid w:val="00B8136B"/>
    <w:rsid w:val="00C32057"/>
    <w:rsid w:val="00C94D09"/>
    <w:rsid w:val="00EB6E00"/>
    <w:rsid w:val="00EE12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33410"/>
    <w:rPr>
      <w:color w:val="808080" w:themeColor="background1" w:themeShade="80"/>
    </w:rPr>
  </w:style>
  <w:style w:type="paragraph" w:customStyle="1" w:styleId="F13D1B1D8A474CC7A9A148C5669ED0BD">
    <w:name w:val="F13D1B1D8A474CC7A9A148C5669ED0BD"/>
    <w:rsid w:val="00B8136B"/>
  </w:style>
  <w:style w:type="paragraph" w:customStyle="1" w:styleId="B7F8FE2751804922B68B516410985CE8">
    <w:name w:val="B7F8FE2751804922B68B516410985CE8"/>
    <w:rsid w:val="00B8136B"/>
  </w:style>
  <w:style w:type="paragraph" w:customStyle="1" w:styleId="4935B17149AE40EE9163825ABECE05C6">
    <w:name w:val="4935B17149AE40EE9163825ABECE05C6"/>
    <w:rsid w:val="00B81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825892-720a-436e-8c20-e62d83b4cd33">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003ebbba-dd6b-4709-ace3-fc4f95b38e2a&quot;,&quot;properties&quot;:{&quot;noteIndex&quot;:0},&quot;isEdited&quot;:false,&quot;manualOverride&quot;:{&quot;isManuallyOverridden&quot;:false,&quot;citeprocText&quot;:&quot;(Heck &amp;#38; De Mejia, 2007)&quot;,&quot;manualOverrideText&quot;:&quot;&quot;},&quot;citationTag&quot;:&quot;MENDELEY_CITATION_v3_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&quot;,&quot;citationItems&quot;:[{&quot;id&quot;:&quot;24b69ffc-723d-37c5-9667-48c1ce41e2be&quot;,&quot;itemData&quot;:{&quot;type&quot;:&quot;article&quot;,&quot;id&quot;:&quot;24b69ffc-723d-37c5-9667-48c1ce41e2be&quot;,&quot;title&quot;:&quot;Yerba mate tea (Ilex paraguariensis): A comprehensive review on chemistry, health implications, and technological considerations&quot;,&quot;author&quot;:[{&quot;family&quot;:&quot;Heck&quot;,&quot;given&quot;:&quot;C. I.&quot;,&quot;parse-names&quot;:false,&quot;dropping-particle&quot;:&quot;&quot;,&quot;non-dropping-particle&quot;:&quot;&quot;},{&quot;family&quot;:&quot;Mejia&quot;,&quot;given&quot;:&quot;E. G.&quot;,&quot;parse-names&quot;:false,&quot;dropping-particle&quot;:&quot;&quot;,&quot;non-dropping-particle&quot;:&quot;De&quot;}],&quot;container-title&quot;:&quot;Journal of Food Science&quot;,&quot;DOI&quot;:&quot;10.1111/j.1750-3841.2007.00535.x&quot;,&quot;ISSN&quot;:&quot;00221147&quot;,&quot;PMID&quot;:&quot;18034743&quot;,&quot;issued&quot;:{&quot;date-parts&quot;:[[2007,11]]},&quot;abstract&quot;:&quot;Yerba Mate tea, an infusion made from the leaves of the tree Ilex paraguariensis, is a widely consumed nonalcoholic beverage in South America which is gaining rapid introduction into the world market, either as tea itself or as ingredient in formulated foods or dietary supplements. The indigenous people have used it for centuries as a social and medicinal beverage. Yerba Mate has been shown to be hypocholesterolemic, hepatoprotective, central nervous system stimulant, diuretic, and to benefit the cardiovascular system. It has also been suggested for obesity management. Yerba Mate protects DNA from oxidation and in vitro low-density lipoprotein lipoperoxidation and has a high antioxidant capacity. It has also been reported that Yerba Mate tea is associated to both the prevention and the cause of some types of cancers. Yerba Mate has gained public attention outside of South America, namely the United States and Europe, and research on this tea has been expanding. This review presents the usage, chemistry, biological activities, health effects, and some technological considerations for processing of Yerba Mate tea. Furthermore, it assesses in a concise and comprehensive way the potential of Ilex paraguariensis as a source of biological compounds for the nutraceutical industry. © 2007 Institute of Food Technologists.&quot;,&quot;issue&quot;:&quot;9&quot;,&quot;volume&quot;:&quot;72&quot;,&quot;container-title-short&quot;:&quot;J Food Sci&quot;},&quot;isTemporary&quot;:false}]},{&quot;citationID&quot;:&quot;MENDELEY_CITATION_32253c04-77c5-4ad2-8833-65f79c3b2231&quot;,&quot;properties&quot;:{&quot;noteIndex&quot;:0},&quot;isEdited&quot;:false,&quot;manualOverride&quot;:{&quot;isManuallyOverridden&quot;:false,&quot;citeprocText&quot;:&quot;(Vieira et al., 2010)&quot;,&quot;manualOverrideText&quot;:&quot;&quot;},&quot;citationTag&quot;:&quot;MENDELEY_CITATION_v3_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&quot;,&quot;citationItems&quot;:[{&quot;id&quot;:&quot;7427677b-7b95-3397-81ed-b1b064f8ca3c&quot;,&quot;itemData&quot;:{&quot;type&quot;:&quot;article-journal&quot;,&quot;id&quot;:&quot;7427677b-7b95-3397-81ed-b1b064f8ca3c&quot;,&quot;title&quot;:&quot;Phenolic acids and methylxanthines composition and antioxidant properties of mate (ilex paraguariensis) residue&quot;,&quot;author&quot;:[{&quot;family&quot;:&quot;Vieira&quot;,&quot;given&quot;:&quot;Manoela A.&quot;,&quot;parse-names&quot;:false,&quot;dropping-particle&quot;:&quot;&quot;,&quot;non-dropping-particle&quot;:&quot;&quot;},{&quot;family&quot;:&quot;Maraschin&quot;,&quot;given&quot;:&quot;Marcelo&quot;,&quot;parse-names&quot;:false,&quot;dropping-particle&quot;:&quot;&quot;,&quot;non-dropping-particle&quot;:&quot;&quot;},{&quot;family&quot;:&quot;Pagliosa&quot;,&quot;given&quot;:&quot;Cristiane M.&quot;,&quot;parse-names&quot;:false,&quot;dropping-particle&quot;:&quot;&quot;,&quot;non-dropping-particle&quot;:&quot;&quot;},{&quot;family&quot;:&quot;Podestá&quot;,&quot;given&quot;:&quot;Rossana&quot;,&quot;parse-names&quot;:false,&quot;dropping-particle&quot;:&quot;&quot;,&quot;non-dropping-particle&quot;:&quot;&quot;},{&quot;family&quot;:&quot;Simas&quot;,&quot;given&quot;:&quot;Karina N.&quot;,&quot;parse-names&quot;:false,&quot;dropping-particle&quot;:&quot;&quot;,&quot;non-dropping-particle&quot;:&quot;de&quot;},{&quot;family&quot;:&quot;Rockenbach&quot;,&quot;given&quot;:&quot;Ismael Ivan&quot;,&quot;parse-names&quot;:false,&quot;dropping-particle&quot;:&quot;&quot;,&quot;non-dropping-particle&quot;:&quot;&quot;},{&quot;family&quot;:&quot;Amboni&quot;,&quot;given&quot;:&quot;Renata D.de M.C.&quot;,&quot;parse-names&quot;:false,&quot;dropping-particle&quot;:&quot;&quot;,&quot;non-dropping-particle&quot;:&quot;&quot;},{&quot;family&quot;:&quot;Amante&quot;,&quot;given&quot;:&quot;Edna R.&quot;,&quot;parse-names&quot;:false,&quot;dropping-particle&quot;:&quot;&quot;,&quot;non-dropping-particle&quot;:&quot;&quot;}],&quot;container-title&quot;:&quot;Journal of Food Science&quot;,&quot;DOI&quot;:&quot;10.1111/j.1750-3841.2010.01548.x&quot;,&quot;ISSN&quot;:&quot;00221147&quot;,&quot;PMID&quot;:&quot;20492280&quot;,&quot;issued&quot;:{&quot;date-parts&quot;:[[2010,4]]},&quot;abstract&quot;:&quot;Ilex paraguariensis is known to contain compounds with antioxidant properties, such as phenolic acids, and its stimulant properties are attributed to methylxanthines, such as caffeine. The aims of this study were to evaluate the phenolic, methylxanthinic, and tannin composition of a mate residue (mate powder), to compare the quali-quantitative phenolic composition and the antioxidant potential of extracts obtained from distinct solvent systems. Among the extracts prepared with different solvents, the 80% methanol extract showed the highest total polyphenol content (11.51 g/100 g) and antioxidant activity. HPLC analysis showed that 4,5 dicaffeoylquinic acid is the major component of the phenolic fraction of mate powder. The caffeine, theobromine, and tannin contents in mate powder were 1.01, 0.10, and 0.29 g/100 g, respectively. Consumption of mate powder would significantly contribute to antioxidant and stimulant intake, providing high amounts of phenolic acids, tannins, and methylxanthines with biological effects potentially beneficial for human health.Practical Application: This article contributes to the minimization of residues in yerba-mate processing. © 2010 Institute of Food Technologists®.&quot;,&quot;issue&quot;:&quot;3&quot;,&quot;volume&quot;:&quot;75&quot;,&quot;container-title-short&quot;:&quot;J Food Sci&quot;},&quot;isTemporary&quot;:false,&quot;suppress-author&quot;:false,&quot;composite&quot;:false,&quot;author-only&quot;:false}]},{&quot;citationID&quot;:&quot;MENDELEY_CITATION_1844509b-83d5-463a-aedf-e7293dba873a&quot;,&quot;properties&quot;:{&quot;noteIndex&quot;:0},&quot;isEdited&quot;:false,&quot;manualOverride&quot;:{&quot;isManuallyOverridden&quot;:false,&quot;citeprocText&quot;:&quot;(Lorigooini et al., 2020)&quot;,&quot;manualOverrideText&quot;:&quot;&quot;},&quot;citationTag&quot;:&quot;MENDELEY_CITATION_v3_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&quot;,&quot;citationItems&quot;:[{&quot;id&quot;:&quot;c6fa40bc-19b6-38b1-89ba-87afdc8fea8f&quot;,&quot;itemData&quot;:{&quot;type&quot;:&quot;chapter&quot;,&quot;id&quot;:&quot;c6fa40bc-19b6-38b1-89ba-87afdc8fea8f&quot;,&quot;title&quot;:&quot;Analysis of aromatic acids (phenolic acids and hydroxycinnamic acids)&quot;,&quot;author&quot;:[{&quot;family&quot;:&quot;Lorigooini&quot;,&quot;given&quot;:&quot;Zahra&quot;,&quot;parse-names&quot;:false,&quot;dropping-particle&quot;:&quot;&quot;,&quot;non-dropping-particle&quot;:&quot;&quot;},{&quot;family&quot;:&quot;Jamshidi-Kia&quot;,&quot;given&quot;:&quot;Fatemeh&quot;,&quot;parse-names&quot;:false,&quot;dropping-particle&quot;:&quot;&quot;,&quot;non-dropping-particle&quot;:&quot;&quot;},{&quot;family&quot;:&quot;Hosseini&quot;,&quot;given&quot;:&quot;Zohreh&quot;,&quot;parse-names&quot;:false,&quot;dropping-particle&quot;:&quot;&quot;,&quot;non-dropping-particle&quot;:&quot;&quot;}],&quot;container-title&quot;:&quot;Recent Advances in Natural Products Analysis&quot;,&quot;DOI&quot;:&quot;10.1016/B978-0-12-816455-6.00004-4&quot;,&quot;ISBN&quot;:&quot;9780128164556&quot;,&quot;issued&quot;:{&quot;date-parts&quot;:[[2020,1,1]]},&quot;page&quot;:&quot;199-219&quot;,&quot;publisher&quot;:&quot;Elsevier&quot;,&quot;container-title-short&quot;:&quot;&quot;},&quot;isTemporary&quot;:false,&quot;suppress-author&quot;:false,&quot;composite&quot;:false,&quot;author-only&quot;:false}]},{&quot;citationID&quot;:&quot;MENDELEY_CITATION_cfffff73-223a-49f5-b230-6ef72182afbe&quot;,&quot;properties&quot;:{&quot;noteIndex&quot;:0},&quot;isEdited&quot;:false,&quot;manualOverride&quot;:{&quot;isManuallyOverridden&quot;:false,&quot;citeprocText&quot;:&quot;(MAXIMIZE MARKET RESEARCH, 2023)&quot;,&quot;manualOverrideText&quot;:&quot;&quot;},&quot;citationTag&quot;:&quot;MENDELEY_CITATION_v3_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&quot;,&quot;citationItems&quot;:[{&quot;id&quot;:&quot;fc6616be-e6a3-3efa-94aa-3a6be055e30b&quot;,&quot;itemData&quot;:{&quot;type&quot;:&quot;webpage&quot;,&quot;id&quot;:&quot;fc6616be-e6a3-3efa-94aa-3a6be055e30b&quot;,&quot;title&quot;:&quot;Phenolic Antioxidant Market – Global Industry Analysis and Forecast (2024-2030)&quot;,&quot;author&quot;:[{&quot;family&quot;:&quot;MAXIMIZE MARKET RESEARCH&quot;,&quot;given&quot;:&quot;&quot;,&quot;parse-names&quot;:false,&quot;dropping-particle&quot;:&quot;&quot;,&quot;non-dropping-particle&quot;:&quot;&quot;}],&quot;accessed&quot;:{&quot;date-parts&quot;:[[2024,12,5]]},&quot;URL&quot;:&quot;https://www.maximizemarketresearch.com/market-report/global-phenolic-antioxidant-market/25444/&quot;,&quot;issued&quot;:{&quot;date-parts&quot;:[[2023]]},&quot;container-title-short&quot;:&quot;&quot;},&quot;isTemporary&quot;:false,&quot;suppress-author&quot;:false,&quot;composite&quot;:false,&quot;author-only&quot;:false}]},{&quot;citationID&quot;:&quot;MENDELEY_CITATION_938b8414-29b0-4b3a-9b95-474c6f0c694a&quot;,&quot;properties&quot;:{&quot;noteIndex&quot;:0},&quot;isEdited&quot;:false,&quot;manualOverride&quot;:{&quot;isManuallyOverridden&quot;:false,&quot;citeprocText&quot;:&quot;(Bibi et al., 2023)&quot;,&quot;manualOverrideText&quot;:&quot;&quot;},&quot;citationTag&quot;:&quot;MENDELEY_CITATION_v3_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&quot;,&quot;citationItems&quot;:[{&quot;id&quot;:&quot;c004529d-d691-383c-9989-89756a190d87&quot;,&quot;itemData&quot;:{&quot;type&quot;:&quot;article&quot;,&quot;id&quot;:&quot;c004529d-d691-383c-9989-89756a190d87&quot;,&quot;title&quot;:&quot;Towards sustainable physiochemical and biological techniques for the remediation of phenol from wastewater: A review on current applications and removal mechanisms&quot;,&quot;author&quot;:[{&quot;family&quot;:&quot;Bibi&quot;,&quot;given&quot;:&quot;Amina&quot;,&quot;parse-names&quot;:false,&quot;dropping-particle&quot;:&quot;&quot;,&quot;non-dropping-particle&quot;:&quot;&quot;},{&quot;family&quot;:&quot;Bibi&quot;,&quot;given&quot;:&quot;Shazia&quot;,&quot;parse-names&quot;:false,&quot;dropping-particle&quot;:&quot;&quot;,&quot;non-dropping-particle&quot;:&quot;&quot;},{&quot;family&quot;:&quot;Abu-Dieyeh&quot;,&quot;given&quot;:&quot;Mohammed&quot;,&quot;parse-names&quot;:false,&quot;dropping-particle&quot;:&quot;&quot;,&quot;non-dropping-particle&quot;:&quot;&quot;},{&quot;family&quot;:&quot;Al-Ghouti&quot;,&quot;given&quot;:&quot;Mohammad A.&quot;,&quot;parse-names&quot;:false,&quot;dropping-particle&quot;:&quot;&quot;,&quot;non-dropping-particle&quot;:&quot;&quot;}],&quot;container-title&quot;:&quot;Journal of Cleaner Production&quot;,&quot;DOI&quot;:&quot;10.1016/j.jclepro.2023.137810&quot;,&quot;ISSN&quot;:&quot;09596526&quot;,&quot;issued&quot;:{&quot;date-parts&quot;:[[2023,9,10]]},&quot;abstract&quot;:&quot;Phenol is a priority pollutant that presents a significant threat to human health and natural systems when discharged directly into the environment. Consequently, numerous technologies have been used and developed to eliminate phenol from wastewater streams. These technologies can be categorized into physical, chemical, and biological methods. While conventional treatment methods are highly efficient in phenol removal; some of these techniques are not environmentally friendly and others are expensive. Therefore, sustainable, and green technologies are being employed and taken into consideration in the treatment of phenol wastewater due to their effectiveness, affordability, and environmental compatibility. This review aims to highlight efficient green physiochemical and biological methods of water treatment and demonstrate the mechanisms of phenol removal in these technologies. Particular emphasis will be given to the use of low-cost adsorbents prepared from industrial and agricultural wastes for the efficient removal of phenol from wastewater as adsorption processes show the highest cost-effectiveness among all the treatment technologies.&quot;,&quot;publisher&quot;:&quot;Elsevier Ltd&quot;,&quot;volume&quot;:&quot;417&quot;,&quot;container-title-short&quot;:&quot;J Clean Prod&quot;},&quot;isTemporary&quot;:false,&quot;suppress-author&quot;:false,&quot;composite&quot;:false,&quot;author-only&quot;:false}]},{&quot;citationID&quot;:&quot;MENDELEY_CITATION_1f7c3ce2-87c9-4afc-99a6-55d6813f8f37&quot;,&quot;properties&quot;:{&quot;noteIndex&quot;:0},&quot;isEdited&quot;:false,&quot;manualOverride&quot;:{&quot;isManuallyOverridden&quot;:false,&quot;citeprocText&quot;:&quot;(Hoseinzadeh Hesas et al., 2015)&quot;,&quot;manualOverrideText&quot;:&quot;&quot;},&quot;citationTag&quot;:&quot;MENDELEY_CITATION_v3_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&quot;,&quot;citationItems&quot;:[{&quot;id&quot;:&quot;46a27b47-48d5-39df-8315-5667639b2371&quot;,&quot;itemData&quot;:{&quot;type&quot;:&quot;article-journal&quot;,&quot;id&quot;:&quot;46a27b47-48d5-39df-8315-5667639b2371&quot;,&quot;title&quot;:&quot;Microwave-assisted production of activated carbons from oil palm shell in the presence of CO2 or N2 for CO2 adsorption&quot;,&quot;author&quot;:[{&quot;family&quot;:&quot;Hoseinzadeh Hesas&quot;,&quot;given&quot;:&quot;Roozbeh&quot;,&quot;parse-names&quot;:false,&quot;dropping-particle&quot;:&quot;&quot;,&quot;non-dropping-particle&quot;:&quot;&quot;},{&quot;family&quot;:&quot;Arami-Niya&quot;,&quot;given&quot;:&quot;Arash&quot;,&quot;parse-names&quot;:false,&quot;dropping-particle&quot;:&quot;&quot;,&quot;non-dropping-particle&quot;:&quot;&quot;},{&quot;family&quot;:&quot;Wan Daud&quot;,&quot;given&quot;:&quot;Wan Mohd Ashri&quot;,&quot;parse-names&quot;:false,&quot;dropping-particle&quot;:&quot;&quot;,&quot;non-dropping-particle&quot;:&quot;&quot;},{&quot;family&quot;:&quot;Sahu&quot;,&quot;given&quot;:&quot;J. N.&quot;,&quot;parse-names&quot;:false,&quot;dropping-particle&quot;:&quot;&quot;,&quot;non-dropping-particle&quot;:&quot;&quot;}],&quot;container-title&quot;:&quot;Journal of Industrial and Engineering Chemistry&quot;,&quot;DOI&quot;:&quot;10.1016/j.jiec.2014.09.029&quot;,&quot;ISSN&quot;:&quot;22345957&quot;,&quot;issued&quot;:{&quot;date-parts&quot;:[[2015,4,25]]},&quot;page&quot;:&quot;196-205&quot;,&quot;abstract&quot;:&quot;Activated carbon (AC) was prepared from oil palm shell using different ratios of KOH as an activation agent and various microwave irradiation powers. To study the effects of physical agents, the impregnated precursors were activated under a flow of CO2 or N2. Maximum BET surface areas of 1196 and 1630m2/g were achieved in the presence of CO2 and N2, respectively. The textural properties of the samples with the highest surface areas were investigated using ultimate and proximate analyses, SEM and FTIR. The CO2 adsorption results suggest that the ACs are promising adsorbents for gas separation or storage applications.&quot;,&quot;publisher&quot;:&quot;Korean Society of Industrial Engineering Chemistry&quot;,&quot;volume&quot;:&quot;24&quot;,&quot;container-title-short&quot;:&quot;&quot;},&quot;isTemporary&quot;:false,&quot;suppress-author&quot;:false,&quot;composite&quot;:false,&quot;author-only&quot;:false}]},{&quot;citationID&quot;:&quot;MENDELEY_CITATION_6908a9a1-3738-4ded-ad00-6f472868a3c2&quot;,&quot;properties&quot;:{&quot;noteIndex&quot;:0},&quot;isEdited&quot;:false,&quot;manualOverride&quot;:{&quot;isManuallyOverridden&quot;:false,&quot;citeprocText&quot;:&quot;(XU et al., 2017)&quot;,&quot;manualOverrideText&quot;:&quot;&quot;},&quot;citationTag&quot;:&quot;MENDELEY_CITATION_v3_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&quot;,&quot;citationItems&quot;:[{&quot;id&quot;:&quot;43573895-6033-3eba-9b18-fe47cc34c554&quot;,&quot;itemData&quot;:{&quot;type&quot;:&quot;article-journal&quot;,&quot;id&quot;:&quot;43573895-6033-3eba-9b18-fe47cc34c554&quot;,&quot;title&quot;:&quot;Advances in extraction and analysis of phenolic compounds from plant materials&quot;,&quot;author&quot;:[{&quot;family&quot;:&quot;XU&quot;,&quot;given&quot;:&quot;Cong Cong&quot;,&quot;parse-names&quot;:false,&quot;dropping-particle&quot;:&quot;&quot;,&quot;non-dropping-particle&quot;:&quot;&quot;},{&quot;family&quot;:&quot;WANG&quot;,&quot;given&quot;:&quot;Bing&quot;,&quot;parse-names&quot;:false,&quot;dropping-particle&quot;:&quot;&quot;,&quot;non-dropping-particle&quot;:&quot;&quot;},{&quot;family&quot;:&quot;PU&quot;,&quot;given&quot;:&quot;Yi Qiong&quot;,&quot;parse-names&quot;:false,&quot;dropping-particle&quot;:&quot;&quot;,&quot;non-dropping-particle&quot;:&quot;&quot;},{&quot;family&quot;:&quot;TAO&quot;,&quot;given&quot;:&quot;Jian Sheng&quot;,&quot;parse-names&quot;:false,&quot;dropping-particle&quot;:&quot;&quot;,&quot;non-dropping-particle&quot;:&quot;&quot;},{&quot;family&quot;:&quot;ZHANG&quot;,&quot;given&quot;:&quot;Tong&quot;,&quot;parse-names&quot;:false,&quot;dropping-particle&quot;:&quot;&quot;,&quot;non-dropping-particle&quot;:&quot;&quot;}],&quot;container-title&quot;:&quot;Chinese Journal of Natural Medicines &quot;,&quot;DOI&quot;:&quot;10.1016/S1875-5364(17)30103-6&quot;,&quot;ISSN&quot;:&quot;18755364&quot;,&quot;PMID&quot;:&quot;29103457&quot;,&quot;issued&quot;:{&quot;date-parts&quot;:[[2017,10,1]]},&quot;page&quot;:&quot;721-731&quot;,&quot;abstract&quot;:&quot;Abstract Phenolic compounds, the most abundant secondary metabolites in plants, have received more and more attention in recent years because of their distinct bioactivities. This review summarizes different types of phenolic compounds and their extraction and analytical methods used in the recent reports, involving 59 phenolic compounds from 52 kinds of plants. The extraction methods include solid-liquid extraction, ultrasound-assisted extractions, microwave-assisted extractions, supercritical fluid extraction, and other methods. The analysis methods include spectrophotometry, gas chromatography, liquid chromatography, thin-layer chromatography, capillary electrophoresis, and near-infrared spectroscopy. After illustrating the specific conditions of the analytical methods, the advantages and disadvantages of each method are also summarized, pointing out their respective suitability. This review provides valuable reference for identification and/or quantification of phenolic compounds from natural products.&quot;,&quot;publisher&quot;:&quot;China Pharmaceutical University&quot;,&quot;issue&quot;:&quot;10&quot;,&quot;volume&quot;:&quot;15&quot;,&quot;container-title-short&quot;:&quot;&quot;},&quot;isTemporary&quot;:false,&quot;suppress-author&quot;:false,&quot;composite&quot;:false,&quot;author-only&quot;:false}]},{&quot;citationID&quot;:&quot;MENDELEY_CITATION_73c37dc4-4715-470c-b9b2-bc1a0a89cf4b&quot;,&quot;properties&quot;:{&quot;noteIndex&quot;:0},&quot;isEdited&quot;:false,&quot;manualOverride&quot;:{&quot;isManuallyOverridden&quot;:false,&quot;citeprocText&quot;:&quot;(Ahmed et al., 2024; Melo et al., 2024; Sellaoui et al., 2019)&quot;,&quot;manualOverrideText&quot;:&quot;&quot;},&quot;citationTag&quot;:&quot;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&quot;,&quot;citationItems&quot;:[{&quot;id&quot;:&quot;b982bb1e-e6a2-323a-adef-e29ee30bc37c&quot;,&quot;itemData&quot;:{&quot;type&quot;:&quot;article-journal&quot;,&quot;id&quot;:&quot;b982bb1e-e6a2-323a-adef-e29ee30bc37c&quot;,&quot;title&quot;:&quot;Adsorption of phenol on microwave-assisted activated carbons: Modelling and interpretation&quot;,&quot;author&quot;:[{&quot;family&quot;:&quot;Sellaoui&quot;,&quot;given&quot;:&quot;Lotfi&quot;,&quot;parse-names&quot;:false,&quot;dropping-particle&quot;:&quot;&quot;,&quot;non-dropping-particle&quot;:&quot;&quot;},{&quot;family&quot;:&quot;Kehili&quot;,&quot;given&quot;:&quot;Mouna&quot;,&quot;parse-names&quot;:false,&quot;dropping-particle&quot;:&quot;&quot;,&quot;non-dropping-particle&quot;:&quot;&quot;},{&quot;family&quot;:&quot;Lima&quot;,&quot;given&quot;:&quot;Eder Claudio&quot;,&quot;parse-names&quot;:false,&quot;dropping-particle&quot;:&quot;&quot;,&quot;non-dropping-particle&quot;:&quot;&quot;},{&quot;family&quot;:&quot;Thue&quot;,&quot;given&quot;:&quot;Pascal S.&quot;,&quot;parse-names&quot;:false,&quot;dropping-particle&quot;:&quot;&quot;,&quot;non-dropping-particle&quot;:&quot;&quot;},{&quot;family&quot;:&quot;Bonilla-Petriciolet&quot;,&quot;given&quot;:&quot;Adrián&quot;,&quot;parse-names&quot;:false,&quot;dropping-particle&quot;:&quot;&quot;,&quot;non-dropping-particle&quot;:&quot;&quot;},{&quot;family&quot;:&quot;Lamine&quot;,&quot;given&quot;:&quot;Abdelmottaleb&quot;,&quot;parse-names&quot;:false,&quot;dropping-particle&quot;:&quot;Ben&quot;,&quot;non-dropping-particle&quot;:&quot;&quot;},{&quot;family&quot;:&quot;Dotto&quot;,&quot;given&quot;:&quot;Guilherme L.&quot;,&quot;parse-names&quot;:false,&quot;dropping-particle&quot;:&quot;&quot;,&quot;non-dropping-particle&quot;:&quot;&quot;},{&quot;family&quot;:&quot;Erto&quot;,&quot;given&quot;:&quot;Alessandro&quot;,&quot;parse-names&quot;:false,&quot;dropping-particle&quot;:&quot;&quot;,&quot;non-dropping-particle&quot;:&quot;&quot;}],&quot;container-title&quot;:&quot;Journal of Molecular Liquids&quot;,&quot;container-title-short&quot;:&quot;J Mol Liq&quot;,&quot;DOI&quot;:&quot;10.1016/j.molliq.2018.10.098&quot;,&quot;ISSN&quot;:&quot;01677322&quot;,&quot;issued&quot;:{&quot;date-parts&quot;:[[2019,1,15]]},&quot;page&quot;:&quot;309-314&quot;,&quot;abstract&quot;:&quot;A theoretical study of phenol adsorption on microwave-assisted activated carbons has been performed using statistical physics models. These models have been selected based on the adsorption isotherms profiles and applied to obtain a detailed explanation of the phenol adsorption mechanism and to understand the adsorbent performance. In particular, the phenol adsorption was analyzed using a model that assumed two layers with different adsorption energies. Modelling results, based on the number of phenol molecules adsorbed per site, suggested that two relative positions of phenol adsorbed on activated carbon surface could occur. Besides, at high temperatures, an aggregation phenomenon of phenol molecules was also hypothesized and interpreted. This adsorption process was associated to two adsorption energies that characterized the interactions between phenol – adsorbent and phenol – phenol molecules. The analysis of adsorption energies indicated that all interactions were weak resulting in a physisorption process.&quot;,&quot;publisher&quot;:&quot;Elsevier B.V.&quot;,&quot;volume&quot;:&quot;274&quot;},&quot;isTemporary&quot;:false},{&quot;id&quot;:&quot;2490391a-faec-3d8d-81db-e4f4b209c8d7&quot;,&quot;itemData&quot;:{&quot;type&quot;:&quot;article-journal&quot;,&quot;id&quot;:&quot;2490391a-faec-3d8d-81db-e4f4b209c8d7&quot;,&quot;title&quot;:&quot;Mass transfer and equilibrium modelings of phenol adsorption on activated carbon from olive stone&quot;,&quot;author&quot;:[{&quot;family&quot;:&quot;Melo&quot;,&quot;given&quot;:&quot;J. M.&quot;,&quot;parse-names&quot;:false,&quot;dropping-particle&quot;:&quot;&quot;,&quot;non-dropping-particle&quot;:&quot;&quot;},{&quot;family&quot;:&quot;Lütke&quot;,&quot;given&quot;:&quot;S. F.&quot;,&quot;parse-names&quot;:false,&quot;dropping-particle&quot;:&quot;&quot;,&quot;non-dropping-particle&quot;:&quot;&quot;},{&quot;family&quot;:&quot;Igansi&quot;,&quot;given&quot;:&quot;A.&quot;,&quot;parse-names&quot;:false,&quot;dropping-particle&quot;:&quot;V.&quot;,&quot;non-dropping-particle&quot;:&quot;&quot;},{&quot;family&quot;:&quot;Franco&quot;,&quot;given&quot;:&quot;D. S.P.&quot;,&quot;parse-names&quot;:false,&quot;dropping-particle&quot;:&quot;&quot;,&quot;non-dropping-particle&quot;:&quot;&quot;},{&quot;family&quot;:&quot;Vicenti&quot;,&quot;given&quot;:&quot;J. R.M.&quot;,&quot;parse-names&quot;:false,&quot;dropping-particle&quot;:&quot;&quot;,&quot;non-dropping-particle&quot;:&quot;&quot;},{&quot;family&quot;:&quot;Dotto&quot;,&quot;given&quot;:&quot;G. L.&quot;,&quot;parse-names&quot;:false,&quot;dropping-particle&quot;:&quot;&quot;,&quot;non-dropping-particle&quot;:&quot;&quot;},{&quot;family&quot;:&quot;Pinto&quot;,&quot;given&quot;:&quot;L. A.A.&quot;,&quot;parse-names&quot;:false,&quot;dropping-particle&quot;:&quot;&quot;,&quot;non-dropping-particle&quot;:&quot;&quot;},{&quot;family&quot;:&quot;Cadaval&quot;,&quot;given&quot;:&quot;T. R.S.&quot;,&quot;parse-names&quot;:false,&quot;dropping-particle&quot;:&quot;&quot;,&quot;non-dropping-particle&quot;:&quot;&quot;},{&quot;family&quot;:&quot;Felipe&quot;,&quot;given&quot;:&quot;C. A.S.&quot;,&quot;parse-names&quot;:false,&quot;dropping-particle&quot;:&quot;&quot;,&quot;non-dropping-particle&quot;:&quot;&quot;}],&quot;container-title&quot;:&quot;Colloids and Surfaces A: Physicochemical and Engineering Aspects&quot;,&quot;container-title-short&quot;:&quot;Colloids Surf A Physicochem Eng Asp&quot;,&quot;DOI&quot;:&quot;10.1016/j.colsurfa.2023.132628&quot;,&quot;ISSN&quot;:&quot;18734359&quot;,&quot;issued&quot;:{&quot;date-parts&quot;:[[2024,1,5]]},&quot;abstract&quot;:&quot;Activated carbon was produced from olive stones by chemical activation using ZnCl2 at 20 % w/w for 12 h. Pyrolysis was performed at 700 °C for 2 h in a quartz tubular reactor. The adsorbent was characterized using SEM, XRD, FTIR, N2 adsorption-desorption isotherms, and the BJH. The images showed the presence of voids on the surface of the activated carbon. Diffractograms revealed a material of reduced crystallinity containing predominantly short-range ordering. BET surface area was 667 m2 g −1, and total pore volume was 0.318 m2 g −1. The equilibrium study showed that a higher temperature intensified the phenol adsorption capacity, and the highest value was around 120 mg g−1. Besides, the Freundlich isotherm was the more suitable to represent the equilibrium data. The thermodynamic study indicated that phenol adsorption onto activated carbon produced was spontaneous, favorable, endothermic, and entropy-controlled. According to physical statistics interpretation, the dual layer with one energy site was the most suitable model for describing the adsorption equilibrium. The concentration decay for the phenol showed that the initial phenol concentration direct affects the experimental data profile. Concerning the estimated mass transfer parameters and statistical parameters for the PVSDM, it was found that the external mass transfer and surface diffusion increased with the initial concentration. This trend indicates that the extremal mass transfer affected the adsorption kinetics.&quot;,&quot;publisher&quot;:&quot;Elsevier B.V.&quot;,&quot;volume&quot;:&quot;680&quot;},&quot;isTemporary&quot;:false},{&quot;id&quot;:&quot;c865e48c-d798-3fd3-ba10-46e5a07ace85&quot;,&quot;itemData&quot;:{&quot;type&quot;:&quot;article-journal&quot;,&quot;id&quot;:&quot;c865e48c-d798-3fd3-ba10-46e5a07ace85&quot;,&quot;title&quot;:&quot;Date palm branches-based activated carbon: Synthesis via H3PO4 activation, response surface methodology, application for phenol adsorption, kinetics, and isotherm modeling&quot;,&quot;author&quot;:[{&quot;family&quot;:&quot;Ahmed&quot;,&quot;given&quot;:&quot;Sameh&quot;,&quot;parse-names&quot;:false,&quot;dropping-particle&quot;:&quot;&quot;,&quot;non-dropping-particle&quot;:&quot;&quot;},{&quot;family&quot;:&quot;Gogina&quot;,&quot;given&quot;:&quot;Elena&quot;,&quot;parse-names&quot;:false,&quot;dropping-particle&quot;:&quot;&quot;,&quot;non-dropping-particle&quot;:&quot;&quot;},{&quot;family&quot;:&quot;Makisha&quot;,&quot;given&quot;:&quot;Nikolay&quot;,&quot;parse-names&quot;:false,&quot;dropping-particle&quot;:&quot;&quot;,&quot;non-dropping-particle&quot;:&quot;&quot;},{&quot;family&quot;:&quot;Gulshin&quot;,&quot;given&quot;:&quot;Igor&quot;,&quot;parse-names&quot;:false,&quot;dropping-particle&quot;:&quot;&quot;,&quot;non-dropping-particle&quot;:&quot;&quot;}],&quot;container-title&quot;:&quot;Journal of Water Process Engineering&quot;,&quot;DOI&quot;:&quot;10.1016/j.jwpe.2024.106305&quot;,&quot;ISSN&quot;:&quot;22147144&quot;,&quot;issued&quot;:{&quot;date-parts&quot;:[[2024,12,1]]},&quot;abstract&quot;:&quot;This study investigates the potential of utilizing date palm branches (DPB) as an activated carbon precursor, targeting phenol removal from aqueous solutions. The activation process was done by H₃PO₄ and KOH, with H₃PO₄ demonstrating superior efficacy in phenol adsorption and carbon yield. Employing response surface methodology (RSM) through a Box-Behnken design (BBD), the optimal conditions to produce activated carbon (AC-DPB-H₃PO₄-2) via chemical activation with H₃PO₄ were identified. The optimal parameters included a temperature of 600 °C, an impregnation ratio of 2.0 mL/g, a retention time of 60 min, and an acid concentration of 40 %. Kinetic analysis indicated that the Elovich model provided the best fit for phenol adsorption, suggesting that the process is governed by chemisorption on a heterogeneous surface. Additionally, the Freundlich model described the adsorption isotherm well, indicating multilayer adsorption on a surface with different energy sites. The maximum adsorption capacity of phenol on AC-DPB-H₃PO₄-2 was determined to be 77.52 mg/g. The phenol adsorption mechanism is primarily attributed to π–π electron donor-acceptor interactions and hydrogen bonding between phenol molecules and the surface functional groups of AC-DPB-H₃PO₄-2. However, the regeneration efficiency of AC-DPB-H₃PO₄-2 using NaOH declined from 68.6 % to 42.64 % after two cycles, which revealed potential challenges in reusability. An economic evaluation of the treatment process estimated the cost at $3.8/m3, highlighting the cost-effectiveness of AC-DPB-H₃PO₄-2 compared to commercial activated carbon. This study demonstrates the viability of date palm-derived activated carbon as an efficient and economical option for industrial phenol removal.&quot;,&quot;publisher&quot;:&quot;Elsevier Ltd&quot;,&quot;volume&quot;:&quot;68&quot;,&quot;container-title-short&quot;:&quot;&quot;},&quot;isTemporary&quot;:false}]},{&quot;citationID&quot;:&quot;MENDELEY_CITATION_24935435-dd45-4b28-ba4a-17a51089c7f2&quot;,&quot;properties&quot;:{&quot;noteIndex&quot;:0,&quot;mode&quot;:&quot;composite&quot;},&quot;isEdited&quot;:false,&quot;manualOverride&quot;:{&quot;isManuallyOverridden&quot;:false,&quot;citeprocText&quot;:&quot;Jensen &amp;#38; Zanoelo (2013)&quot;,&quot;manualOverrideText&quot;:&quot;&quot;},&quot;citationTag&quot;:&quot;MENDELEY_CITATION_v3_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&quot;,&quot;citationItems&quot;:[{&quot;id&quot;:&quot;d95788af-ecfe-331c-98c8-688bf963c372&quot;,&quot;itemData&quot;:{&quot;type&quot;:&quot;article-journal&quot;,&quot;id&quot;:&quot;d95788af-ecfe-331c-98c8-688bf963c372&quot;,&quot;title&quot;:&quot;Kinetics of aqueous extraction of mate (Ilex paraguariensis) leaves&quot;,&quot;author&quot;:[{&quot;family&quot;:&quot;Jensen&quot;,&quot;given&quot;:&quot;Suellen&quot;,&quot;parse-names&quot;:false,&quot;dropping-particle&quot;:&quot;&quot;,&quot;non-dropping-particle&quot;:&quot;&quot;},{&quot;family&quot;:&quot;Zanoelo&quot;,&quot;given&quot;:&quot;Éverton Fernando&quot;,&quot;parse-names&quot;:false,&quot;dropping-particle&quot;:&quot;&quot;,&quot;non-dropping-particle&quot;:&quot;&quot;}],&quot;container-title&quot;:&quot;Journal of Food Process Engineering&quot;,&quot;container-title-short&quot;:&quot;J Food Process Eng&quot;,&quot;DOI&quot;:&quot;10.1111/j.1745-4530.2012.00675.x&quot;,&quot;ISSN&quot;:&quot;01458876&quot;,&quot;issued&quot;:{&quot;date-parts&quot;:[[2013,4]]},&quot;page&quot;:&quot;220-227&quot;,&quot;abstract&quot;:&quot;Experiments were carried out to investigate the kinetics of infusion of mate leaves. A cylindrical batch extractor made of glass and equipped with a mixer was operated at temperatures between 18 and 80C with comminute leaves of mate in the size range from 4.9 × 10-4 to 5.7 × 10 -4 m. The experimental kinetic curves of solute concentration in the aqueous phase revealed a diffusion coefficient of soluble species through the leaves in the magnitude of 10-12-10-13 m2/s. A negligible influence of agitation and significant effects of solvent temperature and particle size on the rate of extraction of soluble matter were experimentally observed. The kinetics of infusion of mate leaves and the influence of the investigated factors were correctly reproduced by two simplified differential equations referred to as the equilibrium-dependent and diffusion-dependent extraction models. PRACTICAL APPLICATIONS Around US$1 billion is the overall value that emerged from the activities of cultivation, manufacturing and trade of mate leaves involving more than 70 countries across the continents. Despite these positive aspects, the aromatic and bioactive properties of mate could be better explored to obtain several commercial derivatives that would increase the economic impact of this commodity at a global scale. However, the development of most of these new products depends on the availability of the powder extract of mate, which is typically obtained by solid-liquid extraction with hot water. In this framework, the results obtained in the current investigation can be applied as a guideline to design and operate industrial units of mate extraction in order have a maximum extraction yield at the lowest operating cost. © 2012 Wiley Periodicals, Inc.&quot;,&quot;issue&quot;:&quot;2&quot;,&quot;volume&quot;:&quot;36&quot;},&quot;isTemporary&quot;:false,&quot;displayAs&quot;:&quot;composite&quot;,&quot;suppress-author&quot;:false,&quot;composite&quot;:true,&quot;author-only&quot;:false}]},{&quot;citationID&quot;:&quot;MENDELEY_CITATION_9d397424-eaa1-42d0-ac6c-879bfe6114a1&quot;,&quot;properties&quot;:{&quot;noteIndex&quot;:0,&quot;mode&quot;:&quot;composite&quot;},&quot;isEdited&quot;:false,&quot;manualOverride&quot;:{&quot;isManuallyOverridden&quot;:false,&quot;citeprocText&quot;:&quot;De Carvalho Rodrigues et al. (2015)&quot;,&quot;manualOverrideText&quot;:&quot;&quot;},&quot;citationTag&quot;:&quot;MENDELEY_CITATION_v3_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&quot;,&quot;citationItems&quot;:[{&quot;id&quot;:&quot;ff61e9ff-ea7f-355d-87c0-4b31a20fc5de&quot;,&quot;itemData&quot;:{&quot;type&quot;:&quot;article-journal&quot;,&quot;id&quot;:&quot;ff61e9ff-ea7f-355d-87c0-4b31a20fc5de&quot;,&quot;title&quot;:&quot;Evaluation of hot and cold extraction of bioactive compounds in teas&quot;,&quot;author&quot;:[{&quot;family&quot;:&quot;Carvalho Rodrigues&quot;,&quot;given&quot;:&quot;Vanessa&quot;,&quot;parse-names&quot;:false,&quot;dropping-particle&quot;:&quot;&quot;,&quot;non-dropping-particle&quot;:&quot;De&quot;},{&quot;family&quot;:&quot;Silva&quot;,&quot;given&quot;:&quot;Marcos&quot;,&quot;parse-names&quot;:false,&quot;dropping-particle&quot;:&quot;V.&quot;,&quot;non-dropping-particle&quot;:&quot;Da&quot;},{&quot;family&quot;:&quot;Santos&quot;,&quot;given&quot;:&quot;Adriele R.&quot;,&quot;parse-names&quot;:false,&quot;dropping-particle&quot;:&quot;&quot;,&quot;non-dropping-particle&quot;:&quot;Dos&quot;},{&quot;family&quot;:&quot;Zielinski&quot;,&quot;given&quot;:&quot;Acácio A.F.&quot;,&quot;parse-names&quot;:false,&quot;dropping-particle&quot;:&quot;&quot;,&quot;non-dropping-particle&quot;:&quot;&quot;},{&quot;family&quot;:&quot;Haminiuk&quot;,&quot;given&quot;:&quot;Charles W.I.&quot;,&quot;parse-names&quot;:false,&quot;dropping-particle&quot;:&quot;&quot;,&quot;non-dropping-particle&quot;:&quot;&quot;}],&quot;container-title&quot;:&quot;International Journal of Food Science and Technology&quot;,&quot;container-title-short&quot;:&quot;Int J Food Sci Technol&quot;,&quot;DOI&quot;:&quot;10.1111/ijfs.12858&quot;,&quot;ISSN&quot;:&quot;13652621&quot;,&quot;issued&quot;:{&quot;date-parts&quot;:[[2015,9,1]]},&quot;page&quot;:&quot;2038-2045&quot;,&quot;abstract&quot;:&quot;This study evaluated the bioactive compounds of different types of tea by comparing hot and cold infusions. A multivariate data analysis was carried out, where the principal components analysis (PCA) and hierarchical cluster analysis (HCA) were used. Phenolic compounds varied between 267.27-2896.00 mg GAE L-1 and 215.10-7351.33 mg GAE L-1 for hot (80 °C) and cold extraction (20-25 °C), respectively. In the case of their antioxidant activity, results with DPPH were 43.10-73.67% for hot extraction and 46.80-77.13% for cold extraction. The average values for the ABTS˙+ method ranged between 2535.43 and 33 300.17 μmol TE L-1 and between 1110.34 and 38 300.67 μmol TE L-1, respectively, for hot and cold extraction. Different compounds were identified by liquid chromatography in the samples evaluated, where caffeine presented the higher concentrations in the teas. Samples of green and black tea (hot extraction) and white tea (cold extraction) showed bacteriostatic activity for S. aureus and E. coli. No extract had any bactericide activity. The current study revealed that cold infusion was more efficient in the extraction of bioactive compounds.&quot;,&quot;issue&quot;:&quot;9&quot;,&quot;volume&quot;:&quot;50&quot;},&quot;isTemporary&quot;:false,&quot;displayAs&quot;:&quot;composite&quot;,&quot;suppress-author&quot;:false,&quot;composite&quot;:true,&quot;author-only&quot;:false}]},{&quot;citationID&quot;:&quot;MENDELEY_CITATION_043396c1-4637-479b-a844-7db6103c96e4&quot;,&quot;properties&quot;:{&quot;noteIndex&quot;:0,&quot;mode&quot;:&quot;composite&quot;},&quot;isEdited&quot;:false,&quot;manualOverride&quot;:{&quot;isManuallyOverridden&quot;:true,&quot;citeprocText&quot;:&quot;Singleton et al. (1999)&quot;,&quot;manualOverrideText&quot;:&quot;Singleton et al. (1999).&quot;},&quot;citationTag&quot;:&quot;MENDELEY_CITATION_v3_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&quot;,&quot;citationItems&quot;:[{&quot;id&quot;:&quot;25de8440-4362-3e49-af06-cc27eb27c803&quot;,&quot;itemData&quot;:{&quot;type&quot;:&quot;report&quot;,&quot;id&quot;:&quot;25de8440-4362-3e49-af06-cc27eb27c803&quot;,&quot;title&quot;:&quot;52 POLYPHENOLS AND FLAVONOIDS [ 14] [14] Analysis of Total Phenols and Other Oxidation Substrates and Antioxidants by Means of Folin-Ciocalteu Reagent&quot;,&quot;author&quot;:[{&quot;family&quot;:&quot;Singleton&quot;,&quot;given&quot;:&quot;Vernon L&quot;,&quot;parse-names&quot;:false,&quot;dropping-particle&quot;:&quot;&quot;,&quot;non-dropping-particle&quot;:&quot;&quot;},{&quot;family&quot;:&quot;Orthofer&quot;,&quot;given&quot;:&quot;Rudolf&quot;,&quot;parse-names&quot;:false,&quot;dropping-particle&quot;:&quot;&quot;,&quot;non-dropping-particle&quot;:&quot;&quot;},{&quot;family&quot;:&quot;Lamuela-Ravent6s&quot;,&quot;given&quot;:&quot;Rosa M&quot;,&quot;parse-names&quot;:false,&quot;dropping-particle&quot;:&quot;&quot;,&quot;non-dropping-particle&quot;:&quot;&quot;}],&quot;issued&quot;:{&quot;date-parts&quot;:[[1999]]},&quot;container-title-short&quot;:&quot;&quot;},&quot;isTemporary&quot;:false,&quot;displayAs&quot;:&quot;composite&quot;,&quot;suppress-author&quot;:false,&quot;composite&quot;:true,&quot;author-only&quot;:false}]},{&quot;citationID&quot;:&quot;MENDELEY_CITATION_f01b2c2e-12e7-49d8-b9f0-8a434fe08c07&quot;,&quot;properties&quot;:{&quot;noteIndex&quot;:0,&quot;mode&quot;:&quot;composite&quot;},&quot;isEdited&quot;:false,&quot;manualOverride&quot;:{&quot;isManuallyOverridden&quot;:false,&quot;citeprocText&quot;:&quot;Box &amp;#38; Behnken (1960)&quot;,&quot;manualOverrideText&quot;:&quot;&quot;},&quot;citationTag&quot;:&quot;MENDELEY_CITATION_v3_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&quot;,&quot;citationItems&quot;:[{&quot;id&quot;:&quot;a54f803d-1652-382a-94e1-4c53330638e4&quot;,&quot;itemData&quot;:{&quot;type&quot;:&quot;article-journal&quot;,&quot;id&quot;:&quot;a54f803d-1652-382a-94e1-4c53330638e4&quot;,&quot;title&quot;:&quot;Some New Three Level Designs for the Study of Quantitative Variables&quot;,&quot;author&quot;:[{&quot;family&quot;:&quot;Box&quot;,&quot;given&quot;:&quot;G. E.P.&quot;,&quot;parse-names&quot;:false,&quot;dropping-particle&quot;:&quot;&quot;,&quot;non-dropping-particle&quot;:&quot;&quot;},{&quot;family&quot;:&quot;Behnken&quot;,&quot;given&quot;:&quot;D. W.&quot;,&quot;parse-names&quot;:false,&quot;dropping-particle&quot;:&quot;&quot;,&quot;non-dropping-particle&quot;:&quot;&quot;}],&quot;container-title&quot;:&quot;Technometrics&quot;,&quot;DOI&quot;:&quot;10.1080/00401706.1960.10489912&quot;,&quot;ISSN&quot;:&quot;15372723&quot;,&quot;issued&quot;:{&quot;date-parts&quot;:[[1960]]},&quot;page&quot;:&quot;455-475&quot;,&quot;abstract&quot;:&quot;A class of incomplete three level factorial designs useful for estimating the coefficients in a second degree graduating polynomial are described. The designs either meet, or approximately meet, the criterion of rotatability and for the most part can be orthogonally blocked. A fully worked example is included. © 1960 Taylor &amp; Francis Group, LLC.&quot;,&quot;issue&quot;:&quot;4&quot;,&quot;volume&quot;:&quot;2&quot;,&quot;container-title-short&quot;:&quot;&quot;},&quot;isTemporary&quot;:false,&quot;displayAs&quot;:&quot;composite&quot;,&quot;suppress-author&quot;:false,&quot;composite&quot;:true,&quot;author-only&quot;:false}]},{&quot;citationID&quot;:&quot;MENDELEY_CITATION_b28f44a3-80ba-4388-ba65-55f38a56ad48&quot;,&quot;properties&quot;:{&quot;noteIndex&quot;:0},&quot;isEdited&quot;:false,&quot;manualOverride&quot;:{&quot;isManuallyOverridden&quot;:false,&quot;citeprocText&quot;:&quot;(Lin &amp;#38; Wang, 2009)&quot;,&quot;manualOverrideText&quot;:&quot;&quot;},&quot;citationTag&quot;:&quot;MENDELEY_CITATION_v3_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&quot;,&quot;citationItems&quot;:[{&quot;id&quot;:&quot;31655663-7172-3611-aca2-9bd610fe3f2b&quot;,&quot;itemData&quot;:{&quot;type&quot;:&quot;article-journal&quot;,&quot;id&quot;:&quot;31655663-7172-3611-aca2-9bd610fe3f2b&quot;,&quot;title&quot;:&quot;Comparison between linear and non-linear forms of pseudo-first-order and pseudo-second-order adsorption kinetic models for the removal of methylene blue by activated carbon&quot;,&quot;author&quot;:[{&quot;family&quot;:&quot;Lin&quot;,&quot;given&quot;:&quot;Junxiong&quot;,&quot;parse-names&quot;:false,&quot;dropping-particle&quot;:&quot;&quot;,&quot;non-dropping-particle&quot;:&quot;&quot;},{&quot;family&quot;:&quot;Wang&quot;,&quot;given&quot;:&quot;Lan&quot;,&quot;parse-names&quot;:false,&quot;dropping-particle&quot;:&quot;&quot;,&quot;non-dropping-particle&quot;:&quot;&quot;}],&quot;container-title&quot;:&quot;Frontiers of Environmental Science and Engineering in China&quot;,&quot;DOI&quot;:&quot;10.1007/s11783-009-0030-7&quot;,&quot;ISSN&quot;:&quot;16737415&quot;,&quot;issued&quot;:{&quot;date-parts&quot;:[[2009,8]]},&quot;page&quot;:&quot;320-324&quot;,&quot;abstract&quot;:&quot;The best-fit equations of linear and non-linear forms of the two widely used kinetic models, namely pseudo-first-order and pseudo-second-order equations, were compared in this study. The experimental kinetics of methylene blue adsorption on activated carbon was used for this research. Both the correlation coefficient (R2) and the normalized standard deviation Δq(%) were employed as error analysis methods to determine the best-fitting equations. The results show that the non-linear forms of pseudo-first-order and pseudo-second-order models were more suitable than the linear forms for fitting the experimental data. The experimental kinetics may have been distorted by linearization of the linear kinetic equations, and thus, the non-linear forms of kinetic equations should be primarily used to obtain the adsorption parameters. In addition, the Δq(%) method for error analysis may be better to determine the best-fitting model in this case. © Higher Education Press and Springer-Verlag 2009.&quot;,&quot;issue&quot;:&quot;3&quot;,&quot;volume&quot;:&quot;3&quot;,&quot;container-title-short&quot;:&quot;&quot;},&quot;isTemporary&quot;:false,&quot;suppress-author&quot;:false,&quot;composite&quot;:false,&quot;author-only&quot;:false}]},{&quot;citationID&quot;:&quot;MENDELEY_CITATION_040739f0-23fe-4fec-add1-ecd9aeba64da&quot;,&quot;properties&quot;:{&quot;noteIndex&quot;:0},&quot;isEdited&quot;:false,&quot;manualOverride&quot;:{&quot;isManuallyOverridden&quot;:false,&quot;citeprocText&quot;:&quot;(Ho &amp;#38; Mckay, 1999)&quot;,&quot;manualOverrideText&quot;:&quot;&quot;},&quot;citationTag&quot;:&quot;MENDELEY_CITATION_v3_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&quot;,&quot;citationItems&quot;:[{&quot;id&quot;:&quot;0d526560-74c5-361e-8a69-3d92403cef6d&quot;,&quot;itemData&quot;:{&quot;type&quot;:&quot;report&quot;,&quot;id&quot;:&quot;0d526560-74c5-361e-8a69-3d92403cef6d&quot;,&quot;title&quot;:&quot;Pseudo-second order model for sorption processes&quot;,&quot;author&quot;:[{&quot;family&quot;:&quot;Ho&quot;,&quot;given&quot;:&quot;Y S&quot;,&quot;parse-names&quot;:false,&quot;dropping-particle&quot;:&quot;&quot;,&quot;non-dropping-particle&quot;:&quot;&quot;},{&quot;family&quot;:&quot;Mckay&quot;,&quot;given&quot;:&quot;G&quot;,&quot;parse-names&quot;:false,&quot;dropping-particle&quot;:&quot;&quot;,&quot;non-dropping-particle&quot;:&quot;&quot;}],&quot;container-title&quot;:&quot;Process Biochemistry&quot;,&quot;issued&quot;:{&quot;date-parts&quot;:[[1999]]},&quot;number-of-pages&quot;:&quot;451-465&quot;,&quot;abstract&quot;:&quot;A literature review of the use of sorbents and biosorbents to treat polluted aqueous effluents containing dyes/organics or metal ions has been conducted. Over 70 systems have been reported since 1984 and over 43 of these reported the mechanism as being a pseudo-first order kinetic mechanism. Three sorption kinetic models are presented in this paper and have been used to test 11 of the literature systems previously reported as first order kinetics and one system previously reported as a second order process. In all 12 systems, the highest correlation coefficients were obtained for the pseudo-second order kinetic model.&quot;,&quot;volume&quot;:&quot;34&quot;,&quot;container-title-short&quot;:&quot;&quot;},&quot;isTemporary&quot;:false,&quot;suppress-author&quot;:false,&quot;composite&quot;:false,&quot;author-only&quot;:false}]},{&quot;citationID&quot;:&quot;MENDELEY_CITATION_1dbf30b1-027b-4569-9a4b-c9e0aead307c&quot;,&quot;properties&quot;:{&quot;noteIndex&quot;:0},&quot;isEdited&quot;:false,&quot;manualOverride&quot;:{&quot;isManuallyOverridden&quot;:false,&quot;citeprocText&quot;:&quot;(Ho &amp;#38; Mckay, 1999)&quot;,&quot;manualOverrideText&quot;:&quot;&quot;},&quot;citationTag&quot;:&quot;MENDELEY_CITATION_v3_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&quot;,&quot;citationItems&quot;:[{&quot;id&quot;:&quot;0d526560-74c5-361e-8a69-3d92403cef6d&quot;,&quot;itemData&quot;:{&quot;type&quot;:&quot;report&quot;,&quot;id&quot;:&quot;0d526560-74c5-361e-8a69-3d92403cef6d&quot;,&quot;title&quot;:&quot;Pseudo-second order model for sorption processes&quot;,&quot;author&quot;:[{&quot;family&quot;:&quot;Ho&quot;,&quot;given&quot;:&quot;Y S&quot;,&quot;parse-names&quot;:false,&quot;dropping-particle&quot;:&quot;&quot;,&quot;non-dropping-particle&quot;:&quot;&quot;},{&quot;family&quot;:&quot;Mckay&quot;,&quot;given&quot;:&quot;G&quot;,&quot;parse-names&quot;:false,&quot;dropping-particle&quot;:&quot;&quot;,&quot;non-dropping-particle&quot;:&quot;&quot;}],&quot;container-title&quot;:&quot;Process Biochemistry&quot;,&quot;issued&quot;:{&quot;date-parts&quot;:[[1999]]},&quot;number-of-pages&quot;:&quot;451-465&quot;,&quot;abstract&quot;:&quot;A literature review of the use of sorbents and biosorbents to treat polluted aqueous effluents containing dyes/organics or metal ions has been conducted. Over 70 systems have been reported since 1984 and over 43 of these reported the mechanism as being a pseudo-first order kinetic mechanism. Three sorption kinetic models are presented in this paper and have been used to test 11 of the literature systems previously reported as first order kinetics and one system previously reported as a second order process. In all 12 systems, the highest correlation coefficients were obtained for the pseudo-second order kinetic model.&quot;,&quot;volume&quot;:&quot;34&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DEC73-E30F-48E7-B9B6-9D285377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3392</Words>
  <Characters>18320</Characters>
  <Application>Microsoft Office Word</Application>
  <DocSecurity>0</DocSecurity>
  <Lines>152</Lines>
  <Paragraphs>43</Paragraphs>
  <ScaleCrop>false</ScaleCrop>
  <Company>Dipartimento CMIC - Politecnico di Milano</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Marina Lourenco Kienteca</cp:lastModifiedBy>
  <cp:revision>64</cp:revision>
  <cp:lastPrinted>2025-01-22T02:14:00Z</cp:lastPrinted>
  <dcterms:created xsi:type="dcterms:W3CDTF">2024-12-15T17:16:00Z</dcterms:created>
  <dcterms:modified xsi:type="dcterms:W3CDTF">2025-01-29T19:25:00Z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