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A6BC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A6BC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A6BCB">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B5CB19B" w:rsidR="00E978D0" w:rsidRPr="00B57B36" w:rsidRDefault="004A6BCB" w:rsidP="00E978D0">
      <w:pPr>
        <w:pStyle w:val="CETTitle"/>
      </w:pPr>
      <w:r w:rsidRPr="004A6BCB">
        <w:t>Anaerobic treatment of semiconductor industry wastewater and biomass acclimation</w:t>
      </w:r>
    </w:p>
    <w:p w14:paraId="0488FED2" w14:textId="24C91879" w:rsidR="00B57E6F" w:rsidRPr="00C147C0" w:rsidRDefault="004A6BCB" w:rsidP="00B57E6F">
      <w:pPr>
        <w:pStyle w:val="CETAuthors"/>
        <w:rPr>
          <w:lang w:val="pt-PT"/>
        </w:rPr>
      </w:pPr>
      <w:r w:rsidRPr="00C147C0">
        <w:rPr>
          <w:lang w:val="pt-PT"/>
        </w:rPr>
        <w:t>Bruno P. Escobar</w:t>
      </w:r>
      <w:r w:rsidR="00B57E6F" w:rsidRPr="00C147C0">
        <w:rPr>
          <w:vertAlign w:val="superscript"/>
          <w:lang w:val="pt-PT"/>
        </w:rPr>
        <w:t>a</w:t>
      </w:r>
      <w:r w:rsidR="00C147C0" w:rsidRPr="00C147C0">
        <w:rPr>
          <w:vertAlign w:val="superscript"/>
          <w:lang w:val="pt-PT"/>
        </w:rPr>
        <w:t>,</w:t>
      </w:r>
      <w:r w:rsidR="00C147C0" w:rsidRPr="00C147C0">
        <w:rPr>
          <w:lang w:val="pt-PT"/>
        </w:rPr>
        <w:t>*</w:t>
      </w:r>
      <w:r w:rsidR="00B57E6F" w:rsidRPr="00C147C0">
        <w:rPr>
          <w:lang w:val="pt-PT"/>
        </w:rPr>
        <w:t xml:space="preserve">, </w:t>
      </w:r>
      <w:r w:rsidR="009B0796" w:rsidRPr="00C147C0">
        <w:rPr>
          <w:lang w:val="pt-PT"/>
        </w:rPr>
        <w:t>Ana R</w:t>
      </w:r>
      <w:r w:rsidR="00AC59AD">
        <w:rPr>
          <w:lang w:val="pt-PT"/>
        </w:rPr>
        <w:t>ita</w:t>
      </w:r>
      <w:r w:rsidR="009B0796" w:rsidRPr="00C147C0">
        <w:rPr>
          <w:lang w:val="pt-PT"/>
        </w:rPr>
        <w:t xml:space="preserve"> N. Santos</w:t>
      </w:r>
      <w:r w:rsidR="00C147C0" w:rsidRPr="00C147C0">
        <w:rPr>
          <w:vertAlign w:val="superscript"/>
          <w:lang w:val="pt-PT"/>
        </w:rPr>
        <w:t>a</w:t>
      </w:r>
      <w:r w:rsidR="00C147C0" w:rsidRPr="00C147C0">
        <w:rPr>
          <w:lang w:val="pt-PT"/>
        </w:rPr>
        <w:t>, Flávio</w:t>
      </w:r>
      <w:r w:rsidR="009B0796" w:rsidRPr="00C147C0">
        <w:rPr>
          <w:lang w:val="pt-PT"/>
        </w:rPr>
        <w:t xml:space="preserve"> </w:t>
      </w:r>
      <w:r w:rsidR="00C147C0" w:rsidRPr="00C147C0">
        <w:rPr>
          <w:lang w:val="pt-PT"/>
        </w:rPr>
        <w:t>G</w:t>
      </w:r>
      <w:r w:rsidR="009B0796" w:rsidRPr="00C147C0">
        <w:rPr>
          <w:lang w:val="pt-PT"/>
        </w:rPr>
        <w:t>.</w:t>
      </w:r>
      <w:r w:rsidR="00C147C0" w:rsidRPr="00C147C0">
        <w:rPr>
          <w:lang w:val="pt-PT"/>
        </w:rPr>
        <w:t>C.S. Silva</w:t>
      </w:r>
      <w:r w:rsidR="00C147C0" w:rsidRPr="00C147C0">
        <w:rPr>
          <w:vertAlign w:val="superscript"/>
          <w:lang w:val="pt-PT"/>
        </w:rPr>
        <w:t>a</w:t>
      </w:r>
      <w:r w:rsidR="00C147C0" w:rsidRPr="00C147C0">
        <w:rPr>
          <w:lang w:val="pt-PT"/>
        </w:rPr>
        <w:t>, Maria H</w:t>
      </w:r>
      <w:r w:rsidR="00AC59AD">
        <w:rPr>
          <w:lang w:val="pt-PT"/>
        </w:rPr>
        <w:t>elena</w:t>
      </w:r>
      <w:r w:rsidR="00C147C0" w:rsidRPr="00C147C0">
        <w:rPr>
          <w:lang w:val="pt-PT"/>
        </w:rPr>
        <w:t xml:space="preserve"> G.A.G. </w:t>
      </w:r>
      <w:r w:rsidR="00C147C0">
        <w:rPr>
          <w:lang w:val="pt-PT"/>
        </w:rPr>
        <w:t>Nadais</w:t>
      </w:r>
      <w:r w:rsidR="00C147C0" w:rsidRPr="00C147C0">
        <w:rPr>
          <w:vertAlign w:val="superscript"/>
          <w:lang w:val="pt-PT"/>
        </w:rPr>
        <w:t>a</w:t>
      </w:r>
    </w:p>
    <w:p w14:paraId="6B2D21B3" w14:textId="5C92FBE2" w:rsidR="00B57E6F" w:rsidRPr="00E77DD4" w:rsidRDefault="00B57E6F" w:rsidP="004A6BCB">
      <w:pPr>
        <w:pStyle w:val="CETAddress"/>
        <w:rPr>
          <w:lang w:val="en-US"/>
        </w:rPr>
      </w:pPr>
      <w:r w:rsidRPr="00E77DD4">
        <w:rPr>
          <w:vertAlign w:val="superscript"/>
          <w:lang w:val="en-US"/>
        </w:rPr>
        <w:t>a</w:t>
      </w:r>
      <w:r w:rsidR="004A6BCB" w:rsidRPr="00E77DD4">
        <w:rPr>
          <w:lang w:val="en-US"/>
        </w:rPr>
        <w:t>University of Aveiro,</w:t>
      </w:r>
      <w:r w:rsidRPr="00E77DD4">
        <w:rPr>
          <w:lang w:val="en-US"/>
        </w:rPr>
        <w:t xml:space="preserve"> </w:t>
      </w:r>
      <w:r w:rsidR="004A6BCB" w:rsidRPr="00E77DD4">
        <w:rPr>
          <w:lang w:val="en-US"/>
        </w:rPr>
        <w:t>Department of Environment and Planning,</w:t>
      </w:r>
      <w:r w:rsidR="0000238C" w:rsidRPr="00E77DD4">
        <w:rPr>
          <w:lang w:val="en-US"/>
        </w:rPr>
        <w:t xml:space="preserve"> CESAM, Centre for </w:t>
      </w:r>
      <w:r w:rsidR="00C163A4" w:rsidRPr="00E77DD4">
        <w:rPr>
          <w:lang w:val="en-US"/>
        </w:rPr>
        <w:t>Environmental and Marine Studies,</w:t>
      </w:r>
      <w:r w:rsidR="004A6BCB" w:rsidRPr="00E77DD4">
        <w:rPr>
          <w:lang w:val="en-US"/>
        </w:rPr>
        <w:t xml:space="preserve"> Campus Universitário de Santiago, Aveiro 3810-193</w:t>
      </w:r>
      <w:r w:rsidR="00C163A4" w:rsidRPr="00E77DD4">
        <w:rPr>
          <w:lang w:val="en-US"/>
        </w:rPr>
        <w:t>, Portugal</w:t>
      </w:r>
    </w:p>
    <w:p w14:paraId="73F1267A" w14:textId="51822B17" w:rsidR="00B57E6F" w:rsidRPr="00201B9F" w:rsidRDefault="004A6BCB" w:rsidP="00B57E6F">
      <w:pPr>
        <w:pStyle w:val="CETemail"/>
        <w:rPr>
          <w:lang w:val="pt-PT"/>
        </w:rPr>
      </w:pPr>
      <w:r w:rsidRPr="00201B9F">
        <w:rPr>
          <w:lang w:val="pt-PT"/>
        </w:rPr>
        <w:t>bruno.p.escobar@ua.pt</w:t>
      </w:r>
    </w:p>
    <w:p w14:paraId="38F76186" w14:textId="02A84141" w:rsidR="006A6DE5" w:rsidRDefault="005500CA" w:rsidP="00997F29">
      <w:pPr>
        <w:pStyle w:val="CETnumberingbullets"/>
        <w:numPr>
          <w:ilvl w:val="0"/>
          <w:numId w:val="0"/>
        </w:numPr>
        <w:jc w:val="both"/>
      </w:pPr>
      <w:r w:rsidRPr="005500CA">
        <w:rPr>
          <w:lang w:val="en-US"/>
        </w:rPr>
        <w:t>T</w:t>
      </w:r>
      <w:r w:rsidR="00C147C0" w:rsidRPr="00C147C0">
        <w:t>his work</w:t>
      </w:r>
      <w:r>
        <w:t xml:space="preserve"> </w:t>
      </w:r>
      <w:r w:rsidR="00C147C0" w:rsidRPr="00C147C0">
        <w:t xml:space="preserve">investigated the </w:t>
      </w:r>
      <w:r w:rsidR="00DE606D">
        <w:t>feasibility</w:t>
      </w:r>
      <w:r w:rsidR="004458FD" w:rsidRPr="00C147C0">
        <w:t xml:space="preserve"> </w:t>
      </w:r>
      <w:r w:rsidR="00C147C0" w:rsidRPr="00C147C0">
        <w:t xml:space="preserve">of an anaerobic biomass from a municipal wastewater treatment plant </w:t>
      </w:r>
      <w:r w:rsidR="005F2296">
        <w:t xml:space="preserve">(MWTP) </w:t>
      </w:r>
      <w:r w:rsidR="00C147C0" w:rsidRPr="00C147C0">
        <w:t xml:space="preserve">to acclimate to an effluent from a semiconductor industry </w:t>
      </w:r>
      <w:r w:rsidR="00E01644">
        <w:t>for treating it</w:t>
      </w:r>
      <w:r w:rsidR="00C147C0" w:rsidRPr="00C147C0">
        <w:t xml:space="preserve"> </w:t>
      </w:r>
      <w:r w:rsidR="00E01644" w:rsidRPr="00C147C0">
        <w:t xml:space="preserve">over </w:t>
      </w:r>
      <w:r w:rsidR="00C147C0" w:rsidRPr="00C147C0">
        <w:t>a 1</w:t>
      </w:r>
      <w:r w:rsidR="002704A4">
        <w:t>32</w:t>
      </w:r>
      <w:r w:rsidR="00C147C0" w:rsidRPr="00C147C0">
        <w:t xml:space="preserve"> </w:t>
      </w:r>
      <w:proofErr w:type="gramStart"/>
      <w:r w:rsidR="00C147C0" w:rsidRPr="00C147C0">
        <w:t>days</w:t>
      </w:r>
      <w:proofErr w:type="gramEnd"/>
      <w:r w:rsidR="00C147C0" w:rsidRPr="00C147C0">
        <w:t xml:space="preserve"> </w:t>
      </w:r>
      <w:r w:rsidR="00E01644" w:rsidRPr="00C147C0">
        <w:t xml:space="preserve">period </w:t>
      </w:r>
      <w:r w:rsidR="00C147C0" w:rsidRPr="00C147C0">
        <w:t>in semi</w:t>
      </w:r>
      <w:r w:rsidR="00652F59">
        <w:t>-</w:t>
      </w:r>
      <w:r w:rsidR="00C147C0" w:rsidRPr="00C147C0">
        <w:t xml:space="preserve">continuous </w:t>
      </w:r>
      <w:r w:rsidR="00E01644">
        <w:t>assays</w:t>
      </w:r>
      <w:r w:rsidR="00C147C0" w:rsidRPr="00C147C0">
        <w:t xml:space="preserve">. </w:t>
      </w:r>
      <w:r w:rsidR="002F12EB" w:rsidRPr="002F12EB">
        <w:t xml:space="preserve">The study consisted of four phases: the Stimulation period, where the </w:t>
      </w:r>
      <w:r w:rsidR="00E01644">
        <w:t>inoculum</w:t>
      </w:r>
      <w:r w:rsidR="00E01644" w:rsidRPr="002F12EB">
        <w:t xml:space="preserve"> </w:t>
      </w:r>
      <w:r w:rsidR="002F12EB" w:rsidRPr="002F12EB">
        <w:t>was fed with sucrose; the Acclimation period, involving a continuous increase in effluent concentration; Stabilization 1, with feeding exclusively from effluent; and Stabilization 2, where a mixture of effluents and simulated wastewater</w:t>
      </w:r>
      <w:r w:rsidR="002F12EB">
        <w:t xml:space="preserve"> (SW)</w:t>
      </w:r>
      <w:r w:rsidR="002F12EB" w:rsidRPr="002F12EB">
        <w:t xml:space="preserve"> was introduced.</w:t>
      </w:r>
      <w:r w:rsidR="00C147C0" w:rsidRPr="00C147C0">
        <w:t xml:space="preserve"> </w:t>
      </w:r>
      <w:r w:rsidR="00DD6EF6" w:rsidRPr="00DD6EF6">
        <w:t>Methan</w:t>
      </w:r>
      <w:r w:rsidR="00751B1C">
        <w:t>is</w:t>
      </w:r>
      <w:r w:rsidR="00DD6EF6" w:rsidRPr="00DD6EF6">
        <w:t>ation and</w:t>
      </w:r>
      <w:r w:rsidR="00DD6EF6">
        <w:t xml:space="preserve"> chemical oxygen demand</w:t>
      </w:r>
      <w:r w:rsidR="00DD6EF6" w:rsidRPr="00DD6EF6">
        <w:t xml:space="preserve"> removal efficiency were on average </w:t>
      </w:r>
      <w:r w:rsidR="003C4CA2">
        <w:t>59</w:t>
      </w:r>
      <w:r w:rsidR="00BC7DAC">
        <w:t>%</w:t>
      </w:r>
      <w:r w:rsidR="003C4CA2" w:rsidRPr="00DD6EF6">
        <w:t xml:space="preserve"> </w:t>
      </w:r>
      <w:r w:rsidR="00DD6EF6" w:rsidRPr="00DD6EF6">
        <w:t>and 7</w:t>
      </w:r>
      <w:r w:rsidR="003C4CA2">
        <w:t>9</w:t>
      </w:r>
      <w:r w:rsidR="00DD6EF6" w:rsidRPr="00DD6EF6">
        <w:t>% respectively</w:t>
      </w:r>
      <w:r w:rsidR="00470012">
        <w:t>. A</w:t>
      </w:r>
      <w:r w:rsidR="00DD6EF6" w:rsidRPr="00DD6EF6">
        <w:t xml:space="preserve">verage methane production </w:t>
      </w:r>
      <w:r w:rsidR="00652F59">
        <w:t>was</w:t>
      </w:r>
      <w:r w:rsidR="00652F59" w:rsidRPr="00A97BEA">
        <w:t xml:space="preserve"> 0.1 mL of CH</w:t>
      </w:r>
      <w:r w:rsidR="00652F59" w:rsidRPr="00233795">
        <w:rPr>
          <w:vertAlign w:val="subscript"/>
        </w:rPr>
        <w:t>4</w:t>
      </w:r>
      <w:r w:rsidR="00652F59" w:rsidRPr="00A97BEA">
        <w:t xml:space="preserve"> per mg of COD</w:t>
      </w:r>
      <w:r w:rsidR="00DD6EF6" w:rsidRPr="00DD6EF6">
        <w:t xml:space="preserve">. The </w:t>
      </w:r>
      <w:r w:rsidR="00450622">
        <w:t xml:space="preserve">continuous production of methane, </w:t>
      </w:r>
      <w:r>
        <w:t>total volatile acids</w:t>
      </w:r>
      <w:r w:rsidR="00DD6EF6" w:rsidRPr="00DD6EF6">
        <w:t xml:space="preserve"> consumption, no accumulation of</w:t>
      </w:r>
      <w:r>
        <w:t xml:space="preserve"> organic compounds</w:t>
      </w:r>
      <w:r w:rsidR="00DD6EF6" w:rsidRPr="00DD6EF6">
        <w:t xml:space="preserve"> and decrease in alkalinity confirm</w:t>
      </w:r>
      <w:r w:rsidR="000C4F27">
        <w:t>ed</w:t>
      </w:r>
      <w:r w:rsidR="00DD6EF6" w:rsidRPr="00DD6EF6">
        <w:t xml:space="preserve"> a stable</w:t>
      </w:r>
      <w:r w:rsidR="000C4F27">
        <w:t xml:space="preserve"> operation of the</w:t>
      </w:r>
      <w:r w:rsidR="00DD6EF6" w:rsidRPr="00DD6EF6">
        <w:t xml:space="preserve"> anaerobic system</w:t>
      </w:r>
      <w:r w:rsidR="00C147C0" w:rsidRPr="00C147C0">
        <w:t xml:space="preserve">. </w:t>
      </w:r>
      <w:r w:rsidR="002E2A43">
        <w:t>An overall l</w:t>
      </w:r>
      <w:r w:rsidR="00C147C0" w:rsidRPr="00C147C0">
        <w:t xml:space="preserve">ower </w:t>
      </w:r>
      <w:r w:rsidR="00DD6EF6">
        <w:t>efficiency</w:t>
      </w:r>
      <w:r>
        <w:t xml:space="preserve"> in methane production</w:t>
      </w:r>
      <w:r w:rsidR="00DD6EF6">
        <w:t xml:space="preserve"> </w:t>
      </w:r>
      <w:r w:rsidR="00C147C0" w:rsidRPr="00C147C0">
        <w:t xml:space="preserve">in comparison to other </w:t>
      </w:r>
      <w:r w:rsidR="002E2A43">
        <w:t>studies may</w:t>
      </w:r>
      <w:r w:rsidR="00C147C0" w:rsidRPr="00C147C0">
        <w:t xml:space="preserve"> indicate other reactions for organic degradation besides methanogenesis,</w:t>
      </w:r>
      <w:r w:rsidR="0003056D">
        <w:t xml:space="preserve"> </w:t>
      </w:r>
      <w:r w:rsidR="00872B84">
        <w:t>as also be explained by</w:t>
      </w:r>
      <w:r w:rsidR="00872B84" w:rsidRPr="00C147C0">
        <w:t xml:space="preserve"> </w:t>
      </w:r>
      <w:r w:rsidR="00C147C0" w:rsidRPr="00C147C0">
        <w:t xml:space="preserve">the complex composition of the </w:t>
      </w:r>
      <w:r w:rsidR="000F4C28">
        <w:t xml:space="preserve">wastewater </w:t>
      </w:r>
      <w:bookmarkStart w:id="1" w:name="_Hlk189594978"/>
      <w:r w:rsidR="000F4C28">
        <w:t>(</w:t>
      </w:r>
      <w:r w:rsidR="002F12EB">
        <w:t>WW</w:t>
      </w:r>
      <w:r w:rsidR="000F4C28">
        <w:t>)</w:t>
      </w:r>
      <w:bookmarkEnd w:id="1"/>
      <w:r w:rsidR="00C147C0" w:rsidRPr="00C147C0">
        <w:t xml:space="preserve"> </w:t>
      </w:r>
      <w:r w:rsidR="00B1027F">
        <w:t>that might have</w:t>
      </w:r>
      <w:r w:rsidR="00B1027F" w:rsidRPr="00C147C0">
        <w:t xml:space="preserve"> </w:t>
      </w:r>
      <w:r w:rsidR="00C147C0" w:rsidRPr="00C147C0">
        <w:t>cause</w:t>
      </w:r>
      <w:r w:rsidR="00B1027F">
        <w:t>d</w:t>
      </w:r>
      <w:r w:rsidR="00C147C0" w:rsidRPr="00C147C0">
        <w:t xml:space="preserve"> inhibition</w:t>
      </w:r>
      <w:r w:rsidR="00DD6EF6">
        <w:t xml:space="preserve"> alongside accumulation of </w:t>
      </w:r>
      <w:r>
        <w:t>degrad</w:t>
      </w:r>
      <w:r w:rsidR="00470012">
        <w:t>ation</w:t>
      </w:r>
      <w:r w:rsidR="00DD6EF6">
        <w:t xml:space="preserve"> </w:t>
      </w:r>
      <w:r w:rsidR="00B1027F">
        <w:t>intermediates</w:t>
      </w:r>
      <w:r>
        <w:t>.</w:t>
      </w:r>
      <w:r w:rsidR="00C147C0" w:rsidRPr="00C147C0">
        <w:t xml:space="preserve"> </w:t>
      </w:r>
      <w:r>
        <w:t>T</w:t>
      </w:r>
      <w:r w:rsidRPr="00C147C0">
        <w:t>herefore,</w:t>
      </w:r>
      <w:r w:rsidR="00C147C0" w:rsidRPr="00C147C0">
        <w:t xml:space="preserve"> </w:t>
      </w:r>
      <w:r w:rsidR="00B1027F">
        <w:t xml:space="preserve">it </w:t>
      </w:r>
      <w:r w:rsidR="00C147C0" w:rsidRPr="00C147C0">
        <w:t>is important to consider pre</w:t>
      </w:r>
      <w:r w:rsidR="00B1027F">
        <w:t>-</w:t>
      </w:r>
      <w:r w:rsidR="00DD6EF6">
        <w:t xml:space="preserve"> and post-treatments</w:t>
      </w:r>
      <w:r w:rsidR="00C147C0" w:rsidRPr="00C147C0">
        <w:t xml:space="preserve"> in future studies.</w:t>
      </w:r>
      <w:r w:rsidR="006A6DE5" w:rsidRPr="00B60AE4">
        <w:t xml:space="preserve"> </w:t>
      </w:r>
      <w:r w:rsidR="00470012">
        <w:t xml:space="preserve">Results presented indicate </w:t>
      </w:r>
      <w:r w:rsidR="00DD6EF6">
        <w:t xml:space="preserve">that anaerobic </w:t>
      </w:r>
      <w:proofErr w:type="spellStart"/>
      <w:r w:rsidR="00B1027F">
        <w:t>inocula</w:t>
      </w:r>
      <w:proofErr w:type="spellEnd"/>
      <w:r w:rsidR="00B1027F">
        <w:t xml:space="preserve"> collect </w:t>
      </w:r>
      <w:r w:rsidR="00DD6EF6">
        <w:t xml:space="preserve">from a </w:t>
      </w:r>
      <w:bookmarkStart w:id="2" w:name="_Hlk189595010"/>
      <w:r w:rsidR="005F2296">
        <w:t>MWTP</w:t>
      </w:r>
      <w:bookmarkEnd w:id="2"/>
      <w:r w:rsidR="005F2296">
        <w:t xml:space="preserve"> </w:t>
      </w:r>
      <w:r w:rsidR="002241FF">
        <w:t>can</w:t>
      </w:r>
      <w:r w:rsidR="00DD6EF6">
        <w:t xml:space="preserve"> acclimate and effectively treat </w:t>
      </w:r>
      <w:bookmarkStart w:id="3" w:name="_Hlk189595024"/>
      <w:r w:rsidR="002F12EB">
        <w:t>WW</w:t>
      </w:r>
      <w:bookmarkEnd w:id="3"/>
      <w:r w:rsidR="00DD6EF6">
        <w:t xml:space="preserve"> from the semiconductor industry</w:t>
      </w:r>
      <w:r w:rsidR="00A4042C">
        <w:t>.</w:t>
      </w:r>
    </w:p>
    <w:p w14:paraId="476B2F2E" w14:textId="52B36035" w:rsidR="00600535" w:rsidRPr="00B57B36" w:rsidRDefault="00600535" w:rsidP="00600535">
      <w:pPr>
        <w:pStyle w:val="CETHeading1"/>
        <w:rPr>
          <w:lang w:val="en-GB"/>
        </w:rPr>
      </w:pPr>
      <w:r w:rsidRPr="00B57B36">
        <w:rPr>
          <w:lang w:val="en-GB"/>
        </w:rPr>
        <w:t>Introduction</w:t>
      </w:r>
    </w:p>
    <w:p w14:paraId="75D8CB7D" w14:textId="5A092A5C" w:rsidR="00F02E4F" w:rsidRDefault="004F5E15" w:rsidP="00600535">
      <w:pPr>
        <w:pStyle w:val="CETBodytext"/>
      </w:pPr>
      <w:r w:rsidRPr="00364580">
        <w:t xml:space="preserve">Currently, the use of electronics is ubiquitous to human activity, </w:t>
      </w:r>
      <w:r>
        <w:t>and s</w:t>
      </w:r>
      <w:r w:rsidRPr="00364580">
        <w:t>emiconductors are key component</w:t>
      </w:r>
      <w:r w:rsidR="00A832E8">
        <w:t>s</w:t>
      </w:r>
      <w:r w:rsidRPr="00364580">
        <w:t xml:space="preserve"> </w:t>
      </w:r>
      <w:r>
        <w:t xml:space="preserve">for their </w:t>
      </w:r>
      <w:r w:rsidRPr="00364580">
        <w:t xml:space="preserve">production, with a market size of 543 billion dollars </w:t>
      </w:r>
      <w:r w:rsidRPr="005605BB">
        <w:t>(SIA, 2022)</w:t>
      </w:r>
      <w:r w:rsidR="00A832E8">
        <w:t>.</w:t>
      </w:r>
      <w:r w:rsidR="00F02E4F">
        <w:t xml:space="preserve"> </w:t>
      </w:r>
      <w:r w:rsidR="00A832E8">
        <w:t>T</w:t>
      </w:r>
      <w:r w:rsidR="00F02E4F">
        <w:t xml:space="preserve">hey are </w:t>
      </w:r>
      <w:r w:rsidR="00F02E4F" w:rsidRPr="00F02E4F">
        <w:t xml:space="preserve">materials with specific conductivity with </w:t>
      </w:r>
      <w:r w:rsidR="00F02E4F" w:rsidRPr="002029F3">
        <w:t xml:space="preserve">properties varying according to the addition of doping, </w:t>
      </w:r>
      <w:r w:rsidR="00777A65">
        <w:t xml:space="preserve">thus </w:t>
      </w:r>
      <w:r w:rsidR="00F02E4F" w:rsidRPr="002029F3">
        <w:t xml:space="preserve">determining their charge transport conditions (Seeger, </w:t>
      </w:r>
      <w:r w:rsidR="002029F3" w:rsidRPr="002029F3">
        <w:t>1973)</w:t>
      </w:r>
      <w:r w:rsidR="00470012">
        <w:t>.</w:t>
      </w:r>
      <w:r w:rsidR="005500CA">
        <w:t xml:space="preserve"> </w:t>
      </w:r>
      <w:r w:rsidR="00470012">
        <w:t xml:space="preserve">Silica is </w:t>
      </w:r>
      <w:r w:rsidR="00F02E4F" w:rsidRPr="002029F3">
        <w:t xml:space="preserve">the main material used for its manufacture, followed by other metalloids. The production of semiconductors becomes the main basis for the manufacture of electronics and microelectronics, </w:t>
      </w:r>
      <w:r w:rsidR="00470012">
        <w:t xml:space="preserve">such </w:t>
      </w:r>
      <w:r w:rsidR="00917F44">
        <w:t xml:space="preserve">as </w:t>
      </w:r>
      <w:r w:rsidR="00917F44" w:rsidRPr="002029F3">
        <w:t>LED</w:t>
      </w:r>
      <w:r w:rsidR="00F02E4F" w:rsidRPr="00F02E4F">
        <w:t xml:space="preserve"> TVs or smartphones.</w:t>
      </w:r>
    </w:p>
    <w:p w14:paraId="32A2A4FA" w14:textId="78C10CF7" w:rsidR="00F9554C" w:rsidRPr="002029F3" w:rsidRDefault="00F9554C" w:rsidP="00600535">
      <w:pPr>
        <w:pStyle w:val="CETBodytext"/>
      </w:pPr>
      <w:r w:rsidRPr="00F9554C">
        <w:rPr>
          <w:lang w:val="en"/>
        </w:rPr>
        <w:t xml:space="preserve">Within the semiconductor manufacturing process, the degree of purity </w:t>
      </w:r>
      <w:r w:rsidRPr="002029F3">
        <w:rPr>
          <w:lang w:val="en"/>
        </w:rPr>
        <w:t xml:space="preserve">must be high to guarantee their expected properties. To achieve this purity, several stages of chemical </w:t>
      </w:r>
      <w:r w:rsidR="00917F44">
        <w:rPr>
          <w:lang w:val="en"/>
        </w:rPr>
        <w:t xml:space="preserve">treatments </w:t>
      </w:r>
      <w:r w:rsidR="00917F44" w:rsidRPr="002029F3">
        <w:rPr>
          <w:lang w:val="en"/>
        </w:rPr>
        <w:t>and</w:t>
      </w:r>
      <w:r w:rsidRPr="002029F3">
        <w:rPr>
          <w:lang w:val="en"/>
        </w:rPr>
        <w:t xml:space="preserve"> cleaning are carried out. The main </w:t>
      </w:r>
      <w:r w:rsidR="002241FF" w:rsidRPr="002029F3">
        <w:rPr>
          <w:lang w:val="en"/>
        </w:rPr>
        <w:t>process</w:t>
      </w:r>
      <w:r w:rsidRPr="002029F3">
        <w:rPr>
          <w:lang w:val="en"/>
        </w:rPr>
        <w:t xml:space="preserve"> in its manufacturing </w:t>
      </w:r>
      <w:r w:rsidR="00777A65">
        <w:rPr>
          <w:lang w:val="en"/>
        </w:rPr>
        <w:t>includes</w:t>
      </w:r>
      <w:r w:rsidR="00777A65" w:rsidRPr="002029F3">
        <w:rPr>
          <w:lang w:val="en"/>
        </w:rPr>
        <w:t xml:space="preserve"> </w:t>
      </w:r>
      <w:r w:rsidRPr="002029F3">
        <w:rPr>
          <w:lang w:val="en"/>
        </w:rPr>
        <w:t xml:space="preserve">wafer fabrication, oxidation, photolithography, etching, ion deposition and implantation, metallization, electrical matrix sorting and packaging (Tsai et al., 2002). In these processes, a wide range of </w:t>
      </w:r>
      <w:r w:rsidR="00E642B4" w:rsidRPr="002029F3">
        <w:rPr>
          <w:lang w:val="en"/>
        </w:rPr>
        <w:t>chemicals are</w:t>
      </w:r>
      <w:r w:rsidRPr="002029F3">
        <w:rPr>
          <w:lang w:val="en"/>
        </w:rPr>
        <w:t xml:space="preserve"> used</w:t>
      </w:r>
      <w:r w:rsidR="00A05B1D">
        <w:rPr>
          <w:lang w:val="en"/>
        </w:rPr>
        <w:t xml:space="preserve">, including </w:t>
      </w:r>
      <w:r w:rsidR="00A05B1D" w:rsidRPr="002029F3">
        <w:rPr>
          <w:lang w:val="en"/>
        </w:rPr>
        <w:t>metals, solvents and acid</w:t>
      </w:r>
      <w:r w:rsidR="00A05B1D">
        <w:rPr>
          <w:lang w:val="en"/>
        </w:rPr>
        <w:t>s</w:t>
      </w:r>
      <w:r w:rsidR="0087228E">
        <w:rPr>
          <w:lang w:val="en"/>
        </w:rPr>
        <w:t>.</w:t>
      </w:r>
      <w:r w:rsidRPr="002029F3">
        <w:rPr>
          <w:lang w:val="en"/>
        </w:rPr>
        <w:t xml:space="preserve"> </w:t>
      </w:r>
      <w:r w:rsidR="0087228E">
        <w:rPr>
          <w:lang w:val="en"/>
        </w:rPr>
        <w:t>T</w:t>
      </w:r>
      <w:r w:rsidRPr="002029F3">
        <w:rPr>
          <w:lang w:val="en"/>
        </w:rPr>
        <w:t xml:space="preserve">he remaining solutions and </w:t>
      </w:r>
      <w:r w:rsidR="0087228E">
        <w:rPr>
          <w:lang w:val="en"/>
        </w:rPr>
        <w:t>suspended solids are</w:t>
      </w:r>
      <w:r w:rsidRPr="002029F3">
        <w:rPr>
          <w:lang w:val="en"/>
        </w:rPr>
        <w:t xml:space="preserve"> removed by washing and cleaning using vast amounts of ultrapure water. The worldwide consumption of </w:t>
      </w:r>
      <w:r w:rsidR="00B06995" w:rsidRPr="002029F3">
        <w:rPr>
          <w:lang w:val="en"/>
        </w:rPr>
        <w:t>ultrapure water</w:t>
      </w:r>
      <w:r w:rsidRPr="002029F3">
        <w:rPr>
          <w:lang w:val="en"/>
        </w:rPr>
        <w:t xml:space="preserve"> in semiconductors industries </w:t>
      </w:r>
      <w:r w:rsidR="00DB5B0B">
        <w:rPr>
          <w:lang w:val="en"/>
        </w:rPr>
        <w:t>was</w:t>
      </w:r>
      <w:r w:rsidR="00DB5B0B" w:rsidRPr="002029F3">
        <w:rPr>
          <w:lang w:val="en"/>
        </w:rPr>
        <w:t xml:space="preserve"> </w:t>
      </w:r>
      <w:r w:rsidR="00FE6888" w:rsidRPr="002029F3">
        <w:rPr>
          <w:lang w:val="en"/>
        </w:rPr>
        <w:t xml:space="preserve">estimated </w:t>
      </w:r>
      <w:r w:rsidR="00DB5B0B">
        <w:rPr>
          <w:lang w:val="en"/>
        </w:rPr>
        <w:t xml:space="preserve">to be </w:t>
      </w:r>
      <w:r w:rsidRPr="002029F3">
        <w:rPr>
          <w:lang w:val="en"/>
        </w:rPr>
        <w:t>about</w:t>
      </w:r>
      <w:r w:rsidR="004F5E15" w:rsidRPr="002029F3">
        <w:t xml:space="preserve"> 5.51 x10</w:t>
      </w:r>
      <w:r w:rsidR="004F5E15" w:rsidRPr="002029F3">
        <w:rPr>
          <w:vertAlign w:val="superscript"/>
        </w:rPr>
        <w:t>8</w:t>
      </w:r>
      <w:r w:rsidR="004F5E15" w:rsidRPr="002029F3">
        <w:t xml:space="preserve"> m³ in 2022 (UMC, 2021). </w:t>
      </w:r>
    </w:p>
    <w:p w14:paraId="65AE1E24" w14:textId="4DD20C83" w:rsidR="000678D8" w:rsidRDefault="004F5E15" w:rsidP="00600535">
      <w:pPr>
        <w:pStyle w:val="CETBodytext"/>
      </w:pPr>
      <w:r w:rsidRPr="002029F3">
        <w:t xml:space="preserve">Such use of ultrapure water </w:t>
      </w:r>
      <w:r w:rsidR="009B6E9E">
        <w:t xml:space="preserve">for </w:t>
      </w:r>
      <w:r w:rsidR="00AB7162">
        <w:t xml:space="preserve">washing of wafers </w:t>
      </w:r>
      <w:r w:rsidRPr="002029F3">
        <w:t xml:space="preserve">generates a high volume of complex </w:t>
      </w:r>
      <w:bookmarkStart w:id="4" w:name="_Hlk189595078"/>
      <w:r w:rsidR="005F2296">
        <w:t>WW</w:t>
      </w:r>
      <w:bookmarkEnd w:id="4"/>
      <w:r w:rsidRPr="002029F3">
        <w:t xml:space="preserve">, with different concentrations of pollutants, such as tetramethylammonium hydroxide (TMAH), phosphoric acid, ammonia, surfactants, organic solvents and heavy metals (Sim et al., 2023). </w:t>
      </w:r>
      <w:r w:rsidR="00B92C7C">
        <w:t>Although m</w:t>
      </w:r>
      <w:r w:rsidRPr="002029F3">
        <w:t xml:space="preserve">any of these </w:t>
      </w:r>
      <w:r w:rsidR="00AB7162">
        <w:t xml:space="preserve">pollutants </w:t>
      </w:r>
      <w:r>
        <w:t>are recalcitrant and harmful to the environment</w:t>
      </w:r>
      <w:r w:rsidR="00B92C7C">
        <w:t>, they often present</w:t>
      </w:r>
      <w:r>
        <w:t xml:space="preserve"> organic</w:t>
      </w:r>
      <w:r w:rsidR="00D35B48">
        <w:t xml:space="preserve"> character</w:t>
      </w:r>
      <w:r w:rsidR="00DB5B0B">
        <w:t>.</w:t>
      </w:r>
      <w:r>
        <w:t xml:space="preserve"> </w:t>
      </w:r>
      <w:r w:rsidR="00E6605C">
        <w:t>Therefore,</w:t>
      </w:r>
      <w:r>
        <w:t xml:space="preserve"> there </w:t>
      </w:r>
      <w:r w:rsidR="00794C6B">
        <w:t>is room</w:t>
      </w:r>
      <w:r>
        <w:t xml:space="preserve"> for their treatment by biological processes, which are simple</w:t>
      </w:r>
      <w:r w:rsidR="00D35B48">
        <w:t xml:space="preserve"> and</w:t>
      </w:r>
      <w:r>
        <w:t xml:space="preserve"> </w:t>
      </w:r>
      <w:r w:rsidR="00D35B48">
        <w:t>cost-</w:t>
      </w:r>
      <w:r>
        <w:t xml:space="preserve">effective. Anaerobic digestion has </w:t>
      </w:r>
      <w:r w:rsidR="002241FF">
        <w:t>become</w:t>
      </w:r>
      <w:r w:rsidR="00794C6B">
        <w:t xml:space="preserve"> </w:t>
      </w:r>
      <w:r>
        <w:t xml:space="preserve">an interesting option for treatment of semiconductor </w:t>
      </w:r>
      <w:r w:rsidR="005F2296">
        <w:t>WW</w:t>
      </w:r>
      <w:r>
        <w:t xml:space="preserve"> with </w:t>
      </w:r>
      <w:r w:rsidR="00D35B48">
        <w:t xml:space="preserve">several </w:t>
      </w:r>
      <w:r>
        <w:t xml:space="preserve">studies demonstrating its capabilities for degrading </w:t>
      </w:r>
      <w:r w:rsidRPr="006C2A62">
        <w:t xml:space="preserve">different chemicals </w:t>
      </w:r>
      <w:r w:rsidR="00D35B48">
        <w:t>found</w:t>
      </w:r>
      <w:r w:rsidR="00D35B48" w:rsidRPr="006C2A62">
        <w:t xml:space="preserve"> </w:t>
      </w:r>
      <w:r w:rsidR="00F9554C" w:rsidRPr="006C2A62">
        <w:t xml:space="preserve">in </w:t>
      </w:r>
      <w:r w:rsidR="00D35B48">
        <w:t>these effluents</w:t>
      </w:r>
      <w:r w:rsidR="00F9554C" w:rsidRPr="006C2A62">
        <w:t xml:space="preserve"> such as</w:t>
      </w:r>
      <w:r w:rsidR="00B06995" w:rsidRPr="006C2A62">
        <w:t xml:space="preserve"> dimethyl sulfoxide</w:t>
      </w:r>
      <w:r w:rsidR="00F9554C" w:rsidRPr="006C2A62">
        <w:t xml:space="preserve"> </w:t>
      </w:r>
      <w:r w:rsidR="00B06995" w:rsidRPr="006C2A62">
        <w:t>(</w:t>
      </w:r>
      <w:r w:rsidR="008111A2" w:rsidRPr="006C2A62">
        <w:t>DMSO</w:t>
      </w:r>
      <w:r w:rsidR="00B06995" w:rsidRPr="006C2A62">
        <w:t>)</w:t>
      </w:r>
      <w:r w:rsidR="008111A2" w:rsidRPr="006C2A62">
        <w:t xml:space="preserve"> </w:t>
      </w:r>
      <w:r w:rsidRPr="006C2A62">
        <w:t>(Cheng et al., 2019</w:t>
      </w:r>
      <w:r w:rsidR="008111A2" w:rsidRPr="006C2A62">
        <w:t xml:space="preserve">) </w:t>
      </w:r>
      <w:r w:rsidR="008111A2" w:rsidRPr="006C2A62">
        <w:lastRenderedPageBreak/>
        <w:t>and TMAH (</w:t>
      </w:r>
      <w:proofErr w:type="spellStart"/>
      <w:r w:rsidR="00B209DD" w:rsidRPr="006C2A62">
        <w:t>Syutsubo</w:t>
      </w:r>
      <w:proofErr w:type="spellEnd"/>
      <w:r w:rsidR="00B209DD" w:rsidRPr="006C2A62">
        <w:t xml:space="preserve"> et al., 2021</w:t>
      </w:r>
      <w:r w:rsidRPr="006C2A62">
        <w:t>)</w:t>
      </w:r>
      <w:r w:rsidR="008111A2" w:rsidRPr="006C2A62">
        <w:t xml:space="preserve">. Some of the advantages in using anaerobic treatment are the low excess sludge production, energy recovery through methane production, </w:t>
      </w:r>
      <w:r w:rsidR="00DF2B85" w:rsidRPr="006C2A62">
        <w:t xml:space="preserve">possibility of compact designs and lower </w:t>
      </w:r>
      <w:r w:rsidR="00C95180">
        <w:t>capital</w:t>
      </w:r>
      <w:r w:rsidR="00C95180" w:rsidRPr="006C2A62">
        <w:t xml:space="preserve"> </w:t>
      </w:r>
      <w:r w:rsidR="00DF2B85" w:rsidRPr="006C2A62">
        <w:t xml:space="preserve">and </w:t>
      </w:r>
      <w:r w:rsidR="00D35B48">
        <w:t>operating</w:t>
      </w:r>
      <w:r w:rsidR="00D35B48" w:rsidRPr="006C2A62">
        <w:t xml:space="preserve"> </w:t>
      </w:r>
      <w:r w:rsidR="00DF2B85" w:rsidRPr="006C2A62">
        <w:t>costs (Zieliński</w:t>
      </w:r>
      <w:r w:rsidR="00B24621" w:rsidRPr="006C2A62">
        <w:t xml:space="preserve"> et al., 202</w:t>
      </w:r>
      <w:r w:rsidR="00D53B28" w:rsidRPr="006C2A62">
        <w:t>2</w:t>
      </w:r>
      <w:r w:rsidR="00B209DD" w:rsidRPr="006C2A62">
        <w:t>)</w:t>
      </w:r>
      <w:r w:rsidR="00B24621" w:rsidRPr="006C2A62">
        <w:t xml:space="preserve">. Although anaerobic microorganisms are </w:t>
      </w:r>
      <w:r w:rsidR="00B0240B" w:rsidRPr="006C2A62">
        <w:t>known</w:t>
      </w:r>
      <w:r w:rsidR="00B24621" w:rsidRPr="006C2A62">
        <w:t xml:space="preserve"> to </w:t>
      </w:r>
      <w:r w:rsidR="00C95180">
        <w:t>thrive in</w:t>
      </w:r>
      <w:r w:rsidR="00C95180" w:rsidRPr="006C2A62">
        <w:t xml:space="preserve"> </w:t>
      </w:r>
      <w:r w:rsidR="00B24621" w:rsidRPr="006C2A62">
        <w:t>complex and recalcitrant chemicals there is a threshold</w:t>
      </w:r>
      <w:r w:rsidR="00B24621">
        <w:t xml:space="preserve"> </w:t>
      </w:r>
      <w:r w:rsidR="00D35B48">
        <w:t xml:space="preserve">for their </w:t>
      </w:r>
      <w:r w:rsidR="00251E72">
        <w:t xml:space="preserve">degradation </w:t>
      </w:r>
      <w:r w:rsidR="00D35B48">
        <w:t>efficiency</w:t>
      </w:r>
      <w:r w:rsidR="00B24621">
        <w:t xml:space="preserve">, therefore the concentration of </w:t>
      </w:r>
      <w:r w:rsidR="00F6401F">
        <w:t>those chemicals</w:t>
      </w:r>
      <w:r w:rsidR="00F21B26">
        <w:t xml:space="preserve"> </w:t>
      </w:r>
      <w:r w:rsidR="00B24621">
        <w:t>will determine the efficiency of the digestion.</w:t>
      </w:r>
      <w:r w:rsidR="000678D8">
        <w:t xml:space="preserve"> </w:t>
      </w:r>
      <w:bookmarkStart w:id="5" w:name="_Hlk189595132"/>
      <w:r w:rsidR="009768C4" w:rsidRPr="009768C4">
        <w:rPr>
          <w:lang w:val="en-GB"/>
        </w:rPr>
        <w:t>This study sought to conduct a preliminary analysis to assess the potential of anaerobic biomass for the treatment of recalcitrant effluents produced by the semiconductor industry.</w:t>
      </w:r>
      <w:bookmarkEnd w:id="5"/>
    </w:p>
    <w:p w14:paraId="5741900F" w14:textId="2CA32522" w:rsidR="00453E24" w:rsidRDefault="004F5E15" w:rsidP="00453E24">
      <w:pPr>
        <w:pStyle w:val="CETHeading1"/>
      </w:pPr>
      <w:r w:rsidRPr="004F5E15">
        <w:rPr>
          <w:lang w:val="en-GB"/>
        </w:rPr>
        <w:t>Materials and methods</w:t>
      </w:r>
    </w:p>
    <w:p w14:paraId="0636B784" w14:textId="1B30E694" w:rsidR="00453E24" w:rsidRDefault="004F5E15" w:rsidP="00453E24">
      <w:pPr>
        <w:pStyle w:val="CETheadingx"/>
      </w:pPr>
      <w:r>
        <w:t>Materials</w:t>
      </w:r>
    </w:p>
    <w:p w14:paraId="21CDD377" w14:textId="03EE6616" w:rsidR="002971C0" w:rsidRPr="00997F29" w:rsidRDefault="00496297" w:rsidP="002971C0">
      <w:pPr>
        <w:pStyle w:val="CETBodytext"/>
      </w:pPr>
      <w:r>
        <w:t>Two types of e</w:t>
      </w:r>
      <w:r w:rsidR="00997F29">
        <w:t xml:space="preserve">ffluent </w:t>
      </w:r>
      <w:r>
        <w:t>were</w:t>
      </w:r>
      <w:r w:rsidR="00997F29">
        <w:t xml:space="preserve"> obtained from </w:t>
      </w:r>
      <w:r w:rsidR="00B75D7B">
        <w:t>a</w:t>
      </w:r>
      <w:r w:rsidR="00997F29">
        <w:t xml:space="preserve"> semiconductor industry located in northern Portugal, </w:t>
      </w:r>
      <w:r>
        <w:t>one with</w:t>
      </w:r>
      <w:r w:rsidR="00093100">
        <w:t xml:space="preserve"> chemicals and diluted acid mixture</w:t>
      </w:r>
      <w:r w:rsidR="00485DDF">
        <w:t xml:space="preserve"> (E1)</w:t>
      </w:r>
      <w:r w:rsidR="00093100">
        <w:t xml:space="preserve"> and the other with a mixture of </w:t>
      </w:r>
      <w:bookmarkStart w:id="6" w:name="_Hlk189595289"/>
      <w:r w:rsidR="002F12EB">
        <w:t>E1</w:t>
      </w:r>
      <w:bookmarkEnd w:id="6"/>
      <w:r w:rsidR="00485DDF">
        <w:t xml:space="preserve"> and strong acids (E2)</w:t>
      </w:r>
      <w:r>
        <w:t xml:space="preserve">. </w:t>
      </w:r>
      <w:r w:rsidR="00383C3C" w:rsidRPr="006F71D6">
        <w:t>More specifically, it was also confirmed through the processes carried out by the industry that TMAH, isopropanol,</w:t>
      </w:r>
      <w:r w:rsidR="00383C3C">
        <w:t xml:space="preserve"> a</w:t>
      </w:r>
      <w:r w:rsidR="00383C3C" w:rsidRPr="006F71D6">
        <w:t xml:space="preserve"> non-ionic surfactant, sodium persulfate, copper sulfate, citric acid, acetic acid, sulfuric acid, hydrofluoric acid and phosphoric acid were u</w:t>
      </w:r>
      <w:r w:rsidR="00383C3C">
        <w:t xml:space="preserve">tilized in varying concentrations depending on the </w:t>
      </w:r>
      <w:r w:rsidR="00B928B7">
        <w:t xml:space="preserve">needs </w:t>
      </w:r>
      <w:r w:rsidR="00383C3C">
        <w:t>of production</w:t>
      </w:r>
      <w:r w:rsidR="00383C3C" w:rsidRPr="006F71D6">
        <w:t>.</w:t>
      </w:r>
      <w:r w:rsidR="00383C3C">
        <w:t xml:space="preserve"> </w:t>
      </w:r>
      <w:r>
        <w:t>T</w:t>
      </w:r>
      <w:r w:rsidR="00997F29">
        <w:t xml:space="preserve">he tanks </w:t>
      </w:r>
      <w:r w:rsidR="00DB5B0B">
        <w:t xml:space="preserve">from </w:t>
      </w:r>
      <w:r w:rsidR="00B75D7B">
        <w:t>where</w:t>
      </w:r>
      <w:r w:rsidR="00997F29">
        <w:t xml:space="preserve"> </w:t>
      </w:r>
      <w:r w:rsidR="00DB5B0B">
        <w:t>the effluent</w:t>
      </w:r>
      <w:r w:rsidR="00F714CB">
        <w:t>s</w:t>
      </w:r>
      <w:r w:rsidR="00DB5B0B">
        <w:t xml:space="preserve"> </w:t>
      </w:r>
      <w:r w:rsidR="00F714CB">
        <w:t xml:space="preserve">were </w:t>
      </w:r>
      <w:r w:rsidR="00997F29">
        <w:t xml:space="preserve">collected contained a </w:t>
      </w:r>
      <w:r w:rsidR="00917F44">
        <w:t>mixture resulting</w:t>
      </w:r>
      <w:r w:rsidR="00DB5B0B">
        <w:t xml:space="preserve"> from </w:t>
      </w:r>
      <w:r w:rsidR="00997F29">
        <w:t xml:space="preserve">different processes, mainly lithography, </w:t>
      </w:r>
      <w:r w:rsidR="00B75D7B">
        <w:t xml:space="preserve">packaging, plating, dicing, grinding and laser grooving </w:t>
      </w:r>
      <w:r>
        <w:t>and</w:t>
      </w:r>
      <w:r w:rsidR="00B75D7B">
        <w:t xml:space="preserve"> the many steps of washing and cleaning.</w:t>
      </w:r>
      <w:r>
        <w:t xml:space="preserve"> </w:t>
      </w:r>
      <w:r w:rsidR="00C50305">
        <w:t xml:space="preserve">To avoid any setbacks with the strong acidic </w:t>
      </w:r>
      <w:r w:rsidR="00093100">
        <w:t>content in the effluent</w:t>
      </w:r>
      <w:r w:rsidR="00485DDF">
        <w:t xml:space="preserve"> E2</w:t>
      </w:r>
      <w:r w:rsidR="00C50305">
        <w:t xml:space="preserve">, it was collected after the pH control step. </w:t>
      </w:r>
      <w:r>
        <w:t>Anaerobic</w:t>
      </w:r>
      <w:r w:rsidR="000678D8">
        <w:t xml:space="preserve"> inoculum was obtained from a MWTP </w:t>
      </w:r>
      <w:r w:rsidR="00F714CB">
        <w:t xml:space="preserve">located in north-central Portugal </w:t>
      </w:r>
      <w:r>
        <w:t xml:space="preserve">treating </w:t>
      </w:r>
      <w:r w:rsidR="006F528C">
        <w:t xml:space="preserve">both </w:t>
      </w:r>
      <w:r>
        <w:t xml:space="preserve">domestic </w:t>
      </w:r>
      <w:r w:rsidR="006F528C">
        <w:t xml:space="preserve">and industrial </w:t>
      </w:r>
      <w:r w:rsidR="005F2296">
        <w:t>WW</w:t>
      </w:r>
      <w:r>
        <w:t xml:space="preserve">. </w:t>
      </w:r>
    </w:p>
    <w:p w14:paraId="7036528C" w14:textId="77777777" w:rsidR="002971C0" w:rsidRPr="002971C0" w:rsidRDefault="002971C0" w:rsidP="002971C0">
      <w:pPr>
        <w:pStyle w:val="CETheadingx"/>
      </w:pPr>
      <w:r w:rsidRPr="002971C0">
        <w:t xml:space="preserve">Experimental setup and operation </w:t>
      </w:r>
    </w:p>
    <w:p w14:paraId="0DF095B4" w14:textId="3C63AA73" w:rsidR="002F12EB" w:rsidRDefault="00C50305" w:rsidP="002971C0">
      <w:pPr>
        <w:pStyle w:val="CETBodytext"/>
      </w:pPr>
      <w:r w:rsidRPr="00C50305">
        <w:t xml:space="preserve">The experiments </w:t>
      </w:r>
      <w:r w:rsidR="00DB5B0B">
        <w:t>were performed</w:t>
      </w:r>
      <w:r w:rsidR="000678D8">
        <w:t xml:space="preserve"> </w:t>
      </w:r>
      <w:r w:rsidRPr="00C50305">
        <w:t xml:space="preserve">in </w:t>
      </w:r>
      <w:r w:rsidR="00AD4683">
        <w:t>four</w:t>
      </w:r>
      <w:r w:rsidR="00AD4683" w:rsidRPr="00C50305">
        <w:t xml:space="preserve"> </w:t>
      </w:r>
      <w:r w:rsidR="000678D8" w:rsidRPr="00C50305">
        <w:t>s</w:t>
      </w:r>
      <w:r w:rsidR="000678D8">
        <w:t>eparate</w:t>
      </w:r>
      <w:r>
        <w:t xml:space="preserve"> phases, lasting for a total of 1</w:t>
      </w:r>
      <w:r w:rsidR="0068172F">
        <w:t>32</w:t>
      </w:r>
      <w:r>
        <w:t xml:space="preserve"> d</w:t>
      </w:r>
      <w:r w:rsidR="0050781B">
        <w:t>ays</w:t>
      </w:r>
      <w:r>
        <w:t>,</w:t>
      </w:r>
      <w:r w:rsidR="00AD4683">
        <w:t xml:space="preserve"> as follows.</w:t>
      </w:r>
      <w:r>
        <w:t xml:space="preserve"> </w:t>
      </w:r>
      <w:r w:rsidR="00AD4683">
        <w:t>I</w:t>
      </w:r>
      <w:r>
        <w:t>n the Stimulation phase (3</w:t>
      </w:r>
      <w:r w:rsidR="00510E01">
        <w:t>6</w:t>
      </w:r>
      <w:r>
        <w:t xml:space="preserve"> d</w:t>
      </w:r>
      <w:r w:rsidR="0050781B">
        <w:t>ays</w:t>
      </w:r>
      <w:r>
        <w:t>) the biomass was</w:t>
      </w:r>
      <w:r w:rsidR="00896CC6">
        <w:t xml:space="preserve"> only</w:t>
      </w:r>
      <w:r>
        <w:t xml:space="preserve"> fed with sucrose to </w:t>
      </w:r>
      <w:r w:rsidR="00AD4683">
        <w:t xml:space="preserve">enhance </w:t>
      </w:r>
      <w:r w:rsidR="00C624F1">
        <w:t xml:space="preserve">the metabolic activity and </w:t>
      </w:r>
      <w:r w:rsidR="00AD4683">
        <w:t xml:space="preserve">establish </w:t>
      </w:r>
      <w:r w:rsidR="00C624F1">
        <w:t xml:space="preserve">a baseline. </w:t>
      </w:r>
      <w:r w:rsidR="00553620">
        <w:t>In t</w:t>
      </w:r>
      <w:r w:rsidR="001515ED">
        <w:t>he Acclimation</w:t>
      </w:r>
      <w:r>
        <w:t xml:space="preserve"> p</w:t>
      </w:r>
      <w:r w:rsidR="002006A2">
        <w:t>hase</w:t>
      </w:r>
      <w:r>
        <w:t xml:space="preserve"> (30 d</w:t>
      </w:r>
      <w:r w:rsidR="0050781B">
        <w:t>ays</w:t>
      </w:r>
      <w:r w:rsidR="0012300D">
        <w:t xml:space="preserve">) </w:t>
      </w:r>
      <w:r w:rsidR="00AD4683">
        <w:t xml:space="preserve">the biomass </w:t>
      </w:r>
      <w:r w:rsidR="0012300D">
        <w:t>was</w:t>
      </w:r>
      <w:r>
        <w:t xml:space="preserve"> fed with </w:t>
      </w:r>
      <w:r w:rsidR="00AD4683">
        <w:t xml:space="preserve">a </w:t>
      </w:r>
      <w:r>
        <w:t xml:space="preserve">continuous </w:t>
      </w:r>
      <w:r w:rsidR="00533F48">
        <w:t>step-</w:t>
      </w:r>
      <w:r>
        <w:t xml:space="preserve">increase </w:t>
      </w:r>
      <w:r w:rsidR="00533F48">
        <w:t xml:space="preserve">(10%) </w:t>
      </w:r>
      <w:r>
        <w:t>in effluent concentration</w:t>
      </w:r>
      <w:r w:rsidR="0012300D">
        <w:t xml:space="preserve">, </w:t>
      </w:r>
      <w:r w:rsidR="00F25C8A">
        <w:t>summing up</w:t>
      </w:r>
      <w:r w:rsidR="0012300D" w:rsidRPr="0012300D">
        <w:t xml:space="preserve"> 10 moments (10%, 13.3%, 17.7%, 23.6%, 31.4%, 41.8%, 55.6%, 74%, 98.5% and 100%)</w:t>
      </w:r>
      <w:r w:rsidR="0012300D">
        <w:t>.</w:t>
      </w:r>
      <w:r>
        <w:t xml:space="preserve"> Stabilization 1 </w:t>
      </w:r>
      <w:r w:rsidR="0012300D">
        <w:t>p</w:t>
      </w:r>
      <w:r w:rsidR="002006A2">
        <w:t>hase</w:t>
      </w:r>
      <w:r w:rsidR="0012300D">
        <w:t xml:space="preserve"> </w:t>
      </w:r>
      <w:r>
        <w:t>(1</w:t>
      </w:r>
      <w:r w:rsidR="000F1FD9">
        <w:t>5</w:t>
      </w:r>
      <w:r>
        <w:t xml:space="preserve"> d</w:t>
      </w:r>
      <w:r w:rsidR="0050781B">
        <w:t>ays</w:t>
      </w:r>
      <w:r>
        <w:t>)</w:t>
      </w:r>
      <w:r w:rsidR="0012300D">
        <w:t xml:space="preserve"> </w:t>
      </w:r>
      <w:r w:rsidR="00F25C8A">
        <w:t>consisted in feeding on</w:t>
      </w:r>
      <w:r w:rsidR="0012300D">
        <w:t xml:space="preserve"> 100% effluent.</w:t>
      </w:r>
      <w:r>
        <w:t xml:space="preserve"> </w:t>
      </w:r>
      <w:r w:rsidR="0012300D">
        <w:t xml:space="preserve">Finally, </w:t>
      </w:r>
      <w:r w:rsidR="00F25C8A">
        <w:t xml:space="preserve">in </w:t>
      </w:r>
      <w:r>
        <w:t xml:space="preserve">Stabilization 2 </w:t>
      </w:r>
      <w:r w:rsidR="00553620">
        <w:t xml:space="preserve">phase </w:t>
      </w:r>
      <w:r>
        <w:t>(5</w:t>
      </w:r>
      <w:r w:rsidR="000F1FD9">
        <w:t>1</w:t>
      </w:r>
      <w:r>
        <w:t xml:space="preserve"> d</w:t>
      </w:r>
      <w:r w:rsidR="0050781B">
        <w:t>ays</w:t>
      </w:r>
      <w:r w:rsidR="0012300D">
        <w:t>)</w:t>
      </w:r>
      <w:r>
        <w:t xml:space="preserve"> </w:t>
      </w:r>
      <w:r w:rsidR="00F25C8A">
        <w:t xml:space="preserve">the biomass </w:t>
      </w:r>
      <w:r w:rsidR="0012300D">
        <w:t xml:space="preserve">was </w:t>
      </w:r>
      <w:r>
        <w:t>fed with a mixture of effluents</w:t>
      </w:r>
      <w:r w:rsidR="0012300D">
        <w:t xml:space="preserve"> </w:t>
      </w:r>
      <w:r w:rsidR="003B2418">
        <w:t xml:space="preserve">collected </w:t>
      </w:r>
      <w:r w:rsidR="0012300D">
        <w:t xml:space="preserve">from different periods of the </w:t>
      </w:r>
      <w:r w:rsidR="00F25C8A">
        <w:t xml:space="preserve">industrial </w:t>
      </w:r>
      <w:r w:rsidR="003B2418">
        <w:t xml:space="preserve">operation </w:t>
      </w:r>
      <w:r w:rsidR="00553620">
        <w:t>to</w:t>
      </w:r>
      <w:r w:rsidR="0012300D">
        <w:t xml:space="preserve"> </w:t>
      </w:r>
      <w:r w:rsidR="001515ED">
        <w:t>evaluate</w:t>
      </w:r>
      <w:r w:rsidR="0012300D">
        <w:t xml:space="preserve"> </w:t>
      </w:r>
      <w:r w:rsidR="0076704B">
        <w:t>seasonality and</w:t>
      </w:r>
      <w:r w:rsidR="001515ED">
        <w:t xml:space="preserve"> complex</w:t>
      </w:r>
      <w:r w:rsidR="0076704B">
        <w:t>ity of the</w:t>
      </w:r>
      <w:r w:rsidR="001515ED">
        <w:t xml:space="preserve"> effluent</w:t>
      </w:r>
      <w:r w:rsidR="00A86B5F">
        <w:t xml:space="preserve">. </w:t>
      </w:r>
      <w:r w:rsidR="00652F59">
        <w:t>In t</w:t>
      </w:r>
      <w:r w:rsidR="00A86B5F">
        <w:t>his phase</w:t>
      </w:r>
      <w:r w:rsidR="00652F59">
        <w:t>, the COD</w:t>
      </w:r>
      <w:r w:rsidR="00A86B5F">
        <w:t xml:space="preserve"> was also</w:t>
      </w:r>
      <w:r w:rsidR="0012300D">
        <w:t xml:space="preserve"> </w:t>
      </w:r>
      <w:r w:rsidR="002241FF">
        <w:t xml:space="preserve">increased </w:t>
      </w:r>
      <w:r w:rsidR="0012300D">
        <w:t xml:space="preserve">with </w:t>
      </w:r>
      <w:r w:rsidR="00652F59">
        <w:t xml:space="preserve">the addition </w:t>
      </w:r>
      <w:r w:rsidR="002241FF">
        <w:t>of simulated</w:t>
      </w:r>
      <w:r>
        <w:t xml:space="preserve"> wastewater</w:t>
      </w:r>
      <w:r w:rsidR="0012300D">
        <w:t xml:space="preserve"> </w:t>
      </w:r>
      <w:r w:rsidR="001515ED">
        <w:t xml:space="preserve">(SW) </w:t>
      </w:r>
      <w:r w:rsidR="0012300D">
        <w:t xml:space="preserve">solution made with sodium acetate (representing dissolved acetic acid, a common acid heavily used by this </w:t>
      </w:r>
      <w:r w:rsidR="001515ED">
        <w:t>industry) and TMAH</w:t>
      </w:r>
      <w:r w:rsidR="00E51F00">
        <w:t xml:space="preserve"> with a </w:t>
      </w:r>
      <w:r w:rsidR="00485DDF">
        <w:t>chemical oxygen demand (COD)</w:t>
      </w:r>
      <w:r w:rsidR="00E51F00">
        <w:t xml:space="preserve"> of 145 g</w:t>
      </w:r>
      <w:r w:rsidR="00D252B0">
        <w:t xml:space="preserve"> </w:t>
      </w:r>
      <w:r w:rsidR="00E51F00">
        <w:t>L</w:t>
      </w:r>
      <w:r w:rsidR="00D252B0">
        <w:t xml:space="preserve"> </w:t>
      </w:r>
      <w:r w:rsidR="00D252B0" w:rsidRPr="00D252B0">
        <w:rPr>
          <w:vertAlign w:val="superscript"/>
        </w:rPr>
        <w:t>-1</w:t>
      </w:r>
      <w:r w:rsidR="00E51F00">
        <w:t>.</w:t>
      </w:r>
      <w:r w:rsidR="00F21B26">
        <w:t xml:space="preserve"> </w:t>
      </w:r>
    </w:p>
    <w:p w14:paraId="27429CEC" w14:textId="2A250165" w:rsidR="008C1E5E" w:rsidRPr="00F21B26" w:rsidRDefault="00F21B26" w:rsidP="002971C0">
      <w:pPr>
        <w:pStyle w:val="CETBodytext"/>
        <w:rPr>
          <w:lang w:val="en-GB"/>
        </w:rPr>
      </w:pPr>
      <w:r>
        <w:t>The anaerobic assays were carried out in four glass reactors, two with a working volume of 5 L and two with working volume of 2 L. A fifth 2 L reactor was used as a control for growing inoculum fed only with sucrose. All assays started with a biomass concentration of 7 g VSS</w:t>
      </w:r>
      <w:r w:rsidR="00D252B0">
        <w:t xml:space="preserve"> </w:t>
      </w:r>
      <w:r>
        <w:t>L</w:t>
      </w:r>
      <w:r w:rsidR="00D252B0">
        <w:t xml:space="preserve"> </w:t>
      </w:r>
      <w:r w:rsidR="00D252B0" w:rsidRPr="00653761">
        <w:rPr>
          <w:vertAlign w:val="superscript"/>
        </w:rPr>
        <w:t>-1</w:t>
      </w:r>
      <w:r>
        <w:t>.</w:t>
      </w:r>
      <w:r w:rsidR="005F2296">
        <w:t xml:space="preserve"> </w:t>
      </w:r>
      <w:r w:rsidR="005F2296" w:rsidRPr="005F2296">
        <w:t>Neutralized effluent was fed, and samples were collected every three days, with reactors maintained at 35°C. At each phase, nutrients and sodium bicarbonate were added to support digestion</w:t>
      </w:r>
      <w:r w:rsidR="00177A82">
        <w:t xml:space="preserve"> </w:t>
      </w:r>
      <w:r w:rsidR="00177A82" w:rsidRPr="005F2296">
        <w:t>(Rebac et al., 1997)</w:t>
      </w:r>
      <w:r w:rsidR="005F2296" w:rsidRPr="005F2296">
        <w:t>. Biomass sludge samples were taken every six days to assess biomass concentration.</w:t>
      </w:r>
    </w:p>
    <w:p w14:paraId="6BEF5D12" w14:textId="77777777" w:rsidR="002971C0" w:rsidRPr="006B592C" w:rsidRDefault="002971C0" w:rsidP="002971C0">
      <w:pPr>
        <w:pStyle w:val="CETheadingx"/>
      </w:pPr>
      <w:r w:rsidRPr="006B592C">
        <w:t xml:space="preserve">Analytical methods </w:t>
      </w:r>
    </w:p>
    <w:p w14:paraId="2254013E" w14:textId="369FCB41" w:rsidR="002971C0" w:rsidRDefault="005F2296" w:rsidP="00453E24">
      <w:pPr>
        <w:pStyle w:val="CETBodytext"/>
      </w:pPr>
      <w:r w:rsidRPr="005F2296">
        <w:t>Effluent characterization before and after anaerobic treatment followed Standard Methods (</w:t>
      </w:r>
      <w:r w:rsidRPr="00443D98">
        <w:t>APHA, 1999</w:t>
      </w:r>
      <w:r w:rsidRPr="005F2296">
        <w:t xml:space="preserve">), assessing COD, BOD (5 days, </w:t>
      </w:r>
      <w:proofErr w:type="spellStart"/>
      <w:r w:rsidRPr="005F2296">
        <w:t>Oxitop</w:t>
      </w:r>
      <w:proofErr w:type="spellEnd"/>
      <w:r w:rsidRPr="005F2296">
        <w:t>®), pH, electrical conductivity</w:t>
      </w:r>
      <w:r w:rsidR="00636F76">
        <w:t xml:space="preserve"> (EC)</w:t>
      </w:r>
      <w:r w:rsidRPr="005F2296">
        <w:t>, alkalinity, and total volatile acids</w:t>
      </w:r>
      <w:r w:rsidR="00980039" w:rsidRPr="006C2A62">
        <w:t xml:space="preserve"> (TVA</w:t>
      </w:r>
      <w:r w:rsidR="00177A82" w:rsidRPr="006C2A62">
        <w:t>).</w:t>
      </w:r>
      <w:r w:rsidRPr="005F2296">
        <w:t xml:space="preserve"> Anaerobic biomass concentration and activity were evaluated </w:t>
      </w:r>
      <w:r w:rsidR="00115B7D">
        <w:t>through</w:t>
      </w:r>
      <w:r w:rsidR="00115B7D" w:rsidRPr="005F2296">
        <w:t xml:space="preserve"> </w:t>
      </w:r>
      <w:r w:rsidRPr="005F2296">
        <w:t xml:space="preserve">volatile suspended solids (VSS) and specific methanogenic activity (SMA). Methane was purified by NaOH (20% w/w) gas washing (adapted from Tahir et al., 2015) and quantified using a syringe (adapted from </w:t>
      </w:r>
      <w:proofErr w:type="spellStart"/>
      <w:r w:rsidRPr="005F2296">
        <w:t>Nganyira</w:t>
      </w:r>
      <w:proofErr w:type="spellEnd"/>
      <w:r w:rsidRPr="005F2296">
        <w:t xml:space="preserve"> et al., 2023).</w:t>
      </w:r>
    </w:p>
    <w:p w14:paraId="57C9A80D" w14:textId="08DC5DB4" w:rsidR="004F5E15" w:rsidRDefault="00D119D7" w:rsidP="00D119D7">
      <w:pPr>
        <w:pStyle w:val="CETHeading1"/>
      </w:pPr>
      <w:r>
        <w:t>Results and discussion</w:t>
      </w:r>
    </w:p>
    <w:p w14:paraId="17B9F060" w14:textId="39A7041C" w:rsidR="005878F6" w:rsidRDefault="004223D0" w:rsidP="00453E24">
      <w:pPr>
        <w:pStyle w:val="CETBodytext"/>
      </w:pPr>
      <w:r>
        <w:t xml:space="preserve">The properties of semiconductor </w:t>
      </w:r>
      <w:r w:rsidR="002F12EB">
        <w:t>WW</w:t>
      </w:r>
      <w:r>
        <w:t xml:space="preserve"> are known to be complex and highly variable due to the differences in techniques of production, mixing of effluents from different processes and mainly due to dilution from cleaning water, </w:t>
      </w:r>
      <w:r w:rsidRPr="006C2A62">
        <w:t xml:space="preserve">therefore the </w:t>
      </w:r>
      <w:r w:rsidR="005F2296">
        <w:t>often-provided</w:t>
      </w:r>
      <w:r w:rsidRPr="006C2A62">
        <w:t xml:space="preserve"> examples of </w:t>
      </w:r>
      <w:r w:rsidR="002F12EB">
        <w:t>WW</w:t>
      </w:r>
      <w:r w:rsidRPr="006C2A62">
        <w:t xml:space="preserve"> with </w:t>
      </w:r>
      <w:r w:rsidR="00E3389C">
        <w:t xml:space="preserve">broad </w:t>
      </w:r>
      <w:r w:rsidRPr="006C2A62">
        <w:t>ranges for each relevant parameter</w:t>
      </w:r>
      <w:r w:rsidR="00E46243" w:rsidRPr="006C2A62">
        <w:t xml:space="preserve"> (</w:t>
      </w:r>
      <w:r w:rsidR="00D640E9" w:rsidRPr="006C2A62">
        <w:t>Noman et al., 2024</w:t>
      </w:r>
      <w:r w:rsidR="00E46243" w:rsidRPr="006C2A62">
        <w:t>)</w:t>
      </w:r>
      <w:r w:rsidRPr="006C2A62">
        <w:t xml:space="preserve">. The </w:t>
      </w:r>
      <w:r w:rsidR="002F12EB">
        <w:t>WW</w:t>
      </w:r>
      <w:r w:rsidRPr="006C2A62">
        <w:t xml:space="preserve"> samples </w:t>
      </w:r>
      <w:r w:rsidR="00207643">
        <w:t xml:space="preserve">used in this study </w:t>
      </w:r>
      <w:r w:rsidRPr="006C2A62">
        <w:t>are no</w:t>
      </w:r>
      <w:r w:rsidR="00207643">
        <w:t>t</w:t>
      </w:r>
      <w:r w:rsidRPr="006C2A62">
        <w:t xml:space="preserve"> different, and although they are from the same tank, the difference on</w:t>
      </w:r>
      <w:r>
        <w:t xml:space="preserve"> collection day is enough to </w:t>
      </w:r>
      <w:r w:rsidR="00207643">
        <w:t xml:space="preserve">demonstrate </w:t>
      </w:r>
      <w:r>
        <w:t>high varia</w:t>
      </w:r>
      <w:r w:rsidR="00207643">
        <w:t>bility</w:t>
      </w:r>
      <w:r>
        <w:t xml:space="preserve"> in all parameters, as can be observed in </w:t>
      </w:r>
      <w:r w:rsidRPr="006C2A62">
        <w:t xml:space="preserve">Table 1. Despite the variations, the characteristics are still within the </w:t>
      </w:r>
      <w:r w:rsidR="002F12EB">
        <w:t>WW</w:t>
      </w:r>
      <w:r w:rsidRPr="006C2A62">
        <w:t xml:space="preserve"> profile</w:t>
      </w:r>
      <w:r w:rsidR="00115B7D">
        <w:t>s</w:t>
      </w:r>
      <w:r w:rsidRPr="006C2A62">
        <w:t xml:space="preserve"> </w:t>
      </w:r>
      <w:r w:rsidR="00115B7D">
        <w:t>found for</w:t>
      </w:r>
      <w:r w:rsidR="00115B7D" w:rsidRPr="006C2A62">
        <w:t xml:space="preserve"> </w:t>
      </w:r>
      <w:r w:rsidRPr="006C2A62">
        <w:t>this industry</w:t>
      </w:r>
      <w:r w:rsidR="00E46243" w:rsidRPr="006C2A62">
        <w:t xml:space="preserve"> </w:t>
      </w:r>
      <w:r w:rsidR="006B3A83" w:rsidRPr="006C2A62">
        <w:t>(Noman et al., 2024)</w:t>
      </w:r>
      <w:r w:rsidR="005878F6" w:rsidRPr="006C2A62">
        <w:t>.</w:t>
      </w:r>
      <w:r w:rsidR="008022A8">
        <w:t xml:space="preserve"> </w:t>
      </w:r>
    </w:p>
    <w:p w14:paraId="739146BD" w14:textId="64E30CB6" w:rsidR="005878F6" w:rsidRPr="00B57B36" w:rsidRDefault="005878F6" w:rsidP="005878F6">
      <w:pPr>
        <w:pStyle w:val="CETTabletitle"/>
      </w:pPr>
      <w:r w:rsidRPr="00B57B36">
        <w:lastRenderedPageBreak/>
        <w:t xml:space="preserve">Table 1: </w:t>
      </w:r>
      <w:r w:rsidR="00635E78">
        <w:t>A</w:t>
      </w:r>
      <w:r w:rsidR="00635E78" w:rsidRPr="00635E78">
        <w:t>verage values ​​for the characteristics of wastewater collected from the semiconductor industry</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29"/>
        <w:gridCol w:w="1340"/>
        <w:gridCol w:w="1560"/>
        <w:gridCol w:w="1417"/>
        <w:gridCol w:w="1418"/>
      </w:tblGrid>
      <w:tr w:rsidR="00C7751C" w:rsidRPr="00093100" w14:paraId="7B31EDDD" w14:textId="60EEC7DB" w:rsidTr="00C7751C">
        <w:tc>
          <w:tcPr>
            <w:tcW w:w="2629" w:type="dxa"/>
            <w:tcBorders>
              <w:top w:val="single" w:sz="12" w:space="0" w:color="008000"/>
              <w:bottom w:val="single" w:sz="6" w:space="0" w:color="008000"/>
            </w:tcBorders>
            <w:shd w:val="clear" w:color="auto" w:fill="FFFFFF"/>
            <w:vAlign w:val="center"/>
          </w:tcPr>
          <w:p w14:paraId="66398C47" w14:textId="61DCFCB1" w:rsidR="00C7751C" w:rsidRPr="00C7751C" w:rsidRDefault="00C7751C" w:rsidP="00C7751C">
            <w:pPr>
              <w:pStyle w:val="CETBodytext"/>
              <w:jc w:val="center"/>
              <w:rPr>
                <w:rFonts w:cs="Arial"/>
                <w:szCs w:val="18"/>
                <w:lang w:val="en-GB" w:eastAsia="pt-PT"/>
              </w:rPr>
            </w:pPr>
            <w:r w:rsidRPr="00C7751C">
              <w:rPr>
                <w:rFonts w:cs="Arial"/>
                <w:szCs w:val="18"/>
              </w:rPr>
              <w:t>Parameters</w:t>
            </w:r>
          </w:p>
        </w:tc>
        <w:tc>
          <w:tcPr>
            <w:tcW w:w="1340" w:type="dxa"/>
            <w:tcBorders>
              <w:top w:val="single" w:sz="12" w:space="0" w:color="008000"/>
              <w:bottom w:val="single" w:sz="6" w:space="0" w:color="008000"/>
            </w:tcBorders>
            <w:shd w:val="clear" w:color="auto" w:fill="FFFFFF"/>
            <w:vAlign w:val="center"/>
          </w:tcPr>
          <w:p w14:paraId="48C76F49" w14:textId="55A8DF26" w:rsidR="00C7751C" w:rsidRPr="00C7751C" w:rsidRDefault="00C7751C" w:rsidP="00C7751C">
            <w:pPr>
              <w:pStyle w:val="CETBodytext"/>
              <w:jc w:val="center"/>
              <w:rPr>
                <w:rFonts w:cs="Arial"/>
                <w:szCs w:val="18"/>
                <w:lang w:val="en-GB" w:eastAsia="pt-PT"/>
              </w:rPr>
            </w:pPr>
            <w:r w:rsidRPr="00C7751C">
              <w:rPr>
                <w:rFonts w:cs="Arial"/>
                <w:szCs w:val="18"/>
              </w:rPr>
              <w:t>Diluted Acids tank (E1)</w:t>
            </w:r>
          </w:p>
        </w:tc>
        <w:tc>
          <w:tcPr>
            <w:tcW w:w="1560" w:type="dxa"/>
            <w:tcBorders>
              <w:top w:val="single" w:sz="12" w:space="0" w:color="008000"/>
              <w:bottom w:val="single" w:sz="6" w:space="0" w:color="008000"/>
            </w:tcBorders>
            <w:shd w:val="clear" w:color="auto" w:fill="FFFFFF"/>
            <w:vAlign w:val="center"/>
          </w:tcPr>
          <w:p w14:paraId="26052826" w14:textId="017BD915" w:rsidR="00C7751C" w:rsidRPr="00C7751C" w:rsidRDefault="00C7751C" w:rsidP="00C7751C">
            <w:pPr>
              <w:pStyle w:val="CETBodytext"/>
              <w:jc w:val="center"/>
              <w:rPr>
                <w:rFonts w:cs="Arial"/>
                <w:szCs w:val="18"/>
                <w:lang w:val="en-GB" w:eastAsia="pt-PT"/>
              </w:rPr>
            </w:pPr>
            <w:r w:rsidRPr="00C7751C">
              <w:rPr>
                <w:rFonts w:cs="Arial"/>
                <w:szCs w:val="18"/>
              </w:rPr>
              <w:t>Lowest -Highest values</w:t>
            </w:r>
          </w:p>
        </w:tc>
        <w:tc>
          <w:tcPr>
            <w:tcW w:w="1417" w:type="dxa"/>
            <w:tcBorders>
              <w:top w:val="single" w:sz="12" w:space="0" w:color="008000"/>
              <w:bottom w:val="single" w:sz="6" w:space="0" w:color="008000"/>
            </w:tcBorders>
            <w:shd w:val="clear" w:color="auto" w:fill="FFFFFF"/>
            <w:vAlign w:val="center"/>
          </w:tcPr>
          <w:p w14:paraId="506D0381" w14:textId="49E59A35" w:rsidR="00C7751C" w:rsidRPr="00C7751C" w:rsidRDefault="00C7751C" w:rsidP="00C7751C">
            <w:pPr>
              <w:pStyle w:val="CETBodytext"/>
              <w:jc w:val="center"/>
              <w:rPr>
                <w:rFonts w:cs="Arial"/>
                <w:szCs w:val="18"/>
                <w:lang w:val="en-GB" w:eastAsia="pt-PT"/>
              </w:rPr>
            </w:pPr>
            <w:r w:rsidRPr="00C7751C">
              <w:rPr>
                <w:rFonts w:cs="Arial"/>
                <w:szCs w:val="18"/>
              </w:rPr>
              <w:t>Effluent Mixture tank (E2)</w:t>
            </w:r>
          </w:p>
        </w:tc>
        <w:tc>
          <w:tcPr>
            <w:tcW w:w="1418" w:type="dxa"/>
            <w:tcBorders>
              <w:top w:val="single" w:sz="12" w:space="0" w:color="008000"/>
              <w:bottom w:val="single" w:sz="6" w:space="0" w:color="008000"/>
            </w:tcBorders>
            <w:shd w:val="clear" w:color="auto" w:fill="FFFFFF"/>
            <w:vAlign w:val="center"/>
          </w:tcPr>
          <w:p w14:paraId="4375FCC4" w14:textId="74FEABC4" w:rsidR="00C7751C" w:rsidRPr="00C7751C" w:rsidRDefault="00C7751C" w:rsidP="00C7751C">
            <w:pPr>
              <w:pStyle w:val="CETBodytext"/>
              <w:jc w:val="center"/>
              <w:rPr>
                <w:rFonts w:cs="Arial"/>
                <w:szCs w:val="18"/>
                <w:lang w:val="en-GB" w:eastAsia="pt-PT"/>
              </w:rPr>
            </w:pPr>
            <w:r w:rsidRPr="00C7751C">
              <w:rPr>
                <w:rFonts w:cs="Arial"/>
                <w:szCs w:val="18"/>
              </w:rPr>
              <w:t>Lowest - Highest values</w:t>
            </w:r>
          </w:p>
        </w:tc>
      </w:tr>
      <w:tr w:rsidR="00C7751C" w:rsidRPr="00093100" w14:paraId="7514C69E" w14:textId="206ECDBC" w:rsidTr="00C7751C">
        <w:tc>
          <w:tcPr>
            <w:tcW w:w="2629" w:type="dxa"/>
            <w:shd w:val="clear" w:color="auto" w:fill="FFFFFF"/>
            <w:vAlign w:val="center"/>
          </w:tcPr>
          <w:p w14:paraId="31C5165D" w14:textId="38D9AD03" w:rsidR="00C7751C" w:rsidRPr="00C7751C" w:rsidRDefault="00C7751C" w:rsidP="00C7751C">
            <w:pPr>
              <w:pStyle w:val="CETBodytext"/>
              <w:jc w:val="center"/>
              <w:rPr>
                <w:rFonts w:cs="Arial"/>
                <w:szCs w:val="18"/>
                <w:lang w:val="en-GB"/>
              </w:rPr>
            </w:pPr>
            <w:r w:rsidRPr="00C7751C">
              <w:rPr>
                <w:rFonts w:cs="Arial"/>
                <w:szCs w:val="18"/>
              </w:rPr>
              <w:t>pH</w:t>
            </w:r>
          </w:p>
        </w:tc>
        <w:tc>
          <w:tcPr>
            <w:tcW w:w="1340" w:type="dxa"/>
            <w:shd w:val="clear" w:color="auto" w:fill="FFFFFF"/>
            <w:vAlign w:val="center"/>
          </w:tcPr>
          <w:p w14:paraId="70F7CB98" w14:textId="51709E55" w:rsidR="00C7751C" w:rsidRPr="00C7751C" w:rsidRDefault="00C7751C" w:rsidP="00C7751C">
            <w:pPr>
              <w:pStyle w:val="CETBodytext"/>
              <w:jc w:val="center"/>
              <w:rPr>
                <w:rFonts w:cs="Arial"/>
                <w:szCs w:val="18"/>
                <w:lang w:val="en-GB"/>
              </w:rPr>
            </w:pPr>
            <w:r w:rsidRPr="00C7751C">
              <w:rPr>
                <w:rFonts w:cs="Arial"/>
                <w:szCs w:val="18"/>
              </w:rPr>
              <w:t>6.06</w:t>
            </w:r>
          </w:p>
        </w:tc>
        <w:tc>
          <w:tcPr>
            <w:tcW w:w="1560" w:type="dxa"/>
            <w:shd w:val="clear" w:color="auto" w:fill="FFFFFF"/>
            <w:vAlign w:val="center"/>
          </w:tcPr>
          <w:p w14:paraId="6D4A6FF1" w14:textId="395F3E48" w:rsidR="00C7751C" w:rsidRPr="00C7751C" w:rsidRDefault="00C7751C" w:rsidP="00C7751C">
            <w:pPr>
              <w:pStyle w:val="CETBodytext"/>
              <w:jc w:val="center"/>
              <w:rPr>
                <w:rFonts w:cs="Arial"/>
                <w:szCs w:val="18"/>
                <w:lang w:val="en-GB"/>
              </w:rPr>
            </w:pPr>
            <w:r w:rsidRPr="00C7751C">
              <w:rPr>
                <w:rFonts w:cs="Arial"/>
                <w:szCs w:val="18"/>
              </w:rPr>
              <w:t>4.74 - 9.10</w:t>
            </w:r>
          </w:p>
        </w:tc>
        <w:tc>
          <w:tcPr>
            <w:tcW w:w="1417" w:type="dxa"/>
            <w:shd w:val="clear" w:color="auto" w:fill="FFFFFF"/>
            <w:vAlign w:val="center"/>
          </w:tcPr>
          <w:p w14:paraId="1B7210F1" w14:textId="12A017C9" w:rsidR="00C7751C" w:rsidRPr="00C7751C" w:rsidRDefault="00C7751C" w:rsidP="00C7751C">
            <w:pPr>
              <w:pStyle w:val="CETBodytext"/>
              <w:jc w:val="center"/>
              <w:rPr>
                <w:rFonts w:cs="Arial"/>
                <w:szCs w:val="18"/>
                <w:lang w:val="en-GB" w:eastAsia="pt-PT"/>
              </w:rPr>
            </w:pPr>
            <w:r w:rsidRPr="00C7751C">
              <w:rPr>
                <w:rFonts w:cs="Arial"/>
                <w:szCs w:val="18"/>
              </w:rPr>
              <w:t>9.47</w:t>
            </w:r>
          </w:p>
        </w:tc>
        <w:tc>
          <w:tcPr>
            <w:tcW w:w="1418" w:type="dxa"/>
            <w:shd w:val="clear" w:color="auto" w:fill="FFFFFF"/>
            <w:vAlign w:val="center"/>
          </w:tcPr>
          <w:p w14:paraId="55D779AA" w14:textId="527DE528" w:rsidR="00C7751C" w:rsidRPr="00C7751C" w:rsidRDefault="00C7751C" w:rsidP="00C7751C">
            <w:pPr>
              <w:pStyle w:val="CETBodytext"/>
              <w:jc w:val="center"/>
              <w:rPr>
                <w:rFonts w:cs="Arial"/>
                <w:szCs w:val="18"/>
                <w:lang w:val="en-GB" w:eastAsia="pt-PT"/>
              </w:rPr>
            </w:pPr>
            <w:r w:rsidRPr="00C7751C">
              <w:rPr>
                <w:rFonts w:cs="Arial"/>
                <w:color w:val="000000"/>
                <w:szCs w:val="18"/>
              </w:rPr>
              <w:t>5.48 - 11.50</w:t>
            </w:r>
          </w:p>
        </w:tc>
      </w:tr>
      <w:tr w:rsidR="00C7751C" w:rsidRPr="00093100" w14:paraId="7AE0A984" w14:textId="46635CD4" w:rsidTr="00C7751C">
        <w:tc>
          <w:tcPr>
            <w:tcW w:w="2629" w:type="dxa"/>
            <w:shd w:val="clear" w:color="auto" w:fill="FFFFFF"/>
            <w:vAlign w:val="center"/>
          </w:tcPr>
          <w:p w14:paraId="56A89C6B" w14:textId="4F51EEA8" w:rsidR="00C7751C" w:rsidRPr="00C7751C" w:rsidRDefault="00C7751C" w:rsidP="00C7751C">
            <w:pPr>
              <w:pStyle w:val="CETBodytext"/>
              <w:ind w:right="-1"/>
              <w:jc w:val="center"/>
              <w:rPr>
                <w:rFonts w:cs="Arial"/>
                <w:szCs w:val="18"/>
                <w:lang w:val="en-GB"/>
              </w:rPr>
            </w:pPr>
            <w:r w:rsidRPr="00C7751C">
              <w:rPr>
                <w:rFonts w:cs="Arial"/>
                <w:szCs w:val="18"/>
              </w:rPr>
              <w:t>EC (mS cm</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1D8588A5" w14:textId="743C998D" w:rsidR="00C7751C" w:rsidRPr="00C7751C" w:rsidRDefault="00C7751C" w:rsidP="00C7751C">
            <w:pPr>
              <w:pStyle w:val="CETBodytext"/>
              <w:ind w:right="-1"/>
              <w:jc w:val="center"/>
              <w:rPr>
                <w:rFonts w:cs="Arial"/>
                <w:szCs w:val="18"/>
                <w:lang w:val="en-GB"/>
              </w:rPr>
            </w:pPr>
            <w:r w:rsidRPr="00C7751C">
              <w:rPr>
                <w:rFonts w:cs="Arial"/>
                <w:szCs w:val="18"/>
              </w:rPr>
              <w:t>3.93</w:t>
            </w:r>
          </w:p>
        </w:tc>
        <w:tc>
          <w:tcPr>
            <w:tcW w:w="1560" w:type="dxa"/>
            <w:shd w:val="clear" w:color="auto" w:fill="FFFFFF"/>
            <w:vAlign w:val="center"/>
          </w:tcPr>
          <w:p w14:paraId="26D7D844" w14:textId="7A8B5109" w:rsidR="00C7751C" w:rsidRPr="00C7751C" w:rsidRDefault="00C7751C" w:rsidP="00C7751C">
            <w:pPr>
              <w:pStyle w:val="CETBodytext"/>
              <w:ind w:right="-1"/>
              <w:jc w:val="center"/>
              <w:rPr>
                <w:rFonts w:cs="Arial"/>
                <w:szCs w:val="18"/>
                <w:lang w:val="en-GB"/>
              </w:rPr>
            </w:pPr>
            <w:r w:rsidRPr="00C7751C">
              <w:rPr>
                <w:rFonts w:cs="Arial"/>
                <w:szCs w:val="18"/>
              </w:rPr>
              <w:t>0.27 - 11.6</w:t>
            </w:r>
            <w:r w:rsidR="00652F59">
              <w:rPr>
                <w:rFonts w:cs="Arial"/>
                <w:szCs w:val="18"/>
              </w:rPr>
              <w:t>0</w:t>
            </w:r>
          </w:p>
        </w:tc>
        <w:tc>
          <w:tcPr>
            <w:tcW w:w="1417" w:type="dxa"/>
            <w:shd w:val="clear" w:color="auto" w:fill="FFFFFF"/>
            <w:vAlign w:val="center"/>
          </w:tcPr>
          <w:p w14:paraId="717E350D" w14:textId="20D7BB4A" w:rsidR="00C7751C" w:rsidRPr="00C7751C" w:rsidRDefault="00C7751C" w:rsidP="00C7751C">
            <w:pPr>
              <w:pStyle w:val="CETBodytext"/>
              <w:ind w:right="-1"/>
              <w:jc w:val="center"/>
              <w:rPr>
                <w:rFonts w:cs="Arial"/>
                <w:szCs w:val="18"/>
                <w:lang w:val="en-GB" w:eastAsia="pt-PT"/>
              </w:rPr>
            </w:pPr>
            <w:r w:rsidRPr="00C7751C">
              <w:rPr>
                <w:rFonts w:cs="Arial"/>
                <w:szCs w:val="18"/>
              </w:rPr>
              <w:t>4.43</w:t>
            </w:r>
          </w:p>
        </w:tc>
        <w:tc>
          <w:tcPr>
            <w:tcW w:w="1418" w:type="dxa"/>
            <w:shd w:val="clear" w:color="auto" w:fill="FFFFFF"/>
            <w:vAlign w:val="center"/>
          </w:tcPr>
          <w:p w14:paraId="6CED0455" w14:textId="136FF371"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3.49 - 6.20</w:t>
            </w:r>
          </w:p>
        </w:tc>
      </w:tr>
      <w:tr w:rsidR="00C7751C" w:rsidRPr="00093100" w14:paraId="5716476C" w14:textId="5BCC307B" w:rsidTr="00C7751C">
        <w:tc>
          <w:tcPr>
            <w:tcW w:w="2629" w:type="dxa"/>
            <w:shd w:val="clear" w:color="auto" w:fill="FFFFFF"/>
            <w:vAlign w:val="center"/>
          </w:tcPr>
          <w:p w14:paraId="13D284CF" w14:textId="14BBA97F" w:rsidR="00C7751C" w:rsidRPr="00C7751C" w:rsidRDefault="00C7751C" w:rsidP="00C7751C">
            <w:pPr>
              <w:pStyle w:val="CETBodytext"/>
              <w:ind w:right="-1"/>
              <w:jc w:val="center"/>
              <w:rPr>
                <w:rFonts w:cs="Arial"/>
                <w:szCs w:val="18"/>
                <w:lang w:eastAsia="pt-PT"/>
              </w:rPr>
            </w:pPr>
            <w:r w:rsidRPr="00C7751C">
              <w:rPr>
                <w:rFonts w:cs="Arial"/>
                <w:szCs w:val="18"/>
              </w:rPr>
              <w:t>Alkalinity (mg L</w:t>
            </w:r>
            <w:r w:rsidRPr="00C7751C">
              <w:rPr>
                <w:rFonts w:cs="Arial"/>
                <w:szCs w:val="18"/>
                <w:vertAlign w:val="superscript"/>
              </w:rPr>
              <w:t>-1</w:t>
            </w:r>
            <w:r w:rsidRPr="00C7751C">
              <w:rPr>
                <w:rFonts w:cs="Arial"/>
                <w:szCs w:val="18"/>
              </w:rPr>
              <w:t xml:space="preserve"> of CaCO</w:t>
            </w:r>
            <w:r w:rsidRPr="00C7751C">
              <w:rPr>
                <w:rFonts w:cs="Arial"/>
                <w:szCs w:val="18"/>
                <w:vertAlign w:val="subscript"/>
              </w:rPr>
              <w:t>3</w:t>
            </w:r>
            <w:r w:rsidRPr="00C7751C">
              <w:rPr>
                <w:rFonts w:cs="Arial"/>
                <w:szCs w:val="18"/>
              </w:rPr>
              <w:t>)</w:t>
            </w:r>
          </w:p>
        </w:tc>
        <w:tc>
          <w:tcPr>
            <w:tcW w:w="1340" w:type="dxa"/>
            <w:shd w:val="clear" w:color="auto" w:fill="FFFFFF"/>
            <w:vAlign w:val="center"/>
          </w:tcPr>
          <w:p w14:paraId="0E3DA364" w14:textId="18DFB24D" w:rsidR="00C7751C" w:rsidRPr="00C7751C" w:rsidRDefault="00C7751C" w:rsidP="00C7751C">
            <w:pPr>
              <w:pStyle w:val="CETBodytext"/>
              <w:ind w:right="-1"/>
              <w:jc w:val="center"/>
              <w:rPr>
                <w:rFonts w:cs="Arial"/>
                <w:szCs w:val="18"/>
                <w:lang w:val="en-GB" w:eastAsia="pt-PT"/>
              </w:rPr>
            </w:pPr>
            <w:r w:rsidRPr="00C7751C">
              <w:rPr>
                <w:rFonts w:cs="Arial"/>
                <w:szCs w:val="18"/>
              </w:rPr>
              <w:t>98.18</w:t>
            </w:r>
          </w:p>
        </w:tc>
        <w:tc>
          <w:tcPr>
            <w:tcW w:w="1560" w:type="dxa"/>
            <w:shd w:val="clear" w:color="auto" w:fill="FFFFFF"/>
            <w:vAlign w:val="center"/>
          </w:tcPr>
          <w:p w14:paraId="6DB1E18E" w14:textId="02DE14EF" w:rsidR="00C7751C" w:rsidRPr="00C7751C" w:rsidRDefault="00C7751C" w:rsidP="00C7751C">
            <w:pPr>
              <w:pStyle w:val="CETBodytext"/>
              <w:ind w:right="-1"/>
              <w:jc w:val="center"/>
              <w:rPr>
                <w:rFonts w:cs="Arial"/>
                <w:szCs w:val="18"/>
                <w:lang w:val="en-GB" w:eastAsia="pt-PT"/>
              </w:rPr>
            </w:pPr>
            <w:r w:rsidRPr="00C7751C">
              <w:rPr>
                <w:rFonts w:cs="Arial"/>
                <w:szCs w:val="18"/>
              </w:rPr>
              <w:t xml:space="preserve">68.75 </w:t>
            </w:r>
            <w:r w:rsidR="00652F59">
              <w:rPr>
                <w:rFonts w:cs="Arial"/>
                <w:szCs w:val="18"/>
              </w:rPr>
              <w:t>–</w:t>
            </w:r>
            <w:r w:rsidRPr="00C7751C">
              <w:rPr>
                <w:rFonts w:cs="Arial"/>
                <w:szCs w:val="18"/>
              </w:rPr>
              <w:t xml:space="preserve"> 125</w:t>
            </w:r>
            <w:r w:rsidR="00652F59">
              <w:rPr>
                <w:rFonts w:cs="Arial"/>
                <w:szCs w:val="18"/>
              </w:rPr>
              <w:t>.00</w:t>
            </w:r>
          </w:p>
        </w:tc>
        <w:tc>
          <w:tcPr>
            <w:tcW w:w="1417" w:type="dxa"/>
            <w:shd w:val="clear" w:color="auto" w:fill="FFFFFF"/>
            <w:vAlign w:val="center"/>
          </w:tcPr>
          <w:p w14:paraId="7C73BBDA" w14:textId="77CD61C4" w:rsidR="00C7751C" w:rsidRPr="00C7751C" w:rsidRDefault="00C7751C" w:rsidP="00C7751C">
            <w:pPr>
              <w:pStyle w:val="CETBodytext"/>
              <w:ind w:right="-1"/>
              <w:jc w:val="center"/>
              <w:rPr>
                <w:rFonts w:cs="Arial"/>
                <w:szCs w:val="18"/>
                <w:lang w:val="en-GB" w:eastAsia="pt-PT"/>
              </w:rPr>
            </w:pPr>
            <w:r w:rsidRPr="00C7751C">
              <w:rPr>
                <w:rFonts w:cs="Arial"/>
                <w:szCs w:val="18"/>
              </w:rPr>
              <w:t>283.33</w:t>
            </w:r>
          </w:p>
        </w:tc>
        <w:tc>
          <w:tcPr>
            <w:tcW w:w="1418" w:type="dxa"/>
            <w:shd w:val="clear" w:color="auto" w:fill="FFFFFF"/>
            <w:vAlign w:val="center"/>
          </w:tcPr>
          <w:p w14:paraId="436CC569" w14:textId="0022A590"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150</w:t>
            </w:r>
            <w:r w:rsidR="00652F59">
              <w:rPr>
                <w:rFonts w:cs="Arial"/>
                <w:color w:val="000000"/>
                <w:szCs w:val="18"/>
              </w:rPr>
              <w:t>.00</w:t>
            </w:r>
            <w:r w:rsidRPr="00C7751C">
              <w:rPr>
                <w:rFonts w:cs="Arial"/>
                <w:color w:val="000000"/>
                <w:szCs w:val="18"/>
              </w:rPr>
              <w:t xml:space="preserve"> </w:t>
            </w:r>
            <w:r w:rsidR="00652F59">
              <w:rPr>
                <w:rFonts w:cs="Arial"/>
                <w:color w:val="000000"/>
                <w:szCs w:val="18"/>
              </w:rPr>
              <w:t>–</w:t>
            </w:r>
            <w:r w:rsidRPr="00C7751C">
              <w:rPr>
                <w:rFonts w:cs="Arial"/>
                <w:color w:val="000000"/>
                <w:szCs w:val="18"/>
              </w:rPr>
              <w:t xml:space="preserve"> 425</w:t>
            </w:r>
            <w:r w:rsidR="00652F59">
              <w:rPr>
                <w:rFonts w:cs="Arial"/>
                <w:color w:val="000000"/>
                <w:szCs w:val="18"/>
              </w:rPr>
              <w:t>.00</w:t>
            </w:r>
          </w:p>
        </w:tc>
      </w:tr>
      <w:tr w:rsidR="00C7751C" w:rsidRPr="00093100" w14:paraId="77048333" w14:textId="3EDE281C" w:rsidTr="00C7751C">
        <w:tc>
          <w:tcPr>
            <w:tcW w:w="2629" w:type="dxa"/>
            <w:shd w:val="clear" w:color="auto" w:fill="FFFFFF"/>
            <w:vAlign w:val="center"/>
          </w:tcPr>
          <w:p w14:paraId="116679C8" w14:textId="1C655BE4" w:rsidR="00C7751C" w:rsidRPr="00C7751C" w:rsidRDefault="00C7751C" w:rsidP="00C7751C">
            <w:pPr>
              <w:pStyle w:val="CETBodytext"/>
              <w:ind w:right="-1"/>
              <w:jc w:val="center"/>
              <w:rPr>
                <w:rFonts w:cs="Arial"/>
                <w:szCs w:val="18"/>
                <w:lang w:eastAsia="pt-PT"/>
              </w:rPr>
            </w:pPr>
            <w:r w:rsidRPr="00C7751C">
              <w:rPr>
                <w:rFonts w:cs="Arial"/>
                <w:szCs w:val="18"/>
              </w:rPr>
              <w:t>TVA (mg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235AB49E" w14:textId="79010B06" w:rsidR="00C7751C" w:rsidRPr="00C7751C" w:rsidRDefault="00C7751C" w:rsidP="00C7751C">
            <w:pPr>
              <w:pStyle w:val="CETBodytext"/>
              <w:ind w:right="-1"/>
              <w:jc w:val="center"/>
              <w:rPr>
                <w:rFonts w:cs="Arial"/>
                <w:szCs w:val="18"/>
                <w:lang w:val="en-GB" w:eastAsia="pt-PT"/>
              </w:rPr>
            </w:pPr>
            <w:r w:rsidRPr="00C7751C">
              <w:rPr>
                <w:rFonts w:cs="Arial"/>
                <w:szCs w:val="18"/>
              </w:rPr>
              <w:t>245.84</w:t>
            </w:r>
          </w:p>
        </w:tc>
        <w:tc>
          <w:tcPr>
            <w:tcW w:w="1560" w:type="dxa"/>
            <w:shd w:val="clear" w:color="auto" w:fill="FFFFFF"/>
            <w:vAlign w:val="center"/>
          </w:tcPr>
          <w:p w14:paraId="69CFC565" w14:textId="2AAA2C76" w:rsidR="00C7751C" w:rsidRPr="00C7751C" w:rsidRDefault="00C7751C" w:rsidP="00C7751C">
            <w:pPr>
              <w:pStyle w:val="CETBodytext"/>
              <w:ind w:right="-1"/>
              <w:jc w:val="center"/>
              <w:rPr>
                <w:rFonts w:cs="Arial"/>
                <w:szCs w:val="18"/>
                <w:lang w:val="en-GB" w:eastAsia="pt-PT"/>
              </w:rPr>
            </w:pPr>
            <w:r w:rsidRPr="00C7751C">
              <w:rPr>
                <w:rFonts w:cs="Arial"/>
                <w:szCs w:val="18"/>
              </w:rPr>
              <w:t>100</w:t>
            </w:r>
            <w:r w:rsidR="00652F59">
              <w:rPr>
                <w:rFonts w:cs="Arial"/>
                <w:szCs w:val="18"/>
              </w:rPr>
              <w:t>.00</w:t>
            </w:r>
            <w:r w:rsidRPr="00C7751C">
              <w:rPr>
                <w:rFonts w:cs="Arial"/>
                <w:szCs w:val="18"/>
              </w:rPr>
              <w:t xml:space="preserve"> - 365.63</w:t>
            </w:r>
          </w:p>
        </w:tc>
        <w:tc>
          <w:tcPr>
            <w:tcW w:w="1417" w:type="dxa"/>
            <w:shd w:val="clear" w:color="auto" w:fill="FFFFFF"/>
            <w:vAlign w:val="center"/>
          </w:tcPr>
          <w:p w14:paraId="705DDD13" w14:textId="1EA09E9A" w:rsidR="00C7751C" w:rsidRPr="00C7751C" w:rsidRDefault="00C7751C" w:rsidP="00C7751C">
            <w:pPr>
              <w:pStyle w:val="CETBodytext"/>
              <w:ind w:right="-1"/>
              <w:jc w:val="center"/>
              <w:rPr>
                <w:rFonts w:cs="Arial"/>
                <w:szCs w:val="18"/>
                <w:lang w:val="en-GB" w:eastAsia="pt-PT"/>
              </w:rPr>
            </w:pPr>
            <w:r w:rsidRPr="00C7751C">
              <w:rPr>
                <w:rFonts w:cs="Arial"/>
                <w:szCs w:val="18"/>
              </w:rPr>
              <w:t>233.34</w:t>
            </w:r>
          </w:p>
        </w:tc>
        <w:tc>
          <w:tcPr>
            <w:tcW w:w="1418" w:type="dxa"/>
            <w:shd w:val="clear" w:color="auto" w:fill="FFFFFF"/>
            <w:vAlign w:val="center"/>
          </w:tcPr>
          <w:p w14:paraId="6BB58147" w14:textId="6E9E4321"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 xml:space="preserve">159.38 </w:t>
            </w:r>
            <w:r w:rsidR="00652F59">
              <w:rPr>
                <w:rFonts w:cs="Arial"/>
                <w:color w:val="000000"/>
                <w:szCs w:val="18"/>
              </w:rPr>
              <w:t>–</w:t>
            </w:r>
            <w:r w:rsidRPr="00C7751C">
              <w:rPr>
                <w:rFonts w:cs="Arial"/>
                <w:color w:val="000000"/>
                <w:szCs w:val="18"/>
              </w:rPr>
              <w:t xml:space="preserve"> 375</w:t>
            </w:r>
            <w:r w:rsidR="00652F59">
              <w:rPr>
                <w:rFonts w:cs="Arial"/>
                <w:color w:val="000000"/>
                <w:szCs w:val="18"/>
              </w:rPr>
              <w:t>.00</w:t>
            </w:r>
          </w:p>
        </w:tc>
      </w:tr>
      <w:tr w:rsidR="00C7751C" w:rsidRPr="00093100" w14:paraId="4A1142D6" w14:textId="2D2D6918" w:rsidTr="00C7751C">
        <w:tc>
          <w:tcPr>
            <w:tcW w:w="2629" w:type="dxa"/>
            <w:shd w:val="clear" w:color="auto" w:fill="FFFFFF"/>
            <w:vAlign w:val="center"/>
          </w:tcPr>
          <w:p w14:paraId="1FC15180" w14:textId="0E7A4538" w:rsidR="00C7751C" w:rsidRPr="00C7751C" w:rsidRDefault="00C7751C" w:rsidP="00C7751C">
            <w:pPr>
              <w:pStyle w:val="CETBodytext"/>
              <w:ind w:right="-1"/>
              <w:jc w:val="center"/>
              <w:rPr>
                <w:rFonts w:cs="Arial"/>
                <w:szCs w:val="18"/>
                <w:lang w:val="en-GB" w:eastAsia="pt-PT"/>
              </w:rPr>
            </w:pPr>
            <w:r w:rsidRPr="00C7751C">
              <w:rPr>
                <w:rFonts w:cs="Arial"/>
                <w:szCs w:val="18"/>
              </w:rPr>
              <w:t>Kjeldahl Nitrogen (mg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56605006" w14:textId="33BD549B" w:rsidR="00C7751C" w:rsidRPr="00C7751C" w:rsidRDefault="00C7751C" w:rsidP="00C7751C">
            <w:pPr>
              <w:pStyle w:val="CETBodytext"/>
              <w:ind w:right="-1"/>
              <w:jc w:val="center"/>
              <w:rPr>
                <w:rFonts w:cs="Arial"/>
                <w:szCs w:val="18"/>
                <w:lang w:val="en-GB" w:eastAsia="pt-PT"/>
              </w:rPr>
            </w:pPr>
            <w:r w:rsidRPr="00C7751C">
              <w:rPr>
                <w:rFonts w:cs="Arial"/>
                <w:szCs w:val="18"/>
              </w:rPr>
              <w:t>13.16</w:t>
            </w:r>
          </w:p>
        </w:tc>
        <w:tc>
          <w:tcPr>
            <w:tcW w:w="1560" w:type="dxa"/>
            <w:shd w:val="clear" w:color="auto" w:fill="FFFFFF"/>
            <w:vAlign w:val="center"/>
          </w:tcPr>
          <w:p w14:paraId="47EADCAE" w14:textId="628935BA" w:rsidR="00C7751C" w:rsidRPr="00C7751C" w:rsidRDefault="00C7751C" w:rsidP="00C7751C">
            <w:pPr>
              <w:pStyle w:val="CETBodytext"/>
              <w:ind w:right="-1"/>
              <w:jc w:val="center"/>
              <w:rPr>
                <w:rFonts w:cs="Arial"/>
                <w:szCs w:val="18"/>
                <w:lang w:val="en-GB" w:eastAsia="pt-PT"/>
              </w:rPr>
            </w:pPr>
            <w:r w:rsidRPr="00C7751C">
              <w:rPr>
                <w:rFonts w:cs="Arial"/>
                <w:szCs w:val="18"/>
              </w:rPr>
              <w:t>11.20 - 14.84</w:t>
            </w:r>
          </w:p>
        </w:tc>
        <w:tc>
          <w:tcPr>
            <w:tcW w:w="1417" w:type="dxa"/>
            <w:shd w:val="clear" w:color="auto" w:fill="FFFFFF"/>
            <w:vAlign w:val="center"/>
          </w:tcPr>
          <w:p w14:paraId="32D8B813" w14:textId="3DCB56A5" w:rsidR="00C7751C" w:rsidRPr="00C7751C" w:rsidRDefault="00C7751C" w:rsidP="00C7751C">
            <w:pPr>
              <w:pStyle w:val="CETBodytext"/>
              <w:ind w:right="-1"/>
              <w:jc w:val="center"/>
              <w:rPr>
                <w:rFonts w:cs="Arial"/>
                <w:szCs w:val="18"/>
                <w:lang w:val="en-GB" w:eastAsia="pt-PT"/>
              </w:rPr>
            </w:pPr>
            <w:r w:rsidRPr="00C7751C">
              <w:rPr>
                <w:rFonts w:cs="Arial"/>
                <w:szCs w:val="18"/>
              </w:rPr>
              <w:t>13.72</w:t>
            </w:r>
          </w:p>
        </w:tc>
        <w:tc>
          <w:tcPr>
            <w:tcW w:w="1418" w:type="dxa"/>
            <w:shd w:val="clear" w:color="auto" w:fill="FFFFFF"/>
            <w:vAlign w:val="center"/>
          </w:tcPr>
          <w:p w14:paraId="42259190" w14:textId="591DF372"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10.36 - 17.08</w:t>
            </w:r>
          </w:p>
        </w:tc>
      </w:tr>
      <w:tr w:rsidR="00C7751C" w:rsidRPr="00093100" w14:paraId="4600EE65" w14:textId="364E24F8" w:rsidTr="00C7751C">
        <w:tc>
          <w:tcPr>
            <w:tcW w:w="2629" w:type="dxa"/>
            <w:shd w:val="clear" w:color="auto" w:fill="FFFFFF"/>
            <w:vAlign w:val="center"/>
          </w:tcPr>
          <w:p w14:paraId="074DF791" w14:textId="4CC1FA97" w:rsidR="00C7751C" w:rsidRPr="00C7751C" w:rsidRDefault="00C7751C" w:rsidP="00C7751C">
            <w:pPr>
              <w:pStyle w:val="CETBodytext"/>
              <w:ind w:right="-1"/>
              <w:jc w:val="center"/>
              <w:rPr>
                <w:rFonts w:cs="Arial"/>
                <w:szCs w:val="18"/>
                <w:lang w:val="en-GB" w:eastAsia="pt-PT"/>
              </w:rPr>
            </w:pPr>
            <w:r w:rsidRPr="00C7751C">
              <w:rPr>
                <w:rFonts w:cs="Arial"/>
                <w:szCs w:val="18"/>
              </w:rPr>
              <w:t>Total Phosphorus (mg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551F23E8" w14:textId="3A59A219" w:rsidR="00C7751C" w:rsidRPr="00C7751C" w:rsidRDefault="00C7751C" w:rsidP="00C7751C">
            <w:pPr>
              <w:pStyle w:val="CETBodytext"/>
              <w:ind w:right="-1"/>
              <w:jc w:val="center"/>
              <w:rPr>
                <w:rFonts w:cs="Arial"/>
                <w:szCs w:val="18"/>
                <w:lang w:val="en-GB" w:eastAsia="pt-PT"/>
              </w:rPr>
            </w:pPr>
            <w:r w:rsidRPr="00C7751C">
              <w:rPr>
                <w:rFonts w:cs="Arial"/>
                <w:szCs w:val="18"/>
              </w:rPr>
              <w:t>1.03</w:t>
            </w:r>
          </w:p>
        </w:tc>
        <w:tc>
          <w:tcPr>
            <w:tcW w:w="1560" w:type="dxa"/>
            <w:shd w:val="clear" w:color="auto" w:fill="FFFFFF"/>
            <w:vAlign w:val="center"/>
          </w:tcPr>
          <w:p w14:paraId="26B157E5" w14:textId="3E7FFEE9" w:rsidR="00C7751C" w:rsidRPr="00C7751C" w:rsidRDefault="00C7751C" w:rsidP="00C7751C">
            <w:pPr>
              <w:pStyle w:val="CETBodytext"/>
              <w:ind w:right="-1"/>
              <w:jc w:val="center"/>
              <w:rPr>
                <w:rFonts w:cs="Arial"/>
                <w:szCs w:val="18"/>
                <w:lang w:val="en-GB" w:eastAsia="pt-PT"/>
              </w:rPr>
            </w:pPr>
            <w:r w:rsidRPr="00C7751C">
              <w:rPr>
                <w:rFonts w:cs="Arial"/>
                <w:szCs w:val="18"/>
              </w:rPr>
              <w:t>0.27 - 1.64</w:t>
            </w:r>
          </w:p>
        </w:tc>
        <w:tc>
          <w:tcPr>
            <w:tcW w:w="1417" w:type="dxa"/>
            <w:shd w:val="clear" w:color="auto" w:fill="FFFFFF"/>
            <w:vAlign w:val="center"/>
          </w:tcPr>
          <w:p w14:paraId="75FC2734" w14:textId="2664FF69" w:rsidR="00C7751C" w:rsidRPr="00C7751C" w:rsidRDefault="00C7751C" w:rsidP="00C7751C">
            <w:pPr>
              <w:pStyle w:val="CETBodytext"/>
              <w:ind w:right="-1"/>
              <w:jc w:val="center"/>
              <w:rPr>
                <w:rFonts w:cs="Arial"/>
                <w:szCs w:val="18"/>
                <w:lang w:val="en-GB" w:eastAsia="pt-PT"/>
              </w:rPr>
            </w:pPr>
            <w:r w:rsidRPr="00C7751C">
              <w:rPr>
                <w:rFonts w:cs="Arial"/>
                <w:szCs w:val="18"/>
              </w:rPr>
              <w:t>0.42</w:t>
            </w:r>
          </w:p>
        </w:tc>
        <w:tc>
          <w:tcPr>
            <w:tcW w:w="1418" w:type="dxa"/>
            <w:shd w:val="clear" w:color="auto" w:fill="FFFFFF"/>
            <w:vAlign w:val="center"/>
          </w:tcPr>
          <w:p w14:paraId="6EED07E5" w14:textId="24F7DEA0"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0.29 - 0.50</w:t>
            </w:r>
          </w:p>
        </w:tc>
      </w:tr>
      <w:tr w:rsidR="00C7751C" w:rsidRPr="00093100" w14:paraId="16D3DCEF" w14:textId="1654D92D" w:rsidTr="00C7751C">
        <w:tc>
          <w:tcPr>
            <w:tcW w:w="2629" w:type="dxa"/>
            <w:shd w:val="clear" w:color="auto" w:fill="FFFFFF"/>
            <w:vAlign w:val="center"/>
          </w:tcPr>
          <w:p w14:paraId="59AEA7CA" w14:textId="10CA8B12" w:rsidR="00C7751C" w:rsidRPr="00C7751C" w:rsidRDefault="00C7751C" w:rsidP="00C7751C">
            <w:pPr>
              <w:pStyle w:val="CETBodytext"/>
              <w:ind w:right="-1"/>
              <w:jc w:val="center"/>
              <w:rPr>
                <w:rFonts w:cs="Arial"/>
                <w:szCs w:val="18"/>
                <w:lang w:val="en-GB" w:eastAsia="pt-PT"/>
              </w:rPr>
            </w:pPr>
            <w:r w:rsidRPr="00C7751C">
              <w:rPr>
                <w:rFonts w:cs="Arial"/>
                <w:szCs w:val="18"/>
              </w:rPr>
              <w:t>COD (mgO</w:t>
            </w:r>
            <w:r w:rsidRPr="00C7751C">
              <w:rPr>
                <w:rFonts w:cs="Arial"/>
                <w:szCs w:val="18"/>
                <w:vertAlign w:val="subscript"/>
              </w:rPr>
              <w:t>2</w:t>
            </w:r>
            <w:r w:rsidRPr="00C7751C">
              <w:rPr>
                <w:rFonts w:cs="Arial"/>
                <w:szCs w:val="18"/>
              </w:rPr>
              <w:t xml:space="preserve">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1C67D709" w14:textId="23B4F00B" w:rsidR="00C7751C" w:rsidRPr="00C7751C" w:rsidRDefault="00C7751C" w:rsidP="00C7751C">
            <w:pPr>
              <w:pStyle w:val="CETBodytext"/>
              <w:ind w:right="-1"/>
              <w:jc w:val="center"/>
              <w:rPr>
                <w:rFonts w:cs="Arial"/>
                <w:szCs w:val="18"/>
                <w:lang w:val="en-GB" w:eastAsia="pt-PT"/>
              </w:rPr>
            </w:pPr>
            <w:r w:rsidRPr="00C7751C">
              <w:rPr>
                <w:rFonts w:cs="Arial"/>
                <w:szCs w:val="18"/>
              </w:rPr>
              <w:t>749.91</w:t>
            </w:r>
          </w:p>
        </w:tc>
        <w:tc>
          <w:tcPr>
            <w:tcW w:w="1560" w:type="dxa"/>
            <w:shd w:val="clear" w:color="auto" w:fill="FFFFFF"/>
            <w:vAlign w:val="center"/>
          </w:tcPr>
          <w:p w14:paraId="56B14843" w14:textId="22562310" w:rsidR="00C7751C" w:rsidRPr="00C7751C" w:rsidRDefault="00C7751C" w:rsidP="00C7751C">
            <w:pPr>
              <w:pStyle w:val="CETBodytext"/>
              <w:ind w:right="-1"/>
              <w:jc w:val="center"/>
              <w:rPr>
                <w:rFonts w:cs="Arial"/>
                <w:szCs w:val="18"/>
                <w:lang w:val="en-GB" w:eastAsia="pt-PT"/>
              </w:rPr>
            </w:pPr>
            <w:r w:rsidRPr="00C7751C">
              <w:rPr>
                <w:rFonts w:cs="Arial"/>
                <w:szCs w:val="18"/>
              </w:rPr>
              <w:t>270.4</w:t>
            </w:r>
            <w:r w:rsidR="00652F59">
              <w:rPr>
                <w:rFonts w:cs="Arial"/>
                <w:szCs w:val="18"/>
              </w:rPr>
              <w:t>0</w:t>
            </w:r>
            <w:r w:rsidRPr="00C7751C">
              <w:rPr>
                <w:rFonts w:cs="Arial"/>
                <w:szCs w:val="18"/>
              </w:rPr>
              <w:t xml:space="preserve"> - 1,245.4</w:t>
            </w:r>
            <w:r w:rsidR="00652F59">
              <w:rPr>
                <w:rFonts w:cs="Arial"/>
                <w:szCs w:val="18"/>
              </w:rPr>
              <w:t>0</w:t>
            </w:r>
          </w:p>
        </w:tc>
        <w:tc>
          <w:tcPr>
            <w:tcW w:w="1417" w:type="dxa"/>
            <w:shd w:val="clear" w:color="auto" w:fill="FFFFFF"/>
            <w:vAlign w:val="center"/>
          </w:tcPr>
          <w:p w14:paraId="6C9427BE" w14:textId="727969DB" w:rsidR="00C7751C" w:rsidRPr="00C7751C" w:rsidRDefault="00C7751C" w:rsidP="00C7751C">
            <w:pPr>
              <w:pStyle w:val="CETBodytext"/>
              <w:ind w:right="-1"/>
              <w:jc w:val="center"/>
              <w:rPr>
                <w:rFonts w:cs="Arial"/>
                <w:szCs w:val="18"/>
                <w:lang w:val="en-GB" w:eastAsia="pt-PT"/>
              </w:rPr>
            </w:pPr>
            <w:r w:rsidRPr="00C7751C">
              <w:rPr>
                <w:rFonts w:cs="Arial"/>
                <w:szCs w:val="18"/>
              </w:rPr>
              <w:t>757.19</w:t>
            </w:r>
          </w:p>
        </w:tc>
        <w:tc>
          <w:tcPr>
            <w:tcW w:w="1418" w:type="dxa"/>
            <w:shd w:val="clear" w:color="auto" w:fill="FFFFFF"/>
            <w:vAlign w:val="center"/>
          </w:tcPr>
          <w:p w14:paraId="501C45EC" w14:textId="54C4BC35"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504.1</w:t>
            </w:r>
            <w:r w:rsidR="00652F59">
              <w:rPr>
                <w:rFonts w:cs="Arial"/>
                <w:color w:val="000000"/>
                <w:szCs w:val="18"/>
              </w:rPr>
              <w:t>0</w:t>
            </w:r>
            <w:r w:rsidRPr="00C7751C">
              <w:rPr>
                <w:rFonts w:cs="Arial"/>
                <w:color w:val="000000"/>
                <w:szCs w:val="18"/>
              </w:rPr>
              <w:t xml:space="preserve"> - 1,114.1</w:t>
            </w:r>
            <w:r w:rsidR="00652F59">
              <w:rPr>
                <w:rFonts w:cs="Arial"/>
                <w:color w:val="000000"/>
                <w:szCs w:val="18"/>
              </w:rPr>
              <w:t>0</w:t>
            </w:r>
          </w:p>
        </w:tc>
      </w:tr>
      <w:tr w:rsidR="00C7751C" w:rsidRPr="00093100" w14:paraId="5C938554" w14:textId="67B35FE0" w:rsidTr="00C7751C">
        <w:tc>
          <w:tcPr>
            <w:tcW w:w="2629" w:type="dxa"/>
            <w:shd w:val="clear" w:color="auto" w:fill="FFFFFF"/>
            <w:vAlign w:val="center"/>
          </w:tcPr>
          <w:p w14:paraId="6436CCDE" w14:textId="6C3F761E" w:rsidR="00C7751C" w:rsidRPr="00C7751C" w:rsidRDefault="00C7751C" w:rsidP="00C7751C">
            <w:pPr>
              <w:pStyle w:val="CETBodytext"/>
              <w:ind w:right="-1"/>
              <w:jc w:val="center"/>
              <w:rPr>
                <w:rFonts w:cs="Arial"/>
                <w:szCs w:val="18"/>
                <w:lang w:val="en-GB" w:eastAsia="pt-PT"/>
              </w:rPr>
            </w:pPr>
            <w:r w:rsidRPr="00C7751C">
              <w:rPr>
                <w:rFonts w:cs="Arial"/>
                <w:szCs w:val="18"/>
              </w:rPr>
              <w:t>BOD (mg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255E5311" w14:textId="68859F3A" w:rsidR="00C7751C" w:rsidRPr="00C7751C" w:rsidRDefault="00C7751C" w:rsidP="00C7751C">
            <w:pPr>
              <w:pStyle w:val="CETBodytext"/>
              <w:ind w:right="-1"/>
              <w:jc w:val="center"/>
              <w:rPr>
                <w:rFonts w:cs="Arial"/>
                <w:szCs w:val="18"/>
                <w:lang w:val="en-GB" w:eastAsia="pt-PT"/>
              </w:rPr>
            </w:pPr>
            <w:r w:rsidRPr="00C7751C">
              <w:rPr>
                <w:rFonts w:cs="Arial"/>
                <w:szCs w:val="18"/>
              </w:rPr>
              <w:t>259.94</w:t>
            </w:r>
          </w:p>
        </w:tc>
        <w:tc>
          <w:tcPr>
            <w:tcW w:w="1560" w:type="dxa"/>
            <w:shd w:val="clear" w:color="auto" w:fill="FFFFFF"/>
            <w:vAlign w:val="center"/>
          </w:tcPr>
          <w:p w14:paraId="2EA574AA" w14:textId="5DB15B2D" w:rsidR="00C7751C" w:rsidRPr="00C7751C" w:rsidRDefault="00C7751C" w:rsidP="00C7751C">
            <w:pPr>
              <w:pStyle w:val="CETBodytext"/>
              <w:ind w:right="-1"/>
              <w:jc w:val="center"/>
              <w:rPr>
                <w:rFonts w:cs="Arial"/>
                <w:szCs w:val="18"/>
                <w:lang w:val="en-GB" w:eastAsia="pt-PT"/>
              </w:rPr>
            </w:pPr>
            <w:r w:rsidRPr="00C7751C">
              <w:rPr>
                <w:rFonts w:cs="Arial"/>
                <w:szCs w:val="18"/>
              </w:rPr>
              <w:t>162 - 411.1</w:t>
            </w:r>
            <w:r w:rsidR="00652F59">
              <w:rPr>
                <w:rFonts w:cs="Arial"/>
                <w:szCs w:val="18"/>
              </w:rPr>
              <w:t>0</w:t>
            </w:r>
          </w:p>
        </w:tc>
        <w:tc>
          <w:tcPr>
            <w:tcW w:w="1417" w:type="dxa"/>
            <w:shd w:val="clear" w:color="auto" w:fill="FFFFFF"/>
            <w:vAlign w:val="center"/>
          </w:tcPr>
          <w:p w14:paraId="58125B3B" w14:textId="5A665BE6" w:rsidR="00C7751C" w:rsidRPr="00C7751C" w:rsidRDefault="00C7751C" w:rsidP="00C7751C">
            <w:pPr>
              <w:pStyle w:val="CETBodytext"/>
              <w:ind w:right="-1"/>
              <w:jc w:val="center"/>
              <w:rPr>
                <w:rFonts w:cs="Arial"/>
                <w:szCs w:val="18"/>
                <w:lang w:val="en-GB" w:eastAsia="pt-PT"/>
              </w:rPr>
            </w:pPr>
            <w:r w:rsidRPr="00C7751C">
              <w:rPr>
                <w:rFonts w:cs="Arial"/>
                <w:szCs w:val="18"/>
              </w:rPr>
              <w:t>281.43</w:t>
            </w:r>
          </w:p>
        </w:tc>
        <w:tc>
          <w:tcPr>
            <w:tcW w:w="1418" w:type="dxa"/>
            <w:shd w:val="clear" w:color="auto" w:fill="FFFFFF"/>
            <w:vAlign w:val="center"/>
          </w:tcPr>
          <w:p w14:paraId="6771F8DA" w14:textId="4484AA63"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184.89 - 353.6</w:t>
            </w:r>
            <w:r w:rsidR="00652F59">
              <w:rPr>
                <w:rFonts w:cs="Arial"/>
                <w:color w:val="000000"/>
                <w:szCs w:val="18"/>
              </w:rPr>
              <w:t>0</w:t>
            </w:r>
          </w:p>
        </w:tc>
      </w:tr>
      <w:tr w:rsidR="00C7751C" w:rsidRPr="00093100" w14:paraId="12BFCD20" w14:textId="1A64B34A" w:rsidTr="00C7751C">
        <w:tc>
          <w:tcPr>
            <w:tcW w:w="2629" w:type="dxa"/>
            <w:shd w:val="clear" w:color="auto" w:fill="FFFFFF"/>
            <w:vAlign w:val="center"/>
          </w:tcPr>
          <w:p w14:paraId="1733C22B" w14:textId="7E999C64" w:rsidR="00C7751C" w:rsidRPr="00C7751C" w:rsidRDefault="00C7751C" w:rsidP="00C7751C">
            <w:pPr>
              <w:pStyle w:val="CETBodytext"/>
              <w:ind w:right="-1"/>
              <w:jc w:val="center"/>
              <w:rPr>
                <w:rFonts w:cs="Arial"/>
                <w:szCs w:val="18"/>
                <w:lang w:val="en-GB" w:eastAsia="pt-PT"/>
              </w:rPr>
            </w:pPr>
            <w:r w:rsidRPr="00C7751C">
              <w:rPr>
                <w:rFonts w:cs="Arial"/>
                <w:szCs w:val="18"/>
              </w:rPr>
              <w:t>Biodegradable COD fraction (%)</w:t>
            </w:r>
          </w:p>
        </w:tc>
        <w:tc>
          <w:tcPr>
            <w:tcW w:w="1340" w:type="dxa"/>
            <w:shd w:val="clear" w:color="auto" w:fill="FFFFFF"/>
            <w:vAlign w:val="center"/>
          </w:tcPr>
          <w:p w14:paraId="37ACAEC2" w14:textId="4EA6594A" w:rsidR="00C7751C" w:rsidRPr="00C7751C" w:rsidRDefault="00C7751C" w:rsidP="00C7751C">
            <w:pPr>
              <w:pStyle w:val="CETBodytext"/>
              <w:ind w:right="-1"/>
              <w:jc w:val="center"/>
              <w:rPr>
                <w:rFonts w:cs="Arial"/>
                <w:szCs w:val="18"/>
                <w:lang w:val="en-GB" w:eastAsia="pt-PT"/>
              </w:rPr>
            </w:pPr>
            <w:r w:rsidRPr="00C7751C">
              <w:rPr>
                <w:rFonts w:cs="Arial"/>
                <w:szCs w:val="18"/>
              </w:rPr>
              <w:t>34.66</w:t>
            </w:r>
          </w:p>
        </w:tc>
        <w:tc>
          <w:tcPr>
            <w:tcW w:w="1560" w:type="dxa"/>
            <w:shd w:val="clear" w:color="auto" w:fill="FFFFFF"/>
            <w:vAlign w:val="center"/>
          </w:tcPr>
          <w:p w14:paraId="76B918B9" w14:textId="764D4D14" w:rsidR="00C7751C" w:rsidRPr="00C7751C" w:rsidRDefault="00C7751C" w:rsidP="00C7751C">
            <w:pPr>
              <w:pStyle w:val="CETBodytext"/>
              <w:ind w:right="-1"/>
              <w:jc w:val="center"/>
              <w:rPr>
                <w:rFonts w:cs="Arial"/>
                <w:szCs w:val="18"/>
                <w:lang w:val="en-GB" w:eastAsia="pt-PT"/>
              </w:rPr>
            </w:pPr>
            <w:r w:rsidRPr="00C7751C">
              <w:rPr>
                <w:rFonts w:cs="Arial"/>
                <w:szCs w:val="18"/>
              </w:rPr>
              <w:t>19.83 - 82.90</w:t>
            </w:r>
          </w:p>
        </w:tc>
        <w:tc>
          <w:tcPr>
            <w:tcW w:w="1417" w:type="dxa"/>
            <w:shd w:val="clear" w:color="auto" w:fill="FFFFFF"/>
            <w:vAlign w:val="center"/>
          </w:tcPr>
          <w:p w14:paraId="45ED8B89" w14:textId="3328753F" w:rsidR="00C7751C" w:rsidRPr="00C7751C" w:rsidRDefault="00C7751C" w:rsidP="00C7751C">
            <w:pPr>
              <w:pStyle w:val="CETBodytext"/>
              <w:ind w:right="-1"/>
              <w:jc w:val="center"/>
              <w:rPr>
                <w:rFonts w:cs="Arial"/>
                <w:szCs w:val="18"/>
                <w:lang w:val="en-GB" w:eastAsia="pt-PT"/>
              </w:rPr>
            </w:pPr>
            <w:r w:rsidRPr="00C7751C">
              <w:rPr>
                <w:rFonts w:cs="Arial"/>
                <w:szCs w:val="18"/>
              </w:rPr>
              <w:t>37.17</w:t>
            </w:r>
          </w:p>
        </w:tc>
        <w:tc>
          <w:tcPr>
            <w:tcW w:w="1418" w:type="dxa"/>
            <w:shd w:val="clear" w:color="auto" w:fill="FFFFFF"/>
            <w:vAlign w:val="center"/>
          </w:tcPr>
          <w:p w14:paraId="243EED89" w14:textId="623E71C9"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25.39 - 66.3</w:t>
            </w:r>
            <w:r w:rsidR="00652F59">
              <w:rPr>
                <w:rFonts w:cs="Arial"/>
                <w:color w:val="000000"/>
                <w:szCs w:val="18"/>
              </w:rPr>
              <w:t>0</w:t>
            </w:r>
          </w:p>
        </w:tc>
      </w:tr>
      <w:tr w:rsidR="00C7751C" w:rsidRPr="00093100" w14:paraId="1119A1C8" w14:textId="1D2B5778" w:rsidTr="00C7751C">
        <w:tc>
          <w:tcPr>
            <w:tcW w:w="2629" w:type="dxa"/>
            <w:shd w:val="clear" w:color="auto" w:fill="FFFFFF"/>
            <w:vAlign w:val="center"/>
          </w:tcPr>
          <w:p w14:paraId="61304C54" w14:textId="374125CF" w:rsidR="00C7751C" w:rsidRPr="00C7751C" w:rsidRDefault="00C7751C" w:rsidP="00C7751C">
            <w:pPr>
              <w:pStyle w:val="CETBodytext"/>
              <w:ind w:right="-1"/>
              <w:jc w:val="center"/>
              <w:rPr>
                <w:rFonts w:cs="Arial"/>
                <w:szCs w:val="18"/>
                <w:lang w:val="en-GB" w:eastAsia="pt-PT"/>
              </w:rPr>
            </w:pPr>
            <w:r w:rsidRPr="00C7751C">
              <w:rPr>
                <w:rFonts w:cs="Arial"/>
                <w:szCs w:val="18"/>
              </w:rPr>
              <w:t>Total Solids (g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14ED2EC0" w14:textId="12F3FCC8" w:rsidR="00C7751C" w:rsidRPr="00C7751C" w:rsidRDefault="00C7751C" w:rsidP="00C7751C">
            <w:pPr>
              <w:pStyle w:val="CETBodytext"/>
              <w:ind w:right="-1"/>
              <w:jc w:val="center"/>
              <w:rPr>
                <w:rFonts w:cs="Arial"/>
                <w:szCs w:val="18"/>
                <w:lang w:val="en-GB" w:eastAsia="pt-PT"/>
              </w:rPr>
            </w:pPr>
            <w:r w:rsidRPr="00C7751C">
              <w:rPr>
                <w:rFonts w:cs="Arial"/>
                <w:szCs w:val="18"/>
              </w:rPr>
              <w:t>5.63</w:t>
            </w:r>
          </w:p>
        </w:tc>
        <w:tc>
          <w:tcPr>
            <w:tcW w:w="1560" w:type="dxa"/>
            <w:shd w:val="clear" w:color="auto" w:fill="FFFFFF"/>
            <w:vAlign w:val="center"/>
          </w:tcPr>
          <w:p w14:paraId="6A27355E" w14:textId="570792E4" w:rsidR="00C7751C" w:rsidRPr="00C7751C" w:rsidRDefault="00C7751C" w:rsidP="00C7751C">
            <w:pPr>
              <w:pStyle w:val="CETBodytext"/>
              <w:ind w:right="-1"/>
              <w:jc w:val="center"/>
              <w:rPr>
                <w:rFonts w:cs="Arial"/>
                <w:szCs w:val="18"/>
                <w:lang w:val="en-GB" w:eastAsia="pt-PT"/>
              </w:rPr>
            </w:pPr>
            <w:r w:rsidRPr="00C7751C">
              <w:rPr>
                <w:rFonts w:cs="Arial"/>
                <w:szCs w:val="18"/>
              </w:rPr>
              <w:t>1.85 - 11.76</w:t>
            </w:r>
          </w:p>
        </w:tc>
        <w:tc>
          <w:tcPr>
            <w:tcW w:w="1417" w:type="dxa"/>
            <w:shd w:val="clear" w:color="auto" w:fill="FFFFFF"/>
            <w:vAlign w:val="center"/>
          </w:tcPr>
          <w:p w14:paraId="695DD4BA" w14:textId="51F88BFD" w:rsidR="00C7751C" w:rsidRPr="00C7751C" w:rsidRDefault="00C7751C" w:rsidP="00C7751C">
            <w:pPr>
              <w:pStyle w:val="CETBodytext"/>
              <w:ind w:right="-1"/>
              <w:jc w:val="center"/>
              <w:rPr>
                <w:rFonts w:cs="Arial"/>
                <w:szCs w:val="18"/>
                <w:lang w:val="en-GB" w:eastAsia="pt-PT"/>
              </w:rPr>
            </w:pPr>
            <w:r w:rsidRPr="00C7751C">
              <w:rPr>
                <w:rFonts w:cs="Arial"/>
                <w:szCs w:val="18"/>
              </w:rPr>
              <w:t>3.55</w:t>
            </w:r>
          </w:p>
        </w:tc>
        <w:tc>
          <w:tcPr>
            <w:tcW w:w="1418" w:type="dxa"/>
            <w:shd w:val="clear" w:color="auto" w:fill="FFFFFF"/>
            <w:vAlign w:val="center"/>
          </w:tcPr>
          <w:p w14:paraId="22C76100" w14:textId="14B2788A"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1.93 - 4.39</w:t>
            </w:r>
          </w:p>
        </w:tc>
      </w:tr>
      <w:tr w:rsidR="00C7751C" w:rsidRPr="00093100" w14:paraId="1249F283" w14:textId="55E0FEA3" w:rsidTr="00C7751C">
        <w:tc>
          <w:tcPr>
            <w:tcW w:w="2629" w:type="dxa"/>
            <w:shd w:val="clear" w:color="auto" w:fill="FFFFFF"/>
            <w:vAlign w:val="center"/>
          </w:tcPr>
          <w:p w14:paraId="746F84FE" w14:textId="74CA4E32" w:rsidR="00C7751C" w:rsidRPr="00C7751C" w:rsidRDefault="00C7751C" w:rsidP="00C7751C">
            <w:pPr>
              <w:pStyle w:val="CETBodytext"/>
              <w:ind w:right="-1"/>
              <w:jc w:val="center"/>
              <w:rPr>
                <w:rFonts w:cs="Arial"/>
                <w:szCs w:val="18"/>
                <w:lang w:val="en-GB" w:eastAsia="pt-PT"/>
              </w:rPr>
            </w:pPr>
            <w:r w:rsidRPr="00C7751C">
              <w:rPr>
                <w:rFonts w:cs="Arial"/>
                <w:szCs w:val="18"/>
              </w:rPr>
              <w:t>Dissolved Solids (g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754DEA8C" w14:textId="3AD960E7" w:rsidR="00C7751C" w:rsidRPr="00C7751C" w:rsidRDefault="00C7751C" w:rsidP="00C7751C">
            <w:pPr>
              <w:pStyle w:val="CETBodytext"/>
              <w:ind w:right="-1"/>
              <w:jc w:val="center"/>
              <w:rPr>
                <w:rFonts w:cs="Arial"/>
                <w:szCs w:val="18"/>
                <w:lang w:val="en-GB" w:eastAsia="pt-PT"/>
              </w:rPr>
            </w:pPr>
            <w:r w:rsidRPr="00C7751C">
              <w:rPr>
                <w:rFonts w:cs="Arial"/>
                <w:szCs w:val="18"/>
              </w:rPr>
              <w:t>5.35</w:t>
            </w:r>
          </w:p>
        </w:tc>
        <w:tc>
          <w:tcPr>
            <w:tcW w:w="1560" w:type="dxa"/>
            <w:shd w:val="clear" w:color="auto" w:fill="FFFFFF"/>
            <w:vAlign w:val="center"/>
          </w:tcPr>
          <w:p w14:paraId="492BFAD0" w14:textId="54BBC062" w:rsidR="00C7751C" w:rsidRPr="00C7751C" w:rsidRDefault="00C7751C" w:rsidP="00C7751C">
            <w:pPr>
              <w:pStyle w:val="CETBodytext"/>
              <w:ind w:right="-1"/>
              <w:jc w:val="center"/>
              <w:rPr>
                <w:rFonts w:cs="Arial"/>
                <w:szCs w:val="18"/>
                <w:lang w:val="en-GB" w:eastAsia="pt-PT"/>
              </w:rPr>
            </w:pPr>
            <w:r w:rsidRPr="00C7751C">
              <w:rPr>
                <w:rFonts w:cs="Arial"/>
                <w:szCs w:val="18"/>
              </w:rPr>
              <w:t>1.76 - 11.32</w:t>
            </w:r>
          </w:p>
        </w:tc>
        <w:tc>
          <w:tcPr>
            <w:tcW w:w="1417" w:type="dxa"/>
            <w:shd w:val="clear" w:color="auto" w:fill="FFFFFF"/>
            <w:vAlign w:val="center"/>
          </w:tcPr>
          <w:p w14:paraId="32C93D15" w14:textId="720AFE47" w:rsidR="00C7751C" w:rsidRPr="00C7751C" w:rsidRDefault="00C7751C" w:rsidP="00C7751C">
            <w:pPr>
              <w:pStyle w:val="CETBodytext"/>
              <w:ind w:right="-1"/>
              <w:jc w:val="center"/>
              <w:rPr>
                <w:rFonts w:cs="Arial"/>
                <w:szCs w:val="18"/>
                <w:lang w:val="en-GB" w:eastAsia="pt-PT"/>
              </w:rPr>
            </w:pPr>
            <w:r w:rsidRPr="00C7751C">
              <w:rPr>
                <w:rFonts w:cs="Arial"/>
                <w:szCs w:val="18"/>
              </w:rPr>
              <w:t>3.29</w:t>
            </w:r>
          </w:p>
        </w:tc>
        <w:tc>
          <w:tcPr>
            <w:tcW w:w="1418" w:type="dxa"/>
            <w:shd w:val="clear" w:color="auto" w:fill="FFFFFF"/>
            <w:vAlign w:val="center"/>
          </w:tcPr>
          <w:p w14:paraId="3395918D" w14:textId="1AAD80CE"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1.63 - 4.32</w:t>
            </w:r>
          </w:p>
        </w:tc>
      </w:tr>
      <w:tr w:rsidR="00C7751C" w:rsidRPr="00093100" w14:paraId="29BC3F8C" w14:textId="0BFD9C00" w:rsidTr="00C7751C">
        <w:tc>
          <w:tcPr>
            <w:tcW w:w="2629" w:type="dxa"/>
            <w:shd w:val="clear" w:color="auto" w:fill="FFFFFF"/>
            <w:vAlign w:val="center"/>
          </w:tcPr>
          <w:p w14:paraId="7E3CFF06" w14:textId="7B4F78DC" w:rsidR="00C7751C" w:rsidRPr="00C7751C" w:rsidRDefault="00C7751C" w:rsidP="00C7751C">
            <w:pPr>
              <w:pStyle w:val="CETBodytext"/>
              <w:ind w:right="-1"/>
              <w:jc w:val="center"/>
              <w:rPr>
                <w:rFonts w:cs="Arial"/>
                <w:szCs w:val="18"/>
                <w:lang w:val="en-GB" w:eastAsia="pt-PT"/>
              </w:rPr>
            </w:pPr>
            <w:r w:rsidRPr="00C7751C">
              <w:rPr>
                <w:rFonts w:cs="Arial"/>
                <w:szCs w:val="18"/>
              </w:rPr>
              <w:t>Suspended Solids (g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0510948B" w14:textId="531EC6F6" w:rsidR="00C7751C" w:rsidRPr="00C7751C" w:rsidRDefault="00C7751C" w:rsidP="00C7751C">
            <w:pPr>
              <w:pStyle w:val="CETBodytext"/>
              <w:ind w:right="-1"/>
              <w:jc w:val="center"/>
              <w:rPr>
                <w:rFonts w:cs="Arial"/>
                <w:szCs w:val="18"/>
                <w:lang w:val="en-GB" w:eastAsia="pt-PT"/>
              </w:rPr>
            </w:pPr>
            <w:r w:rsidRPr="00C7751C">
              <w:rPr>
                <w:rFonts w:cs="Arial"/>
                <w:szCs w:val="18"/>
              </w:rPr>
              <w:t>0.21</w:t>
            </w:r>
          </w:p>
        </w:tc>
        <w:tc>
          <w:tcPr>
            <w:tcW w:w="1560" w:type="dxa"/>
            <w:shd w:val="clear" w:color="auto" w:fill="FFFFFF"/>
            <w:vAlign w:val="center"/>
          </w:tcPr>
          <w:p w14:paraId="681F599B" w14:textId="1110662A" w:rsidR="00C7751C" w:rsidRPr="00C7751C" w:rsidRDefault="00C7751C" w:rsidP="00C7751C">
            <w:pPr>
              <w:pStyle w:val="CETBodytext"/>
              <w:ind w:right="-1"/>
              <w:jc w:val="center"/>
              <w:rPr>
                <w:rFonts w:cs="Arial"/>
                <w:szCs w:val="18"/>
                <w:lang w:val="en-GB" w:eastAsia="pt-PT"/>
              </w:rPr>
            </w:pPr>
            <w:r w:rsidRPr="00C7751C">
              <w:rPr>
                <w:rFonts w:cs="Arial"/>
                <w:szCs w:val="18"/>
              </w:rPr>
              <w:t>0.03 - 0.54</w:t>
            </w:r>
          </w:p>
        </w:tc>
        <w:tc>
          <w:tcPr>
            <w:tcW w:w="1417" w:type="dxa"/>
            <w:shd w:val="clear" w:color="auto" w:fill="FFFFFF"/>
            <w:vAlign w:val="center"/>
          </w:tcPr>
          <w:p w14:paraId="42964F00" w14:textId="5EB7B10B" w:rsidR="00C7751C" w:rsidRPr="00C7751C" w:rsidRDefault="00C7751C" w:rsidP="00C7751C">
            <w:pPr>
              <w:pStyle w:val="CETBodytext"/>
              <w:ind w:right="-1"/>
              <w:jc w:val="center"/>
              <w:rPr>
                <w:rFonts w:cs="Arial"/>
                <w:szCs w:val="18"/>
                <w:lang w:val="en-GB" w:eastAsia="pt-PT"/>
              </w:rPr>
            </w:pPr>
            <w:r w:rsidRPr="00C7751C">
              <w:rPr>
                <w:rFonts w:cs="Arial"/>
                <w:szCs w:val="18"/>
              </w:rPr>
              <w:t>0.26</w:t>
            </w:r>
          </w:p>
        </w:tc>
        <w:tc>
          <w:tcPr>
            <w:tcW w:w="1418" w:type="dxa"/>
            <w:shd w:val="clear" w:color="auto" w:fill="FFFFFF"/>
            <w:vAlign w:val="center"/>
          </w:tcPr>
          <w:p w14:paraId="1B56744F" w14:textId="2481F944"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0.06 - 0.34</w:t>
            </w:r>
          </w:p>
        </w:tc>
      </w:tr>
      <w:tr w:rsidR="00C7751C" w:rsidRPr="00093100" w14:paraId="66836FE2" w14:textId="5EB8B90A" w:rsidTr="00C7751C">
        <w:tc>
          <w:tcPr>
            <w:tcW w:w="2629" w:type="dxa"/>
            <w:shd w:val="clear" w:color="auto" w:fill="FFFFFF"/>
            <w:vAlign w:val="center"/>
          </w:tcPr>
          <w:p w14:paraId="6E82C77E" w14:textId="3FD5D799" w:rsidR="00C7751C" w:rsidRPr="00C7751C" w:rsidRDefault="00C7751C" w:rsidP="00C7751C">
            <w:pPr>
              <w:pStyle w:val="CETBodytext"/>
              <w:ind w:right="-1"/>
              <w:jc w:val="center"/>
              <w:rPr>
                <w:rFonts w:cs="Arial"/>
                <w:szCs w:val="18"/>
                <w:lang w:val="en-GB" w:eastAsia="pt-PT"/>
              </w:rPr>
            </w:pPr>
            <w:r w:rsidRPr="00C7751C">
              <w:rPr>
                <w:rFonts w:cs="Arial"/>
                <w:szCs w:val="18"/>
              </w:rPr>
              <w:t>Volatile Solids (g L</w:t>
            </w:r>
            <w:r w:rsidRPr="00C7751C">
              <w:rPr>
                <w:rFonts w:cs="Arial"/>
                <w:szCs w:val="18"/>
                <w:vertAlign w:val="superscript"/>
              </w:rPr>
              <w:t>-1</w:t>
            </w:r>
            <w:r w:rsidRPr="00C7751C">
              <w:rPr>
                <w:rFonts w:cs="Arial"/>
                <w:szCs w:val="18"/>
              </w:rPr>
              <w:t>)</w:t>
            </w:r>
          </w:p>
        </w:tc>
        <w:tc>
          <w:tcPr>
            <w:tcW w:w="1340" w:type="dxa"/>
            <w:shd w:val="clear" w:color="auto" w:fill="FFFFFF"/>
            <w:vAlign w:val="center"/>
          </w:tcPr>
          <w:p w14:paraId="2A2C2F00" w14:textId="2BB4D886" w:rsidR="00C7751C" w:rsidRPr="00C7751C" w:rsidRDefault="00C7751C" w:rsidP="00C7751C">
            <w:pPr>
              <w:pStyle w:val="CETBodytext"/>
              <w:ind w:right="-1"/>
              <w:jc w:val="center"/>
              <w:rPr>
                <w:rFonts w:cs="Arial"/>
                <w:szCs w:val="18"/>
                <w:lang w:val="en-GB" w:eastAsia="pt-PT"/>
              </w:rPr>
            </w:pPr>
            <w:r w:rsidRPr="00C7751C">
              <w:rPr>
                <w:rFonts w:cs="Arial"/>
                <w:szCs w:val="18"/>
              </w:rPr>
              <w:t>0.11</w:t>
            </w:r>
          </w:p>
        </w:tc>
        <w:tc>
          <w:tcPr>
            <w:tcW w:w="1560" w:type="dxa"/>
            <w:shd w:val="clear" w:color="auto" w:fill="FFFFFF"/>
            <w:vAlign w:val="center"/>
          </w:tcPr>
          <w:p w14:paraId="7C13E126" w14:textId="53824946" w:rsidR="00C7751C" w:rsidRPr="00C7751C" w:rsidRDefault="00C7751C" w:rsidP="00C7751C">
            <w:pPr>
              <w:pStyle w:val="CETBodytext"/>
              <w:ind w:right="-1"/>
              <w:jc w:val="center"/>
              <w:rPr>
                <w:rFonts w:cs="Arial"/>
                <w:szCs w:val="18"/>
                <w:lang w:val="en-GB" w:eastAsia="pt-PT"/>
              </w:rPr>
            </w:pPr>
            <w:r w:rsidRPr="00C7751C">
              <w:rPr>
                <w:rFonts w:cs="Arial"/>
                <w:szCs w:val="18"/>
              </w:rPr>
              <w:t>0.01 - 0.18</w:t>
            </w:r>
          </w:p>
        </w:tc>
        <w:tc>
          <w:tcPr>
            <w:tcW w:w="1417" w:type="dxa"/>
            <w:shd w:val="clear" w:color="auto" w:fill="FFFFFF"/>
            <w:vAlign w:val="center"/>
          </w:tcPr>
          <w:p w14:paraId="0A814D78" w14:textId="256F096B" w:rsidR="00C7751C" w:rsidRPr="00C7751C" w:rsidRDefault="00C7751C" w:rsidP="00C7751C">
            <w:pPr>
              <w:pStyle w:val="CETBodytext"/>
              <w:ind w:right="-1"/>
              <w:jc w:val="center"/>
              <w:rPr>
                <w:rFonts w:cs="Arial"/>
                <w:szCs w:val="18"/>
                <w:lang w:val="en-GB" w:eastAsia="pt-PT"/>
              </w:rPr>
            </w:pPr>
            <w:r w:rsidRPr="00C7751C">
              <w:rPr>
                <w:rFonts w:cs="Arial"/>
                <w:szCs w:val="18"/>
              </w:rPr>
              <w:t>0.13</w:t>
            </w:r>
          </w:p>
        </w:tc>
        <w:tc>
          <w:tcPr>
            <w:tcW w:w="1418" w:type="dxa"/>
            <w:shd w:val="clear" w:color="auto" w:fill="FFFFFF"/>
            <w:vAlign w:val="center"/>
          </w:tcPr>
          <w:p w14:paraId="6F9F9344" w14:textId="4D4864E0" w:rsidR="00C7751C" w:rsidRPr="00C7751C" w:rsidRDefault="00C7751C" w:rsidP="00C7751C">
            <w:pPr>
              <w:pStyle w:val="CETBodytext"/>
              <w:ind w:right="-1"/>
              <w:jc w:val="center"/>
              <w:rPr>
                <w:rFonts w:cs="Arial"/>
                <w:szCs w:val="18"/>
                <w:lang w:val="en-GB" w:eastAsia="pt-PT"/>
              </w:rPr>
            </w:pPr>
            <w:r w:rsidRPr="00C7751C">
              <w:rPr>
                <w:rFonts w:cs="Arial"/>
                <w:color w:val="000000"/>
                <w:szCs w:val="18"/>
              </w:rPr>
              <w:t>0.05 - 0.18</w:t>
            </w:r>
          </w:p>
        </w:tc>
      </w:tr>
    </w:tbl>
    <w:p w14:paraId="6550D433" w14:textId="77777777" w:rsidR="00DD4BDB" w:rsidRDefault="00DD4BDB" w:rsidP="00453E24">
      <w:pPr>
        <w:pStyle w:val="CETBodytext"/>
      </w:pPr>
    </w:p>
    <w:p w14:paraId="778A3637" w14:textId="27B4A79F" w:rsidR="00964486" w:rsidRDefault="00506927" w:rsidP="00453E24">
      <w:pPr>
        <w:pStyle w:val="CETBodytext"/>
      </w:pPr>
      <w:r>
        <w:t>The</w:t>
      </w:r>
      <w:r w:rsidR="00E46243">
        <w:t xml:space="preserve"> </w:t>
      </w:r>
      <w:r w:rsidR="007608CF">
        <w:t>overarching goal of this study</w:t>
      </w:r>
      <w:r w:rsidR="00E46243">
        <w:t xml:space="preserve"> was to </w:t>
      </w:r>
      <w:r w:rsidR="009768C4" w:rsidRPr="009768C4">
        <w:rPr>
          <w:lang w:val="en-GB"/>
        </w:rPr>
        <w:t xml:space="preserve">conduct a preliminary </w:t>
      </w:r>
      <w:r w:rsidR="00B6179F">
        <w:rPr>
          <w:lang w:val="en-GB"/>
        </w:rPr>
        <w:t>assessment</w:t>
      </w:r>
      <w:r w:rsidR="00B6179F">
        <w:t xml:space="preserve"> </w:t>
      </w:r>
      <w:r w:rsidR="009768C4">
        <w:t xml:space="preserve">and </w:t>
      </w:r>
      <w:r w:rsidR="00C051F8">
        <w:t xml:space="preserve">demonstrate </w:t>
      </w:r>
      <w:r w:rsidR="00D578D2">
        <w:t>the effectiveness of</w:t>
      </w:r>
      <w:r w:rsidR="00E46243">
        <w:t xml:space="preserve"> </w:t>
      </w:r>
      <w:r w:rsidR="00604927" w:rsidRPr="006C2A62">
        <w:t>anaerobic</w:t>
      </w:r>
      <w:r w:rsidR="00E46243" w:rsidRPr="006C2A62">
        <w:t xml:space="preserve"> </w:t>
      </w:r>
      <w:r w:rsidR="00D578D2">
        <w:t>processes</w:t>
      </w:r>
      <w:r w:rsidR="00E46243" w:rsidRPr="006C2A62">
        <w:t xml:space="preserve"> for treatment </w:t>
      </w:r>
      <w:r w:rsidR="00107790" w:rsidRPr="006C2A62">
        <w:t>of</w:t>
      </w:r>
      <w:r w:rsidR="00E46243" w:rsidRPr="006C2A62">
        <w:t xml:space="preserve"> this </w:t>
      </w:r>
      <w:r w:rsidR="002F12EB">
        <w:t>WW</w:t>
      </w:r>
      <w:r w:rsidR="00946D9A">
        <w:t xml:space="preserve"> with high variability in its composition</w:t>
      </w:r>
      <w:r w:rsidR="00E46243" w:rsidRPr="006C2A62">
        <w:t xml:space="preserve">, as </w:t>
      </w:r>
      <w:r w:rsidR="00B6179F">
        <w:t xml:space="preserve">it </w:t>
      </w:r>
      <w:r w:rsidR="00E46243" w:rsidRPr="006C2A62">
        <w:t>has be</w:t>
      </w:r>
      <w:r w:rsidR="00107790" w:rsidRPr="006C2A62">
        <w:t>e</w:t>
      </w:r>
      <w:r w:rsidR="00E46243" w:rsidRPr="006C2A62">
        <w:t xml:space="preserve">n </w:t>
      </w:r>
      <w:r w:rsidR="00946D9A">
        <w:t>proposed</w:t>
      </w:r>
      <w:r w:rsidR="00946D9A" w:rsidRPr="006C2A62">
        <w:t xml:space="preserve"> </w:t>
      </w:r>
      <w:r w:rsidR="00E46243" w:rsidRPr="006C2A62">
        <w:t xml:space="preserve">in previous </w:t>
      </w:r>
      <w:r w:rsidR="00946D9A">
        <w:t>studies</w:t>
      </w:r>
      <w:r w:rsidR="00946D9A" w:rsidRPr="006C2A62">
        <w:t xml:space="preserve"> </w:t>
      </w:r>
      <w:r w:rsidR="00E46243" w:rsidRPr="006C2A62">
        <w:t>(</w:t>
      </w:r>
      <w:proofErr w:type="spellStart"/>
      <w:r w:rsidR="006B3A83" w:rsidRPr="006C2A62">
        <w:t>Syutsubo</w:t>
      </w:r>
      <w:proofErr w:type="spellEnd"/>
      <w:r w:rsidR="006B3A83" w:rsidRPr="006C2A62">
        <w:t xml:space="preserve"> et al., 2021; </w:t>
      </w:r>
      <w:proofErr w:type="spellStart"/>
      <w:r w:rsidR="006B3A83" w:rsidRPr="006C2A62">
        <w:t>Lv</w:t>
      </w:r>
      <w:proofErr w:type="spellEnd"/>
      <w:r w:rsidR="006B3A83" w:rsidRPr="006C2A62">
        <w:t xml:space="preserve"> et al., 2023</w:t>
      </w:r>
      <w:r w:rsidR="00E46243" w:rsidRPr="006C2A62">
        <w:t>)</w:t>
      </w:r>
      <w:r w:rsidR="00107790" w:rsidRPr="006C2A62">
        <w:t xml:space="preserve">. </w:t>
      </w:r>
      <w:r w:rsidR="00234C56" w:rsidRPr="00D814FE">
        <w:t xml:space="preserve">An analysis of the wastewater (WW) characteristics reveals </w:t>
      </w:r>
      <w:r w:rsidR="007168D0" w:rsidRPr="00D814FE">
        <w:t>significant</w:t>
      </w:r>
      <w:r w:rsidR="00234C56" w:rsidRPr="00D814FE">
        <w:t xml:space="preserve"> biodegradable content, along with macronutrients such as nitrogen (N) and phosphorus (P), which support microbial metabolism. Additionally, most of the solids and organic compounds are dissolved.</w:t>
      </w:r>
      <w:r w:rsidR="00D33EAF">
        <w:t xml:space="preserve"> </w:t>
      </w:r>
      <w:r w:rsidR="00234C56">
        <w:t>Considering</w:t>
      </w:r>
      <w:r w:rsidR="00107790" w:rsidRPr="006C2A62">
        <w:t xml:space="preserve"> that </w:t>
      </w:r>
      <w:r w:rsidR="00604927" w:rsidRPr="006C2A62">
        <w:t>these favorable conditions</w:t>
      </w:r>
      <w:r w:rsidR="007E0AB7">
        <w:t xml:space="preserve"> for anaerobic processes</w:t>
      </w:r>
      <w:r w:rsidR="00107790" w:rsidRPr="006C2A62">
        <w:t xml:space="preserve"> are not always found for this type of </w:t>
      </w:r>
      <w:r w:rsidR="002F12EB">
        <w:t>WW</w:t>
      </w:r>
      <w:r w:rsidR="00107790" w:rsidRPr="006C2A62">
        <w:t xml:space="preserve"> </w:t>
      </w:r>
      <w:r w:rsidR="006B3A83" w:rsidRPr="006C2A62">
        <w:t>(Zieliński et al., 2022</w:t>
      </w:r>
      <w:r w:rsidR="00917F44" w:rsidRPr="006C2A62">
        <w:t>)</w:t>
      </w:r>
      <w:r w:rsidR="00917F44">
        <w:t>,</w:t>
      </w:r>
      <w:r w:rsidR="00107790" w:rsidRPr="006C2A62">
        <w:t xml:space="preserve"> </w:t>
      </w:r>
      <w:r w:rsidR="00C051F8">
        <w:t xml:space="preserve">it </w:t>
      </w:r>
      <w:r w:rsidR="00107790" w:rsidRPr="006C2A62">
        <w:t xml:space="preserve">is essential to emphasize the advantages of the application of </w:t>
      </w:r>
      <w:r w:rsidR="00896CC6">
        <w:t xml:space="preserve">a </w:t>
      </w:r>
      <w:r w:rsidR="00107790" w:rsidRPr="006C2A62">
        <w:t xml:space="preserve">cost-effective method capable of </w:t>
      </w:r>
      <w:r w:rsidR="002F12EB">
        <w:t>WW</w:t>
      </w:r>
      <w:r w:rsidR="00107790" w:rsidRPr="006C2A62">
        <w:t xml:space="preserve"> treatment</w:t>
      </w:r>
      <w:r w:rsidR="00596C69">
        <w:t xml:space="preserve"> that enables </w:t>
      </w:r>
      <w:r w:rsidR="00107790">
        <w:t>energy and water recovery.</w:t>
      </w:r>
      <w:r w:rsidR="00E46243">
        <w:t xml:space="preserve"> </w:t>
      </w:r>
      <w:r w:rsidR="00234C56" w:rsidRPr="00D814FE">
        <w:t>However, the presence of highly recalcitrant and inhibitory compounds may pose challenges for microbial activity</w:t>
      </w:r>
      <w:r w:rsidR="00383C3C" w:rsidRPr="00383C3C">
        <w:t xml:space="preserve"> such as fluori</w:t>
      </w:r>
      <w:r w:rsidR="003453DC">
        <w:t>d</w:t>
      </w:r>
      <w:r w:rsidR="00383C3C" w:rsidRPr="00383C3C">
        <w:t>e</w:t>
      </w:r>
      <w:r w:rsidR="003453DC">
        <w:t xml:space="preserve"> (</w:t>
      </w:r>
      <w:r w:rsidR="003453DC" w:rsidRPr="00D77508">
        <w:t>Ochoa-Herrera</w:t>
      </w:r>
      <w:r w:rsidR="003453DC">
        <w:t xml:space="preserve"> et al., 2009)</w:t>
      </w:r>
      <w:r w:rsidR="00383C3C" w:rsidRPr="00383C3C">
        <w:t>, copper</w:t>
      </w:r>
      <w:r w:rsidR="003453DC">
        <w:t xml:space="preserve"> </w:t>
      </w:r>
      <w:r w:rsidR="003453DC" w:rsidRPr="006C2A62">
        <w:t>(Otero-González et al., 2014)</w:t>
      </w:r>
      <w:r w:rsidR="00383C3C" w:rsidRPr="00383C3C">
        <w:t>, surfactants</w:t>
      </w:r>
      <w:r w:rsidR="003453DC">
        <w:t xml:space="preserve"> (Hu et al., 2012)</w:t>
      </w:r>
      <w:r w:rsidR="00383C3C" w:rsidRPr="00383C3C">
        <w:t xml:space="preserve"> and TMAH itself</w:t>
      </w:r>
      <w:r w:rsidR="003453DC">
        <w:t xml:space="preserve"> </w:t>
      </w:r>
      <w:r w:rsidR="003453DC" w:rsidRPr="006C2A62">
        <w:t>(</w:t>
      </w:r>
      <w:proofErr w:type="spellStart"/>
      <w:r w:rsidR="003453DC" w:rsidRPr="006C2A62">
        <w:t>Lv</w:t>
      </w:r>
      <w:proofErr w:type="spellEnd"/>
      <w:r w:rsidR="003453DC" w:rsidRPr="006C2A62">
        <w:t xml:space="preserve"> et al., 2023</w:t>
      </w:r>
      <w:r w:rsidR="00917F44" w:rsidRPr="006C2A62">
        <w:t>)</w:t>
      </w:r>
      <w:r w:rsidR="00917F44" w:rsidRPr="00383C3C">
        <w:t>,</w:t>
      </w:r>
      <w:r w:rsidR="00917F44">
        <w:t xml:space="preserve"> potentially</w:t>
      </w:r>
      <w:r w:rsidR="00896CC6">
        <w:t xml:space="preserve"> leading to </w:t>
      </w:r>
      <w:r w:rsidR="00383C3C" w:rsidRPr="00383C3C">
        <w:t xml:space="preserve">metabolism </w:t>
      </w:r>
      <w:r w:rsidR="00896CC6">
        <w:t xml:space="preserve">disruption </w:t>
      </w:r>
      <w:r w:rsidR="00C051F8">
        <w:t>but</w:t>
      </w:r>
      <w:r w:rsidR="00C051F8" w:rsidRPr="00383C3C">
        <w:t xml:space="preserve"> </w:t>
      </w:r>
      <w:r w:rsidR="00383C3C" w:rsidRPr="00383C3C">
        <w:t xml:space="preserve">adaptation of the anaerobic </w:t>
      </w:r>
      <w:r w:rsidR="00BB5DAE">
        <w:t>micro</w:t>
      </w:r>
      <w:r w:rsidR="00383C3C" w:rsidRPr="00383C3C">
        <w:t>biota is expected.</w:t>
      </w:r>
      <w:r w:rsidR="00383C3C">
        <w:t xml:space="preserve"> </w:t>
      </w:r>
      <w:r w:rsidR="00107790">
        <w:t xml:space="preserve">Table 2 </w:t>
      </w:r>
      <w:r w:rsidR="00BB5DAE">
        <w:t>depicts</w:t>
      </w:r>
      <w:r w:rsidR="00107790">
        <w:t xml:space="preserve"> the results of the </w:t>
      </w:r>
      <w:r w:rsidR="00226EEA">
        <w:t>treated</w:t>
      </w:r>
      <w:r w:rsidR="00107790">
        <w:t xml:space="preserve"> effluent after 13</w:t>
      </w:r>
      <w:r w:rsidR="0050781B">
        <w:t>2</w:t>
      </w:r>
      <w:r w:rsidR="00107790">
        <w:t xml:space="preserve"> days of operation.</w:t>
      </w:r>
    </w:p>
    <w:p w14:paraId="0212B852" w14:textId="1BD21290" w:rsidR="00964486" w:rsidRPr="00635E78" w:rsidRDefault="00964486" w:rsidP="00964486">
      <w:pPr>
        <w:pStyle w:val="CETTabletitle"/>
        <w:rPr>
          <w:lang w:val="en-US"/>
        </w:rPr>
      </w:pPr>
      <w:r w:rsidRPr="00635E78">
        <w:rPr>
          <w:lang w:val="en-US"/>
        </w:rPr>
        <w:t xml:space="preserve">Table </w:t>
      </w:r>
      <w:r w:rsidR="00D30B89" w:rsidRPr="00635E78">
        <w:rPr>
          <w:lang w:val="en-US"/>
        </w:rPr>
        <w:t>2</w:t>
      </w:r>
      <w:r w:rsidRPr="00635E78">
        <w:rPr>
          <w:lang w:val="en-US"/>
        </w:rPr>
        <w:t xml:space="preserve">: </w:t>
      </w:r>
      <w:r w:rsidR="00226EEA">
        <w:rPr>
          <w:lang w:val="en-US"/>
        </w:rPr>
        <w:t>Mean</w:t>
      </w:r>
      <w:r w:rsidR="00226EEA" w:rsidRPr="00635E78">
        <w:rPr>
          <w:lang w:val="en-US"/>
        </w:rPr>
        <w:t xml:space="preserve"> </w:t>
      </w:r>
      <w:r w:rsidR="00635E78" w:rsidRPr="00635E78">
        <w:rPr>
          <w:lang w:val="en-US"/>
        </w:rPr>
        <w:t>values ​​</w:t>
      </w:r>
      <w:r w:rsidR="00226EEA">
        <w:rPr>
          <w:lang w:val="en-US"/>
        </w:rPr>
        <w:t>of</w:t>
      </w:r>
      <w:r w:rsidR="00226EEA" w:rsidRPr="00635E78">
        <w:rPr>
          <w:lang w:val="en-US"/>
        </w:rPr>
        <w:t xml:space="preserve"> </w:t>
      </w:r>
      <w:r w:rsidR="00635E78" w:rsidRPr="00635E78">
        <w:rPr>
          <w:lang w:val="en-US"/>
        </w:rPr>
        <w:t xml:space="preserve">anaerobic digestion treatment </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134"/>
        <w:gridCol w:w="1560"/>
        <w:gridCol w:w="1417"/>
        <w:gridCol w:w="1559"/>
      </w:tblGrid>
      <w:tr w:rsidR="00A97BEA" w:rsidRPr="00093100" w14:paraId="12B7ABC9" w14:textId="77777777" w:rsidTr="00A97BEA">
        <w:tc>
          <w:tcPr>
            <w:tcW w:w="2835" w:type="dxa"/>
            <w:tcBorders>
              <w:top w:val="single" w:sz="12" w:space="0" w:color="008000"/>
              <w:bottom w:val="single" w:sz="6" w:space="0" w:color="008000"/>
            </w:tcBorders>
            <w:shd w:val="clear" w:color="auto" w:fill="FFFFFF"/>
            <w:vAlign w:val="center"/>
          </w:tcPr>
          <w:p w14:paraId="2335D99D" w14:textId="6DB3F907" w:rsidR="00A97BEA" w:rsidRPr="00C7751C" w:rsidRDefault="00A97BEA" w:rsidP="00A97BEA">
            <w:pPr>
              <w:pStyle w:val="CETBodytext"/>
              <w:jc w:val="center"/>
              <w:rPr>
                <w:rFonts w:cs="Arial"/>
                <w:szCs w:val="18"/>
                <w:lang w:eastAsia="pt-PT"/>
              </w:rPr>
            </w:pPr>
            <w:r w:rsidRPr="00C7751C">
              <w:rPr>
                <w:rFonts w:cs="Arial"/>
                <w:szCs w:val="18"/>
              </w:rPr>
              <w:t>Parameters</w:t>
            </w:r>
          </w:p>
        </w:tc>
        <w:tc>
          <w:tcPr>
            <w:tcW w:w="1134" w:type="dxa"/>
            <w:tcBorders>
              <w:top w:val="single" w:sz="12" w:space="0" w:color="008000"/>
              <w:bottom w:val="single" w:sz="6" w:space="0" w:color="008000"/>
            </w:tcBorders>
            <w:shd w:val="clear" w:color="auto" w:fill="FFFFFF"/>
            <w:vAlign w:val="center"/>
          </w:tcPr>
          <w:p w14:paraId="63EA1BE0" w14:textId="4835E75A" w:rsidR="00A97BEA" w:rsidRPr="00A97BEA" w:rsidRDefault="00A97BEA" w:rsidP="00A97BEA">
            <w:pPr>
              <w:pStyle w:val="CETBodytext"/>
              <w:jc w:val="center"/>
              <w:rPr>
                <w:rFonts w:cs="Arial"/>
                <w:szCs w:val="18"/>
                <w:lang w:val="en-GB" w:eastAsia="pt-PT"/>
              </w:rPr>
            </w:pPr>
            <w:r w:rsidRPr="00A97BEA">
              <w:rPr>
                <w:rFonts w:cs="Arial"/>
                <w:szCs w:val="18"/>
              </w:rPr>
              <w:t>Diluted Acids tank (E1)</w:t>
            </w:r>
          </w:p>
        </w:tc>
        <w:tc>
          <w:tcPr>
            <w:tcW w:w="1560" w:type="dxa"/>
            <w:tcBorders>
              <w:top w:val="single" w:sz="12" w:space="0" w:color="008000"/>
              <w:bottom w:val="single" w:sz="6" w:space="0" w:color="008000"/>
            </w:tcBorders>
            <w:shd w:val="clear" w:color="auto" w:fill="FFFFFF"/>
            <w:vAlign w:val="center"/>
          </w:tcPr>
          <w:p w14:paraId="273C47EE" w14:textId="30E43282" w:rsidR="00A97BEA" w:rsidRPr="00A97BEA" w:rsidRDefault="00A97BEA" w:rsidP="00A97BEA">
            <w:pPr>
              <w:pStyle w:val="CETBodytext"/>
              <w:jc w:val="center"/>
              <w:rPr>
                <w:rFonts w:cs="Arial"/>
                <w:szCs w:val="18"/>
                <w:lang w:val="en-GB" w:eastAsia="pt-PT"/>
              </w:rPr>
            </w:pPr>
            <w:r w:rsidRPr="00A97BEA">
              <w:rPr>
                <w:rFonts w:cs="Arial"/>
                <w:szCs w:val="18"/>
              </w:rPr>
              <w:t>Lowest - Highest values</w:t>
            </w:r>
          </w:p>
        </w:tc>
        <w:tc>
          <w:tcPr>
            <w:tcW w:w="1417" w:type="dxa"/>
            <w:tcBorders>
              <w:top w:val="single" w:sz="12" w:space="0" w:color="008000"/>
              <w:bottom w:val="single" w:sz="6" w:space="0" w:color="008000"/>
            </w:tcBorders>
            <w:shd w:val="clear" w:color="auto" w:fill="FFFFFF"/>
            <w:vAlign w:val="center"/>
          </w:tcPr>
          <w:p w14:paraId="4EA029FC" w14:textId="68798F46" w:rsidR="00A97BEA" w:rsidRPr="00A97BEA" w:rsidRDefault="00A97BEA" w:rsidP="00A97BEA">
            <w:pPr>
              <w:pStyle w:val="CETBodytext"/>
              <w:jc w:val="center"/>
              <w:rPr>
                <w:rFonts w:cs="Arial"/>
                <w:szCs w:val="18"/>
                <w:lang w:val="en-GB" w:eastAsia="pt-PT"/>
              </w:rPr>
            </w:pPr>
            <w:r w:rsidRPr="00A97BEA">
              <w:rPr>
                <w:rFonts w:cs="Arial"/>
                <w:szCs w:val="18"/>
              </w:rPr>
              <w:t>Effluent Mixture tank (E2)</w:t>
            </w:r>
          </w:p>
        </w:tc>
        <w:tc>
          <w:tcPr>
            <w:tcW w:w="1559" w:type="dxa"/>
            <w:tcBorders>
              <w:top w:val="single" w:sz="12" w:space="0" w:color="008000"/>
              <w:bottom w:val="single" w:sz="6" w:space="0" w:color="008000"/>
            </w:tcBorders>
            <w:shd w:val="clear" w:color="auto" w:fill="FFFFFF"/>
            <w:vAlign w:val="center"/>
          </w:tcPr>
          <w:p w14:paraId="71778F0C" w14:textId="63AD8623" w:rsidR="00A97BEA" w:rsidRPr="00A97BEA" w:rsidRDefault="00A97BEA" w:rsidP="00A97BEA">
            <w:pPr>
              <w:pStyle w:val="CETBodytext"/>
              <w:jc w:val="center"/>
              <w:rPr>
                <w:rFonts w:cs="Arial"/>
                <w:szCs w:val="18"/>
                <w:lang w:val="en-GB" w:eastAsia="pt-PT"/>
              </w:rPr>
            </w:pPr>
            <w:r w:rsidRPr="00A97BEA">
              <w:rPr>
                <w:rFonts w:cs="Arial"/>
                <w:szCs w:val="18"/>
              </w:rPr>
              <w:t>Lowest - Highest values</w:t>
            </w:r>
          </w:p>
        </w:tc>
      </w:tr>
      <w:tr w:rsidR="00A97BEA" w:rsidRPr="00093100" w14:paraId="6C39D76F" w14:textId="77777777" w:rsidTr="00A97BEA">
        <w:tc>
          <w:tcPr>
            <w:tcW w:w="2835" w:type="dxa"/>
            <w:shd w:val="clear" w:color="auto" w:fill="FFFFFF"/>
            <w:vAlign w:val="center"/>
          </w:tcPr>
          <w:p w14:paraId="2B45EB34" w14:textId="7CD24054" w:rsidR="00A97BEA" w:rsidRPr="00A97BEA" w:rsidRDefault="00A97BEA" w:rsidP="00A97BEA">
            <w:pPr>
              <w:pStyle w:val="CETBodytext"/>
              <w:jc w:val="center"/>
              <w:rPr>
                <w:rFonts w:cs="Arial"/>
                <w:szCs w:val="18"/>
                <w:lang w:val="en-GB"/>
              </w:rPr>
            </w:pPr>
            <w:r w:rsidRPr="00A97BEA">
              <w:rPr>
                <w:rFonts w:cs="Arial"/>
                <w:szCs w:val="18"/>
              </w:rPr>
              <w:t>Feed COD (mgO</w:t>
            </w:r>
            <w:r w:rsidRPr="00A97BEA">
              <w:rPr>
                <w:rFonts w:cs="Arial"/>
                <w:szCs w:val="18"/>
                <w:vertAlign w:val="subscript"/>
              </w:rPr>
              <w:t>2</w:t>
            </w:r>
            <w:r w:rsidRPr="00A97BEA">
              <w:rPr>
                <w:rFonts w:cs="Arial"/>
                <w:szCs w:val="18"/>
              </w:rPr>
              <w:t xml:space="preserve"> L</w:t>
            </w:r>
            <w:r w:rsidRPr="00A97BEA">
              <w:rPr>
                <w:rFonts w:cs="Arial"/>
                <w:szCs w:val="18"/>
                <w:vertAlign w:val="superscript"/>
              </w:rPr>
              <w:t>-</w:t>
            </w:r>
            <w:proofErr w:type="gramStart"/>
            <w:r w:rsidRPr="00A97BEA">
              <w:rPr>
                <w:rFonts w:cs="Arial"/>
                <w:szCs w:val="18"/>
                <w:vertAlign w:val="superscript"/>
              </w:rPr>
              <w:t>1</w:t>
            </w:r>
            <w:r w:rsidRPr="00A97BEA">
              <w:rPr>
                <w:rFonts w:cs="Arial"/>
                <w:szCs w:val="18"/>
              </w:rPr>
              <w:t>)</w:t>
            </w:r>
            <w:r w:rsidRPr="00A97BEA">
              <w:rPr>
                <w:rFonts w:cs="Arial"/>
                <w:szCs w:val="18"/>
                <w:vertAlign w:val="superscript"/>
              </w:rPr>
              <w:t>a</w:t>
            </w:r>
            <w:proofErr w:type="gramEnd"/>
          </w:p>
        </w:tc>
        <w:tc>
          <w:tcPr>
            <w:tcW w:w="1134" w:type="dxa"/>
            <w:shd w:val="clear" w:color="auto" w:fill="FFFFFF"/>
            <w:vAlign w:val="center"/>
          </w:tcPr>
          <w:p w14:paraId="345CF1AC" w14:textId="694F7903" w:rsidR="00A97BEA" w:rsidRPr="00A97BEA" w:rsidRDefault="00A97BEA" w:rsidP="00A97BEA">
            <w:pPr>
              <w:pStyle w:val="CETBodytext"/>
              <w:jc w:val="center"/>
              <w:rPr>
                <w:rFonts w:cs="Arial"/>
                <w:szCs w:val="18"/>
                <w:lang w:val="en-GB"/>
              </w:rPr>
            </w:pPr>
            <w:r w:rsidRPr="00A97BEA">
              <w:rPr>
                <w:rFonts w:cs="Arial"/>
                <w:szCs w:val="18"/>
              </w:rPr>
              <w:t>1,113.9</w:t>
            </w:r>
            <w:r w:rsidR="002F6D8B">
              <w:rPr>
                <w:rFonts w:cs="Arial"/>
                <w:szCs w:val="18"/>
              </w:rPr>
              <w:t>0</w:t>
            </w:r>
          </w:p>
        </w:tc>
        <w:tc>
          <w:tcPr>
            <w:tcW w:w="1560" w:type="dxa"/>
            <w:shd w:val="clear" w:color="auto" w:fill="FFFFFF"/>
            <w:vAlign w:val="center"/>
          </w:tcPr>
          <w:p w14:paraId="6CB02DC5" w14:textId="57FEB795" w:rsidR="00A97BEA" w:rsidRPr="00A97BEA" w:rsidRDefault="00A97BEA" w:rsidP="00A97BEA">
            <w:pPr>
              <w:pStyle w:val="CETBodytext"/>
              <w:jc w:val="center"/>
              <w:rPr>
                <w:rFonts w:cs="Arial"/>
                <w:szCs w:val="18"/>
                <w:lang w:val="en-GB"/>
              </w:rPr>
            </w:pPr>
            <w:r w:rsidRPr="00A97BEA">
              <w:rPr>
                <w:rFonts w:cs="Arial"/>
                <w:color w:val="000000"/>
                <w:szCs w:val="18"/>
              </w:rPr>
              <w:t>837.6</w:t>
            </w:r>
            <w:r w:rsidR="002F6D8B">
              <w:rPr>
                <w:rFonts w:cs="Arial"/>
                <w:color w:val="000000"/>
                <w:szCs w:val="18"/>
              </w:rPr>
              <w:t>0</w:t>
            </w:r>
            <w:r w:rsidRPr="00A97BEA">
              <w:rPr>
                <w:rFonts w:cs="Arial"/>
                <w:color w:val="000000"/>
                <w:szCs w:val="18"/>
              </w:rPr>
              <w:t xml:space="preserve"> - 1,390.7</w:t>
            </w:r>
            <w:r w:rsidR="002F6D8B">
              <w:rPr>
                <w:rFonts w:cs="Arial"/>
                <w:color w:val="000000"/>
                <w:szCs w:val="18"/>
              </w:rPr>
              <w:t>0</w:t>
            </w:r>
          </w:p>
        </w:tc>
        <w:tc>
          <w:tcPr>
            <w:tcW w:w="1417" w:type="dxa"/>
            <w:shd w:val="clear" w:color="auto" w:fill="FFFFFF"/>
            <w:vAlign w:val="center"/>
          </w:tcPr>
          <w:p w14:paraId="3DD8DA0C" w14:textId="57CC910D" w:rsidR="00A97BEA" w:rsidRPr="00A97BEA" w:rsidRDefault="00A97BEA" w:rsidP="00A97BEA">
            <w:pPr>
              <w:pStyle w:val="CETBodytext"/>
              <w:jc w:val="center"/>
              <w:rPr>
                <w:rFonts w:cs="Arial"/>
                <w:szCs w:val="18"/>
                <w:lang w:val="en-GB" w:eastAsia="pt-PT"/>
              </w:rPr>
            </w:pPr>
            <w:r w:rsidRPr="00A97BEA">
              <w:rPr>
                <w:rFonts w:cs="Arial"/>
                <w:szCs w:val="18"/>
              </w:rPr>
              <w:t>1,211.7</w:t>
            </w:r>
            <w:r w:rsidR="002F6D8B">
              <w:rPr>
                <w:rFonts w:cs="Arial"/>
                <w:szCs w:val="18"/>
              </w:rPr>
              <w:t>0</w:t>
            </w:r>
          </w:p>
        </w:tc>
        <w:tc>
          <w:tcPr>
            <w:tcW w:w="1559" w:type="dxa"/>
            <w:shd w:val="clear" w:color="auto" w:fill="FFFFFF"/>
            <w:vAlign w:val="center"/>
          </w:tcPr>
          <w:p w14:paraId="4331E563" w14:textId="50C590E8" w:rsidR="00A97BEA" w:rsidRPr="00A97BEA" w:rsidRDefault="00A97BEA" w:rsidP="00A97BEA">
            <w:pPr>
              <w:pStyle w:val="CETBodytext"/>
              <w:jc w:val="center"/>
              <w:rPr>
                <w:rFonts w:cs="Arial"/>
                <w:szCs w:val="18"/>
                <w:lang w:val="en-GB" w:eastAsia="pt-PT"/>
              </w:rPr>
            </w:pPr>
            <w:r w:rsidRPr="00A97BEA">
              <w:rPr>
                <w:rFonts w:cs="Arial"/>
                <w:color w:val="000000"/>
                <w:szCs w:val="18"/>
              </w:rPr>
              <w:t>901.3</w:t>
            </w:r>
            <w:r w:rsidR="002F6D8B">
              <w:rPr>
                <w:rFonts w:cs="Arial"/>
                <w:color w:val="000000"/>
                <w:szCs w:val="18"/>
              </w:rPr>
              <w:t>0</w:t>
            </w:r>
            <w:r w:rsidRPr="00A97BEA">
              <w:rPr>
                <w:rFonts w:cs="Arial"/>
                <w:color w:val="000000"/>
                <w:szCs w:val="18"/>
              </w:rPr>
              <w:t xml:space="preserve"> - 1,433.2</w:t>
            </w:r>
            <w:r w:rsidR="002F6D8B">
              <w:rPr>
                <w:rFonts w:cs="Arial"/>
                <w:color w:val="000000"/>
                <w:szCs w:val="18"/>
              </w:rPr>
              <w:t>0</w:t>
            </w:r>
          </w:p>
        </w:tc>
      </w:tr>
      <w:tr w:rsidR="00A97BEA" w:rsidRPr="00093100" w14:paraId="515DD236" w14:textId="77777777" w:rsidTr="00A97BEA">
        <w:tc>
          <w:tcPr>
            <w:tcW w:w="2835" w:type="dxa"/>
            <w:shd w:val="clear" w:color="auto" w:fill="FFFFFF"/>
            <w:vAlign w:val="center"/>
          </w:tcPr>
          <w:p w14:paraId="020AC0AD" w14:textId="41BFD7F8" w:rsidR="00A97BEA" w:rsidRPr="00A97BEA" w:rsidRDefault="00A97BEA" w:rsidP="00A97BEA">
            <w:pPr>
              <w:pStyle w:val="CETBodytext"/>
              <w:ind w:right="-1"/>
              <w:jc w:val="center"/>
              <w:rPr>
                <w:rFonts w:cs="Arial"/>
                <w:szCs w:val="18"/>
                <w:lang w:val="pt-PT"/>
              </w:rPr>
            </w:pPr>
            <w:r w:rsidRPr="00A97BEA">
              <w:rPr>
                <w:rFonts w:cs="Arial"/>
                <w:szCs w:val="18"/>
                <w:lang w:val="pt-PT"/>
              </w:rPr>
              <w:t>Final COD (mgO</w:t>
            </w:r>
            <w:r w:rsidRPr="00A97BEA">
              <w:rPr>
                <w:rFonts w:cs="Arial"/>
                <w:szCs w:val="18"/>
                <w:vertAlign w:val="subscript"/>
                <w:lang w:val="pt-PT"/>
              </w:rPr>
              <w:t>2</w:t>
            </w:r>
            <w:r w:rsidRPr="00A97BEA">
              <w:rPr>
                <w:rFonts w:cs="Arial"/>
                <w:szCs w:val="18"/>
                <w:lang w:val="pt-PT"/>
              </w:rPr>
              <w:t xml:space="preserve"> L</w:t>
            </w:r>
            <w:r w:rsidRPr="00A97BEA">
              <w:rPr>
                <w:rFonts w:cs="Arial"/>
                <w:szCs w:val="18"/>
                <w:vertAlign w:val="superscript"/>
                <w:lang w:val="pt-PT"/>
              </w:rPr>
              <w:t>-</w:t>
            </w:r>
            <w:proofErr w:type="gramStart"/>
            <w:r w:rsidRPr="00A97BEA">
              <w:rPr>
                <w:rFonts w:cs="Arial"/>
                <w:szCs w:val="18"/>
                <w:vertAlign w:val="superscript"/>
                <w:lang w:val="pt-PT"/>
              </w:rPr>
              <w:t>1</w:t>
            </w:r>
            <w:r w:rsidRPr="00A97BEA">
              <w:rPr>
                <w:rFonts w:cs="Arial"/>
                <w:szCs w:val="18"/>
                <w:lang w:val="pt-PT"/>
              </w:rPr>
              <w:t>)</w:t>
            </w:r>
            <w:r w:rsidRPr="00A97BEA">
              <w:rPr>
                <w:rFonts w:cs="Arial"/>
                <w:szCs w:val="18"/>
                <w:vertAlign w:val="superscript"/>
                <w:lang w:val="pt-PT"/>
              </w:rPr>
              <w:t>a</w:t>
            </w:r>
            <w:proofErr w:type="gramEnd"/>
          </w:p>
        </w:tc>
        <w:tc>
          <w:tcPr>
            <w:tcW w:w="1134" w:type="dxa"/>
            <w:shd w:val="clear" w:color="auto" w:fill="FFFFFF"/>
            <w:vAlign w:val="center"/>
          </w:tcPr>
          <w:p w14:paraId="718E705B" w14:textId="36178184" w:rsidR="00A97BEA" w:rsidRPr="00A97BEA" w:rsidRDefault="00A97BEA" w:rsidP="00A97BEA">
            <w:pPr>
              <w:pStyle w:val="CETBodytext"/>
              <w:ind w:right="-1"/>
              <w:jc w:val="center"/>
              <w:rPr>
                <w:rFonts w:cs="Arial"/>
                <w:szCs w:val="18"/>
                <w:lang w:val="en-GB"/>
              </w:rPr>
            </w:pPr>
            <w:r w:rsidRPr="00A97BEA">
              <w:rPr>
                <w:rFonts w:cs="Arial"/>
                <w:szCs w:val="18"/>
              </w:rPr>
              <w:t>230.4</w:t>
            </w:r>
            <w:r w:rsidR="002F6D8B">
              <w:rPr>
                <w:rFonts w:cs="Arial"/>
                <w:szCs w:val="18"/>
              </w:rPr>
              <w:t>0</w:t>
            </w:r>
          </w:p>
        </w:tc>
        <w:tc>
          <w:tcPr>
            <w:tcW w:w="1560" w:type="dxa"/>
            <w:shd w:val="clear" w:color="auto" w:fill="FFFFFF"/>
            <w:vAlign w:val="center"/>
          </w:tcPr>
          <w:p w14:paraId="00794628" w14:textId="2A02C245" w:rsidR="00A97BEA" w:rsidRPr="00A97BEA" w:rsidRDefault="00A97BEA" w:rsidP="00A97BEA">
            <w:pPr>
              <w:pStyle w:val="CETBodytext"/>
              <w:ind w:right="-1"/>
              <w:jc w:val="center"/>
              <w:rPr>
                <w:rFonts w:cs="Arial"/>
                <w:szCs w:val="18"/>
                <w:lang w:val="en-GB"/>
              </w:rPr>
            </w:pPr>
            <w:r w:rsidRPr="00A97BEA">
              <w:rPr>
                <w:rFonts w:cs="Arial"/>
                <w:color w:val="000000"/>
                <w:szCs w:val="18"/>
              </w:rPr>
              <w:t>130.1 - 393.8</w:t>
            </w:r>
            <w:r w:rsidR="002F6D8B">
              <w:rPr>
                <w:rFonts w:cs="Arial"/>
                <w:color w:val="000000"/>
                <w:szCs w:val="18"/>
              </w:rPr>
              <w:t>0</w:t>
            </w:r>
          </w:p>
        </w:tc>
        <w:tc>
          <w:tcPr>
            <w:tcW w:w="1417" w:type="dxa"/>
            <w:shd w:val="clear" w:color="auto" w:fill="FFFFFF"/>
            <w:vAlign w:val="center"/>
          </w:tcPr>
          <w:p w14:paraId="478510B9" w14:textId="7CB2309C" w:rsidR="00A97BEA" w:rsidRPr="00A97BEA" w:rsidRDefault="00A97BEA" w:rsidP="00A97BEA">
            <w:pPr>
              <w:pStyle w:val="CETBodytext"/>
              <w:ind w:right="-1"/>
              <w:jc w:val="center"/>
              <w:rPr>
                <w:rFonts w:cs="Arial"/>
                <w:szCs w:val="18"/>
                <w:lang w:val="en-GB" w:eastAsia="pt-PT"/>
              </w:rPr>
            </w:pPr>
            <w:r w:rsidRPr="00A97BEA">
              <w:rPr>
                <w:rFonts w:cs="Arial"/>
                <w:szCs w:val="18"/>
              </w:rPr>
              <w:t>238.4</w:t>
            </w:r>
            <w:r w:rsidR="002F6D8B">
              <w:rPr>
                <w:rFonts w:cs="Arial"/>
                <w:szCs w:val="18"/>
              </w:rPr>
              <w:t>0</w:t>
            </w:r>
          </w:p>
        </w:tc>
        <w:tc>
          <w:tcPr>
            <w:tcW w:w="1559" w:type="dxa"/>
            <w:shd w:val="clear" w:color="auto" w:fill="FFFFFF"/>
            <w:vAlign w:val="center"/>
          </w:tcPr>
          <w:p w14:paraId="56DF58C8" w14:textId="12D51E0E"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163.7</w:t>
            </w:r>
            <w:r w:rsidR="002F6D8B">
              <w:rPr>
                <w:rFonts w:cs="Arial"/>
                <w:color w:val="000000"/>
                <w:szCs w:val="18"/>
              </w:rPr>
              <w:t>0</w:t>
            </w:r>
            <w:r w:rsidRPr="00A97BEA">
              <w:rPr>
                <w:rFonts w:cs="Arial"/>
                <w:color w:val="000000"/>
                <w:szCs w:val="18"/>
              </w:rPr>
              <w:t xml:space="preserve"> - 370.6</w:t>
            </w:r>
            <w:r w:rsidR="002F6D8B">
              <w:rPr>
                <w:rFonts w:cs="Arial"/>
                <w:color w:val="000000"/>
                <w:szCs w:val="18"/>
              </w:rPr>
              <w:t>0</w:t>
            </w:r>
          </w:p>
        </w:tc>
      </w:tr>
      <w:tr w:rsidR="00A97BEA" w:rsidRPr="00093100" w14:paraId="3FD74EA2" w14:textId="77777777" w:rsidTr="00A97BEA">
        <w:tc>
          <w:tcPr>
            <w:tcW w:w="2835" w:type="dxa"/>
            <w:shd w:val="clear" w:color="auto" w:fill="FFFFFF"/>
            <w:vAlign w:val="center"/>
          </w:tcPr>
          <w:p w14:paraId="17564E7E" w14:textId="5B54D6F4" w:rsidR="00A97BEA" w:rsidRPr="00A97BEA" w:rsidRDefault="00A97BEA" w:rsidP="00A97BEA">
            <w:pPr>
              <w:pStyle w:val="CETBodytext"/>
              <w:ind w:right="-1"/>
              <w:jc w:val="center"/>
              <w:rPr>
                <w:rFonts w:cs="Arial"/>
                <w:szCs w:val="18"/>
                <w:lang w:eastAsia="pt-PT"/>
              </w:rPr>
            </w:pPr>
            <w:r w:rsidRPr="00A97BEA">
              <w:rPr>
                <w:rFonts w:cs="Arial"/>
                <w:szCs w:val="18"/>
              </w:rPr>
              <w:t>COD Removed (%)</w:t>
            </w:r>
          </w:p>
        </w:tc>
        <w:tc>
          <w:tcPr>
            <w:tcW w:w="1134" w:type="dxa"/>
            <w:shd w:val="clear" w:color="auto" w:fill="FFFFFF"/>
            <w:vAlign w:val="center"/>
          </w:tcPr>
          <w:p w14:paraId="650DE853" w14:textId="514D1FEA" w:rsidR="00A97BEA" w:rsidRPr="00A97BEA" w:rsidRDefault="00A97BEA" w:rsidP="00A97BEA">
            <w:pPr>
              <w:pStyle w:val="CETBodytext"/>
              <w:ind w:right="-1"/>
              <w:jc w:val="center"/>
              <w:rPr>
                <w:rFonts w:cs="Arial"/>
                <w:szCs w:val="18"/>
                <w:lang w:val="en-GB" w:eastAsia="pt-PT"/>
              </w:rPr>
            </w:pPr>
            <w:r w:rsidRPr="00A97BEA">
              <w:rPr>
                <w:rFonts w:cs="Arial"/>
                <w:szCs w:val="18"/>
              </w:rPr>
              <w:t>79</w:t>
            </w:r>
            <w:r w:rsidR="002F6D8B">
              <w:rPr>
                <w:rFonts w:cs="Arial"/>
                <w:szCs w:val="18"/>
              </w:rPr>
              <w:t>.31</w:t>
            </w:r>
          </w:p>
        </w:tc>
        <w:tc>
          <w:tcPr>
            <w:tcW w:w="1560" w:type="dxa"/>
            <w:shd w:val="clear" w:color="auto" w:fill="FFFFFF"/>
            <w:vAlign w:val="center"/>
          </w:tcPr>
          <w:p w14:paraId="6196ACF7" w14:textId="60FE38EE" w:rsidR="00A97BEA" w:rsidRPr="00A97BEA" w:rsidRDefault="00A97BEA" w:rsidP="00A97BEA">
            <w:pPr>
              <w:pStyle w:val="CETBodytext"/>
              <w:ind w:right="-1"/>
              <w:jc w:val="center"/>
              <w:rPr>
                <w:rFonts w:cs="Arial"/>
                <w:szCs w:val="18"/>
                <w:lang w:val="en-GB" w:eastAsia="pt-PT"/>
              </w:rPr>
            </w:pPr>
            <w:r w:rsidRPr="00A97BEA">
              <w:rPr>
                <w:rFonts w:cs="Arial"/>
                <w:szCs w:val="18"/>
              </w:rPr>
              <w:t>71</w:t>
            </w:r>
            <w:r w:rsidR="002F6D8B">
              <w:rPr>
                <w:rFonts w:cs="Arial"/>
                <w:szCs w:val="18"/>
              </w:rPr>
              <w:t>.68</w:t>
            </w:r>
            <w:r w:rsidRPr="00A97BEA">
              <w:rPr>
                <w:rFonts w:cs="Arial"/>
                <w:szCs w:val="18"/>
              </w:rPr>
              <w:t xml:space="preserve"> </w:t>
            </w:r>
            <w:r w:rsidR="002F6D8B">
              <w:rPr>
                <w:rFonts w:cs="Arial"/>
                <w:szCs w:val="18"/>
              </w:rPr>
              <w:t>–</w:t>
            </w:r>
            <w:r w:rsidRPr="00A97BEA">
              <w:rPr>
                <w:rFonts w:cs="Arial"/>
                <w:szCs w:val="18"/>
              </w:rPr>
              <w:t xml:space="preserve"> 84</w:t>
            </w:r>
            <w:r w:rsidR="002F6D8B">
              <w:rPr>
                <w:rFonts w:cs="Arial"/>
                <w:szCs w:val="18"/>
              </w:rPr>
              <w:t>.46</w:t>
            </w:r>
          </w:p>
        </w:tc>
        <w:tc>
          <w:tcPr>
            <w:tcW w:w="1417" w:type="dxa"/>
            <w:shd w:val="clear" w:color="auto" w:fill="FFFFFF"/>
            <w:vAlign w:val="center"/>
          </w:tcPr>
          <w:p w14:paraId="6C766063" w14:textId="75834E64" w:rsidR="00A97BEA" w:rsidRPr="00A97BEA" w:rsidRDefault="00A97BEA" w:rsidP="00A97BEA">
            <w:pPr>
              <w:pStyle w:val="CETBodytext"/>
              <w:ind w:right="-1"/>
              <w:jc w:val="center"/>
              <w:rPr>
                <w:rFonts w:cs="Arial"/>
                <w:szCs w:val="18"/>
                <w:lang w:val="en-GB" w:eastAsia="pt-PT"/>
              </w:rPr>
            </w:pPr>
            <w:r w:rsidRPr="00A97BEA">
              <w:rPr>
                <w:rFonts w:cs="Arial"/>
                <w:szCs w:val="18"/>
              </w:rPr>
              <w:t>80</w:t>
            </w:r>
            <w:r w:rsidR="002F6D8B">
              <w:rPr>
                <w:rFonts w:cs="Arial"/>
                <w:szCs w:val="18"/>
              </w:rPr>
              <w:t>.32</w:t>
            </w:r>
          </w:p>
        </w:tc>
        <w:tc>
          <w:tcPr>
            <w:tcW w:w="1559" w:type="dxa"/>
            <w:shd w:val="clear" w:color="auto" w:fill="FFFFFF"/>
            <w:vAlign w:val="center"/>
          </w:tcPr>
          <w:p w14:paraId="145C9BF2" w14:textId="66E0BCA7" w:rsidR="00A97BEA" w:rsidRPr="00A97BEA" w:rsidRDefault="00A97BEA" w:rsidP="00A97BEA">
            <w:pPr>
              <w:pStyle w:val="CETBodytext"/>
              <w:ind w:right="-1"/>
              <w:jc w:val="center"/>
              <w:rPr>
                <w:rFonts w:cs="Arial"/>
                <w:szCs w:val="18"/>
                <w:lang w:val="en-GB" w:eastAsia="pt-PT"/>
              </w:rPr>
            </w:pPr>
            <w:r w:rsidRPr="00A97BEA">
              <w:rPr>
                <w:rFonts w:cs="Arial"/>
                <w:szCs w:val="18"/>
              </w:rPr>
              <w:t>74</w:t>
            </w:r>
            <w:r w:rsidR="002F6D8B">
              <w:rPr>
                <w:rFonts w:cs="Arial"/>
                <w:szCs w:val="18"/>
              </w:rPr>
              <w:t>.14</w:t>
            </w:r>
            <w:r w:rsidRPr="00A97BEA">
              <w:rPr>
                <w:rFonts w:cs="Arial"/>
                <w:szCs w:val="18"/>
              </w:rPr>
              <w:t xml:space="preserve"> </w:t>
            </w:r>
            <w:r w:rsidR="002F6D8B">
              <w:rPr>
                <w:rFonts w:cs="Arial"/>
                <w:szCs w:val="18"/>
              </w:rPr>
              <w:t>–</w:t>
            </w:r>
            <w:r w:rsidRPr="00A97BEA">
              <w:rPr>
                <w:rFonts w:cs="Arial"/>
                <w:szCs w:val="18"/>
              </w:rPr>
              <w:t xml:space="preserve"> 81</w:t>
            </w:r>
            <w:r w:rsidR="002F6D8B">
              <w:rPr>
                <w:rFonts w:cs="Arial"/>
                <w:szCs w:val="18"/>
              </w:rPr>
              <w:t>.83</w:t>
            </w:r>
          </w:p>
        </w:tc>
      </w:tr>
      <w:tr w:rsidR="00A97BEA" w:rsidRPr="00093100" w14:paraId="75E8B900" w14:textId="77777777" w:rsidTr="00A97BEA">
        <w:tc>
          <w:tcPr>
            <w:tcW w:w="2835" w:type="dxa"/>
            <w:shd w:val="clear" w:color="auto" w:fill="FFFFFF"/>
            <w:vAlign w:val="center"/>
          </w:tcPr>
          <w:p w14:paraId="41F06DC6" w14:textId="5EC3273A" w:rsidR="00A97BEA" w:rsidRPr="00A97BEA" w:rsidRDefault="00A97BEA" w:rsidP="00A97BEA">
            <w:pPr>
              <w:pStyle w:val="CETBodytext"/>
              <w:ind w:right="-1"/>
              <w:jc w:val="center"/>
              <w:rPr>
                <w:rFonts w:cs="Arial"/>
                <w:szCs w:val="18"/>
                <w:lang w:eastAsia="pt-PT"/>
              </w:rPr>
            </w:pPr>
            <w:r w:rsidRPr="00A97BEA">
              <w:rPr>
                <w:rFonts w:cs="Arial"/>
                <w:szCs w:val="18"/>
              </w:rPr>
              <w:t xml:space="preserve">Final </w:t>
            </w:r>
            <w:proofErr w:type="spellStart"/>
            <w:r w:rsidRPr="00A97BEA">
              <w:rPr>
                <w:rFonts w:cs="Arial"/>
                <w:szCs w:val="18"/>
              </w:rPr>
              <w:t>pH</w:t>
            </w:r>
            <w:r w:rsidRPr="00A97BEA">
              <w:rPr>
                <w:rFonts w:cs="Arial"/>
                <w:szCs w:val="18"/>
                <w:vertAlign w:val="superscript"/>
              </w:rPr>
              <w:t>a</w:t>
            </w:r>
            <w:proofErr w:type="spellEnd"/>
          </w:p>
        </w:tc>
        <w:tc>
          <w:tcPr>
            <w:tcW w:w="1134" w:type="dxa"/>
            <w:shd w:val="clear" w:color="auto" w:fill="FFFFFF"/>
            <w:vAlign w:val="center"/>
          </w:tcPr>
          <w:p w14:paraId="3FB0255D" w14:textId="37F3C3C9" w:rsidR="00A97BEA" w:rsidRPr="00A97BEA" w:rsidRDefault="00A97BEA" w:rsidP="00A97BEA">
            <w:pPr>
              <w:pStyle w:val="CETBodytext"/>
              <w:ind w:right="-1"/>
              <w:jc w:val="center"/>
              <w:rPr>
                <w:rFonts w:cs="Arial"/>
                <w:szCs w:val="18"/>
                <w:lang w:val="en-GB" w:eastAsia="pt-PT"/>
              </w:rPr>
            </w:pPr>
            <w:r w:rsidRPr="00A97BEA">
              <w:rPr>
                <w:rFonts w:cs="Arial"/>
                <w:szCs w:val="18"/>
              </w:rPr>
              <w:t>8.04</w:t>
            </w:r>
          </w:p>
        </w:tc>
        <w:tc>
          <w:tcPr>
            <w:tcW w:w="1560" w:type="dxa"/>
            <w:shd w:val="clear" w:color="auto" w:fill="FFFFFF"/>
            <w:vAlign w:val="center"/>
          </w:tcPr>
          <w:p w14:paraId="639631DB" w14:textId="39462703"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7.45 - 8.54</w:t>
            </w:r>
          </w:p>
        </w:tc>
        <w:tc>
          <w:tcPr>
            <w:tcW w:w="1417" w:type="dxa"/>
            <w:shd w:val="clear" w:color="auto" w:fill="FFFFFF"/>
            <w:vAlign w:val="center"/>
          </w:tcPr>
          <w:p w14:paraId="14038CEE" w14:textId="45746864" w:rsidR="00A97BEA" w:rsidRPr="00A97BEA" w:rsidRDefault="00A97BEA" w:rsidP="00A97BEA">
            <w:pPr>
              <w:pStyle w:val="CETBodytext"/>
              <w:ind w:right="-1"/>
              <w:jc w:val="center"/>
              <w:rPr>
                <w:rFonts w:cs="Arial"/>
                <w:szCs w:val="18"/>
                <w:lang w:val="en-GB" w:eastAsia="pt-PT"/>
              </w:rPr>
            </w:pPr>
            <w:r w:rsidRPr="00A97BEA">
              <w:rPr>
                <w:rFonts w:cs="Arial"/>
                <w:szCs w:val="18"/>
              </w:rPr>
              <w:t>8.07</w:t>
            </w:r>
          </w:p>
        </w:tc>
        <w:tc>
          <w:tcPr>
            <w:tcW w:w="1559" w:type="dxa"/>
            <w:shd w:val="clear" w:color="auto" w:fill="FFFFFF"/>
            <w:vAlign w:val="center"/>
          </w:tcPr>
          <w:p w14:paraId="67424F4A" w14:textId="25A63A5E"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7.53 - 8.66</w:t>
            </w:r>
          </w:p>
        </w:tc>
      </w:tr>
      <w:tr w:rsidR="00A97BEA" w:rsidRPr="00093100" w14:paraId="3D05D167" w14:textId="77777777" w:rsidTr="00A97BEA">
        <w:tc>
          <w:tcPr>
            <w:tcW w:w="2835" w:type="dxa"/>
            <w:shd w:val="clear" w:color="auto" w:fill="FFFFFF"/>
            <w:vAlign w:val="center"/>
          </w:tcPr>
          <w:p w14:paraId="2ADCE5ED" w14:textId="7D028FAC" w:rsidR="00A97BEA" w:rsidRPr="00A97BEA" w:rsidRDefault="00A97BEA" w:rsidP="00A97BEA">
            <w:pPr>
              <w:pStyle w:val="CETBodytext"/>
              <w:ind w:right="-1"/>
              <w:jc w:val="center"/>
              <w:rPr>
                <w:rFonts w:cs="Arial"/>
                <w:szCs w:val="18"/>
                <w:lang w:val="en-GB" w:eastAsia="pt-PT"/>
              </w:rPr>
            </w:pPr>
            <w:r w:rsidRPr="00A97BEA">
              <w:rPr>
                <w:rFonts w:cs="Arial"/>
                <w:szCs w:val="18"/>
              </w:rPr>
              <w:t xml:space="preserve">Final </w:t>
            </w:r>
            <w:proofErr w:type="spellStart"/>
            <w:r w:rsidRPr="00A97BEA">
              <w:rPr>
                <w:rFonts w:cs="Arial"/>
                <w:szCs w:val="18"/>
              </w:rPr>
              <w:t>Alkalinity</w:t>
            </w:r>
            <w:r w:rsidRPr="00A97BEA">
              <w:rPr>
                <w:rFonts w:cs="Arial"/>
                <w:szCs w:val="18"/>
                <w:vertAlign w:val="superscript"/>
              </w:rPr>
              <w:t>a</w:t>
            </w:r>
            <w:proofErr w:type="spellEnd"/>
          </w:p>
        </w:tc>
        <w:tc>
          <w:tcPr>
            <w:tcW w:w="1134" w:type="dxa"/>
            <w:shd w:val="clear" w:color="auto" w:fill="FFFFFF"/>
            <w:vAlign w:val="center"/>
          </w:tcPr>
          <w:p w14:paraId="776D8591" w14:textId="73C6773C" w:rsidR="00A97BEA" w:rsidRPr="00A97BEA" w:rsidRDefault="00A97BEA" w:rsidP="00A97BEA">
            <w:pPr>
              <w:pStyle w:val="CETBodytext"/>
              <w:ind w:right="-1"/>
              <w:jc w:val="center"/>
              <w:rPr>
                <w:rFonts w:cs="Arial"/>
                <w:szCs w:val="18"/>
                <w:lang w:val="en-GB" w:eastAsia="pt-PT"/>
              </w:rPr>
            </w:pPr>
            <w:r w:rsidRPr="00A97BEA">
              <w:rPr>
                <w:rFonts w:cs="Arial"/>
                <w:szCs w:val="18"/>
              </w:rPr>
              <w:t>1,262.90</w:t>
            </w:r>
          </w:p>
        </w:tc>
        <w:tc>
          <w:tcPr>
            <w:tcW w:w="1560" w:type="dxa"/>
            <w:shd w:val="clear" w:color="auto" w:fill="FFFFFF"/>
            <w:vAlign w:val="center"/>
          </w:tcPr>
          <w:p w14:paraId="3FAA0F07" w14:textId="6AF6AC1F"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543.75 - 2,262.50</w:t>
            </w:r>
          </w:p>
        </w:tc>
        <w:tc>
          <w:tcPr>
            <w:tcW w:w="1417" w:type="dxa"/>
            <w:shd w:val="clear" w:color="auto" w:fill="FFFFFF"/>
            <w:vAlign w:val="center"/>
          </w:tcPr>
          <w:p w14:paraId="7A0F430D" w14:textId="7A475437" w:rsidR="00A97BEA" w:rsidRPr="00A97BEA" w:rsidRDefault="00A97BEA" w:rsidP="00A97BEA">
            <w:pPr>
              <w:pStyle w:val="CETBodytext"/>
              <w:ind w:right="-1"/>
              <w:jc w:val="center"/>
              <w:rPr>
                <w:rFonts w:cs="Arial"/>
                <w:szCs w:val="18"/>
                <w:lang w:val="en-GB" w:eastAsia="pt-PT"/>
              </w:rPr>
            </w:pPr>
            <w:r w:rsidRPr="00A97BEA">
              <w:rPr>
                <w:rFonts w:cs="Arial"/>
                <w:szCs w:val="18"/>
              </w:rPr>
              <w:t>1,356.78</w:t>
            </w:r>
          </w:p>
        </w:tc>
        <w:tc>
          <w:tcPr>
            <w:tcW w:w="1559" w:type="dxa"/>
            <w:shd w:val="clear" w:color="auto" w:fill="FFFFFF"/>
            <w:vAlign w:val="center"/>
          </w:tcPr>
          <w:p w14:paraId="368C3CD0" w14:textId="6EBF8582"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612.50 - 2,337.50</w:t>
            </w:r>
          </w:p>
        </w:tc>
      </w:tr>
      <w:tr w:rsidR="00A97BEA" w:rsidRPr="00093100" w14:paraId="3A0E0B2D" w14:textId="77777777" w:rsidTr="00A97BEA">
        <w:tc>
          <w:tcPr>
            <w:tcW w:w="2835" w:type="dxa"/>
            <w:shd w:val="clear" w:color="auto" w:fill="FFFFFF"/>
            <w:vAlign w:val="center"/>
          </w:tcPr>
          <w:p w14:paraId="233F2E18" w14:textId="59CE2B89" w:rsidR="00A97BEA" w:rsidRPr="00A97BEA" w:rsidRDefault="00A97BEA" w:rsidP="00A97BEA">
            <w:pPr>
              <w:pStyle w:val="CETBodytext"/>
              <w:ind w:right="-1"/>
              <w:jc w:val="center"/>
              <w:rPr>
                <w:rFonts w:cs="Arial"/>
                <w:szCs w:val="18"/>
                <w:lang w:val="en-GB" w:eastAsia="pt-PT"/>
              </w:rPr>
            </w:pPr>
            <w:r w:rsidRPr="00A97BEA">
              <w:rPr>
                <w:rFonts w:cs="Arial"/>
                <w:szCs w:val="18"/>
              </w:rPr>
              <w:t>Final EC (mS cm</w:t>
            </w:r>
            <w:r w:rsidRPr="00A97BEA">
              <w:rPr>
                <w:rFonts w:cs="Arial"/>
                <w:szCs w:val="18"/>
                <w:vertAlign w:val="superscript"/>
              </w:rPr>
              <w:t>-</w:t>
            </w:r>
            <w:proofErr w:type="gramStart"/>
            <w:r w:rsidRPr="00A97BEA">
              <w:rPr>
                <w:rFonts w:cs="Arial"/>
                <w:szCs w:val="18"/>
                <w:vertAlign w:val="superscript"/>
              </w:rPr>
              <w:t>1</w:t>
            </w:r>
            <w:r w:rsidRPr="00A97BEA">
              <w:rPr>
                <w:rFonts w:cs="Arial"/>
                <w:szCs w:val="18"/>
              </w:rPr>
              <w:t>)</w:t>
            </w:r>
            <w:r w:rsidRPr="00A97BEA">
              <w:rPr>
                <w:rFonts w:cs="Arial"/>
                <w:szCs w:val="18"/>
                <w:vertAlign w:val="superscript"/>
              </w:rPr>
              <w:t>a</w:t>
            </w:r>
            <w:proofErr w:type="gramEnd"/>
          </w:p>
        </w:tc>
        <w:tc>
          <w:tcPr>
            <w:tcW w:w="1134" w:type="dxa"/>
            <w:shd w:val="clear" w:color="auto" w:fill="FFFFFF"/>
            <w:vAlign w:val="center"/>
          </w:tcPr>
          <w:p w14:paraId="49D801BF" w14:textId="3A85389C" w:rsidR="00A97BEA" w:rsidRPr="00A97BEA" w:rsidRDefault="00A97BEA" w:rsidP="00A97BEA">
            <w:pPr>
              <w:pStyle w:val="CETBodytext"/>
              <w:ind w:right="-1"/>
              <w:jc w:val="center"/>
              <w:rPr>
                <w:rFonts w:cs="Arial"/>
                <w:szCs w:val="18"/>
                <w:lang w:val="en-GB" w:eastAsia="pt-PT"/>
              </w:rPr>
            </w:pPr>
            <w:r w:rsidRPr="00A97BEA">
              <w:rPr>
                <w:rFonts w:cs="Arial"/>
                <w:szCs w:val="18"/>
              </w:rPr>
              <w:t>3.97</w:t>
            </w:r>
          </w:p>
        </w:tc>
        <w:tc>
          <w:tcPr>
            <w:tcW w:w="1560" w:type="dxa"/>
            <w:shd w:val="clear" w:color="auto" w:fill="FFFFFF"/>
            <w:vAlign w:val="center"/>
          </w:tcPr>
          <w:p w14:paraId="7EC7CA9C" w14:textId="6A9A76FF"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2.77 - 4.60</w:t>
            </w:r>
          </w:p>
        </w:tc>
        <w:tc>
          <w:tcPr>
            <w:tcW w:w="1417" w:type="dxa"/>
            <w:shd w:val="clear" w:color="auto" w:fill="FFFFFF"/>
            <w:vAlign w:val="center"/>
          </w:tcPr>
          <w:p w14:paraId="51B4B4C9" w14:textId="598A17CF" w:rsidR="00A97BEA" w:rsidRPr="00A97BEA" w:rsidRDefault="00A97BEA" w:rsidP="00A97BEA">
            <w:pPr>
              <w:pStyle w:val="CETBodytext"/>
              <w:ind w:right="-1"/>
              <w:jc w:val="center"/>
              <w:rPr>
                <w:rFonts w:cs="Arial"/>
                <w:szCs w:val="18"/>
                <w:lang w:val="en-GB" w:eastAsia="pt-PT"/>
              </w:rPr>
            </w:pPr>
            <w:r w:rsidRPr="00A97BEA">
              <w:rPr>
                <w:rFonts w:cs="Arial"/>
                <w:szCs w:val="18"/>
              </w:rPr>
              <w:t>4.42</w:t>
            </w:r>
          </w:p>
        </w:tc>
        <w:tc>
          <w:tcPr>
            <w:tcW w:w="1559" w:type="dxa"/>
            <w:shd w:val="clear" w:color="auto" w:fill="FFFFFF"/>
            <w:vAlign w:val="center"/>
          </w:tcPr>
          <w:p w14:paraId="1C887570" w14:textId="65ECC9E6"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3.24 - 5.36</w:t>
            </w:r>
          </w:p>
        </w:tc>
      </w:tr>
      <w:tr w:rsidR="00A97BEA" w:rsidRPr="00093100" w14:paraId="1D97EA51" w14:textId="77777777" w:rsidTr="00A97BEA">
        <w:tc>
          <w:tcPr>
            <w:tcW w:w="2835" w:type="dxa"/>
            <w:shd w:val="clear" w:color="auto" w:fill="FFFFFF"/>
            <w:vAlign w:val="center"/>
          </w:tcPr>
          <w:p w14:paraId="47CF8DBF" w14:textId="52503374" w:rsidR="00A97BEA" w:rsidRPr="00A97BEA" w:rsidRDefault="00A97BEA" w:rsidP="00A97BEA">
            <w:pPr>
              <w:pStyle w:val="CETBodytext"/>
              <w:ind w:right="-1"/>
              <w:jc w:val="center"/>
              <w:rPr>
                <w:rFonts w:cs="Arial"/>
                <w:szCs w:val="18"/>
                <w:lang w:val="en-GB" w:eastAsia="pt-PT"/>
              </w:rPr>
            </w:pPr>
            <w:r w:rsidRPr="00A97BEA">
              <w:rPr>
                <w:rFonts w:cs="Arial"/>
                <w:szCs w:val="18"/>
              </w:rPr>
              <w:t>Final Total Volatile Acids (mg L</w:t>
            </w:r>
            <w:r w:rsidRPr="00A97BEA">
              <w:rPr>
                <w:rFonts w:cs="Arial"/>
                <w:szCs w:val="18"/>
                <w:vertAlign w:val="superscript"/>
              </w:rPr>
              <w:t>-</w:t>
            </w:r>
            <w:proofErr w:type="gramStart"/>
            <w:r w:rsidRPr="00A97BEA">
              <w:rPr>
                <w:rFonts w:cs="Arial"/>
                <w:szCs w:val="18"/>
                <w:vertAlign w:val="superscript"/>
              </w:rPr>
              <w:t>1</w:t>
            </w:r>
            <w:r w:rsidRPr="00A97BEA">
              <w:rPr>
                <w:rFonts w:cs="Arial"/>
                <w:szCs w:val="18"/>
              </w:rPr>
              <w:t>)</w:t>
            </w:r>
            <w:r w:rsidRPr="00A97BEA">
              <w:rPr>
                <w:rFonts w:cs="Arial"/>
                <w:szCs w:val="18"/>
                <w:vertAlign w:val="superscript"/>
              </w:rPr>
              <w:t>a</w:t>
            </w:r>
            <w:proofErr w:type="gramEnd"/>
          </w:p>
        </w:tc>
        <w:tc>
          <w:tcPr>
            <w:tcW w:w="1134" w:type="dxa"/>
            <w:shd w:val="clear" w:color="auto" w:fill="FFFFFF"/>
            <w:vAlign w:val="center"/>
          </w:tcPr>
          <w:p w14:paraId="007DAE69" w14:textId="575DB408" w:rsidR="00A97BEA" w:rsidRPr="00A97BEA" w:rsidRDefault="00A97BEA" w:rsidP="00A97BEA">
            <w:pPr>
              <w:pStyle w:val="CETBodytext"/>
              <w:ind w:right="-1"/>
              <w:jc w:val="center"/>
              <w:rPr>
                <w:rFonts w:cs="Arial"/>
                <w:szCs w:val="18"/>
                <w:lang w:val="en-GB" w:eastAsia="pt-PT"/>
              </w:rPr>
            </w:pPr>
            <w:r w:rsidRPr="00A97BEA">
              <w:rPr>
                <w:rFonts w:cs="Arial"/>
                <w:szCs w:val="18"/>
              </w:rPr>
              <w:t>58.77</w:t>
            </w:r>
          </w:p>
        </w:tc>
        <w:tc>
          <w:tcPr>
            <w:tcW w:w="1560" w:type="dxa"/>
            <w:shd w:val="clear" w:color="auto" w:fill="FFFFFF"/>
            <w:vAlign w:val="center"/>
          </w:tcPr>
          <w:p w14:paraId="70989356" w14:textId="1B7E9327"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27.50 - 140.62</w:t>
            </w:r>
          </w:p>
        </w:tc>
        <w:tc>
          <w:tcPr>
            <w:tcW w:w="1417" w:type="dxa"/>
            <w:shd w:val="clear" w:color="auto" w:fill="FFFFFF"/>
            <w:vAlign w:val="center"/>
          </w:tcPr>
          <w:p w14:paraId="285935FE" w14:textId="6694DF50" w:rsidR="00A97BEA" w:rsidRPr="00A97BEA" w:rsidRDefault="00A97BEA" w:rsidP="00A97BEA">
            <w:pPr>
              <w:pStyle w:val="CETBodytext"/>
              <w:ind w:right="-1"/>
              <w:jc w:val="center"/>
              <w:rPr>
                <w:rFonts w:cs="Arial"/>
                <w:szCs w:val="18"/>
                <w:lang w:val="en-GB" w:eastAsia="pt-PT"/>
              </w:rPr>
            </w:pPr>
            <w:r w:rsidRPr="00A97BEA">
              <w:rPr>
                <w:rFonts w:cs="Arial"/>
                <w:szCs w:val="18"/>
              </w:rPr>
              <w:t>62.53</w:t>
            </w:r>
          </w:p>
        </w:tc>
        <w:tc>
          <w:tcPr>
            <w:tcW w:w="1559" w:type="dxa"/>
            <w:shd w:val="clear" w:color="auto" w:fill="FFFFFF"/>
            <w:vAlign w:val="center"/>
          </w:tcPr>
          <w:p w14:paraId="017917EF" w14:textId="77C1619D"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33.75 - 126.06</w:t>
            </w:r>
          </w:p>
        </w:tc>
      </w:tr>
      <w:tr w:rsidR="00A97BEA" w:rsidRPr="00093100" w14:paraId="38CCB883" w14:textId="77777777" w:rsidTr="00A97BEA">
        <w:tc>
          <w:tcPr>
            <w:tcW w:w="2835" w:type="dxa"/>
            <w:shd w:val="clear" w:color="auto" w:fill="FFFFFF"/>
            <w:vAlign w:val="center"/>
          </w:tcPr>
          <w:p w14:paraId="6804EBA2" w14:textId="0B1409BA" w:rsidR="00A97BEA" w:rsidRPr="00A97BEA" w:rsidRDefault="00A97BEA" w:rsidP="00A97BEA">
            <w:pPr>
              <w:pStyle w:val="CETBodytext"/>
              <w:ind w:right="-1"/>
              <w:jc w:val="center"/>
              <w:rPr>
                <w:rFonts w:cs="Arial"/>
                <w:szCs w:val="18"/>
                <w:lang w:val="en-GB" w:eastAsia="pt-PT"/>
              </w:rPr>
            </w:pPr>
            <w:r w:rsidRPr="00A97BEA">
              <w:rPr>
                <w:rFonts w:cs="Arial"/>
                <w:szCs w:val="18"/>
              </w:rPr>
              <w:t>CH</w:t>
            </w:r>
            <w:r w:rsidRPr="00A97BEA">
              <w:rPr>
                <w:rFonts w:cs="Arial"/>
                <w:szCs w:val="18"/>
                <w:vertAlign w:val="subscript"/>
              </w:rPr>
              <w:t>4</w:t>
            </w:r>
            <w:r w:rsidRPr="00A97BEA">
              <w:rPr>
                <w:rFonts w:cs="Arial"/>
                <w:szCs w:val="18"/>
              </w:rPr>
              <w:t xml:space="preserve"> Produced (mL)</w:t>
            </w:r>
            <w:r w:rsidRPr="00A97BEA">
              <w:rPr>
                <w:rFonts w:cs="Arial"/>
                <w:szCs w:val="18"/>
                <w:vertAlign w:val="superscript"/>
              </w:rPr>
              <w:t>a</w:t>
            </w:r>
          </w:p>
        </w:tc>
        <w:tc>
          <w:tcPr>
            <w:tcW w:w="1134" w:type="dxa"/>
            <w:shd w:val="clear" w:color="auto" w:fill="FFFFFF"/>
            <w:vAlign w:val="center"/>
          </w:tcPr>
          <w:p w14:paraId="1FD092C3" w14:textId="30AB10CE" w:rsidR="00A97BEA" w:rsidRPr="00A97BEA" w:rsidRDefault="00A97BEA" w:rsidP="00A97BEA">
            <w:pPr>
              <w:pStyle w:val="CETBodytext"/>
              <w:ind w:right="-1"/>
              <w:jc w:val="center"/>
              <w:rPr>
                <w:rFonts w:cs="Arial"/>
                <w:szCs w:val="18"/>
                <w:lang w:val="en-GB" w:eastAsia="pt-PT"/>
              </w:rPr>
            </w:pPr>
            <w:r w:rsidRPr="00A97BEA">
              <w:rPr>
                <w:rFonts w:cs="Arial"/>
                <w:szCs w:val="18"/>
              </w:rPr>
              <w:t>131.68</w:t>
            </w:r>
          </w:p>
        </w:tc>
        <w:tc>
          <w:tcPr>
            <w:tcW w:w="1560" w:type="dxa"/>
            <w:shd w:val="clear" w:color="auto" w:fill="FFFFFF"/>
            <w:vAlign w:val="center"/>
          </w:tcPr>
          <w:p w14:paraId="1F9B0A06" w14:textId="530206DE"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12</w:t>
            </w:r>
            <w:r w:rsidR="002F6D8B">
              <w:rPr>
                <w:rFonts w:cs="Arial"/>
                <w:color w:val="000000"/>
                <w:szCs w:val="18"/>
              </w:rPr>
              <w:t>.00</w:t>
            </w:r>
            <w:r w:rsidRPr="00A97BEA">
              <w:rPr>
                <w:rFonts w:cs="Arial"/>
                <w:color w:val="000000"/>
                <w:szCs w:val="18"/>
              </w:rPr>
              <w:t xml:space="preserve"> </w:t>
            </w:r>
            <w:r w:rsidR="002F6D8B">
              <w:rPr>
                <w:rFonts w:cs="Arial"/>
                <w:color w:val="000000"/>
                <w:szCs w:val="18"/>
              </w:rPr>
              <w:t>–</w:t>
            </w:r>
            <w:r w:rsidRPr="00A97BEA">
              <w:rPr>
                <w:rFonts w:cs="Arial"/>
                <w:color w:val="000000"/>
                <w:szCs w:val="18"/>
              </w:rPr>
              <w:t xml:space="preserve"> 412</w:t>
            </w:r>
            <w:r w:rsidR="002F6D8B">
              <w:rPr>
                <w:rFonts w:cs="Arial"/>
                <w:color w:val="000000"/>
                <w:szCs w:val="18"/>
              </w:rPr>
              <w:t>.00</w:t>
            </w:r>
          </w:p>
        </w:tc>
        <w:tc>
          <w:tcPr>
            <w:tcW w:w="1417" w:type="dxa"/>
            <w:shd w:val="clear" w:color="auto" w:fill="FFFFFF"/>
            <w:vAlign w:val="center"/>
          </w:tcPr>
          <w:p w14:paraId="19DC5116" w14:textId="4AA5AE7B" w:rsidR="00A97BEA" w:rsidRPr="00A97BEA" w:rsidRDefault="00A97BEA" w:rsidP="00A97BEA">
            <w:pPr>
              <w:pStyle w:val="CETBodytext"/>
              <w:ind w:right="-1"/>
              <w:jc w:val="center"/>
              <w:rPr>
                <w:rFonts w:cs="Arial"/>
                <w:szCs w:val="18"/>
                <w:lang w:val="en-GB" w:eastAsia="pt-PT"/>
              </w:rPr>
            </w:pPr>
            <w:r w:rsidRPr="00A97BEA">
              <w:rPr>
                <w:rFonts w:cs="Arial"/>
                <w:szCs w:val="18"/>
              </w:rPr>
              <w:t>111.50</w:t>
            </w:r>
          </w:p>
        </w:tc>
        <w:tc>
          <w:tcPr>
            <w:tcW w:w="1559" w:type="dxa"/>
            <w:shd w:val="clear" w:color="auto" w:fill="FFFFFF"/>
            <w:vAlign w:val="center"/>
          </w:tcPr>
          <w:p w14:paraId="341F88B8" w14:textId="07A089B9"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2</w:t>
            </w:r>
            <w:r w:rsidR="002F6D8B">
              <w:rPr>
                <w:rFonts w:cs="Arial"/>
                <w:color w:val="000000"/>
                <w:szCs w:val="18"/>
              </w:rPr>
              <w:t>.00</w:t>
            </w:r>
            <w:r w:rsidRPr="00A97BEA">
              <w:rPr>
                <w:rFonts w:cs="Arial"/>
                <w:color w:val="000000"/>
                <w:szCs w:val="18"/>
              </w:rPr>
              <w:t xml:space="preserve"> </w:t>
            </w:r>
            <w:r w:rsidR="002F6D8B">
              <w:rPr>
                <w:rFonts w:cs="Arial"/>
                <w:color w:val="000000"/>
                <w:szCs w:val="18"/>
              </w:rPr>
              <w:t>–</w:t>
            </w:r>
            <w:r w:rsidRPr="00A97BEA">
              <w:rPr>
                <w:rFonts w:cs="Arial"/>
                <w:color w:val="000000"/>
                <w:szCs w:val="18"/>
              </w:rPr>
              <w:t xml:space="preserve"> 442</w:t>
            </w:r>
            <w:r w:rsidR="002F6D8B">
              <w:rPr>
                <w:rFonts w:cs="Arial"/>
                <w:color w:val="000000"/>
                <w:szCs w:val="18"/>
              </w:rPr>
              <w:t>.00</w:t>
            </w:r>
          </w:p>
        </w:tc>
      </w:tr>
      <w:tr w:rsidR="00A97BEA" w:rsidRPr="00093100" w14:paraId="5112C343" w14:textId="77777777" w:rsidTr="00A97BEA">
        <w:tc>
          <w:tcPr>
            <w:tcW w:w="2835" w:type="dxa"/>
            <w:shd w:val="clear" w:color="auto" w:fill="FFFFFF"/>
            <w:vAlign w:val="center"/>
          </w:tcPr>
          <w:p w14:paraId="20CF3FE0" w14:textId="37C99C20" w:rsidR="00A97BEA" w:rsidRPr="00A97BEA" w:rsidRDefault="00A97BEA" w:rsidP="00A97BEA">
            <w:pPr>
              <w:pStyle w:val="CETBodytext"/>
              <w:ind w:right="-1"/>
              <w:jc w:val="center"/>
              <w:rPr>
                <w:rFonts w:cs="Arial"/>
                <w:szCs w:val="18"/>
                <w:lang w:val="en-GB" w:eastAsia="pt-PT"/>
              </w:rPr>
            </w:pPr>
            <w:r w:rsidRPr="00A97BEA">
              <w:rPr>
                <w:rFonts w:cs="Arial"/>
                <w:szCs w:val="18"/>
              </w:rPr>
              <w:t>Methanisation Efficiency (</w:t>
            </w:r>
            <w:proofErr w:type="gramStart"/>
            <w:r w:rsidRPr="00A97BEA">
              <w:rPr>
                <w:rFonts w:cs="Arial"/>
                <w:szCs w:val="18"/>
              </w:rPr>
              <w:t>%)</w:t>
            </w:r>
            <w:r w:rsidRPr="00A97BEA">
              <w:rPr>
                <w:rFonts w:cs="Arial"/>
                <w:szCs w:val="18"/>
                <w:vertAlign w:val="superscript"/>
              </w:rPr>
              <w:t>a</w:t>
            </w:r>
            <w:proofErr w:type="gramEnd"/>
          </w:p>
        </w:tc>
        <w:tc>
          <w:tcPr>
            <w:tcW w:w="1134" w:type="dxa"/>
            <w:shd w:val="clear" w:color="auto" w:fill="FFFFFF"/>
            <w:vAlign w:val="center"/>
          </w:tcPr>
          <w:p w14:paraId="49D23663" w14:textId="5F25E7F3" w:rsidR="00A97BEA" w:rsidRPr="00A97BEA" w:rsidRDefault="00A97BEA" w:rsidP="00A97BEA">
            <w:pPr>
              <w:pStyle w:val="CETBodytext"/>
              <w:ind w:right="-1"/>
              <w:jc w:val="center"/>
              <w:rPr>
                <w:rFonts w:cs="Arial"/>
                <w:szCs w:val="18"/>
                <w:lang w:val="en-GB" w:eastAsia="pt-PT"/>
              </w:rPr>
            </w:pPr>
            <w:r w:rsidRPr="00A97BEA">
              <w:rPr>
                <w:rFonts w:cs="Arial"/>
                <w:szCs w:val="18"/>
              </w:rPr>
              <w:t>6</w:t>
            </w:r>
            <w:r w:rsidR="001220AA">
              <w:rPr>
                <w:rFonts w:cs="Arial"/>
                <w:szCs w:val="18"/>
              </w:rPr>
              <w:t>5.60</w:t>
            </w:r>
          </w:p>
        </w:tc>
        <w:tc>
          <w:tcPr>
            <w:tcW w:w="1560" w:type="dxa"/>
            <w:shd w:val="clear" w:color="auto" w:fill="FFFFFF"/>
            <w:vAlign w:val="center"/>
          </w:tcPr>
          <w:p w14:paraId="207D4EC8" w14:textId="70B388F4"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4</w:t>
            </w:r>
            <w:r w:rsidR="00E77DD4">
              <w:rPr>
                <w:rFonts w:cs="Arial"/>
                <w:color w:val="000000"/>
                <w:szCs w:val="18"/>
              </w:rPr>
              <w:t>5.67</w:t>
            </w:r>
            <w:r w:rsidRPr="00A97BEA">
              <w:rPr>
                <w:rFonts w:cs="Arial"/>
                <w:color w:val="000000"/>
                <w:szCs w:val="18"/>
              </w:rPr>
              <w:t xml:space="preserve"> </w:t>
            </w:r>
            <w:r w:rsidR="00E77DD4">
              <w:rPr>
                <w:rFonts w:cs="Arial"/>
                <w:color w:val="000000"/>
                <w:szCs w:val="18"/>
              </w:rPr>
              <w:t>–</w:t>
            </w:r>
            <w:r w:rsidRPr="00A97BEA">
              <w:rPr>
                <w:rFonts w:cs="Arial"/>
                <w:color w:val="000000"/>
                <w:szCs w:val="18"/>
              </w:rPr>
              <w:t xml:space="preserve"> 83</w:t>
            </w:r>
            <w:r w:rsidR="00E77DD4">
              <w:rPr>
                <w:rFonts w:cs="Arial"/>
                <w:color w:val="000000"/>
                <w:szCs w:val="18"/>
              </w:rPr>
              <w:t>.34</w:t>
            </w:r>
          </w:p>
        </w:tc>
        <w:tc>
          <w:tcPr>
            <w:tcW w:w="1417" w:type="dxa"/>
            <w:shd w:val="clear" w:color="auto" w:fill="FFFFFF"/>
            <w:vAlign w:val="center"/>
          </w:tcPr>
          <w:p w14:paraId="024407D5" w14:textId="6F576050" w:rsidR="00A97BEA" w:rsidRPr="00A97BEA" w:rsidRDefault="00A97BEA" w:rsidP="00A97BEA">
            <w:pPr>
              <w:pStyle w:val="CETBodytext"/>
              <w:ind w:right="-1"/>
              <w:jc w:val="center"/>
              <w:rPr>
                <w:rFonts w:cs="Arial"/>
                <w:szCs w:val="18"/>
                <w:lang w:val="en-GB" w:eastAsia="pt-PT"/>
              </w:rPr>
            </w:pPr>
            <w:r w:rsidRPr="00A97BEA">
              <w:rPr>
                <w:rFonts w:cs="Arial"/>
                <w:szCs w:val="18"/>
              </w:rPr>
              <w:t>5</w:t>
            </w:r>
            <w:r w:rsidR="00E77DD4">
              <w:rPr>
                <w:rFonts w:cs="Arial"/>
                <w:szCs w:val="18"/>
              </w:rPr>
              <w:t>2.52</w:t>
            </w:r>
          </w:p>
        </w:tc>
        <w:tc>
          <w:tcPr>
            <w:tcW w:w="1559" w:type="dxa"/>
            <w:shd w:val="clear" w:color="auto" w:fill="FFFFFF"/>
            <w:vAlign w:val="center"/>
          </w:tcPr>
          <w:p w14:paraId="06ED1A33" w14:textId="0945AC01" w:rsidR="00A97BEA" w:rsidRPr="00A97BEA" w:rsidRDefault="00A97BEA" w:rsidP="00A97BEA">
            <w:pPr>
              <w:pStyle w:val="CETBodytext"/>
              <w:ind w:right="-1"/>
              <w:jc w:val="center"/>
              <w:rPr>
                <w:rFonts w:cs="Arial"/>
                <w:szCs w:val="18"/>
                <w:lang w:val="en-GB" w:eastAsia="pt-PT"/>
              </w:rPr>
            </w:pPr>
            <w:r w:rsidRPr="00A97BEA">
              <w:rPr>
                <w:rFonts w:cs="Arial"/>
                <w:color w:val="000000"/>
                <w:szCs w:val="18"/>
              </w:rPr>
              <w:t>2</w:t>
            </w:r>
            <w:r w:rsidR="00E77DD4">
              <w:rPr>
                <w:rFonts w:cs="Arial"/>
                <w:color w:val="000000"/>
                <w:szCs w:val="18"/>
              </w:rPr>
              <w:t>6.55</w:t>
            </w:r>
            <w:r w:rsidRPr="00A97BEA">
              <w:rPr>
                <w:rFonts w:cs="Arial"/>
                <w:color w:val="000000"/>
                <w:szCs w:val="18"/>
              </w:rPr>
              <w:t xml:space="preserve"> </w:t>
            </w:r>
            <w:r w:rsidR="00E77DD4">
              <w:rPr>
                <w:rFonts w:cs="Arial"/>
                <w:color w:val="000000"/>
                <w:szCs w:val="18"/>
              </w:rPr>
              <w:t>–</w:t>
            </w:r>
            <w:r w:rsidRPr="00A97BEA">
              <w:rPr>
                <w:rFonts w:cs="Arial"/>
                <w:color w:val="000000"/>
                <w:szCs w:val="18"/>
              </w:rPr>
              <w:t xml:space="preserve"> 6</w:t>
            </w:r>
            <w:r w:rsidR="00E77DD4">
              <w:rPr>
                <w:rFonts w:cs="Arial"/>
                <w:color w:val="000000"/>
                <w:szCs w:val="18"/>
              </w:rPr>
              <w:t>8.56</w:t>
            </w:r>
          </w:p>
        </w:tc>
      </w:tr>
      <w:tr w:rsidR="00A97BEA" w:rsidRPr="00093100" w14:paraId="0A454184" w14:textId="77777777" w:rsidTr="00A97BEA">
        <w:tc>
          <w:tcPr>
            <w:tcW w:w="2835" w:type="dxa"/>
            <w:shd w:val="clear" w:color="auto" w:fill="FFFFFF"/>
            <w:vAlign w:val="center"/>
          </w:tcPr>
          <w:p w14:paraId="730B327A" w14:textId="3F733BCA" w:rsidR="00A97BEA" w:rsidRPr="00A97BEA" w:rsidRDefault="00A97BEA" w:rsidP="00A97BEA">
            <w:pPr>
              <w:pStyle w:val="CETBodytext"/>
              <w:ind w:right="-1"/>
              <w:jc w:val="center"/>
              <w:rPr>
                <w:rFonts w:cs="Arial"/>
                <w:szCs w:val="18"/>
              </w:rPr>
            </w:pPr>
            <w:r w:rsidRPr="00A97BEA">
              <w:rPr>
                <w:rFonts w:cs="Arial"/>
                <w:szCs w:val="18"/>
              </w:rPr>
              <w:t>SMA (g CH</w:t>
            </w:r>
            <w:r w:rsidRPr="00A97BEA">
              <w:rPr>
                <w:rFonts w:cs="Arial"/>
                <w:szCs w:val="18"/>
                <w:vertAlign w:val="subscript"/>
              </w:rPr>
              <w:t>4</w:t>
            </w:r>
            <w:r w:rsidRPr="00A97BEA">
              <w:rPr>
                <w:rFonts w:cs="Arial"/>
                <w:szCs w:val="18"/>
              </w:rPr>
              <w:t>-COD g</w:t>
            </w:r>
            <w:r w:rsidRPr="00A97BEA">
              <w:rPr>
                <w:rFonts w:cs="Arial"/>
                <w:szCs w:val="18"/>
                <w:vertAlign w:val="superscript"/>
              </w:rPr>
              <w:t>-1</w:t>
            </w:r>
            <w:r w:rsidRPr="00A97BEA">
              <w:rPr>
                <w:rFonts w:cs="Arial"/>
                <w:szCs w:val="18"/>
              </w:rPr>
              <w:t xml:space="preserve"> VSS d</w:t>
            </w:r>
            <w:r w:rsidRPr="00A97BEA">
              <w:rPr>
                <w:rFonts w:cs="Arial"/>
                <w:szCs w:val="18"/>
                <w:vertAlign w:val="superscript"/>
              </w:rPr>
              <w:t>-</w:t>
            </w:r>
            <w:proofErr w:type="gramStart"/>
            <w:r w:rsidRPr="00A97BEA">
              <w:rPr>
                <w:rFonts w:cs="Arial"/>
                <w:szCs w:val="18"/>
                <w:vertAlign w:val="superscript"/>
              </w:rPr>
              <w:t>1</w:t>
            </w:r>
            <w:r w:rsidRPr="00A97BEA">
              <w:rPr>
                <w:rFonts w:cs="Arial"/>
                <w:szCs w:val="18"/>
              </w:rPr>
              <w:t>)</w:t>
            </w:r>
            <w:r w:rsidRPr="00A97BEA">
              <w:rPr>
                <w:rFonts w:cs="Arial"/>
                <w:szCs w:val="18"/>
                <w:vertAlign w:val="superscript"/>
              </w:rPr>
              <w:t>a</w:t>
            </w:r>
            <w:proofErr w:type="gramEnd"/>
          </w:p>
        </w:tc>
        <w:tc>
          <w:tcPr>
            <w:tcW w:w="1134" w:type="dxa"/>
            <w:shd w:val="clear" w:color="auto" w:fill="FFFFFF"/>
            <w:vAlign w:val="center"/>
          </w:tcPr>
          <w:p w14:paraId="0F9C55D4" w14:textId="460958EB" w:rsidR="00A97BEA" w:rsidRPr="00A97BEA" w:rsidRDefault="00A97BEA" w:rsidP="00A97BEA">
            <w:pPr>
              <w:pStyle w:val="CETBodytext"/>
              <w:ind w:right="-1"/>
              <w:jc w:val="center"/>
              <w:rPr>
                <w:rFonts w:cs="Arial"/>
                <w:szCs w:val="18"/>
                <w:lang w:eastAsia="pt-PT"/>
              </w:rPr>
            </w:pPr>
            <w:r w:rsidRPr="00A97BEA">
              <w:rPr>
                <w:rFonts w:cs="Arial"/>
                <w:szCs w:val="18"/>
              </w:rPr>
              <w:t>0.009</w:t>
            </w:r>
          </w:p>
        </w:tc>
        <w:tc>
          <w:tcPr>
            <w:tcW w:w="1560" w:type="dxa"/>
            <w:shd w:val="clear" w:color="auto" w:fill="FFFFFF"/>
            <w:vAlign w:val="center"/>
          </w:tcPr>
          <w:p w14:paraId="7B9561E1" w14:textId="295F2E4A" w:rsidR="00A97BEA" w:rsidRPr="00A97BEA" w:rsidRDefault="00A97BEA" w:rsidP="00A97BEA">
            <w:pPr>
              <w:pStyle w:val="CETBodytext"/>
              <w:ind w:right="-1"/>
              <w:jc w:val="center"/>
              <w:rPr>
                <w:rFonts w:cs="Arial"/>
                <w:szCs w:val="18"/>
              </w:rPr>
            </w:pPr>
            <w:r w:rsidRPr="00A97BEA">
              <w:rPr>
                <w:rFonts w:cs="Arial"/>
                <w:color w:val="000000"/>
                <w:szCs w:val="18"/>
              </w:rPr>
              <w:t>0.002 - 0.028</w:t>
            </w:r>
          </w:p>
        </w:tc>
        <w:tc>
          <w:tcPr>
            <w:tcW w:w="1417" w:type="dxa"/>
            <w:shd w:val="clear" w:color="auto" w:fill="FFFFFF"/>
            <w:vAlign w:val="center"/>
          </w:tcPr>
          <w:p w14:paraId="2CD8F9F6" w14:textId="13205966" w:rsidR="00A97BEA" w:rsidRPr="00A97BEA" w:rsidRDefault="00A97BEA" w:rsidP="00A97BEA">
            <w:pPr>
              <w:pStyle w:val="CETBodytext"/>
              <w:ind w:right="-1"/>
              <w:jc w:val="center"/>
              <w:rPr>
                <w:rFonts w:cs="Arial"/>
                <w:szCs w:val="18"/>
                <w:lang w:eastAsia="pt-PT"/>
              </w:rPr>
            </w:pPr>
            <w:r w:rsidRPr="00A97BEA">
              <w:rPr>
                <w:rFonts w:cs="Arial"/>
                <w:szCs w:val="18"/>
              </w:rPr>
              <w:t>0.011</w:t>
            </w:r>
          </w:p>
        </w:tc>
        <w:tc>
          <w:tcPr>
            <w:tcW w:w="1559" w:type="dxa"/>
            <w:shd w:val="clear" w:color="auto" w:fill="FFFFFF"/>
            <w:vAlign w:val="center"/>
          </w:tcPr>
          <w:p w14:paraId="1AFA2AB6" w14:textId="6B35C466" w:rsidR="00A97BEA" w:rsidRPr="00A97BEA" w:rsidRDefault="00A97BEA" w:rsidP="00A97BEA">
            <w:pPr>
              <w:pStyle w:val="CETBodytext"/>
              <w:ind w:right="-1"/>
              <w:jc w:val="center"/>
              <w:rPr>
                <w:rFonts w:cs="Arial"/>
                <w:szCs w:val="18"/>
              </w:rPr>
            </w:pPr>
            <w:r w:rsidRPr="00A97BEA">
              <w:rPr>
                <w:rFonts w:cs="Arial"/>
                <w:color w:val="000000"/>
                <w:szCs w:val="18"/>
              </w:rPr>
              <w:t>0.003 - 0.038</w:t>
            </w:r>
          </w:p>
        </w:tc>
      </w:tr>
    </w:tbl>
    <w:p w14:paraId="73CFAC2F" w14:textId="3DD452B0" w:rsidR="00964486" w:rsidRDefault="00C7751C" w:rsidP="00C7751C">
      <w:pPr>
        <w:pStyle w:val="CETBodytext"/>
        <w:spacing w:after="240"/>
      </w:pPr>
      <w:r w:rsidRPr="00C7751C">
        <w:rPr>
          <w:vertAlign w:val="superscript"/>
        </w:rPr>
        <w:t>a</w:t>
      </w:r>
      <w:r w:rsidRPr="00C7751C">
        <w:t>. Global average for each feeding run</w:t>
      </w:r>
    </w:p>
    <w:p w14:paraId="6359D0E0" w14:textId="48A59C5F" w:rsidR="009E7083" w:rsidRPr="006C2A62" w:rsidRDefault="00450622" w:rsidP="00453E24">
      <w:pPr>
        <w:pStyle w:val="CETBodytext"/>
      </w:pPr>
      <w:r w:rsidRPr="00450622">
        <w:t xml:space="preserve">It is </w:t>
      </w:r>
      <w:r>
        <w:t>worth</w:t>
      </w:r>
      <w:r w:rsidRPr="00450622">
        <w:t xml:space="preserve"> </w:t>
      </w:r>
      <w:r>
        <w:t>mentioning</w:t>
      </w:r>
      <w:r w:rsidRPr="00450622">
        <w:t xml:space="preserve"> that methane production remained </w:t>
      </w:r>
      <w:r>
        <w:t>constant</w:t>
      </w:r>
      <w:r w:rsidRPr="00450622">
        <w:t xml:space="preserve"> despite the different stages</w:t>
      </w:r>
      <w:r w:rsidR="00A01A3F" w:rsidRPr="00A01A3F">
        <w:t xml:space="preserve">. </w:t>
      </w:r>
      <w:r w:rsidR="0087129E">
        <w:t>COD removal was on average 7</w:t>
      </w:r>
      <w:r w:rsidR="00177A82">
        <w:t>9</w:t>
      </w:r>
      <w:r w:rsidR="0087129E">
        <w:t>%</w:t>
      </w:r>
      <w:r w:rsidR="00F4312E">
        <w:t xml:space="preserve"> for both types of </w:t>
      </w:r>
      <w:r w:rsidR="002F12EB">
        <w:t>WW</w:t>
      </w:r>
      <w:r w:rsidR="00F4312E" w:rsidRPr="006C2A62">
        <w:t xml:space="preserve">, </w:t>
      </w:r>
      <w:r w:rsidR="006F1B19" w:rsidRPr="006C2A62">
        <w:t>and although the values are lower</w:t>
      </w:r>
      <w:r w:rsidR="00E57FE4">
        <w:t xml:space="preserve"> when compared with other investigations</w:t>
      </w:r>
      <w:r w:rsidR="006F1B19" w:rsidRPr="006C2A62">
        <w:t xml:space="preserve">, such amount of degradation is in accordance with other studies such as </w:t>
      </w:r>
      <w:r w:rsidR="00961D45" w:rsidRPr="006C2A62">
        <w:t>Cheng et al</w:t>
      </w:r>
      <w:r w:rsidR="0062114C" w:rsidRPr="006C2A62">
        <w:t xml:space="preserve">. </w:t>
      </w:r>
      <w:r w:rsidR="0050781B" w:rsidRPr="006C2A62">
        <w:t>(</w:t>
      </w:r>
      <w:r w:rsidR="00961D45" w:rsidRPr="006C2A62">
        <w:t>2019</w:t>
      </w:r>
      <w:r w:rsidR="0050781B" w:rsidRPr="006C2A62">
        <w:t>)</w:t>
      </w:r>
      <w:r w:rsidR="00896CC6">
        <w:t xml:space="preserve"> who reported</w:t>
      </w:r>
      <w:r w:rsidR="00961D45" w:rsidRPr="006C2A62">
        <w:t xml:space="preserve"> </w:t>
      </w:r>
      <w:r w:rsidR="00177A82" w:rsidRPr="00177A82">
        <w:t>COD removal ranging 70-90% with a influent COD of 1,800 mg/L, but when the organic load was increased to 8,000 mg/L the microbial culture was inhibited and COD removal dropped to values  below 70%</w:t>
      </w:r>
      <w:r w:rsidR="00961D45" w:rsidRPr="006C2A62">
        <w:t>.</w:t>
      </w:r>
      <w:r w:rsidR="0062114C" w:rsidRPr="006C2A62">
        <w:t xml:space="preserve"> </w:t>
      </w:r>
      <w:proofErr w:type="spellStart"/>
      <w:r w:rsidR="00820C4A" w:rsidRPr="006C2A62">
        <w:t>Danshita</w:t>
      </w:r>
      <w:proofErr w:type="spellEnd"/>
      <w:r w:rsidR="00820C4A" w:rsidRPr="006C2A62">
        <w:t xml:space="preserve"> et al. </w:t>
      </w:r>
      <w:r w:rsidR="0050781B" w:rsidRPr="006C2A62">
        <w:t>(</w:t>
      </w:r>
      <w:r w:rsidR="00820C4A" w:rsidRPr="006C2A62">
        <w:t>2018</w:t>
      </w:r>
      <w:r w:rsidR="0050781B" w:rsidRPr="006C2A62">
        <w:t>)</w:t>
      </w:r>
      <w:r w:rsidR="00820C4A" w:rsidRPr="006C2A62">
        <w:t xml:space="preserve"> </w:t>
      </w:r>
      <w:r w:rsidR="00177A82" w:rsidRPr="00177A82">
        <w:t>reported a COD removal rate of 50% for a WW containing 1500 mg/L of COD before the acclimation of biomass to TMAH degradation and achieving COD removals of 90% on average after acclimation despite being operated in psychrophilic temperatures</w:t>
      </w:r>
      <w:r w:rsidR="00820C4A" w:rsidRPr="006C2A62">
        <w:t>.</w:t>
      </w:r>
      <w:r w:rsidR="00820C4A">
        <w:t xml:space="preserve"> Following studies in </w:t>
      </w:r>
      <w:r w:rsidR="00820C4A" w:rsidRPr="006C2A62">
        <w:t>such conditions</w:t>
      </w:r>
      <w:r w:rsidR="001214E4">
        <w:t>,</w:t>
      </w:r>
      <w:r w:rsidR="00820C4A" w:rsidRPr="006C2A62">
        <w:t xml:space="preserve"> </w:t>
      </w:r>
      <w:proofErr w:type="spellStart"/>
      <w:r w:rsidR="00820C4A" w:rsidRPr="006C2A62">
        <w:t>Syutsubo</w:t>
      </w:r>
      <w:proofErr w:type="spellEnd"/>
      <w:r w:rsidR="00820C4A" w:rsidRPr="006C2A62">
        <w:t xml:space="preserve"> et al. </w:t>
      </w:r>
      <w:r w:rsidR="0050781B" w:rsidRPr="006C2A62">
        <w:t>(</w:t>
      </w:r>
      <w:r w:rsidR="00820C4A" w:rsidRPr="006C2A62">
        <w:t>2021</w:t>
      </w:r>
      <w:r w:rsidR="0050781B" w:rsidRPr="006C2A62">
        <w:t>)</w:t>
      </w:r>
      <w:r w:rsidR="00820C4A" w:rsidRPr="006C2A62">
        <w:t xml:space="preserve"> </w:t>
      </w:r>
      <w:r w:rsidR="00944D1B">
        <w:t>reported</w:t>
      </w:r>
      <w:r w:rsidR="00944D1B" w:rsidRPr="006C2A62">
        <w:t xml:space="preserve"> </w:t>
      </w:r>
      <w:r w:rsidR="00BD5A1D">
        <w:t>a</w:t>
      </w:r>
      <w:r w:rsidR="00B209DD" w:rsidRPr="006C2A62">
        <w:t xml:space="preserve"> remo</w:t>
      </w:r>
      <w:r w:rsidR="00BD5A1D">
        <w:t>val of</w:t>
      </w:r>
      <w:r w:rsidR="00B209DD" w:rsidRPr="006C2A62">
        <w:t xml:space="preserve"> 96% of COD</w:t>
      </w:r>
      <w:r w:rsidR="00177A82">
        <w:t>.</w:t>
      </w:r>
      <w:r w:rsidR="00944D1B">
        <w:t xml:space="preserve"> </w:t>
      </w:r>
      <w:r w:rsidR="00177A82" w:rsidRPr="00177A82">
        <w:t>It is important to emphasize that in the studies cited, synthetic or diluted WW were used, thus reducing the impact of other contaminants in a real WW</w:t>
      </w:r>
      <w:r w:rsidR="009E7083" w:rsidRPr="006C2A62">
        <w:t xml:space="preserve">. </w:t>
      </w:r>
    </w:p>
    <w:p w14:paraId="1B929B8C" w14:textId="4E20B7CC" w:rsidR="00355CC0" w:rsidRDefault="00A01A3F" w:rsidP="00453E24">
      <w:pPr>
        <w:pStyle w:val="CETBodytext"/>
      </w:pPr>
      <w:r w:rsidRPr="006C2A62">
        <w:lastRenderedPageBreak/>
        <w:t xml:space="preserve">The </w:t>
      </w:r>
      <w:r w:rsidR="003851AD">
        <w:t>methan</w:t>
      </w:r>
      <w:r w:rsidR="00C051F8">
        <w:t>is</w:t>
      </w:r>
      <w:r w:rsidR="003851AD">
        <w:t>ation efficiency</w:t>
      </w:r>
      <w:r w:rsidRPr="006C2A62">
        <w:t xml:space="preserve"> obtained values</w:t>
      </w:r>
      <w:r w:rsidR="001214E4">
        <w:t xml:space="preserve"> ranged</w:t>
      </w:r>
      <w:r w:rsidRPr="006C2A62">
        <w:t xml:space="preserve"> ​​between 6</w:t>
      </w:r>
      <w:r w:rsidR="003C4CA2">
        <w:t>5</w:t>
      </w:r>
      <w:r w:rsidR="00C051F8">
        <w:t>%</w:t>
      </w:r>
      <w:r w:rsidRPr="006C2A62">
        <w:t xml:space="preserve"> and </w:t>
      </w:r>
      <w:r w:rsidR="00B074FE" w:rsidRPr="006C2A62">
        <w:t>5</w:t>
      </w:r>
      <w:r w:rsidR="003C4CA2">
        <w:t>2</w:t>
      </w:r>
      <w:r w:rsidRPr="006C2A62">
        <w:t xml:space="preserve">% based on the input </w:t>
      </w:r>
      <w:proofErr w:type="spellStart"/>
      <w:r w:rsidRPr="006C2A62">
        <w:t>gCOD</w:t>
      </w:r>
      <w:proofErr w:type="spellEnd"/>
      <w:r w:rsidRPr="006C2A62">
        <w:t xml:space="preserve"> and produced gCOD.CH</w:t>
      </w:r>
      <w:r w:rsidRPr="006C2A62">
        <w:rPr>
          <w:vertAlign w:val="subscript"/>
        </w:rPr>
        <w:t>4</w:t>
      </w:r>
      <w:r w:rsidRPr="006C2A62">
        <w:t xml:space="preserve">. However, SMA had low values ​​when compared to other works, resembling SMA from </w:t>
      </w:r>
      <w:r w:rsidR="003451CD" w:rsidRPr="006C2A62">
        <w:t xml:space="preserve">reactors </w:t>
      </w:r>
      <w:r w:rsidRPr="006C2A62">
        <w:t xml:space="preserve">with a notable presence of </w:t>
      </w:r>
      <w:r w:rsidR="00B074FE" w:rsidRPr="006C2A62">
        <w:t>sulfidogenic</w:t>
      </w:r>
      <w:r w:rsidRPr="006C2A62">
        <w:t xml:space="preserve"> </w:t>
      </w:r>
      <w:r w:rsidR="003451CD" w:rsidRPr="006C2A62">
        <w:t xml:space="preserve">microbiota </w:t>
      </w:r>
      <w:r w:rsidRPr="006C2A62">
        <w:t>(</w:t>
      </w:r>
      <w:proofErr w:type="spellStart"/>
      <w:r w:rsidR="006B3A83" w:rsidRPr="006C2A62">
        <w:t>Gámez</w:t>
      </w:r>
      <w:proofErr w:type="spellEnd"/>
      <w:r w:rsidR="006B3A83" w:rsidRPr="006C2A62">
        <w:t xml:space="preserve"> et al., 2008</w:t>
      </w:r>
      <w:r w:rsidRPr="006C2A62">
        <w:t>). A low SMA and high conversion of COD to CH</w:t>
      </w:r>
      <w:r w:rsidRPr="006C2A62">
        <w:rPr>
          <w:vertAlign w:val="subscript"/>
        </w:rPr>
        <w:t>4</w:t>
      </w:r>
      <w:r w:rsidRPr="006C2A62">
        <w:t xml:space="preserve"> may indicate that there is little </w:t>
      </w:r>
      <w:r w:rsidR="00F07CDE">
        <w:t>substrate</w:t>
      </w:r>
      <w:r w:rsidR="00F07CDE" w:rsidRPr="006C2A62">
        <w:t xml:space="preserve"> </w:t>
      </w:r>
      <w:r w:rsidRPr="006C2A62">
        <w:t xml:space="preserve">available for all microorganisms, indicating that there is the possibility of generating even more methane when at higher loads. </w:t>
      </w:r>
      <w:r w:rsidR="00F07CDE">
        <w:t>Even c</w:t>
      </w:r>
      <w:r w:rsidRPr="006C2A62">
        <w:t xml:space="preserve">onsidering </w:t>
      </w:r>
      <w:r w:rsidR="002F12EB">
        <w:t>the potential</w:t>
      </w:r>
      <w:r w:rsidR="00F07CDE">
        <w:t xml:space="preserve"> </w:t>
      </w:r>
      <w:r w:rsidRPr="006C2A62">
        <w:t xml:space="preserve">presence of </w:t>
      </w:r>
      <w:r w:rsidR="00B074FE" w:rsidRPr="006C2A62">
        <w:t>sulfidogenic</w:t>
      </w:r>
      <w:r w:rsidR="00F07CDE">
        <w:t xml:space="preserve"> </w:t>
      </w:r>
      <w:r w:rsidR="001214E4">
        <w:t xml:space="preserve">microbiota </w:t>
      </w:r>
      <w:r w:rsidR="00825EBA">
        <w:t xml:space="preserve">competing </w:t>
      </w:r>
      <w:r w:rsidR="003A538C" w:rsidRPr="006C2A62">
        <w:t>for resources,</w:t>
      </w:r>
      <w:r w:rsidRPr="006C2A62">
        <w:t xml:space="preserve"> there was</w:t>
      </w:r>
      <w:r w:rsidR="003A538C" w:rsidRPr="006C2A62">
        <w:t xml:space="preserve"> no significant impact on methane production</w:t>
      </w:r>
      <w:r w:rsidR="00825EBA">
        <w:t>, as</w:t>
      </w:r>
      <w:r w:rsidR="00B00E8B">
        <w:t xml:space="preserve"> a</w:t>
      </w:r>
      <w:r w:rsidR="003451CD">
        <w:t xml:space="preserve"> high consumption of TVA</w:t>
      </w:r>
      <w:r w:rsidR="00604927">
        <w:t xml:space="preserve"> </w:t>
      </w:r>
      <w:r w:rsidR="003A538C">
        <w:t>confirms</w:t>
      </w:r>
      <w:r w:rsidR="00604927">
        <w:t xml:space="preserve"> that there was no accumulation of volatile acids</w:t>
      </w:r>
      <w:r w:rsidRPr="00A01A3F">
        <w:t>, demonstrating stability in the system.</w:t>
      </w:r>
      <w:r w:rsidR="008A700C">
        <w:t xml:space="preserve"> </w:t>
      </w:r>
      <w:r w:rsidR="00B00E8B">
        <w:t xml:space="preserve">The constant production of volatile acids from acidogenesis </w:t>
      </w:r>
      <w:r w:rsidR="00980039">
        <w:t xml:space="preserve">was confirmed through the alkalinity reduction throughout the experiment. </w:t>
      </w:r>
      <w:r w:rsidR="008A700C" w:rsidRPr="008A700C">
        <w:t xml:space="preserve">It is also possible to verify from </w:t>
      </w:r>
      <w:r w:rsidR="008A700C">
        <w:t>F</w:t>
      </w:r>
      <w:r w:rsidR="008A700C" w:rsidRPr="008A700C">
        <w:t>igure 1 that there was no accumulation</w:t>
      </w:r>
      <w:r w:rsidR="008A700C">
        <w:t xml:space="preserve"> of organic</w:t>
      </w:r>
      <w:r w:rsidR="002A1146">
        <w:t xml:space="preserve"> compounds</w:t>
      </w:r>
      <w:r w:rsidR="008A700C">
        <w:t xml:space="preserve"> over the different phases, confirming its degradation even when higher loads were added with different mixtures of </w:t>
      </w:r>
      <w:r w:rsidR="002F12EB">
        <w:t>WW</w:t>
      </w:r>
      <w:r w:rsidR="008A700C">
        <w:t>.</w:t>
      </w:r>
    </w:p>
    <w:p w14:paraId="75F978F4" w14:textId="77777777" w:rsidR="003A538C" w:rsidRDefault="003A538C" w:rsidP="00453E24">
      <w:pPr>
        <w:pStyle w:val="CETBodytext"/>
      </w:pPr>
    </w:p>
    <w:p w14:paraId="56EE88EF" w14:textId="23C5DB0B" w:rsidR="00487DAF" w:rsidRDefault="00F5423F" w:rsidP="00F5423F">
      <w:pPr>
        <w:pStyle w:val="CETBodytext"/>
        <w:jc w:val="center"/>
      </w:pPr>
      <w:r>
        <w:rPr>
          <w:noProof/>
        </w:rPr>
        <w:drawing>
          <wp:inline distT="0" distB="0" distL="0" distR="0" wp14:anchorId="7699A335" wp14:editId="76A3A1F7">
            <wp:extent cx="5257800" cy="2216150"/>
            <wp:effectExtent l="0" t="0" r="0" b="0"/>
            <wp:docPr id="527391684" name="Gráfico 1">
              <a:extLst xmlns:a="http://schemas.openxmlformats.org/drawingml/2006/main">
                <a:ext uri="{FF2B5EF4-FFF2-40B4-BE49-F238E27FC236}">
                  <a16:creationId xmlns:a16="http://schemas.microsoft.com/office/drawing/2014/main" id="{78AEE5FE-1495-B99C-6984-EC8D58202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3EAA84" w14:textId="6F48CF10" w:rsidR="00487DAF" w:rsidRDefault="00487DAF" w:rsidP="007B28C6">
      <w:pPr>
        <w:pStyle w:val="CETBodytext"/>
        <w:jc w:val="left"/>
      </w:pPr>
      <w:r w:rsidRPr="00BD077D">
        <w:rPr>
          <w:rStyle w:val="CETCaptionCarattere"/>
        </w:rPr>
        <w:t xml:space="preserve">Figure 1: </w:t>
      </w:r>
      <w:r w:rsidR="00DD773D">
        <w:rPr>
          <w:rStyle w:val="CETCaptionCarattere"/>
        </w:rPr>
        <w:t xml:space="preserve">Mean </w:t>
      </w:r>
      <w:r w:rsidR="006518EF">
        <w:rPr>
          <w:rStyle w:val="CETCaptionCarattere"/>
        </w:rPr>
        <w:t xml:space="preserve">COD </w:t>
      </w:r>
      <w:r w:rsidR="00DD773D">
        <w:rPr>
          <w:rStyle w:val="CETCaptionCarattere"/>
        </w:rPr>
        <w:t xml:space="preserve">concentration </w:t>
      </w:r>
      <w:r w:rsidR="006518EF">
        <w:rPr>
          <w:rStyle w:val="CETCaptionCarattere"/>
        </w:rPr>
        <w:t xml:space="preserve">for feed and treated effluents, from </w:t>
      </w:r>
      <w:r w:rsidR="009042E5">
        <w:rPr>
          <w:rStyle w:val="CETCaptionCarattere"/>
        </w:rPr>
        <w:t>A</w:t>
      </w:r>
      <w:r w:rsidR="006518EF">
        <w:rPr>
          <w:rStyle w:val="CETCaptionCarattere"/>
        </w:rPr>
        <w:t xml:space="preserve">cclimation to </w:t>
      </w:r>
      <w:r w:rsidR="009042E5">
        <w:rPr>
          <w:rStyle w:val="CETCaptionCarattere"/>
        </w:rPr>
        <w:t>S</w:t>
      </w:r>
      <w:r w:rsidR="006518EF">
        <w:rPr>
          <w:rStyle w:val="CETCaptionCarattere"/>
        </w:rPr>
        <w:t>tabilization 2</w:t>
      </w:r>
      <w:r w:rsidR="001214E4">
        <w:rPr>
          <w:rStyle w:val="CETCaptionCarattere"/>
        </w:rPr>
        <w:t xml:space="preserve"> phases</w:t>
      </w:r>
      <w:r w:rsidR="006518EF">
        <w:rPr>
          <w:rStyle w:val="CETCaptionCarattere"/>
        </w:rPr>
        <w:t>.</w:t>
      </w:r>
    </w:p>
    <w:p w14:paraId="464B20E0" w14:textId="77777777" w:rsidR="00964486" w:rsidRDefault="00964486" w:rsidP="00453E24">
      <w:pPr>
        <w:pStyle w:val="CETBodytext"/>
      </w:pPr>
    </w:p>
    <w:p w14:paraId="48DF1B63" w14:textId="3B63E72B" w:rsidR="002704A4" w:rsidRPr="006C2A62" w:rsidRDefault="00E42FB9" w:rsidP="00453E24">
      <w:pPr>
        <w:pStyle w:val="CETBodytext"/>
      </w:pPr>
      <w:r w:rsidRPr="00E42FB9">
        <w:t>Stabilization 1 achieved the highest COD removal and methani</w:t>
      </w:r>
      <w:r w:rsidR="003C4CA2">
        <w:t>s</w:t>
      </w:r>
      <w:r w:rsidRPr="00E42FB9">
        <w:t>ation, with SMA increasing from 0.00</w:t>
      </w:r>
      <w:r w:rsidR="004E5DD2">
        <w:t>6</w:t>
      </w:r>
      <w:r w:rsidR="005715D4">
        <w:t>1</w:t>
      </w:r>
      <w:r w:rsidRPr="00E42FB9">
        <w:t xml:space="preserve"> to 0.0</w:t>
      </w:r>
      <w:r w:rsidR="004E5DD2">
        <w:t>13</w:t>
      </w:r>
      <w:r w:rsidR="005715D4">
        <w:t>7</w:t>
      </w:r>
      <w:r w:rsidRPr="00E42FB9">
        <w:t xml:space="preserve">, indicating microbial adaptation to the effluent’s composition and organic load. In contrast, Stabilization 2, with a mixed effluent containing higher contaminant concentrations, </w:t>
      </w:r>
      <w:r w:rsidR="00C7751C" w:rsidRPr="00C7751C">
        <w:t>caused system destabilization, confirmed by the SMA decrease to 0.0070, suggesting inhibition.</w:t>
      </w:r>
      <w:r w:rsidRPr="00E42FB9">
        <w:t xml:space="preserve"> While complex effluents with harmful compounds like heavy metals or TMAH can be treated, their effectiveness is reduced.</w:t>
      </w:r>
      <w:r>
        <w:t xml:space="preserve"> </w:t>
      </w:r>
      <w:r w:rsidR="00B00E8B" w:rsidRPr="006C2A62">
        <w:t xml:space="preserve">Other works also experienced a drop in overall treatment efficiency </w:t>
      </w:r>
      <w:r w:rsidR="00F85599">
        <w:t>due to the</w:t>
      </w:r>
      <w:r w:rsidR="00F85599" w:rsidRPr="006C2A62">
        <w:t xml:space="preserve"> </w:t>
      </w:r>
      <w:r w:rsidR="00B00E8B" w:rsidRPr="006C2A62">
        <w:t>presence of heavy metals (</w:t>
      </w:r>
      <w:r w:rsidR="00EF1EB0" w:rsidRPr="006C2A62">
        <w:t>Yang et al., 2012</w:t>
      </w:r>
      <w:r w:rsidR="00B00E8B" w:rsidRPr="006C2A62">
        <w:t>), especially copper (</w:t>
      </w:r>
      <w:r w:rsidR="00EF1EB0" w:rsidRPr="006C2A62">
        <w:t>Otero-González et al., 2014</w:t>
      </w:r>
      <w:r w:rsidR="00B00E8B" w:rsidRPr="006C2A62">
        <w:t>) and high concentrations of TMAH (</w:t>
      </w:r>
      <w:proofErr w:type="spellStart"/>
      <w:r w:rsidR="00352C7D" w:rsidRPr="006C2A62">
        <w:t>Lv</w:t>
      </w:r>
      <w:proofErr w:type="spellEnd"/>
      <w:r w:rsidR="00352C7D" w:rsidRPr="006C2A62">
        <w:t xml:space="preserve"> et al., 2023</w:t>
      </w:r>
      <w:r w:rsidR="00B00E8B" w:rsidRPr="006C2A62">
        <w:t>).</w:t>
      </w:r>
      <w:r w:rsidR="007D7BF3" w:rsidRPr="006C2A62">
        <w:t xml:space="preserve"> Not only </w:t>
      </w:r>
      <w:r w:rsidR="004278B0" w:rsidRPr="006C2A62">
        <w:t>do</w:t>
      </w:r>
      <w:r w:rsidR="007D7BF3" w:rsidRPr="006C2A62">
        <w:t xml:space="preserve"> the compounds in the effluent can cause inhibitions, but also the </w:t>
      </w:r>
      <w:r w:rsidR="00F85599">
        <w:t>degradation intermediates</w:t>
      </w:r>
      <w:r w:rsidR="007D7BF3" w:rsidRPr="006C2A62">
        <w:t xml:space="preserve"> of the digestion can also be inhibitory, such as the case with the degradation of TMAH, </w:t>
      </w:r>
      <w:r w:rsidR="0092532B">
        <w:t>which the</w:t>
      </w:r>
      <w:r w:rsidR="007D7BF3" w:rsidRPr="006C2A62">
        <w:t xml:space="preserve"> final product is ammonia </w:t>
      </w:r>
      <w:r w:rsidR="0092532B">
        <w:t xml:space="preserve">that can unbalance </w:t>
      </w:r>
      <w:r w:rsidR="007D7BF3" w:rsidRPr="006C2A62">
        <w:t xml:space="preserve">the anaerobic system </w:t>
      </w:r>
      <w:r w:rsidR="0092532B">
        <w:t xml:space="preserve">at high concentrations </w:t>
      </w:r>
      <w:r w:rsidR="007D7BF3" w:rsidRPr="006C2A62">
        <w:t>(</w:t>
      </w:r>
      <w:r w:rsidR="00EF1EB0" w:rsidRPr="006C2A62">
        <w:t>Whang et al., 2014</w:t>
      </w:r>
      <w:r w:rsidR="007D7BF3" w:rsidRPr="006C2A62">
        <w:t>).</w:t>
      </w:r>
    </w:p>
    <w:p w14:paraId="5263AF77" w14:textId="7744693B" w:rsidR="007B28C6" w:rsidRDefault="00B00E8B" w:rsidP="00453E24">
      <w:pPr>
        <w:pStyle w:val="CETBodytext"/>
      </w:pPr>
      <w:r w:rsidRPr="006C2A62">
        <w:t xml:space="preserve">It was observed by </w:t>
      </w:r>
      <w:r w:rsidR="00781142" w:rsidRPr="006C2A62">
        <w:t xml:space="preserve">Li et al. </w:t>
      </w:r>
      <w:r w:rsidR="008B3FFC" w:rsidRPr="006C2A62">
        <w:t>(</w:t>
      </w:r>
      <w:r w:rsidR="00781142" w:rsidRPr="006C2A62">
        <w:t>2023</w:t>
      </w:r>
      <w:r w:rsidR="008B3FFC" w:rsidRPr="006C2A62">
        <w:t>)</w:t>
      </w:r>
      <w:r w:rsidRPr="006C2A62">
        <w:t xml:space="preserve"> that not only the methanogens are responsible for the degradation of</w:t>
      </w:r>
      <w:r w:rsidR="00DE207A">
        <w:t xml:space="preserve"> TMAH</w:t>
      </w:r>
      <w:r w:rsidRPr="006C2A62">
        <w:t xml:space="preserve"> in semiconductor </w:t>
      </w:r>
      <w:r w:rsidR="002F12EB">
        <w:t>WW</w:t>
      </w:r>
      <w:r w:rsidR="00E642B4">
        <w:t>,</w:t>
      </w:r>
      <w:r w:rsidRPr="006C2A62">
        <w:t xml:space="preserve"> </w:t>
      </w:r>
      <w:r w:rsidR="00E642B4" w:rsidRPr="00E642B4">
        <w:t xml:space="preserve">corroborating that </w:t>
      </w:r>
      <w:r w:rsidR="00306098">
        <w:t>a reactor with</w:t>
      </w:r>
      <w:r w:rsidR="00E642B4" w:rsidRPr="00E642B4">
        <w:t xml:space="preserve"> greater diversity of microorganisms is more capable of </w:t>
      </w:r>
      <w:r w:rsidR="00E642B4">
        <w:t>degrading</w:t>
      </w:r>
      <w:r w:rsidR="00E642B4" w:rsidRPr="00E642B4">
        <w:t xml:space="preserve"> complex </w:t>
      </w:r>
      <w:r w:rsidR="00306098" w:rsidRPr="00E642B4">
        <w:t>compounds.</w:t>
      </w:r>
      <w:r w:rsidR="003A538C" w:rsidRPr="006C2A62">
        <w:t xml:space="preserve"> Although sulfidogenic microorganisms can </w:t>
      </w:r>
      <w:r w:rsidR="00500525">
        <w:t>unbalance</w:t>
      </w:r>
      <w:r w:rsidR="00500525" w:rsidRPr="006C2A62">
        <w:t xml:space="preserve"> </w:t>
      </w:r>
      <w:r w:rsidR="003A538C" w:rsidRPr="006C2A62">
        <w:t xml:space="preserve">the anaerobic system due to competition for resources with </w:t>
      </w:r>
      <w:r w:rsidR="00917F44" w:rsidRPr="006C2A62">
        <w:t>methanoge</w:t>
      </w:r>
      <w:r w:rsidR="00500525">
        <w:t>ns</w:t>
      </w:r>
      <w:r w:rsidR="003A538C" w:rsidRPr="006C2A62">
        <w:t xml:space="preserve">, </w:t>
      </w:r>
      <w:r w:rsidR="00781142" w:rsidRPr="006C2A62">
        <w:rPr>
          <w:lang w:val="en"/>
        </w:rPr>
        <w:t>Sierra-Alvarez et al. (2007)</w:t>
      </w:r>
      <w:r w:rsidR="003A538C" w:rsidRPr="006C2A62">
        <w:t xml:space="preserve"> demonstrated that they are capable of mineralizing copper ions, thus being an alternative for reducing this metal in the final effluent and as a form to reduce the impacts generated by toxicity.</w:t>
      </w:r>
      <w:r w:rsidR="0087129E" w:rsidRPr="006C2A62">
        <w:t xml:space="preserve"> The presence of sulfidogenic microorganisms can also be effective to degrade other compounds that are not suitable for methanogenic archaea such</w:t>
      </w:r>
      <w:r w:rsidR="0087129E">
        <w:t xml:space="preserve"> as surfactants according to </w:t>
      </w:r>
      <w:r w:rsidR="00781142" w:rsidRPr="00781142">
        <w:rPr>
          <w:lang w:val="en-GB"/>
        </w:rPr>
        <w:t>Hollingsworth</w:t>
      </w:r>
      <w:r w:rsidR="00781142">
        <w:rPr>
          <w:lang w:val="en-GB"/>
        </w:rPr>
        <w:t xml:space="preserve"> et al. (2005)</w:t>
      </w:r>
      <w:r w:rsidR="0087129E">
        <w:t>.</w:t>
      </w:r>
    </w:p>
    <w:p w14:paraId="735BDD2B" w14:textId="6F98ABA8" w:rsidR="00CD4AAB" w:rsidRDefault="00B136E2" w:rsidP="00453E24">
      <w:pPr>
        <w:pStyle w:val="CETBodytext"/>
      </w:pPr>
      <w:r w:rsidRPr="00B136E2">
        <w:rPr>
          <w:lang w:val="en"/>
        </w:rPr>
        <w:t xml:space="preserve">The experimental design and execution, characterized by semi-continuous feeding, inherently </w:t>
      </w:r>
      <w:r w:rsidR="004278B0" w:rsidRPr="00B136E2">
        <w:rPr>
          <w:lang w:val="en"/>
        </w:rPr>
        <w:t>promotes</w:t>
      </w:r>
      <w:r w:rsidRPr="00B136E2">
        <w:rPr>
          <w:lang w:val="en"/>
        </w:rPr>
        <w:t xml:space="preserve"> the accumulation of inorganic compounds and other substances that are non-biodegradable by anaerobic microorganisms, such as copper, fluoride, and ammonia, within the reactor. Over time, as these compounds progressively accumulate, the efficiency of the anaerobic treatment is expected to decline, despite the system's adaptation to the </w:t>
      </w:r>
      <w:r w:rsidR="002F12EB">
        <w:rPr>
          <w:lang w:val="en"/>
        </w:rPr>
        <w:t>WW</w:t>
      </w:r>
      <w:r w:rsidRPr="00B136E2">
        <w:rPr>
          <w:lang w:val="en"/>
        </w:rPr>
        <w:t>.</w:t>
      </w:r>
      <w:r w:rsidR="00352C7D" w:rsidRPr="007B28C6">
        <w:rPr>
          <w:lang w:val="en"/>
        </w:rPr>
        <w:t xml:space="preserve"> This</w:t>
      </w:r>
      <w:r w:rsidR="007B28C6" w:rsidRPr="007B28C6">
        <w:rPr>
          <w:lang w:val="en"/>
        </w:rPr>
        <w:t xml:space="preserve"> context is possible to occur even in other types of </w:t>
      </w:r>
      <w:r w:rsidR="004159E8">
        <w:rPr>
          <w:lang w:val="en"/>
        </w:rPr>
        <w:t>configurations</w:t>
      </w:r>
      <w:r w:rsidR="004159E8" w:rsidRPr="007B28C6">
        <w:rPr>
          <w:lang w:val="en"/>
        </w:rPr>
        <w:t xml:space="preserve"> </w:t>
      </w:r>
      <w:r w:rsidR="004159E8">
        <w:rPr>
          <w:lang w:val="en"/>
        </w:rPr>
        <w:t>such as</w:t>
      </w:r>
      <w:r w:rsidR="007B28C6" w:rsidRPr="007B28C6">
        <w:rPr>
          <w:lang w:val="en"/>
        </w:rPr>
        <w:t xml:space="preserve"> continuous systems due to a greater flow of effluent to the reactors</w:t>
      </w:r>
      <w:r w:rsidR="007122D6">
        <w:rPr>
          <w:lang w:val="en"/>
        </w:rPr>
        <w:t>.</w:t>
      </w:r>
      <w:r w:rsidR="007122D6" w:rsidRPr="007B28C6">
        <w:rPr>
          <w:lang w:val="en"/>
        </w:rPr>
        <w:t xml:space="preserve"> </w:t>
      </w:r>
      <w:r w:rsidR="007122D6">
        <w:rPr>
          <w:lang w:val="en"/>
        </w:rPr>
        <w:t>T</w:t>
      </w:r>
      <w:r w:rsidR="007B28C6" w:rsidRPr="007B28C6">
        <w:rPr>
          <w:lang w:val="en"/>
        </w:rPr>
        <w:t xml:space="preserve">herefore, it is necessary to consider </w:t>
      </w:r>
      <w:r w:rsidR="007122D6">
        <w:rPr>
          <w:lang w:val="en"/>
        </w:rPr>
        <w:t xml:space="preserve">further </w:t>
      </w:r>
      <w:r w:rsidR="007B28C6" w:rsidRPr="007B28C6">
        <w:rPr>
          <w:lang w:val="en"/>
        </w:rPr>
        <w:t>strategies such as pre</w:t>
      </w:r>
      <w:r w:rsidR="007122D6">
        <w:rPr>
          <w:lang w:val="en"/>
        </w:rPr>
        <w:t>-</w:t>
      </w:r>
      <w:r w:rsidR="007B28C6" w:rsidRPr="007B28C6">
        <w:rPr>
          <w:lang w:val="en"/>
        </w:rPr>
        <w:t xml:space="preserve"> and post</w:t>
      </w:r>
      <w:r w:rsidR="007122D6">
        <w:rPr>
          <w:lang w:val="en"/>
        </w:rPr>
        <w:t>-</w:t>
      </w:r>
      <w:r w:rsidR="007B28C6" w:rsidRPr="007B28C6">
        <w:rPr>
          <w:lang w:val="en"/>
        </w:rPr>
        <w:t xml:space="preserve">treatments for this type of </w:t>
      </w:r>
      <w:r w:rsidR="002F12EB">
        <w:rPr>
          <w:lang w:val="en"/>
        </w:rPr>
        <w:t>WW</w:t>
      </w:r>
      <w:r w:rsidR="007B28C6" w:rsidRPr="006C2A62">
        <w:rPr>
          <w:lang w:val="en"/>
        </w:rPr>
        <w:t xml:space="preserve">. </w:t>
      </w:r>
      <w:r w:rsidR="007122D6">
        <w:rPr>
          <w:lang w:val="en"/>
        </w:rPr>
        <w:t>Several</w:t>
      </w:r>
      <w:r w:rsidR="007122D6" w:rsidRPr="006C2A62">
        <w:rPr>
          <w:lang w:val="en"/>
        </w:rPr>
        <w:t xml:space="preserve"> </w:t>
      </w:r>
      <w:r w:rsidR="007B28C6" w:rsidRPr="006C2A62">
        <w:rPr>
          <w:lang w:val="en"/>
        </w:rPr>
        <w:t xml:space="preserve">studies have already sought the combination of treatments </w:t>
      </w:r>
      <w:r w:rsidR="00352C7D" w:rsidRPr="006C2A62">
        <w:rPr>
          <w:lang w:val="en"/>
        </w:rPr>
        <w:t>to</w:t>
      </w:r>
      <w:r w:rsidR="007B28C6" w:rsidRPr="006C2A62">
        <w:rPr>
          <w:lang w:val="en"/>
        </w:rPr>
        <w:t xml:space="preserve"> increase the </w:t>
      </w:r>
      <w:r w:rsidR="0050781B" w:rsidRPr="006C2A62">
        <w:rPr>
          <w:lang w:val="en"/>
        </w:rPr>
        <w:t>treatment efficacy</w:t>
      </w:r>
      <w:r w:rsidR="007B28C6" w:rsidRPr="006C2A62">
        <w:rPr>
          <w:lang w:val="en"/>
        </w:rPr>
        <w:t xml:space="preserve"> of these effluents.</w:t>
      </w:r>
      <w:r w:rsidR="002F2573" w:rsidRPr="006C2A62">
        <w:rPr>
          <w:lang w:val="en"/>
        </w:rPr>
        <w:t xml:space="preserve"> Considering the increase of biodegradation to improve the </w:t>
      </w:r>
      <w:r w:rsidR="00C239C7">
        <w:rPr>
          <w:lang w:val="en"/>
        </w:rPr>
        <w:t>removal of organic compounds</w:t>
      </w:r>
      <w:r w:rsidR="002F2573" w:rsidRPr="006C2A62">
        <w:rPr>
          <w:lang w:val="en"/>
        </w:rPr>
        <w:t>, different authors proposed the use of oxidative systems</w:t>
      </w:r>
      <w:r w:rsidR="002D25AE" w:rsidRPr="006C2A62">
        <w:rPr>
          <w:lang w:val="en"/>
        </w:rPr>
        <w:t xml:space="preserve"> as a pre-treatment</w:t>
      </w:r>
      <w:r w:rsidR="002F2573" w:rsidRPr="006C2A62">
        <w:rPr>
          <w:lang w:val="en"/>
        </w:rPr>
        <w:t xml:space="preserve"> </w:t>
      </w:r>
      <w:r w:rsidR="00CD4AAB" w:rsidRPr="006C2A62">
        <w:rPr>
          <w:lang w:val="en"/>
        </w:rPr>
        <w:t>to</w:t>
      </w:r>
      <w:r w:rsidR="002F2573" w:rsidRPr="006C2A62">
        <w:rPr>
          <w:lang w:val="en"/>
        </w:rPr>
        <w:t xml:space="preserve"> achieve them, either by using ozone (</w:t>
      </w:r>
      <w:r w:rsidR="00CD4AAB" w:rsidRPr="006C2A62">
        <w:rPr>
          <w:lang w:val="en"/>
        </w:rPr>
        <w:t xml:space="preserve">Satyendra Tripathi and </w:t>
      </w:r>
      <w:proofErr w:type="spellStart"/>
      <w:r w:rsidR="00CD4AAB" w:rsidRPr="006C2A62">
        <w:rPr>
          <w:lang w:val="en"/>
        </w:rPr>
        <w:t>Touseef</w:t>
      </w:r>
      <w:proofErr w:type="spellEnd"/>
      <w:r w:rsidR="00CD4AAB" w:rsidRPr="006C2A62">
        <w:rPr>
          <w:lang w:val="en"/>
        </w:rPr>
        <w:t xml:space="preserve"> Hussain, 202</w:t>
      </w:r>
      <w:r w:rsidR="00E47891" w:rsidRPr="006C2A62">
        <w:rPr>
          <w:lang w:val="en"/>
        </w:rPr>
        <w:t>1</w:t>
      </w:r>
      <w:r w:rsidR="002F2573" w:rsidRPr="006C2A62">
        <w:rPr>
          <w:lang w:val="en"/>
        </w:rPr>
        <w:t xml:space="preserve">), </w:t>
      </w:r>
      <w:r w:rsidR="00485DDF" w:rsidRPr="006C2A62">
        <w:rPr>
          <w:lang w:val="en"/>
        </w:rPr>
        <w:t>Fenton</w:t>
      </w:r>
      <w:r w:rsidR="002F2573" w:rsidRPr="006C2A62">
        <w:rPr>
          <w:lang w:val="en"/>
        </w:rPr>
        <w:t xml:space="preserve"> (Park </w:t>
      </w:r>
      <w:r w:rsidR="002F2573" w:rsidRPr="006C2A62">
        <w:rPr>
          <w:lang w:val="en"/>
        </w:rPr>
        <w:lastRenderedPageBreak/>
        <w:t>et al.,</w:t>
      </w:r>
      <w:r w:rsidR="00CD4AAB" w:rsidRPr="006C2A62">
        <w:rPr>
          <w:lang w:val="en"/>
        </w:rPr>
        <w:t xml:space="preserve"> 2001) or anodic oxidation (Mousset et al., 2018) with </w:t>
      </w:r>
      <w:r w:rsidR="0050781B" w:rsidRPr="006C2A62">
        <w:rPr>
          <w:lang w:val="en"/>
        </w:rPr>
        <w:t>varying</w:t>
      </w:r>
      <w:r w:rsidR="00CD4AAB" w:rsidRPr="006C2A62">
        <w:rPr>
          <w:lang w:val="en"/>
        </w:rPr>
        <w:t xml:space="preserve"> degrees of </w:t>
      </w:r>
      <w:r w:rsidR="00C7751C">
        <w:rPr>
          <w:szCs w:val="18"/>
          <w:lang w:val="en"/>
        </w:rPr>
        <w:t>efficiency</w:t>
      </w:r>
      <w:r w:rsidR="00CD4AAB" w:rsidRPr="006C2A62">
        <w:rPr>
          <w:lang w:val="en"/>
        </w:rPr>
        <w:t>. As a post-treatment for the removal of anaerobic degradation products, such as ammonia, the use of aerobic</w:t>
      </w:r>
      <w:r w:rsidR="00AC4FAB" w:rsidRPr="006C2A62">
        <w:rPr>
          <w:lang w:val="en"/>
        </w:rPr>
        <w:t xml:space="preserve"> and</w:t>
      </w:r>
      <w:r w:rsidR="00CD4AAB" w:rsidRPr="006C2A62">
        <w:rPr>
          <w:lang w:val="en"/>
        </w:rPr>
        <w:t xml:space="preserve"> anoxic systems</w:t>
      </w:r>
      <w:r w:rsidR="00AC4FAB" w:rsidRPr="006C2A62">
        <w:rPr>
          <w:lang w:val="en"/>
        </w:rPr>
        <w:t xml:space="preserve"> </w:t>
      </w:r>
      <w:r w:rsidR="00812B1C">
        <w:rPr>
          <w:lang w:val="en"/>
        </w:rPr>
        <w:t xml:space="preserve">was found to reach </w:t>
      </w:r>
      <w:r w:rsidR="00AC4FAB" w:rsidRPr="006C2A62">
        <w:rPr>
          <w:lang w:val="en"/>
        </w:rPr>
        <w:t>reaching a maximum removal of nitrogen of 63% along with a TMAH reduction between 70 and 100%</w:t>
      </w:r>
      <w:r w:rsidR="00812B1C">
        <w:rPr>
          <w:lang w:val="en"/>
        </w:rPr>
        <w:t xml:space="preserve"> </w:t>
      </w:r>
      <w:r w:rsidR="00812B1C" w:rsidRPr="006C2A62">
        <w:rPr>
          <w:lang w:val="en"/>
        </w:rPr>
        <w:t>(Lin et al., 2015)</w:t>
      </w:r>
      <w:r w:rsidR="00AC4FAB" w:rsidRPr="006C2A62">
        <w:rPr>
          <w:lang w:val="en"/>
        </w:rPr>
        <w:t xml:space="preserve">. </w:t>
      </w:r>
      <w:r w:rsidR="00CD4AAB" w:rsidRPr="006C2A62">
        <w:rPr>
          <w:lang w:val="en"/>
        </w:rPr>
        <w:t xml:space="preserve">Sierra-Alvarez et al. (2007) combined a crystallization reactor filled with quartz salt and a sulfate reducing bioreactor </w:t>
      </w:r>
      <w:r w:rsidR="00485DDF" w:rsidRPr="006C2A62">
        <w:rPr>
          <w:lang w:val="en"/>
        </w:rPr>
        <w:t>to</w:t>
      </w:r>
      <w:r w:rsidR="00CD4AAB" w:rsidRPr="006C2A62">
        <w:rPr>
          <w:lang w:val="en"/>
        </w:rPr>
        <w:t xml:space="preserve"> remove copper</w:t>
      </w:r>
      <w:r w:rsidR="001214E4">
        <w:rPr>
          <w:lang w:val="en"/>
        </w:rPr>
        <w:t>,</w:t>
      </w:r>
      <w:r w:rsidR="00CD4AAB" w:rsidRPr="006C2A62">
        <w:rPr>
          <w:lang w:val="en"/>
        </w:rPr>
        <w:t xml:space="preserve"> reaching 99</w:t>
      </w:r>
      <w:r w:rsidR="00917F44" w:rsidRPr="006C2A62">
        <w:rPr>
          <w:lang w:val="en"/>
        </w:rPr>
        <w:t>% and</w:t>
      </w:r>
      <w:r w:rsidR="00CD4AAB" w:rsidRPr="006C2A62">
        <w:rPr>
          <w:lang w:val="en"/>
        </w:rPr>
        <w:t xml:space="preserve"> 70% removal of</w:t>
      </w:r>
      <w:r w:rsidR="001214E4">
        <w:rPr>
          <w:lang w:val="en"/>
        </w:rPr>
        <w:t xml:space="preserve"> copper </w:t>
      </w:r>
      <w:r w:rsidR="00917F44">
        <w:rPr>
          <w:lang w:val="en"/>
        </w:rPr>
        <w:t xml:space="preserve">and </w:t>
      </w:r>
      <w:r w:rsidR="00917F44" w:rsidRPr="006C2A62">
        <w:rPr>
          <w:lang w:val="en"/>
        </w:rPr>
        <w:t>COD</w:t>
      </w:r>
      <w:r w:rsidR="001214E4">
        <w:rPr>
          <w:lang w:val="en"/>
        </w:rPr>
        <w:t xml:space="preserve"> respectively</w:t>
      </w:r>
      <w:r w:rsidR="00CD4AAB" w:rsidRPr="006C2A62">
        <w:rPr>
          <w:lang w:val="en"/>
        </w:rPr>
        <w:t>.</w:t>
      </w:r>
      <w:r w:rsidR="002D25AE">
        <w:rPr>
          <w:lang w:val="en"/>
        </w:rPr>
        <w:t xml:space="preserve"> </w:t>
      </w:r>
      <w:r w:rsidR="00201B9F" w:rsidRPr="00201B9F">
        <w:rPr>
          <w:lang w:val="en-GB"/>
        </w:rPr>
        <w:t>Alternatively, electrochemical processes can complement anaerobic treatment by facilitating the removal of solids, including heavy metals</w:t>
      </w:r>
      <w:r w:rsidR="00201B9F">
        <w:rPr>
          <w:lang w:val="en-GB"/>
        </w:rPr>
        <w:t xml:space="preserve"> by electro flotation</w:t>
      </w:r>
      <w:r w:rsidR="00201B9F" w:rsidRPr="00201B9F">
        <w:rPr>
          <w:lang w:val="en-GB"/>
        </w:rPr>
        <w:t>, or promoting the degradation of complex compounds</w:t>
      </w:r>
      <w:r w:rsidR="00201B9F">
        <w:rPr>
          <w:lang w:val="en-GB"/>
        </w:rPr>
        <w:t xml:space="preserve"> by electrooxidation</w:t>
      </w:r>
      <w:r w:rsidR="003D5FAA">
        <w:rPr>
          <w:lang w:val="en-GB"/>
        </w:rPr>
        <w:t xml:space="preserve"> (Yang et al., 2014)</w:t>
      </w:r>
      <w:r w:rsidR="00201B9F" w:rsidRPr="00201B9F">
        <w:rPr>
          <w:lang w:val="en-GB"/>
        </w:rPr>
        <w:t>.</w:t>
      </w:r>
    </w:p>
    <w:p w14:paraId="68D26B83" w14:textId="77777777" w:rsidR="00600535" w:rsidRPr="00B57B36" w:rsidRDefault="00600535" w:rsidP="00600535">
      <w:pPr>
        <w:pStyle w:val="CETHeading1"/>
        <w:rPr>
          <w:lang w:val="en-GB"/>
        </w:rPr>
      </w:pPr>
      <w:r w:rsidRPr="00B57B36">
        <w:rPr>
          <w:lang w:val="en-GB"/>
        </w:rPr>
        <w:t>Conclusions</w:t>
      </w:r>
    </w:p>
    <w:p w14:paraId="0FF15C80" w14:textId="3045541E" w:rsidR="00485DDF" w:rsidRDefault="00A97BEA" w:rsidP="00600535">
      <w:pPr>
        <w:pStyle w:val="CETBodytext"/>
        <w:rPr>
          <w:lang w:val="en-GB"/>
        </w:rPr>
      </w:pPr>
      <w:r w:rsidRPr="00A97BEA">
        <w:t>This study demonstrated that semi</w:t>
      </w:r>
      <w:r w:rsidR="00652F59">
        <w:t>-</w:t>
      </w:r>
      <w:r w:rsidRPr="00A97BEA">
        <w:t>continuous bioreactors inoculated with anaerobic microorganisms from a MWTP can effectively treat WW from the semiconductor industry. On average, methani</w:t>
      </w:r>
      <w:r w:rsidR="003C4CA2">
        <w:t>s</w:t>
      </w:r>
      <w:r w:rsidRPr="00A97BEA">
        <w:t xml:space="preserve">ation and COD removal efficiency were </w:t>
      </w:r>
      <w:r w:rsidR="003C4CA2">
        <w:t>59</w:t>
      </w:r>
      <w:r w:rsidRPr="00A97BEA">
        <w:t xml:space="preserve">% and 79%, respectively, </w:t>
      </w:r>
      <w:bookmarkStart w:id="7" w:name="_Hlk193115696"/>
      <w:r w:rsidRPr="00A97BEA">
        <w:t>with methane production of 0.1 mL of CH</w:t>
      </w:r>
      <w:r w:rsidRPr="00E77DD4">
        <w:rPr>
          <w:vertAlign w:val="subscript"/>
        </w:rPr>
        <w:t>4</w:t>
      </w:r>
      <w:r w:rsidRPr="00A97BEA">
        <w:t xml:space="preserve"> per mg of COD</w:t>
      </w:r>
      <w:bookmarkEnd w:id="7"/>
      <w:r w:rsidRPr="00A97BEA">
        <w:t>. The continuous production of methane, TVA consumption, alkaline decline and the absence of COD accumulation confirmed system stability. Low SMA and high methani</w:t>
      </w:r>
      <w:r w:rsidR="003C4CA2">
        <w:t>s</w:t>
      </w:r>
      <w:r w:rsidRPr="00A97BEA">
        <w:t>ation suggest limited carbon sources for microorganisms. The potential presence of sulfidogenic biota may help remove inhibitory compounds like copper and surfactants. The increased organic load and effluent complexity reduced treatment efficiency, highlighting the need for pre-treatment to improve biodegradability and post-treatment to remove inhibitory byproducts. Further research at larger scales is needed to validate these findings in industrial settings.</w:t>
      </w:r>
    </w:p>
    <w:p w14:paraId="07A6D20F" w14:textId="0ECF229E" w:rsidR="00280FAF" w:rsidRPr="00280FAF" w:rsidRDefault="00280FAF" w:rsidP="00280FAF">
      <w:pPr>
        <w:pStyle w:val="CETHeadingxx"/>
        <w:rPr>
          <w:lang w:val="en-GB"/>
        </w:rPr>
        <w:sectPr w:rsidR="00280FAF" w:rsidRPr="00280FAF" w:rsidSect="00DC73EE">
          <w:headerReference w:type="default" r:id="rId11"/>
          <w:footerReference w:type="default" r:id="rId12"/>
          <w:type w:val="continuous"/>
          <w:pgSz w:w="11906" w:h="16838" w:code="9"/>
          <w:pgMar w:top="1701" w:right="1418" w:bottom="1701" w:left="1701" w:header="1701" w:footer="0" w:gutter="0"/>
          <w:cols w:space="708"/>
          <w:formProt w:val="0"/>
          <w:titlePg/>
          <w:docGrid w:linePitch="360"/>
        </w:sectPr>
      </w:pPr>
      <w:r>
        <w:t>Nomenclature</w:t>
      </w:r>
    </w:p>
    <w:p w14:paraId="7DFFBF41" w14:textId="151C384B" w:rsidR="00280FAF" w:rsidRPr="00280FAF" w:rsidRDefault="00485DDF" w:rsidP="00280FAF">
      <w:pPr>
        <w:pStyle w:val="CETBodytext"/>
        <w:jc w:val="left"/>
        <w:rPr>
          <w:rFonts w:eastAsia="SimSun"/>
        </w:rPr>
        <w:sectPr w:rsidR="00280FAF" w:rsidRPr="00280FAF" w:rsidSect="00DC73EE">
          <w:type w:val="continuous"/>
          <w:pgSz w:w="11906" w:h="16838" w:code="9"/>
          <w:pgMar w:top="1701" w:right="1418" w:bottom="1701" w:left="1701" w:header="1701" w:footer="0" w:gutter="0"/>
          <w:cols w:space="708"/>
          <w:formProt w:val="0"/>
          <w:titlePg/>
          <w:docGrid w:linePitch="360"/>
        </w:sectPr>
      </w:pPr>
      <w:r>
        <w:rPr>
          <w:rFonts w:eastAsia="SimSun"/>
        </w:rPr>
        <w:t>BOD</w:t>
      </w:r>
      <w:r w:rsidR="00280FAF" w:rsidRPr="00280FAF">
        <w:rPr>
          <w:rFonts w:eastAsia="SimSun"/>
        </w:rPr>
        <w:t xml:space="preserve"> – </w:t>
      </w:r>
      <w:r>
        <w:t>biological oxygen demand</w:t>
      </w:r>
      <w:r>
        <w:rPr>
          <w:rFonts w:eastAsia="SimSun"/>
        </w:rPr>
        <w:t>, mgO</w:t>
      </w:r>
      <w:r w:rsidRPr="00485DDF">
        <w:rPr>
          <w:rFonts w:eastAsia="SimSun"/>
          <w:vertAlign w:val="subscript"/>
        </w:rPr>
        <w:t>2</w:t>
      </w:r>
      <w:r w:rsidR="00D252B0">
        <w:rPr>
          <w:rFonts w:eastAsia="SimSun"/>
        </w:rPr>
        <w:t xml:space="preserve"> </w:t>
      </w:r>
      <w:r>
        <w:rPr>
          <w:rFonts w:eastAsia="SimSun"/>
        </w:rPr>
        <w:t>L</w:t>
      </w:r>
      <w:r w:rsidR="00D252B0" w:rsidRPr="00653761">
        <w:rPr>
          <w:vertAlign w:val="superscript"/>
        </w:rPr>
        <w:t>-1</w:t>
      </w:r>
    </w:p>
    <w:p w14:paraId="57590CE2" w14:textId="557463AB" w:rsidR="00280FAF" w:rsidRPr="00280FAF" w:rsidRDefault="00485DDF" w:rsidP="00280FAF">
      <w:pPr>
        <w:pStyle w:val="CETBodytext"/>
        <w:jc w:val="left"/>
        <w:rPr>
          <w:rFonts w:eastAsia="SimSun"/>
        </w:rPr>
      </w:pPr>
      <w:r>
        <w:t>COD</w:t>
      </w:r>
      <w:r w:rsidR="00280FAF" w:rsidRPr="00280FAF">
        <w:rPr>
          <w:rFonts w:eastAsia="SimSun"/>
        </w:rPr>
        <w:t xml:space="preserve"> – </w:t>
      </w:r>
      <w:r>
        <w:t xml:space="preserve">chemical oxygen demand, </w:t>
      </w:r>
      <w:r>
        <w:rPr>
          <w:rFonts w:eastAsia="SimSun"/>
        </w:rPr>
        <w:t>mgO</w:t>
      </w:r>
      <w:r w:rsidRPr="00485DDF">
        <w:rPr>
          <w:rFonts w:eastAsia="SimSun"/>
          <w:vertAlign w:val="subscript"/>
        </w:rPr>
        <w:t>2</w:t>
      </w:r>
      <w:r w:rsidR="00D252B0">
        <w:rPr>
          <w:rFonts w:eastAsia="SimSun"/>
        </w:rPr>
        <w:t xml:space="preserve"> </w:t>
      </w:r>
      <w:r>
        <w:rPr>
          <w:rFonts w:eastAsia="SimSun"/>
        </w:rPr>
        <w:t>L</w:t>
      </w:r>
      <w:r w:rsidR="00D252B0" w:rsidRPr="00653761">
        <w:rPr>
          <w:vertAlign w:val="superscript"/>
        </w:rPr>
        <w:t>-1</w:t>
      </w:r>
    </w:p>
    <w:p w14:paraId="1BB456B3" w14:textId="0DF9D358" w:rsidR="005F2296" w:rsidRPr="00443D98" w:rsidRDefault="005F2296" w:rsidP="005F2296">
      <w:pPr>
        <w:pStyle w:val="CETBodytext"/>
        <w:jc w:val="left"/>
        <w:rPr>
          <w:vertAlign w:val="superscript"/>
        </w:rPr>
      </w:pPr>
      <w:r>
        <w:t>EC – electrical conductivity, mS cm</w:t>
      </w:r>
      <w:r w:rsidRPr="00653761">
        <w:rPr>
          <w:vertAlign w:val="superscript"/>
        </w:rPr>
        <w:t>-1</w:t>
      </w:r>
    </w:p>
    <w:p w14:paraId="3298A72A" w14:textId="77777777" w:rsidR="005F2296" w:rsidRDefault="005F2296" w:rsidP="005F2296">
      <w:pPr>
        <w:pStyle w:val="CETBodytext"/>
        <w:jc w:val="left"/>
        <w:rPr>
          <w:vertAlign w:val="superscript"/>
        </w:rPr>
      </w:pPr>
      <w:r>
        <w:t>VSS</w:t>
      </w:r>
      <w:r w:rsidRPr="00280FAF">
        <w:rPr>
          <w:rFonts w:eastAsia="SimSun"/>
          <w:lang w:val="el-GR"/>
        </w:rPr>
        <w:t xml:space="preserve"> – </w:t>
      </w:r>
      <w:r>
        <w:t>volatile suspended solids</w:t>
      </w:r>
      <w:r w:rsidRPr="00280FAF">
        <w:rPr>
          <w:rFonts w:eastAsia="SimSun"/>
        </w:rPr>
        <w:t xml:space="preserve">, </w:t>
      </w:r>
      <w:r>
        <w:rPr>
          <w:rFonts w:eastAsia="SimSun"/>
        </w:rPr>
        <w:t>g L</w:t>
      </w:r>
      <w:r w:rsidRPr="00653761">
        <w:rPr>
          <w:vertAlign w:val="superscript"/>
        </w:rPr>
        <w:t>-1</w:t>
      </w:r>
    </w:p>
    <w:p w14:paraId="7E93E1D1" w14:textId="7D6AACE7" w:rsidR="005F2296" w:rsidRPr="005F2296" w:rsidRDefault="005F2296" w:rsidP="005F2296">
      <w:pPr>
        <w:pStyle w:val="CETBodytext"/>
        <w:jc w:val="left"/>
        <w:rPr>
          <w:rFonts w:eastAsia="SimSun"/>
        </w:rPr>
      </w:pPr>
      <w:r>
        <w:t>TVA</w:t>
      </w:r>
      <w:r w:rsidRPr="00280FAF">
        <w:rPr>
          <w:rFonts w:eastAsia="SimSun"/>
          <w:lang w:val="el-GR"/>
        </w:rPr>
        <w:t xml:space="preserve"> - </w:t>
      </w:r>
      <w:r>
        <w:t>total volatile acids</w:t>
      </w:r>
      <w:r w:rsidRPr="00280FAF">
        <w:rPr>
          <w:rFonts w:eastAsia="SimSun"/>
        </w:rPr>
        <w:t>,</w:t>
      </w:r>
      <w:r>
        <w:rPr>
          <w:rFonts w:eastAsia="SimSun"/>
        </w:rPr>
        <w:t xml:space="preserve"> mg L</w:t>
      </w:r>
      <w:r w:rsidRPr="00653761">
        <w:rPr>
          <w:vertAlign w:val="superscript"/>
        </w:rPr>
        <w:t>-1</w:t>
      </w:r>
    </w:p>
    <w:p w14:paraId="2551C370" w14:textId="77777777" w:rsidR="005F2296" w:rsidRPr="00280FAF" w:rsidRDefault="005F2296" w:rsidP="005F2296">
      <w:pPr>
        <w:pStyle w:val="CETBodytext"/>
        <w:jc w:val="left"/>
        <w:rPr>
          <w:rFonts w:eastAsia="SimSun"/>
        </w:rPr>
      </w:pPr>
      <w:r>
        <w:t>SMA</w:t>
      </w:r>
      <w:r w:rsidRPr="00280FAF">
        <w:rPr>
          <w:rFonts w:eastAsia="SimSun"/>
        </w:rPr>
        <w:t xml:space="preserve"> – </w:t>
      </w:r>
      <w:r>
        <w:t>specific methanogenic activity</w:t>
      </w:r>
      <w:r w:rsidRPr="00280FAF">
        <w:rPr>
          <w:rFonts w:eastAsia="SimSun"/>
        </w:rPr>
        <w:t xml:space="preserve">, </w:t>
      </w:r>
      <w:r w:rsidRPr="002C7C43">
        <w:t>g CH</w:t>
      </w:r>
      <w:r w:rsidRPr="00E77DD4">
        <w:rPr>
          <w:vertAlign w:val="subscript"/>
        </w:rPr>
        <w:t>4</w:t>
      </w:r>
      <w:r w:rsidRPr="002C7C43">
        <w:t>-COD g</w:t>
      </w:r>
      <w:r w:rsidRPr="002C7C43">
        <w:rPr>
          <w:vertAlign w:val="superscript"/>
        </w:rPr>
        <w:t>-1</w:t>
      </w:r>
      <w:r w:rsidRPr="002C7C43">
        <w:t xml:space="preserve"> VSS d</w:t>
      </w:r>
      <w:r w:rsidRPr="002C7C43">
        <w:rPr>
          <w:vertAlign w:val="superscript"/>
        </w:rPr>
        <w:t>-1</w:t>
      </w:r>
    </w:p>
    <w:p w14:paraId="64F6B4B7" w14:textId="77777777" w:rsidR="005F2296" w:rsidRPr="00280FAF" w:rsidRDefault="005F2296" w:rsidP="005F2296">
      <w:pPr>
        <w:pStyle w:val="CETBodytext"/>
        <w:jc w:val="left"/>
        <w:rPr>
          <w:rFonts w:eastAsia="SimSun"/>
        </w:rPr>
      </w:pPr>
      <w:r>
        <w:t>TMAH</w:t>
      </w:r>
      <w:r w:rsidRPr="00280FAF">
        <w:rPr>
          <w:rFonts w:eastAsia="SimSun"/>
        </w:rPr>
        <w:t xml:space="preserve"> – </w:t>
      </w:r>
      <w:r>
        <w:t>t</w:t>
      </w:r>
      <w:r w:rsidRPr="00364580">
        <w:t>etramethylammonium hydroxide</w:t>
      </w:r>
    </w:p>
    <w:p w14:paraId="0E502614" w14:textId="1FEE80A2" w:rsidR="00280FAF" w:rsidRDefault="00485DDF" w:rsidP="00280FAF">
      <w:pPr>
        <w:pStyle w:val="CETBodytext"/>
        <w:jc w:val="left"/>
      </w:pPr>
      <w:r>
        <w:t>DMSO</w:t>
      </w:r>
      <w:r w:rsidR="00280FAF" w:rsidRPr="00280FAF">
        <w:rPr>
          <w:rFonts w:eastAsia="SimSun"/>
        </w:rPr>
        <w:t xml:space="preserve"> – </w:t>
      </w:r>
      <w:r>
        <w:t>d</w:t>
      </w:r>
      <w:r w:rsidRPr="00B06995">
        <w:t>imethyl sulfoxide</w:t>
      </w:r>
    </w:p>
    <w:p w14:paraId="6CD9A07E" w14:textId="635A7835" w:rsidR="005F2296" w:rsidRPr="005F2296" w:rsidRDefault="005F2296" w:rsidP="00280FAF">
      <w:pPr>
        <w:pStyle w:val="CETBodytext"/>
        <w:jc w:val="left"/>
        <w:rPr>
          <w:rFonts w:eastAsia="SimSun"/>
        </w:rPr>
      </w:pPr>
      <w:r>
        <w:t>WW - wastewater</w:t>
      </w:r>
    </w:p>
    <w:p w14:paraId="33D176ED" w14:textId="60DD75B7" w:rsidR="00280FAF" w:rsidRPr="00280FAF" w:rsidRDefault="00485DDF" w:rsidP="00280FAF">
      <w:pPr>
        <w:pStyle w:val="CETBodytext"/>
        <w:jc w:val="left"/>
        <w:rPr>
          <w:rFonts w:eastAsia="SimSun"/>
        </w:rPr>
      </w:pPr>
      <w:r>
        <w:t>MWTP</w:t>
      </w:r>
      <w:r w:rsidR="00280FAF" w:rsidRPr="00280FAF">
        <w:rPr>
          <w:rFonts w:eastAsia="SimSun"/>
        </w:rPr>
        <w:t xml:space="preserve"> – </w:t>
      </w:r>
      <w:r>
        <w:t>municipal wastewater treatment plant</w:t>
      </w:r>
    </w:p>
    <w:p w14:paraId="15F17467" w14:textId="6CE4A8B6" w:rsidR="00280FAF" w:rsidRPr="00280FAF" w:rsidRDefault="00485DDF" w:rsidP="00280FAF">
      <w:pPr>
        <w:pStyle w:val="CETBodytext"/>
        <w:jc w:val="left"/>
        <w:rPr>
          <w:rFonts w:eastAsia="SimSun"/>
        </w:rPr>
      </w:pPr>
      <w:r>
        <w:t>SW</w:t>
      </w:r>
      <w:r w:rsidR="00280FAF" w:rsidRPr="00280FAF">
        <w:rPr>
          <w:rFonts w:eastAsia="SimSun"/>
        </w:rPr>
        <w:t xml:space="preserve"> – </w:t>
      </w:r>
      <w:r>
        <w:t>simulated wastewater</w:t>
      </w:r>
    </w:p>
    <w:p w14:paraId="38BFE636" w14:textId="25A38DF8" w:rsidR="003D5FAA" w:rsidRPr="00E377D0" w:rsidRDefault="003D5FAA" w:rsidP="00280FAF">
      <w:pPr>
        <w:pStyle w:val="CETBodytext"/>
        <w:jc w:val="left"/>
        <w:rPr>
          <w:rFonts w:eastAsia="SimSun"/>
        </w:rPr>
        <w:sectPr w:rsidR="003D5FAA" w:rsidRPr="00E377D0"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36B360BA" w:rsidR="00600535" w:rsidRPr="00B57B36" w:rsidRDefault="00C7751C" w:rsidP="00600535">
      <w:pPr>
        <w:pStyle w:val="CETBodytext"/>
        <w:rPr>
          <w:lang w:val="en-GB"/>
        </w:rPr>
      </w:pPr>
      <w:r>
        <w:rPr>
          <w:lang w:val="en-GB"/>
        </w:rPr>
        <w:t>The authors</w:t>
      </w:r>
      <w:r w:rsidRPr="002D25AE">
        <w:rPr>
          <w:lang w:val="en-GB"/>
        </w:rPr>
        <w:t xml:space="preserve"> express </w:t>
      </w:r>
      <w:r>
        <w:rPr>
          <w:lang w:val="en-GB"/>
        </w:rPr>
        <w:t>their</w:t>
      </w:r>
      <w:r w:rsidRPr="002D25AE">
        <w:rPr>
          <w:lang w:val="en-GB"/>
        </w:rPr>
        <w:t xml:space="preserve"> gratitude to</w:t>
      </w:r>
      <w:r>
        <w:rPr>
          <w:lang w:val="en-GB"/>
        </w:rPr>
        <w:t xml:space="preserve"> the</w:t>
      </w:r>
      <w:r w:rsidRPr="002D25AE">
        <w:rPr>
          <w:lang w:val="en-GB"/>
        </w:rPr>
        <w:t xml:space="preserve"> </w:t>
      </w:r>
      <w:r>
        <w:rPr>
          <w:lang w:val="en-GB"/>
        </w:rPr>
        <w:t>University of Aveiro and Instituto Superior Técnico</w:t>
      </w:r>
      <w:r w:rsidRPr="002D25AE">
        <w:rPr>
          <w:lang w:val="en-GB"/>
        </w:rPr>
        <w:t xml:space="preserve"> for providing the resources and support necessary for this research. </w:t>
      </w:r>
      <w:r w:rsidRPr="00766013">
        <w:t xml:space="preserve">Thanks, are </w:t>
      </w:r>
      <w:r>
        <w:t xml:space="preserve">also </w:t>
      </w:r>
      <w:r w:rsidRPr="00766013">
        <w:t xml:space="preserve">due to Portuguese Foundation for Science and Technology (FCT)/Ministry of Science, Technology and Higher Education (MCTES), Portugal, for the financial support to </w:t>
      </w:r>
      <w:r w:rsidRPr="000440B2">
        <w:t xml:space="preserve">UID Centro de </w:t>
      </w:r>
      <w:proofErr w:type="spellStart"/>
      <w:r w:rsidRPr="000440B2">
        <w:t>Estudos</w:t>
      </w:r>
      <w:proofErr w:type="spellEnd"/>
      <w:r w:rsidRPr="000440B2">
        <w:t xml:space="preserve"> do </w:t>
      </w:r>
      <w:proofErr w:type="spellStart"/>
      <w:r w:rsidRPr="000440B2">
        <w:t>Ambiente</w:t>
      </w:r>
      <w:proofErr w:type="spellEnd"/>
      <w:r w:rsidRPr="000440B2">
        <w:t xml:space="preserve"> e Mar (CESAM) + LA/P/0094/2020</w:t>
      </w:r>
      <w:r w:rsidRPr="00766013">
        <w:t>, through national funds.</w:t>
      </w:r>
      <w:r>
        <w:t xml:space="preserve"> </w:t>
      </w:r>
      <w:r w:rsidRPr="00B366F3">
        <w:rPr>
          <w:lang w:val="en-GB"/>
        </w:rPr>
        <w:t xml:space="preserve">We acknowledge the funding support provided by the Microelectronics Agenda under the Recovery and Resilience Plan, financed by the European Union – </w:t>
      </w:r>
      <w:proofErr w:type="spellStart"/>
      <w:r w:rsidRPr="00B366F3">
        <w:rPr>
          <w:lang w:val="en-GB"/>
        </w:rPr>
        <w:t>NextGenerationEU</w:t>
      </w:r>
      <w:proofErr w:type="spellEnd"/>
      <w:r w:rsidRPr="00B366F3">
        <w:rPr>
          <w:lang w:val="en-GB"/>
        </w:rPr>
        <w:t>.</w:t>
      </w:r>
    </w:p>
    <w:p w14:paraId="4F1327F8" w14:textId="77777777" w:rsidR="00600535" w:rsidRPr="00B57B36" w:rsidRDefault="00600535" w:rsidP="00600535">
      <w:pPr>
        <w:pStyle w:val="CETReference"/>
      </w:pPr>
      <w:r w:rsidRPr="00B57B36">
        <w:t>References</w:t>
      </w:r>
    </w:p>
    <w:p w14:paraId="1E4E283C" w14:textId="60B44D73" w:rsidR="00A50A1B" w:rsidRDefault="00A50A1B" w:rsidP="00A50A1B">
      <w:pPr>
        <w:pStyle w:val="CETBodytext"/>
        <w:ind w:left="284" w:hanging="284"/>
        <w:rPr>
          <w:lang w:val="en-GB"/>
        </w:rPr>
      </w:pPr>
      <w:r w:rsidRPr="00A50A1B">
        <w:rPr>
          <w:lang w:val="en-GB"/>
        </w:rPr>
        <w:t>American Public Health Association (APHA)</w:t>
      </w:r>
      <w:r>
        <w:rPr>
          <w:lang w:val="en-GB"/>
        </w:rPr>
        <w:t xml:space="preserve">, </w:t>
      </w:r>
      <w:r w:rsidRPr="00A50A1B">
        <w:rPr>
          <w:lang w:val="en-GB"/>
        </w:rPr>
        <w:t>1999</w:t>
      </w:r>
      <w:r>
        <w:rPr>
          <w:lang w:val="en-GB"/>
        </w:rPr>
        <w:t>,</w:t>
      </w:r>
      <w:r w:rsidRPr="00A50A1B">
        <w:rPr>
          <w:lang w:val="en-GB"/>
        </w:rPr>
        <w:t xml:space="preserve"> Standard methods for the examination of water and wastewater</w:t>
      </w:r>
      <w:r w:rsidR="002029F3">
        <w:rPr>
          <w:lang w:val="en-GB"/>
        </w:rPr>
        <w:t>,</w:t>
      </w:r>
      <w:r w:rsidRPr="00A50A1B">
        <w:rPr>
          <w:lang w:val="en-GB"/>
        </w:rPr>
        <w:t xml:space="preserve"> 20th Edition, APHA, Washington DC.</w:t>
      </w:r>
    </w:p>
    <w:p w14:paraId="016EA122" w14:textId="5226F328" w:rsidR="00A50A1B" w:rsidRDefault="00A50A1B" w:rsidP="00A50A1B">
      <w:pPr>
        <w:pStyle w:val="CETBodytext"/>
        <w:ind w:left="284" w:hanging="284"/>
        <w:rPr>
          <w:lang w:val="en-GB"/>
        </w:rPr>
      </w:pPr>
      <w:r w:rsidRPr="00A50A1B">
        <w:t>Cheng, H., Liu, C., Lei, Y., Chiu, Y., Mangalindan, J., Wu, C., Wu, Y., &amp; Whang, L., 2019</w:t>
      </w:r>
      <w:r>
        <w:t>,</w:t>
      </w:r>
      <w:r w:rsidRPr="00A50A1B">
        <w:t xml:space="preserve"> </w:t>
      </w:r>
      <w:r w:rsidRPr="00A50A1B">
        <w:rPr>
          <w:lang w:val="en-GB"/>
        </w:rPr>
        <w:t>Biological treatment of DMSO-containing wastewater from semiconductor industry under aerobic and methanogenic conditions</w:t>
      </w:r>
      <w:r w:rsidR="002029F3">
        <w:rPr>
          <w:lang w:val="en-GB"/>
        </w:rPr>
        <w:t xml:space="preserve">, </w:t>
      </w:r>
      <w:r w:rsidRPr="00A50A1B">
        <w:rPr>
          <w:lang w:val="en-GB"/>
        </w:rPr>
        <w:t>Chemosphere, 236, 124291.</w:t>
      </w:r>
    </w:p>
    <w:p w14:paraId="19489C9D" w14:textId="4297199F" w:rsidR="006B3A83" w:rsidRDefault="006B3A83" w:rsidP="00A50A1B">
      <w:pPr>
        <w:pStyle w:val="CETBodytext"/>
        <w:ind w:left="284" w:hanging="284"/>
        <w:rPr>
          <w:lang w:val="en-GB"/>
        </w:rPr>
      </w:pPr>
      <w:proofErr w:type="spellStart"/>
      <w:r w:rsidRPr="006B3A83">
        <w:rPr>
          <w:lang w:val="en-GB"/>
        </w:rPr>
        <w:t>Danshita</w:t>
      </w:r>
      <w:proofErr w:type="spellEnd"/>
      <w:r w:rsidRPr="006B3A83">
        <w:rPr>
          <w:lang w:val="en-GB"/>
        </w:rPr>
        <w:t xml:space="preserve">, T., Miyaoka, Y., Matsuura, N., Sumino, H., Yamaguchi, T., &amp; </w:t>
      </w:r>
      <w:proofErr w:type="spellStart"/>
      <w:r w:rsidRPr="006B3A83">
        <w:rPr>
          <w:lang w:val="en-GB"/>
        </w:rPr>
        <w:t>Syutsubo</w:t>
      </w:r>
      <w:proofErr w:type="spellEnd"/>
      <w:r w:rsidRPr="006B3A83">
        <w:rPr>
          <w:lang w:val="en-GB"/>
        </w:rPr>
        <w:t>, K.</w:t>
      </w:r>
      <w:r>
        <w:rPr>
          <w:lang w:val="en-GB"/>
        </w:rPr>
        <w:t xml:space="preserve">, </w:t>
      </w:r>
      <w:r w:rsidRPr="006B3A83">
        <w:rPr>
          <w:lang w:val="en-GB"/>
        </w:rPr>
        <w:t>2018</w:t>
      </w:r>
      <w:r>
        <w:rPr>
          <w:lang w:val="en-GB"/>
        </w:rPr>
        <w:t>,</w:t>
      </w:r>
      <w:r w:rsidRPr="006B3A83">
        <w:rPr>
          <w:lang w:val="en-GB"/>
        </w:rPr>
        <w:t xml:space="preserve"> Influence of tetramethylammonium hydroxide (TMAH) on the microbial properties of anaerobic granular sludge acclimated to </w:t>
      </w:r>
      <w:proofErr w:type="spellStart"/>
      <w:r w:rsidRPr="006B3A83">
        <w:rPr>
          <w:lang w:val="en-GB"/>
        </w:rPr>
        <w:t>isoplophyl</w:t>
      </w:r>
      <w:proofErr w:type="spellEnd"/>
      <w:r w:rsidRPr="006B3A83">
        <w:rPr>
          <w:lang w:val="en-GB"/>
        </w:rPr>
        <w:t xml:space="preserve"> alcohol (IPA) wastewater under psychrophilic conditions</w:t>
      </w:r>
      <w:r>
        <w:rPr>
          <w:lang w:val="en-GB"/>
        </w:rPr>
        <w:t>,</w:t>
      </w:r>
      <w:r w:rsidRPr="006B3A83">
        <w:rPr>
          <w:lang w:val="en-GB"/>
        </w:rPr>
        <w:t xml:space="preserve"> Journal of Environmental Science and Health Part A, 53(11), 1015–1021.</w:t>
      </w:r>
    </w:p>
    <w:p w14:paraId="66C65968" w14:textId="3AAA2C9F" w:rsidR="006B3A83" w:rsidRDefault="006B3A83" w:rsidP="00A50A1B">
      <w:pPr>
        <w:pStyle w:val="CETBodytext"/>
        <w:ind w:left="284" w:hanging="284"/>
        <w:rPr>
          <w:lang w:val="en-GB"/>
        </w:rPr>
      </w:pPr>
      <w:proofErr w:type="spellStart"/>
      <w:r w:rsidRPr="006B3A83">
        <w:t>Gámez</w:t>
      </w:r>
      <w:proofErr w:type="spellEnd"/>
      <w:r w:rsidRPr="006B3A83">
        <w:t>, V. M., Sierra-Alvarez, R., Waltz, R. J., &amp; Field, J. A., 2008</w:t>
      </w:r>
      <w:r>
        <w:t>,</w:t>
      </w:r>
      <w:r w:rsidRPr="006B3A83">
        <w:t xml:space="preserve"> </w:t>
      </w:r>
      <w:r w:rsidRPr="006B3A83">
        <w:rPr>
          <w:lang w:val="en-GB"/>
        </w:rPr>
        <w:t xml:space="preserve">Anaerobic degradation of citrate under </w:t>
      </w:r>
      <w:proofErr w:type="spellStart"/>
      <w:r w:rsidRPr="006B3A83">
        <w:rPr>
          <w:lang w:val="en-GB"/>
        </w:rPr>
        <w:t>sulfate</w:t>
      </w:r>
      <w:proofErr w:type="spellEnd"/>
      <w:r w:rsidRPr="006B3A83">
        <w:rPr>
          <w:lang w:val="en-GB"/>
        </w:rPr>
        <w:t xml:space="preserve"> reducing and methanogenic conditions</w:t>
      </w:r>
      <w:r>
        <w:rPr>
          <w:lang w:val="en-GB"/>
        </w:rPr>
        <w:t>,</w:t>
      </w:r>
      <w:r w:rsidRPr="006B3A83">
        <w:rPr>
          <w:lang w:val="en-GB"/>
        </w:rPr>
        <w:t xml:space="preserve"> Biodegradation, 20(4), 499–510. </w:t>
      </w:r>
    </w:p>
    <w:p w14:paraId="1600F724" w14:textId="08E70BFC" w:rsidR="00781142" w:rsidRDefault="00781142" w:rsidP="00A50A1B">
      <w:pPr>
        <w:pStyle w:val="CETBodytext"/>
        <w:ind w:left="284" w:hanging="284"/>
        <w:rPr>
          <w:lang w:val="en-GB"/>
        </w:rPr>
      </w:pPr>
      <w:r w:rsidRPr="00781142">
        <w:rPr>
          <w:lang w:val="en-GB"/>
        </w:rPr>
        <w:t>Hollingsworth, J., Sierra-Alvarez, R., Zhou, M., Ogden, K. L., &amp; Field, J. A.</w:t>
      </w:r>
      <w:r>
        <w:rPr>
          <w:lang w:val="en-GB"/>
        </w:rPr>
        <w:t xml:space="preserve">, </w:t>
      </w:r>
      <w:r w:rsidRPr="00781142">
        <w:rPr>
          <w:lang w:val="en-GB"/>
        </w:rPr>
        <w:t>2005</w:t>
      </w:r>
      <w:r>
        <w:rPr>
          <w:lang w:val="en-GB"/>
        </w:rPr>
        <w:t>,</w:t>
      </w:r>
      <w:r w:rsidRPr="00781142">
        <w:rPr>
          <w:lang w:val="en-GB"/>
        </w:rPr>
        <w:t xml:space="preserve"> Anaerobic biodegradability and methanogenic toxicity of key constituents in copper chemical mechanical planarization effluents of the semiconductor industry</w:t>
      </w:r>
      <w:r>
        <w:rPr>
          <w:lang w:val="en-GB"/>
        </w:rPr>
        <w:t>,</w:t>
      </w:r>
      <w:r w:rsidRPr="00781142">
        <w:rPr>
          <w:lang w:val="en-GB"/>
        </w:rPr>
        <w:t xml:space="preserve"> Chemosphere, 59(9), 1219–1228.</w:t>
      </w:r>
    </w:p>
    <w:p w14:paraId="5DDFDD8A" w14:textId="6359B2AB" w:rsidR="003453DC" w:rsidRDefault="003453DC" w:rsidP="00A50A1B">
      <w:pPr>
        <w:pStyle w:val="CETBodytext"/>
        <w:ind w:left="284" w:hanging="284"/>
        <w:rPr>
          <w:lang w:val="en-GB"/>
        </w:rPr>
      </w:pPr>
      <w:r w:rsidRPr="003453DC">
        <w:rPr>
          <w:lang w:val="en-GB"/>
        </w:rPr>
        <w:t>Hu, T., Whang, L., Liu, P. G., Hung, Y., Chen, H., Lin, L., Chen, C., Chen, S., Hsu, S. F., Shen, W., Fu, R., &amp; Hsu, R.</w:t>
      </w:r>
      <w:r>
        <w:rPr>
          <w:lang w:val="en-GB"/>
        </w:rPr>
        <w:t xml:space="preserve">, </w:t>
      </w:r>
      <w:r w:rsidRPr="003453DC">
        <w:rPr>
          <w:lang w:val="en-GB"/>
        </w:rPr>
        <w:t>2012</w:t>
      </w:r>
      <w:r>
        <w:rPr>
          <w:lang w:val="en-GB"/>
        </w:rPr>
        <w:t>,</w:t>
      </w:r>
      <w:r w:rsidRPr="003453DC">
        <w:rPr>
          <w:lang w:val="en-GB"/>
        </w:rPr>
        <w:t xml:space="preserve"> Biological treatment of TMAH (tetra-methyl ammonium hydroxide) in a full-scale TFT-LCD wastewater treatment plant</w:t>
      </w:r>
      <w:r>
        <w:rPr>
          <w:lang w:val="en-GB"/>
        </w:rPr>
        <w:t>,</w:t>
      </w:r>
      <w:r w:rsidRPr="003453DC">
        <w:rPr>
          <w:lang w:val="en-GB"/>
        </w:rPr>
        <w:t xml:space="preserve"> Bioresource Technology, 113, 303–310.</w:t>
      </w:r>
    </w:p>
    <w:p w14:paraId="6C5634A0" w14:textId="69D3C193" w:rsidR="00781142" w:rsidRDefault="00781142" w:rsidP="00A50A1B">
      <w:pPr>
        <w:pStyle w:val="CETBodytext"/>
        <w:ind w:left="284" w:hanging="284"/>
        <w:rPr>
          <w:lang w:val="en-GB"/>
        </w:rPr>
      </w:pPr>
      <w:r w:rsidRPr="00781142">
        <w:rPr>
          <w:lang w:val="en-GB"/>
        </w:rPr>
        <w:lastRenderedPageBreak/>
        <w:t>Li, Z., Ren, L., Wang, X., Chen, M., Wang, T., Dai, R., &amp; Wang, Z.</w:t>
      </w:r>
      <w:r>
        <w:rPr>
          <w:lang w:val="en-GB"/>
        </w:rPr>
        <w:t xml:space="preserve">, </w:t>
      </w:r>
      <w:r w:rsidRPr="00781142">
        <w:rPr>
          <w:lang w:val="en-GB"/>
        </w:rPr>
        <w:t>2023</w:t>
      </w:r>
      <w:r>
        <w:rPr>
          <w:lang w:val="en-GB"/>
        </w:rPr>
        <w:t>,</w:t>
      </w:r>
      <w:r w:rsidRPr="00781142">
        <w:rPr>
          <w:lang w:val="en-GB"/>
        </w:rPr>
        <w:t xml:space="preserve"> Anaerobic hydrolysis of recalcitrant tetramethylammonium from semiconductor wastewater: Performance and mechanisms</w:t>
      </w:r>
      <w:r>
        <w:rPr>
          <w:lang w:val="en-GB"/>
        </w:rPr>
        <w:t>,</w:t>
      </w:r>
      <w:r w:rsidRPr="00781142">
        <w:rPr>
          <w:lang w:val="en-GB"/>
        </w:rPr>
        <w:t xml:space="preserve"> Journal of Hazardous Materials, 459, 132239.</w:t>
      </w:r>
    </w:p>
    <w:p w14:paraId="360B1C2F" w14:textId="0E2FA340" w:rsidR="00E47891" w:rsidRDefault="00E47891" w:rsidP="00A50A1B">
      <w:pPr>
        <w:pStyle w:val="CETBodytext"/>
        <w:ind w:left="284" w:hanging="284"/>
        <w:rPr>
          <w:lang w:val="en-GB"/>
        </w:rPr>
      </w:pPr>
      <w:r w:rsidRPr="00E47891">
        <w:rPr>
          <w:lang w:val="en-GB"/>
        </w:rPr>
        <w:t>Lin, H., Chen, S., Huang, Y., Chen, W., Chien, W., &amp; Cheng, S.</w:t>
      </w:r>
      <w:r>
        <w:rPr>
          <w:lang w:val="en-GB"/>
        </w:rPr>
        <w:t xml:space="preserve">, </w:t>
      </w:r>
      <w:r w:rsidRPr="00E47891">
        <w:rPr>
          <w:lang w:val="en-GB"/>
        </w:rPr>
        <w:t>2015</w:t>
      </w:r>
      <w:r>
        <w:rPr>
          <w:lang w:val="en-GB"/>
        </w:rPr>
        <w:t>,</w:t>
      </w:r>
      <w:r w:rsidRPr="00E47891">
        <w:rPr>
          <w:lang w:val="en-GB"/>
        </w:rPr>
        <w:t xml:space="preserve"> A combined </w:t>
      </w:r>
      <w:proofErr w:type="spellStart"/>
      <w:r w:rsidRPr="00E47891">
        <w:rPr>
          <w:lang w:val="en-GB"/>
        </w:rPr>
        <w:t>upflow</w:t>
      </w:r>
      <w:proofErr w:type="spellEnd"/>
      <w:r w:rsidRPr="00E47891">
        <w:rPr>
          <w:lang w:val="en-GB"/>
        </w:rPr>
        <w:t xml:space="preserve"> anaerobic sludge bed, aerobic, and anoxic fixed-bed reactor system for removing tetramethylammonium hydroxide and nitrogen from light-emitting diode wastewater</w:t>
      </w:r>
      <w:r>
        <w:rPr>
          <w:lang w:val="en-GB"/>
        </w:rPr>
        <w:t>,</w:t>
      </w:r>
      <w:r w:rsidRPr="00E47891">
        <w:rPr>
          <w:lang w:val="en-GB"/>
        </w:rPr>
        <w:t xml:space="preserve"> Environmental Technology, 37(11), 1325–1333.</w:t>
      </w:r>
    </w:p>
    <w:p w14:paraId="186BBF94" w14:textId="5DC86A76" w:rsidR="006B3A83" w:rsidRDefault="006B3A83" w:rsidP="00A50A1B">
      <w:pPr>
        <w:pStyle w:val="CETBodytext"/>
        <w:ind w:left="284" w:hanging="284"/>
        <w:rPr>
          <w:lang w:val="en-GB"/>
        </w:rPr>
      </w:pPr>
      <w:proofErr w:type="spellStart"/>
      <w:r w:rsidRPr="006B3A83">
        <w:t>Lv</w:t>
      </w:r>
      <w:proofErr w:type="spellEnd"/>
      <w:r w:rsidRPr="006B3A83">
        <w:t>, J., Ni, Q., Dong, J., Ou, C., Cao, Y., Gan, J., &amp; Xiao, F., 2023</w:t>
      </w:r>
      <w:r>
        <w:t>,</w:t>
      </w:r>
      <w:r w:rsidRPr="006B3A83">
        <w:t xml:space="preserve"> </w:t>
      </w:r>
      <w:r w:rsidRPr="006B3A83">
        <w:rPr>
          <w:lang w:val="en-GB"/>
        </w:rPr>
        <w:t>Effects of influent organic load on TMAH (tetramethylammonium hydroxide) wastewater treatment by anaerobic process</w:t>
      </w:r>
      <w:r>
        <w:rPr>
          <w:lang w:val="en-GB"/>
        </w:rPr>
        <w:t>,</w:t>
      </w:r>
      <w:r w:rsidRPr="006B3A83">
        <w:rPr>
          <w:lang w:val="en-GB"/>
        </w:rPr>
        <w:t xml:space="preserve"> Journal of Environmental Chemical Engineering, 11(2), 109315.</w:t>
      </w:r>
    </w:p>
    <w:p w14:paraId="5ECEFC6D" w14:textId="2433CD7B" w:rsidR="00E47891" w:rsidRDefault="00E47891" w:rsidP="00A50A1B">
      <w:pPr>
        <w:pStyle w:val="CETBodytext"/>
        <w:ind w:left="284" w:hanging="284"/>
        <w:rPr>
          <w:lang w:val="en-GB"/>
        </w:rPr>
      </w:pPr>
      <w:r w:rsidRPr="00E47891">
        <w:rPr>
          <w:lang w:val="en-GB"/>
        </w:rPr>
        <w:t>Mousset, E., Wang, Z., Olvera-Vargas, H., &amp; Lefebvre, O.</w:t>
      </w:r>
      <w:r>
        <w:rPr>
          <w:lang w:val="en-GB"/>
        </w:rPr>
        <w:t xml:space="preserve">, </w:t>
      </w:r>
      <w:r w:rsidRPr="00E47891">
        <w:rPr>
          <w:lang w:val="en-GB"/>
        </w:rPr>
        <w:t>2018</w:t>
      </w:r>
      <w:r>
        <w:rPr>
          <w:lang w:val="en-GB"/>
        </w:rPr>
        <w:t>,</w:t>
      </w:r>
      <w:r w:rsidRPr="00E47891">
        <w:rPr>
          <w:lang w:val="en-GB"/>
        </w:rPr>
        <w:t xml:space="preserve"> Advanced electrocatalytic pre-treatment to improve the biodegradability of real wastewater from the electronics industry — A detailed investigation study</w:t>
      </w:r>
      <w:r>
        <w:rPr>
          <w:lang w:val="en-GB"/>
        </w:rPr>
        <w:t>,</w:t>
      </w:r>
      <w:r w:rsidRPr="00E47891">
        <w:rPr>
          <w:lang w:val="en-GB"/>
        </w:rPr>
        <w:t xml:space="preserve"> </w:t>
      </w:r>
      <w:r w:rsidRPr="00E47891">
        <w:rPr>
          <w:i/>
          <w:iCs/>
          <w:lang w:val="en-GB"/>
        </w:rPr>
        <w:t>Journal of Hazardous Materials</w:t>
      </w:r>
      <w:r w:rsidRPr="00E47891">
        <w:rPr>
          <w:lang w:val="en-GB"/>
        </w:rPr>
        <w:t xml:space="preserve">, </w:t>
      </w:r>
      <w:r w:rsidRPr="00E47891">
        <w:rPr>
          <w:i/>
          <w:iCs/>
          <w:lang w:val="en-GB"/>
        </w:rPr>
        <w:t>360</w:t>
      </w:r>
      <w:r w:rsidRPr="00E47891">
        <w:rPr>
          <w:lang w:val="en-GB"/>
        </w:rPr>
        <w:t>, 552–559.</w:t>
      </w:r>
    </w:p>
    <w:p w14:paraId="0EEEA140" w14:textId="6592F900" w:rsidR="005F2296" w:rsidRDefault="005F2296" w:rsidP="00A50A1B">
      <w:pPr>
        <w:pStyle w:val="CETBodytext"/>
        <w:ind w:left="284" w:hanging="284"/>
        <w:rPr>
          <w:lang w:val="en-GB"/>
        </w:rPr>
      </w:pPr>
      <w:proofErr w:type="spellStart"/>
      <w:r w:rsidRPr="005F2296">
        <w:t>Nganyira</w:t>
      </w:r>
      <w:proofErr w:type="spellEnd"/>
      <w:r w:rsidRPr="005F2296">
        <w:t xml:space="preserve">, P. D., </w:t>
      </w:r>
      <w:proofErr w:type="spellStart"/>
      <w:r w:rsidRPr="005F2296">
        <w:t>Mahushi</w:t>
      </w:r>
      <w:proofErr w:type="spellEnd"/>
      <w:r w:rsidRPr="005F2296">
        <w:t xml:space="preserve">, D. J., </w:t>
      </w:r>
      <w:proofErr w:type="spellStart"/>
      <w:r w:rsidRPr="005F2296">
        <w:t>Balengayabo</w:t>
      </w:r>
      <w:proofErr w:type="spellEnd"/>
      <w:r w:rsidRPr="005F2296">
        <w:t>, J. G., Shao, G. N., &amp; Emmanuel, J. K., 2023</w:t>
      </w:r>
      <w:r>
        <w:t>,</w:t>
      </w:r>
      <w:r w:rsidRPr="005F2296">
        <w:t xml:space="preserve"> </w:t>
      </w:r>
      <w:r w:rsidRPr="005F2296">
        <w:rPr>
          <w:lang w:val="en-GB"/>
        </w:rPr>
        <w:t>Quality of biogas generated through co-digestion of Brewer’s spent grain and cattle dung</w:t>
      </w:r>
      <w:r>
        <w:rPr>
          <w:lang w:val="en-GB"/>
        </w:rPr>
        <w:t xml:space="preserve">, </w:t>
      </w:r>
      <w:r w:rsidRPr="005F2296">
        <w:rPr>
          <w:i/>
          <w:iCs/>
          <w:lang w:val="en-GB"/>
        </w:rPr>
        <w:t>Energy Reports</w:t>
      </w:r>
      <w:r w:rsidRPr="005F2296">
        <w:rPr>
          <w:lang w:val="en-GB"/>
        </w:rPr>
        <w:t>, </w:t>
      </w:r>
      <w:r w:rsidRPr="005F2296">
        <w:rPr>
          <w:i/>
          <w:iCs/>
          <w:lang w:val="en-GB"/>
        </w:rPr>
        <w:t>10</w:t>
      </w:r>
      <w:r w:rsidRPr="005F2296">
        <w:rPr>
          <w:lang w:val="en-GB"/>
        </w:rPr>
        <w:t>, 2330–2336</w:t>
      </w:r>
      <w:r>
        <w:rPr>
          <w:lang w:val="en-GB"/>
        </w:rPr>
        <w:t>.</w:t>
      </w:r>
    </w:p>
    <w:p w14:paraId="4AE6B05A" w14:textId="1254E74E" w:rsidR="00D640E9" w:rsidRDefault="00D640E9" w:rsidP="00A50A1B">
      <w:pPr>
        <w:pStyle w:val="CETBodytext"/>
        <w:ind w:left="284" w:hanging="284"/>
        <w:rPr>
          <w:lang w:val="en-GB"/>
        </w:rPr>
      </w:pPr>
      <w:r w:rsidRPr="00D640E9">
        <w:rPr>
          <w:lang w:val="en-GB"/>
        </w:rPr>
        <w:t>Noman, E. A., Al-Gheethi, A. A., Al-Sahari, M., Yashni, G., Mohamed, R. M. S. R., Soon, C. F., Nguyen, H. T., &amp; Vo, D. N</w:t>
      </w:r>
      <w:r>
        <w:rPr>
          <w:lang w:val="en-GB"/>
        </w:rPr>
        <w:t>,</w:t>
      </w:r>
      <w:r w:rsidRPr="00D640E9">
        <w:rPr>
          <w:lang w:val="en-GB"/>
        </w:rPr>
        <w:t xml:space="preserve"> 2024</w:t>
      </w:r>
      <w:r>
        <w:rPr>
          <w:lang w:val="en-GB"/>
        </w:rPr>
        <w:t>,</w:t>
      </w:r>
      <w:r w:rsidRPr="00D640E9">
        <w:rPr>
          <w:lang w:val="en-GB"/>
        </w:rPr>
        <w:t xml:space="preserve"> An insight into microelectronics industry wastewater treatment, current challenges, and future perspectives: a critical review</w:t>
      </w:r>
      <w:r>
        <w:rPr>
          <w:lang w:val="en-GB"/>
        </w:rPr>
        <w:t>,</w:t>
      </w:r>
      <w:r w:rsidRPr="00D640E9">
        <w:rPr>
          <w:lang w:val="en-GB"/>
        </w:rPr>
        <w:t xml:space="preserve"> </w:t>
      </w:r>
      <w:r w:rsidRPr="00D640E9">
        <w:rPr>
          <w:i/>
          <w:iCs/>
          <w:lang w:val="en-GB"/>
        </w:rPr>
        <w:t>Applied Water Science</w:t>
      </w:r>
      <w:r w:rsidRPr="00D640E9">
        <w:rPr>
          <w:lang w:val="en-GB"/>
        </w:rPr>
        <w:t xml:space="preserve">, </w:t>
      </w:r>
      <w:r w:rsidRPr="00D640E9">
        <w:rPr>
          <w:i/>
          <w:iCs/>
          <w:lang w:val="en-GB"/>
        </w:rPr>
        <w:t>14</w:t>
      </w:r>
      <w:r w:rsidRPr="00D640E9">
        <w:rPr>
          <w:lang w:val="en-GB"/>
        </w:rPr>
        <w:t>(4).</w:t>
      </w:r>
    </w:p>
    <w:p w14:paraId="19B5F724" w14:textId="4B3BFB56" w:rsidR="003453DC" w:rsidRDefault="003453DC" w:rsidP="00A50A1B">
      <w:pPr>
        <w:pStyle w:val="CETBodytext"/>
        <w:ind w:left="284" w:hanging="284"/>
        <w:rPr>
          <w:lang w:val="en-GB"/>
        </w:rPr>
      </w:pPr>
      <w:r w:rsidRPr="00D252B0">
        <w:t xml:space="preserve">Ochoa-Herrera, V., </w:t>
      </w:r>
      <w:proofErr w:type="spellStart"/>
      <w:r w:rsidRPr="00D252B0">
        <w:t>Banihani</w:t>
      </w:r>
      <w:proofErr w:type="spellEnd"/>
      <w:r w:rsidRPr="00D252B0">
        <w:t xml:space="preserve">, Q., León, G., Khatri, C., Field, J. A., &amp; Sierra-Alvarez, R., 2009, </w:t>
      </w:r>
      <w:r w:rsidRPr="003453DC">
        <w:rPr>
          <w:lang w:val="en-GB"/>
        </w:rPr>
        <w:t>Toxicity of fluoride to microorganisms in biological wastewater treatment systems</w:t>
      </w:r>
      <w:r>
        <w:rPr>
          <w:lang w:val="en-GB"/>
        </w:rPr>
        <w:t>,</w:t>
      </w:r>
      <w:r w:rsidRPr="003453DC">
        <w:rPr>
          <w:lang w:val="en-GB"/>
        </w:rPr>
        <w:t xml:space="preserve"> Water Research, 43(13), 3177–3186.</w:t>
      </w:r>
    </w:p>
    <w:p w14:paraId="21BCD9D4" w14:textId="2E45E438" w:rsidR="00EF1EB0" w:rsidRDefault="00EF1EB0" w:rsidP="00A50A1B">
      <w:pPr>
        <w:pStyle w:val="CETBodytext"/>
        <w:ind w:left="284" w:hanging="284"/>
        <w:rPr>
          <w:lang w:val="en-GB"/>
        </w:rPr>
      </w:pPr>
      <w:r w:rsidRPr="00EF1EB0">
        <w:t>Otero-González, L., Field, J. A., &amp; Sierra-Alvarez, R., 2014</w:t>
      </w:r>
      <w:r>
        <w:t>,</w:t>
      </w:r>
      <w:r w:rsidRPr="00EF1EB0">
        <w:t xml:space="preserve"> </w:t>
      </w:r>
      <w:r w:rsidRPr="00EF1EB0">
        <w:rPr>
          <w:lang w:val="en-GB"/>
        </w:rPr>
        <w:t xml:space="preserve">Inhibition of anaerobic wastewater treatment after long-term exposure to low levels of </w:t>
      </w:r>
      <w:proofErr w:type="spellStart"/>
      <w:r w:rsidRPr="00EF1EB0">
        <w:rPr>
          <w:lang w:val="en-GB"/>
        </w:rPr>
        <w:t>CuO</w:t>
      </w:r>
      <w:proofErr w:type="spellEnd"/>
      <w:r w:rsidRPr="00EF1EB0">
        <w:rPr>
          <w:lang w:val="en-GB"/>
        </w:rPr>
        <w:t xml:space="preserve"> nanoparticles</w:t>
      </w:r>
      <w:r>
        <w:rPr>
          <w:lang w:val="en-GB"/>
        </w:rPr>
        <w:t>,</w:t>
      </w:r>
      <w:r w:rsidRPr="00EF1EB0">
        <w:rPr>
          <w:lang w:val="en-GB"/>
        </w:rPr>
        <w:t xml:space="preserve"> Water Research, 58, 160–168.</w:t>
      </w:r>
    </w:p>
    <w:p w14:paraId="1EE67848" w14:textId="14E96820" w:rsidR="00E47891" w:rsidRDefault="00E47891" w:rsidP="00A50A1B">
      <w:pPr>
        <w:pStyle w:val="CETBodytext"/>
        <w:ind w:left="284" w:hanging="284"/>
        <w:rPr>
          <w:lang w:val="en-GB"/>
        </w:rPr>
      </w:pPr>
      <w:r w:rsidRPr="00E47891">
        <w:rPr>
          <w:lang w:val="en-GB"/>
        </w:rPr>
        <w:t>Park, S., Yoon, T., Bae, J., Seo, H., &amp; Park, H.</w:t>
      </w:r>
      <w:r>
        <w:rPr>
          <w:lang w:val="en-GB"/>
        </w:rPr>
        <w:t xml:space="preserve">, </w:t>
      </w:r>
      <w:r w:rsidRPr="00E47891">
        <w:rPr>
          <w:lang w:val="en-GB"/>
        </w:rPr>
        <w:t>2001</w:t>
      </w:r>
      <w:r>
        <w:rPr>
          <w:lang w:val="en-GB"/>
        </w:rPr>
        <w:t>,</w:t>
      </w:r>
      <w:r w:rsidRPr="00E47891">
        <w:rPr>
          <w:lang w:val="en-GB"/>
        </w:rPr>
        <w:t xml:space="preserve"> Biological treatment of wastewater containing dimethyl </w:t>
      </w:r>
      <w:proofErr w:type="spellStart"/>
      <w:r w:rsidRPr="00E47891">
        <w:rPr>
          <w:lang w:val="en-GB"/>
        </w:rPr>
        <w:t>sulphoxide</w:t>
      </w:r>
      <w:proofErr w:type="spellEnd"/>
      <w:r w:rsidRPr="00E47891">
        <w:rPr>
          <w:lang w:val="en-GB"/>
        </w:rPr>
        <w:t xml:space="preserve"> from the semi-conductor industry</w:t>
      </w:r>
      <w:r>
        <w:rPr>
          <w:lang w:val="en-GB"/>
        </w:rPr>
        <w:t>,</w:t>
      </w:r>
      <w:r w:rsidRPr="00E47891">
        <w:rPr>
          <w:lang w:val="en-GB"/>
        </w:rPr>
        <w:t xml:space="preserve"> </w:t>
      </w:r>
      <w:r w:rsidRPr="00E47891">
        <w:rPr>
          <w:i/>
          <w:iCs/>
          <w:lang w:val="en-GB"/>
        </w:rPr>
        <w:t>Process Biochemistry</w:t>
      </w:r>
      <w:r w:rsidRPr="00E47891">
        <w:rPr>
          <w:lang w:val="en-GB"/>
        </w:rPr>
        <w:t xml:space="preserve">, </w:t>
      </w:r>
      <w:r w:rsidRPr="00E47891">
        <w:rPr>
          <w:i/>
          <w:iCs/>
          <w:lang w:val="en-GB"/>
        </w:rPr>
        <w:t>36</w:t>
      </w:r>
      <w:r w:rsidRPr="00E47891">
        <w:rPr>
          <w:lang w:val="en-GB"/>
        </w:rPr>
        <w:t>(6), 579–589.</w:t>
      </w:r>
    </w:p>
    <w:p w14:paraId="38B625F0" w14:textId="0F61AD5E" w:rsidR="00D53B28" w:rsidRDefault="00D53B28" w:rsidP="00A50A1B">
      <w:pPr>
        <w:pStyle w:val="CETBodytext"/>
        <w:ind w:left="284" w:hanging="284"/>
        <w:rPr>
          <w:lang w:val="en-GB"/>
        </w:rPr>
      </w:pPr>
      <w:r w:rsidRPr="00D53B28">
        <w:rPr>
          <w:lang w:val="en-GB"/>
        </w:rPr>
        <w:t>Rebac, S., Van Lier, J. B., Janssen, M. G. J., Dekkers, F., Swinkels, K. T. M., &amp; Lettinga, G</w:t>
      </w:r>
      <w:r>
        <w:rPr>
          <w:lang w:val="en-GB"/>
        </w:rPr>
        <w:t xml:space="preserve">., </w:t>
      </w:r>
      <w:r w:rsidRPr="00D53B28">
        <w:rPr>
          <w:lang w:val="en-GB"/>
        </w:rPr>
        <w:t>1997</w:t>
      </w:r>
      <w:r>
        <w:rPr>
          <w:lang w:val="en-GB"/>
        </w:rPr>
        <w:t>,</w:t>
      </w:r>
      <w:r w:rsidRPr="00D53B28">
        <w:rPr>
          <w:lang w:val="en-GB"/>
        </w:rPr>
        <w:t xml:space="preserve"> High-Rate anaerobic treatment of malting </w:t>
      </w:r>
      <w:proofErr w:type="gramStart"/>
      <w:r w:rsidRPr="00D53B28">
        <w:rPr>
          <w:lang w:val="en-GB"/>
        </w:rPr>
        <w:t>waste water</w:t>
      </w:r>
      <w:proofErr w:type="gramEnd"/>
      <w:r w:rsidRPr="00D53B28">
        <w:rPr>
          <w:lang w:val="en-GB"/>
        </w:rPr>
        <w:t xml:space="preserve"> in a Pilot-Scale EGSB system under psychrophilic conditions</w:t>
      </w:r>
      <w:r>
        <w:rPr>
          <w:lang w:val="en-GB"/>
        </w:rPr>
        <w:t>,</w:t>
      </w:r>
      <w:r w:rsidRPr="00D53B28">
        <w:rPr>
          <w:lang w:val="en-GB"/>
        </w:rPr>
        <w:t xml:space="preserve"> Journal of Chemical Technology &amp; Biotechnology, 68(2), 135–146.</w:t>
      </w:r>
    </w:p>
    <w:p w14:paraId="756457A4" w14:textId="157387E7" w:rsidR="002029F3" w:rsidRDefault="002029F3" w:rsidP="00A50A1B">
      <w:pPr>
        <w:pStyle w:val="CETBodytext"/>
        <w:ind w:left="284" w:hanging="284"/>
        <w:rPr>
          <w:lang w:val="en-GB"/>
        </w:rPr>
      </w:pPr>
      <w:r w:rsidRPr="002029F3">
        <w:rPr>
          <w:lang w:val="en-GB"/>
        </w:rPr>
        <w:t>Seeger, K.</w:t>
      </w:r>
      <w:r>
        <w:rPr>
          <w:lang w:val="en-GB"/>
        </w:rPr>
        <w:t xml:space="preserve">, </w:t>
      </w:r>
      <w:r w:rsidRPr="002029F3">
        <w:rPr>
          <w:lang w:val="en-GB"/>
        </w:rPr>
        <w:t>1973</w:t>
      </w:r>
      <w:r>
        <w:rPr>
          <w:lang w:val="en-GB"/>
        </w:rPr>
        <w:t>,</w:t>
      </w:r>
      <w:r w:rsidRPr="002029F3">
        <w:rPr>
          <w:lang w:val="en-GB"/>
        </w:rPr>
        <w:t xml:space="preserve"> Semiconductor Physics</w:t>
      </w:r>
      <w:r>
        <w:rPr>
          <w:lang w:val="en-GB"/>
        </w:rPr>
        <w:t xml:space="preserve">, </w:t>
      </w:r>
      <w:r w:rsidRPr="002029F3">
        <w:rPr>
          <w:lang w:val="en-GB"/>
        </w:rPr>
        <w:t>Springer Science &amp; Business Media</w:t>
      </w:r>
      <w:r w:rsidR="00E47891">
        <w:rPr>
          <w:lang w:val="en-GB"/>
        </w:rPr>
        <w:t xml:space="preserve">, </w:t>
      </w:r>
      <w:r w:rsidR="00E47891" w:rsidRPr="00E47891">
        <w:rPr>
          <w:lang w:val="en-GB"/>
        </w:rPr>
        <w:t>Verlag</w:t>
      </w:r>
      <w:r w:rsidR="00E47891">
        <w:rPr>
          <w:lang w:val="en-GB"/>
        </w:rPr>
        <w:t>,</w:t>
      </w:r>
      <w:r w:rsidR="00E47891" w:rsidRPr="00E47891">
        <w:rPr>
          <w:lang w:val="en-GB"/>
        </w:rPr>
        <w:t xml:space="preserve"> Vienna</w:t>
      </w:r>
      <w:r w:rsidRPr="002029F3">
        <w:rPr>
          <w:lang w:val="en-GB"/>
        </w:rPr>
        <w:t>.</w:t>
      </w:r>
    </w:p>
    <w:p w14:paraId="3E0D61EF" w14:textId="160AC9D7" w:rsidR="00A50A1B" w:rsidRDefault="00A50A1B" w:rsidP="00A50A1B">
      <w:pPr>
        <w:pStyle w:val="CETBodytext"/>
        <w:ind w:left="284" w:hanging="284"/>
      </w:pPr>
      <w:r w:rsidRPr="00A50A1B">
        <w:rPr>
          <w:lang w:val="en-GB"/>
        </w:rPr>
        <w:t>SIA, 2022</w:t>
      </w:r>
      <w:r>
        <w:rPr>
          <w:lang w:val="en-GB"/>
        </w:rPr>
        <w:t>,</w:t>
      </w:r>
      <w:r w:rsidRPr="00A50A1B">
        <w:rPr>
          <w:lang w:val="en-GB"/>
        </w:rPr>
        <w:t xml:space="preserve"> Worldwide market billings (in thousands of U.S. Dollars). </w:t>
      </w:r>
      <w:proofErr w:type="spellStart"/>
      <w:r w:rsidRPr="00A50A1B">
        <w:rPr>
          <w:lang w:val="en-GB"/>
        </w:rPr>
        <w:t>Semiconduct</w:t>
      </w:r>
      <w:proofErr w:type="spellEnd"/>
      <w:r w:rsidRPr="00A50A1B">
        <w:rPr>
          <w:lang w:val="en-GB"/>
        </w:rPr>
        <w:t xml:space="preserve">. Ind. Assoc. </w:t>
      </w:r>
      <w:r>
        <w:rPr>
          <w:lang w:val="en-GB"/>
        </w:rPr>
        <w:t>&lt;</w:t>
      </w:r>
      <w:r w:rsidRPr="00A50A1B">
        <w:rPr>
          <w:lang w:val="en-GB"/>
        </w:rPr>
        <w:t>https://www.semiconductors.org/</w:t>
      </w:r>
      <w:r w:rsidR="005605BB">
        <w:rPr>
          <w:lang w:val="en-GB"/>
        </w:rPr>
        <w:t>&gt;</w:t>
      </w:r>
      <w:r>
        <w:rPr>
          <w:lang w:val="en-GB"/>
        </w:rPr>
        <w:t xml:space="preserve"> </w:t>
      </w:r>
      <w:r w:rsidRPr="006B4888">
        <w:t>accessed</w:t>
      </w:r>
      <w:r w:rsidR="005605BB">
        <w:t>,</w:t>
      </w:r>
      <w:r w:rsidRPr="006B4888">
        <w:t xml:space="preserve"> </w:t>
      </w:r>
      <w:r>
        <w:t>07</w:t>
      </w:r>
      <w:r w:rsidRPr="006B4888">
        <w:t>.</w:t>
      </w:r>
      <w:r>
        <w:t>10.2024.</w:t>
      </w:r>
    </w:p>
    <w:p w14:paraId="5391A771" w14:textId="4E6C5C6E" w:rsidR="00781142" w:rsidRPr="00A50A1B" w:rsidRDefault="00781142" w:rsidP="00A50A1B">
      <w:pPr>
        <w:pStyle w:val="CETBodytext"/>
        <w:ind w:left="284" w:hanging="284"/>
      </w:pPr>
      <w:r w:rsidRPr="00781142">
        <w:t>Sierra-Alvarez, R., Hollingsworth, J., &amp; Zhou, M. S.</w:t>
      </w:r>
      <w:r>
        <w:t xml:space="preserve">, </w:t>
      </w:r>
      <w:r w:rsidRPr="00781142">
        <w:t>2007</w:t>
      </w:r>
      <w:r>
        <w:t>,</w:t>
      </w:r>
      <w:r w:rsidRPr="00781142">
        <w:t xml:space="preserve"> Removal of Copper in an Integrated Sulfate Reducing Bioreactor−Crystallization reactor system</w:t>
      </w:r>
      <w:r>
        <w:t>,</w:t>
      </w:r>
      <w:r w:rsidRPr="00781142">
        <w:t xml:space="preserve"> Environmental Science &amp; Technology, 41(4), 1426–1431.</w:t>
      </w:r>
    </w:p>
    <w:p w14:paraId="2272D502" w14:textId="132FB375" w:rsidR="00A50A1B" w:rsidRDefault="00A50A1B" w:rsidP="00A50A1B">
      <w:pPr>
        <w:pStyle w:val="CETBodytext"/>
        <w:ind w:left="284" w:hanging="284"/>
        <w:rPr>
          <w:lang w:val="en-GB"/>
        </w:rPr>
      </w:pPr>
      <w:r w:rsidRPr="00A50A1B">
        <w:rPr>
          <w:lang w:val="en-GB"/>
        </w:rPr>
        <w:t>Sim, J., Lee, J., Rho, H., Park, K., Choi, Y., Kim, D., Kim, H., &amp; Woo, Y. C.</w:t>
      </w:r>
      <w:r>
        <w:rPr>
          <w:lang w:val="en-GB"/>
        </w:rPr>
        <w:t xml:space="preserve">, </w:t>
      </w:r>
      <w:r w:rsidRPr="00A50A1B">
        <w:rPr>
          <w:lang w:val="en-GB"/>
        </w:rPr>
        <w:t>2023</w:t>
      </w:r>
      <w:r>
        <w:rPr>
          <w:lang w:val="en-GB"/>
        </w:rPr>
        <w:t>,</w:t>
      </w:r>
      <w:r w:rsidRPr="00A50A1B">
        <w:rPr>
          <w:lang w:val="en-GB"/>
        </w:rPr>
        <w:t xml:space="preserve"> A review of semiconductor wastewater treatment processes: </w:t>
      </w:r>
      <w:proofErr w:type="gramStart"/>
      <w:r w:rsidRPr="00A50A1B">
        <w:rPr>
          <w:lang w:val="en-GB"/>
        </w:rPr>
        <w:t>Current status</w:t>
      </w:r>
      <w:proofErr w:type="gramEnd"/>
      <w:r w:rsidRPr="00A50A1B">
        <w:rPr>
          <w:lang w:val="en-GB"/>
        </w:rPr>
        <w:t>, challenges, and future trends. Journal of Cleaner Production, 429, 139570.</w:t>
      </w:r>
    </w:p>
    <w:p w14:paraId="46DA9D30" w14:textId="6F483DE4" w:rsidR="00D53B28" w:rsidRDefault="00D53B28" w:rsidP="00EF1EB0">
      <w:pPr>
        <w:pStyle w:val="CETBodytext"/>
        <w:ind w:left="284" w:hanging="284"/>
        <w:rPr>
          <w:lang w:val="en-GB"/>
        </w:rPr>
      </w:pPr>
      <w:proofErr w:type="spellStart"/>
      <w:r w:rsidRPr="00D53B28">
        <w:t>Syutsubo</w:t>
      </w:r>
      <w:proofErr w:type="spellEnd"/>
      <w:r w:rsidRPr="00D53B28">
        <w:t xml:space="preserve">, K., </w:t>
      </w:r>
      <w:proofErr w:type="spellStart"/>
      <w:r w:rsidRPr="00D53B28">
        <w:t>Danshita</w:t>
      </w:r>
      <w:proofErr w:type="spellEnd"/>
      <w:r w:rsidRPr="00D53B28">
        <w:t xml:space="preserve">, T., Sumino, H., Iguchi, A., &amp; Takemura, Y., 2021, </w:t>
      </w:r>
      <w:r w:rsidRPr="00D53B28">
        <w:rPr>
          <w:lang w:val="en-GB"/>
        </w:rPr>
        <w:t>Microbial properties of the granular sludge in a psychrophilic UASB reactor fed with electronics industry wastewater containing organic chemicals</w:t>
      </w:r>
      <w:r>
        <w:rPr>
          <w:lang w:val="en-GB"/>
        </w:rPr>
        <w:t>,</w:t>
      </w:r>
      <w:r w:rsidRPr="00D53B28">
        <w:rPr>
          <w:lang w:val="en-GB"/>
        </w:rPr>
        <w:t xml:space="preserve"> Journal of Environmental Science and Health Part A, 56(5), 516–524.</w:t>
      </w:r>
    </w:p>
    <w:p w14:paraId="75870C62" w14:textId="2CAE7945" w:rsidR="001168C4" w:rsidRDefault="001168C4" w:rsidP="001168C4">
      <w:pPr>
        <w:pStyle w:val="CETBodytext"/>
        <w:ind w:left="284" w:hanging="284"/>
        <w:rPr>
          <w:lang w:val="en-GB"/>
        </w:rPr>
      </w:pPr>
      <w:r w:rsidRPr="001168C4">
        <w:rPr>
          <w:lang w:val="en-GB"/>
        </w:rPr>
        <w:t>Tahir M.S., Shahzad K., Shahid Z., Sagir M., Rehan M., Nizami A., 2015, Producing methane</w:t>
      </w:r>
      <w:r>
        <w:rPr>
          <w:lang w:val="en-GB"/>
        </w:rPr>
        <w:t xml:space="preserve"> </w:t>
      </w:r>
      <w:r w:rsidRPr="001168C4">
        <w:rPr>
          <w:lang w:val="en-GB"/>
        </w:rPr>
        <w:t>enriched</w:t>
      </w:r>
      <w:r>
        <w:rPr>
          <w:lang w:val="en-GB"/>
        </w:rPr>
        <w:t xml:space="preserve"> </w:t>
      </w:r>
      <w:r w:rsidRPr="001168C4">
        <w:rPr>
          <w:lang w:val="en-GB"/>
        </w:rPr>
        <w:t>biogas</w:t>
      </w:r>
      <w:r>
        <w:rPr>
          <w:lang w:val="en-GB"/>
        </w:rPr>
        <w:t xml:space="preserve"> </w:t>
      </w:r>
      <w:r w:rsidRPr="001168C4">
        <w:rPr>
          <w:lang w:val="en-GB"/>
        </w:rPr>
        <w:t>using</w:t>
      </w:r>
      <w:r>
        <w:rPr>
          <w:lang w:val="en-GB"/>
        </w:rPr>
        <w:t xml:space="preserve"> </w:t>
      </w:r>
      <w:r w:rsidRPr="001168C4">
        <w:rPr>
          <w:lang w:val="en-GB"/>
        </w:rPr>
        <w:t>solvent</w:t>
      </w:r>
      <w:r>
        <w:rPr>
          <w:lang w:val="en-GB"/>
        </w:rPr>
        <w:t xml:space="preserve"> </w:t>
      </w:r>
      <w:r w:rsidRPr="001168C4">
        <w:rPr>
          <w:lang w:val="en-GB"/>
        </w:rPr>
        <w:t>absorption</w:t>
      </w:r>
      <w:r>
        <w:rPr>
          <w:lang w:val="en-GB"/>
        </w:rPr>
        <w:t xml:space="preserve"> </w:t>
      </w:r>
      <w:r w:rsidRPr="001168C4">
        <w:rPr>
          <w:lang w:val="en-GB"/>
        </w:rPr>
        <w:t>method,</w:t>
      </w:r>
      <w:r>
        <w:rPr>
          <w:lang w:val="en-GB"/>
        </w:rPr>
        <w:t xml:space="preserve"> </w:t>
      </w:r>
      <w:r w:rsidRPr="001168C4">
        <w:rPr>
          <w:lang w:val="en-GB"/>
        </w:rPr>
        <w:t>Chemical</w:t>
      </w:r>
      <w:r>
        <w:rPr>
          <w:lang w:val="en-GB"/>
        </w:rPr>
        <w:t xml:space="preserve"> </w:t>
      </w:r>
      <w:r w:rsidRPr="001168C4">
        <w:rPr>
          <w:lang w:val="en-GB"/>
        </w:rPr>
        <w:t>Engineering</w:t>
      </w:r>
      <w:r>
        <w:rPr>
          <w:lang w:val="en-GB"/>
        </w:rPr>
        <w:t xml:space="preserve"> </w:t>
      </w:r>
      <w:r w:rsidRPr="001168C4">
        <w:rPr>
          <w:lang w:val="en-GB"/>
        </w:rPr>
        <w:t>Transactions,</w:t>
      </w:r>
      <w:r>
        <w:rPr>
          <w:lang w:val="en-GB"/>
        </w:rPr>
        <w:t xml:space="preserve"> </w:t>
      </w:r>
      <w:r w:rsidRPr="001168C4">
        <w:rPr>
          <w:lang w:val="en-GB"/>
        </w:rPr>
        <w:t>45,</w:t>
      </w:r>
      <w:r>
        <w:rPr>
          <w:lang w:val="en-GB"/>
        </w:rPr>
        <w:t xml:space="preserve"> </w:t>
      </w:r>
      <w:r w:rsidRPr="001168C4">
        <w:rPr>
          <w:lang w:val="en-GB"/>
        </w:rPr>
        <w:t>1309-1314</w:t>
      </w:r>
      <w:r>
        <w:rPr>
          <w:lang w:val="en-GB"/>
        </w:rPr>
        <w:t>.</w:t>
      </w:r>
    </w:p>
    <w:p w14:paraId="358BFFEE" w14:textId="262BB337" w:rsidR="00E47891" w:rsidRDefault="00E47891" w:rsidP="00EF1EB0">
      <w:pPr>
        <w:pStyle w:val="CETBodytext"/>
        <w:ind w:left="284" w:hanging="284"/>
        <w:rPr>
          <w:lang w:val="en-GB"/>
        </w:rPr>
      </w:pPr>
      <w:r w:rsidRPr="00E47891">
        <w:rPr>
          <w:lang w:val="en-GB"/>
        </w:rPr>
        <w:t>Tripathi, S., &amp; Hussain, T.</w:t>
      </w:r>
      <w:r>
        <w:rPr>
          <w:lang w:val="en-GB"/>
        </w:rPr>
        <w:t xml:space="preserve">, </w:t>
      </w:r>
      <w:r w:rsidRPr="00E47891">
        <w:rPr>
          <w:lang w:val="en-GB"/>
        </w:rPr>
        <w:t>2021</w:t>
      </w:r>
      <w:r>
        <w:rPr>
          <w:lang w:val="en-GB"/>
        </w:rPr>
        <w:t>,</w:t>
      </w:r>
      <w:r w:rsidRPr="00E47891">
        <w:rPr>
          <w:lang w:val="en-GB"/>
        </w:rPr>
        <w:t xml:space="preserve"> Water and Wastewater Treatment through Ozone-based technologies</w:t>
      </w:r>
      <w:r>
        <w:rPr>
          <w:lang w:val="en-GB"/>
        </w:rPr>
        <w:t>,</w:t>
      </w:r>
      <w:r w:rsidRPr="00E47891">
        <w:rPr>
          <w:lang w:val="en-GB"/>
        </w:rPr>
        <w:t xml:space="preserve"> In </w:t>
      </w:r>
      <w:r w:rsidRPr="00E47891">
        <w:rPr>
          <w:i/>
          <w:iCs/>
          <w:lang w:val="en-GB"/>
        </w:rPr>
        <w:t>Elsevier eBooks</w:t>
      </w:r>
      <w:r w:rsidRPr="00E47891">
        <w:rPr>
          <w:lang w:val="en-GB"/>
        </w:rPr>
        <w:t xml:space="preserve"> (pp. 139–172).</w:t>
      </w:r>
    </w:p>
    <w:p w14:paraId="3003358C" w14:textId="10171FB6" w:rsidR="002029F3" w:rsidRPr="00A50A1B" w:rsidRDefault="002029F3" w:rsidP="00A50A1B">
      <w:pPr>
        <w:pStyle w:val="CETBodytext"/>
        <w:ind w:left="284" w:hanging="284"/>
        <w:rPr>
          <w:lang w:val="en-GB"/>
        </w:rPr>
      </w:pPr>
      <w:r w:rsidRPr="002029F3">
        <w:rPr>
          <w:lang w:val="en-GB"/>
        </w:rPr>
        <w:t>Tsai, W., Chen, H., &amp; Hsien, W.</w:t>
      </w:r>
      <w:r>
        <w:rPr>
          <w:lang w:val="en-GB"/>
        </w:rPr>
        <w:t xml:space="preserve">, </w:t>
      </w:r>
      <w:r w:rsidRPr="002029F3">
        <w:rPr>
          <w:lang w:val="en-GB"/>
        </w:rPr>
        <w:t>2002</w:t>
      </w:r>
      <w:r>
        <w:rPr>
          <w:lang w:val="en-GB"/>
        </w:rPr>
        <w:t>,</w:t>
      </w:r>
      <w:r w:rsidRPr="002029F3">
        <w:rPr>
          <w:lang w:val="en-GB"/>
        </w:rPr>
        <w:t xml:space="preserve"> A review of uses, environmental hazards and recovery/recycle technologies of perfluorocarbons (PFCs) emissions from the semiconductor manufacturing processes</w:t>
      </w:r>
      <w:r>
        <w:rPr>
          <w:lang w:val="en-GB"/>
        </w:rPr>
        <w:t xml:space="preserve">, </w:t>
      </w:r>
      <w:r w:rsidRPr="002029F3">
        <w:rPr>
          <w:lang w:val="en-GB"/>
        </w:rPr>
        <w:t>Journal of Loss Prevention in the Process Industries, 15(2), 65–75.</w:t>
      </w:r>
    </w:p>
    <w:p w14:paraId="2A6276A2" w14:textId="1B07FB60" w:rsidR="00A50A1B" w:rsidRDefault="00A50A1B" w:rsidP="00A50A1B">
      <w:pPr>
        <w:pStyle w:val="CETBodytext"/>
        <w:ind w:left="284" w:hanging="284"/>
      </w:pPr>
      <w:r w:rsidRPr="00A50A1B">
        <w:rPr>
          <w:lang w:val="en-GB"/>
        </w:rPr>
        <w:t>UMC, 2021</w:t>
      </w:r>
      <w:r w:rsidR="005605BB">
        <w:rPr>
          <w:lang w:val="en-GB"/>
        </w:rPr>
        <w:t>,</w:t>
      </w:r>
      <w:r w:rsidRPr="00A50A1B">
        <w:rPr>
          <w:lang w:val="en-GB"/>
        </w:rPr>
        <w:t xml:space="preserve"> UMC sustainability report, 2022. </w:t>
      </w:r>
      <w:r w:rsidR="00E42FB9">
        <w:rPr>
          <w:lang w:val="en-GB"/>
        </w:rPr>
        <w:t xml:space="preserve">    </w:t>
      </w:r>
      <w:r w:rsidR="005605BB">
        <w:rPr>
          <w:lang w:val="en-GB"/>
        </w:rPr>
        <w:t>&lt;</w:t>
      </w:r>
      <w:r w:rsidRPr="00A50A1B">
        <w:rPr>
          <w:lang w:val="en-GB"/>
        </w:rPr>
        <w:t>https://www.umc.com/upload/media/07_Sustainability/72_Reports_and_Results/1_Corporate_Sustainability_Reports/CSR_Reports/CS_Report_English_pdf/2021_CSR_report_eng/2021_CSR_report_en_all.pdf.</w:t>
      </w:r>
      <w:r w:rsidR="005605BB">
        <w:rPr>
          <w:lang w:val="en-GB"/>
        </w:rPr>
        <w:t xml:space="preserve">&gt; </w:t>
      </w:r>
      <w:r w:rsidR="005605BB" w:rsidRPr="006B4888">
        <w:t>accessed</w:t>
      </w:r>
      <w:r w:rsidR="005605BB">
        <w:t>,</w:t>
      </w:r>
      <w:r w:rsidR="005605BB" w:rsidRPr="006B4888">
        <w:t xml:space="preserve"> </w:t>
      </w:r>
      <w:r w:rsidR="005605BB">
        <w:t>07</w:t>
      </w:r>
      <w:r w:rsidR="005605BB" w:rsidRPr="006B4888">
        <w:t>.</w:t>
      </w:r>
      <w:r w:rsidR="005605BB">
        <w:t>10.2024.</w:t>
      </w:r>
    </w:p>
    <w:p w14:paraId="220763E2" w14:textId="495ECFF0" w:rsidR="00EF1EB0" w:rsidRDefault="00EF1EB0" w:rsidP="00A50A1B">
      <w:pPr>
        <w:pStyle w:val="CETBodytext"/>
        <w:ind w:left="284" w:hanging="284"/>
      </w:pPr>
      <w:r w:rsidRPr="00EF1EB0">
        <w:t>Whang, L., Hu, T., Liu, P. G., Hung, Y., Fukushima, T., Wu, Y., &amp; Chang, S.</w:t>
      </w:r>
      <w:r>
        <w:t>,</w:t>
      </w:r>
      <w:r w:rsidRPr="00EF1EB0">
        <w:t xml:space="preserve"> 2014</w:t>
      </w:r>
      <w:r>
        <w:t>,</w:t>
      </w:r>
      <w:r w:rsidRPr="00EF1EB0">
        <w:t xml:space="preserve"> Molecular analysis of methanogens involved in methanogenic degradation of tetramethylammonium hydroxide in full-scale bioreactors</w:t>
      </w:r>
      <w:r>
        <w:t>,</w:t>
      </w:r>
      <w:r w:rsidRPr="00EF1EB0">
        <w:t xml:space="preserve"> Applied Microbiology and Biotechnology, 99(3), 1485–1497</w:t>
      </w:r>
      <w:r>
        <w:t>.</w:t>
      </w:r>
    </w:p>
    <w:p w14:paraId="316DBE96" w14:textId="638C0F5C" w:rsidR="00EF1EB0" w:rsidRDefault="00EF1EB0" w:rsidP="00A50A1B">
      <w:pPr>
        <w:pStyle w:val="CETBodytext"/>
        <w:ind w:left="284" w:hanging="284"/>
      </w:pPr>
      <w:r w:rsidRPr="00EF1EB0">
        <w:rPr>
          <w:lang w:val="en-GB"/>
        </w:rPr>
        <w:t>Yang, Y., Zhang, C., &amp; Hu, Z.</w:t>
      </w:r>
      <w:r>
        <w:rPr>
          <w:lang w:val="en-GB"/>
        </w:rPr>
        <w:t xml:space="preserve">, </w:t>
      </w:r>
      <w:r w:rsidRPr="00EF1EB0">
        <w:rPr>
          <w:lang w:val="en-GB"/>
        </w:rPr>
        <w:t>2012</w:t>
      </w:r>
      <w:r>
        <w:rPr>
          <w:lang w:val="en-GB"/>
        </w:rPr>
        <w:t>,</w:t>
      </w:r>
      <w:r w:rsidRPr="00EF1EB0">
        <w:rPr>
          <w:lang w:val="en-GB"/>
        </w:rPr>
        <w:t xml:space="preserve"> Impact of metallic and metal oxide nanoparticles on wastewater treatment and anaerobic digestion</w:t>
      </w:r>
      <w:r>
        <w:rPr>
          <w:lang w:val="en-GB"/>
        </w:rPr>
        <w:t>,</w:t>
      </w:r>
      <w:r w:rsidRPr="00EF1EB0">
        <w:rPr>
          <w:lang w:val="en-GB"/>
        </w:rPr>
        <w:t xml:space="preserve"> </w:t>
      </w:r>
      <w:r w:rsidRPr="00EF1EB0">
        <w:rPr>
          <w:i/>
          <w:iCs/>
          <w:lang w:val="en-GB"/>
        </w:rPr>
        <w:t>Environmental Science Processes &amp; Impacts</w:t>
      </w:r>
      <w:r w:rsidRPr="00EF1EB0">
        <w:rPr>
          <w:lang w:val="en-GB"/>
        </w:rPr>
        <w:t xml:space="preserve">, </w:t>
      </w:r>
      <w:r w:rsidRPr="00EF1EB0">
        <w:rPr>
          <w:i/>
          <w:iCs/>
          <w:lang w:val="en-GB"/>
        </w:rPr>
        <w:t>15</w:t>
      </w:r>
      <w:r w:rsidRPr="00EF1EB0">
        <w:rPr>
          <w:lang w:val="en-GB"/>
        </w:rPr>
        <w:t xml:space="preserve">(1), 39–48. </w:t>
      </w:r>
    </w:p>
    <w:p w14:paraId="5149A88A" w14:textId="09F4C69F" w:rsidR="006B4888" w:rsidRDefault="00D53B28" w:rsidP="00E47891">
      <w:pPr>
        <w:pStyle w:val="CETBodytext"/>
        <w:ind w:left="284" w:hanging="284"/>
        <w:rPr>
          <w:lang w:val="en-GB"/>
        </w:rPr>
      </w:pPr>
      <w:r w:rsidRPr="00D53B28">
        <w:rPr>
          <w:lang w:val="en-GB"/>
        </w:rPr>
        <w:t xml:space="preserve">Zieliński, M., </w:t>
      </w:r>
      <w:proofErr w:type="spellStart"/>
      <w:r w:rsidRPr="00D53B28">
        <w:rPr>
          <w:lang w:val="en-GB"/>
        </w:rPr>
        <w:t>Kazimierowicz</w:t>
      </w:r>
      <w:proofErr w:type="spellEnd"/>
      <w:r w:rsidRPr="00D53B28">
        <w:rPr>
          <w:lang w:val="en-GB"/>
        </w:rPr>
        <w:t>, J., &amp; Dębowski, M.</w:t>
      </w:r>
      <w:r>
        <w:rPr>
          <w:lang w:val="en-GB"/>
        </w:rPr>
        <w:t xml:space="preserve">, </w:t>
      </w:r>
      <w:r w:rsidRPr="00D53B28">
        <w:rPr>
          <w:lang w:val="en-GB"/>
        </w:rPr>
        <w:t>2022</w:t>
      </w:r>
      <w:r>
        <w:rPr>
          <w:lang w:val="en-GB"/>
        </w:rPr>
        <w:t>,</w:t>
      </w:r>
      <w:r w:rsidRPr="00D53B28">
        <w:rPr>
          <w:lang w:val="en-GB"/>
        </w:rPr>
        <w:t xml:space="preserve"> Advantages and Limitations of Anaerobic Wastewater Treatment—Technological Basics, development directions, and Technological Innovations</w:t>
      </w:r>
      <w:r>
        <w:rPr>
          <w:lang w:val="en-GB"/>
        </w:rPr>
        <w:t>,</w:t>
      </w:r>
      <w:r w:rsidRPr="00D53B28">
        <w:rPr>
          <w:lang w:val="en-GB"/>
        </w:rPr>
        <w:t xml:space="preserve"> </w:t>
      </w:r>
      <w:r w:rsidRPr="00D53B28">
        <w:rPr>
          <w:i/>
          <w:iCs/>
          <w:lang w:val="en-GB"/>
        </w:rPr>
        <w:t>Energies</w:t>
      </w:r>
      <w:r w:rsidRPr="00D53B28">
        <w:rPr>
          <w:lang w:val="en-GB"/>
        </w:rPr>
        <w:t xml:space="preserve">, </w:t>
      </w:r>
      <w:r w:rsidRPr="00D53B28">
        <w:rPr>
          <w:i/>
          <w:iCs/>
          <w:lang w:val="en-GB"/>
        </w:rPr>
        <w:t>16</w:t>
      </w:r>
      <w:r w:rsidRPr="00D53B28">
        <w:rPr>
          <w:lang w:val="en-GB"/>
        </w:rPr>
        <w:t>(1), 83.</w:t>
      </w:r>
    </w:p>
    <w:p w14:paraId="66A772B1" w14:textId="40E7E963" w:rsidR="00A62C35" w:rsidRPr="00E47891" w:rsidRDefault="003D5FAA" w:rsidP="00A62C35">
      <w:pPr>
        <w:pStyle w:val="CETBodytext"/>
        <w:ind w:left="284" w:hanging="284"/>
        <w:rPr>
          <w:lang w:val="en-GB"/>
        </w:rPr>
      </w:pPr>
      <w:r w:rsidRPr="003D5FAA">
        <w:rPr>
          <w:lang w:val="en-GB"/>
        </w:rPr>
        <w:t>Yang, H. G., Chun, H.</w:t>
      </w:r>
      <w:r w:rsidRPr="00443D98">
        <w:rPr>
          <w:lang w:val="en-GB"/>
        </w:rPr>
        <w:t xml:space="preserve"> Y., </w:t>
      </w:r>
      <w:r w:rsidRPr="003D5FAA">
        <w:rPr>
          <w:lang w:val="en-GB"/>
        </w:rPr>
        <w:t>&amp; Pak, D.</w:t>
      </w:r>
      <w:r>
        <w:rPr>
          <w:lang w:val="en-GB"/>
        </w:rPr>
        <w:t xml:space="preserve">, </w:t>
      </w:r>
      <w:r w:rsidRPr="003D5FAA">
        <w:rPr>
          <w:lang w:val="en-GB"/>
        </w:rPr>
        <w:t>2014</w:t>
      </w:r>
      <w:r>
        <w:rPr>
          <w:lang w:val="en-GB"/>
        </w:rPr>
        <w:t>,</w:t>
      </w:r>
      <w:r w:rsidRPr="003D5FAA">
        <w:rPr>
          <w:lang w:val="en-GB"/>
        </w:rPr>
        <w:t xml:space="preserve"> Improvement of sludge anaerobic degradability by combined electro-flotation and electro-oxidation treatment</w:t>
      </w:r>
      <w:r>
        <w:rPr>
          <w:lang w:val="en-GB"/>
        </w:rPr>
        <w:t xml:space="preserve">, </w:t>
      </w:r>
      <w:r w:rsidRPr="003D5FAA">
        <w:rPr>
          <w:i/>
          <w:iCs/>
          <w:lang w:val="en-GB"/>
        </w:rPr>
        <w:t>Biochemical Engineering Journal</w:t>
      </w:r>
      <w:r w:rsidRPr="003D5FAA">
        <w:rPr>
          <w:lang w:val="en-GB"/>
        </w:rPr>
        <w:t>, </w:t>
      </w:r>
      <w:r w:rsidRPr="003D5FAA">
        <w:rPr>
          <w:i/>
          <w:iCs/>
          <w:lang w:val="en-GB"/>
        </w:rPr>
        <w:t>90</w:t>
      </w:r>
      <w:r w:rsidRPr="003D5FAA">
        <w:rPr>
          <w:lang w:val="en-GB"/>
        </w:rPr>
        <w:t>, 44–48.</w:t>
      </w:r>
    </w:p>
    <w:sectPr w:rsidR="00A62C35" w:rsidRPr="00E47891"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A205" w14:textId="77777777" w:rsidR="00AE32F3" w:rsidRDefault="00AE32F3" w:rsidP="004F5E36">
      <w:r>
        <w:separator/>
      </w:r>
    </w:p>
  </w:endnote>
  <w:endnote w:type="continuationSeparator" w:id="0">
    <w:p w14:paraId="72C56015" w14:textId="77777777" w:rsidR="00AE32F3" w:rsidRDefault="00AE32F3" w:rsidP="004F5E36">
      <w:r>
        <w:continuationSeparator/>
      </w:r>
    </w:p>
  </w:endnote>
  <w:endnote w:type="continuationNotice" w:id="1">
    <w:p w14:paraId="49D0D497" w14:textId="77777777" w:rsidR="00AE32F3" w:rsidRDefault="00AE32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9218" w14:textId="77777777" w:rsidR="00FA589C" w:rsidRDefault="00FA58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0737" w14:textId="77777777" w:rsidR="00AE32F3" w:rsidRDefault="00AE32F3" w:rsidP="004F5E36">
      <w:r>
        <w:separator/>
      </w:r>
    </w:p>
  </w:footnote>
  <w:footnote w:type="continuationSeparator" w:id="0">
    <w:p w14:paraId="6AF890D2" w14:textId="77777777" w:rsidR="00AE32F3" w:rsidRDefault="00AE32F3" w:rsidP="004F5E36">
      <w:r>
        <w:continuationSeparator/>
      </w:r>
    </w:p>
  </w:footnote>
  <w:footnote w:type="continuationNotice" w:id="1">
    <w:p w14:paraId="7E5A9786" w14:textId="77777777" w:rsidR="00AE32F3" w:rsidRDefault="00AE32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75ED" w14:textId="77777777" w:rsidR="00FA589C" w:rsidRDefault="00FA58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38C"/>
    <w:rsid w:val="000027C0"/>
    <w:rsid w:val="000052FB"/>
    <w:rsid w:val="00005A19"/>
    <w:rsid w:val="000117CB"/>
    <w:rsid w:val="0003056D"/>
    <w:rsid w:val="0003148D"/>
    <w:rsid w:val="00031EEC"/>
    <w:rsid w:val="00033B86"/>
    <w:rsid w:val="0004172E"/>
    <w:rsid w:val="00051566"/>
    <w:rsid w:val="000562A9"/>
    <w:rsid w:val="00062A9A"/>
    <w:rsid w:val="00065058"/>
    <w:rsid w:val="000678D8"/>
    <w:rsid w:val="000816CF"/>
    <w:rsid w:val="000837A3"/>
    <w:rsid w:val="00086C39"/>
    <w:rsid w:val="00093100"/>
    <w:rsid w:val="000A03B2"/>
    <w:rsid w:val="000A409B"/>
    <w:rsid w:val="000B3F55"/>
    <w:rsid w:val="000C4F27"/>
    <w:rsid w:val="000D0268"/>
    <w:rsid w:val="000D34BE"/>
    <w:rsid w:val="000E0B3C"/>
    <w:rsid w:val="000E102F"/>
    <w:rsid w:val="000E36F1"/>
    <w:rsid w:val="000E3A73"/>
    <w:rsid w:val="000E414A"/>
    <w:rsid w:val="000E495B"/>
    <w:rsid w:val="000E6A80"/>
    <w:rsid w:val="000E75FD"/>
    <w:rsid w:val="000F093C"/>
    <w:rsid w:val="000F1FD9"/>
    <w:rsid w:val="000F4C28"/>
    <w:rsid w:val="000F66E5"/>
    <w:rsid w:val="000F787B"/>
    <w:rsid w:val="001005AE"/>
    <w:rsid w:val="00103C0D"/>
    <w:rsid w:val="0010479E"/>
    <w:rsid w:val="00107790"/>
    <w:rsid w:val="00113D00"/>
    <w:rsid w:val="00115B7D"/>
    <w:rsid w:val="001168C4"/>
    <w:rsid w:val="0012091F"/>
    <w:rsid w:val="001214E4"/>
    <w:rsid w:val="001220AA"/>
    <w:rsid w:val="0012300D"/>
    <w:rsid w:val="00126BC2"/>
    <w:rsid w:val="001308B6"/>
    <w:rsid w:val="0013121F"/>
    <w:rsid w:val="00131FE6"/>
    <w:rsid w:val="0013263F"/>
    <w:rsid w:val="001331DF"/>
    <w:rsid w:val="0013375B"/>
    <w:rsid w:val="00134DE4"/>
    <w:rsid w:val="0014034D"/>
    <w:rsid w:val="00140FE3"/>
    <w:rsid w:val="00144051"/>
    <w:rsid w:val="00144D16"/>
    <w:rsid w:val="00150E59"/>
    <w:rsid w:val="001515ED"/>
    <w:rsid w:val="0015241B"/>
    <w:rsid w:val="00152DE3"/>
    <w:rsid w:val="001531B4"/>
    <w:rsid w:val="00153D35"/>
    <w:rsid w:val="00164CF9"/>
    <w:rsid w:val="0016668E"/>
    <w:rsid w:val="001667A6"/>
    <w:rsid w:val="00177A82"/>
    <w:rsid w:val="00180F34"/>
    <w:rsid w:val="0018171E"/>
    <w:rsid w:val="00184AD6"/>
    <w:rsid w:val="001918FF"/>
    <w:rsid w:val="001A4AF7"/>
    <w:rsid w:val="001B0349"/>
    <w:rsid w:val="001B1E93"/>
    <w:rsid w:val="001B65C1"/>
    <w:rsid w:val="001C260F"/>
    <w:rsid w:val="001C5C3A"/>
    <w:rsid w:val="001C684B"/>
    <w:rsid w:val="001D0CFB"/>
    <w:rsid w:val="001D21AF"/>
    <w:rsid w:val="001D3D32"/>
    <w:rsid w:val="001D53FC"/>
    <w:rsid w:val="001D6F9F"/>
    <w:rsid w:val="001F1CF7"/>
    <w:rsid w:val="001F42A5"/>
    <w:rsid w:val="001F5C37"/>
    <w:rsid w:val="001F7B9D"/>
    <w:rsid w:val="001F7F70"/>
    <w:rsid w:val="002006A2"/>
    <w:rsid w:val="00201B9F"/>
    <w:rsid w:val="00201C93"/>
    <w:rsid w:val="002029F3"/>
    <w:rsid w:val="00207643"/>
    <w:rsid w:val="00207821"/>
    <w:rsid w:val="0021272D"/>
    <w:rsid w:val="002143BE"/>
    <w:rsid w:val="002224B4"/>
    <w:rsid w:val="002241FF"/>
    <w:rsid w:val="00226EEA"/>
    <w:rsid w:val="00234C56"/>
    <w:rsid w:val="002447EF"/>
    <w:rsid w:val="002447F8"/>
    <w:rsid w:val="00251550"/>
    <w:rsid w:val="00251E72"/>
    <w:rsid w:val="00256CF0"/>
    <w:rsid w:val="00263A48"/>
    <w:rsid w:val="00263B05"/>
    <w:rsid w:val="002704A4"/>
    <w:rsid w:val="0027221A"/>
    <w:rsid w:val="00275B61"/>
    <w:rsid w:val="00280FAF"/>
    <w:rsid w:val="00282656"/>
    <w:rsid w:val="00296B83"/>
    <w:rsid w:val="002971C0"/>
    <w:rsid w:val="002A1146"/>
    <w:rsid w:val="002A265F"/>
    <w:rsid w:val="002B4015"/>
    <w:rsid w:val="002B78CE"/>
    <w:rsid w:val="002C2FB6"/>
    <w:rsid w:val="002C7C43"/>
    <w:rsid w:val="002D25AE"/>
    <w:rsid w:val="002D3904"/>
    <w:rsid w:val="002D5B56"/>
    <w:rsid w:val="002E2A43"/>
    <w:rsid w:val="002E3A32"/>
    <w:rsid w:val="002E3C7E"/>
    <w:rsid w:val="002E5FA7"/>
    <w:rsid w:val="002F12EB"/>
    <w:rsid w:val="002F2573"/>
    <w:rsid w:val="002F3309"/>
    <w:rsid w:val="002F6D8B"/>
    <w:rsid w:val="00300878"/>
    <w:rsid w:val="003008CE"/>
    <w:rsid w:val="003009B7"/>
    <w:rsid w:val="00300E56"/>
    <w:rsid w:val="0030152C"/>
    <w:rsid w:val="0030469C"/>
    <w:rsid w:val="00304CE8"/>
    <w:rsid w:val="00306098"/>
    <w:rsid w:val="00321CA6"/>
    <w:rsid w:val="00323763"/>
    <w:rsid w:val="00323C5F"/>
    <w:rsid w:val="00334C09"/>
    <w:rsid w:val="003451CD"/>
    <w:rsid w:val="003453DC"/>
    <w:rsid w:val="00345592"/>
    <w:rsid w:val="00352C7D"/>
    <w:rsid w:val="00353D60"/>
    <w:rsid w:val="00355CC0"/>
    <w:rsid w:val="003723D4"/>
    <w:rsid w:val="0038074B"/>
    <w:rsid w:val="00381905"/>
    <w:rsid w:val="00383C3C"/>
    <w:rsid w:val="00384CC8"/>
    <w:rsid w:val="003851AD"/>
    <w:rsid w:val="003871FD"/>
    <w:rsid w:val="00387212"/>
    <w:rsid w:val="00394C4C"/>
    <w:rsid w:val="0039548E"/>
    <w:rsid w:val="003A1E30"/>
    <w:rsid w:val="003A2829"/>
    <w:rsid w:val="003A538C"/>
    <w:rsid w:val="003A7D1C"/>
    <w:rsid w:val="003B2418"/>
    <w:rsid w:val="003B304B"/>
    <w:rsid w:val="003B3146"/>
    <w:rsid w:val="003B49CD"/>
    <w:rsid w:val="003B5AB7"/>
    <w:rsid w:val="003C4CA2"/>
    <w:rsid w:val="003D1E02"/>
    <w:rsid w:val="003D5FAA"/>
    <w:rsid w:val="003E3806"/>
    <w:rsid w:val="003E38CF"/>
    <w:rsid w:val="003F015E"/>
    <w:rsid w:val="003F2901"/>
    <w:rsid w:val="00400414"/>
    <w:rsid w:val="00405D69"/>
    <w:rsid w:val="00406AE2"/>
    <w:rsid w:val="0041446B"/>
    <w:rsid w:val="004159E8"/>
    <w:rsid w:val="004223D0"/>
    <w:rsid w:val="004278B0"/>
    <w:rsid w:val="0044071E"/>
    <w:rsid w:val="0044329C"/>
    <w:rsid w:val="00443D98"/>
    <w:rsid w:val="004458FD"/>
    <w:rsid w:val="00447D28"/>
    <w:rsid w:val="00450622"/>
    <w:rsid w:val="00453E24"/>
    <w:rsid w:val="004541B9"/>
    <w:rsid w:val="00457456"/>
    <w:rsid w:val="004577FE"/>
    <w:rsid w:val="00457B9C"/>
    <w:rsid w:val="0046164A"/>
    <w:rsid w:val="004628D2"/>
    <w:rsid w:val="00462DCD"/>
    <w:rsid w:val="004648AD"/>
    <w:rsid w:val="00470012"/>
    <w:rsid w:val="004703A9"/>
    <w:rsid w:val="004760DE"/>
    <w:rsid w:val="004763D7"/>
    <w:rsid w:val="00485DDF"/>
    <w:rsid w:val="00487445"/>
    <w:rsid w:val="00487DAF"/>
    <w:rsid w:val="004932BD"/>
    <w:rsid w:val="00496297"/>
    <w:rsid w:val="00497BBE"/>
    <w:rsid w:val="004A004E"/>
    <w:rsid w:val="004A24CF"/>
    <w:rsid w:val="004A6BCB"/>
    <w:rsid w:val="004B247B"/>
    <w:rsid w:val="004B4696"/>
    <w:rsid w:val="004C3D1D"/>
    <w:rsid w:val="004C3D84"/>
    <w:rsid w:val="004C7913"/>
    <w:rsid w:val="004D4D86"/>
    <w:rsid w:val="004E2453"/>
    <w:rsid w:val="004E3871"/>
    <w:rsid w:val="004E4DD6"/>
    <w:rsid w:val="004E5DD2"/>
    <w:rsid w:val="004F5E15"/>
    <w:rsid w:val="004F5E36"/>
    <w:rsid w:val="00500525"/>
    <w:rsid w:val="00503CC0"/>
    <w:rsid w:val="00506927"/>
    <w:rsid w:val="0050781B"/>
    <w:rsid w:val="00507B47"/>
    <w:rsid w:val="00507BEF"/>
    <w:rsid w:val="00507CC9"/>
    <w:rsid w:val="00510E01"/>
    <w:rsid w:val="00511764"/>
    <w:rsid w:val="005119A5"/>
    <w:rsid w:val="005278B7"/>
    <w:rsid w:val="00532016"/>
    <w:rsid w:val="00533F48"/>
    <w:rsid w:val="005346C8"/>
    <w:rsid w:val="00535094"/>
    <w:rsid w:val="005376B9"/>
    <w:rsid w:val="0054155E"/>
    <w:rsid w:val="00543E7D"/>
    <w:rsid w:val="00545F01"/>
    <w:rsid w:val="00547A68"/>
    <w:rsid w:val="005500CA"/>
    <w:rsid w:val="005531C9"/>
    <w:rsid w:val="00553620"/>
    <w:rsid w:val="00554879"/>
    <w:rsid w:val="00554B6E"/>
    <w:rsid w:val="00554BE8"/>
    <w:rsid w:val="005605BB"/>
    <w:rsid w:val="00563F90"/>
    <w:rsid w:val="00564287"/>
    <w:rsid w:val="00570C43"/>
    <w:rsid w:val="005715D4"/>
    <w:rsid w:val="005806BF"/>
    <w:rsid w:val="00584CA0"/>
    <w:rsid w:val="005878F6"/>
    <w:rsid w:val="00592274"/>
    <w:rsid w:val="00596C69"/>
    <w:rsid w:val="005B2110"/>
    <w:rsid w:val="005B350B"/>
    <w:rsid w:val="005B61E6"/>
    <w:rsid w:val="005B6D04"/>
    <w:rsid w:val="005C77E1"/>
    <w:rsid w:val="005D0CB0"/>
    <w:rsid w:val="005D668A"/>
    <w:rsid w:val="005D6A2F"/>
    <w:rsid w:val="005E0592"/>
    <w:rsid w:val="005E1A82"/>
    <w:rsid w:val="005E2386"/>
    <w:rsid w:val="005E794C"/>
    <w:rsid w:val="005F0A28"/>
    <w:rsid w:val="005F0E5E"/>
    <w:rsid w:val="005F2296"/>
    <w:rsid w:val="00600535"/>
    <w:rsid w:val="00604927"/>
    <w:rsid w:val="00605830"/>
    <w:rsid w:val="00610CD6"/>
    <w:rsid w:val="00615824"/>
    <w:rsid w:val="00620DEE"/>
    <w:rsid w:val="0062114C"/>
    <w:rsid w:val="00621F92"/>
    <w:rsid w:val="0062280A"/>
    <w:rsid w:val="006231E1"/>
    <w:rsid w:val="00625639"/>
    <w:rsid w:val="00626342"/>
    <w:rsid w:val="00626A3F"/>
    <w:rsid w:val="00626E6E"/>
    <w:rsid w:val="00631983"/>
    <w:rsid w:val="00631B33"/>
    <w:rsid w:val="00635E78"/>
    <w:rsid w:val="006364CC"/>
    <w:rsid w:val="00636F76"/>
    <w:rsid w:val="0064184D"/>
    <w:rsid w:val="006422CC"/>
    <w:rsid w:val="00646E8C"/>
    <w:rsid w:val="006502C1"/>
    <w:rsid w:val="006518EF"/>
    <w:rsid w:val="00651D18"/>
    <w:rsid w:val="00652F59"/>
    <w:rsid w:val="00660E3E"/>
    <w:rsid w:val="00662E74"/>
    <w:rsid w:val="00680C23"/>
    <w:rsid w:val="0068172F"/>
    <w:rsid w:val="00681D32"/>
    <w:rsid w:val="00683E23"/>
    <w:rsid w:val="00692D3C"/>
    <w:rsid w:val="00693382"/>
    <w:rsid w:val="00693766"/>
    <w:rsid w:val="006A3281"/>
    <w:rsid w:val="006A6DE5"/>
    <w:rsid w:val="006B20B3"/>
    <w:rsid w:val="006B3A83"/>
    <w:rsid w:val="006B4888"/>
    <w:rsid w:val="006B592C"/>
    <w:rsid w:val="006C0134"/>
    <w:rsid w:val="006C1A57"/>
    <w:rsid w:val="006C2A62"/>
    <w:rsid w:val="006C2C34"/>
    <w:rsid w:val="006C2E45"/>
    <w:rsid w:val="006C359C"/>
    <w:rsid w:val="006C5579"/>
    <w:rsid w:val="006D6E8B"/>
    <w:rsid w:val="006D7209"/>
    <w:rsid w:val="006E737D"/>
    <w:rsid w:val="006F1B19"/>
    <w:rsid w:val="006F2BCA"/>
    <w:rsid w:val="006F528C"/>
    <w:rsid w:val="006F71D6"/>
    <w:rsid w:val="006F7BFD"/>
    <w:rsid w:val="00707DD1"/>
    <w:rsid w:val="007122D6"/>
    <w:rsid w:val="00713973"/>
    <w:rsid w:val="007168D0"/>
    <w:rsid w:val="00717AD4"/>
    <w:rsid w:val="00720A24"/>
    <w:rsid w:val="00724D38"/>
    <w:rsid w:val="00732386"/>
    <w:rsid w:val="0073514D"/>
    <w:rsid w:val="00735358"/>
    <w:rsid w:val="00740945"/>
    <w:rsid w:val="00742867"/>
    <w:rsid w:val="007447F3"/>
    <w:rsid w:val="0074704E"/>
    <w:rsid w:val="007473F0"/>
    <w:rsid w:val="00751A9B"/>
    <w:rsid w:val="00751B1C"/>
    <w:rsid w:val="00754504"/>
    <w:rsid w:val="0075499F"/>
    <w:rsid w:val="007608CF"/>
    <w:rsid w:val="007661C8"/>
    <w:rsid w:val="0076704B"/>
    <w:rsid w:val="0077098D"/>
    <w:rsid w:val="00777A65"/>
    <w:rsid w:val="00781142"/>
    <w:rsid w:val="00785BF9"/>
    <w:rsid w:val="007931FA"/>
    <w:rsid w:val="00794C6B"/>
    <w:rsid w:val="007976F2"/>
    <w:rsid w:val="00797A62"/>
    <w:rsid w:val="007A0BA5"/>
    <w:rsid w:val="007A4861"/>
    <w:rsid w:val="007A49B1"/>
    <w:rsid w:val="007A7BBA"/>
    <w:rsid w:val="007B0C50"/>
    <w:rsid w:val="007B28C6"/>
    <w:rsid w:val="007B48F9"/>
    <w:rsid w:val="007B5982"/>
    <w:rsid w:val="007C0323"/>
    <w:rsid w:val="007C1A43"/>
    <w:rsid w:val="007D0951"/>
    <w:rsid w:val="007D2E9F"/>
    <w:rsid w:val="007D451C"/>
    <w:rsid w:val="007D610D"/>
    <w:rsid w:val="007D7BF3"/>
    <w:rsid w:val="007E0AB7"/>
    <w:rsid w:val="007F106A"/>
    <w:rsid w:val="0080013E"/>
    <w:rsid w:val="00801759"/>
    <w:rsid w:val="008022A8"/>
    <w:rsid w:val="00805939"/>
    <w:rsid w:val="00807BFA"/>
    <w:rsid w:val="008111A2"/>
    <w:rsid w:val="00812B1C"/>
    <w:rsid w:val="00813288"/>
    <w:rsid w:val="00815EF0"/>
    <w:rsid w:val="008168FC"/>
    <w:rsid w:val="00820C4A"/>
    <w:rsid w:val="00825EBA"/>
    <w:rsid w:val="00830996"/>
    <w:rsid w:val="00831161"/>
    <w:rsid w:val="008345F1"/>
    <w:rsid w:val="00865B07"/>
    <w:rsid w:val="00865FBF"/>
    <w:rsid w:val="008667EA"/>
    <w:rsid w:val="0087129E"/>
    <w:rsid w:val="0087228E"/>
    <w:rsid w:val="00872B84"/>
    <w:rsid w:val="0087637F"/>
    <w:rsid w:val="00876C0A"/>
    <w:rsid w:val="008830BC"/>
    <w:rsid w:val="00892AD5"/>
    <w:rsid w:val="00896CC6"/>
    <w:rsid w:val="008A1512"/>
    <w:rsid w:val="008A700C"/>
    <w:rsid w:val="008B3FFC"/>
    <w:rsid w:val="008C1E5E"/>
    <w:rsid w:val="008D32B9"/>
    <w:rsid w:val="008D433B"/>
    <w:rsid w:val="008D4A16"/>
    <w:rsid w:val="008E1C22"/>
    <w:rsid w:val="008E2B0F"/>
    <w:rsid w:val="008E5401"/>
    <w:rsid w:val="008E566E"/>
    <w:rsid w:val="0090161A"/>
    <w:rsid w:val="00901EB6"/>
    <w:rsid w:val="009041F8"/>
    <w:rsid w:val="009042E5"/>
    <w:rsid w:val="00904C62"/>
    <w:rsid w:val="00917F44"/>
    <w:rsid w:val="00922BA8"/>
    <w:rsid w:val="00924DAC"/>
    <w:rsid w:val="0092532B"/>
    <w:rsid w:val="00927058"/>
    <w:rsid w:val="00942750"/>
    <w:rsid w:val="00944D1B"/>
    <w:rsid w:val="009450CE"/>
    <w:rsid w:val="009459BB"/>
    <w:rsid w:val="00946D9A"/>
    <w:rsid w:val="00947179"/>
    <w:rsid w:val="0095164B"/>
    <w:rsid w:val="00954090"/>
    <w:rsid w:val="009573E7"/>
    <w:rsid w:val="00961D45"/>
    <w:rsid w:val="00963E05"/>
    <w:rsid w:val="00964486"/>
    <w:rsid w:val="00964A45"/>
    <w:rsid w:val="00967843"/>
    <w:rsid w:val="00967D54"/>
    <w:rsid w:val="00971028"/>
    <w:rsid w:val="0097195E"/>
    <w:rsid w:val="009768C4"/>
    <w:rsid w:val="00980039"/>
    <w:rsid w:val="0099343A"/>
    <w:rsid w:val="00993B84"/>
    <w:rsid w:val="00994C6A"/>
    <w:rsid w:val="00996483"/>
    <w:rsid w:val="00996F5A"/>
    <w:rsid w:val="00997F29"/>
    <w:rsid w:val="009A06AF"/>
    <w:rsid w:val="009B041A"/>
    <w:rsid w:val="009B0796"/>
    <w:rsid w:val="009B4330"/>
    <w:rsid w:val="009B6E57"/>
    <w:rsid w:val="009B6E9E"/>
    <w:rsid w:val="009C37C3"/>
    <w:rsid w:val="009C7C86"/>
    <w:rsid w:val="009D2FF7"/>
    <w:rsid w:val="009D517B"/>
    <w:rsid w:val="009E7083"/>
    <w:rsid w:val="009E7884"/>
    <w:rsid w:val="009E788A"/>
    <w:rsid w:val="009F0E08"/>
    <w:rsid w:val="00A01A3F"/>
    <w:rsid w:val="00A05B1D"/>
    <w:rsid w:val="00A06C43"/>
    <w:rsid w:val="00A079AE"/>
    <w:rsid w:val="00A1763D"/>
    <w:rsid w:val="00A17CEC"/>
    <w:rsid w:val="00A246A3"/>
    <w:rsid w:val="00A27EF0"/>
    <w:rsid w:val="00A339F5"/>
    <w:rsid w:val="00A4042C"/>
    <w:rsid w:val="00A42361"/>
    <w:rsid w:val="00A45F60"/>
    <w:rsid w:val="00A50A1B"/>
    <w:rsid w:val="00A50B20"/>
    <w:rsid w:val="00A51390"/>
    <w:rsid w:val="00A60D13"/>
    <w:rsid w:val="00A62C35"/>
    <w:rsid w:val="00A7223D"/>
    <w:rsid w:val="00A72745"/>
    <w:rsid w:val="00A76EFC"/>
    <w:rsid w:val="00A832E8"/>
    <w:rsid w:val="00A8572D"/>
    <w:rsid w:val="00A86B5F"/>
    <w:rsid w:val="00A87D50"/>
    <w:rsid w:val="00A90655"/>
    <w:rsid w:val="00A91010"/>
    <w:rsid w:val="00A948F4"/>
    <w:rsid w:val="00A97BEA"/>
    <w:rsid w:val="00A97F29"/>
    <w:rsid w:val="00AA702E"/>
    <w:rsid w:val="00AA70CE"/>
    <w:rsid w:val="00AA7D26"/>
    <w:rsid w:val="00AB0520"/>
    <w:rsid w:val="00AB0964"/>
    <w:rsid w:val="00AB5011"/>
    <w:rsid w:val="00AB7162"/>
    <w:rsid w:val="00AC4FAB"/>
    <w:rsid w:val="00AC59AD"/>
    <w:rsid w:val="00AC7368"/>
    <w:rsid w:val="00AD16B9"/>
    <w:rsid w:val="00AD4683"/>
    <w:rsid w:val="00AE32F3"/>
    <w:rsid w:val="00AE377D"/>
    <w:rsid w:val="00AF0EBA"/>
    <w:rsid w:val="00AF2463"/>
    <w:rsid w:val="00AF3F6E"/>
    <w:rsid w:val="00B00E8B"/>
    <w:rsid w:val="00B0240B"/>
    <w:rsid w:val="00B02C8A"/>
    <w:rsid w:val="00B04BC2"/>
    <w:rsid w:val="00B06995"/>
    <w:rsid w:val="00B074FE"/>
    <w:rsid w:val="00B1027F"/>
    <w:rsid w:val="00B110A1"/>
    <w:rsid w:val="00B1309E"/>
    <w:rsid w:val="00B136E2"/>
    <w:rsid w:val="00B17FBD"/>
    <w:rsid w:val="00B209DD"/>
    <w:rsid w:val="00B24621"/>
    <w:rsid w:val="00B315A6"/>
    <w:rsid w:val="00B31813"/>
    <w:rsid w:val="00B33365"/>
    <w:rsid w:val="00B3467D"/>
    <w:rsid w:val="00B366F3"/>
    <w:rsid w:val="00B43DD9"/>
    <w:rsid w:val="00B4461C"/>
    <w:rsid w:val="00B57B36"/>
    <w:rsid w:val="00B57E6F"/>
    <w:rsid w:val="00B6179F"/>
    <w:rsid w:val="00B64EF1"/>
    <w:rsid w:val="00B64FF7"/>
    <w:rsid w:val="00B75D7B"/>
    <w:rsid w:val="00B7666F"/>
    <w:rsid w:val="00B77127"/>
    <w:rsid w:val="00B8686D"/>
    <w:rsid w:val="00B928B7"/>
    <w:rsid w:val="00B92C7C"/>
    <w:rsid w:val="00B93F69"/>
    <w:rsid w:val="00BA5698"/>
    <w:rsid w:val="00BB068A"/>
    <w:rsid w:val="00BB1DDC"/>
    <w:rsid w:val="00BB4A12"/>
    <w:rsid w:val="00BB5DAE"/>
    <w:rsid w:val="00BC30C9"/>
    <w:rsid w:val="00BC4AE7"/>
    <w:rsid w:val="00BC7DAC"/>
    <w:rsid w:val="00BD00BC"/>
    <w:rsid w:val="00BD077D"/>
    <w:rsid w:val="00BD5A1D"/>
    <w:rsid w:val="00BE3E58"/>
    <w:rsid w:val="00BE767C"/>
    <w:rsid w:val="00BF13CE"/>
    <w:rsid w:val="00BF2AFD"/>
    <w:rsid w:val="00C01616"/>
    <w:rsid w:val="00C0162B"/>
    <w:rsid w:val="00C02218"/>
    <w:rsid w:val="00C051F8"/>
    <w:rsid w:val="00C068ED"/>
    <w:rsid w:val="00C147C0"/>
    <w:rsid w:val="00C14B72"/>
    <w:rsid w:val="00C163A4"/>
    <w:rsid w:val="00C22E0C"/>
    <w:rsid w:val="00C239C7"/>
    <w:rsid w:val="00C33D37"/>
    <w:rsid w:val="00C345B1"/>
    <w:rsid w:val="00C37BD9"/>
    <w:rsid w:val="00C40142"/>
    <w:rsid w:val="00C46682"/>
    <w:rsid w:val="00C50305"/>
    <w:rsid w:val="00C52C3C"/>
    <w:rsid w:val="00C57182"/>
    <w:rsid w:val="00C57863"/>
    <w:rsid w:val="00C624F1"/>
    <w:rsid w:val="00C640AF"/>
    <w:rsid w:val="00C655FD"/>
    <w:rsid w:val="00C6649F"/>
    <w:rsid w:val="00C75407"/>
    <w:rsid w:val="00C7751C"/>
    <w:rsid w:val="00C841C6"/>
    <w:rsid w:val="00C870A8"/>
    <w:rsid w:val="00C94434"/>
    <w:rsid w:val="00C95180"/>
    <w:rsid w:val="00C97DDB"/>
    <w:rsid w:val="00CA0D75"/>
    <w:rsid w:val="00CA1C95"/>
    <w:rsid w:val="00CA5A9C"/>
    <w:rsid w:val="00CB61B5"/>
    <w:rsid w:val="00CC4C20"/>
    <w:rsid w:val="00CD0472"/>
    <w:rsid w:val="00CD3517"/>
    <w:rsid w:val="00CD4AAB"/>
    <w:rsid w:val="00CD5FE2"/>
    <w:rsid w:val="00CE7C68"/>
    <w:rsid w:val="00CF15A7"/>
    <w:rsid w:val="00D02B4C"/>
    <w:rsid w:val="00D040C4"/>
    <w:rsid w:val="00D1093D"/>
    <w:rsid w:val="00D119D7"/>
    <w:rsid w:val="00D20AD1"/>
    <w:rsid w:val="00D2197E"/>
    <w:rsid w:val="00D252B0"/>
    <w:rsid w:val="00D2582C"/>
    <w:rsid w:val="00D25B4E"/>
    <w:rsid w:val="00D265A2"/>
    <w:rsid w:val="00D30B89"/>
    <w:rsid w:val="00D33EAF"/>
    <w:rsid w:val="00D35B48"/>
    <w:rsid w:val="00D36BC5"/>
    <w:rsid w:val="00D4546A"/>
    <w:rsid w:val="00D46B7E"/>
    <w:rsid w:val="00D53B28"/>
    <w:rsid w:val="00D54D32"/>
    <w:rsid w:val="00D578D2"/>
    <w:rsid w:val="00D57C84"/>
    <w:rsid w:val="00D6057D"/>
    <w:rsid w:val="00D6172B"/>
    <w:rsid w:val="00D640E9"/>
    <w:rsid w:val="00D71640"/>
    <w:rsid w:val="00D74888"/>
    <w:rsid w:val="00D836C5"/>
    <w:rsid w:val="00D84576"/>
    <w:rsid w:val="00D94DC1"/>
    <w:rsid w:val="00DA1399"/>
    <w:rsid w:val="00DA24C6"/>
    <w:rsid w:val="00DA4D7B"/>
    <w:rsid w:val="00DB5B0B"/>
    <w:rsid w:val="00DC2096"/>
    <w:rsid w:val="00DC2840"/>
    <w:rsid w:val="00DC73EE"/>
    <w:rsid w:val="00DD271C"/>
    <w:rsid w:val="00DD4BDB"/>
    <w:rsid w:val="00DD4D9A"/>
    <w:rsid w:val="00DD6EF6"/>
    <w:rsid w:val="00DD773D"/>
    <w:rsid w:val="00DE207A"/>
    <w:rsid w:val="00DE256D"/>
    <w:rsid w:val="00DE264A"/>
    <w:rsid w:val="00DE2EFF"/>
    <w:rsid w:val="00DE3562"/>
    <w:rsid w:val="00DE606D"/>
    <w:rsid w:val="00DF0A44"/>
    <w:rsid w:val="00DF2B85"/>
    <w:rsid w:val="00DF5072"/>
    <w:rsid w:val="00E01644"/>
    <w:rsid w:val="00E02D18"/>
    <w:rsid w:val="00E02FAB"/>
    <w:rsid w:val="00E041E7"/>
    <w:rsid w:val="00E079F0"/>
    <w:rsid w:val="00E23CA1"/>
    <w:rsid w:val="00E26E29"/>
    <w:rsid w:val="00E3389C"/>
    <w:rsid w:val="00E409A8"/>
    <w:rsid w:val="00E4115D"/>
    <w:rsid w:val="00E42FB9"/>
    <w:rsid w:val="00E46243"/>
    <w:rsid w:val="00E47891"/>
    <w:rsid w:val="00E50C12"/>
    <w:rsid w:val="00E51F00"/>
    <w:rsid w:val="00E57FE4"/>
    <w:rsid w:val="00E642B4"/>
    <w:rsid w:val="00E65B91"/>
    <w:rsid w:val="00E6605C"/>
    <w:rsid w:val="00E66C80"/>
    <w:rsid w:val="00E7209D"/>
    <w:rsid w:val="00E72EAD"/>
    <w:rsid w:val="00E77223"/>
    <w:rsid w:val="00E77DD4"/>
    <w:rsid w:val="00E8528B"/>
    <w:rsid w:val="00E85B94"/>
    <w:rsid w:val="00E87622"/>
    <w:rsid w:val="00E87AE8"/>
    <w:rsid w:val="00E978D0"/>
    <w:rsid w:val="00EA4613"/>
    <w:rsid w:val="00EA7F91"/>
    <w:rsid w:val="00EB1523"/>
    <w:rsid w:val="00EC0E49"/>
    <w:rsid w:val="00EC101F"/>
    <w:rsid w:val="00EC1D9F"/>
    <w:rsid w:val="00EE0131"/>
    <w:rsid w:val="00EE17B0"/>
    <w:rsid w:val="00EF06D9"/>
    <w:rsid w:val="00EF1EB0"/>
    <w:rsid w:val="00F02E4F"/>
    <w:rsid w:val="00F07CDE"/>
    <w:rsid w:val="00F21B26"/>
    <w:rsid w:val="00F25C8A"/>
    <w:rsid w:val="00F3049E"/>
    <w:rsid w:val="00F30C64"/>
    <w:rsid w:val="00F32BA2"/>
    <w:rsid w:val="00F32CDB"/>
    <w:rsid w:val="00F360CC"/>
    <w:rsid w:val="00F41EE4"/>
    <w:rsid w:val="00F4312E"/>
    <w:rsid w:val="00F44851"/>
    <w:rsid w:val="00F44CAC"/>
    <w:rsid w:val="00F459EF"/>
    <w:rsid w:val="00F47F78"/>
    <w:rsid w:val="00F5423F"/>
    <w:rsid w:val="00F565FE"/>
    <w:rsid w:val="00F63A70"/>
    <w:rsid w:val="00F63D8C"/>
    <w:rsid w:val="00F6401F"/>
    <w:rsid w:val="00F64163"/>
    <w:rsid w:val="00F714CB"/>
    <w:rsid w:val="00F7534E"/>
    <w:rsid w:val="00F85599"/>
    <w:rsid w:val="00F92F76"/>
    <w:rsid w:val="00F93EDF"/>
    <w:rsid w:val="00F9554C"/>
    <w:rsid w:val="00FA1802"/>
    <w:rsid w:val="00FA21D0"/>
    <w:rsid w:val="00FA589C"/>
    <w:rsid w:val="00FA5F5F"/>
    <w:rsid w:val="00FB60C6"/>
    <w:rsid w:val="00FB730C"/>
    <w:rsid w:val="00FC2695"/>
    <w:rsid w:val="00FC3E03"/>
    <w:rsid w:val="00FC3FC1"/>
    <w:rsid w:val="00FD63D4"/>
    <w:rsid w:val="00FE6888"/>
    <w:rsid w:val="00FF013E"/>
    <w:rsid w:val="00FF31E8"/>
    <w:rsid w:val="00FF6DA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te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Tipodeletrapredefinidodopargrafo"/>
    <w:uiPriority w:val="99"/>
    <w:semiHidden/>
    <w:unhideWhenUsed/>
    <w:rsid w:val="004577FE"/>
    <w:rPr>
      <w:sz w:val="16"/>
      <w:szCs w:val="16"/>
    </w:rPr>
  </w:style>
  <w:style w:type="paragraph" w:styleId="Textodebalo">
    <w:name w:val="Balloon Text"/>
    <w:basedOn w:val="Normal"/>
    <w:link w:val="TextodebaloCarter"/>
    <w:uiPriority w:val="99"/>
    <w:semiHidden/>
    <w:unhideWhenUs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
    <w:name w:val="List Continue"/>
    <w:basedOn w:val="Normal"/>
    <w:uiPriority w:val="99"/>
    <w:semiHidden/>
    <w:unhideWhenUsed/>
    <w:rsid w:val="0003148D"/>
    <w:pPr>
      <w:spacing w:after="120"/>
      <w:ind w:left="283"/>
      <w:contextualSpacing/>
    </w:pPr>
  </w:style>
  <w:style w:type="paragraph" w:styleId="Listadecont2">
    <w:name w:val="List Continue 2"/>
    <w:basedOn w:val="Normal"/>
    <w:uiPriority w:val="99"/>
    <w:semiHidden/>
    <w:unhideWhenUsed/>
    <w:rsid w:val="0003148D"/>
    <w:pPr>
      <w:spacing w:after="120"/>
      <w:ind w:left="566"/>
      <w:contextualSpacing/>
    </w:pPr>
  </w:style>
  <w:style w:type="paragraph" w:styleId="Listadecont3">
    <w:name w:val="List Continue 3"/>
    <w:basedOn w:val="Normal"/>
    <w:uiPriority w:val="99"/>
    <w:semiHidden/>
    <w:unhideWhenUsed/>
    <w:rsid w:val="0003148D"/>
    <w:pPr>
      <w:spacing w:after="120"/>
      <w:ind w:left="849"/>
      <w:contextualSpacing/>
    </w:pPr>
  </w:style>
  <w:style w:type="paragraph" w:styleId="Listadecont4">
    <w:name w:val="List Continue 4"/>
    <w:basedOn w:val="Normal"/>
    <w:uiPriority w:val="99"/>
    <w:semiHidden/>
    <w:unhideWhenUsed/>
    <w:rsid w:val="0003148D"/>
    <w:pPr>
      <w:spacing w:after="120"/>
      <w:ind w:left="1132"/>
      <w:contextualSpacing/>
    </w:pPr>
  </w:style>
  <w:style w:type="paragraph" w:styleId="Listadecont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arter"/>
    <w:uiPriority w:val="99"/>
    <w:semiHidden/>
    <w:unhideWhenUs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rsid w:val="0003148D"/>
    <w:pPr>
      <w:spacing w:line="240" w:lineRule="auto"/>
      <w:ind w:left="220" w:hanging="220"/>
    </w:pPr>
  </w:style>
  <w:style w:type="paragraph" w:styleId="ndiceremissivo2">
    <w:name w:val="index 2"/>
    <w:basedOn w:val="Normal"/>
    <w:next w:val="Normal"/>
    <w:autoRedefine/>
    <w:uiPriority w:val="99"/>
    <w:semiHidden/>
    <w:unhideWhenUsed/>
    <w:rsid w:val="0003148D"/>
    <w:pPr>
      <w:spacing w:line="240" w:lineRule="auto"/>
      <w:ind w:left="440" w:hanging="220"/>
    </w:pPr>
  </w:style>
  <w:style w:type="paragraph" w:styleId="ndiceremissivo3">
    <w:name w:val="index 3"/>
    <w:basedOn w:val="Normal"/>
    <w:next w:val="Normal"/>
    <w:autoRedefine/>
    <w:uiPriority w:val="99"/>
    <w:semiHidden/>
    <w:unhideWhenUsed/>
    <w:rsid w:val="0003148D"/>
    <w:pPr>
      <w:spacing w:line="240" w:lineRule="auto"/>
      <w:ind w:left="660" w:hanging="220"/>
    </w:pPr>
  </w:style>
  <w:style w:type="paragraph" w:styleId="ndiceremissivo4">
    <w:name w:val="index 4"/>
    <w:basedOn w:val="Normal"/>
    <w:next w:val="Normal"/>
    <w:autoRedefine/>
    <w:uiPriority w:val="99"/>
    <w:semiHidden/>
    <w:unhideWhenUsed/>
    <w:rsid w:val="0003148D"/>
    <w:pPr>
      <w:spacing w:line="240" w:lineRule="auto"/>
      <w:ind w:left="880" w:hanging="220"/>
    </w:pPr>
  </w:style>
  <w:style w:type="paragraph" w:styleId="ndiceremissivo5">
    <w:name w:val="index 5"/>
    <w:basedOn w:val="Normal"/>
    <w:next w:val="Normal"/>
    <w:autoRedefine/>
    <w:uiPriority w:val="99"/>
    <w:semiHidden/>
    <w:unhideWhenUsed/>
    <w:rsid w:val="0003148D"/>
    <w:pPr>
      <w:spacing w:line="240" w:lineRule="auto"/>
      <w:ind w:left="1100" w:hanging="220"/>
    </w:pPr>
  </w:style>
  <w:style w:type="paragraph" w:styleId="ndiceremissivo6">
    <w:name w:val="index 6"/>
    <w:basedOn w:val="Normal"/>
    <w:next w:val="Normal"/>
    <w:autoRedefine/>
    <w:uiPriority w:val="99"/>
    <w:semiHidden/>
    <w:unhideWhenUsed/>
    <w:rsid w:val="0003148D"/>
    <w:pPr>
      <w:spacing w:line="240" w:lineRule="auto"/>
      <w:ind w:left="1320" w:hanging="220"/>
    </w:pPr>
  </w:style>
  <w:style w:type="paragraph" w:styleId="ndiceremissivo7">
    <w:name w:val="index 7"/>
    <w:basedOn w:val="Normal"/>
    <w:next w:val="Normal"/>
    <w:autoRedefine/>
    <w:uiPriority w:val="99"/>
    <w:semiHidden/>
    <w:unhideWhenUsed/>
    <w:rsid w:val="0003148D"/>
    <w:pPr>
      <w:spacing w:line="240" w:lineRule="auto"/>
      <w:ind w:left="1540" w:hanging="220"/>
    </w:pPr>
  </w:style>
  <w:style w:type="paragraph" w:styleId="ndiceremissivo8">
    <w:name w:val="index 8"/>
    <w:basedOn w:val="Normal"/>
    <w:next w:val="Normal"/>
    <w:autoRedefine/>
    <w:uiPriority w:val="99"/>
    <w:semiHidden/>
    <w:unhideWhenUsed/>
    <w:rsid w:val="0003148D"/>
    <w:pPr>
      <w:spacing w:line="240" w:lineRule="auto"/>
      <w:ind w:left="1760" w:hanging="220"/>
    </w:pPr>
  </w:style>
  <w:style w:type="paragraph" w:styleId="ndice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numerada">
    <w:name w:val="List Number"/>
    <w:basedOn w:val="Normal"/>
    <w:uiPriority w:val="99"/>
    <w:semiHidden/>
    <w:unhideWhenUsed/>
    <w:rsid w:val="0003148D"/>
    <w:pPr>
      <w:numPr>
        <w:numId w:val="2"/>
      </w:numPr>
      <w:contextualSpacing/>
    </w:pPr>
  </w:style>
  <w:style w:type="paragraph" w:styleId="Listanumerada2">
    <w:name w:val="List Number 2"/>
    <w:basedOn w:val="Normal"/>
    <w:uiPriority w:val="99"/>
    <w:semiHidden/>
    <w:unhideWhenUsed/>
    <w:rsid w:val="0003148D"/>
    <w:pPr>
      <w:numPr>
        <w:numId w:val="3"/>
      </w:numPr>
      <w:contextualSpacing/>
    </w:pPr>
  </w:style>
  <w:style w:type="paragraph" w:styleId="Listanumerada3">
    <w:name w:val="List Number 3"/>
    <w:basedOn w:val="Normal"/>
    <w:uiPriority w:val="99"/>
    <w:semiHidden/>
    <w:unhideWhenUsed/>
    <w:rsid w:val="0003148D"/>
    <w:pPr>
      <w:numPr>
        <w:numId w:val="4"/>
      </w:numPr>
      <w:contextualSpacing/>
    </w:pPr>
  </w:style>
  <w:style w:type="paragraph" w:styleId="Listanumerada4">
    <w:name w:val="List Number 4"/>
    <w:basedOn w:val="Normal"/>
    <w:uiPriority w:val="99"/>
    <w:semiHidden/>
    <w:unhideWhenUsed/>
    <w:rsid w:val="0003148D"/>
    <w:pPr>
      <w:numPr>
        <w:numId w:val="5"/>
      </w:numPr>
      <w:contextualSpacing/>
    </w:pPr>
  </w:style>
  <w:style w:type="paragraph" w:styleId="Listanumerada5">
    <w:name w:val="List Number 5"/>
    <w:basedOn w:val="Normal"/>
    <w:uiPriority w:val="99"/>
    <w:semiHidden/>
    <w:unhideWhenUsed/>
    <w:rsid w:val="0003148D"/>
    <w:pPr>
      <w:numPr>
        <w:numId w:val="6"/>
      </w:numPr>
      <w:contextualSpacing/>
    </w:pPr>
  </w:style>
  <w:style w:type="paragraph" w:styleId="HTMLpr-formatado">
    <w:name w:val="HTML Preformatted"/>
    <w:basedOn w:val="Normal"/>
    <w:link w:val="HTMLpr-formatadoCarter"/>
    <w:uiPriority w:val="99"/>
    <w:semiHidden/>
    <w:unhideWhenUs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rsid w:val="0003148D"/>
    <w:pPr>
      <w:numPr>
        <w:numId w:val="7"/>
      </w:numPr>
      <w:contextualSpacing/>
    </w:pPr>
  </w:style>
  <w:style w:type="paragraph" w:styleId="Listacommarcas2">
    <w:name w:val="List Bullet 2"/>
    <w:basedOn w:val="Normal"/>
    <w:uiPriority w:val="99"/>
    <w:semiHidden/>
    <w:unhideWhenUsed/>
    <w:rsid w:val="0003148D"/>
    <w:pPr>
      <w:numPr>
        <w:numId w:val="8"/>
      </w:numPr>
      <w:contextualSpacing/>
    </w:pPr>
  </w:style>
  <w:style w:type="paragraph" w:styleId="Listacommarcas3">
    <w:name w:val="List Bullet 3"/>
    <w:basedOn w:val="Normal"/>
    <w:uiPriority w:val="99"/>
    <w:semiHidden/>
    <w:unhideWhenUsed/>
    <w:rsid w:val="0003148D"/>
    <w:pPr>
      <w:numPr>
        <w:numId w:val="9"/>
      </w:numPr>
      <w:contextualSpacing/>
    </w:pPr>
  </w:style>
  <w:style w:type="paragraph" w:styleId="Listacommarcas4">
    <w:name w:val="List Bullet 4"/>
    <w:basedOn w:val="Normal"/>
    <w:uiPriority w:val="99"/>
    <w:semiHidden/>
    <w:unhideWhenUsed/>
    <w:rsid w:val="0003148D"/>
    <w:pPr>
      <w:numPr>
        <w:numId w:val="10"/>
      </w:numPr>
      <w:contextualSpacing/>
    </w:pPr>
  </w:style>
  <w:style w:type="paragraph" w:styleId="Listacommarcas5">
    <w:name w:val="List Bullet 5"/>
    <w:basedOn w:val="Normal"/>
    <w:uiPriority w:val="99"/>
    <w:semiHidden/>
    <w:unhideWhenUsed/>
    <w:rsid w:val="0003148D"/>
    <w:pPr>
      <w:numPr>
        <w:numId w:val="11"/>
      </w:numPr>
      <w:contextualSpacing/>
    </w:pPr>
  </w:style>
  <w:style w:type="paragraph" w:styleId="Avanodecorpodetexto2">
    <w:name w:val="Body Text Indent 2"/>
    <w:basedOn w:val="Normal"/>
    <w:link w:val="Avanodecorpodetexto2Carter"/>
    <w:uiPriority w:val="99"/>
    <w:semiHidden/>
    <w:unhideWhenUs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rsid w:val="0003148D"/>
    <w:pPr>
      <w:ind w:left="720"/>
    </w:pPr>
  </w:style>
  <w:style w:type="paragraph" w:styleId="Textodecomentrio">
    <w:name w:val="annotation text"/>
    <w:basedOn w:val="Normal"/>
    <w:link w:val="TextodecomentrioCarter"/>
    <w:uiPriority w:val="99"/>
    <w:unhideWhenUsed/>
    <w:rsid w:val="0003148D"/>
    <w:pPr>
      <w:spacing w:line="240" w:lineRule="auto"/>
    </w:pPr>
  </w:style>
  <w:style w:type="character" w:customStyle="1" w:styleId="TextodecomentrioCarter">
    <w:name w:val="Texto de comentário Caráter"/>
    <w:basedOn w:val="Tipodeletrapredefinidodopargrafo"/>
    <w:link w:val="Textodecomentrio"/>
    <w:uiPriority w:val="99"/>
    <w:rsid w:val="0003148D"/>
    <w:rPr>
      <w:sz w:val="20"/>
      <w:szCs w:val="20"/>
    </w:rPr>
  </w:style>
  <w:style w:type="paragraph" w:styleId="Assuntodecomentrio">
    <w:name w:val="annotation subject"/>
    <w:basedOn w:val="Textodecomentrio"/>
    <w:next w:val="Textodecomentrio"/>
    <w:link w:val="AssuntodecomentrioCarter"/>
    <w:uiPriority w:val="99"/>
    <w:semiHidden/>
    <w:unhideWhenUs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rsid w:val="0003148D"/>
    <w:pPr>
      <w:spacing w:after="100"/>
    </w:pPr>
  </w:style>
  <w:style w:type="paragraph" w:styleId="ndice2">
    <w:name w:val="toc 2"/>
    <w:basedOn w:val="Normal"/>
    <w:next w:val="Normal"/>
    <w:autoRedefine/>
    <w:uiPriority w:val="39"/>
    <w:semiHidden/>
    <w:unhideWhenUsed/>
    <w:rsid w:val="0003148D"/>
    <w:pPr>
      <w:spacing w:after="100"/>
      <w:ind w:left="220"/>
    </w:pPr>
  </w:style>
  <w:style w:type="paragraph" w:styleId="ndice3">
    <w:name w:val="toc 3"/>
    <w:basedOn w:val="Normal"/>
    <w:next w:val="Normal"/>
    <w:autoRedefine/>
    <w:uiPriority w:val="39"/>
    <w:semiHidden/>
    <w:unhideWhenUsed/>
    <w:rsid w:val="0003148D"/>
    <w:pPr>
      <w:spacing w:after="100"/>
      <w:ind w:left="440"/>
    </w:pPr>
  </w:style>
  <w:style w:type="paragraph" w:styleId="ndice4">
    <w:name w:val="toc 4"/>
    <w:basedOn w:val="Normal"/>
    <w:next w:val="Normal"/>
    <w:autoRedefine/>
    <w:uiPriority w:val="39"/>
    <w:semiHidden/>
    <w:unhideWhenUsed/>
    <w:rsid w:val="0003148D"/>
    <w:pPr>
      <w:spacing w:after="100"/>
      <w:ind w:left="660"/>
    </w:pPr>
  </w:style>
  <w:style w:type="paragraph" w:styleId="ndice5">
    <w:name w:val="toc 5"/>
    <w:basedOn w:val="Normal"/>
    <w:next w:val="Normal"/>
    <w:autoRedefine/>
    <w:uiPriority w:val="39"/>
    <w:semiHidden/>
    <w:unhideWhenUsed/>
    <w:rsid w:val="0003148D"/>
    <w:pPr>
      <w:spacing w:after="100"/>
      <w:ind w:left="880"/>
    </w:pPr>
  </w:style>
  <w:style w:type="paragraph" w:styleId="ndice6">
    <w:name w:val="toc 6"/>
    <w:basedOn w:val="Normal"/>
    <w:next w:val="Normal"/>
    <w:autoRedefine/>
    <w:uiPriority w:val="39"/>
    <w:semiHidden/>
    <w:unhideWhenUsed/>
    <w:rsid w:val="0003148D"/>
    <w:pPr>
      <w:spacing w:after="100"/>
      <w:ind w:left="1100"/>
    </w:pPr>
  </w:style>
  <w:style w:type="paragraph" w:styleId="ndice7">
    <w:name w:val="toc 7"/>
    <w:basedOn w:val="Normal"/>
    <w:next w:val="Normal"/>
    <w:autoRedefine/>
    <w:uiPriority w:val="39"/>
    <w:semiHidden/>
    <w:unhideWhenUsed/>
    <w:rsid w:val="0003148D"/>
    <w:pPr>
      <w:spacing w:after="100"/>
      <w:ind w:left="1320"/>
    </w:pPr>
  </w:style>
  <w:style w:type="paragraph" w:styleId="ndice8">
    <w:name w:val="toc 8"/>
    <w:basedOn w:val="Normal"/>
    <w:next w:val="Normal"/>
    <w:autoRedefine/>
    <w:uiPriority w:val="39"/>
    <w:semiHidden/>
    <w:unhideWhenUsed/>
    <w:rsid w:val="0003148D"/>
    <w:pPr>
      <w:spacing w:after="100"/>
      <w:ind w:left="1540"/>
    </w:pPr>
  </w:style>
  <w:style w:type="paragraph" w:styleId="ndice9">
    <w:name w:val="toc 9"/>
    <w:basedOn w:val="Normal"/>
    <w:next w:val="Normal"/>
    <w:autoRedefine/>
    <w:uiPriority w:val="39"/>
    <w:semiHidden/>
    <w:unhideWhenUsed/>
    <w:rsid w:val="0003148D"/>
    <w:pPr>
      <w:spacing w:after="100"/>
      <w:ind w:left="1760"/>
    </w:pPr>
  </w:style>
  <w:style w:type="paragraph" w:styleId="Textode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arter"/>
    <w:uiPriority w:val="99"/>
    <w:unhideWhenUs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04C62"/>
    <w:rPr>
      <w:color w:val="0000FF" w:themeColor="hyperlink"/>
      <w:u w:val="single"/>
    </w:rPr>
  </w:style>
  <w:style w:type="character" w:customStyle="1" w:styleId="eudoraheader">
    <w:name w:val="eudoraheader"/>
    <w:basedOn w:val="Tipodeletrapredefinidodopar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Tipodeletrapredefinidodopargrafo"/>
    <w:rsid w:val="00005A19"/>
  </w:style>
  <w:style w:type="character" w:styleId="MenoNoResolvida">
    <w:name w:val="Unresolved Mention"/>
    <w:basedOn w:val="Tipodeletrapredefinidodopargrafo"/>
    <w:uiPriority w:val="99"/>
    <w:semiHidden/>
    <w:unhideWhenUsed/>
    <w:rsid w:val="00A50A1B"/>
    <w:rPr>
      <w:color w:val="605E5C"/>
      <w:shd w:val="clear" w:color="auto" w:fill="E1DFDD"/>
    </w:rPr>
  </w:style>
  <w:style w:type="paragraph" w:styleId="Reviso">
    <w:name w:val="Revision"/>
    <w:hidden/>
    <w:uiPriority w:val="99"/>
    <w:semiHidden/>
    <w:rsid w:val="00A832E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0830">
      <w:bodyDiv w:val="1"/>
      <w:marLeft w:val="0"/>
      <w:marRight w:val="0"/>
      <w:marTop w:val="0"/>
      <w:marBottom w:val="0"/>
      <w:divBdr>
        <w:top w:val="none" w:sz="0" w:space="0" w:color="auto"/>
        <w:left w:val="none" w:sz="0" w:space="0" w:color="auto"/>
        <w:bottom w:val="none" w:sz="0" w:space="0" w:color="auto"/>
        <w:right w:val="none" w:sz="0" w:space="0" w:color="auto"/>
      </w:divBdr>
      <w:divsChild>
        <w:div w:id="101805424">
          <w:marLeft w:val="0"/>
          <w:marRight w:val="0"/>
          <w:marTop w:val="0"/>
          <w:marBottom w:val="0"/>
          <w:divBdr>
            <w:top w:val="none" w:sz="0" w:space="0" w:color="auto"/>
            <w:left w:val="none" w:sz="0" w:space="0" w:color="auto"/>
            <w:bottom w:val="none" w:sz="0" w:space="0" w:color="auto"/>
            <w:right w:val="none" w:sz="0" w:space="0" w:color="auto"/>
          </w:divBdr>
        </w:div>
      </w:divsChild>
    </w:div>
    <w:div w:id="402264338">
      <w:bodyDiv w:val="1"/>
      <w:marLeft w:val="0"/>
      <w:marRight w:val="0"/>
      <w:marTop w:val="0"/>
      <w:marBottom w:val="0"/>
      <w:divBdr>
        <w:top w:val="none" w:sz="0" w:space="0" w:color="auto"/>
        <w:left w:val="none" w:sz="0" w:space="0" w:color="auto"/>
        <w:bottom w:val="none" w:sz="0" w:space="0" w:color="auto"/>
        <w:right w:val="none" w:sz="0" w:space="0" w:color="auto"/>
      </w:divBdr>
    </w:div>
    <w:div w:id="451629742">
      <w:bodyDiv w:val="1"/>
      <w:marLeft w:val="0"/>
      <w:marRight w:val="0"/>
      <w:marTop w:val="0"/>
      <w:marBottom w:val="0"/>
      <w:divBdr>
        <w:top w:val="none" w:sz="0" w:space="0" w:color="auto"/>
        <w:left w:val="none" w:sz="0" w:space="0" w:color="auto"/>
        <w:bottom w:val="none" w:sz="0" w:space="0" w:color="auto"/>
        <w:right w:val="none" w:sz="0" w:space="0" w:color="auto"/>
      </w:divBdr>
      <w:divsChild>
        <w:div w:id="966081457">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7211">
      <w:bodyDiv w:val="1"/>
      <w:marLeft w:val="0"/>
      <w:marRight w:val="0"/>
      <w:marTop w:val="0"/>
      <w:marBottom w:val="0"/>
      <w:divBdr>
        <w:top w:val="none" w:sz="0" w:space="0" w:color="auto"/>
        <w:left w:val="none" w:sz="0" w:space="0" w:color="auto"/>
        <w:bottom w:val="none" w:sz="0" w:space="0" w:color="auto"/>
        <w:right w:val="none" w:sz="0" w:space="0" w:color="auto"/>
      </w:divBdr>
    </w:div>
    <w:div w:id="1152332118">
      <w:bodyDiv w:val="1"/>
      <w:marLeft w:val="0"/>
      <w:marRight w:val="0"/>
      <w:marTop w:val="0"/>
      <w:marBottom w:val="0"/>
      <w:divBdr>
        <w:top w:val="none" w:sz="0" w:space="0" w:color="auto"/>
        <w:left w:val="none" w:sz="0" w:space="0" w:color="auto"/>
        <w:bottom w:val="none" w:sz="0" w:space="0" w:color="auto"/>
        <w:right w:val="none" w:sz="0" w:space="0" w:color="auto"/>
      </w:divBdr>
    </w:div>
    <w:div w:id="122822440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Backup\Academic\Doutoramento%20Aveiro\Projeto%20PRR%20WP14\Bruno\Organiza&#231;&#227;o%20Valores%20e%20Resultados\Organiza&#231;&#227;o%20resultados%20ARTIGO%20vs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524607434451315"/>
          <c:y val="6.3037249283667621E-2"/>
          <c:w val="0.83360052311800126"/>
          <c:h val="0.6409539065496469"/>
        </c:manualLayout>
      </c:layout>
      <c:scatterChart>
        <c:scatterStyle val="lineMarker"/>
        <c:varyColors val="0"/>
        <c:ser>
          <c:idx val="0"/>
          <c:order val="0"/>
          <c:tx>
            <c:strRef>
              <c:f>'Evolução CQO'!$R$34</c:f>
              <c:strCache>
                <c:ptCount val="1"/>
                <c:pt idx="0">
                  <c:v>Diluted Acids Reactor (Output)</c:v>
                </c:pt>
              </c:strCache>
            </c:strRef>
          </c:tx>
          <c:spPr>
            <a:ln w="19050" cap="rnd">
              <a:solidFill>
                <a:srgbClr val="0070C0"/>
              </a:solidFill>
              <a:round/>
            </a:ln>
            <a:effectLst/>
          </c:spPr>
          <c:marker>
            <c:symbol val="circle"/>
            <c:size val="5"/>
            <c:spPr>
              <a:solidFill>
                <a:srgbClr val="0070C0"/>
              </a:solidFill>
              <a:ln w="9525">
                <a:solidFill>
                  <a:srgbClr val="0070C0"/>
                </a:solidFill>
              </a:ln>
              <a:effectLst/>
            </c:spPr>
          </c:marker>
          <c:xVal>
            <c:numRef>
              <c:f>'Evolução CQO'!$Q$35:$Q$64</c:f>
              <c:numCache>
                <c:formatCode>General</c:formatCode>
                <c:ptCount val="30"/>
                <c:pt idx="0">
                  <c:v>39</c:v>
                </c:pt>
                <c:pt idx="1">
                  <c:v>42</c:v>
                </c:pt>
                <c:pt idx="2">
                  <c:v>45</c:v>
                </c:pt>
                <c:pt idx="3">
                  <c:v>48</c:v>
                </c:pt>
                <c:pt idx="4">
                  <c:v>51</c:v>
                </c:pt>
                <c:pt idx="5">
                  <c:v>54</c:v>
                </c:pt>
                <c:pt idx="6">
                  <c:v>57</c:v>
                </c:pt>
                <c:pt idx="7">
                  <c:v>60</c:v>
                </c:pt>
                <c:pt idx="8">
                  <c:v>63</c:v>
                </c:pt>
                <c:pt idx="9">
                  <c:v>66</c:v>
                </c:pt>
                <c:pt idx="10">
                  <c:v>69</c:v>
                </c:pt>
                <c:pt idx="11">
                  <c:v>72</c:v>
                </c:pt>
                <c:pt idx="12">
                  <c:v>75</c:v>
                </c:pt>
                <c:pt idx="13">
                  <c:v>78</c:v>
                </c:pt>
                <c:pt idx="14">
                  <c:v>81</c:v>
                </c:pt>
                <c:pt idx="15">
                  <c:v>84</c:v>
                </c:pt>
                <c:pt idx="16">
                  <c:v>87</c:v>
                </c:pt>
                <c:pt idx="17">
                  <c:v>96</c:v>
                </c:pt>
                <c:pt idx="18">
                  <c:v>102</c:v>
                </c:pt>
                <c:pt idx="19">
                  <c:v>105</c:v>
                </c:pt>
                <c:pt idx="20">
                  <c:v>108</c:v>
                </c:pt>
                <c:pt idx="21">
                  <c:v>111</c:v>
                </c:pt>
                <c:pt idx="22">
                  <c:v>114</c:v>
                </c:pt>
                <c:pt idx="23">
                  <c:v>117</c:v>
                </c:pt>
                <c:pt idx="24">
                  <c:v>120</c:v>
                </c:pt>
                <c:pt idx="25">
                  <c:v>123</c:v>
                </c:pt>
                <c:pt idx="26">
                  <c:v>126</c:v>
                </c:pt>
                <c:pt idx="27">
                  <c:v>132</c:v>
                </c:pt>
                <c:pt idx="28">
                  <c:v>135</c:v>
                </c:pt>
                <c:pt idx="29">
                  <c:v>138</c:v>
                </c:pt>
              </c:numCache>
            </c:numRef>
          </c:xVal>
          <c:yVal>
            <c:numRef>
              <c:f>'Evolução CQO'!$R$35:$R$64</c:f>
              <c:numCache>
                <c:formatCode>General</c:formatCode>
                <c:ptCount val="30"/>
                <c:pt idx="1">
                  <c:v>201.936629452419</c:v>
                </c:pt>
                <c:pt idx="2">
                  <c:v>176.04614566719832</c:v>
                </c:pt>
                <c:pt idx="3">
                  <c:v>177.151196172249</c:v>
                </c:pt>
                <c:pt idx="4">
                  <c:v>211.01616161616164</c:v>
                </c:pt>
                <c:pt idx="5">
                  <c:v>170.77161084529507</c:v>
                </c:pt>
                <c:pt idx="6">
                  <c:v>175.47655502392345</c:v>
                </c:pt>
                <c:pt idx="7">
                  <c:v>200.80882509303561</c:v>
                </c:pt>
                <c:pt idx="8">
                  <c:v>184.56746411483255</c:v>
                </c:pt>
                <c:pt idx="9">
                  <c:v>214.04646464646467</c:v>
                </c:pt>
                <c:pt idx="10">
                  <c:v>243.28623072833602</c:v>
                </c:pt>
                <c:pt idx="11">
                  <c:v>183.63000000000002</c:v>
                </c:pt>
                <c:pt idx="12">
                  <c:v>256.21583333333331</c:v>
                </c:pt>
                <c:pt idx="13">
                  <c:v>241.80000000000004</c:v>
                </c:pt>
                <c:pt idx="14">
                  <c:v>235.10621708300232</c:v>
                </c:pt>
                <c:pt idx="15">
                  <c:v>224.10017065348507</c:v>
                </c:pt>
                <c:pt idx="16">
                  <c:v>249</c:v>
                </c:pt>
                <c:pt idx="17">
                  <c:v>237.39999999999998</c:v>
                </c:pt>
                <c:pt idx="18">
                  <c:v>301.15000000000003</c:v>
                </c:pt>
                <c:pt idx="19">
                  <c:v>297.75</c:v>
                </c:pt>
                <c:pt idx="20">
                  <c:v>297.40000000000003</c:v>
                </c:pt>
                <c:pt idx="21">
                  <c:v>257</c:v>
                </c:pt>
                <c:pt idx="22">
                  <c:v>305.45</c:v>
                </c:pt>
                <c:pt idx="23">
                  <c:v>272.3</c:v>
                </c:pt>
                <c:pt idx="24">
                  <c:v>277.2</c:v>
                </c:pt>
                <c:pt idx="25">
                  <c:v>270.40000000000003</c:v>
                </c:pt>
                <c:pt idx="26">
                  <c:v>300.45</c:v>
                </c:pt>
                <c:pt idx="27">
                  <c:v>329.34999999999997</c:v>
                </c:pt>
              </c:numCache>
            </c:numRef>
          </c:yVal>
          <c:smooth val="0"/>
          <c:extLst>
            <c:ext xmlns:c16="http://schemas.microsoft.com/office/drawing/2014/chart" uri="{C3380CC4-5D6E-409C-BE32-E72D297353CC}">
              <c16:uniqueId val="{00000000-8E81-4CBB-B17C-173FEE2A6A97}"/>
            </c:ext>
          </c:extLst>
        </c:ser>
        <c:ser>
          <c:idx val="1"/>
          <c:order val="1"/>
          <c:tx>
            <c:strRef>
              <c:f>'Evolução CQO'!$S$34</c:f>
              <c:strCache>
                <c:ptCount val="1"/>
                <c:pt idx="0">
                  <c:v>Effluent Mixture Reactor (Output)</c:v>
                </c:pt>
              </c:strCache>
            </c:strRef>
          </c:tx>
          <c:spPr>
            <a:ln w="19050" cap="rnd">
              <a:solidFill>
                <a:srgbClr val="FF0000"/>
              </a:solidFill>
              <a:round/>
            </a:ln>
            <a:effectLst/>
          </c:spPr>
          <c:marker>
            <c:symbol val="circle"/>
            <c:size val="5"/>
            <c:spPr>
              <a:solidFill>
                <a:srgbClr val="FF0000"/>
              </a:solidFill>
              <a:ln w="9525">
                <a:solidFill>
                  <a:srgbClr val="C00000"/>
                </a:solidFill>
              </a:ln>
              <a:effectLst/>
            </c:spPr>
          </c:marker>
          <c:xVal>
            <c:numRef>
              <c:f>'Evolução CQO'!$Q$35:$Q$64</c:f>
              <c:numCache>
                <c:formatCode>General</c:formatCode>
                <c:ptCount val="30"/>
                <c:pt idx="0">
                  <c:v>39</c:v>
                </c:pt>
                <c:pt idx="1">
                  <c:v>42</c:v>
                </c:pt>
                <c:pt idx="2">
                  <c:v>45</c:v>
                </c:pt>
                <c:pt idx="3">
                  <c:v>48</c:v>
                </c:pt>
                <c:pt idx="4">
                  <c:v>51</c:v>
                </c:pt>
                <c:pt idx="5">
                  <c:v>54</c:v>
                </c:pt>
                <c:pt idx="6">
                  <c:v>57</c:v>
                </c:pt>
                <c:pt idx="7">
                  <c:v>60</c:v>
                </c:pt>
                <c:pt idx="8">
                  <c:v>63</c:v>
                </c:pt>
                <c:pt idx="9">
                  <c:v>66</c:v>
                </c:pt>
                <c:pt idx="10">
                  <c:v>69</c:v>
                </c:pt>
                <c:pt idx="11">
                  <c:v>72</c:v>
                </c:pt>
                <c:pt idx="12">
                  <c:v>75</c:v>
                </c:pt>
                <c:pt idx="13">
                  <c:v>78</c:v>
                </c:pt>
                <c:pt idx="14">
                  <c:v>81</c:v>
                </c:pt>
                <c:pt idx="15">
                  <c:v>84</c:v>
                </c:pt>
                <c:pt idx="16">
                  <c:v>87</c:v>
                </c:pt>
                <c:pt idx="17">
                  <c:v>96</c:v>
                </c:pt>
                <c:pt idx="18">
                  <c:v>102</c:v>
                </c:pt>
                <c:pt idx="19">
                  <c:v>105</c:v>
                </c:pt>
                <c:pt idx="20">
                  <c:v>108</c:v>
                </c:pt>
                <c:pt idx="21">
                  <c:v>111</c:v>
                </c:pt>
                <c:pt idx="22">
                  <c:v>114</c:v>
                </c:pt>
                <c:pt idx="23">
                  <c:v>117</c:v>
                </c:pt>
                <c:pt idx="24">
                  <c:v>120</c:v>
                </c:pt>
                <c:pt idx="25">
                  <c:v>123</c:v>
                </c:pt>
                <c:pt idx="26">
                  <c:v>126</c:v>
                </c:pt>
                <c:pt idx="27">
                  <c:v>132</c:v>
                </c:pt>
                <c:pt idx="28">
                  <c:v>135</c:v>
                </c:pt>
                <c:pt idx="29">
                  <c:v>138</c:v>
                </c:pt>
              </c:numCache>
            </c:numRef>
          </c:xVal>
          <c:yVal>
            <c:numRef>
              <c:f>'Evolução CQO'!$S$35:$S$64</c:f>
              <c:numCache>
                <c:formatCode>General</c:formatCode>
                <c:ptCount val="30"/>
                <c:pt idx="1">
                  <c:v>198.10887825624664</c:v>
                </c:pt>
                <c:pt idx="2">
                  <c:v>240.42679425837301</c:v>
                </c:pt>
                <c:pt idx="3">
                  <c:v>242.54194577352465</c:v>
                </c:pt>
                <c:pt idx="4">
                  <c:v>236.82690058479537</c:v>
                </c:pt>
                <c:pt idx="5">
                  <c:v>206.47070707070711</c:v>
                </c:pt>
                <c:pt idx="6">
                  <c:v>223.64242424242425</c:v>
                </c:pt>
                <c:pt idx="7">
                  <c:v>229.03849016480595</c:v>
                </c:pt>
                <c:pt idx="8">
                  <c:v>211.44146730462526</c:v>
                </c:pt>
                <c:pt idx="9">
                  <c:v>245.91780967570443</c:v>
                </c:pt>
                <c:pt idx="10">
                  <c:v>266.8641148325359</c:v>
                </c:pt>
                <c:pt idx="11">
                  <c:v>225.57000000000002</c:v>
                </c:pt>
                <c:pt idx="12">
                  <c:v>264.30916666666667</c:v>
                </c:pt>
                <c:pt idx="13">
                  <c:v>235.81000000000003</c:v>
                </c:pt>
                <c:pt idx="14">
                  <c:v>269.98474907072313</c:v>
                </c:pt>
                <c:pt idx="15">
                  <c:v>241.97465207285131</c:v>
                </c:pt>
                <c:pt idx="16">
                  <c:v>236.15</c:v>
                </c:pt>
                <c:pt idx="17">
                  <c:v>247.29999999999998</c:v>
                </c:pt>
                <c:pt idx="18">
                  <c:v>311.70000000000005</c:v>
                </c:pt>
                <c:pt idx="19">
                  <c:v>269.84999999999997</c:v>
                </c:pt>
                <c:pt idx="20">
                  <c:v>308.95</c:v>
                </c:pt>
                <c:pt idx="21">
                  <c:v>286.5</c:v>
                </c:pt>
                <c:pt idx="22">
                  <c:v>270.59999999999997</c:v>
                </c:pt>
                <c:pt idx="23">
                  <c:v>289.75</c:v>
                </c:pt>
                <c:pt idx="24">
                  <c:v>340.95000000000005</c:v>
                </c:pt>
                <c:pt idx="25">
                  <c:v>306.5</c:v>
                </c:pt>
                <c:pt idx="26">
                  <c:v>298.65000000000003</c:v>
                </c:pt>
                <c:pt idx="27">
                  <c:v>256.5</c:v>
                </c:pt>
              </c:numCache>
            </c:numRef>
          </c:yVal>
          <c:smooth val="0"/>
          <c:extLst>
            <c:ext xmlns:c16="http://schemas.microsoft.com/office/drawing/2014/chart" uri="{C3380CC4-5D6E-409C-BE32-E72D297353CC}">
              <c16:uniqueId val="{00000001-8E81-4CBB-B17C-173FEE2A6A97}"/>
            </c:ext>
          </c:extLst>
        </c:ser>
        <c:ser>
          <c:idx val="2"/>
          <c:order val="2"/>
          <c:tx>
            <c:strRef>
              <c:f>'Evolução CQO'!$T$34</c:f>
              <c:strCache>
                <c:ptCount val="1"/>
                <c:pt idx="0">
                  <c:v>Mean COD feed (Input)</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'Evolução CQO'!$Q$35:$Q$64</c:f>
              <c:numCache>
                <c:formatCode>General</c:formatCode>
                <c:ptCount val="30"/>
                <c:pt idx="0">
                  <c:v>39</c:v>
                </c:pt>
                <c:pt idx="1">
                  <c:v>42</c:v>
                </c:pt>
                <c:pt idx="2">
                  <c:v>45</c:v>
                </c:pt>
                <c:pt idx="3">
                  <c:v>48</c:v>
                </c:pt>
                <c:pt idx="4">
                  <c:v>51</c:v>
                </c:pt>
                <c:pt idx="5">
                  <c:v>54</c:v>
                </c:pt>
                <c:pt idx="6">
                  <c:v>57</c:v>
                </c:pt>
                <c:pt idx="7">
                  <c:v>60</c:v>
                </c:pt>
                <c:pt idx="8">
                  <c:v>63</c:v>
                </c:pt>
                <c:pt idx="9">
                  <c:v>66</c:v>
                </c:pt>
                <c:pt idx="10">
                  <c:v>69</c:v>
                </c:pt>
                <c:pt idx="11">
                  <c:v>72</c:v>
                </c:pt>
                <c:pt idx="12">
                  <c:v>75</c:v>
                </c:pt>
                <c:pt idx="13">
                  <c:v>78</c:v>
                </c:pt>
                <c:pt idx="14">
                  <c:v>81</c:v>
                </c:pt>
                <c:pt idx="15">
                  <c:v>84</c:v>
                </c:pt>
                <c:pt idx="16">
                  <c:v>87</c:v>
                </c:pt>
                <c:pt idx="17">
                  <c:v>96</c:v>
                </c:pt>
                <c:pt idx="18">
                  <c:v>102</c:v>
                </c:pt>
                <c:pt idx="19">
                  <c:v>105</c:v>
                </c:pt>
                <c:pt idx="20">
                  <c:v>108</c:v>
                </c:pt>
                <c:pt idx="21">
                  <c:v>111</c:v>
                </c:pt>
                <c:pt idx="22">
                  <c:v>114</c:v>
                </c:pt>
                <c:pt idx="23">
                  <c:v>117</c:v>
                </c:pt>
                <c:pt idx="24">
                  <c:v>120</c:v>
                </c:pt>
                <c:pt idx="25">
                  <c:v>123</c:v>
                </c:pt>
                <c:pt idx="26">
                  <c:v>126</c:v>
                </c:pt>
                <c:pt idx="27">
                  <c:v>132</c:v>
                </c:pt>
                <c:pt idx="28">
                  <c:v>135</c:v>
                </c:pt>
                <c:pt idx="29">
                  <c:v>138</c:v>
                </c:pt>
              </c:numCache>
            </c:numRef>
          </c:xVal>
          <c:yVal>
            <c:numRef>
              <c:f>'Evolução CQO'!$T$35:$T$64</c:f>
              <c:numCache>
                <c:formatCode>General</c:formatCode>
                <c:ptCount val="30"/>
                <c:pt idx="1">
                  <c:v>800</c:v>
                </c:pt>
                <c:pt idx="2">
                  <c:v>800</c:v>
                </c:pt>
                <c:pt idx="3">
                  <c:v>800</c:v>
                </c:pt>
                <c:pt idx="4">
                  <c:v>800</c:v>
                </c:pt>
                <c:pt idx="5">
                  <c:v>800</c:v>
                </c:pt>
                <c:pt idx="6">
                  <c:v>800</c:v>
                </c:pt>
                <c:pt idx="7">
                  <c:v>800</c:v>
                </c:pt>
                <c:pt idx="8">
                  <c:v>800</c:v>
                </c:pt>
                <c:pt idx="9">
                  <c:v>800</c:v>
                </c:pt>
                <c:pt idx="10">
                  <c:v>1025</c:v>
                </c:pt>
                <c:pt idx="11">
                  <c:v>1025</c:v>
                </c:pt>
                <c:pt idx="12">
                  <c:v>1025</c:v>
                </c:pt>
                <c:pt idx="13">
                  <c:v>1025</c:v>
                </c:pt>
                <c:pt idx="14">
                  <c:v>1025</c:v>
                </c:pt>
                <c:pt idx="15">
                  <c:v>1025</c:v>
                </c:pt>
                <c:pt idx="16">
                  <c:v>1245</c:v>
                </c:pt>
                <c:pt idx="17">
                  <c:v>1245</c:v>
                </c:pt>
                <c:pt idx="18">
                  <c:v>1245</c:v>
                </c:pt>
                <c:pt idx="19">
                  <c:v>1245</c:v>
                </c:pt>
                <c:pt idx="20">
                  <c:v>1245</c:v>
                </c:pt>
                <c:pt idx="21">
                  <c:v>1245</c:v>
                </c:pt>
                <c:pt idx="22">
                  <c:v>1245</c:v>
                </c:pt>
                <c:pt idx="23">
                  <c:v>1245</c:v>
                </c:pt>
                <c:pt idx="24">
                  <c:v>1245</c:v>
                </c:pt>
                <c:pt idx="25">
                  <c:v>1245</c:v>
                </c:pt>
                <c:pt idx="26">
                  <c:v>1245</c:v>
                </c:pt>
                <c:pt idx="27">
                  <c:v>1245</c:v>
                </c:pt>
              </c:numCache>
            </c:numRef>
          </c:yVal>
          <c:smooth val="0"/>
          <c:extLst>
            <c:ext xmlns:c16="http://schemas.microsoft.com/office/drawing/2014/chart" uri="{C3380CC4-5D6E-409C-BE32-E72D297353CC}">
              <c16:uniqueId val="{00000002-8E81-4CBB-B17C-173FEE2A6A97}"/>
            </c:ext>
          </c:extLst>
        </c:ser>
        <c:dLbls>
          <c:showLegendKey val="0"/>
          <c:showVal val="0"/>
          <c:showCatName val="0"/>
          <c:showSerName val="0"/>
          <c:showPercent val="0"/>
          <c:showBubbleSize val="0"/>
        </c:dLbls>
        <c:axId val="191140160"/>
        <c:axId val="191149760"/>
      </c:scatterChart>
      <c:valAx>
        <c:axId val="191140160"/>
        <c:scaling>
          <c:orientation val="minMax"/>
          <c:max val="135"/>
          <c:min val="3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PT"/>
                  <a:t>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91149760"/>
        <c:crosses val="autoZero"/>
        <c:crossBetween val="midCat"/>
      </c:valAx>
      <c:valAx>
        <c:axId val="191149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PT"/>
                  <a:t>COD</a:t>
                </a:r>
                <a:r>
                  <a:rPr lang="pt-PT" baseline="0"/>
                  <a:t> (mgO</a:t>
                </a:r>
                <a:r>
                  <a:rPr lang="pt-PT" baseline="-25000"/>
                  <a:t>2</a:t>
                </a:r>
                <a:r>
                  <a:rPr lang="pt-PT" baseline="0"/>
                  <a:t>/L)</a:t>
                </a:r>
                <a:endParaRPr lang="pt-P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91140160"/>
        <c:crosses val="autoZero"/>
        <c:crossBetween val="midCat"/>
      </c:valAx>
      <c:spPr>
        <a:noFill/>
        <a:ln>
          <a:noFill/>
        </a:ln>
        <a:effectLst/>
      </c:spPr>
    </c:plotArea>
    <c:legend>
      <c:legendPos val="b"/>
      <c:layout>
        <c:manualLayout>
          <c:xMode val="edge"/>
          <c:yMode val="edge"/>
          <c:x val="1.5442516052275472E-2"/>
          <c:y val="0.86676082395144749"/>
          <c:w val="0.96680816282047788"/>
          <c:h val="8.73939038422489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24547</Characters>
  <Application>Microsoft Office Word</Application>
  <DocSecurity>0</DocSecurity>
  <Lines>2045</Lines>
  <Paragraphs>2045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Escobar</cp:lastModifiedBy>
  <cp:revision>2</cp:revision>
  <cp:lastPrinted>2015-05-12T18:31:00Z</cp:lastPrinted>
  <dcterms:created xsi:type="dcterms:W3CDTF">2025-03-25T16:25:00Z</dcterms:created>
  <dcterms:modified xsi:type="dcterms:W3CDTF">2025-03-25T16:25:00Z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