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436EE2">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436EE2">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436EE2">
        <w:trPr>
          <w:trHeight w:val="68"/>
          <w:jc w:val="center"/>
        </w:trPr>
        <w:tc>
          <w:tcPr>
            <w:tcW w:w="8782" w:type="dxa"/>
            <w:gridSpan w:val="2"/>
          </w:tcPr>
          <w:p w14:paraId="1D8DD3C9" w14:textId="025D7B18"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F330164" w14:textId="77777777" w:rsidR="005D3862" w:rsidRPr="00B57B36" w:rsidRDefault="005D3862" w:rsidP="005D3862">
      <w:pPr>
        <w:pStyle w:val="CETTitle"/>
      </w:pPr>
      <w:r>
        <w:t>Downstream Extraction of Volatile Fatty Acids: Simulation and Experimental Evaluation Using Hexadecane</w:t>
      </w:r>
    </w:p>
    <w:p w14:paraId="52666909" w14:textId="43050D66" w:rsidR="005D3862" w:rsidRPr="003437D4" w:rsidRDefault="005D3862" w:rsidP="005D3862">
      <w:pPr>
        <w:pStyle w:val="CETAuthors"/>
        <w:rPr>
          <w:lang w:val="pt-BR"/>
        </w:rPr>
      </w:pPr>
      <w:r w:rsidRPr="00AF6BB9">
        <w:rPr>
          <w:lang w:val="pt-BR"/>
        </w:rPr>
        <w:t>Riann de Queiroz Nóbrega, Igor Ferreira Fioravante, Bruno Xavier Ferreira, Jean-Christophe Bonhivers, Rubens Maciel Filho, Adriano Pinto Mariano, Jean Felipe Leal Silva</w:t>
      </w:r>
    </w:p>
    <w:p w14:paraId="574A367D" w14:textId="47EC46B6" w:rsidR="00EE3C91" w:rsidRPr="00E83DB0" w:rsidRDefault="00E83DB0" w:rsidP="00EE3C91">
      <w:pPr>
        <w:pStyle w:val="CETAddress"/>
        <w:rPr>
          <w:lang w:val="pt-BR"/>
        </w:rPr>
      </w:pPr>
      <w:r w:rsidRPr="006B5861">
        <w:rPr>
          <w:lang w:val="pt-BR"/>
        </w:rPr>
        <w:t>Universidade Estadual de Campinas (UNICAMP), Faculdade de Engenharia Química (FEQ)</w:t>
      </w:r>
      <w:r w:rsidR="00EE3C91" w:rsidRPr="006B5861">
        <w:rPr>
          <w:lang w:val="pt-BR"/>
        </w:rPr>
        <w:t>,</w:t>
      </w:r>
      <w:r w:rsidR="00EE3C91" w:rsidRPr="00E83DB0">
        <w:rPr>
          <w:lang w:val="pt-BR"/>
        </w:rPr>
        <w:t xml:space="preserve"> Av Albert Einstein, 500, Campinas, SP, Brazil</w:t>
      </w:r>
    </w:p>
    <w:p w14:paraId="2E9988C7" w14:textId="6B2D898E" w:rsidR="005D3862" w:rsidRPr="00521D8F" w:rsidRDefault="00EE3C91" w:rsidP="005D3862">
      <w:pPr>
        <w:pStyle w:val="CETemail"/>
        <w:rPr>
          <w:lang w:val="en-US"/>
        </w:rPr>
      </w:pPr>
      <w:r>
        <w:rPr>
          <w:lang w:val="en-US"/>
        </w:rPr>
        <w:t>Corresponding author</w:t>
      </w:r>
      <w:r w:rsidR="005D3862" w:rsidRPr="00521D8F">
        <w:rPr>
          <w:lang w:val="en-US"/>
        </w:rPr>
        <w:t xml:space="preserve">: </w:t>
      </w:r>
      <w:r w:rsidR="005D3862" w:rsidRPr="00AC2C46">
        <w:rPr>
          <w:lang w:val="en-US"/>
        </w:rPr>
        <w:t>jeanf@unicamp.br</w:t>
      </w:r>
    </w:p>
    <w:p w14:paraId="64F3EE3F" w14:textId="7FF48167" w:rsidR="005D3862" w:rsidRDefault="005D3862" w:rsidP="005D3862">
      <w:pPr>
        <w:pStyle w:val="CETBodytext"/>
        <w:rPr>
          <w:lang w:val="en-GB"/>
        </w:rPr>
      </w:pPr>
      <w:r w:rsidRPr="00521D8F">
        <w:rPr>
          <w:lang w:val="en-GB"/>
        </w:rPr>
        <w:t>The production of volatile fatty acids (VFAs) through a green and sustainable route is</w:t>
      </w:r>
      <w:r>
        <w:rPr>
          <w:lang w:val="en-GB"/>
        </w:rPr>
        <w:t xml:space="preserve"> </w:t>
      </w:r>
      <w:r w:rsidRPr="00521D8F">
        <w:rPr>
          <w:lang w:val="en-GB"/>
        </w:rPr>
        <w:t>gaining increasing attention due to rising market demand, broad application</w:t>
      </w:r>
      <w:r>
        <w:rPr>
          <w:lang w:val="en-GB"/>
        </w:rPr>
        <w:t xml:space="preserve"> </w:t>
      </w:r>
      <w:r w:rsidRPr="00521D8F">
        <w:rPr>
          <w:lang w:val="en-GB"/>
        </w:rPr>
        <w:t>possibilities, and a balanced approach that combines economic viability with</w:t>
      </w:r>
      <w:r>
        <w:rPr>
          <w:lang w:val="en-GB"/>
        </w:rPr>
        <w:t xml:space="preserve"> </w:t>
      </w:r>
      <w:r w:rsidRPr="00521D8F">
        <w:rPr>
          <w:lang w:val="en-GB"/>
        </w:rPr>
        <w:t xml:space="preserve">environmental benefits. Among these, VFAs of </w:t>
      </w:r>
      <w:r w:rsidRPr="00F91D42">
        <w:rPr>
          <w:lang w:val="en-GB"/>
        </w:rPr>
        <w:t>three</w:t>
      </w:r>
      <w:r w:rsidRPr="00521D8F">
        <w:rPr>
          <w:lang w:val="en-GB"/>
        </w:rPr>
        <w:t xml:space="preserve"> </w:t>
      </w:r>
      <w:r w:rsidR="003442B5">
        <w:rPr>
          <w:lang w:val="en-GB"/>
        </w:rPr>
        <w:t>and</w:t>
      </w:r>
      <w:r w:rsidR="003442B5" w:rsidRPr="00521D8F">
        <w:rPr>
          <w:lang w:val="en-GB"/>
        </w:rPr>
        <w:t xml:space="preserve"> </w:t>
      </w:r>
      <w:r w:rsidRPr="00521D8F">
        <w:rPr>
          <w:lang w:val="en-GB"/>
        </w:rPr>
        <w:t>four carbons (</w:t>
      </w:r>
      <w:r>
        <w:rPr>
          <w:lang w:val="en-GB"/>
        </w:rPr>
        <w:t xml:space="preserve">propionic and </w:t>
      </w:r>
      <w:r w:rsidRPr="00521D8F">
        <w:rPr>
          <w:lang w:val="en-GB"/>
        </w:rPr>
        <w:t>butyric acids) produced via fermentation are promising alternatives to</w:t>
      </w:r>
      <w:r>
        <w:rPr>
          <w:lang w:val="en-GB"/>
        </w:rPr>
        <w:t xml:space="preserve"> </w:t>
      </w:r>
      <w:r w:rsidRPr="00521D8F">
        <w:rPr>
          <w:lang w:val="en-GB"/>
        </w:rPr>
        <w:t>carboxylic acids synthesized from non-renewable sources. However, the downstream</w:t>
      </w:r>
      <w:r>
        <w:rPr>
          <w:lang w:val="en-GB"/>
        </w:rPr>
        <w:t xml:space="preserve"> </w:t>
      </w:r>
      <w:r w:rsidRPr="00521D8F">
        <w:rPr>
          <w:lang w:val="en-GB"/>
        </w:rPr>
        <w:t>processing of these VFAs remains a critical bottleneck, particularly in terms of</w:t>
      </w:r>
      <w:r>
        <w:rPr>
          <w:lang w:val="en-GB"/>
        </w:rPr>
        <w:t xml:space="preserve"> </w:t>
      </w:r>
      <w:r w:rsidRPr="00521D8F">
        <w:rPr>
          <w:lang w:val="en-GB"/>
        </w:rPr>
        <w:t xml:space="preserve">selectivity and purity. This downstream processing implies </w:t>
      </w:r>
      <w:r w:rsidR="003442B5">
        <w:rPr>
          <w:lang w:val="en-GB"/>
        </w:rPr>
        <w:t>high operating</w:t>
      </w:r>
      <w:r w:rsidR="003442B5" w:rsidRPr="00521D8F">
        <w:rPr>
          <w:lang w:val="en-GB"/>
        </w:rPr>
        <w:t xml:space="preserve"> </w:t>
      </w:r>
      <w:r w:rsidRPr="00521D8F">
        <w:rPr>
          <w:lang w:val="en-GB"/>
        </w:rPr>
        <w:t>costs,</w:t>
      </w:r>
      <w:r>
        <w:rPr>
          <w:lang w:val="en-GB"/>
        </w:rPr>
        <w:t xml:space="preserve"> </w:t>
      </w:r>
      <w:r w:rsidRPr="00521D8F">
        <w:rPr>
          <w:lang w:val="en-GB"/>
        </w:rPr>
        <w:t>representing 20 to 50% of the process expenses. The selection of an appropriate solvent</w:t>
      </w:r>
      <w:r>
        <w:rPr>
          <w:lang w:val="en-GB"/>
        </w:rPr>
        <w:t xml:space="preserve"> </w:t>
      </w:r>
      <w:r w:rsidRPr="00521D8F">
        <w:rPr>
          <w:lang w:val="en-GB"/>
        </w:rPr>
        <w:t>plays a fundamental role in enhancing the extraction process of these VFAs.</w:t>
      </w:r>
      <w:r>
        <w:rPr>
          <w:lang w:val="en-GB"/>
        </w:rPr>
        <w:t xml:space="preserve"> </w:t>
      </w:r>
      <w:r w:rsidRPr="00AF6BB9">
        <w:rPr>
          <w:lang w:val="en-GB"/>
        </w:rPr>
        <w:t xml:space="preserve">Hexadecane efficiently separates phases with water and selectively extracts target products from the fermentation medium. </w:t>
      </w:r>
      <w:r w:rsidR="009B6736">
        <w:rPr>
          <w:lang w:val="en-GB"/>
        </w:rPr>
        <w:t>A simulation using Aspen Plus® and a 3</w:t>
      </w:r>
      <w:r w:rsidR="009B6736" w:rsidRPr="009B6736">
        <w:rPr>
          <w:vertAlign w:val="superscript"/>
          <w:lang w:val="en-GB"/>
        </w:rPr>
        <w:t>2</w:t>
      </w:r>
      <w:r w:rsidR="009B6736">
        <w:rPr>
          <w:lang w:val="en-GB"/>
        </w:rPr>
        <w:t xml:space="preserve"> factorial design with 3 central points was conducted to assess its extraction efficiency</w:t>
      </w:r>
      <w:r w:rsidRPr="00AF6BB9">
        <w:rPr>
          <w:lang w:val="en-GB"/>
        </w:rPr>
        <w:t>. The experimental results showed a 61.7</w:t>
      </w:r>
      <w:r>
        <w:rPr>
          <w:lang w:val="en-GB"/>
        </w:rPr>
        <w:t xml:space="preserve"> </w:t>
      </w:r>
      <w:r w:rsidRPr="00AF6BB9">
        <w:rPr>
          <w:lang w:val="en-GB"/>
        </w:rPr>
        <w:t>% extraction efficiency for butyric acid at 35</w:t>
      </w:r>
      <w:r>
        <w:rPr>
          <w:lang w:val="en-GB"/>
        </w:rPr>
        <w:t xml:space="preserve"> </w:t>
      </w:r>
      <w:r w:rsidRPr="00AF6BB9">
        <w:rPr>
          <w:lang w:val="en-GB"/>
        </w:rPr>
        <w:t>°C, solvent-to-</w:t>
      </w:r>
      <w:r w:rsidR="00BD6299">
        <w:rPr>
          <w:lang w:val="en-GB"/>
        </w:rPr>
        <w:t>feed</w:t>
      </w:r>
      <w:r w:rsidR="003442B5" w:rsidRPr="00AF6BB9">
        <w:rPr>
          <w:lang w:val="en-GB"/>
        </w:rPr>
        <w:t xml:space="preserve"> </w:t>
      </w:r>
      <w:r w:rsidRPr="00AF6BB9">
        <w:rPr>
          <w:lang w:val="en-GB"/>
        </w:rPr>
        <w:t>ratio (</w:t>
      </w:r>
      <w:r w:rsidRPr="006B5861">
        <w:rPr>
          <w:lang w:val="en-GB"/>
        </w:rPr>
        <w:t>ROW)</w:t>
      </w:r>
      <w:r w:rsidR="00BD6299" w:rsidRPr="006B5861">
        <w:rPr>
          <w:lang w:val="en-GB"/>
        </w:rPr>
        <w:t xml:space="preserve"> of</w:t>
      </w:r>
      <w:r w:rsidRPr="006B5861">
        <w:rPr>
          <w:lang w:val="en-GB"/>
        </w:rPr>
        <w:t xml:space="preserve"> 6</w:t>
      </w:r>
      <w:r w:rsidR="001E4489" w:rsidRPr="006B5861">
        <w:rPr>
          <w:lang w:val="en-GB"/>
        </w:rPr>
        <w:t>,</w:t>
      </w:r>
      <w:r w:rsidRPr="00AF6BB9">
        <w:rPr>
          <w:lang w:val="en-GB"/>
        </w:rPr>
        <w:t xml:space="preserve"> and pH 2.</w:t>
      </w:r>
      <w:r>
        <w:rPr>
          <w:lang w:val="en-GB"/>
        </w:rPr>
        <w:t>4</w:t>
      </w:r>
      <w:r w:rsidRPr="00AF6BB9">
        <w:rPr>
          <w:lang w:val="en-GB"/>
        </w:rPr>
        <w:t>.</w:t>
      </w:r>
      <w:r>
        <w:rPr>
          <w:lang w:val="en-GB"/>
        </w:rPr>
        <w:t xml:space="preserve"> </w:t>
      </w:r>
      <w:r w:rsidRPr="00F91D42">
        <w:rPr>
          <w:lang w:val="en-GB"/>
        </w:rPr>
        <w:t xml:space="preserve">For propionic acid, the extraction efficiency was </w:t>
      </w:r>
      <w:r>
        <w:rPr>
          <w:lang w:val="en-GB"/>
        </w:rPr>
        <w:t>35.7</w:t>
      </w:r>
      <w:r w:rsidRPr="00F91D42">
        <w:rPr>
          <w:lang w:val="en-GB"/>
        </w:rPr>
        <w:t>% under the same experimental conditions</w:t>
      </w:r>
      <w:r>
        <w:rPr>
          <w:lang w:val="en-GB"/>
        </w:rPr>
        <w:t xml:space="preserve">. </w:t>
      </w:r>
      <w:r w:rsidRPr="004846A5">
        <w:rPr>
          <w:lang w:val="en-GB"/>
        </w:rPr>
        <w:t xml:space="preserve">ANOVA revealed that all main factors were statistically significant (p &lt; 0.05) at a 95% confidence level, confirming their strong influence on the extraction of organic acids with hexadecane. </w:t>
      </w:r>
      <w:r w:rsidR="002E200E" w:rsidRPr="00DE0E4E">
        <w:rPr>
          <w:lang w:val="en-GB"/>
        </w:rPr>
        <w:t>The simulation of the extraction process further validated these findings by closely aligning with the experimental results, demonstrating the reliability of the work for potential process improvements in VFAs recovery.</w:t>
      </w:r>
    </w:p>
    <w:p w14:paraId="1327D68F" w14:textId="77777777" w:rsidR="002E200E" w:rsidRDefault="002E200E" w:rsidP="005D3862">
      <w:pPr>
        <w:pStyle w:val="CETBodytext"/>
        <w:rPr>
          <w:lang w:val="en-GB"/>
        </w:rPr>
      </w:pPr>
    </w:p>
    <w:p w14:paraId="30CE2054" w14:textId="77777777" w:rsidR="005D3862" w:rsidRPr="00345AFC" w:rsidRDefault="005D3862" w:rsidP="005D3862">
      <w:pPr>
        <w:pStyle w:val="CETBodytext"/>
        <w:numPr>
          <w:ilvl w:val="0"/>
          <w:numId w:val="24"/>
        </w:numPr>
        <w:ind w:left="284" w:hanging="284"/>
        <w:rPr>
          <w:b/>
          <w:bCs/>
          <w:sz w:val="20"/>
          <w:lang w:val="en-GB"/>
        </w:rPr>
      </w:pPr>
      <w:r w:rsidRPr="00345AFC">
        <w:rPr>
          <w:b/>
          <w:bCs/>
          <w:sz w:val="20"/>
          <w:lang w:val="en-GB"/>
        </w:rPr>
        <w:t>Introduction</w:t>
      </w:r>
    </w:p>
    <w:p w14:paraId="6EBB03E0" w14:textId="77777777" w:rsidR="005D3862" w:rsidRPr="00B57B36" w:rsidRDefault="005D3862" w:rsidP="005D3862">
      <w:pPr>
        <w:pStyle w:val="CETBodytext"/>
        <w:rPr>
          <w:lang w:val="en-GB"/>
        </w:rPr>
      </w:pPr>
    </w:p>
    <w:p w14:paraId="1790AA44" w14:textId="50DA1E47" w:rsidR="005D3862" w:rsidRDefault="005D3862" w:rsidP="005D3862">
      <w:pPr>
        <w:rPr>
          <w:lang w:val="en-US"/>
        </w:rPr>
      </w:pPr>
      <w:r w:rsidRPr="00A120FC">
        <w:rPr>
          <w:lang w:val="en-US"/>
        </w:rPr>
        <w:t xml:space="preserve">The need to mitigate climate change, the increase in global energy demand, the pursuit of a more diversified energy </w:t>
      </w:r>
      <w:r w:rsidR="006B43F6" w:rsidRPr="006B5861">
        <w:rPr>
          <w:lang w:val="en-US"/>
        </w:rPr>
        <w:t>mix</w:t>
      </w:r>
      <w:r w:rsidR="00224853" w:rsidRPr="006B5861">
        <w:rPr>
          <w:lang w:val="en-US"/>
        </w:rPr>
        <w:t>,</w:t>
      </w:r>
      <w:r w:rsidR="006B43F6">
        <w:rPr>
          <w:lang w:val="en-US"/>
        </w:rPr>
        <w:t xml:space="preserve"> and</w:t>
      </w:r>
      <w:r w:rsidRPr="00A120FC">
        <w:rPr>
          <w:lang w:val="en-US"/>
        </w:rPr>
        <w:t xml:space="preserve"> the instability of oil prices are some of the factors driving the high demand for chemicals produced </w:t>
      </w:r>
      <w:r w:rsidR="006B43F6">
        <w:rPr>
          <w:lang w:val="en-US"/>
        </w:rPr>
        <w:t>from renewable sources</w:t>
      </w:r>
      <w:r w:rsidRPr="00A120FC">
        <w:rPr>
          <w:lang w:val="en-US"/>
        </w:rPr>
        <w:t xml:space="preserve"> </w:t>
      </w:r>
      <w:r w:rsidRPr="000B5C7A">
        <w:rPr>
          <w:lang w:val="en-US"/>
        </w:rPr>
        <w:t>(Calvo &amp; Martin, 2022; Cardona et al., 2010).</w:t>
      </w:r>
      <w:r w:rsidRPr="00A120FC">
        <w:rPr>
          <w:lang w:val="en-US"/>
        </w:rPr>
        <w:t xml:space="preserve"> In this context, the conversion of renewable raw materials </w:t>
      </w:r>
      <w:r w:rsidR="006B43F6" w:rsidRPr="00A120FC">
        <w:rPr>
          <w:lang w:val="en-US"/>
        </w:rPr>
        <w:t>to produce</w:t>
      </w:r>
      <w:r w:rsidRPr="00A120FC">
        <w:rPr>
          <w:lang w:val="en-US"/>
        </w:rPr>
        <w:t xml:space="preserve"> organic acids stands out</w:t>
      </w:r>
      <w:r w:rsidR="006B43F6">
        <w:rPr>
          <w:lang w:val="en-US"/>
        </w:rPr>
        <w:t xml:space="preserve"> (Leal Silva et al., 2018)</w:t>
      </w:r>
      <w:r w:rsidRPr="00A120FC">
        <w:rPr>
          <w:lang w:val="en-US"/>
        </w:rPr>
        <w:t xml:space="preserve">. Organic acids are highly </w:t>
      </w:r>
      <w:r w:rsidR="006B43F6">
        <w:rPr>
          <w:lang w:val="en-US"/>
        </w:rPr>
        <w:t>demanded chemicals</w:t>
      </w:r>
      <w:r w:rsidRPr="00A120FC">
        <w:rPr>
          <w:lang w:val="en-US"/>
        </w:rPr>
        <w:t xml:space="preserve"> </w:t>
      </w:r>
      <w:r w:rsidR="006B43F6">
        <w:rPr>
          <w:lang w:val="en-US"/>
        </w:rPr>
        <w:t>that</w:t>
      </w:r>
      <w:r w:rsidR="006B43F6" w:rsidRPr="00A120FC">
        <w:rPr>
          <w:lang w:val="en-US"/>
        </w:rPr>
        <w:t xml:space="preserve"> </w:t>
      </w:r>
      <w:r w:rsidRPr="00A120FC">
        <w:rPr>
          <w:lang w:val="en-US"/>
        </w:rPr>
        <w:t>can serve various markets, including fuels, pharmaceuticals, food, and bioplastics. Among the organic acids produced via fermentative routes, propionic and butyric acids</w:t>
      </w:r>
      <w:r w:rsidRPr="00A120FC">
        <w:t xml:space="preserve"> </w:t>
      </w:r>
      <w:r w:rsidRPr="00A120FC">
        <w:rPr>
          <w:lang w:val="en-US"/>
        </w:rPr>
        <w:t>hold significant industrial relevance.</w:t>
      </w:r>
    </w:p>
    <w:p w14:paraId="1DEB7EE4" w14:textId="77777777" w:rsidR="002E200E" w:rsidRDefault="005D3862" w:rsidP="002E200E">
      <w:pPr>
        <w:rPr>
          <w:lang w:val="en-US"/>
        </w:rPr>
      </w:pPr>
      <w:r w:rsidRPr="00B32AE9">
        <w:rPr>
          <w:lang w:val="en-US"/>
        </w:rPr>
        <w:t>Butyric acid, a volatile short-chain fatty acid produced by anaerobic bacteria, is widely used in cosmetics, animal feed, pharmaceutical, and chemical industries. With a global production of 80</w:t>
      </w:r>
      <w:r>
        <w:rPr>
          <w:lang w:val="en-US"/>
        </w:rPr>
        <w:t>.</w:t>
      </w:r>
      <w:r w:rsidRPr="00B32AE9">
        <w:rPr>
          <w:lang w:val="en-US"/>
        </w:rPr>
        <w:t>000 ton</w:t>
      </w:r>
      <w:r w:rsidR="006B43F6">
        <w:rPr>
          <w:lang w:val="en-US"/>
        </w:rPr>
        <w:t>ne</w:t>
      </w:r>
      <w:r w:rsidRPr="00B32AE9">
        <w:rPr>
          <w:lang w:val="en-US"/>
        </w:rPr>
        <w:t xml:space="preserve">s annually ($1800/t), it is traditionally derived from petroleum-based </w:t>
      </w:r>
      <w:r w:rsidR="006B43F6">
        <w:rPr>
          <w:lang w:val="en-US"/>
        </w:rPr>
        <w:t>chemical processes</w:t>
      </w:r>
      <w:r w:rsidRPr="00B32AE9">
        <w:rPr>
          <w:lang w:val="en-US"/>
        </w:rPr>
        <w:t xml:space="preserve">, such as propylene hydroformylation or n-butyraldehyde oxidation, which generate toxic residues </w:t>
      </w:r>
      <w:r w:rsidRPr="000B5C7A">
        <w:rPr>
          <w:lang w:val="en-US"/>
        </w:rPr>
        <w:t>(Jiang et al., 2018</w:t>
      </w:r>
      <w:r w:rsidRPr="00ED2D1D">
        <w:rPr>
          <w:lang w:val="en-US"/>
        </w:rPr>
        <w:t>; Playne, 1985).</w:t>
      </w:r>
      <w:r w:rsidRPr="00B32AE9">
        <w:rPr>
          <w:lang w:val="en-US"/>
        </w:rPr>
        <w:t xml:space="preserve"> Fermentative biosynthesis emerges as a sustainable alternative but faces challenges like low yields, productivity, and high recovery </w:t>
      </w:r>
      <w:r w:rsidRPr="00ED2D1D">
        <w:rPr>
          <w:lang w:val="en-US"/>
        </w:rPr>
        <w:t>costs (Jha et al., 2014; Luo et al., 2018).</w:t>
      </w:r>
      <w:r w:rsidRPr="00B32AE9">
        <w:rPr>
          <w:lang w:val="en-US"/>
        </w:rPr>
        <w:t xml:space="preserve"> Similar challenges are observed with propionic acid, a versatile carboxylic acid used in the preservation of animal feed and foods like bread and cheese, as well as in anti-arthritic drugs, perfumes, and solvents.</w:t>
      </w:r>
    </w:p>
    <w:p w14:paraId="168A0456" w14:textId="2EE7FE5A" w:rsidR="002E200E" w:rsidRDefault="002E200E" w:rsidP="002E200E">
      <w:r w:rsidRPr="002E200E">
        <w:lastRenderedPageBreak/>
        <w:t>To address the aforementioned issues</w:t>
      </w:r>
      <w:r w:rsidRPr="00DE0E4E">
        <w:t>, research has tended to focus on liquid-liquid extraction using organic solvents to recover carboxylic acids from fermentation broths (Yang</w:t>
      </w:r>
      <w:r w:rsidRPr="002E200E">
        <w:t xml:space="preserve"> et al., 2006). This method is low-cost and easily scalable but shows greater efficiency with acidified broths, as most solvents extract only non-dissociated acids (Yang et al., 1991). </w:t>
      </w:r>
      <w:r w:rsidR="006609E8">
        <w:t xml:space="preserve">Previous studies have reported on the use of </w:t>
      </w:r>
      <w:r w:rsidR="00716243">
        <w:t xml:space="preserve">esters as solvents for </w:t>
      </w:r>
      <w:r w:rsidR="00BF32E8" w:rsidRPr="006B5861">
        <w:t>the</w:t>
      </w:r>
      <w:r w:rsidR="00BF32E8">
        <w:t xml:space="preserve"> </w:t>
      </w:r>
      <w:r w:rsidR="00716243">
        <w:t xml:space="preserve">extraction of carboxylic acids </w:t>
      </w:r>
      <w:r w:rsidR="00716243" w:rsidRPr="005777B6">
        <w:t>(</w:t>
      </w:r>
      <w:r w:rsidR="00716243" w:rsidRPr="0098348D">
        <w:t>Alao</w:t>
      </w:r>
      <w:r w:rsidR="00716243" w:rsidRPr="005777B6">
        <w:t xml:space="preserve"> et al. 2023)</w:t>
      </w:r>
      <w:r w:rsidR="006609E8">
        <w:t xml:space="preserve">. Nevertheless, </w:t>
      </w:r>
      <w:r w:rsidR="00716243">
        <w:t>esters</w:t>
      </w:r>
      <w:r w:rsidR="006609E8">
        <w:t xml:space="preserve"> and water are partially </w:t>
      </w:r>
      <w:r w:rsidR="00716243">
        <w:t>miscible and generally they form azeotropic mixtures with water</w:t>
      </w:r>
      <w:r w:rsidR="006609E8">
        <w:t xml:space="preserve">. </w:t>
      </w:r>
      <w:r w:rsidRPr="002E200E">
        <w:t>In this context, hexadecane emerges as a potential solvent due to its high affinity for volatile fatty acids, such as butyric and propionic acids, and its low miscibility with water, which facilitates phase separation</w:t>
      </w:r>
      <w:r w:rsidR="00716243">
        <w:t xml:space="preserve"> and solvent recovery</w:t>
      </w:r>
      <w:r w:rsidRPr="002E200E">
        <w:t>. Therefore, the focus of this work is to investigate the efficiency of liquid-liquid extraction for butyric and propionic acids by using different parameters (pH and solvent-to-feed ratio) to optimize the downstream process.</w:t>
      </w:r>
    </w:p>
    <w:p w14:paraId="51DE13F7" w14:textId="77777777" w:rsidR="002E200E" w:rsidRDefault="002E200E" w:rsidP="002E200E"/>
    <w:p w14:paraId="730867FF" w14:textId="68FAD314" w:rsidR="005D3862" w:rsidRPr="002E200E" w:rsidRDefault="005D3862" w:rsidP="002E200E">
      <w:pPr>
        <w:pStyle w:val="PargrafodaLista"/>
        <w:numPr>
          <w:ilvl w:val="0"/>
          <w:numId w:val="24"/>
        </w:numPr>
        <w:ind w:left="284" w:hanging="284"/>
        <w:rPr>
          <w:b/>
          <w:bCs/>
        </w:rPr>
      </w:pPr>
      <w:r w:rsidRPr="002E200E">
        <w:rPr>
          <w:b/>
          <w:bCs/>
        </w:rPr>
        <w:t>Methodology</w:t>
      </w:r>
    </w:p>
    <w:p w14:paraId="509C80DB" w14:textId="77777777" w:rsidR="002E200E" w:rsidRPr="002E200E" w:rsidRDefault="002E200E" w:rsidP="002E200E">
      <w:pPr>
        <w:rPr>
          <w:lang w:val="en-US"/>
        </w:rPr>
      </w:pPr>
    </w:p>
    <w:p w14:paraId="248A9182" w14:textId="77777777" w:rsidR="005D3862" w:rsidRPr="00345AFC" w:rsidRDefault="005D3862" w:rsidP="00DE0E4E">
      <w:pPr>
        <w:pStyle w:val="CETBodytext"/>
        <w:spacing w:line="240" w:lineRule="auto"/>
        <w:rPr>
          <w:b/>
          <w:bCs/>
        </w:rPr>
      </w:pPr>
      <w:r w:rsidRPr="00345AFC">
        <w:rPr>
          <w:b/>
          <w:bCs/>
        </w:rPr>
        <w:t>2.1 Materials</w:t>
      </w:r>
    </w:p>
    <w:p w14:paraId="3E301B56" w14:textId="2D242606" w:rsidR="005D3862" w:rsidRDefault="005D3862" w:rsidP="005D3862">
      <w:pPr>
        <w:pStyle w:val="CETBodytext"/>
      </w:pPr>
      <w:r w:rsidRPr="00437D5B">
        <w:t>Butyric, propionic, and sulfuric acids were provided by Êxodo Científica (Brazil) and were of analytical grade. Sodium hydroxide (97%), used as the neutralizing agent, was acquired from NEON (Brazil). N-hexadecane was purchased from Dinâmica (Brazil).</w:t>
      </w:r>
    </w:p>
    <w:p w14:paraId="445C5A15" w14:textId="77777777" w:rsidR="005D3862" w:rsidRDefault="005D3862" w:rsidP="005D3862">
      <w:pPr>
        <w:pStyle w:val="CETBodytext"/>
      </w:pPr>
    </w:p>
    <w:p w14:paraId="1E5F453E" w14:textId="56959AB1" w:rsidR="005D3862" w:rsidRPr="00345AFC" w:rsidRDefault="005D3862" w:rsidP="00DE0E4E">
      <w:pPr>
        <w:pStyle w:val="CETBodytext"/>
        <w:spacing w:line="240" w:lineRule="auto"/>
      </w:pPr>
      <w:r w:rsidRPr="00345AFC">
        <w:rPr>
          <w:b/>
          <w:bCs/>
        </w:rPr>
        <w:t>2.2 Extraction Tests</w:t>
      </w:r>
    </w:p>
    <w:p w14:paraId="13AA6B1A" w14:textId="05929F2F" w:rsidR="005D3862" w:rsidRDefault="00CB5213" w:rsidP="00DE0E4E">
      <w:pPr>
        <w:pStyle w:val="CETTabletitle"/>
        <w:spacing w:before="0" w:after="0" w:line="240" w:lineRule="auto"/>
        <w:jc w:val="both"/>
        <w:rPr>
          <w:i w:val="0"/>
        </w:rPr>
      </w:pPr>
      <w:r w:rsidRPr="00CB5213">
        <w:rPr>
          <w:i w:val="0"/>
          <w:lang w:val="en-US"/>
        </w:rPr>
        <w:t>The extraction tests for organic acids (butyric and propionic) were performed using hexadecane as a solvent. The experimental conditions were planned based on a 3</w:t>
      </w:r>
      <w:r w:rsidRPr="00CB5213">
        <w:rPr>
          <w:i w:val="0"/>
          <w:vertAlign w:val="superscript"/>
          <w:lang w:val="en-US"/>
        </w:rPr>
        <w:t>2</w:t>
      </w:r>
      <w:r w:rsidRPr="00CB5213">
        <w:rPr>
          <w:i w:val="0"/>
          <w:lang w:val="en-US"/>
        </w:rPr>
        <w:t xml:space="preserve"> factorial design with 3 central points, varying the pH (2.4, 3.5, and 4.5) and the solvent-to-feed ratio (ROW) (1:1, 3:1, and 6:1), totaling 12 experiments. </w:t>
      </w:r>
      <w:r w:rsidRPr="00DE0E4E">
        <w:rPr>
          <w:i w:val="0"/>
          <w:lang w:val="en-US"/>
        </w:rPr>
        <w:t>Under these conditions, butyric acid is mainly in its undissociated form, which helps improve the recovery of this acid by the solvent. In this case, the temperature was fixed at 35°C, and agitation was carried out in an incubator shaker (SP-223 – Splabor) at 150 rpm. The feed solution was prepared to contain 33 g/L of butyric acid and 13 g/L of propionic acid in ultrapure water, with pH adjusted using sodium hydroxide. These concentrations were selected based on results from fermentations that have already been carried out. After preparation, the mixtures were agitated in the incubator shaker according to the conditions defined in the experimental design. At the end of</w:t>
      </w:r>
      <w:r w:rsidRPr="00CB5213">
        <w:rPr>
          <w:i w:val="0"/>
          <w:lang w:val="en-US"/>
        </w:rPr>
        <w:t xml:space="preserve"> the agitation, the phases were separated for 1 hour in 125 mL separatory funnels, maintained at 35°C.</w:t>
      </w:r>
    </w:p>
    <w:p w14:paraId="242BCD7A" w14:textId="77777777" w:rsidR="005D3862" w:rsidRDefault="005D3862" w:rsidP="005D3862">
      <w:pPr>
        <w:pStyle w:val="CETTabletitle"/>
        <w:spacing w:before="0" w:after="0"/>
        <w:jc w:val="both"/>
        <w:rPr>
          <w:i w:val="0"/>
        </w:rPr>
      </w:pPr>
    </w:p>
    <w:p w14:paraId="5A7B3475" w14:textId="7C5D9ED4" w:rsidR="005D3862" w:rsidRPr="00345AFC" w:rsidRDefault="005D3862" w:rsidP="00DE0E4E">
      <w:pPr>
        <w:pStyle w:val="CETTabletitle"/>
        <w:spacing w:before="0" w:after="0" w:line="240" w:lineRule="auto"/>
        <w:jc w:val="both"/>
        <w:rPr>
          <w:b/>
          <w:bCs/>
          <w:i w:val="0"/>
        </w:rPr>
      </w:pPr>
      <w:r w:rsidRPr="00345AFC">
        <w:rPr>
          <w:b/>
          <w:bCs/>
          <w:i w:val="0"/>
        </w:rPr>
        <w:t xml:space="preserve">2.3 </w:t>
      </w:r>
      <w:r w:rsidR="00BD6299">
        <w:rPr>
          <w:b/>
          <w:bCs/>
          <w:i w:val="0"/>
        </w:rPr>
        <w:t>Sample analysis</w:t>
      </w:r>
    </w:p>
    <w:p w14:paraId="43984C43" w14:textId="2C30BA9D" w:rsidR="005D3862" w:rsidRDefault="001147EE" w:rsidP="00DE0E4E">
      <w:pPr>
        <w:pStyle w:val="CETTabletitle"/>
        <w:spacing w:before="0" w:after="0" w:line="240" w:lineRule="auto"/>
        <w:jc w:val="both"/>
        <w:rPr>
          <w:i w:val="0"/>
        </w:rPr>
      </w:pPr>
      <w:r w:rsidRPr="001147EE">
        <w:rPr>
          <w:i w:val="0"/>
        </w:rPr>
        <w:t xml:space="preserve">The concentrations of butyric and propionic acids were determined by high-performance liquid chromatography </w:t>
      </w:r>
      <w:r w:rsidR="003A6C2D" w:rsidRPr="006B5861">
        <w:rPr>
          <w:i w:val="0"/>
        </w:rPr>
        <w:t>(</w:t>
      </w:r>
      <w:r w:rsidRPr="006B5861">
        <w:rPr>
          <w:i w:val="0"/>
        </w:rPr>
        <w:t>Agilent 1260 Infinity</w:t>
      </w:r>
      <w:r w:rsidR="003A6C2D" w:rsidRPr="006B5861">
        <w:rPr>
          <w:i w:val="0"/>
        </w:rPr>
        <w:t>)</w:t>
      </w:r>
      <w:r w:rsidRPr="006B5861">
        <w:rPr>
          <w:i w:val="0"/>
        </w:rPr>
        <w:t>. Separation was performed on a Bio-Rad Aminex® HPX-87H column maintained at 30 °C, with 3 m</w:t>
      </w:r>
      <w:r w:rsidR="00BD6299" w:rsidRPr="006B5861">
        <w:rPr>
          <w:i w:val="0"/>
        </w:rPr>
        <w:t>mol/L</w:t>
      </w:r>
      <w:r w:rsidRPr="006B5861">
        <w:rPr>
          <w:i w:val="0"/>
        </w:rPr>
        <w:t xml:space="preserve"> H</w:t>
      </w:r>
      <w:r w:rsidRPr="006B5861">
        <w:rPr>
          <w:i w:val="0"/>
          <w:vertAlign w:val="subscript"/>
        </w:rPr>
        <w:t>2</w:t>
      </w:r>
      <w:r w:rsidRPr="006B5861">
        <w:rPr>
          <w:i w:val="0"/>
        </w:rPr>
        <w:t>SO</w:t>
      </w:r>
      <w:r w:rsidRPr="006B5861">
        <w:rPr>
          <w:i w:val="0"/>
          <w:vertAlign w:val="subscript"/>
        </w:rPr>
        <w:t>4</w:t>
      </w:r>
      <w:r w:rsidRPr="006B5861">
        <w:rPr>
          <w:i w:val="0"/>
        </w:rPr>
        <w:t xml:space="preserve"> as the mobile</w:t>
      </w:r>
      <w:r w:rsidRPr="001147EE">
        <w:rPr>
          <w:i w:val="0"/>
        </w:rPr>
        <w:t xml:space="preserve"> phase at a flow rate of 0.5 mL/min. Detection was carried out using a refractive index detector (RID). </w:t>
      </w:r>
      <w:r w:rsidR="005D3862" w:rsidRPr="004A365A">
        <w:rPr>
          <w:i w:val="0"/>
        </w:rPr>
        <w:t>Extraction rates</w:t>
      </w:r>
      <w:r w:rsidR="005D3862">
        <w:rPr>
          <w:i w:val="0"/>
        </w:rPr>
        <w:t xml:space="preserve"> (%Ext)</w:t>
      </w:r>
      <w:r w:rsidR="005D3862" w:rsidRPr="004A365A">
        <w:rPr>
          <w:i w:val="0"/>
        </w:rPr>
        <w:t xml:space="preserve"> were determined based on the concentration of acids remaining in the aqueous phase, and the extraction percentage was calculated using Eq(1)</w:t>
      </w:r>
      <w:r w:rsidR="00BD6299">
        <w:rPr>
          <w:i w:val="0"/>
        </w:rPr>
        <w:t>.</w:t>
      </w:r>
    </w:p>
    <w:p w14:paraId="7C532FD7" w14:textId="77777777" w:rsidR="005D3862" w:rsidRDefault="005D3862" w:rsidP="005D3862">
      <w:pPr>
        <w:pStyle w:val="CETBodytext"/>
      </w:pPr>
    </w:p>
    <w:p w14:paraId="294F2444" w14:textId="2A6B13BB" w:rsidR="005D3862" w:rsidRPr="005D3862" w:rsidRDefault="005D3862" w:rsidP="005D3862">
      <w:pPr>
        <w:pStyle w:val="CETBodytext"/>
      </w:pPr>
      <m:oMath>
        <m:r>
          <m:rPr>
            <m:sty m:val="p"/>
          </m:rPr>
          <w:rPr>
            <w:rFonts w:ascii="Cambria Math" w:hAnsi="Cambria Math"/>
            <w:sz w:val="22"/>
            <w:szCs w:val="22"/>
          </w:rPr>
          <m:t xml:space="preserve">% </m:t>
        </m:r>
        <m:r>
          <w:rPr>
            <w:rFonts w:ascii="Cambria Math" w:hAnsi="Cambria Math"/>
            <w:sz w:val="22"/>
            <w:szCs w:val="22"/>
          </w:rPr>
          <m:t>Ext</m:t>
        </m:r>
        <m:r>
          <m:rPr>
            <m:sty m:val="p"/>
          </m:rPr>
          <w:rPr>
            <w:rFonts w:ascii="Cambria Math" w:hAnsi="Cambria Math"/>
            <w:sz w:val="22"/>
            <w:szCs w:val="22"/>
          </w:rPr>
          <m:t xml:space="preserve">= </m:t>
        </m:r>
        <m:f>
          <m:fPr>
            <m:ctrlPr>
              <w:rPr>
                <w:rFonts w:ascii="Cambria Math" w:hAnsi="Cambria Math"/>
                <w:i/>
                <w:sz w:val="22"/>
                <w:szCs w:val="22"/>
                <w:lang w:val="en-GB"/>
              </w:rPr>
            </m:ctrlPr>
          </m:fPr>
          <m:num>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initial</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aqueous</m:t>
                </m:r>
              </m:sub>
            </m:sSub>
          </m:num>
          <m:den>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initial</m:t>
                </m:r>
              </m:sub>
            </m:sSub>
          </m:den>
        </m:f>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solvent</m:t>
                </m:r>
              </m:sub>
            </m:sSub>
          </m:num>
          <m:den>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initial</m:t>
                </m:r>
              </m:sub>
            </m:sSub>
          </m:den>
        </m:f>
      </m:oMath>
      <w:r>
        <w:t xml:space="preserve">                                                                                                    </w:t>
      </w:r>
      <w:r w:rsidR="00002392">
        <w:t xml:space="preserve">         </w:t>
      </w:r>
      <w:r>
        <w:t xml:space="preserve">(1)                                      </w:t>
      </w:r>
    </w:p>
    <w:p w14:paraId="3866AFF6" w14:textId="77777777" w:rsidR="005D3862" w:rsidRDefault="005D3862" w:rsidP="005D3862">
      <w:pPr>
        <w:pStyle w:val="CETBodytext"/>
      </w:pPr>
    </w:p>
    <w:p w14:paraId="07315CA2" w14:textId="2CF95232" w:rsidR="005D3862" w:rsidRDefault="00AF6D5E" w:rsidP="00C21389">
      <w:pPr>
        <w:pStyle w:val="CETBodytext"/>
        <w:rPr>
          <w:lang w:val="en-GB"/>
        </w:rPr>
      </w:pPr>
      <w:r w:rsidRPr="00AF6D5E">
        <w:rPr>
          <w:lang w:val="en-GB"/>
        </w:rPr>
        <w:t>where</w:t>
      </w:r>
      <w:r>
        <w:rPr>
          <w:lang w:val="en-GB"/>
        </w:rPr>
        <w:t xml:space="preserve"> C</w:t>
      </w:r>
      <w:r w:rsidRPr="001E4651">
        <w:rPr>
          <w:i/>
          <w:iCs/>
          <w:szCs w:val="18"/>
          <w:vertAlign w:val="subscript"/>
          <w:lang w:val="en-GB"/>
        </w:rPr>
        <w:t>initial</w:t>
      </w:r>
      <w:r>
        <w:rPr>
          <w:lang w:val="en-GB"/>
        </w:rPr>
        <w:t xml:space="preserve"> </w:t>
      </w:r>
      <w:r w:rsidR="00BD6299">
        <w:rPr>
          <w:lang w:val="en-GB"/>
        </w:rPr>
        <w:t>is the</w:t>
      </w:r>
      <w:r>
        <w:rPr>
          <w:lang w:val="en-GB"/>
        </w:rPr>
        <w:t xml:space="preserve"> </w:t>
      </w:r>
      <w:r w:rsidR="00BD6299">
        <w:rPr>
          <w:lang w:val="en-GB"/>
        </w:rPr>
        <w:t>i</w:t>
      </w:r>
      <w:r w:rsidRPr="00AF6D5E">
        <w:rPr>
          <w:lang w:val="en-GB"/>
        </w:rPr>
        <w:t xml:space="preserve">nitial concentration of the </w:t>
      </w:r>
      <w:r w:rsidR="00BD6299">
        <w:rPr>
          <w:lang w:val="en-GB"/>
        </w:rPr>
        <w:t>analyte</w:t>
      </w:r>
      <w:r w:rsidR="00BD6299" w:rsidRPr="00AF6D5E">
        <w:rPr>
          <w:lang w:val="en-GB"/>
        </w:rPr>
        <w:t xml:space="preserve"> </w:t>
      </w:r>
      <w:r w:rsidRPr="00AF6D5E">
        <w:rPr>
          <w:lang w:val="en-GB"/>
        </w:rPr>
        <w:t>in the solution before extraction</w:t>
      </w:r>
      <w:r>
        <w:rPr>
          <w:lang w:val="en-GB"/>
        </w:rPr>
        <w:t xml:space="preserve"> (g/L)</w:t>
      </w:r>
      <w:r w:rsidR="00BD6299">
        <w:rPr>
          <w:lang w:val="en-GB"/>
        </w:rPr>
        <w:t>,</w:t>
      </w:r>
      <w:r>
        <w:rPr>
          <w:lang w:val="en-GB"/>
        </w:rPr>
        <w:t xml:space="preserve"> C</w:t>
      </w:r>
      <w:r w:rsidRPr="001E4651">
        <w:rPr>
          <w:i/>
          <w:iCs/>
          <w:szCs w:val="18"/>
          <w:vertAlign w:val="subscript"/>
          <w:lang w:val="en-GB"/>
        </w:rPr>
        <w:t>aqueous</w:t>
      </w:r>
      <w:r w:rsidRPr="001E4651">
        <w:rPr>
          <w:iCs/>
          <w:lang w:val="en-GB"/>
        </w:rPr>
        <w:t xml:space="preserve"> </w:t>
      </w:r>
      <w:r w:rsidR="00BD6299" w:rsidRPr="001E4651">
        <w:rPr>
          <w:iCs/>
          <w:lang w:val="en-GB"/>
        </w:rPr>
        <w:t>is</w:t>
      </w:r>
      <w:r w:rsidR="00BD6299">
        <w:rPr>
          <w:i/>
          <w:iCs/>
          <w:lang w:val="en-GB"/>
        </w:rPr>
        <w:t xml:space="preserve"> the </w:t>
      </w:r>
      <w:r w:rsidR="00BD6299">
        <w:rPr>
          <w:lang w:val="en-GB"/>
        </w:rPr>
        <w:t>c</w:t>
      </w:r>
      <w:r w:rsidR="00BD6299" w:rsidRPr="00AF6D5E">
        <w:rPr>
          <w:lang w:val="en-GB"/>
        </w:rPr>
        <w:t xml:space="preserve">oncentration </w:t>
      </w:r>
      <w:r w:rsidRPr="00AF6D5E">
        <w:rPr>
          <w:lang w:val="en-GB"/>
        </w:rPr>
        <w:t xml:space="preserve">of the </w:t>
      </w:r>
      <w:r w:rsidR="00BD6299">
        <w:rPr>
          <w:lang w:val="en-GB"/>
        </w:rPr>
        <w:t>analyte</w:t>
      </w:r>
      <w:r w:rsidR="00BD6299" w:rsidRPr="00AF6D5E">
        <w:rPr>
          <w:lang w:val="en-GB"/>
        </w:rPr>
        <w:t xml:space="preserve"> </w:t>
      </w:r>
      <w:r w:rsidRPr="00AF6D5E">
        <w:rPr>
          <w:lang w:val="en-GB"/>
        </w:rPr>
        <w:t>remaining in the aqueous phase after extraction</w:t>
      </w:r>
      <w:r w:rsidR="00BD6299">
        <w:rPr>
          <w:lang w:val="en-GB"/>
        </w:rPr>
        <w:t>, and</w:t>
      </w:r>
      <w:r>
        <w:rPr>
          <w:lang w:val="en-GB"/>
        </w:rPr>
        <w:t xml:space="preserve"> C</w:t>
      </w:r>
      <w:r w:rsidRPr="001E4651">
        <w:rPr>
          <w:i/>
          <w:iCs/>
          <w:szCs w:val="18"/>
          <w:vertAlign w:val="subscript"/>
          <w:lang w:val="en-GB"/>
        </w:rPr>
        <w:t>solvent</w:t>
      </w:r>
      <w:r>
        <w:rPr>
          <w:i/>
          <w:iCs/>
          <w:sz w:val="16"/>
          <w:szCs w:val="16"/>
          <w:lang w:val="en-GB"/>
        </w:rPr>
        <w:t xml:space="preserve"> </w:t>
      </w:r>
      <w:r w:rsidR="00BD6299">
        <w:rPr>
          <w:szCs w:val="18"/>
          <w:lang w:val="en-GB"/>
        </w:rPr>
        <w:t>is the</w:t>
      </w:r>
      <w:r>
        <w:rPr>
          <w:i/>
          <w:iCs/>
          <w:sz w:val="16"/>
          <w:szCs w:val="16"/>
          <w:lang w:val="en-GB"/>
        </w:rPr>
        <w:t xml:space="preserve"> </w:t>
      </w:r>
      <w:r w:rsidR="00BD6299">
        <w:rPr>
          <w:lang w:val="en-GB"/>
        </w:rPr>
        <w:t>c</w:t>
      </w:r>
      <w:r w:rsidRPr="00AF6D5E">
        <w:rPr>
          <w:lang w:val="en-GB"/>
        </w:rPr>
        <w:t xml:space="preserve">oncentration of the </w:t>
      </w:r>
      <w:r w:rsidR="00BD6299">
        <w:rPr>
          <w:lang w:val="en-GB"/>
        </w:rPr>
        <w:t>analyte</w:t>
      </w:r>
      <w:r w:rsidR="00BD6299" w:rsidRPr="00AF6D5E">
        <w:rPr>
          <w:lang w:val="en-GB"/>
        </w:rPr>
        <w:t xml:space="preserve"> </w:t>
      </w:r>
      <w:r w:rsidRPr="00AF6D5E">
        <w:rPr>
          <w:lang w:val="en-GB"/>
        </w:rPr>
        <w:t>extracted into the organic (</w:t>
      </w:r>
      <w:r>
        <w:rPr>
          <w:lang w:val="en-GB"/>
        </w:rPr>
        <w:t>hexadecane)</w:t>
      </w:r>
      <w:r w:rsidRPr="00AF6D5E">
        <w:rPr>
          <w:lang w:val="en-GB"/>
        </w:rPr>
        <w:t xml:space="preserve"> phase.</w:t>
      </w:r>
    </w:p>
    <w:p w14:paraId="4FBB1326" w14:textId="77777777" w:rsidR="00AD7675" w:rsidRPr="00345AFC" w:rsidRDefault="00AD7675" w:rsidP="00C21389">
      <w:pPr>
        <w:pStyle w:val="CETBodytext"/>
        <w:rPr>
          <w:lang w:val="en-GB"/>
        </w:rPr>
      </w:pPr>
    </w:p>
    <w:p w14:paraId="18277631" w14:textId="0D74DE85" w:rsidR="00AD7675" w:rsidRPr="00345AFC" w:rsidRDefault="00AD7675" w:rsidP="00DE0E4E">
      <w:pPr>
        <w:pStyle w:val="CETBodytext"/>
        <w:spacing w:line="240" w:lineRule="auto"/>
        <w:rPr>
          <w:b/>
          <w:bCs/>
        </w:rPr>
      </w:pPr>
      <w:r w:rsidRPr="00345AFC">
        <w:rPr>
          <w:b/>
          <w:bCs/>
          <w:lang w:val="en-GB"/>
        </w:rPr>
        <w:t>2.4 Statistical Analysis</w:t>
      </w:r>
    </w:p>
    <w:p w14:paraId="46F61B0A" w14:textId="275DDB3B" w:rsidR="00AD7675" w:rsidRDefault="00AD7675" w:rsidP="00DE0E4E">
      <w:pPr>
        <w:pStyle w:val="CETBodytext"/>
        <w:spacing w:line="240" w:lineRule="auto"/>
        <w:rPr>
          <w:lang w:val="en-GB"/>
        </w:rPr>
      </w:pPr>
      <w:r w:rsidRPr="00AD7675">
        <w:t>Experimental data from the</w:t>
      </w:r>
      <w:r w:rsidR="00BC67D9">
        <w:t xml:space="preserve"> </w:t>
      </w:r>
      <w:r w:rsidR="00BC67D9" w:rsidRPr="00A45768">
        <w:t>3</w:t>
      </w:r>
      <w:r w:rsidR="00BC67D9" w:rsidRPr="00A45768">
        <w:rPr>
          <w:vertAlign w:val="superscript"/>
        </w:rPr>
        <w:t>2</w:t>
      </w:r>
      <w:r w:rsidR="00BC67D9" w:rsidRPr="00A45768">
        <w:t xml:space="preserve"> factorial design</w:t>
      </w:r>
      <w:r w:rsidR="00BC67D9">
        <w:t xml:space="preserve"> </w:t>
      </w:r>
      <w:r w:rsidR="00BC67D9" w:rsidRPr="00BC67D9">
        <w:rPr>
          <w:lang w:val="en-GB"/>
        </w:rPr>
        <w:t>were analyzed using Statistica software. Analysis of variance (ANOVA) was performed with a 95% confidence level to evaluate the significance of main effects and interactions. The adjusted statistical model described the relationship between extraction efficiency and the independent variables.</w:t>
      </w:r>
      <w:r w:rsidR="00BC67D9">
        <w:rPr>
          <w:lang w:val="en-GB"/>
        </w:rPr>
        <w:t xml:space="preserve"> </w:t>
      </w:r>
    </w:p>
    <w:p w14:paraId="587B479F" w14:textId="77777777" w:rsidR="00743F38" w:rsidRDefault="00743F38" w:rsidP="005D3862">
      <w:pPr>
        <w:pStyle w:val="CETBodytext"/>
        <w:rPr>
          <w:lang w:val="en-GB"/>
        </w:rPr>
      </w:pPr>
    </w:p>
    <w:p w14:paraId="602668EC" w14:textId="7FED30AB" w:rsidR="00743F38" w:rsidRPr="00345AFC" w:rsidRDefault="00743F38" w:rsidP="00DE0E4E">
      <w:pPr>
        <w:pStyle w:val="CETBodytext"/>
        <w:spacing w:line="240" w:lineRule="auto"/>
        <w:rPr>
          <w:b/>
          <w:bCs/>
          <w:lang w:val="en-GB"/>
        </w:rPr>
      </w:pPr>
      <w:r w:rsidRPr="001E4651">
        <w:rPr>
          <w:b/>
          <w:bCs/>
          <w:lang w:val="en-GB"/>
        </w:rPr>
        <w:t xml:space="preserve">2.5 </w:t>
      </w:r>
      <w:r w:rsidRPr="00345AFC">
        <w:rPr>
          <w:b/>
          <w:bCs/>
          <w:lang w:val="en-GB"/>
        </w:rPr>
        <w:t>Process simulation</w:t>
      </w:r>
    </w:p>
    <w:p w14:paraId="78580D67" w14:textId="5E870335" w:rsidR="00866908" w:rsidRDefault="00866908" w:rsidP="00DE0E4E">
      <w:pPr>
        <w:pStyle w:val="CETBodytext"/>
        <w:spacing w:after="240" w:line="240" w:lineRule="auto"/>
        <w:rPr>
          <w:lang w:val="en-GB"/>
        </w:rPr>
      </w:pPr>
      <w:r w:rsidRPr="00866908">
        <w:rPr>
          <w:lang w:val="en-GB"/>
        </w:rPr>
        <w:t xml:space="preserve">Mass balances were obtained using Aspen Plus® v 14.0 (Aspen Technology </w:t>
      </w:r>
      <w:r w:rsidR="007B72FE">
        <w:rPr>
          <w:lang w:val="en-GB"/>
        </w:rPr>
        <w:t>Inc.</w:t>
      </w:r>
      <w:r w:rsidRPr="00866908">
        <w:rPr>
          <w:lang w:val="en-GB"/>
        </w:rPr>
        <w:t>, Bedford, MA, USA). The UNIFAC-Dortmund model was used to estimate activity coefficients in the liquid phase, offering improved accuracy for non-ideal mixtures of organic acids and hydrophobic solvents. The VFA extraction process was simulated based on the experimental parameters (Table 1), and the final flowsheet is shown in Fig</w:t>
      </w:r>
      <w:r w:rsidR="007B72FE">
        <w:rPr>
          <w:lang w:val="en-GB"/>
        </w:rPr>
        <w:t>ure 1</w:t>
      </w:r>
      <w:r w:rsidRPr="00866908">
        <w:rPr>
          <w:lang w:val="en-GB"/>
        </w:rPr>
        <w:t>.</w:t>
      </w:r>
    </w:p>
    <w:p w14:paraId="7C46BEAF" w14:textId="5DD3D3B1" w:rsidR="00866908" w:rsidRPr="002A121A" w:rsidRDefault="00DE4563" w:rsidP="005D3862">
      <w:pPr>
        <w:pStyle w:val="CETBodytext"/>
        <w:rPr>
          <w:i/>
          <w:iCs/>
          <w:lang w:val="en-GB"/>
        </w:rPr>
      </w:pPr>
      <w:r w:rsidRPr="002A121A">
        <w:rPr>
          <w:i/>
          <w:iCs/>
          <w:lang w:val="en-GB"/>
        </w:rPr>
        <w:t>Table 1 – Input parameters of the streams</w:t>
      </w:r>
    </w:p>
    <w:tbl>
      <w:tblPr>
        <w:tblW w:w="0" w:type="auto"/>
        <w:shd w:val="clear" w:color="auto" w:fill="FFFFFF"/>
        <w:tblCellMar>
          <w:left w:w="0" w:type="dxa"/>
          <w:right w:w="0" w:type="dxa"/>
        </w:tblCellMar>
        <w:tblLook w:val="00A0" w:firstRow="1" w:lastRow="0" w:firstColumn="1" w:lastColumn="0" w:noHBand="0" w:noVBand="0"/>
      </w:tblPr>
      <w:tblGrid>
        <w:gridCol w:w="1134"/>
        <w:gridCol w:w="993"/>
        <w:gridCol w:w="1134"/>
        <w:gridCol w:w="1559"/>
        <w:gridCol w:w="663"/>
        <w:gridCol w:w="1228"/>
        <w:gridCol w:w="1018"/>
        <w:gridCol w:w="1058"/>
      </w:tblGrid>
      <w:tr w:rsidR="00281661" w:rsidRPr="00B57B36" w14:paraId="3C755D1A" w14:textId="43C070CC" w:rsidTr="00535B42">
        <w:trPr>
          <w:trHeight w:val="319"/>
        </w:trPr>
        <w:tc>
          <w:tcPr>
            <w:tcW w:w="1134" w:type="dxa"/>
            <w:tcBorders>
              <w:top w:val="single" w:sz="12" w:space="0" w:color="00863D"/>
              <w:bottom w:val="single" w:sz="8" w:space="0" w:color="00863D"/>
            </w:tcBorders>
            <w:shd w:val="clear" w:color="auto" w:fill="FFFFFF"/>
          </w:tcPr>
          <w:p w14:paraId="3C6B7148" w14:textId="7F9D9221" w:rsidR="00DE4563" w:rsidRPr="00B57B36" w:rsidRDefault="00DE4563" w:rsidP="00393C92">
            <w:pPr>
              <w:pStyle w:val="CETBodytext"/>
              <w:rPr>
                <w:lang w:val="en-GB"/>
              </w:rPr>
            </w:pPr>
          </w:p>
        </w:tc>
        <w:tc>
          <w:tcPr>
            <w:tcW w:w="993" w:type="dxa"/>
            <w:tcBorders>
              <w:top w:val="single" w:sz="12" w:space="0" w:color="00863D"/>
              <w:bottom w:val="single" w:sz="8" w:space="0" w:color="00863D"/>
            </w:tcBorders>
            <w:shd w:val="clear" w:color="auto" w:fill="FFFFFF"/>
          </w:tcPr>
          <w:p w14:paraId="3C0AFD18" w14:textId="7EEFF431" w:rsidR="00DE4563" w:rsidRPr="006B5861" w:rsidRDefault="00DE4563" w:rsidP="009B6736">
            <w:pPr>
              <w:pStyle w:val="CETBodytext"/>
              <w:jc w:val="left"/>
              <w:rPr>
                <w:b/>
                <w:bCs/>
                <w:lang w:val="en-GB"/>
              </w:rPr>
            </w:pPr>
            <w:r w:rsidRPr="006B5861">
              <w:rPr>
                <w:b/>
                <w:bCs/>
                <w:lang w:val="en-GB"/>
              </w:rPr>
              <w:t xml:space="preserve">T </w:t>
            </w:r>
          </w:p>
          <w:p w14:paraId="00E5A6A9" w14:textId="2189BC56" w:rsidR="00DE4563" w:rsidRPr="006B5861" w:rsidRDefault="00DE4563" w:rsidP="009B6736">
            <w:pPr>
              <w:pStyle w:val="CETBodytext"/>
              <w:jc w:val="left"/>
              <w:rPr>
                <w:b/>
                <w:bCs/>
                <w:lang w:val="en-GB"/>
              </w:rPr>
            </w:pPr>
            <w:r w:rsidRPr="006B5861">
              <w:rPr>
                <w:b/>
                <w:bCs/>
                <w:lang w:val="en-GB"/>
              </w:rPr>
              <w:t>(ºC)</w:t>
            </w:r>
          </w:p>
        </w:tc>
        <w:tc>
          <w:tcPr>
            <w:tcW w:w="1134" w:type="dxa"/>
            <w:tcBorders>
              <w:top w:val="single" w:sz="12" w:space="0" w:color="00863D"/>
              <w:bottom w:val="single" w:sz="8" w:space="0" w:color="00863D"/>
            </w:tcBorders>
            <w:shd w:val="clear" w:color="auto" w:fill="FFFFFF"/>
          </w:tcPr>
          <w:p w14:paraId="7189EFDB" w14:textId="53C3A76B" w:rsidR="00A72569" w:rsidRPr="006B5861" w:rsidRDefault="00F56678" w:rsidP="009B6736">
            <w:pPr>
              <w:pStyle w:val="CETBodytext"/>
              <w:jc w:val="left"/>
              <w:rPr>
                <w:b/>
                <w:bCs/>
                <w:lang w:val="en-GB"/>
              </w:rPr>
            </w:pPr>
            <w:r w:rsidRPr="006B5861">
              <w:rPr>
                <w:b/>
                <w:bCs/>
                <w:lang w:val="en-GB"/>
              </w:rPr>
              <w:t>P</w:t>
            </w:r>
          </w:p>
          <w:p w14:paraId="05374A29" w14:textId="0C8F53AE" w:rsidR="00DE4563" w:rsidRPr="006B5861" w:rsidRDefault="00DE4563" w:rsidP="009B6736">
            <w:pPr>
              <w:pStyle w:val="CETBodytext"/>
              <w:jc w:val="left"/>
              <w:rPr>
                <w:b/>
                <w:bCs/>
                <w:lang w:val="en-GB"/>
              </w:rPr>
            </w:pPr>
            <w:r w:rsidRPr="006B5861">
              <w:rPr>
                <w:b/>
                <w:bCs/>
                <w:lang w:val="en-GB"/>
              </w:rPr>
              <w:t>(bar)</w:t>
            </w:r>
          </w:p>
        </w:tc>
        <w:tc>
          <w:tcPr>
            <w:tcW w:w="1559" w:type="dxa"/>
            <w:tcBorders>
              <w:top w:val="single" w:sz="12" w:space="0" w:color="00863D"/>
              <w:bottom w:val="single" w:sz="8" w:space="0" w:color="00863D"/>
            </w:tcBorders>
            <w:shd w:val="clear" w:color="auto" w:fill="FFFFFF"/>
          </w:tcPr>
          <w:p w14:paraId="1DB08A0C" w14:textId="77777777" w:rsidR="00DE4563" w:rsidRPr="00DE4563" w:rsidRDefault="00DE4563" w:rsidP="009B6736">
            <w:pPr>
              <w:pStyle w:val="CETBodytext"/>
              <w:ind w:right="-1"/>
              <w:jc w:val="left"/>
              <w:rPr>
                <w:rFonts w:cs="Arial"/>
                <w:b/>
                <w:bCs/>
                <w:szCs w:val="18"/>
                <w:lang w:val="en-GB"/>
              </w:rPr>
            </w:pPr>
            <w:r w:rsidRPr="00DE4563">
              <w:rPr>
                <w:rFonts w:cs="Arial"/>
                <w:b/>
                <w:bCs/>
                <w:szCs w:val="18"/>
                <w:lang w:val="en-GB"/>
              </w:rPr>
              <w:t>Total flow rate</w:t>
            </w:r>
          </w:p>
          <w:p w14:paraId="3524B32E" w14:textId="1308E444" w:rsidR="00DE4563" w:rsidRPr="00DE4563" w:rsidRDefault="00DE4563" w:rsidP="009B6736">
            <w:pPr>
              <w:pStyle w:val="CETBodytext"/>
              <w:ind w:right="-1"/>
              <w:jc w:val="left"/>
              <w:rPr>
                <w:rFonts w:cs="Arial"/>
                <w:b/>
                <w:bCs/>
                <w:szCs w:val="18"/>
                <w:lang w:val="en-GB"/>
              </w:rPr>
            </w:pPr>
            <w:r w:rsidRPr="00DE4563">
              <w:rPr>
                <w:rFonts w:cs="Arial"/>
                <w:b/>
                <w:bCs/>
                <w:szCs w:val="18"/>
                <w:lang w:val="en-GB"/>
              </w:rPr>
              <w:t>(kg/h)</w:t>
            </w:r>
          </w:p>
        </w:tc>
        <w:tc>
          <w:tcPr>
            <w:tcW w:w="663" w:type="dxa"/>
            <w:tcBorders>
              <w:top w:val="single" w:sz="12" w:space="0" w:color="00863D"/>
              <w:bottom w:val="single" w:sz="8" w:space="0" w:color="00863D"/>
            </w:tcBorders>
            <w:shd w:val="clear" w:color="auto" w:fill="FFFFFF"/>
          </w:tcPr>
          <w:p w14:paraId="5EF7FB09" w14:textId="77777777" w:rsidR="00DE4563" w:rsidRPr="00DE4563" w:rsidRDefault="00DE4563" w:rsidP="009B6736">
            <w:pPr>
              <w:pStyle w:val="CETBodytext"/>
              <w:ind w:right="-1"/>
              <w:jc w:val="left"/>
              <w:rPr>
                <w:rFonts w:cs="Arial"/>
                <w:b/>
                <w:bCs/>
                <w:szCs w:val="18"/>
                <w:lang w:val="en-GB"/>
              </w:rPr>
            </w:pPr>
            <w:r w:rsidRPr="00DE4563">
              <w:rPr>
                <w:rFonts w:cs="Arial"/>
                <w:b/>
                <w:bCs/>
                <w:szCs w:val="18"/>
                <w:lang w:val="en-GB"/>
              </w:rPr>
              <w:t>Water</w:t>
            </w:r>
          </w:p>
          <w:p w14:paraId="21990B3C" w14:textId="425066EF" w:rsidR="00DE4563" w:rsidRPr="00DE4563" w:rsidRDefault="00DE4563" w:rsidP="009B6736">
            <w:pPr>
              <w:pStyle w:val="CETBodytext"/>
              <w:ind w:right="-1"/>
              <w:jc w:val="left"/>
              <w:rPr>
                <w:rFonts w:cs="Arial"/>
                <w:b/>
                <w:bCs/>
                <w:szCs w:val="18"/>
                <w:lang w:val="en-GB"/>
              </w:rPr>
            </w:pPr>
            <w:r w:rsidRPr="00DE4563">
              <w:rPr>
                <w:rFonts w:cs="Arial"/>
                <w:b/>
                <w:bCs/>
                <w:szCs w:val="18"/>
                <w:lang w:val="en-GB"/>
              </w:rPr>
              <w:t>(kg/h)</w:t>
            </w:r>
          </w:p>
        </w:tc>
        <w:tc>
          <w:tcPr>
            <w:tcW w:w="1228" w:type="dxa"/>
            <w:tcBorders>
              <w:top w:val="single" w:sz="12" w:space="0" w:color="00863D"/>
              <w:bottom w:val="single" w:sz="8" w:space="0" w:color="00863D"/>
            </w:tcBorders>
            <w:shd w:val="clear" w:color="auto" w:fill="FFFFFF"/>
          </w:tcPr>
          <w:p w14:paraId="5BFAB818" w14:textId="1989B9D6" w:rsidR="00DE4563" w:rsidRPr="00DE4563" w:rsidRDefault="00DE4563" w:rsidP="009B6736">
            <w:pPr>
              <w:pStyle w:val="CETBodytext"/>
              <w:ind w:right="-1"/>
              <w:jc w:val="left"/>
              <w:rPr>
                <w:rFonts w:cs="Arial"/>
                <w:b/>
                <w:bCs/>
                <w:szCs w:val="18"/>
                <w:lang w:val="en-GB"/>
              </w:rPr>
            </w:pPr>
            <w:r w:rsidRPr="00DE4563">
              <w:rPr>
                <w:rFonts w:cs="Arial"/>
                <w:b/>
                <w:bCs/>
                <w:szCs w:val="18"/>
                <w:lang w:val="en-GB"/>
              </w:rPr>
              <w:t>Butyric</w:t>
            </w:r>
            <w:r w:rsidR="009B6736">
              <w:rPr>
                <w:rFonts w:cs="Arial"/>
                <w:b/>
                <w:bCs/>
                <w:szCs w:val="18"/>
                <w:lang w:val="en-GB"/>
              </w:rPr>
              <w:t xml:space="preserve"> </w:t>
            </w:r>
            <w:r w:rsidRPr="00DE4563">
              <w:rPr>
                <w:rFonts w:cs="Arial"/>
                <w:b/>
                <w:bCs/>
                <w:szCs w:val="18"/>
                <w:lang w:val="en-GB"/>
              </w:rPr>
              <w:t>acid</w:t>
            </w:r>
            <w:r w:rsidR="009B6736">
              <w:rPr>
                <w:rFonts w:cs="Arial"/>
                <w:b/>
                <w:bCs/>
                <w:szCs w:val="18"/>
                <w:lang w:val="en-GB"/>
              </w:rPr>
              <w:t xml:space="preserve">       </w:t>
            </w:r>
            <w:r w:rsidRPr="00DE4563">
              <w:rPr>
                <w:rFonts w:cs="Arial"/>
                <w:b/>
                <w:bCs/>
                <w:szCs w:val="18"/>
                <w:lang w:val="en-GB"/>
              </w:rPr>
              <w:t xml:space="preserve"> (kg/h)</w:t>
            </w:r>
          </w:p>
        </w:tc>
        <w:tc>
          <w:tcPr>
            <w:tcW w:w="1018" w:type="dxa"/>
            <w:tcBorders>
              <w:top w:val="single" w:sz="12" w:space="0" w:color="00863D"/>
              <w:bottom w:val="single" w:sz="8" w:space="0" w:color="00863D"/>
            </w:tcBorders>
            <w:shd w:val="clear" w:color="auto" w:fill="FFFFFF"/>
          </w:tcPr>
          <w:p w14:paraId="2B6BC5F3" w14:textId="4F328588" w:rsidR="00DE4563" w:rsidRPr="00DE4563" w:rsidRDefault="00DE4563" w:rsidP="009B6736">
            <w:pPr>
              <w:pStyle w:val="CETBodytext"/>
              <w:ind w:right="-1"/>
              <w:jc w:val="left"/>
              <w:rPr>
                <w:rFonts w:cs="Arial"/>
                <w:b/>
                <w:bCs/>
                <w:szCs w:val="18"/>
                <w:lang w:val="en-GB"/>
              </w:rPr>
            </w:pPr>
            <w:r w:rsidRPr="00DE4563">
              <w:rPr>
                <w:rFonts w:cs="Arial"/>
                <w:b/>
                <w:bCs/>
                <w:szCs w:val="18"/>
                <w:lang w:val="en-GB"/>
              </w:rPr>
              <w:t>Propionic acid (kg/h)</w:t>
            </w:r>
          </w:p>
        </w:tc>
        <w:tc>
          <w:tcPr>
            <w:tcW w:w="1058" w:type="dxa"/>
            <w:tcBorders>
              <w:top w:val="single" w:sz="12" w:space="0" w:color="00863D"/>
              <w:bottom w:val="single" w:sz="8" w:space="0" w:color="00863D"/>
            </w:tcBorders>
            <w:shd w:val="clear" w:color="auto" w:fill="FFFFFF"/>
          </w:tcPr>
          <w:p w14:paraId="2CD30923" w14:textId="77777777" w:rsidR="00DE4563" w:rsidRPr="00DE4563" w:rsidRDefault="00DE4563" w:rsidP="009B6736">
            <w:pPr>
              <w:pStyle w:val="CETBodytext"/>
              <w:ind w:right="-1"/>
              <w:jc w:val="left"/>
              <w:rPr>
                <w:rFonts w:cs="Arial"/>
                <w:b/>
                <w:bCs/>
                <w:szCs w:val="18"/>
                <w:lang w:val="en-GB"/>
              </w:rPr>
            </w:pPr>
            <w:r w:rsidRPr="00DE4563">
              <w:rPr>
                <w:rFonts w:cs="Arial"/>
                <w:b/>
                <w:bCs/>
                <w:szCs w:val="18"/>
                <w:lang w:val="en-GB"/>
              </w:rPr>
              <w:t>Hexadecane</w:t>
            </w:r>
          </w:p>
          <w:p w14:paraId="48B412F5" w14:textId="22921399" w:rsidR="00DE4563" w:rsidRPr="00DE4563" w:rsidRDefault="00DE4563" w:rsidP="009B6736">
            <w:pPr>
              <w:pStyle w:val="CETBodytext"/>
              <w:ind w:right="-1"/>
              <w:jc w:val="left"/>
              <w:rPr>
                <w:rFonts w:cs="Arial"/>
                <w:b/>
                <w:bCs/>
                <w:szCs w:val="18"/>
                <w:lang w:val="en-GB"/>
              </w:rPr>
            </w:pPr>
            <w:r w:rsidRPr="00DE4563">
              <w:rPr>
                <w:rFonts w:cs="Arial"/>
                <w:b/>
                <w:bCs/>
                <w:szCs w:val="18"/>
                <w:lang w:val="en-GB"/>
              </w:rPr>
              <w:t>(kg/h)</w:t>
            </w:r>
          </w:p>
        </w:tc>
      </w:tr>
      <w:tr w:rsidR="007F72E4" w:rsidRPr="00B57B36" w14:paraId="247F01DC" w14:textId="3F481A78" w:rsidTr="00535B42">
        <w:tc>
          <w:tcPr>
            <w:tcW w:w="1134" w:type="dxa"/>
            <w:tcBorders>
              <w:top w:val="single" w:sz="8" w:space="0" w:color="00863D"/>
              <w:bottom w:val="single" w:sz="8" w:space="0" w:color="00863D"/>
            </w:tcBorders>
            <w:shd w:val="clear" w:color="auto" w:fill="FFFFFF"/>
          </w:tcPr>
          <w:p w14:paraId="7D8191A6" w14:textId="69BCADBA" w:rsidR="00DE4563" w:rsidRPr="00DE4563" w:rsidRDefault="00DE4563" w:rsidP="00393C92">
            <w:pPr>
              <w:pStyle w:val="CETBodytext"/>
              <w:rPr>
                <w:b/>
                <w:bCs/>
                <w:lang w:val="en-GB"/>
              </w:rPr>
            </w:pPr>
            <w:r w:rsidRPr="00DE4563">
              <w:rPr>
                <w:b/>
                <w:bCs/>
                <w:lang w:val="en-GB"/>
              </w:rPr>
              <w:t>Feed</w:t>
            </w:r>
          </w:p>
        </w:tc>
        <w:tc>
          <w:tcPr>
            <w:tcW w:w="993" w:type="dxa"/>
            <w:tcBorders>
              <w:top w:val="single" w:sz="8" w:space="0" w:color="00863D"/>
              <w:bottom w:val="single" w:sz="8" w:space="0" w:color="00863D"/>
            </w:tcBorders>
            <w:shd w:val="clear" w:color="auto" w:fill="FFFFFF"/>
          </w:tcPr>
          <w:p w14:paraId="6EBD7A06" w14:textId="0C233D08" w:rsidR="00DE4563" w:rsidRPr="00B57B36" w:rsidRDefault="004579D1" w:rsidP="00281661">
            <w:pPr>
              <w:pStyle w:val="CETBodytext"/>
              <w:jc w:val="left"/>
              <w:rPr>
                <w:lang w:val="en-GB"/>
              </w:rPr>
            </w:pPr>
            <w:r>
              <w:rPr>
                <w:lang w:val="en-GB"/>
              </w:rPr>
              <w:t>35</w:t>
            </w:r>
          </w:p>
        </w:tc>
        <w:tc>
          <w:tcPr>
            <w:tcW w:w="1134" w:type="dxa"/>
            <w:tcBorders>
              <w:top w:val="single" w:sz="8" w:space="0" w:color="00863D"/>
              <w:bottom w:val="single" w:sz="8" w:space="0" w:color="00863D"/>
            </w:tcBorders>
            <w:shd w:val="clear" w:color="auto" w:fill="FFFFFF"/>
          </w:tcPr>
          <w:p w14:paraId="75FF2798" w14:textId="0EC37BE2" w:rsidR="00DE4563" w:rsidRPr="00B57B36" w:rsidRDefault="004579D1" w:rsidP="00281661">
            <w:pPr>
              <w:pStyle w:val="CETBodytext"/>
              <w:jc w:val="left"/>
              <w:rPr>
                <w:lang w:val="en-GB"/>
              </w:rPr>
            </w:pPr>
            <w:r>
              <w:rPr>
                <w:lang w:val="en-GB"/>
              </w:rPr>
              <w:t>1</w:t>
            </w:r>
          </w:p>
        </w:tc>
        <w:tc>
          <w:tcPr>
            <w:tcW w:w="1559" w:type="dxa"/>
            <w:tcBorders>
              <w:top w:val="single" w:sz="8" w:space="0" w:color="00863D"/>
              <w:bottom w:val="single" w:sz="8" w:space="0" w:color="00863D"/>
            </w:tcBorders>
            <w:shd w:val="clear" w:color="auto" w:fill="FFFFFF"/>
          </w:tcPr>
          <w:p w14:paraId="589EF651" w14:textId="6C051D64" w:rsidR="00DE4563" w:rsidRPr="00B57B36" w:rsidRDefault="004579D1" w:rsidP="00281661">
            <w:pPr>
              <w:pStyle w:val="CETBodytext"/>
              <w:ind w:right="-1"/>
              <w:jc w:val="left"/>
              <w:rPr>
                <w:rFonts w:cs="Arial"/>
                <w:szCs w:val="18"/>
                <w:lang w:val="en-GB"/>
              </w:rPr>
            </w:pPr>
            <w:r>
              <w:rPr>
                <w:rFonts w:cs="Arial"/>
                <w:szCs w:val="18"/>
                <w:lang w:val="en-GB"/>
              </w:rPr>
              <w:t>997.1</w:t>
            </w:r>
          </w:p>
        </w:tc>
        <w:tc>
          <w:tcPr>
            <w:tcW w:w="663" w:type="dxa"/>
            <w:tcBorders>
              <w:top w:val="single" w:sz="8" w:space="0" w:color="00863D"/>
              <w:bottom w:val="single" w:sz="8" w:space="0" w:color="00863D"/>
            </w:tcBorders>
            <w:shd w:val="clear" w:color="auto" w:fill="FFFFFF"/>
          </w:tcPr>
          <w:p w14:paraId="40A65B26" w14:textId="5199ECC3" w:rsidR="00DE4563" w:rsidRPr="00B57B36" w:rsidRDefault="004579D1" w:rsidP="00281661">
            <w:pPr>
              <w:pStyle w:val="CETBodytext"/>
              <w:ind w:right="-1"/>
              <w:jc w:val="left"/>
              <w:rPr>
                <w:rFonts w:cs="Arial"/>
                <w:szCs w:val="18"/>
                <w:lang w:val="en-GB"/>
              </w:rPr>
            </w:pPr>
            <w:r>
              <w:rPr>
                <w:rFonts w:cs="Arial"/>
                <w:szCs w:val="18"/>
                <w:lang w:val="en-GB"/>
              </w:rPr>
              <w:t>947.3</w:t>
            </w:r>
          </w:p>
        </w:tc>
        <w:tc>
          <w:tcPr>
            <w:tcW w:w="1228" w:type="dxa"/>
            <w:tcBorders>
              <w:top w:val="single" w:sz="8" w:space="0" w:color="00863D"/>
              <w:bottom w:val="single" w:sz="8" w:space="0" w:color="00863D"/>
            </w:tcBorders>
            <w:shd w:val="clear" w:color="auto" w:fill="FFFFFF"/>
          </w:tcPr>
          <w:p w14:paraId="655C6441" w14:textId="62B6308C" w:rsidR="00DE4563" w:rsidRPr="00B57B36" w:rsidRDefault="004579D1" w:rsidP="00281661">
            <w:pPr>
              <w:pStyle w:val="CETBodytext"/>
              <w:ind w:right="-1"/>
              <w:jc w:val="left"/>
              <w:rPr>
                <w:rFonts w:cs="Arial"/>
                <w:szCs w:val="18"/>
                <w:lang w:val="en-GB"/>
              </w:rPr>
            </w:pPr>
            <w:r>
              <w:rPr>
                <w:rFonts w:cs="Arial"/>
                <w:szCs w:val="18"/>
                <w:lang w:val="en-GB"/>
              </w:rPr>
              <w:t>32.90</w:t>
            </w:r>
          </w:p>
        </w:tc>
        <w:tc>
          <w:tcPr>
            <w:tcW w:w="1018" w:type="dxa"/>
            <w:tcBorders>
              <w:top w:val="single" w:sz="8" w:space="0" w:color="00863D"/>
              <w:bottom w:val="single" w:sz="8" w:space="0" w:color="00863D"/>
            </w:tcBorders>
            <w:shd w:val="clear" w:color="auto" w:fill="FFFFFF"/>
          </w:tcPr>
          <w:p w14:paraId="6EC77573" w14:textId="6273CE2F" w:rsidR="00DE4563" w:rsidRPr="00B57B36" w:rsidRDefault="004579D1" w:rsidP="00281661">
            <w:pPr>
              <w:pStyle w:val="CETBodytext"/>
              <w:ind w:right="-1"/>
              <w:jc w:val="left"/>
              <w:rPr>
                <w:rFonts w:cs="Arial"/>
                <w:szCs w:val="18"/>
                <w:lang w:val="en-GB"/>
              </w:rPr>
            </w:pPr>
            <w:r>
              <w:rPr>
                <w:rFonts w:cs="Arial"/>
                <w:szCs w:val="18"/>
                <w:lang w:val="en-GB"/>
              </w:rPr>
              <w:t>12.96</w:t>
            </w:r>
          </w:p>
        </w:tc>
        <w:tc>
          <w:tcPr>
            <w:tcW w:w="1058" w:type="dxa"/>
            <w:tcBorders>
              <w:top w:val="single" w:sz="8" w:space="0" w:color="00863D"/>
              <w:bottom w:val="single" w:sz="8" w:space="0" w:color="00863D"/>
            </w:tcBorders>
            <w:shd w:val="clear" w:color="auto" w:fill="FFFFFF"/>
          </w:tcPr>
          <w:p w14:paraId="4C2C42C9" w14:textId="0FB9D345" w:rsidR="00DE4563" w:rsidRPr="00B57B36" w:rsidRDefault="004579D1" w:rsidP="00281661">
            <w:pPr>
              <w:pStyle w:val="CETBodytext"/>
              <w:ind w:right="-1"/>
              <w:jc w:val="left"/>
              <w:rPr>
                <w:rFonts w:cs="Arial"/>
                <w:szCs w:val="18"/>
                <w:lang w:val="en-GB"/>
              </w:rPr>
            </w:pPr>
            <w:r>
              <w:rPr>
                <w:rFonts w:cs="Arial"/>
                <w:szCs w:val="18"/>
                <w:lang w:val="en-GB"/>
              </w:rPr>
              <w:t>0</w:t>
            </w:r>
          </w:p>
        </w:tc>
      </w:tr>
      <w:tr w:rsidR="00281661" w:rsidRPr="00B57B36" w14:paraId="4E4D1EA5" w14:textId="590B0703" w:rsidTr="00535B42">
        <w:tc>
          <w:tcPr>
            <w:tcW w:w="1134" w:type="dxa"/>
            <w:tcBorders>
              <w:top w:val="single" w:sz="8" w:space="0" w:color="00863D"/>
              <w:bottom w:val="single" w:sz="12" w:space="0" w:color="00863D"/>
            </w:tcBorders>
            <w:shd w:val="clear" w:color="auto" w:fill="FFFFFF"/>
          </w:tcPr>
          <w:p w14:paraId="37770C25" w14:textId="492B6B97" w:rsidR="00DE4563" w:rsidRPr="00DE4563" w:rsidRDefault="00DE4563" w:rsidP="00393C92">
            <w:pPr>
              <w:pStyle w:val="CETBodytext"/>
              <w:ind w:right="-1"/>
              <w:rPr>
                <w:rFonts w:cs="Arial"/>
                <w:b/>
                <w:bCs/>
                <w:szCs w:val="18"/>
                <w:lang w:val="en-GB"/>
              </w:rPr>
            </w:pPr>
            <w:r w:rsidRPr="00DE4563">
              <w:rPr>
                <w:rFonts w:cs="Arial"/>
                <w:b/>
                <w:bCs/>
                <w:szCs w:val="18"/>
                <w:lang w:val="en-GB"/>
              </w:rPr>
              <w:t>Solvent</w:t>
            </w:r>
          </w:p>
        </w:tc>
        <w:tc>
          <w:tcPr>
            <w:tcW w:w="993" w:type="dxa"/>
            <w:tcBorders>
              <w:top w:val="single" w:sz="8" w:space="0" w:color="00863D"/>
              <w:bottom w:val="single" w:sz="12" w:space="0" w:color="00863D"/>
            </w:tcBorders>
            <w:shd w:val="clear" w:color="auto" w:fill="FFFFFF"/>
          </w:tcPr>
          <w:p w14:paraId="6D19BC42" w14:textId="0EA3CCE8" w:rsidR="00DE4563" w:rsidRPr="00B57B36" w:rsidRDefault="004579D1" w:rsidP="00281661">
            <w:pPr>
              <w:pStyle w:val="CETBodytext"/>
              <w:ind w:right="-1"/>
              <w:jc w:val="left"/>
              <w:rPr>
                <w:rFonts w:cs="Arial"/>
                <w:szCs w:val="18"/>
                <w:lang w:val="en-GB"/>
              </w:rPr>
            </w:pPr>
            <w:r>
              <w:rPr>
                <w:rFonts w:cs="Arial"/>
                <w:szCs w:val="18"/>
                <w:lang w:val="en-GB"/>
              </w:rPr>
              <w:t>35</w:t>
            </w:r>
          </w:p>
        </w:tc>
        <w:tc>
          <w:tcPr>
            <w:tcW w:w="1134" w:type="dxa"/>
            <w:tcBorders>
              <w:top w:val="single" w:sz="8" w:space="0" w:color="00863D"/>
              <w:bottom w:val="single" w:sz="12" w:space="0" w:color="00863D"/>
            </w:tcBorders>
            <w:shd w:val="clear" w:color="auto" w:fill="FFFFFF"/>
          </w:tcPr>
          <w:p w14:paraId="0F58217F" w14:textId="7C745268" w:rsidR="00DE4563" w:rsidRPr="00B57B36" w:rsidRDefault="004579D1" w:rsidP="00281661">
            <w:pPr>
              <w:pStyle w:val="CETBodytext"/>
              <w:ind w:right="-1"/>
              <w:jc w:val="left"/>
              <w:rPr>
                <w:rFonts w:cs="Arial"/>
                <w:szCs w:val="18"/>
                <w:lang w:val="en-GB"/>
              </w:rPr>
            </w:pPr>
            <w:r>
              <w:rPr>
                <w:rFonts w:cs="Arial"/>
                <w:szCs w:val="18"/>
                <w:lang w:val="en-GB"/>
              </w:rPr>
              <w:t>1</w:t>
            </w:r>
          </w:p>
        </w:tc>
        <w:tc>
          <w:tcPr>
            <w:tcW w:w="1559" w:type="dxa"/>
            <w:tcBorders>
              <w:top w:val="single" w:sz="8" w:space="0" w:color="00863D"/>
              <w:bottom w:val="single" w:sz="12" w:space="0" w:color="00863D"/>
            </w:tcBorders>
            <w:shd w:val="clear" w:color="auto" w:fill="FFFFFF"/>
          </w:tcPr>
          <w:p w14:paraId="4309BFCE" w14:textId="6645A98B" w:rsidR="00DE4563" w:rsidRPr="00B57B36" w:rsidRDefault="004579D1" w:rsidP="00281661">
            <w:pPr>
              <w:pStyle w:val="CETBodytext"/>
              <w:ind w:right="-1"/>
              <w:jc w:val="left"/>
              <w:rPr>
                <w:rFonts w:cs="Arial"/>
                <w:szCs w:val="18"/>
                <w:lang w:val="en-GB"/>
              </w:rPr>
            </w:pPr>
            <w:r>
              <w:rPr>
                <w:rFonts w:cs="Arial"/>
                <w:szCs w:val="18"/>
                <w:lang w:val="en-GB"/>
              </w:rPr>
              <w:t>4653.5</w:t>
            </w:r>
            <w:r w:rsidR="00281661">
              <w:rPr>
                <w:rFonts w:cs="Arial"/>
                <w:szCs w:val="18"/>
                <w:lang w:val="en-GB"/>
              </w:rPr>
              <w:t>*</w:t>
            </w:r>
          </w:p>
        </w:tc>
        <w:tc>
          <w:tcPr>
            <w:tcW w:w="663" w:type="dxa"/>
            <w:tcBorders>
              <w:top w:val="single" w:sz="8" w:space="0" w:color="00863D"/>
              <w:bottom w:val="single" w:sz="12" w:space="0" w:color="00863D"/>
            </w:tcBorders>
            <w:shd w:val="clear" w:color="auto" w:fill="FFFFFF"/>
          </w:tcPr>
          <w:p w14:paraId="2B087557" w14:textId="20A9B0D8" w:rsidR="00DE4563" w:rsidRPr="00B57B36" w:rsidRDefault="004579D1" w:rsidP="00281661">
            <w:pPr>
              <w:pStyle w:val="CETBodytext"/>
              <w:ind w:right="-1"/>
              <w:jc w:val="left"/>
              <w:rPr>
                <w:rFonts w:cs="Arial"/>
                <w:szCs w:val="18"/>
                <w:lang w:val="en-GB"/>
              </w:rPr>
            </w:pPr>
            <w:r>
              <w:rPr>
                <w:rFonts w:cs="Arial"/>
                <w:szCs w:val="18"/>
                <w:lang w:val="en-GB"/>
              </w:rPr>
              <w:t>0</w:t>
            </w:r>
          </w:p>
        </w:tc>
        <w:tc>
          <w:tcPr>
            <w:tcW w:w="1228" w:type="dxa"/>
            <w:tcBorders>
              <w:top w:val="single" w:sz="8" w:space="0" w:color="00863D"/>
              <w:bottom w:val="single" w:sz="12" w:space="0" w:color="00863D"/>
            </w:tcBorders>
            <w:shd w:val="clear" w:color="auto" w:fill="FFFFFF"/>
          </w:tcPr>
          <w:p w14:paraId="6810244A" w14:textId="28F222D7" w:rsidR="00DE4563" w:rsidRPr="00B57B36" w:rsidRDefault="004579D1" w:rsidP="00281661">
            <w:pPr>
              <w:pStyle w:val="CETBodytext"/>
              <w:ind w:right="-1"/>
              <w:jc w:val="left"/>
              <w:rPr>
                <w:rFonts w:cs="Arial"/>
                <w:szCs w:val="18"/>
                <w:lang w:val="en-GB"/>
              </w:rPr>
            </w:pPr>
            <w:r>
              <w:rPr>
                <w:rFonts w:cs="Arial"/>
                <w:szCs w:val="18"/>
                <w:lang w:val="en-GB"/>
              </w:rPr>
              <w:t>0</w:t>
            </w:r>
          </w:p>
        </w:tc>
        <w:tc>
          <w:tcPr>
            <w:tcW w:w="1018" w:type="dxa"/>
            <w:tcBorders>
              <w:top w:val="single" w:sz="8" w:space="0" w:color="00863D"/>
              <w:bottom w:val="single" w:sz="12" w:space="0" w:color="00863D"/>
            </w:tcBorders>
            <w:shd w:val="clear" w:color="auto" w:fill="FFFFFF"/>
          </w:tcPr>
          <w:p w14:paraId="74626F2D" w14:textId="6C2F6550" w:rsidR="00DE4563" w:rsidRPr="00B57B36" w:rsidRDefault="004579D1" w:rsidP="00281661">
            <w:pPr>
              <w:pStyle w:val="CETBodytext"/>
              <w:ind w:right="-1"/>
              <w:jc w:val="left"/>
              <w:rPr>
                <w:rFonts w:cs="Arial"/>
                <w:szCs w:val="18"/>
                <w:lang w:val="en-GB"/>
              </w:rPr>
            </w:pPr>
            <w:r>
              <w:rPr>
                <w:rFonts w:cs="Arial"/>
                <w:szCs w:val="18"/>
                <w:lang w:val="en-GB"/>
              </w:rPr>
              <w:t>0</w:t>
            </w:r>
          </w:p>
        </w:tc>
        <w:tc>
          <w:tcPr>
            <w:tcW w:w="1058" w:type="dxa"/>
            <w:tcBorders>
              <w:top w:val="single" w:sz="8" w:space="0" w:color="00863D"/>
              <w:bottom w:val="single" w:sz="12" w:space="0" w:color="00863D"/>
            </w:tcBorders>
            <w:shd w:val="clear" w:color="auto" w:fill="FFFFFF"/>
          </w:tcPr>
          <w:p w14:paraId="1718F0CF" w14:textId="75948411" w:rsidR="00DE4563" w:rsidRPr="00B57B36" w:rsidRDefault="004579D1" w:rsidP="00281661">
            <w:pPr>
              <w:pStyle w:val="CETBodytext"/>
              <w:ind w:right="-1"/>
              <w:jc w:val="left"/>
              <w:rPr>
                <w:rFonts w:cs="Arial"/>
                <w:szCs w:val="18"/>
                <w:lang w:val="en-GB"/>
              </w:rPr>
            </w:pPr>
            <w:r>
              <w:rPr>
                <w:rFonts w:cs="Arial"/>
                <w:szCs w:val="18"/>
                <w:lang w:val="en-GB"/>
              </w:rPr>
              <w:t>4653.5</w:t>
            </w:r>
          </w:p>
        </w:tc>
      </w:tr>
    </w:tbl>
    <w:p w14:paraId="36D1559F" w14:textId="17E995B2" w:rsidR="00281661" w:rsidRPr="00866908" w:rsidRDefault="00281661" w:rsidP="00980435">
      <w:pPr>
        <w:pStyle w:val="CETBodytext"/>
        <w:spacing w:before="240"/>
        <w:rPr>
          <w:lang w:val="en-GB"/>
        </w:rPr>
      </w:pPr>
      <w:r>
        <w:rPr>
          <w:lang w:val="en-GB"/>
        </w:rPr>
        <w:lastRenderedPageBreak/>
        <w:t>*</w:t>
      </w:r>
      <w:r w:rsidRPr="00281661">
        <w:rPr>
          <w:lang w:val="en-GB"/>
        </w:rPr>
        <w:t>The solvent-to-feed ratio was varied according to the same conditions defined in the experimental design.</w:t>
      </w:r>
    </w:p>
    <w:p w14:paraId="6C089C49" w14:textId="7C92E769" w:rsidR="00D04998" w:rsidRDefault="000D4BA8" w:rsidP="000D4BA8">
      <w:pPr>
        <w:pStyle w:val="CETBodytext"/>
        <w:spacing w:line="360" w:lineRule="auto"/>
        <w:rPr>
          <w:b/>
          <w:bCs/>
        </w:rPr>
      </w:pPr>
      <w:r>
        <w:rPr>
          <w:b/>
          <w:bCs/>
        </w:rPr>
        <w:t xml:space="preserve">                              </w:t>
      </w:r>
    </w:p>
    <w:p w14:paraId="219EE61E" w14:textId="4F6C7FA9" w:rsidR="003442B5" w:rsidRDefault="00214FF6" w:rsidP="000D4BA8">
      <w:pPr>
        <w:pStyle w:val="CETBodytext"/>
        <w:spacing w:line="360" w:lineRule="auto"/>
        <w:rPr>
          <w:b/>
          <w:bCs/>
        </w:rPr>
      </w:pPr>
      <w:r w:rsidRPr="00214FF6">
        <w:rPr>
          <w:b/>
          <w:bCs/>
          <w:noProof/>
        </w:rPr>
        <w:drawing>
          <wp:inline distT="0" distB="0" distL="0" distR="0" wp14:anchorId="08B9174F" wp14:editId="7A3749EE">
            <wp:extent cx="5579745" cy="1252855"/>
            <wp:effectExtent l="0" t="0" r="0" b="0"/>
            <wp:docPr id="8293328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9745" cy="1252855"/>
                    </a:xfrm>
                    <a:prstGeom prst="rect">
                      <a:avLst/>
                    </a:prstGeom>
                    <a:noFill/>
                    <a:ln>
                      <a:noFill/>
                    </a:ln>
                  </pic:spPr>
                </pic:pic>
              </a:graphicData>
            </a:graphic>
          </wp:inline>
        </w:drawing>
      </w:r>
    </w:p>
    <w:p w14:paraId="6A28DD78" w14:textId="44723283" w:rsidR="002A121A" w:rsidRPr="00D04998" w:rsidRDefault="002A121A" w:rsidP="001E4651">
      <w:pPr>
        <w:pStyle w:val="CETCaption"/>
        <w:rPr>
          <w:b/>
          <w:bCs/>
        </w:rPr>
      </w:pPr>
      <w:r w:rsidRPr="002A121A">
        <w:t>Figure 1 - Process simulation flowsheet in Aspen Plus®</w:t>
      </w:r>
    </w:p>
    <w:p w14:paraId="5F225579" w14:textId="584CCD13" w:rsidR="002A121A" w:rsidRDefault="002A121A" w:rsidP="00D04998">
      <w:pPr>
        <w:pStyle w:val="CETBodytext"/>
        <w:spacing w:after="240"/>
        <w:rPr>
          <w:lang w:val="en-GB"/>
        </w:rPr>
      </w:pPr>
      <w:r w:rsidRPr="002A121A">
        <w:rPr>
          <w:lang w:val="en-GB"/>
        </w:rPr>
        <w:t xml:space="preserve">Since the model selected in Aspen Plus® does not </w:t>
      </w:r>
      <w:r w:rsidR="007B72FE">
        <w:rPr>
          <w:lang w:val="en-GB"/>
        </w:rPr>
        <w:t>model the effects of</w:t>
      </w:r>
      <w:r w:rsidRPr="002A121A">
        <w:rPr>
          <w:lang w:val="en-GB"/>
        </w:rPr>
        <w:t xml:space="preserve"> pH</w:t>
      </w:r>
      <w:r w:rsidR="007B72FE">
        <w:rPr>
          <w:lang w:val="en-GB"/>
        </w:rPr>
        <w:t xml:space="preserve"> such as the dissociation of organi</w:t>
      </w:r>
      <w:r w:rsidR="00214FF6">
        <w:rPr>
          <w:lang w:val="en-GB"/>
        </w:rPr>
        <w:t>c</w:t>
      </w:r>
      <w:r w:rsidR="007B72FE">
        <w:rPr>
          <w:lang w:val="en-GB"/>
        </w:rPr>
        <w:t xml:space="preserve"> acids into ionic species</w:t>
      </w:r>
      <w:r w:rsidRPr="002A121A">
        <w:rPr>
          <w:lang w:val="en-GB"/>
        </w:rPr>
        <w:t xml:space="preserve">, </w:t>
      </w:r>
      <w:r w:rsidR="007B72FE">
        <w:rPr>
          <w:lang w:val="en-GB"/>
        </w:rPr>
        <w:t>part of the experimental trials had their pH set</w:t>
      </w:r>
      <w:r w:rsidRPr="002A121A">
        <w:rPr>
          <w:lang w:val="en-GB"/>
        </w:rPr>
        <w:t xml:space="preserve"> to a value below the</w:t>
      </w:r>
      <w:r>
        <w:rPr>
          <w:lang w:val="en-GB"/>
        </w:rPr>
        <w:t xml:space="preserve"> pKa </w:t>
      </w:r>
      <w:r w:rsidRPr="002A121A">
        <w:rPr>
          <w:lang w:val="en-GB"/>
        </w:rPr>
        <w:t>of the acids, approximately 2.</w:t>
      </w:r>
      <w:r>
        <w:rPr>
          <w:lang w:val="en-GB"/>
        </w:rPr>
        <w:t>4</w:t>
      </w:r>
      <w:r w:rsidRPr="002A121A">
        <w:rPr>
          <w:lang w:val="en-GB"/>
        </w:rPr>
        <w:t xml:space="preserve">. Therefore, the simulation results were compared only </w:t>
      </w:r>
      <w:r w:rsidR="007B72FE">
        <w:rPr>
          <w:lang w:val="en-GB"/>
        </w:rPr>
        <w:t>for</w:t>
      </w:r>
      <w:r w:rsidR="007B72FE" w:rsidRPr="002A121A">
        <w:rPr>
          <w:lang w:val="en-GB"/>
        </w:rPr>
        <w:t xml:space="preserve"> </w:t>
      </w:r>
      <w:r w:rsidRPr="002A121A">
        <w:rPr>
          <w:lang w:val="en-GB"/>
        </w:rPr>
        <w:t>this pH value.</w:t>
      </w:r>
      <w:r w:rsidR="00D04998">
        <w:rPr>
          <w:lang w:val="en-GB"/>
        </w:rPr>
        <w:t xml:space="preserve"> </w:t>
      </w:r>
      <w:r w:rsidR="009B6736">
        <w:rPr>
          <w:lang w:val="en-GB"/>
        </w:rPr>
        <w:t>Butyric</w:t>
      </w:r>
      <w:r w:rsidRPr="002A121A">
        <w:rPr>
          <w:lang w:val="en-GB"/>
        </w:rPr>
        <w:t xml:space="preserve"> and propionic acids, as weak acids, follow the equilibrium:</w:t>
      </w:r>
    </w:p>
    <w:p w14:paraId="2568FBA1" w14:textId="3308A5E4" w:rsidR="002A121A" w:rsidRDefault="002A121A" w:rsidP="002A121A">
      <w:pPr>
        <w:pStyle w:val="CETBodytext"/>
        <w:spacing w:after="240" w:line="276" w:lineRule="auto"/>
        <w:rPr>
          <w:lang w:val="en-GB"/>
        </w:rPr>
      </w:pPr>
      <m:oMath>
        <m:r>
          <m:rPr>
            <m:sty m:val="p"/>
          </m:rPr>
          <w:rPr>
            <w:rFonts w:ascii="Cambria Math" w:hAnsi="Cambria Math" w:cs="Arial"/>
            <w:sz w:val="22"/>
            <w:szCs w:val="22"/>
            <w:lang w:val="en-GB"/>
          </w:rPr>
          <m:t>HA</m:t>
        </m:r>
        <m:r>
          <w:rPr>
            <w:rFonts w:ascii="Cambria Math" w:hAnsi="Cambria Math" w:cs="Arial"/>
            <w:sz w:val="22"/>
            <w:szCs w:val="22"/>
            <w:lang w:val="en-GB"/>
          </w:rPr>
          <m:t>⇋</m:t>
        </m:r>
        <m:sSup>
          <m:sSupPr>
            <m:ctrlPr>
              <w:rPr>
                <w:rFonts w:ascii="Cambria Math" w:hAnsi="Cambria Math" w:cs="Arial"/>
                <w:sz w:val="22"/>
                <w:szCs w:val="22"/>
                <w:lang w:val="en-GB"/>
              </w:rPr>
            </m:ctrlPr>
          </m:sSupPr>
          <m:e>
            <m:r>
              <m:rPr>
                <m:sty m:val="p"/>
              </m:rPr>
              <w:rPr>
                <w:rFonts w:ascii="Cambria Math" w:hAnsi="Cambria Math" w:cs="Arial"/>
                <w:sz w:val="22"/>
                <w:szCs w:val="22"/>
                <w:lang w:val="en-GB"/>
              </w:rPr>
              <m:t>H</m:t>
            </m:r>
          </m:e>
          <m:sup>
            <m:r>
              <w:rPr>
                <w:rFonts w:ascii="Cambria Math" w:hAnsi="Cambria Math" w:cs="Arial"/>
                <w:sz w:val="22"/>
                <w:szCs w:val="22"/>
                <w:lang w:val="en-GB"/>
              </w:rPr>
              <m:t>+</m:t>
            </m:r>
          </m:sup>
        </m:sSup>
        <m:r>
          <w:rPr>
            <w:rFonts w:ascii="Cambria Math" w:hAnsi="Cambria Math" w:cs="Arial"/>
            <w:sz w:val="22"/>
            <w:szCs w:val="22"/>
            <w:lang w:val="en-GB"/>
          </w:rPr>
          <m:t>+</m:t>
        </m:r>
        <m:sSup>
          <m:sSupPr>
            <m:ctrlPr>
              <w:rPr>
                <w:rFonts w:ascii="Cambria Math" w:hAnsi="Cambria Math" w:cs="Arial"/>
                <w:sz w:val="22"/>
                <w:szCs w:val="22"/>
                <w:lang w:val="en-GB"/>
              </w:rPr>
            </m:ctrlPr>
          </m:sSupPr>
          <m:e>
            <m:r>
              <m:rPr>
                <m:sty m:val="p"/>
              </m:rPr>
              <w:rPr>
                <w:rFonts w:ascii="Cambria Math" w:hAnsi="Cambria Math" w:cs="Arial"/>
                <w:sz w:val="22"/>
                <w:szCs w:val="22"/>
                <w:lang w:val="en-GB"/>
              </w:rPr>
              <m:t>A</m:t>
            </m:r>
          </m:e>
          <m:sup>
            <m:r>
              <w:rPr>
                <w:rFonts w:ascii="Cambria Math" w:hAnsi="Cambria Math" w:cs="Arial"/>
                <w:sz w:val="22"/>
                <w:szCs w:val="22"/>
                <w:lang w:val="en-GB"/>
              </w:rPr>
              <m:t>-</m:t>
            </m:r>
          </m:sup>
        </m:sSup>
      </m:oMath>
      <w:r w:rsidRPr="00535B42">
        <w:rPr>
          <w:rFonts w:cs="Arial"/>
          <w:sz w:val="22"/>
          <w:szCs w:val="22"/>
          <w:lang w:val="en-GB"/>
        </w:rPr>
        <w:t xml:space="preserve">   </w:t>
      </w:r>
      <w:r w:rsidRPr="00535B42">
        <w:rPr>
          <w:rFonts w:cs="Arial"/>
          <w:lang w:val="en-GB"/>
        </w:rPr>
        <w:t xml:space="preserve">                                                                                                                                                   </w:t>
      </w:r>
      <w:r>
        <w:rPr>
          <w:lang w:val="en-GB"/>
        </w:rPr>
        <w:t>(2)</w:t>
      </w:r>
    </w:p>
    <w:p w14:paraId="4EFE3755" w14:textId="0BD8E941" w:rsidR="002A121A" w:rsidRDefault="002A121A" w:rsidP="002A121A">
      <w:pPr>
        <w:pStyle w:val="CETBodytext"/>
        <w:spacing w:after="240" w:line="276" w:lineRule="auto"/>
        <w:rPr>
          <w:lang w:val="en-GB"/>
        </w:rPr>
      </w:pPr>
      <w:r w:rsidRPr="002A121A">
        <w:rPr>
          <w:lang w:val="en-GB"/>
        </w:rPr>
        <w:t>The dissociation constant</w:t>
      </w:r>
      <w:r>
        <w:rPr>
          <w:lang w:val="en-GB"/>
        </w:rPr>
        <w:t xml:space="preserve"> (</w:t>
      </w:r>
      <w:r w:rsidR="00C21389" w:rsidRPr="00D04998">
        <w:rPr>
          <w:i/>
          <w:iCs/>
          <w:szCs w:val="18"/>
          <w:lang w:val="en-GB"/>
        </w:rPr>
        <w:t>K</w:t>
      </w:r>
      <w:r w:rsidRPr="00D04998">
        <w:rPr>
          <w:i/>
          <w:iCs/>
          <w:vertAlign w:val="subscript"/>
          <w:lang w:val="en-GB"/>
        </w:rPr>
        <w:t>a</w:t>
      </w:r>
      <w:r w:rsidRPr="00D04998">
        <w:rPr>
          <w:i/>
          <w:iCs/>
          <w:lang w:val="en-GB"/>
        </w:rPr>
        <w:t>)</w:t>
      </w:r>
      <w:r>
        <w:rPr>
          <w:lang w:val="en-GB"/>
        </w:rPr>
        <w:t xml:space="preserve"> </w:t>
      </w:r>
      <w:r w:rsidRPr="002A121A">
        <w:rPr>
          <w:lang w:val="en-GB"/>
        </w:rPr>
        <w:t>is defined as:</w:t>
      </w:r>
    </w:p>
    <w:p w14:paraId="2C6600BA" w14:textId="48920659" w:rsidR="002A121A" w:rsidRDefault="00000000" w:rsidP="002A121A">
      <w:pPr>
        <w:pStyle w:val="CETBodytext"/>
        <w:spacing w:after="240" w:line="276" w:lineRule="auto"/>
        <w:rPr>
          <w:lang w:val="en-GB"/>
        </w:rPr>
      </w:pPr>
      <m:oMath>
        <m:sSub>
          <m:sSubPr>
            <m:ctrlPr>
              <w:rPr>
                <w:rFonts w:ascii="Cambria Math" w:hAnsi="Cambria Math"/>
                <w:i/>
                <w:sz w:val="22"/>
                <w:szCs w:val="22"/>
                <w:lang w:val="en-GB"/>
              </w:rPr>
            </m:ctrlPr>
          </m:sSubPr>
          <m:e>
            <m:r>
              <w:rPr>
                <w:rFonts w:ascii="Cambria Math" w:hAnsi="Cambria Math"/>
                <w:sz w:val="22"/>
                <w:szCs w:val="22"/>
                <w:lang w:val="en-GB"/>
              </w:rPr>
              <m:t>K</m:t>
            </m:r>
          </m:e>
          <m:sub>
            <m:r>
              <w:rPr>
                <w:rFonts w:ascii="Cambria Math" w:hAnsi="Cambria Math"/>
                <w:sz w:val="22"/>
                <w:szCs w:val="22"/>
                <w:lang w:val="en-GB"/>
              </w:rPr>
              <m:t>a</m:t>
            </m:r>
          </m:sub>
        </m:sSub>
        <m:r>
          <w:rPr>
            <w:rFonts w:ascii="Cambria Math" w:hAnsi="Cambria Math"/>
            <w:sz w:val="22"/>
            <w:szCs w:val="22"/>
            <w:lang w:val="en-GB"/>
          </w:rPr>
          <m:t>=</m:t>
        </m:r>
        <m:f>
          <m:fPr>
            <m:ctrlPr>
              <w:rPr>
                <w:rFonts w:ascii="Cambria Math" w:hAnsi="Cambria Math"/>
                <w:sz w:val="22"/>
                <w:szCs w:val="22"/>
                <w:lang w:val="en-GB"/>
              </w:rPr>
            </m:ctrlPr>
          </m:fPr>
          <m:num>
            <m:d>
              <m:dPr>
                <m:begChr m:val="["/>
                <m:endChr m:val="]"/>
                <m:ctrlPr>
                  <w:rPr>
                    <w:rFonts w:ascii="Cambria Math" w:hAnsi="Cambria Math"/>
                    <w:sz w:val="22"/>
                    <w:szCs w:val="22"/>
                    <w:lang w:val="en-GB"/>
                  </w:rPr>
                </m:ctrlPr>
              </m:dPr>
              <m:e>
                <m:sSup>
                  <m:sSupPr>
                    <m:ctrlPr>
                      <w:rPr>
                        <w:rFonts w:ascii="Cambria Math" w:hAnsi="Cambria Math"/>
                        <w:sz w:val="22"/>
                        <w:szCs w:val="22"/>
                        <w:lang w:val="en-GB"/>
                      </w:rPr>
                    </m:ctrlPr>
                  </m:sSupPr>
                  <m:e>
                    <m:r>
                      <m:rPr>
                        <m:sty m:val="p"/>
                      </m:rPr>
                      <w:rPr>
                        <w:rFonts w:ascii="Cambria Math" w:hAnsi="Cambria Math"/>
                        <w:sz w:val="22"/>
                        <w:szCs w:val="22"/>
                        <w:lang w:val="en-GB"/>
                      </w:rPr>
                      <m:t>H</m:t>
                    </m:r>
                  </m:e>
                  <m:sup>
                    <m:r>
                      <w:rPr>
                        <w:rFonts w:ascii="Cambria Math" w:hAnsi="Cambria Math"/>
                        <w:sz w:val="22"/>
                        <w:szCs w:val="22"/>
                        <w:lang w:val="en-GB"/>
                      </w:rPr>
                      <m:t>+</m:t>
                    </m:r>
                  </m:sup>
                </m:sSup>
              </m:e>
            </m:d>
            <m:d>
              <m:dPr>
                <m:begChr m:val="["/>
                <m:endChr m:val="]"/>
                <m:ctrlPr>
                  <w:rPr>
                    <w:rFonts w:ascii="Cambria Math" w:hAnsi="Cambria Math"/>
                    <w:sz w:val="22"/>
                    <w:szCs w:val="22"/>
                    <w:lang w:val="en-GB"/>
                  </w:rPr>
                </m:ctrlPr>
              </m:dPr>
              <m:e>
                <m:sSup>
                  <m:sSupPr>
                    <m:ctrlPr>
                      <w:rPr>
                        <w:rFonts w:ascii="Cambria Math" w:hAnsi="Cambria Math"/>
                        <w:sz w:val="22"/>
                        <w:szCs w:val="22"/>
                        <w:lang w:val="en-GB"/>
                      </w:rPr>
                    </m:ctrlPr>
                  </m:sSupPr>
                  <m:e>
                    <m:r>
                      <m:rPr>
                        <m:sty m:val="p"/>
                      </m:rPr>
                      <w:rPr>
                        <w:rFonts w:ascii="Cambria Math" w:hAnsi="Cambria Math"/>
                        <w:sz w:val="22"/>
                        <w:szCs w:val="22"/>
                        <w:lang w:val="en-GB"/>
                      </w:rPr>
                      <m:t>A</m:t>
                    </m:r>
                  </m:e>
                  <m:sup>
                    <m:r>
                      <w:rPr>
                        <w:rFonts w:ascii="Cambria Math" w:hAnsi="Cambria Math"/>
                        <w:sz w:val="22"/>
                        <w:szCs w:val="22"/>
                        <w:lang w:val="en-GB"/>
                      </w:rPr>
                      <m:t>-</m:t>
                    </m:r>
                  </m:sup>
                </m:sSup>
              </m:e>
            </m:d>
          </m:num>
          <m:den>
            <m:r>
              <w:rPr>
                <w:rFonts w:ascii="Cambria Math" w:hAnsi="Cambria Math"/>
                <w:sz w:val="22"/>
                <w:szCs w:val="22"/>
                <w:lang w:val="en-GB"/>
              </w:rPr>
              <m:t>[</m:t>
            </m:r>
            <m:r>
              <m:rPr>
                <m:sty m:val="p"/>
              </m:rPr>
              <w:rPr>
                <w:rFonts w:ascii="Cambria Math" w:hAnsi="Cambria Math"/>
                <w:sz w:val="22"/>
                <w:szCs w:val="22"/>
                <w:lang w:val="en-GB"/>
              </w:rPr>
              <m:t>HA</m:t>
            </m:r>
            <m:r>
              <w:rPr>
                <w:rFonts w:ascii="Cambria Math" w:hAnsi="Cambria Math"/>
                <w:sz w:val="22"/>
                <w:szCs w:val="22"/>
                <w:lang w:val="en-GB"/>
              </w:rPr>
              <m:t>]</m:t>
            </m:r>
          </m:den>
        </m:f>
      </m:oMath>
      <w:r w:rsidR="002A121A">
        <w:rPr>
          <w:lang w:val="en-GB"/>
        </w:rPr>
        <w:t xml:space="preserve">                                                                                                                                                         (3)</w:t>
      </w:r>
    </w:p>
    <w:p w14:paraId="2E8D6B63" w14:textId="6183FB5B" w:rsidR="00967DA5" w:rsidRDefault="00967DA5" w:rsidP="00967DA5">
      <w:pPr>
        <w:pStyle w:val="CETBodytext"/>
        <w:spacing w:after="240"/>
      </w:pPr>
      <w:r w:rsidRPr="00967DA5">
        <w:t>Assuming [HA] ≈ C</w:t>
      </w:r>
      <w:r w:rsidRPr="001E4651">
        <w:rPr>
          <w:i/>
          <w:iCs/>
          <w:vertAlign w:val="subscript"/>
        </w:rPr>
        <w:t>initial</w:t>
      </w:r>
      <w:r w:rsidRPr="00967DA5">
        <w:t xml:space="preserve"> and [H</w:t>
      </w:r>
      <w:r w:rsidRPr="00967DA5">
        <w:rPr>
          <w:vertAlign w:val="superscript"/>
        </w:rPr>
        <w:t>+</w:t>
      </w:r>
      <w:r w:rsidRPr="00967DA5">
        <w:t>] ≈ [A</w:t>
      </w:r>
      <w:r w:rsidRPr="00967DA5">
        <w:rPr>
          <w:vertAlign w:val="superscript"/>
        </w:rPr>
        <w:t>-</w:t>
      </w:r>
      <w:r w:rsidRPr="00967DA5">
        <w:t>], the hydrogen ion concentration is approximated by:</w:t>
      </w:r>
    </w:p>
    <w:p w14:paraId="35A5EBC2" w14:textId="78CF31C9" w:rsidR="00967DA5" w:rsidRDefault="00000000" w:rsidP="00967DA5">
      <w:pPr>
        <w:pStyle w:val="CETBodytext"/>
        <w:spacing w:after="240"/>
      </w:pPr>
      <m:oMath>
        <m:d>
          <m:dPr>
            <m:begChr m:val="["/>
            <m:endChr m:val="]"/>
            <m:ctrlPr>
              <w:rPr>
                <w:rFonts w:ascii="Cambria Math" w:hAnsi="Cambria Math"/>
                <w:sz w:val="22"/>
                <w:szCs w:val="22"/>
              </w:rPr>
            </m:ctrlPr>
          </m:dPr>
          <m:e>
            <m:sSup>
              <m:sSupPr>
                <m:ctrlPr>
                  <w:rPr>
                    <w:rFonts w:ascii="Cambria Math" w:hAnsi="Cambria Math"/>
                    <w:sz w:val="22"/>
                    <w:szCs w:val="22"/>
                  </w:rPr>
                </m:ctrlPr>
              </m:sSupPr>
              <m:e>
                <m:r>
                  <m:rPr>
                    <m:sty m:val="p"/>
                  </m:rPr>
                  <w:rPr>
                    <w:rFonts w:ascii="Cambria Math" w:hAnsi="Cambria Math"/>
                    <w:sz w:val="22"/>
                    <w:szCs w:val="22"/>
                  </w:rPr>
                  <m:t>H</m:t>
                </m:r>
              </m:e>
              <m:sup>
                <m:r>
                  <w:rPr>
                    <w:rFonts w:ascii="Cambria Math" w:hAnsi="Cambria Math"/>
                    <w:sz w:val="22"/>
                    <w:szCs w:val="22"/>
                  </w:rPr>
                  <m:t>+</m:t>
                </m:r>
              </m:sup>
            </m:sSup>
          </m:e>
        </m:d>
        <m:r>
          <w:rPr>
            <w:rFonts w:ascii="Cambria Math" w:hAnsi="Cambria Math"/>
            <w:sz w:val="22"/>
            <w:szCs w:val="22"/>
          </w:rPr>
          <m:t>=</m:t>
        </m:r>
        <m:rad>
          <m:radPr>
            <m:degHide m:val="1"/>
            <m:ctrlPr>
              <w:rPr>
                <w:rFonts w:ascii="Cambria Math" w:hAnsi="Cambria Math"/>
                <w:sz w:val="22"/>
                <w:szCs w:val="22"/>
              </w:rPr>
            </m:ctrlPr>
          </m:radPr>
          <m:deg/>
          <m:e>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a</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C</m:t>
                </m:r>
              </m:e>
              <m:sub>
                <m:r>
                  <m:rPr>
                    <m:nor/>
                  </m:rPr>
                  <w:rPr>
                    <w:sz w:val="22"/>
                    <w:szCs w:val="22"/>
                  </w:rPr>
                  <m:t xml:space="preserve">initial </m:t>
                </m:r>
              </m:sub>
            </m:sSub>
          </m:e>
        </m:rad>
      </m:oMath>
      <w:r w:rsidR="00967DA5">
        <w:t xml:space="preserve">                                                                                                                                              (4)</w:t>
      </w:r>
    </w:p>
    <w:p w14:paraId="25915A17" w14:textId="5D6A7433" w:rsidR="00967DA5" w:rsidRDefault="00967DA5" w:rsidP="00D04998">
      <w:pPr>
        <w:pStyle w:val="CETBodytext"/>
        <w:spacing w:after="240"/>
      </w:pPr>
      <w:r w:rsidRPr="00967DA5">
        <w:t xml:space="preserve">Using </w:t>
      </w:r>
      <w:r w:rsidRPr="00967DA5">
        <w:rPr>
          <w:i/>
          <w:iCs/>
        </w:rPr>
        <w:t>K</w:t>
      </w:r>
      <w:r w:rsidRPr="001E4651">
        <w:rPr>
          <w:i/>
          <w:iCs/>
          <w:vertAlign w:val="subscript"/>
        </w:rPr>
        <w:t>a</w:t>
      </w:r>
      <w:r w:rsidRPr="00967DA5">
        <w:t xml:space="preserve"> values (butyric:</w:t>
      </w:r>
      <w:r w:rsidR="00D04998">
        <w:t xml:space="preserve"> </w:t>
      </w:r>
      <w:r w:rsidRPr="00967DA5">
        <w:t>1.5×10</w:t>
      </w:r>
      <w:r w:rsidRPr="00967DA5">
        <w:rPr>
          <w:vertAlign w:val="superscript"/>
        </w:rPr>
        <w:t>-5</w:t>
      </w:r>
      <w:r w:rsidRPr="00967DA5">
        <w:t>; propionic: 1.3×10</w:t>
      </w:r>
      <w:r w:rsidRPr="00967DA5">
        <w:rPr>
          <w:vertAlign w:val="superscript"/>
        </w:rPr>
        <w:t>-5</w:t>
      </w:r>
      <w:r w:rsidRPr="00967DA5">
        <w:t>) and initial concentrations (33 g/L and 13 g/L, respectively), the contributions were</w:t>
      </w:r>
      <w:r>
        <w:t xml:space="preserve"> </w:t>
      </w:r>
      <w:r w:rsidRPr="00967DA5">
        <w:t>[H+] butyric acid: 0.0023 mol/L</w:t>
      </w:r>
      <w:r>
        <w:t xml:space="preserve"> and </w:t>
      </w:r>
      <w:r w:rsidRPr="00967DA5">
        <w:t>[H+] propionic acid: 0.0015</w:t>
      </w:r>
      <w:r w:rsidR="00D04998">
        <w:t xml:space="preserve"> </w:t>
      </w:r>
      <w:r w:rsidRPr="00967DA5">
        <w:t>mol/L</w:t>
      </w:r>
      <w:r>
        <w:t xml:space="preserve">. </w:t>
      </w:r>
      <w:r w:rsidRPr="00967DA5">
        <w:t>The total [H+] was 0.0038 mol/L, yielding a pH of 2.41, calculated as</w:t>
      </w:r>
      <w:r>
        <w:t xml:space="preserve"> for Eq (</w:t>
      </w:r>
      <w:r w:rsidR="004F0A68">
        <w:t>5</w:t>
      </w:r>
      <w:r>
        <w:t>)</w:t>
      </w:r>
      <w:r w:rsidRPr="00967DA5">
        <w:t>:</w:t>
      </w:r>
    </w:p>
    <w:p w14:paraId="39296066" w14:textId="0E113A66" w:rsidR="00967DA5" w:rsidRDefault="00967DA5" w:rsidP="00967DA5">
      <w:pPr>
        <w:pStyle w:val="CETBodytext"/>
        <w:spacing w:after="240"/>
        <w:rPr>
          <w:szCs w:val="18"/>
        </w:rPr>
      </w:pPr>
      <m:oMath>
        <m:r>
          <w:rPr>
            <w:rFonts w:ascii="Cambria Math" w:hAnsi="Cambria Math"/>
            <w:sz w:val="22"/>
            <w:szCs w:val="22"/>
          </w:rPr>
          <m:t>pH=-</m:t>
        </m:r>
        <m:sSub>
          <m:sSubPr>
            <m:ctrlPr>
              <w:rPr>
                <w:rFonts w:ascii="Cambria Math" w:hAnsi="Cambria Math"/>
                <w:sz w:val="22"/>
                <w:szCs w:val="22"/>
              </w:rPr>
            </m:ctrlPr>
          </m:sSubPr>
          <m:e>
            <m:r>
              <m:rPr>
                <m:sty m:val="p"/>
              </m:rPr>
              <w:rPr>
                <w:rFonts w:ascii="Cambria Math" w:hAnsi="Cambria Math"/>
                <w:sz w:val="22"/>
                <w:szCs w:val="22"/>
              </w:rPr>
              <m:t>log</m:t>
            </m:r>
          </m:e>
          <m:sub>
            <m:r>
              <w:rPr>
                <w:rFonts w:ascii="Cambria Math" w:hAnsi="Cambria Math"/>
                <w:sz w:val="22"/>
                <w:szCs w:val="22"/>
              </w:rPr>
              <m:t>10</m:t>
            </m:r>
          </m:sub>
        </m:sSub>
        <m:r>
          <w:rPr>
            <w:rFonts w:ascii="Cambria Math" w:hAnsi="Cambria Math"/>
            <w:sz w:val="22"/>
            <w:szCs w:val="22"/>
          </w:rPr>
          <m:t>⁡</m:t>
        </m:r>
        <m:d>
          <m:dPr>
            <m:ctrlPr>
              <w:rPr>
                <w:rFonts w:ascii="Cambria Math" w:hAnsi="Cambria Math"/>
                <w:sz w:val="22"/>
                <w:szCs w:val="22"/>
              </w:rPr>
            </m:ctrlPr>
          </m:dPr>
          <m:e>
            <m:d>
              <m:dPr>
                <m:begChr m:val="["/>
                <m:endChr m:val="]"/>
                <m:ctrlPr>
                  <w:rPr>
                    <w:rFonts w:ascii="Cambria Math" w:hAnsi="Cambria Math"/>
                    <w:sz w:val="22"/>
                    <w:szCs w:val="22"/>
                  </w:rPr>
                </m:ctrlPr>
              </m:dPr>
              <m:e>
                <m:sSup>
                  <m:sSupPr>
                    <m:ctrlPr>
                      <w:rPr>
                        <w:rFonts w:ascii="Cambria Math" w:hAnsi="Cambria Math"/>
                        <w:sz w:val="22"/>
                        <w:szCs w:val="22"/>
                      </w:rPr>
                    </m:ctrlPr>
                  </m:sSupPr>
                  <m:e>
                    <m:r>
                      <m:rPr>
                        <m:sty m:val="p"/>
                      </m:rPr>
                      <w:rPr>
                        <w:rFonts w:ascii="Cambria Math" w:hAnsi="Cambria Math"/>
                        <w:sz w:val="22"/>
                        <w:szCs w:val="22"/>
                      </w:rPr>
                      <m:t>H</m:t>
                    </m:r>
                  </m:e>
                  <m:sup>
                    <m:r>
                      <w:rPr>
                        <w:rFonts w:ascii="Cambria Math" w:hAnsi="Cambria Math"/>
                        <w:sz w:val="22"/>
                        <w:szCs w:val="22"/>
                      </w:rPr>
                      <m:t>+</m:t>
                    </m:r>
                  </m:sup>
                </m:sSup>
              </m:e>
            </m:d>
          </m:e>
        </m:d>
      </m:oMath>
      <w:r>
        <w:rPr>
          <w:sz w:val="22"/>
          <w:szCs w:val="22"/>
        </w:rPr>
        <w:t xml:space="preserve">                                                                                                               </w:t>
      </w:r>
      <w:r w:rsidRPr="00967DA5">
        <w:rPr>
          <w:szCs w:val="18"/>
        </w:rPr>
        <w:t>(5)</w:t>
      </w:r>
    </w:p>
    <w:p w14:paraId="2F71E471" w14:textId="7FC38C18" w:rsidR="009454FF" w:rsidRDefault="009454FF" w:rsidP="004F0A68">
      <w:pPr>
        <w:pStyle w:val="CETBodytext"/>
        <w:spacing w:after="240"/>
        <w:rPr>
          <w:szCs w:val="18"/>
        </w:rPr>
      </w:pPr>
      <w:r w:rsidRPr="009454FF">
        <w:rPr>
          <w:szCs w:val="18"/>
        </w:rPr>
        <w:t xml:space="preserve">This result highlights the combined influence of both acids on solution acidity, consistent with their pKa values and experimental conditions. Notably, this pH was precisely the one obtained during the preparation of the </w:t>
      </w:r>
      <w:r w:rsidR="00540085">
        <w:rPr>
          <w:szCs w:val="18"/>
        </w:rPr>
        <w:t>feed</w:t>
      </w:r>
      <w:r w:rsidR="00540085" w:rsidRPr="009454FF">
        <w:rPr>
          <w:szCs w:val="18"/>
        </w:rPr>
        <w:t xml:space="preserve"> </w:t>
      </w:r>
      <w:r w:rsidRPr="009454FF">
        <w:rPr>
          <w:szCs w:val="18"/>
        </w:rPr>
        <w:t xml:space="preserve">solution, eliminating the need for neutralization with sodium hydroxide, as also observed by </w:t>
      </w:r>
      <w:r w:rsidRPr="00AC3C8B">
        <w:rPr>
          <w:szCs w:val="18"/>
        </w:rPr>
        <w:t>Zigová et al. (1996)</w:t>
      </w:r>
      <w:r w:rsidR="00C21389" w:rsidRPr="00AC3C8B">
        <w:rPr>
          <w:szCs w:val="18"/>
        </w:rPr>
        <w:t>.</w:t>
      </w:r>
    </w:p>
    <w:p w14:paraId="63A8481D" w14:textId="632FB99F" w:rsidR="00345AFC" w:rsidRPr="0089415F" w:rsidRDefault="00345AFC" w:rsidP="00345AFC">
      <w:pPr>
        <w:pStyle w:val="CETBodytext"/>
        <w:numPr>
          <w:ilvl w:val="0"/>
          <w:numId w:val="24"/>
        </w:numPr>
        <w:spacing w:after="240"/>
        <w:rPr>
          <w:b/>
          <w:bCs/>
          <w:sz w:val="20"/>
        </w:rPr>
      </w:pPr>
      <w:r w:rsidRPr="00345AFC">
        <w:rPr>
          <w:b/>
          <w:bCs/>
          <w:sz w:val="20"/>
          <w:lang w:val="en-GB"/>
        </w:rPr>
        <w:t>Results and Discussions</w:t>
      </w:r>
    </w:p>
    <w:p w14:paraId="47DA9C9F" w14:textId="150CF2CA" w:rsidR="0089415F" w:rsidRPr="0089415F" w:rsidRDefault="0089415F" w:rsidP="00DE0E4E">
      <w:pPr>
        <w:pStyle w:val="CETBodytext"/>
        <w:rPr>
          <w:b/>
          <w:bCs/>
          <w:szCs w:val="18"/>
        </w:rPr>
      </w:pPr>
      <w:r w:rsidRPr="0089415F">
        <w:rPr>
          <w:b/>
          <w:bCs/>
          <w:szCs w:val="18"/>
          <w:lang w:val="en-GB"/>
        </w:rPr>
        <w:t>3.1 Statistical Analysis</w:t>
      </w:r>
    </w:p>
    <w:p w14:paraId="2CC2D458" w14:textId="29726A39" w:rsidR="008117D9" w:rsidRDefault="002C52F3" w:rsidP="00DE0E4E">
      <w:pPr>
        <w:pStyle w:val="CETBodytext"/>
        <w:rPr>
          <w:szCs w:val="18"/>
        </w:rPr>
      </w:pPr>
      <w:r w:rsidRPr="002C52F3">
        <w:rPr>
          <w:szCs w:val="18"/>
        </w:rPr>
        <w:t xml:space="preserve">Table 2 presents the </w:t>
      </w:r>
      <w:r w:rsidRPr="002C52F3">
        <w:t>3</w:t>
      </w:r>
      <w:r w:rsidRPr="002C52F3">
        <w:rPr>
          <w:vertAlign w:val="superscript"/>
        </w:rPr>
        <w:t>2</w:t>
      </w:r>
      <w:r w:rsidRPr="002C52F3">
        <w:t xml:space="preserve"> factorial design </w:t>
      </w:r>
      <w:r w:rsidRPr="002C52F3">
        <w:rPr>
          <w:lang w:val="en-GB"/>
        </w:rPr>
        <w:t>matrix for pH (x</w:t>
      </w:r>
      <w:r w:rsidRPr="002C52F3">
        <w:rPr>
          <w:vertAlign w:val="subscript"/>
          <w:lang w:val="en-GB"/>
        </w:rPr>
        <w:t>2</w:t>
      </w:r>
      <w:r w:rsidRPr="002C52F3">
        <w:rPr>
          <w:lang w:val="en-GB"/>
        </w:rPr>
        <w:t>) and solvent-to-</w:t>
      </w:r>
      <w:r w:rsidR="00540085">
        <w:rPr>
          <w:lang w:val="en-GB"/>
        </w:rPr>
        <w:t>feed</w:t>
      </w:r>
      <w:r w:rsidR="00540085" w:rsidRPr="002C52F3">
        <w:rPr>
          <w:lang w:val="en-GB"/>
        </w:rPr>
        <w:t xml:space="preserve"> </w:t>
      </w:r>
      <w:r w:rsidRPr="002C52F3">
        <w:rPr>
          <w:lang w:val="en-GB"/>
        </w:rPr>
        <w:t>ratio (ROW, x</w:t>
      </w:r>
      <w:r w:rsidRPr="002C52F3">
        <w:rPr>
          <w:vertAlign w:val="subscript"/>
          <w:lang w:val="en-GB"/>
        </w:rPr>
        <w:t>1</w:t>
      </w:r>
      <w:r w:rsidRPr="002C52F3">
        <w:rPr>
          <w:lang w:val="en-GB"/>
        </w:rPr>
        <w:t>) along with the extraction percentages of butyric and propionic acids for 12 experiments</w:t>
      </w:r>
      <w:r w:rsidR="000B644D">
        <w:rPr>
          <w:lang w:val="en-GB"/>
        </w:rPr>
        <w:t xml:space="preserve">, </w:t>
      </w:r>
      <w:r w:rsidR="000B644D" w:rsidRPr="000B644D">
        <w:rPr>
          <w:lang w:val="en-GB"/>
        </w:rPr>
        <w:t>calculated using Equation 1</w:t>
      </w:r>
      <w:r w:rsidRPr="002C52F3">
        <w:rPr>
          <w:lang w:val="en-GB"/>
        </w:rPr>
        <w:t xml:space="preserve">. </w:t>
      </w:r>
      <w:r w:rsidR="000B644D" w:rsidRPr="000B644D">
        <w:rPr>
          <w:lang w:val="en-GB"/>
        </w:rPr>
        <w:t>Statistical analysis at a 95% confidence level</w:t>
      </w:r>
      <w:r w:rsidR="00D1680B">
        <w:rPr>
          <w:lang w:val="en-GB"/>
        </w:rPr>
        <w:t xml:space="preserve"> (Figure 2)</w:t>
      </w:r>
      <w:r w:rsidR="000B644D" w:rsidRPr="000B644D">
        <w:rPr>
          <w:lang w:val="en-GB"/>
        </w:rPr>
        <w:t xml:space="preserve"> revealed that the most significant factors for the extraction process were pH</w:t>
      </w:r>
      <w:r w:rsidR="000B644D">
        <w:rPr>
          <w:lang w:val="en-GB"/>
        </w:rPr>
        <w:t xml:space="preserve"> </w:t>
      </w:r>
      <w:r w:rsidR="009E1B45" w:rsidRPr="000B644D">
        <w:rPr>
          <w:szCs w:val="18"/>
          <w:lang w:val="en-GB"/>
        </w:rPr>
        <w:t>(x</w:t>
      </w:r>
      <w:r w:rsidR="009E1B45" w:rsidRPr="000B644D">
        <w:rPr>
          <w:szCs w:val="18"/>
          <w:vertAlign w:val="subscript"/>
          <w:lang w:val="en-GB"/>
        </w:rPr>
        <w:t>2</w:t>
      </w:r>
      <w:r w:rsidR="009E1B45" w:rsidRPr="000B644D">
        <w:rPr>
          <w:szCs w:val="18"/>
          <w:lang w:val="en-GB"/>
        </w:rPr>
        <w:t xml:space="preserve">) </w:t>
      </w:r>
      <w:r w:rsidR="000B644D" w:rsidRPr="000B644D">
        <w:rPr>
          <w:szCs w:val="18"/>
          <w:lang w:val="en-GB"/>
        </w:rPr>
        <w:t>and the solvent-to-</w:t>
      </w:r>
      <w:r w:rsidR="00540085">
        <w:rPr>
          <w:szCs w:val="18"/>
          <w:lang w:val="en-GB"/>
        </w:rPr>
        <w:t>feed</w:t>
      </w:r>
      <w:r w:rsidR="00540085" w:rsidRPr="000B644D">
        <w:rPr>
          <w:szCs w:val="18"/>
          <w:lang w:val="en-GB"/>
        </w:rPr>
        <w:t xml:space="preserve"> </w:t>
      </w:r>
      <w:r w:rsidR="000B644D" w:rsidRPr="000B644D">
        <w:rPr>
          <w:szCs w:val="18"/>
          <w:lang w:val="en-GB"/>
        </w:rPr>
        <w:t xml:space="preserve">ratio </w:t>
      </w:r>
      <w:r w:rsidR="009E1B45" w:rsidRPr="000B644D">
        <w:rPr>
          <w:szCs w:val="18"/>
          <w:lang w:val="en-GB"/>
        </w:rPr>
        <w:t>(ROW, x</w:t>
      </w:r>
      <w:r w:rsidR="009E1B45" w:rsidRPr="000B644D">
        <w:rPr>
          <w:szCs w:val="18"/>
          <w:vertAlign w:val="subscript"/>
          <w:lang w:val="en-GB"/>
        </w:rPr>
        <w:t>1</w:t>
      </w:r>
      <w:r w:rsidR="009E1B45" w:rsidRPr="000B644D">
        <w:rPr>
          <w:szCs w:val="18"/>
          <w:lang w:val="en-GB"/>
        </w:rPr>
        <w:t xml:space="preserve">), </w:t>
      </w:r>
      <w:r w:rsidR="000B644D" w:rsidRPr="000B644D">
        <w:rPr>
          <w:szCs w:val="18"/>
          <w:lang w:val="en-GB"/>
        </w:rPr>
        <w:t>underscoring their importance in process efficiency. For butyric acid, the linear term of pH exhibited the largest effect</w:t>
      </w:r>
      <w:r w:rsidR="000B644D" w:rsidRPr="000B644D">
        <w:rPr>
          <w:szCs w:val="18"/>
        </w:rPr>
        <w:t xml:space="preserve"> </w:t>
      </w:r>
      <w:r w:rsidR="009E1B45" w:rsidRPr="000B644D">
        <w:rPr>
          <w:szCs w:val="18"/>
        </w:rPr>
        <w:t>(-43</w:t>
      </w:r>
      <w:r w:rsidR="00540085">
        <w:rPr>
          <w:szCs w:val="18"/>
        </w:rPr>
        <w:t>.</w:t>
      </w:r>
      <w:r w:rsidR="009E1B45" w:rsidRPr="000B644D">
        <w:rPr>
          <w:szCs w:val="18"/>
        </w:rPr>
        <w:t xml:space="preserve">05), </w:t>
      </w:r>
      <w:r w:rsidR="000B644D" w:rsidRPr="000B644D">
        <w:rPr>
          <w:szCs w:val="18"/>
          <w:lang w:val="en-GB"/>
        </w:rPr>
        <w:t xml:space="preserve">followed by the linear term of ROW </w:t>
      </w:r>
      <w:r w:rsidR="009E1B45" w:rsidRPr="000B644D">
        <w:rPr>
          <w:szCs w:val="18"/>
        </w:rPr>
        <w:t>(38</w:t>
      </w:r>
      <w:r w:rsidR="00540085">
        <w:rPr>
          <w:szCs w:val="18"/>
        </w:rPr>
        <w:t>.</w:t>
      </w:r>
      <w:r w:rsidR="009E1B45" w:rsidRPr="000B644D">
        <w:rPr>
          <w:szCs w:val="18"/>
        </w:rPr>
        <w:t xml:space="preserve">70). </w:t>
      </w:r>
      <w:r w:rsidR="000B644D" w:rsidRPr="000B644D">
        <w:rPr>
          <w:szCs w:val="18"/>
          <w:lang w:val="en-GB"/>
        </w:rPr>
        <w:t>For propionic acid, the most significant factor was the interaction between ROW and pH</w:t>
      </w:r>
      <w:r w:rsidR="000B644D" w:rsidRPr="000B644D">
        <w:rPr>
          <w:szCs w:val="18"/>
        </w:rPr>
        <w:t xml:space="preserve"> </w:t>
      </w:r>
      <w:r w:rsidR="009E1B45" w:rsidRPr="000B644D">
        <w:rPr>
          <w:szCs w:val="18"/>
        </w:rPr>
        <w:t>(x</w:t>
      </w:r>
      <w:r w:rsidR="009E1B45" w:rsidRPr="000B644D">
        <w:rPr>
          <w:szCs w:val="18"/>
          <w:vertAlign w:val="subscript"/>
        </w:rPr>
        <w:t>1</w:t>
      </w:r>
      <w:r w:rsidR="009E1B45" w:rsidRPr="000B644D">
        <w:rPr>
          <w:szCs w:val="18"/>
        </w:rPr>
        <w:t>x</w:t>
      </w:r>
      <w:r w:rsidR="009E1B45" w:rsidRPr="000B644D">
        <w:rPr>
          <w:szCs w:val="18"/>
          <w:vertAlign w:val="subscript"/>
        </w:rPr>
        <w:t>2</w:t>
      </w:r>
      <w:r w:rsidR="009E1B45" w:rsidRPr="000B644D">
        <w:rPr>
          <w:szCs w:val="18"/>
        </w:rPr>
        <w:t xml:space="preserve">), </w:t>
      </w:r>
      <w:r w:rsidR="000B644D" w:rsidRPr="000B644D">
        <w:rPr>
          <w:szCs w:val="18"/>
          <w:lang w:val="en-GB"/>
        </w:rPr>
        <w:t>with an effect of</w:t>
      </w:r>
      <w:r w:rsidR="000B644D">
        <w:rPr>
          <w:szCs w:val="18"/>
          <w:lang w:val="en-GB"/>
        </w:rPr>
        <w:t xml:space="preserve"> </w:t>
      </w:r>
      <w:r w:rsidR="009E1B45" w:rsidRPr="000B644D">
        <w:rPr>
          <w:szCs w:val="18"/>
        </w:rPr>
        <w:t>-14</w:t>
      </w:r>
      <w:r w:rsidR="00540085">
        <w:rPr>
          <w:szCs w:val="18"/>
        </w:rPr>
        <w:t>.</w:t>
      </w:r>
      <w:r w:rsidR="009E1B45" w:rsidRPr="000B644D">
        <w:rPr>
          <w:szCs w:val="18"/>
        </w:rPr>
        <w:t xml:space="preserve">75, </w:t>
      </w:r>
      <w:r w:rsidR="000B644D" w:rsidRPr="000B644D">
        <w:rPr>
          <w:szCs w:val="18"/>
          <w:lang w:val="en-GB"/>
        </w:rPr>
        <w:t>while the linear term of ROW had a positive impact</w:t>
      </w:r>
      <w:r w:rsidR="000B644D">
        <w:rPr>
          <w:szCs w:val="18"/>
          <w:lang w:val="en-GB"/>
        </w:rPr>
        <w:t xml:space="preserve"> </w:t>
      </w:r>
      <w:r w:rsidR="009E1B45" w:rsidRPr="000B644D">
        <w:rPr>
          <w:szCs w:val="18"/>
        </w:rPr>
        <w:t>(10</w:t>
      </w:r>
      <w:r w:rsidR="00540085">
        <w:rPr>
          <w:szCs w:val="18"/>
        </w:rPr>
        <w:t>.</w:t>
      </w:r>
      <w:r w:rsidR="009E1B45" w:rsidRPr="000B644D">
        <w:rPr>
          <w:szCs w:val="18"/>
        </w:rPr>
        <w:t>68).</w:t>
      </w:r>
      <w:r w:rsidR="00B762C3" w:rsidRPr="00B762C3">
        <w:t xml:space="preserve"> </w:t>
      </w:r>
      <w:r w:rsidR="00B762C3" w:rsidRPr="00B762C3">
        <w:rPr>
          <w:szCs w:val="18"/>
        </w:rPr>
        <w:t>After excluding the insignificant terms at a 95% confidence level, the following regression equation in coded units was derived for %E</w:t>
      </w:r>
      <w:r w:rsidR="003E15F9">
        <w:rPr>
          <w:szCs w:val="18"/>
        </w:rPr>
        <w:t>xt</w:t>
      </w:r>
      <w:r w:rsidR="00B762C3">
        <w:rPr>
          <w:szCs w:val="18"/>
        </w:rPr>
        <w:t>:</w:t>
      </w:r>
    </w:p>
    <w:p w14:paraId="7BB08B7A" w14:textId="77777777" w:rsidR="00B762C3" w:rsidRDefault="00B762C3" w:rsidP="008117D9">
      <w:pPr>
        <w:pStyle w:val="CETBodytext"/>
        <w:rPr>
          <w:szCs w:val="18"/>
        </w:rPr>
      </w:pPr>
    </w:p>
    <w:p w14:paraId="4330B403" w14:textId="24550623" w:rsidR="00B762C3" w:rsidRDefault="00B762C3" w:rsidP="008117D9">
      <w:pPr>
        <w:pStyle w:val="CETBodytext"/>
        <w:rPr>
          <w:szCs w:val="18"/>
        </w:rPr>
      </w:pPr>
      <m:oMath>
        <m:r>
          <m:rPr>
            <m:sty m:val="p"/>
          </m:rPr>
          <w:rPr>
            <w:rFonts w:ascii="Cambria Math" w:hAnsi="Cambria Math"/>
            <w:sz w:val="20"/>
          </w:rPr>
          <m:t>%</m:t>
        </m:r>
        <m:r>
          <w:rPr>
            <w:rFonts w:ascii="Cambria Math" w:hAnsi="Cambria Math"/>
            <w:sz w:val="20"/>
          </w:rPr>
          <m:t>Ex</m:t>
        </m:r>
        <m:sSub>
          <m:sSubPr>
            <m:ctrlPr>
              <w:rPr>
                <w:rFonts w:ascii="Cambria Math" w:hAnsi="Cambria Math"/>
                <w:i/>
                <w:sz w:val="20"/>
              </w:rPr>
            </m:ctrlPr>
          </m:sSubPr>
          <m:e>
            <m:r>
              <w:rPr>
                <w:rFonts w:ascii="Cambria Math" w:hAnsi="Cambria Math"/>
                <w:sz w:val="20"/>
              </w:rPr>
              <m:t>t</m:t>
            </m:r>
          </m:e>
          <m:sub>
            <m:r>
              <w:rPr>
                <w:rFonts w:ascii="Cambria Math" w:hAnsi="Cambria Math"/>
                <w:sz w:val="20"/>
              </w:rPr>
              <m:t>But</m:t>
            </m:r>
          </m:sub>
        </m:sSub>
        <m:r>
          <w:rPr>
            <w:rFonts w:ascii="Cambria Math" w:hAnsi="Cambria Math"/>
            <w:sz w:val="20"/>
          </w:rPr>
          <m:t>=39.4+9.6</m:t>
        </m:r>
        <m:sSub>
          <m:sSubPr>
            <m:ctrlPr>
              <w:rPr>
                <w:rFonts w:ascii="Cambria Math" w:hAnsi="Cambria Math"/>
                <w:sz w:val="20"/>
              </w:rPr>
            </m:ctrlPr>
          </m:sSubPr>
          <m:e>
            <m:r>
              <w:rPr>
                <w:rFonts w:ascii="Cambria Math" w:hAnsi="Cambria Math"/>
                <w:sz w:val="20"/>
              </w:rPr>
              <m:t>x</m:t>
            </m:r>
          </m:e>
          <m:sub>
            <m:r>
              <w:rPr>
                <w:rFonts w:ascii="Cambria Math" w:hAnsi="Cambria Math"/>
                <w:sz w:val="20"/>
              </w:rPr>
              <m:t>1</m:t>
            </m:r>
          </m:sub>
        </m:sSub>
        <m:r>
          <w:rPr>
            <w:rFonts w:ascii="Cambria Math" w:hAnsi="Cambria Math"/>
            <w:sz w:val="20"/>
          </w:rPr>
          <m:t>-12.0</m:t>
        </m:r>
        <m:sSub>
          <m:sSubPr>
            <m:ctrlPr>
              <w:rPr>
                <w:rFonts w:ascii="Cambria Math" w:hAnsi="Cambria Math"/>
                <w:sz w:val="20"/>
              </w:rPr>
            </m:ctrlPr>
          </m:sSubPr>
          <m:e>
            <m:r>
              <w:rPr>
                <w:rFonts w:ascii="Cambria Math" w:hAnsi="Cambria Math"/>
                <w:sz w:val="20"/>
              </w:rPr>
              <m:t>x</m:t>
            </m:r>
          </m:e>
          <m:sub>
            <m:r>
              <w:rPr>
                <w:rFonts w:ascii="Cambria Math" w:hAnsi="Cambria Math"/>
                <w:sz w:val="20"/>
              </w:rPr>
              <m:t>2</m:t>
            </m:r>
          </m:sub>
        </m:sSub>
        <m:r>
          <w:rPr>
            <w:rFonts w:ascii="Cambria Math" w:hAnsi="Cambria Math"/>
            <w:sz w:val="20"/>
          </w:rPr>
          <m:t>+4.6</m:t>
        </m:r>
        <m:sSubSup>
          <m:sSubSupPr>
            <m:ctrlPr>
              <w:rPr>
                <w:rFonts w:ascii="Cambria Math" w:hAnsi="Cambria Math"/>
                <w:sz w:val="20"/>
              </w:rPr>
            </m:ctrlPr>
          </m:sSubSupPr>
          <m:e>
            <m:r>
              <w:rPr>
                <w:rFonts w:ascii="Cambria Math" w:hAnsi="Cambria Math"/>
                <w:sz w:val="20"/>
              </w:rPr>
              <m:t>x</m:t>
            </m:r>
          </m:e>
          <m:sub>
            <m:r>
              <w:rPr>
                <w:rFonts w:ascii="Cambria Math" w:hAnsi="Cambria Math"/>
                <w:sz w:val="20"/>
              </w:rPr>
              <m:t>2</m:t>
            </m:r>
          </m:sub>
          <m:sup>
            <m:r>
              <w:rPr>
                <w:rFonts w:ascii="Cambria Math" w:hAnsi="Cambria Math"/>
                <w:sz w:val="20"/>
              </w:rPr>
              <m:t>2</m:t>
            </m:r>
          </m:sup>
        </m:sSubSup>
        <m:r>
          <w:rPr>
            <w:rFonts w:ascii="Cambria Math" w:hAnsi="Cambria Math"/>
            <w:sz w:val="20"/>
          </w:rPr>
          <m:t>-8.9</m:t>
        </m:r>
        <m:sSub>
          <m:sSubPr>
            <m:ctrlPr>
              <w:rPr>
                <w:rFonts w:ascii="Cambria Math" w:hAnsi="Cambria Math"/>
                <w:sz w:val="20"/>
              </w:rPr>
            </m:ctrlPr>
          </m:sSubPr>
          <m:e>
            <m:r>
              <w:rPr>
                <w:rFonts w:ascii="Cambria Math" w:hAnsi="Cambria Math"/>
                <w:sz w:val="20"/>
              </w:rPr>
              <m:t>x</m:t>
            </m:r>
          </m:e>
          <m:sub>
            <m:r>
              <w:rPr>
                <w:rFonts w:ascii="Cambria Math" w:hAnsi="Cambria Math"/>
                <w:sz w:val="20"/>
              </w:rPr>
              <m:t>1</m:t>
            </m:r>
          </m:sub>
        </m:sSub>
        <m:sSub>
          <m:sSubPr>
            <m:ctrlPr>
              <w:rPr>
                <w:rFonts w:ascii="Cambria Math" w:hAnsi="Cambria Math"/>
                <w:sz w:val="20"/>
              </w:rPr>
            </m:ctrlPr>
          </m:sSubPr>
          <m:e>
            <m:r>
              <w:rPr>
                <w:rFonts w:ascii="Cambria Math" w:hAnsi="Cambria Math"/>
                <w:sz w:val="20"/>
              </w:rPr>
              <m:t>x</m:t>
            </m:r>
          </m:e>
          <m:sub>
            <m:r>
              <w:rPr>
                <w:rFonts w:ascii="Cambria Math" w:hAnsi="Cambria Math"/>
                <w:sz w:val="20"/>
              </w:rPr>
              <m:t>2</m:t>
            </m:r>
          </m:sub>
        </m:sSub>
        <m:r>
          <w:rPr>
            <w:rFonts w:ascii="Cambria Math" w:hAnsi="Cambria Math"/>
            <w:sz w:val="20"/>
          </w:rPr>
          <m:t>+4.7</m:t>
        </m:r>
        <m:sSub>
          <m:sSubPr>
            <m:ctrlPr>
              <w:rPr>
                <w:rFonts w:ascii="Cambria Math" w:hAnsi="Cambria Math"/>
                <w:sz w:val="20"/>
              </w:rPr>
            </m:ctrlPr>
          </m:sSubPr>
          <m:e>
            <m:r>
              <w:rPr>
                <w:rFonts w:ascii="Cambria Math" w:hAnsi="Cambria Math"/>
                <w:sz w:val="20"/>
              </w:rPr>
              <m:t>x</m:t>
            </m:r>
          </m:e>
          <m:sub>
            <m:r>
              <w:rPr>
                <w:rFonts w:ascii="Cambria Math" w:hAnsi="Cambria Math"/>
                <w:sz w:val="20"/>
              </w:rPr>
              <m:t>1</m:t>
            </m:r>
          </m:sub>
        </m:sSub>
        <m:sSubSup>
          <m:sSubSupPr>
            <m:ctrlPr>
              <w:rPr>
                <w:rFonts w:ascii="Cambria Math" w:hAnsi="Cambria Math"/>
                <w:sz w:val="20"/>
              </w:rPr>
            </m:ctrlPr>
          </m:sSubSupPr>
          <m:e>
            <m:r>
              <w:rPr>
                <w:rFonts w:ascii="Cambria Math" w:hAnsi="Cambria Math"/>
                <w:sz w:val="20"/>
              </w:rPr>
              <m:t>x</m:t>
            </m:r>
          </m:e>
          <m:sub>
            <m:r>
              <w:rPr>
                <w:rFonts w:ascii="Cambria Math" w:hAnsi="Cambria Math"/>
                <w:sz w:val="20"/>
              </w:rPr>
              <m:t>2</m:t>
            </m:r>
          </m:sub>
          <m:sup>
            <m:r>
              <w:rPr>
                <w:rFonts w:ascii="Cambria Math" w:hAnsi="Cambria Math"/>
                <w:sz w:val="20"/>
              </w:rPr>
              <m:t>2</m:t>
            </m:r>
          </m:sup>
        </m:sSubSup>
        <m:r>
          <w:rPr>
            <w:rFonts w:ascii="Cambria Math" w:hAnsi="Cambria Math"/>
            <w:sz w:val="20"/>
          </w:rPr>
          <m:t>-4.1</m:t>
        </m:r>
        <m:sSubSup>
          <m:sSubSupPr>
            <m:ctrlPr>
              <w:rPr>
                <w:rFonts w:ascii="Cambria Math" w:hAnsi="Cambria Math"/>
                <w:sz w:val="20"/>
              </w:rPr>
            </m:ctrlPr>
          </m:sSubSupPr>
          <m:e>
            <m:r>
              <w:rPr>
                <w:rFonts w:ascii="Cambria Math" w:hAnsi="Cambria Math"/>
                <w:sz w:val="20"/>
              </w:rPr>
              <m:t>x</m:t>
            </m:r>
          </m:e>
          <m:sub>
            <m:r>
              <w:rPr>
                <w:rFonts w:ascii="Cambria Math" w:hAnsi="Cambria Math"/>
                <w:sz w:val="20"/>
              </w:rPr>
              <m:t>1</m:t>
            </m:r>
          </m:sub>
          <m:sup>
            <m:r>
              <w:rPr>
                <w:rFonts w:ascii="Cambria Math" w:hAnsi="Cambria Math"/>
                <w:sz w:val="20"/>
              </w:rPr>
              <m:t>2</m:t>
            </m:r>
          </m:sup>
        </m:sSubSup>
        <m:sSub>
          <m:sSubPr>
            <m:ctrlPr>
              <w:rPr>
                <w:rFonts w:ascii="Cambria Math" w:hAnsi="Cambria Math"/>
                <w:sz w:val="20"/>
              </w:rPr>
            </m:ctrlPr>
          </m:sSubPr>
          <m:e>
            <m:r>
              <w:rPr>
                <w:rFonts w:ascii="Cambria Math" w:hAnsi="Cambria Math"/>
                <w:sz w:val="20"/>
              </w:rPr>
              <m:t>x</m:t>
            </m:r>
          </m:e>
          <m:sub>
            <m:r>
              <w:rPr>
                <w:rFonts w:ascii="Cambria Math" w:hAnsi="Cambria Math"/>
                <w:sz w:val="20"/>
              </w:rPr>
              <m:t>2</m:t>
            </m:r>
          </m:sub>
        </m:sSub>
        <m:r>
          <w:rPr>
            <w:rFonts w:ascii="Cambria Math" w:hAnsi="Cambria Math"/>
            <w:sz w:val="20"/>
          </w:rPr>
          <m:t>+2.7</m:t>
        </m:r>
        <m:sSubSup>
          <m:sSubSupPr>
            <m:ctrlPr>
              <w:rPr>
                <w:rFonts w:ascii="Cambria Math" w:hAnsi="Cambria Math"/>
                <w:sz w:val="20"/>
              </w:rPr>
            </m:ctrlPr>
          </m:sSubSupPr>
          <m:e>
            <m:r>
              <w:rPr>
                <w:rFonts w:ascii="Cambria Math" w:hAnsi="Cambria Math"/>
                <w:sz w:val="20"/>
              </w:rPr>
              <m:t>x</m:t>
            </m:r>
          </m:e>
          <m:sub>
            <m:r>
              <w:rPr>
                <w:rFonts w:ascii="Cambria Math" w:hAnsi="Cambria Math"/>
                <w:sz w:val="20"/>
              </w:rPr>
              <m:t>1</m:t>
            </m:r>
          </m:sub>
          <m:sup>
            <m:r>
              <w:rPr>
                <w:rFonts w:ascii="Cambria Math" w:hAnsi="Cambria Math"/>
                <w:sz w:val="20"/>
              </w:rPr>
              <m:t>2</m:t>
            </m:r>
          </m:sup>
        </m:sSubSup>
        <m:sSubSup>
          <m:sSubSupPr>
            <m:ctrlPr>
              <w:rPr>
                <w:rFonts w:ascii="Cambria Math" w:hAnsi="Cambria Math"/>
                <w:sz w:val="20"/>
              </w:rPr>
            </m:ctrlPr>
          </m:sSubSupPr>
          <m:e>
            <m:r>
              <w:rPr>
                <w:rFonts w:ascii="Cambria Math" w:hAnsi="Cambria Math"/>
                <w:sz w:val="20"/>
              </w:rPr>
              <m:t>x</m:t>
            </m:r>
          </m:e>
          <m:sub>
            <m:r>
              <w:rPr>
                <w:rFonts w:ascii="Cambria Math" w:hAnsi="Cambria Math"/>
                <w:sz w:val="20"/>
              </w:rPr>
              <m:t>2</m:t>
            </m:r>
          </m:sub>
          <m:sup>
            <m:r>
              <w:rPr>
                <w:rFonts w:ascii="Cambria Math" w:hAnsi="Cambria Math"/>
                <w:sz w:val="20"/>
              </w:rPr>
              <m:t>2</m:t>
            </m:r>
          </m:sup>
        </m:sSubSup>
      </m:oMath>
      <w:r>
        <w:rPr>
          <w:sz w:val="20"/>
        </w:rPr>
        <w:t xml:space="preserve">           </w:t>
      </w:r>
      <w:r w:rsidR="00540085">
        <w:rPr>
          <w:sz w:val="20"/>
        </w:rPr>
        <w:tab/>
      </w:r>
      <w:r w:rsidRPr="00B762C3">
        <w:rPr>
          <w:szCs w:val="18"/>
        </w:rPr>
        <w:t>(6)</w:t>
      </w:r>
    </w:p>
    <w:p w14:paraId="6BF6CB7E" w14:textId="77777777" w:rsidR="00B762C3" w:rsidRDefault="00B762C3" w:rsidP="008117D9">
      <w:pPr>
        <w:pStyle w:val="CETBodytext"/>
        <w:rPr>
          <w:szCs w:val="18"/>
        </w:rPr>
      </w:pPr>
    </w:p>
    <w:p w14:paraId="3C9EE9D9" w14:textId="79D2FB2C" w:rsidR="00540085" w:rsidRDefault="00B762C3" w:rsidP="004F0A68">
      <w:pPr>
        <w:pStyle w:val="CETBodytext"/>
      </w:pPr>
      <m:oMath>
        <m:r>
          <m:rPr>
            <m:sty m:val="p"/>
          </m:rPr>
          <w:rPr>
            <w:rFonts w:ascii="Cambria Math" w:hAnsi="Cambria Math"/>
            <w:sz w:val="20"/>
          </w:rPr>
          <m:t>%</m:t>
        </m:r>
        <m:r>
          <w:rPr>
            <w:rFonts w:ascii="Cambria Math" w:hAnsi="Cambria Math"/>
            <w:sz w:val="20"/>
          </w:rPr>
          <m:t>Ex</m:t>
        </m:r>
        <m:sSub>
          <m:sSubPr>
            <m:ctrlPr>
              <w:rPr>
                <w:rFonts w:ascii="Cambria Math" w:hAnsi="Cambria Math"/>
                <w:i/>
                <w:sz w:val="20"/>
              </w:rPr>
            </m:ctrlPr>
          </m:sSubPr>
          <m:e>
            <m:r>
              <w:rPr>
                <w:rFonts w:ascii="Cambria Math" w:hAnsi="Cambria Math"/>
                <w:sz w:val="20"/>
              </w:rPr>
              <m:t>t</m:t>
            </m:r>
          </m:e>
          <m:sub>
            <m:r>
              <w:rPr>
                <w:rFonts w:ascii="Cambria Math" w:hAnsi="Cambria Math"/>
                <w:sz w:val="20"/>
              </w:rPr>
              <m:t>Pro</m:t>
            </m:r>
          </m:sub>
        </m:sSub>
        <m:r>
          <w:rPr>
            <w:rFonts w:ascii="Cambria Math" w:hAnsi="Cambria Math"/>
            <w:sz w:val="20"/>
          </w:rPr>
          <m:t>=23.6+4.5</m:t>
        </m:r>
        <m:sSub>
          <m:sSubPr>
            <m:ctrlPr>
              <w:rPr>
                <w:rFonts w:ascii="Cambria Math" w:hAnsi="Cambria Math"/>
                <w:sz w:val="20"/>
              </w:rPr>
            </m:ctrlPr>
          </m:sSubPr>
          <m:e>
            <m:r>
              <w:rPr>
                <w:rFonts w:ascii="Cambria Math" w:hAnsi="Cambria Math"/>
                <w:sz w:val="20"/>
              </w:rPr>
              <m:t>x</m:t>
            </m:r>
          </m:e>
          <m:sub>
            <m:r>
              <w:rPr>
                <w:rFonts w:ascii="Cambria Math" w:hAnsi="Cambria Math"/>
                <w:sz w:val="20"/>
              </w:rPr>
              <m:t>1</m:t>
            </m:r>
          </m:sub>
        </m:sSub>
        <m:r>
          <w:rPr>
            <w:rFonts w:ascii="Cambria Math" w:hAnsi="Cambria Math"/>
            <w:sz w:val="20"/>
          </w:rPr>
          <m:t>-3.6</m:t>
        </m:r>
        <m:sSub>
          <m:sSubPr>
            <m:ctrlPr>
              <w:rPr>
                <w:rFonts w:ascii="Cambria Math" w:hAnsi="Cambria Math"/>
                <w:sz w:val="20"/>
              </w:rPr>
            </m:ctrlPr>
          </m:sSubPr>
          <m:e>
            <m:r>
              <w:rPr>
                <w:rFonts w:ascii="Cambria Math" w:hAnsi="Cambria Math"/>
                <w:sz w:val="20"/>
              </w:rPr>
              <m:t>x</m:t>
            </m:r>
          </m:e>
          <m:sub>
            <m:r>
              <w:rPr>
                <w:rFonts w:ascii="Cambria Math" w:hAnsi="Cambria Math"/>
                <w:sz w:val="20"/>
              </w:rPr>
              <m:t>2</m:t>
            </m:r>
          </m:sub>
        </m:sSub>
        <m:r>
          <w:rPr>
            <w:rFonts w:ascii="Cambria Math" w:hAnsi="Cambria Math"/>
            <w:sz w:val="20"/>
          </w:rPr>
          <m:t>-9.0</m:t>
        </m:r>
        <m:sSub>
          <m:sSubPr>
            <m:ctrlPr>
              <w:rPr>
                <w:rFonts w:ascii="Cambria Math" w:hAnsi="Cambria Math"/>
                <w:sz w:val="20"/>
              </w:rPr>
            </m:ctrlPr>
          </m:sSubPr>
          <m:e>
            <m:r>
              <w:rPr>
                <w:rFonts w:ascii="Cambria Math" w:hAnsi="Cambria Math"/>
                <w:sz w:val="20"/>
              </w:rPr>
              <m:t>x</m:t>
            </m:r>
          </m:e>
          <m:sub>
            <m:r>
              <w:rPr>
                <w:rFonts w:ascii="Cambria Math" w:hAnsi="Cambria Math"/>
                <w:sz w:val="20"/>
              </w:rPr>
              <m:t>1</m:t>
            </m:r>
          </m:sub>
        </m:sSub>
        <m:sSub>
          <m:sSubPr>
            <m:ctrlPr>
              <w:rPr>
                <w:rFonts w:ascii="Cambria Math" w:hAnsi="Cambria Math"/>
                <w:sz w:val="20"/>
              </w:rPr>
            </m:ctrlPr>
          </m:sSubPr>
          <m:e>
            <m:r>
              <w:rPr>
                <w:rFonts w:ascii="Cambria Math" w:hAnsi="Cambria Math"/>
                <w:sz w:val="20"/>
              </w:rPr>
              <m:t>x</m:t>
            </m:r>
          </m:e>
          <m:sub>
            <m:r>
              <w:rPr>
                <w:rFonts w:ascii="Cambria Math" w:hAnsi="Cambria Math"/>
                <w:sz w:val="20"/>
              </w:rPr>
              <m:t>2</m:t>
            </m:r>
          </m:sub>
        </m:sSub>
        <m:r>
          <w:rPr>
            <w:rFonts w:ascii="Cambria Math" w:hAnsi="Cambria Math"/>
            <w:sz w:val="20"/>
          </w:rPr>
          <m:t>+5.1</m:t>
        </m:r>
        <m:sSub>
          <m:sSubPr>
            <m:ctrlPr>
              <w:rPr>
                <w:rFonts w:ascii="Cambria Math" w:hAnsi="Cambria Math"/>
                <w:sz w:val="20"/>
              </w:rPr>
            </m:ctrlPr>
          </m:sSubPr>
          <m:e>
            <m:r>
              <w:rPr>
                <w:rFonts w:ascii="Cambria Math" w:hAnsi="Cambria Math"/>
                <w:sz w:val="20"/>
              </w:rPr>
              <m:t>x</m:t>
            </m:r>
          </m:e>
          <m:sub>
            <m:r>
              <w:rPr>
                <w:rFonts w:ascii="Cambria Math" w:hAnsi="Cambria Math"/>
                <w:sz w:val="20"/>
              </w:rPr>
              <m:t>1</m:t>
            </m:r>
          </m:sub>
        </m:sSub>
        <m:sSubSup>
          <m:sSubSupPr>
            <m:ctrlPr>
              <w:rPr>
                <w:rFonts w:ascii="Cambria Math" w:hAnsi="Cambria Math"/>
                <w:sz w:val="20"/>
              </w:rPr>
            </m:ctrlPr>
          </m:sSubSupPr>
          <m:e>
            <m:r>
              <w:rPr>
                <w:rFonts w:ascii="Cambria Math" w:hAnsi="Cambria Math"/>
                <w:sz w:val="20"/>
              </w:rPr>
              <m:t>x</m:t>
            </m:r>
          </m:e>
          <m:sub>
            <m:r>
              <w:rPr>
                <w:rFonts w:ascii="Cambria Math" w:hAnsi="Cambria Math"/>
                <w:sz w:val="20"/>
              </w:rPr>
              <m:t>2</m:t>
            </m:r>
          </m:sub>
          <m:sup>
            <m:r>
              <w:rPr>
                <w:rFonts w:ascii="Cambria Math" w:hAnsi="Cambria Math"/>
                <w:sz w:val="20"/>
              </w:rPr>
              <m:t>2</m:t>
            </m:r>
          </m:sup>
        </m:sSubSup>
      </m:oMath>
      <w:r w:rsidRPr="003E15F9">
        <w:rPr>
          <w:sz w:val="20"/>
        </w:rPr>
        <w:t xml:space="preserve">  </w:t>
      </w:r>
      <w:r w:rsidRPr="00B762C3">
        <w:rPr>
          <w:sz w:val="20"/>
        </w:rPr>
        <w:t xml:space="preserve">                                                             </w:t>
      </w:r>
      <w:r w:rsidR="00540085">
        <w:rPr>
          <w:sz w:val="20"/>
        </w:rPr>
        <w:tab/>
      </w:r>
      <w:r w:rsidRPr="00B762C3">
        <w:rPr>
          <w:sz w:val="20"/>
        </w:rPr>
        <w:t xml:space="preserve"> </w:t>
      </w:r>
      <w:r w:rsidRPr="00B762C3">
        <w:rPr>
          <w:szCs w:val="18"/>
        </w:rPr>
        <w:t>(7)</w:t>
      </w:r>
    </w:p>
    <w:p w14:paraId="2B045E88" w14:textId="6EF6680F" w:rsidR="00C40D81" w:rsidRPr="00B57B36" w:rsidRDefault="00C40D81" w:rsidP="00C40D81">
      <w:pPr>
        <w:pStyle w:val="CETTabletitle"/>
      </w:pPr>
      <w:r w:rsidRPr="00B57B36">
        <w:lastRenderedPageBreak/>
        <w:t xml:space="preserve">Table </w:t>
      </w:r>
      <w:r>
        <w:t xml:space="preserve">2. </w:t>
      </w:r>
      <w:r w:rsidRPr="00C40D81">
        <w:t>Values for the variables considered in the factorial design and the response (% extraction).</w:t>
      </w:r>
    </w:p>
    <w:tbl>
      <w:tblPr>
        <w:tblW w:w="8840"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432"/>
        <w:gridCol w:w="997"/>
        <w:gridCol w:w="992"/>
        <w:gridCol w:w="999"/>
        <w:gridCol w:w="999"/>
        <w:gridCol w:w="432"/>
        <w:gridCol w:w="998"/>
        <w:gridCol w:w="993"/>
        <w:gridCol w:w="999"/>
        <w:gridCol w:w="999"/>
      </w:tblGrid>
      <w:tr w:rsidR="009B0E62" w:rsidRPr="00B57B36" w14:paraId="3C3AF4F2" w14:textId="77777777" w:rsidTr="009B0E62">
        <w:tc>
          <w:tcPr>
            <w:tcW w:w="432" w:type="dxa"/>
            <w:tcBorders>
              <w:top w:val="single" w:sz="12" w:space="0" w:color="008000"/>
              <w:bottom w:val="single" w:sz="6" w:space="0" w:color="008000"/>
            </w:tcBorders>
            <w:shd w:val="clear" w:color="auto" w:fill="FFFFFF"/>
          </w:tcPr>
          <w:p w14:paraId="61AB3E67" w14:textId="1BCD30C9" w:rsidR="00C40D81" w:rsidRPr="00B57B36" w:rsidRDefault="00C40D81" w:rsidP="001E4651">
            <w:pPr>
              <w:pStyle w:val="CETBodytext"/>
              <w:jc w:val="center"/>
              <w:rPr>
                <w:lang w:val="en-GB"/>
              </w:rPr>
            </w:pPr>
            <w:r>
              <w:rPr>
                <w:lang w:val="en-GB"/>
              </w:rPr>
              <w:t>Run</w:t>
            </w:r>
          </w:p>
        </w:tc>
        <w:tc>
          <w:tcPr>
            <w:tcW w:w="997" w:type="dxa"/>
            <w:tcBorders>
              <w:top w:val="single" w:sz="12" w:space="0" w:color="008000"/>
              <w:bottom w:val="single" w:sz="6" w:space="0" w:color="008000"/>
            </w:tcBorders>
            <w:shd w:val="clear" w:color="auto" w:fill="FFFFFF"/>
          </w:tcPr>
          <w:p w14:paraId="1642AA70" w14:textId="261DC013" w:rsidR="00C40D81" w:rsidRPr="00B57B36" w:rsidRDefault="00C40D81" w:rsidP="001E4651">
            <w:pPr>
              <w:pStyle w:val="CETBodytext"/>
              <w:jc w:val="center"/>
              <w:rPr>
                <w:lang w:val="en-GB"/>
              </w:rPr>
            </w:pPr>
            <w:r>
              <w:rPr>
                <w:lang w:val="en-GB"/>
              </w:rPr>
              <w:t>x</w:t>
            </w:r>
            <w:r w:rsidRPr="001E4651">
              <w:rPr>
                <w:vertAlign w:val="subscript"/>
                <w:lang w:val="en-GB"/>
              </w:rPr>
              <w:t>1</w:t>
            </w:r>
            <w:r>
              <w:rPr>
                <w:lang w:val="en-GB"/>
              </w:rPr>
              <w:t xml:space="preserve"> (ROW)</w:t>
            </w:r>
          </w:p>
        </w:tc>
        <w:tc>
          <w:tcPr>
            <w:tcW w:w="992" w:type="dxa"/>
            <w:tcBorders>
              <w:top w:val="single" w:sz="12" w:space="0" w:color="008000"/>
              <w:bottom w:val="single" w:sz="6" w:space="0" w:color="008000"/>
            </w:tcBorders>
            <w:shd w:val="clear" w:color="auto" w:fill="FFFFFF"/>
          </w:tcPr>
          <w:p w14:paraId="1691516C" w14:textId="4CC2FB00" w:rsidR="00C40D81" w:rsidRPr="00B57B36" w:rsidRDefault="00C40D81" w:rsidP="001E4651">
            <w:pPr>
              <w:pStyle w:val="CETBodytext"/>
              <w:jc w:val="center"/>
              <w:rPr>
                <w:lang w:val="en-GB"/>
              </w:rPr>
            </w:pPr>
            <w:r>
              <w:rPr>
                <w:lang w:val="en-GB"/>
              </w:rPr>
              <w:t>x</w:t>
            </w:r>
            <w:r w:rsidRPr="001E4651">
              <w:rPr>
                <w:vertAlign w:val="subscript"/>
                <w:lang w:val="en-GB"/>
              </w:rPr>
              <w:t>2</w:t>
            </w:r>
            <w:r>
              <w:rPr>
                <w:lang w:val="en-GB"/>
              </w:rPr>
              <w:t xml:space="preserve"> (pH)</w:t>
            </w:r>
          </w:p>
        </w:tc>
        <w:tc>
          <w:tcPr>
            <w:tcW w:w="999" w:type="dxa"/>
            <w:tcBorders>
              <w:top w:val="single" w:sz="12" w:space="0" w:color="008000"/>
              <w:bottom w:val="single" w:sz="6" w:space="0" w:color="008000"/>
            </w:tcBorders>
            <w:shd w:val="clear" w:color="auto" w:fill="FFFFFF"/>
          </w:tcPr>
          <w:p w14:paraId="5FED61B1" w14:textId="5E683CD3" w:rsidR="00C40D81" w:rsidRPr="00B57B36" w:rsidRDefault="00C40D81" w:rsidP="001E4651">
            <w:pPr>
              <w:pStyle w:val="CETBodytext"/>
              <w:jc w:val="center"/>
              <w:rPr>
                <w:lang w:val="en-GB"/>
              </w:rPr>
            </w:pPr>
            <w:r w:rsidRPr="00C52849">
              <w:rPr>
                <w:rFonts w:cs="Arial"/>
                <w:szCs w:val="18"/>
              </w:rPr>
              <w:t>%E</w:t>
            </w:r>
            <w:r>
              <w:rPr>
                <w:rFonts w:cs="Arial"/>
                <w:szCs w:val="18"/>
              </w:rPr>
              <w:t>xt</w:t>
            </w:r>
            <w:r w:rsidRPr="00EF708A">
              <w:rPr>
                <w:rFonts w:cs="Arial"/>
                <w:szCs w:val="18"/>
                <w:vertAlign w:val="subscript"/>
              </w:rPr>
              <w:t>But</w:t>
            </w:r>
          </w:p>
        </w:tc>
        <w:tc>
          <w:tcPr>
            <w:tcW w:w="999" w:type="dxa"/>
            <w:tcBorders>
              <w:top w:val="single" w:sz="12" w:space="0" w:color="008000"/>
              <w:bottom w:val="single" w:sz="6" w:space="0" w:color="008000"/>
              <w:right w:val="single" w:sz="4" w:space="0" w:color="008000"/>
            </w:tcBorders>
            <w:shd w:val="clear" w:color="auto" w:fill="FFFFFF"/>
          </w:tcPr>
          <w:p w14:paraId="30C9ABC1" w14:textId="5FF2599F" w:rsidR="00C40D81" w:rsidRPr="00B57B36" w:rsidRDefault="00C40D81" w:rsidP="001E4651">
            <w:pPr>
              <w:pStyle w:val="CETBodytext"/>
              <w:jc w:val="center"/>
              <w:rPr>
                <w:lang w:val="en-GB"/>
              </w:rPr>
            </w:pPr>
            <w:r w:rsidRPr="00C52849">
              <w:rPr>
                <w:rFonts w:cs="Arial"/>
                <w:szCs w:val="18"/>
              </w:rPr>
              <w:t>%E</w:t>
            </w:r>
            <w:r>
              <w:rPr>
                <w:rFonts w:cs="Arial"/>
                <w:szCs w:val="18"/>
              </w:rPr>
              <w:t>xt</w:t>
            </w:r>
            <w:r w:rsidRPr="00EF708A">
              <w:rPr>
                <w:rFonts w:cs="Arial"/>
                <w:szCs w:val="18"/>
                <w:vertAlign w:val="subscript"/>
              </w:rPr>
              <w:t>Pro</w:t>
            </w:r>
          </w:p>
        </w:tc>
        <w:tc>
          <w:tcPr>
            <w:tcW w:w="432" w:type="dxa"/>
            <w:tcBorders>
              <w:top w:val="single" w:sz="12" w:space="0" w:color="008000"/>
              <w:left w:val="single" w:sz="4" w:space="0" w:color="008000"/>
              <w:bottom w:val="single" w:sz="6" w:space="0" w:color="008000"/>
            </w:tcBorders>
            <w:shd w:val="clear" w:color="auto" w:fill="FFFFFF"/>
          </w:tcPr>
          <w:p w14:paraId="3D305BF5" w14:textId="29D54ABD" w:rsidR="00C40D81" w:rsidRPr="00B57B36" w:rsidRDefault="00C40D81" w:rsidP="001E4651">
            <w:pPr>
              <w:pStyle w:val="CETBodytext"/>
              <w:jc w:val="center"/>
              <w:rPr>
                <w:lang w:val="en-GB"/>
              </w:rPr>
            </w:pPr>
            <w:r>
              <w:rPr>
                <w:lang w:val="en-GB"/>
              </w:rPr>
              <w:t>Run</w:t>
            </w:r>
          </w:p>
        </w:tc>
        <w:tc>
          <w:tcPr>
            <w:tcW w:w="998" w:type="dxa"/>
            <w:tcBorders>
              <w:top w:val="single" w:sz="12" w:space="0" w:color="008000"/>
              <w:bottom w:val="single" w:sz="6" w:space="0" w:color="008000"/>
            </w:tcBorders>
            <w:shd w:val="clear" w:color="auto" w:fill="FFFFFF"/>
          </w:tcPr>
          <w:p w14:paraId="0185DBB3" w14:textId="2620F953" w:rsidR="00C40D81" w:rsidRPr="00B57B36" w:rsidRDefault="00C40D81" w:rsidP="001E4651">
            <w:pPr>
              <w:pStyle w:val="CETBodytext"/>
              <w:jc w:val="center"/>
              <w:rPr>
                <w:lang w:val="en-GB"/>
              </w:rPr>
            </w:pPr>
            <w:r>
              <w:rPr>
                <w:lang w:val="en-GB"/>
              </w:rPr>
              <w:t>x</w:t>
            </w:r>
            <w:r w:rsidRPr="00EF708A">
              <w:rPr>
                <w:vertAlign w:val="subscript"/>
                <w:lang w:val="en-GB"/>
              </w:rPr>
              <w:t>1</w:t>
            </w:r>
            <w:r>
              <w:rPr>
                <w:lang w:val="en-GB"/>
              </w:rPr>
              <w:t xml:space="preserve"> (ROW)</w:t>
            </w:r>
          </w:p>
        </w:tc>
        <w:tc>
          <w:tcPr>
            <w:tcW w:w="993" w:type="dxa"/>
            <w:tcBorders>
              <w:top w:val="single" w:sz="12" w:space="0" w:color="008000"/>
              <w:bottom w:val="single" w:sz="6" w:space="0" w:color="008000"/>
            </w:tcBorders>
            <w:shd w:val="clear" w:color="auto" w:fill="FFFFFF"/>
          </w:tcPr>
          <w:p w14:paraId="074A132F" w14:textId="4011090E" w:rsidR="00C40D81" w:rsidRPr="00B57B36" w:rsidRDefault="00C40D81" w:rsidP="001E4651">
            <w:pPr>
              <w:pStyle w:val="CETBodytext"/>
              <w:jc w:val="center"/>
              <w:rPr>
                <w:lang w:val="en-GB"/>
              </w:rPr>
            </w:pPr>
            <w:r>
              <w:rPr>
                <w:lang w:val="en-GB"/>
              </w:rPr>
              <w:t>x</w:t>
            </w:r>
            <w:r w:rsidRPr="00EF708A">
              <w:rPr>
                <w:vertAlign w:val="subscript"/>
                <w:lang w:val="en-GB"/>
              </w:rPr>
              <w:t>2</w:t>
            </w:r>
            <w:r>
              <w:rPr>
                <w:lang w:val="en-GB"/>
              </w:rPr>
              <w:t xml:space="preserve"> (pH)</w:t>
            </w:r>
          </w:p>
        </w:tc>
        <w:tc>
          <w:tcPr>
            <w:tcW w:w="999" w:type="dxa"/>
            <w:tcBorders>
              <w:top w:val="single" w:sz="12" w:space="0" w:color="008000"/>
              <w:bottom w:val="single" w:sz="6" w:space="0" w:color="008000"/>
            </w:tcBorders>
            <w:shd w:val="clear" w:color="auto" w:fill="FFFFFF"/>
          </w:tcPr>
          <w:p w14:paraId="3FCEAB8C" w14:textId="6895244B" w:rsidR="00C40D81" w:rsidRPr="00B57B36" w:rsidRDefault="00C40D81" w:rsidP="001E4651">
            <w:pPr>
              <w:pStyle w:val="CETBodytext"/>
              <w:ind w:right="-1"/>
              <w:jc w:val="center"/>
              <w:rPr>
                <w:rFonts w:cs="Arial"/>
                <w:szCs w:val="18"/>
                <w:lang w:val="en-GB"/>
              </w:rPr>
            </w:pPr>
            <w:r w:rsidRPr="00C52849">
              <w:rPr>
                <w:rFonts w:cs="Arial"/>
                <w:szCs w:val="18"/>
              </w:rPr>
              <w:t>%E</w:t>
            </w:r>
            <w:r>
              <w:rPr>
                <w:rFonts w:cs="Arial"/>
                <w:szCs w:val="18"/>
              </w:rPr>
              <w:t>xt</w:t>
            </w:r>
            <w:r w:rsidRPr="00EF708A">
              <w:rPr>
                <w:rFonts w:cs="Arial"/>
                <w:szCs w:val="18"/>
                <w:vertAlign w:val="subscript"/>
              </w:rPr>
              <w:t>But</w:t>
            </w:r>
          </w:p>
        </w:tc>
        <w:tc>
          <w:tcPr>
            <w:tcW w:w="999" w:type="dxa"/>
            <w:tcBorders>
              <w:top w:val="single" w:sz="12" w:space="0" w:color="008000"/>
              <w:bottom w:val="single" w:sz="6" w:space="0" w:color="008000"/>
            </w:tcBorders>
            <w:shd w:val="clear" w:color="auto" w:fill="FFFFFF"/>
          </w:tcPr>
          <w:p w14:paraId="7697E50C" w14:textId="3C9E32A7" w:rsidR="00C40D81" w:rsidRPr="00B57B36" w:rsidRDefault="00C40D81" w:rsidP="001E4651">
            <w:pPr>
              <w:pStyle w:val="CETBodytext"/>
              <w:ind w:right="-1"/>
              <w:jc w:val="center"/>
              <w:rPr>
                <w:rFonts w:cs="Arial"/>
                <w:szCs w:val="18"/>
                <w:lang w:val="en-GB"/>
              </w:rPr>
            </w:pPr>
            <w:r w:rsidRPr="00C52849">
              <w:rPr>
                <w:rFonts w:cs="Arial"/>
                <w:szCs w:val="18"/>
              </w:rPr>
              <w:t>%E</w:t>
            </w:r>
            <w:r>
              <w:rPr>
                <w:rFonts w:cs="Arial"/>
                <w:szCs w:val="18"/>
              </w:rPr>
              <w:t>xt</w:t>
            </w:r>
            <w:r w:rsidRPr="00EF708A">
              <w:rPr>
                <w:rFonts w:cs="Arial"/>
                <w:szCs w:val="18"/>
                <w:vertAlign w:val="subscript"/>
              </w:rPr>
              <w:t>Pro</w:t>
            </w:r>
          </w:p>
        </w:tc>
      </w:tr>
      <w:tr w:rsidR="009B0E62" w:rsidRPr="00B57B36" w14:paraId="3AA01700" w14:textId="77777777" w:rsidTr="009B0E62">
        <w:tc>
          <w:tcPr>
            <w:tcW w:w="432" w:type="dxa"/>
            <w:shd w:val="clear" w:color="auto" w:fill="FFFFFF"/>
          </w:tcPr>
          <w:p w14:paraId="3CD3BDDB" w14:textId="38D52003" w:rsidR="009B0E62" w:rsidRPr="00B57B36" w:rsidRDefault="009B0E62" w:rsidP="001E4651">
            <w:pPr>
              <w:pStyle w:val="CETBodytext"/>
              <w:jc w:val="center"/>
              <w:rPr>
                <w:lang w:val="en-GB"/>
              </w:rPr>
            </w:pPr>
            <w:r>
              <w:rPr>
                <w:lang w:val="en-GB"/>
              </w:rPr>
              <w:t>1</w:t>
            </w:r>
          </w:p>
        </w:tc>
        <w:tc>
          <w:tcPr>
            <w:tcW w:w="997" w:type="dxa"/>
            <w:shd w:val="clear" w:color="auto" w:fill="FFFFFF"/>
          </w:tcPr>
          <w:p w14:paraId="6EA32AD1" w14:textId="404A4A4F" w:rsidR="009B0E62" w:rsidRPr="00B57B36" w:rsidRDefault="00C34372" w:rsidP="001E4651">
            <w:pPr>
              <w:pStyle w:val="CETBodytext"/>
              <w:jc w:val="center"/>
              <w:rPr>
                <w:lang w:val="en-GB"/>
              </w:rPr>
            </w:pPr>
            <w:r>
              <w:t>3</w:t>
            </w:r>
          </w:p>
        </w:tc>
        <w:tc>
          <w:tcPr>
            <w:tcW w:w="992" w:type="dxa"/>
            <w:shd w:val="clear" w:color="auto" w:fill="FFFFFF"/>
          </w:tcPr>
          <w:p w14:paraId="04AE84D9" w14:textId="11279E76" w:rsidR="009B0E62" w:rsidRPr="00B57B36" w:rsidRDefault="00C34372" w:rsidP="001E4651">
            <w:pPr>
              <w:pStyle w:val="CETBodytext"/>
              <w:jc w:val="center"/>
              <w:rPr>
                <w:lang w:val="en-GB"/>
              </w:rPr>
            </w:pPr>
            <w:r>
              <w:t>4.5</w:t>
            </w:r>
          </w:p>
        </w:tc>
        <w:tc>
          <w:tcPr>
            <w:tcW w:w="999" w:type="dxa"/>
            <w:shd w:val="clear" w:color="auto" w:fill="FFFFFF"/>
          </w:tcPr>
          <w:p w14:paraId="362B221E" w14:textId="56A1EE80" w:rsidR="009B0E62" w:rsidRPr="00B57B36" w:rsidRDefault="00C34372" w:rsidP="001E4651">
            <w:pPr>
              <w:pStyle w:val="CETBodytext"/>
              <w:jc w:val="center"/>
              <w:rPr>
                <w:lang w:val="en-GB"/>
              </w:rPr>
            </w:pPr>
            <w:r>
              <w:t>32.2</w:t>
            </w:r>
          </w:p>
        </w:tc>
        <w:tc>
          <w:tcPr>
            <w:tcW w:w="999" w:type="dxa"/>
            <w:tcBorders>
              <w:right w:val="single" w:sz="4" w:space="0" w:color="008000"/>
            </w:tcBorders>
            <w:shd w:val="clear" w:color="auto" w:fill="FFFFFF"/>
          </w:tcPr>
          <w:p w14:paraId="2FC8B5F6" w14:textId="5131C5CB" w:rsidR="009B0E62" w:rsidRPr="00B57B36" w:rsidRDefault="00A92D59" w:rsidP="001E4651">
            <w:pPr>
              <w:pStyle w:val="CETBodytext"/>
              <w:jc w:val="center"/>
              <w:rPr>
                <w:lang w:val="en-GB"/>
              </w:rPr>
            </w:pPr>
            <w:r>
              <w:t>21.8</w:t>
            </w:r>
          </w:p>
        </w:tc>
        <w:tc>
          <w:tcPr>
            <w:tcW w:w="432" w:type="dxa"/>
            <w:tcBorders>
              <w:left w:val="single" w:sz="4" w:space="0" w:color="008000"/>
            </w:tcBorders>
            <w:shd w:val="clear" w:color="auto" w:fill="FFFFFF"/>
          </w:tcPr>
          <w:p w14:paraId="78173145" w14:textId="6FF8AC8A" w:rsidR="009B0E62" w:rsidRPr="00B57B36" w:rsidRDefault="009B0E62" w:rsidP="001E4651">
            <w:pPr>
              <w:pStyle w:val="CETBodytext"/>
              <w:jc w:val="center"/>
              <w:rPr>
                <w:lang w:val="en-GB"/>
              </w:rPr>
            </w:pPr>
            <w:r w:rsidRPr="00B32138">
              <w:t>7</w:t>
            </w:r>
          </w:p>
        </w:tc>
        <w:tc>
          <w:tcPr>
            <w:tcW w:w="998" w:type="dxa"/>
            <w:shd w:val="clear" w:color="auto" w:fill="FFFFFF"/>
          </w:tcPr>
          <w:p w14:paraId="22276183" w14:textId="32002D42" w:rsidR="009B0E62" w:rsidRPr="00B57B36" w:rsidRDefault="009B0E62" w:rsidP="001E4651">
            <w:pPr>
              <w:pStyle w:val="CETBodytext"/>
              <w:jc w:val="center"/>
              <w:rPr>
                <w:lang w:val="en-GB"/>
              </w:rPr>
            </w:pPr>
            <w:r w:rsidRPr="00B32138">
              <w:t>6</w:t>
            </w:r>
          </w:p>
        </w:tc>
        <w:tc>
          <w:tcPr>
            <w:tcW w:w="993" w:type="dxa"/>
            <w:shd w:val="clear" w:color="auto" w:fill="FFFFFF"/>
          </w:tcPr>
          <w:p w14:paraId="5BD4A818" w14:textId="4BD51205" w:rsidR="009B0E62" w:rsidRPr="00B57B36" w:rsidRDefault="009B0E62" w:rsidP="001E4651">
            <w:pPr>
              <w:pStyle w:val="CETBodytext"/>
              <w:jc w:val="center"/>
              <w:rPr>
                <w:lang w:val="en-GB"/>
              </w:rPr>
            </w:pPr>
            <w:r w:rsidRPr="00B32138">
              <w:t>2.4</w:t>
            </w:r>
          </w:p>
        </w:tc>
        <w:tc>
          <w:tcPr>
            <w:tcW w:w="999" w:type="dxa"/>
            <w:shd w:val="clear" w:color="auto" w:fill="FFFFFF"/>
          </w:tcPr>
          <w:p w14:paraId="084181D4" w14:textId="482129E0" w:rsidR="009B0E62" w:rsidRPr="00B57B36" w:rsidRDefault="009B0E62" w:rsidP="001E4651">
            <w:pPr>
              <w:pStyle w:val="CETBodytext"/>
              <w:ind w:right="-1"/>
              <w:jc w:val="center"/>
              <w:rPr>
                <w:rFonts w:cs="Arial"/>
                <w:szCs w:val="18"/>
                <w:lang w:val="en-GB"/>
              </w:rPr>
            </w:pPr>
            <w:r w:rsidRPr="00B32138">
              <w:t>61.7</w:t>
            </w:r>
          </w:p>
        </w:tc>
        <w:tc>
          <w:tcPr>
            <w:tcW w:w="999" w:type="dxa"/>
            <w:shd w:val="clear" w:color="auto" w:fill="FFFFFF"/>
          </w:tcPr>
          <w:p w14:paraId="541E6513" w14:textId="3B504AF8" w:rsidR="009B0E62" w:rsidRPr="00B57B36" w:rsidRDefault="009B0E62" w:rsidP="001E4651">
            <w:pPr>
              <w:pStyle w:val="CETBodytext"/>
              <w:ind w:right="-1"/>
              <w:jc w:val="center"/>
              <w:rPr>
                <w:rFonts w:cs="Arial"/>
                <w:szCs w:val="18"/>
                <w:lang w:val="en-GB"/>
              </w:rPr>
            </w:pPr>
            <w:r w:rsidRPr="00B32138">
              <w:t>35.7</w:t>
            </w:r>
          </w:p>
        </w:tc>
      </w:tr>
      <w:tr w:rsidR="009B0E62" w:rsidRPr="00B57B36" w14:paraId="7116864E" w14:textId="77777777" w:rsidTr="009B0E62">
        <w:tc>
          <w:tcPr>
            <w:tcW w:w="432" w:type="dxa"/>
            <w:shd w:val="clear" w:color="auto" w:fill="FFFFFF"/>
          </w:tcPr>
          <w:p w14:paraId="2CDB3161" w14:textId="6DF9409E" w:rsidR="009B0E62" w:rsidRDefault="009B0E62" w:rsidP="001E4651">
            <w:pPr>
              <w:pStyle w:val="CETBodytext"/>
              <w:jc w:val="center"/>
              <w:rPr>
                <w:lang w:val="en-GB"/>
              </w:rPr>
            </w:pPr>
            <w:r>
              <w:rPr>
                <w:lang w:val="en-GB"/>
              </w:rPr>
              <w:t>2</w:t>
            </w:r>
          </w:p>
        </w:tc>
        <w:tc>
          <w:tcPr>
            <w:tcW w:w="997" w:type="dxa"/>
            <w:shd w:val="clear" w:color="auto" w:fill="FFFFFF"/>
          </w:tcPr>
          <w:p w14:paraId="700215C6" w14:textId="238C0833" w:rsidR="009B0E62" w:rsidRPr="00B57B36" w:rsidRDefault="00C34372" w:rsidP="001E4651">
            <w:pPr>
              <w:pStyle w:val="CETBodytext"/>
              <w:jc w:val="center"/>
              <w:rPr>
                <w:lang w:val="en-GB"/>
              </w:rPr>
            </w:pPr>
            <w:r>
              <w:t>6</w:t>
            </w:r>
          </w:p>
        </w:tc>
        <w:tc>
          <w:tcPr>
            <w:tcW w:w="992" w:type="dxa"/>
            <w:shd w:val="clear" w:color="auto" w:fill="FFFFFF"/>
          </w:tcPr>
          <w:p w14:paraId="1B0A4E55" w14:textId="422F214D" w:rsidR="009B0E62" w:rsidRPr="00B57B36" w:rsidRDefault="00C34372" w:rsidP="001E4651">
            <w:pPr>
              <w:pStyle w:val="CETBodytext"/>
              <w:jc w:val="center"/>
              <w:rPr>
                <w:lang w:val="en-GB"/>
              </w:rPr>
            </w:pPr>
            <w:r>
              <w:t>3.5</w:t>
            </w:r>
          </w:p>
        </w:tc>
        <w:tc>
          <w:tcPr>
            <w:tcW w:w="999" w:type="dxa"/>
            <w:shd w:val="clear" w:color="auto" w:fill="FFFFFF"/>
          </w:tcPr>
          <w:p w14:paraId="756BE107" w14:textId="4164C6BA" w:rsidR="009B0E62" w:rsidRPr="00B57B36" w:rsidRDefault="00C34372" w:rsidP="001E4651">
            <w:pPr>
              <w:pStyle w:val="CETBodytext"/>
              <w:jc w:val="center"/>
              <w:rPr>
                <w:lang w:val="en-GB"/>
              </w:rPr>
            </w:pPr>
            <w:r>
              <w:t>57.8</w:t>
            </w:r>
          </w:p>
        </w:tc>
        <w:tc>
          <w:tcPr>
            <w:tcW w:w="999" w:type="dxa"/>
            <w:tcBorders>
              <w:right w:val="single" w:sz="4" w:space="0" w:color="008000"/>
            </w:tcBorders>
            <w:shd w:val="clear" w:color="auto" w:fill="FFFFFF"/>
          </w:tcPr>
          <w:p w14:paraId="46A4B4B1" w14:textId="529BB03C" w:rsidR="009B0E62" w:rsidRPr="00B57B36" w:rsidRDefault="00A92D59" w:rsidP="001E4651">
            <w:pPr>
              <w:pStyle w:val="CETBodytext"/>
              <w:jc w:val="center"/>
              <w:rPr>
                <w:lang w:val="en-GB"/>
              </w:rPr>
            </w:pPr>
            <w:r>
              <w:t>34.6</w:t>
            </w:r>
          </w:p>
        </w:tc>
        <w:tc>
          <w:tcPr>
            <w:tcW w:w="432" w:type="dxa"/>
            <w:tcBorders>
              <w:left w:val="single" w:sz="4" w:space="0" w:color="008000"/>
            </w:tcBorders>
            <w:shd w:val="clear" w:color="auto" w:fill="FFFFFF"/>
          </w:tcPr>
          <w:p w14:paraId="37B4BA8D" w14:textId="1258E8B5" w:rsidR="009B0E62" w:rsidRPr="00B57B36" w:rsidRDefault="009B0E62" w:rsidP="001E4651">
            <w:pPr>
              <w:pStyle w:val="CETBodytext"/>
              <w:jc w:val="center"/>
              <w:rPr>
                <w:lang w:val="en-GB"/>
              </w:rPr>
            </w:pPr>
            <w:r w:rsidRPr="00B32138">
              <w:t>8</w:t>
            </w:r>
          </w:p>
        </w:tc>
        <w:tc>
          <w:tcPr>
            <w:tcW w:w="998" w:type="dxa"/>
            <w:shd w:val="clear" w:color="auto" w:fill="FFFFFF"/>
          </w:tcPr>
          <w:p w14:paraId="2B657B4E" w14:textId="77E42EB5" w:rsidR="009B0E62" w:rsidRPr="00B57B36" w:rsidRDefault="009B0E62" w:rsidP="001E4651">
            <w:pPr>
              <w:pStyle w:val="CETBodytext"/>
              <w:jc w:val="center"/>
              <w:rPr>
                <w:lang w:val="en-GB"/>
              </w:rPr>
            </w:pPr>
            <w:r w:rsidRPr="00B32138">
              <w:t>1</w:t>
            </w:r>
          </w:p>
        </w:tc>
        <w:tc>
          <w:tcPr>
            <w:tcW w:w="993" w:type="dxa"/>
            <w:shd w:val="clear" w:color="auto" w:fill="FFFFFF"/>
          </w:tcPr>
          <w:p w14:paraId="6F382F22" w14:textId="07E0D67C" w:rsidR="009B0E62" w:rsidRPr="00B57B36" w:rsidRDefault="009B0E62" w:rsidP="001E4651">
            <w:pPr>
              <w:pStyle w:val="CETBodytext"/>
              <w:jc w:val="center"/>
              <w:rPr>
                <w:lang w:val="en-GB"/>
              </w:rPr>
            </w:pPr>
            <w:r w:rsidRPr="00B32138">
              <w:t>4.5</w:t>
            </w:r>
          </w:p>
        </w:tc>
        <w:tc>
          <w:tcPr>
            <w:tcW w:w="999" w:type="dxa"/>
            <w:shd w:val="clear" w:color="auto" w:fill="FFFFFF"/>
          </w:tcPr>
          <w:p w14:paraId="59751659" w14:textId="579108EB" w:rsidR="009B0E62" w:rsidRPr="00B57B36" w:rsidRDefault="009B0E62" w:rsidP="001E4651">
            <w:pPr>
              <w:pStyle w:val="CETBodytext"/>
              <w:ind w:right="-1"/>
              <w:jc w:val="center"/>
              <w:rPr>
                <w:rFonts w:cs="Arial"/>
                <w:szCs w:val="18"/>
                <w:lang w:val="en-GB"/>
              </w:rPr>
            </w:pPr>
            <w:r w:rsidRPr="00B32138">
              <w:t>26.4</w:t>
            </w:r>
          </w:p>
        </w:tc>
        <w:tc>
          <w:tcPr>
            <w:tcW w:w="999" w:type="dxa"/>
            <w:shd w:val="clear" w:color="auto" w:fill="FFFFFF"/>
          </w:tcPr>
          <w:p w14:paraId="7BE73CDB" w14:textId="72101036" w:rsidR="009B0E62" w:rsidRPr="00B57B36" w:rsidRDefault="009B0E62" w:rsidP="001E4651">
            <w:pPr>
              <w:pStyle w:val="CETBodytext"/>
              <w:ind w:right="-1"/>
              <w:jc w:val="center"/>
              <w:rPr>
                <w:rFonts w:cs="Arial"/>
                <w:szCs w:val="18"/>
                <w:lang w:val="en-GB"/>
              </w:rPr>
            </w:pPr>
            <w:r w:rsidRPr="00B32138">
              <w:t>18.9</w:t>
            </w:r>
          </w:p>
        </w:tc>
      </w:tr>
      <w:tr w:rsidR="009B0E62" w:rsidRPr="00B57B36" w14:paraId="19312FBF" w14:textId="77777777" w:rsidTr="009B0E62">
        <w:tc>
          <w:tcPr>
            <w:tcW w:w="432" w:type="dxa"/>
            <w:shd w:val="clear" w:color="auto" w:fill="FFFFFF"/>
          </w:tcPr>
          <w:p w14:paraId="074B7477" w14:textId="6B6E7962" w:rsidR="009B0E62" w:rsidRDefault="009B0E62" w:rsidP="001E4651">
            <w:pPr>
              <w:pStyle w:val="CETBodytext"/>
              <w:jc w:val="center"/>
              <w:rPr>
                <w:lang w:val="en-GB"/>
              </w:rPr>
            </w:pPr>
            <w:r>
              <w:rPr>
                <w:lang w:val="en-GB"/>
              </w:rPr>
              <w:t>3</w:t>
            </w:r>
          </w:p>
        </w:tc>
        <w:tc>
          <w:tcPr>
            <w:tcW w:w="997" w:type="dxa"/>
            <w:shd w:val="clear" w:color="auto" w:fill="FFFFFF"/>
          </w:tcPr>
          <w:p w14:paraId="74BF9B52" w14:textId="3AB42884" w:rsidR="009B0E62" w:rsidRPr="00B57B36" w:rsidRDefault="00C34372" w:rsidP="001E4651">
            <w:pPr>
              <w:pStyle w:val="CETBodytext"/>
              <w:jc w:val="center"/>
              <w:rPr>
                <w:lang w:val="en-GB"/>
              </w:rPr>
            </w:pPr>
            <w:r>
              <w:t>1</w:t>
            </w:r>
          </w:p>
        </w:tc>
        <w:tc>
          <w:tcPr>
            <w:tcW w:w="992" w:type="dxa"/>
            <w:shd w:val="clear" w:color="auto" w:fill="FFFFFF"/>
          </w:tcPr>
          <w:p w14:paraId="75B68B6D" w14:textId="411D0B24" w:rsidR="009B0E62" w:rsidRPr="00B57B36" w:rsidRDefault="00C34372" w:rsidP="001E4651">
            <w:pPr>
              <w:pStyle w:val="CETBodytext"/>
              <w:jc w:val="center"/>
              <w:rPr>
                <w:lang w:val="en-GB"/>
              </w:rPr>
            </w:pPr>
            <w:r>
              <w:t>2.4</w:t>
            </w:r>
          </w:p>
        </w:tc>
        <w:tc>
          <w:tcPr>
            <w:tcW w:w="999" w:type="dxa"/>
            <w:shd w:val="clear" w:color="auto" w:fill="FFFFFF"/>
          </w:tcPr>
          <w:p w14:paraId="770FD180" w14:textId="2C98E9EE" w:rsidR="009B0E62" w:rsidRPr="00B57B36" w:rsidRDefault="00C34372" w:rsidP="001E4651">
            <w:pPr>
              <w:pStyle w:val="CETBodytext"/>
              <w:jc w:val="center"/>
              <w:rPr>
                <w:lang w:val="en-GB"/>
              </w:rPr>
            </w:pPr>
            <w:r>
              <w:t>30.9</w:t>
            </w:r>
          </w:p>
        </w:tc>
        <w:tc>
          <w:tcPr>
            <w:tcW w:w="999" w:type="dxa"/>
            <w:tcBorders>
              <w:right w:val="single" w:sz="4" w:space="0" w:color="008000"/>
            </w:tcBorders>
            <w:shd w:val="clear" w:color="auto" w:fill="FFFFFF"/>
          </w:tcPr>
          <w:p w14:paraId="34E513E9" w14:textId="1D1204BD" w:rsidR="009B0E62" w:rsidRPr="00B57B36" w:rsidRDefault="00A92D59" w:rsidP="001E4651">
            <w:pPr>
              <w:pStyle w:val="CETBodytext"/>
              <w:jc w:val="center"/>
              <w:rPr>
                <w:lang w:val="en-GB"/>
              </w:rPr>
            </w:pPr>
            <w:r>
              <w:t>15.5</w:t>
            </w:r>
          </w:p>
        </w:tc>
        <w:tc>
          <w:tcPr>
            <w:tcW w:w="432" w:type="dxa"/>
            <w:tcBorders>
              <w:left w:val="single" w:sz="4" w:space="0" w:color="008000"/>
            </w:tcBorders>
            <w:shd w:val="clear" w:color="auto" w:fill="FFFFFF"/>
          </w:tcPr>
          <w:p w14:paraId="5339A796" w14:textId="6D4AD695" w:rsidR="009B0E62" w:rsidRPr="00B57B36" w:rsidRDefault="009B0E62" w:rsidP="001E4651">
            <w:pPr>
              <w:pStyle w:val="CETBodytext"/>
              <w:jc w:val="center"/>
              <w:rPr>
                <w:lang w:val="en-GB"/>
              </w:rPr>
            </w:pPr>
            <w:r w:rsidRPr="00B32138">
              <w:t>9</w:t>
            </w:r>
          </w:p>
        </w:tc>
        <w:tc>
          <w:tcPr>
            <w:tcW w:w="998" w:type="dxa"/>
            <w:shd w:val="clear" w:color="auto" w:fill="FFFFFF"/>
          </w:tcPr>
          <w:p w14:paraId="65DF0C71" w14:textId="6B1712C7" w:rsidR="009B0E62" w:rsidRPr="00B57B36" w:rsidRDefault="009B0E62" w:rsidP="001E4651">
            <w:pPr>
              <w:pStyle w:val="CETBodytext"/>
              <w:jc w:val="center"/>
              <w:rPr>
                <w:lang w:val="en-GB"/>
              </w:rPr>
            </w:pPr>
            <w:r w:rsidRPr="00B32138">
              <w:t>3</w:t>
            </w:r>
          </w:p>
        </w:tc>
        <w:tc>
          <w:tcPr>
            <w:tcW w:w="993" w:type="dxa"/>
            <w:shd w:val="clear" w:color="auto" w:fill="FFFFFF"/>
          </w:tcPr>
          <w:p w14:paraId="38ED3AEB" w14:textId="6F3857D9" w:rsidR="009B0E62" w:rsidRPr="00B57B36" w:rsidRDefault="009B0E62" w:rsidP="001E4651">
            <w:pPr>
              <w:pStyle w:val="CETBodytext"/>
              <w:jc w:val="center"/>
              <w:rPr>
                <w:lang w:val="en-GB"/>
              </w:rPr>
            </w:pPr>
            <w:r w:rsidRPr="00B32138">
              <w:t>3.5</w:t>
            </w:r>
          </w:p>
        </w:tc>
        <w:tc>
          <w:tcPr>
            <w:tcW w:w="999" w:type="dxa"/>
            <w:shd w:val="clear" w:color="auto" w:fill="FFFFFF"/>
          </w:tcPr>
          <w:p w14:paraId="7FFA2A79" w14:textId="5F8F0DE6" w:rsidR="009B0E62" w:rsidRPr="00B57B36" w:rsidRDefault="009B0E62" w:rsidP="001E4651">
            <w:pPr>
              <w:pStyle w:val="CETBodytext"/>
              <w:ind w:right="-1"/>
              <w:jc w:val="center"/>
              <w:rPr>
                <w:rFonts w:cs="Arial"/>
                <w:szCs w:val="18"/>
                <w:lang w:val="en-GB"/>
              </w:rPr>
            </w:pPr>
            <w:r w:rsidRPr="00B32138">
              <w:t>47.1</w:t>
            </w:r>
          </w:p>
        </w:tc>
        <w:tc>
          <w:tcPr>
            <w:tcW w:w="999" w:type="dxa"/>
            <w:shd w:val="clear" w:color="auto" w:fill="FFFFFF"/>
          </w:tcPr>
          <w:p w14:paraId="3B3C73BF" w14:textId="0E152A51" w:rsidR="009B0E62" w:rsidRPr="00B57B36" w:rsidRDefault="009B0E62" w:rsidP="001E4651">
            <w:pPr>
              <w:pStyle w:val="CETBodytext"/>
              <w:ind w:right="-1"/>
              <w:jc w:val="center"/>
              <w:rPr>
                <w:rFonts w:cs="Arial"/>
                <w:szCs w:val="18"/>
                <w:lang w:val="en-GB"/>
              </w:rPr>
            </w:pPr>
            <w:r w:rsidRPr="00B32138">
              <w:t>25.7</w:t>
            </w:r>
          </w:p>
        </w:tc>
      </w:tr>
      <w:tr w:rsidR="009B0E62" w:rsidRPr="00B57B36" w14:paraId="36CF9F88" w14:textId="77777777" w:rsidTr="009B0E62">
        <w:tc>
          <w:tcPr>
            <w:tcW w:w="432" w:type="dxa"/>
            <w:shd w:val="clear" w:color="auto" w:fill="FFFFFF"/>
          </w:tcPr>
          <w:p w14:paraId="798E8F0F" w14:textId="60771BBC" w:rsidR="009B0E62" w:rsidRDefault="009B0E62" w:rsidP="001E4651">
            <w:pPr>
              <w:pStyle w:val="CETBodytext"/>
              <w:jc w:val="center"/>
              <w:rPr>
                <w:lang w:val="en-GB"/>
              </w:rPr>
            </w:pPr>
            <w:r>
              <w:rPr>
                <w:lang w:val="en-GB"/>
              </w:rPr>
              <w:t>4</w:t>
            </w:r>
          </w:p>
        </w:tc>
        <w:tc>
          <w:tcPr>
            <w:tcW w:w="997" w:type="dxa"/>
            <w:shd w:val="clear" w:color="auto" w:fill="FFFFFF"/>
          </w:tcPr>
          <w:p w14:paraId="6D1330DA" w14:textId="3F76DBF4" w:rsidR="009B0E62" w:rsidRPr="00B57B36" w:rsidRDefault="00C34372" w:rsidP="001E4651">
            <w:pPr>
              <w:pStyle w:val="CETBodytext"/>
              <w:jc w:val="center"/>
              <w:rPr>
                <w:lang w:val="en-GB"/>
              </w:rPr>
            </w:pPr>
            <w:r>
              <w:t>1</w:t>
            </w:r>
          </w:p>
        </w:tc>
        <w:tc>
          <w:tcPr>
            <w:tcW w:w="992" w:type="dxa"/>
            <w:shd w:val="clear" w:color="auto" w:fill="FFFFFF"/>
          </w:tcPr>
          <w:p w14:paraId="14460586" w14:textId="498279FC" w:rsidR="009B0E62" w:rsidRPr="00B57B36" w:rsidRDefault="00C34372" w:rsidP="001E4651">
            <w:pPr>
              <w:pStyle w:val="CETBodytext"/>
              <w:jc w:val="center"/>
              <w:rPr>
                <w:lang w:val="en-GB"/>
              </w:rPr>
            </w:pPr>
            <w:r>
              <w:t>3.5</w:t>
            </w:r>
          </w:p>
        </w:tc>
        <w:tc>
          <w:tcPr>
            <w:tcW w:w="999" w:type="dxa"/>
            <w:shd w:val="clear" w:color="auto" w:fill="FFFFFF"/>
          </w:tcPr>
          <w:p w14:paraId="5D4E8F90" w14:textId="6448DE5B" w:rsidR="009B0E62" w:rsidRPr="00B57B36" w:rsidRDefault="00C34372" w:rsidP="001E4651">
            <w:pPr>
              <w:pStyle w:val="CETBodytext"/>
              <w:jc w:val="center"/>
              <w:rPr>
                <w:lang w:val="en-GB"/>
              </w:rPr>
            </w:pPr>
            <w:r>
              <w:t>26.8</w:t>
            </w:r>
          </w:p>
        </w:tc>
        <w:tc>
          <w:tcPr>
            <w:tcW w:w="999" w:type="dxa"/>
            <w:tcBorders>
              <w:right w:val="single" w:sz="4" w:space="0" w:color="008000"/>
            </w:tcBorders>
            <w:shd w:val="clear" w:color="auto" w:fill="FFFFFF"/>
          </w:tcPr>
          <w:p w14:paraId="29E675C2" w14:textId="7A906432" w:rsidR="009B0E62" w:rsidRPr="00B57B36" w:rsidRDefault="00A92D59" w:rsidP="001E4651">
            <w:pPr>
              <w:pStyle w:val="CETBodytext"/>
              <w:jc w:val="center"/>
              <w:rPr>
                <w:lang w:val="en-GB"/>
              </w:rPr>
            </w:pPr>
            <w:r>
              <w:t>13.1</w:t>
            </w:r>
          </w:p>
        </w:tc>
        <w:tc>
          <w:tcPr>
            <w:tcW w:w="432" w:type="dxa"/>
            <w:tcBorders>
              <w:left w:val="single" w:sz="4" w:space="0" w:color="008000"/>
            </w:tcBorders>
            <w:shd w:val="clear" w:color="auto" w:fill="FFFFFF"/>
          </w:tcPr>
          <w:p w14:paraId="09406347" w14:textId="5D051F45" w:rsidR="009B0E62" w:rsidRPr="00B57B36" w:rsidRDefault="009B0E62" w:rsidP="001E4651">
            <w:pPr>
              <w:pStyle w:val="CETBodytext"/>
              <w:jc w:val="center"/>
              <w:rPr>
                <w:lang w:val="en-GB"/>
              </w:rPr>
            </w:pPr>
            <w:r w:rsidRPr="00B32138">
              <w:t>10</w:t>
            </w:r>
          </w:p>
        </w:tc>
        <w:tc>
          <w:tcPr>
            <w:tcW w:w="998" w:type="dxa"/>
            <w:shd w:val="clear" w:color="auto" w:fill="FFFFFF"/>
          </w:tcPr>
          <w:p w14:paraId="062D5F6E" w14:textId="288D7C99" w:rsidR="009B0E62" w:rsidRPr="00B57B36" w:rsidRDefault="009B0E62" w:rsidP="001E4651">
            <w:pPr>
              <w:pStyle w:val="CETBodytext"/>
              <w:jc w:val="center"/>
              <w:rPr>
                <w:lang w:val="en-GB"/>
              </w:rPr>
            </w:pPr>
            <w:r w:rsidRPr="00B32138">
              <w:t>3</w:t>
            </w:r>
          </w:p>
        </w:tc>
        <w:tc>
          <w:tcPr>
            <w:tcW w:w="993" w:type="dxa"/>
            <w:shd w:val="clear" w:color="auto" w:fill="FFFFFF"/>
          </w:tcPr>
          <w:p w14:paraId="15B2C120" w14:textId="56F1CDF3" w:rsidR="009B0E62" w:rsidRPr="00B57B36" w:rsidRDefault="009B0E62" w:rsidP="001E4651">
            <w:pPr>
              <w:pStyle w:val="CETBodytext"/>
              <w:jc w:val="center"/>
              <w:rPr>
                <w:lang w:val="en-GB"/>
              </w:rPr>
            </w:pPr>
            <w:r w:rsidRPr="00B32138">
              <w:t>3.5</w:t>
            </w:r>
          </w:p>
        </w:tc>
        <w:tc>
          <w:tcPr>
            <w:tcW w:w="999" w:type="dxa"/>
            <w:shd w:val="clear" w:color="auto" w:fill="FFFFFF"/>
          </w:tcPr>
          <w:p w14:paraId="05A7AB04" w14:textId="1576D15A" w:rsidR="009B0E62" w:rsidRPr="00B57B36" w:rsidRDefault="009B0E62" w:rsidP="001E4651">
            <w:pPr>
              <w:pStyle w:val="CETBodytext"/>
              <w:ind w:right="-1"/>
              <w:jc w:val="center"/>
              <w:rPr>
                <w:rFonts w:cs="Arial"/>
                <w:szCs w:val="18"/>
                <w:lang w:val="en-GB"/>
              </w:rPr>
            </w:pPr>
            <w:r w:rsidRPr="00B32138">
              <w:t>46.9</w:t>
            </w:r>
          </w:p>
        </w:tc>
        <w:tc>
          <w:tcPr>
            <w:tcW w:w="999" w:type="dxa"/>
            <w:shd w:val="clear" w:color="auto" w:fill="FFFFFF"/>
          </w:tcPr>
          <w:p w14:paraId="0C586963" w14:textId="0A4A16A8" w:rsidR="009B0E62" w:rsidRPr="00B57B36" w:rsidRDefault="009B0E62" w:rsidP="001E4651">
            <w:pPr>
              <w:pStyle w:val="CETBodytext"/>
              <w:ind w:right="-1"/>
              <w:jc w:val="center"/>
              <w:rPr>
                <w:rFonts w:cs="Arial"/>
                <w:szCs w:val="18"/>
                <w:lang w:val="en-GB"/>
              </w:rPr>
            </w:pPr>
            <w:r w:rsidRPr="00B32138">
              <w:t>24.5</w:t>
            </w:r>
          </w:p>
        </w:tc>
      </w:tr>
      <w:tr w:rsidR="009B0E62" w:rsidRPr="00B57B36" w14:paraId="70DDE641" w14:textId="77777777" w:rsidTr="009B0E62">
        <w:tc>
          <w:tcPr>
            <w:tcW w:w="432" w:type="dxa"/>
            <w:shd w:val="clear" w:color="auto" w:fill="FFFFFF"/>
          </w:tcPr>
          <w:p w14:paraId="657F8A4E" w14:textId="7C302E2C" w:rsidR="009B0E62" w:rsidRDefault="009B0E62" w:rsidP="001E4651">
            <w:pPr>
              <w:pStyle w:val="CETBodytext"/>
              <w:jc w:val="center"/>
              <w:rPr>
                <w:lang w:val="en-GB"/>
              </w:rPr>
            </w:pPr>
            <w:r>
              <w:rPr>
                <w:lang w:val="en-GB"/>
              </w:rPr>
              <w:t>5</w:t>
            </w:r>
          </w:p>
        </w:tc>
        <w:tc>
          <w:tcPr>
            <w:tcW w:w="997" w:type="dxa"/>
            <w:shd w:val="clear" w:color="auto" w:fill="FFFFFF"/>
          </w:tcPr>
          <w:p w14:paraId="68E9AD5F" w14:textId="489C4EB4" w:rsidR="009B0E62" w:rsidRPr="00B57B36" w:rsidRDefault="00C34372" w:rsidP="001E4651">
            <w:pPr>
              <w:pStyle w:val="CETBodytext"/>
              <w:jc w:val="center"/>
              <w:rPr>
                <w:lang w:val="en-GB"/>
              </w:rPr>
            </w:pPr>
            <w:r>
              <w:t>6</w:t>
            </w:r>
          </w:p>
        </w:tc>
        <w:tc>
          <w:tcPr>
            <w:tcW w:w="992" w:type="dxa"/>
            <w:shd w:val="clear" w:color="auto" w:fill="FFFFFF"/>
          </w:tcPr>
          <w:p w14:paraId="67AD09F3" w14:textId="594F863E" w:rsidR="009B0E62" w:rsidRPr="00B57B36" w:rsidRDefault="00C34372" w:rsidP="001E4651">
            <w:pPr>
              <w:pStyle w:val="CETBodytext"/>
              <w:jc w:val="center"/>
              <w:rPr>
                <w:lang w:val="en-GB"/>
              </w:rPr>
            </w:pPr>
            <w:r>
              <w:t>4.5</w:t>
            </w:r>
          </w:p>
        </w:tc>
        <w:tc>
          <w:tcPr>
            <w:tcW w:w="999" w:type="dxa"/>
            <w:shd w:val="clear" w:color="auto" w:fill="FFFFFF"/>
          </w:tcPr>
          <w:p w14:paraId="74639374" w14:textId="795E9544" w:rsidR="009B0E62" w:rsidRPr="00B57B36" w:rsidRDefault="00C34372" w:rsidP="001E4651">
            <w:pPr>
              <w:pStyle w:val="CETBodytext"/>
              <w:jc w:val="center"/>
              <w:rPr>
                <w:lang w:val="en-GB"/>
              </w:rPr>
            </w:pPr>
            <w:r>
              <w:t>40.5</w:t>
            </w:r>
          </w:p>
        </w:tc>
        <w:tc>
          <w:tcPr>
            <w:tcW w:w="999" w:type="dxa"/>
            <w:tcBorders>
              <w:right w:val="single" w:sz="4" w:space="0" w:color="008000"/>
            </w:tcBorders>
            <w:shd w:val="clear" w:color="auto" w:fill="FFFFFF"/>
          </w:tcPr>
          <w:p w14:paraId="2B1CC3BA" w14:textId="243E0ABE" w:rsidR="009B0E62" w:rsidRPr="00B57B36" w:rsidRDefault="00A92D59" w:rsidP="001E4651">
            <w:pPr>
              <w:pStyle w:val="CETBodytext"/>
              <w:jc w:val="center"/>
              <w:rPr>
                <w:lang w:val="en-GB"/>
              </w:rPr>
            </w:pPr>
            <w:r>
              <w:t>23.3</w:t>
            </w:r>
          </w:p>
        </w:tc>
        <w:tc>
          <w:tcPr>
            <w:tcW w:w="432" w:type="dxa"/>
            <w:tcBorders>
              <w:left w:val="single" w:sz="4" w:space="0" w:color="008000"/>
            </w:tcBorders>
            <w:shd w:val="clear" w:color="auto" w:fill="FFFFFF"/>
          </w:tcPr>
          <w:p w14:paraId="098D7058" w14:textId="5753DDE8" w:rsidR="009B0E62" w:rsidRPr="00B57B36" w:rsidRDefault="009B0E62" w:rsidP="001E4651">
            <w:pPr>
              <w:pStyle w:val="CETBodytext"/>
              <w:jc w:val="center"/>
              <w:rPr>
                <w:lang w:val="en-GB"/>
              </w:rPr>
            </w:pPr>
            <w:r w:rsidRPr="00B32138">
              <w:t>11</w:t>
            </w:r>
          </w:p>
        </w:tc>
        <w:tc>
          <w:tcPr>
            <w:tcW w:w="998" w:type="dxa"/>
            <w:shd w:val="clear" w:color="auto" w:fill="FFFFFF"/>
          </w:tcPr>
          <w:p w14:paraId="121B952C" w14:textId="4774F3EF" w:rsidR="009B0E62" w:rsidRPr="00B57B36" w:rsidRDefault="009B0E62" w:rsidP="001E4651">
            <w:pPr>
              <w:pStyle w:val="CETBodytext"/>
              <w:jc w:val="center"/>
              <w:rPr>
                <w:lang w:val="en-GB"/>
              </w:rPr>
            </w:pPr>
            <w:r w:rsidRPr="00B32138">
              <w:t>3</w:t>
            </w:r>
          </w:p>
        </w:tc>
        <w:tc>
          <w:tcPr>
            <w:tcW w:w="993" w:type="dxa"/>
            <w:shd w:val="clear" w:color="auto" w:fill="FFFFFF"/>
          </w:tcPr>
          <w:p w14:paraId="47366B1C" w14:textId="6CBEEBD1" w:rsidR="009B0E62" w:rsidRPr="00B57B36" w:rsidRDefault="009B0E62" w:rsidP="001E4651">
            <w:pPr>
              <w:pStyle w:val="CETBodytext"/>
              <w:jc w:val="center"/>
              <w:rPr>
                <w:lang w:val="en-GB"/>
              </w:rPr>
            </w:pPr>
            <w:r w:rsidRPr="00B32138">
              <w:t>3.5</w:t>
            </w:r>
          </w:p>
        </w:tc>
        <w:tc>
          <w:tcPr>
            <w:tcW w:w="999" w:type="dxa"/>
            <w:shd w:val="clear" w:color="auto" w:fill="FFFFFF"/>
          </w:tcPr>
          <w:p w14:paraId="0DB7FEDF" w14:textId="7369A284" w:rsidR="009B0E62" w:rsidRPr="00B57B36" w:rsidRDefault="009B0E62" w:rsidP="001E4651">
            <w:pPr>
              <w:pStyle w:val="CETBodytext"/>
              <w:ind w:right="-1"/>
              <w:jc w:val="center"/>
              <w:rPr>
                <w:rFonts w:cs="Arial"/>
                <w:szCs w:val="18"/>
                <w:lang w:val="en-GB"/>
              </w:rPr>
            </w:pPr>
            <w:r w:rsidRPr="00B32138">
              <w:t>47.2</w:t>
            </w:r>
          </w:p>
        </w:tc>
        <w:tc>
          <w:tcPr>
            <w:tcW w:w="999" w:type="dxa"/>
            <w:shd w:val="clear" w:color="auto" w:fill="FFFFFF"/>
          </w:tcPr>
          <w:p w14:paraId="66B9617D" w14:textId="368C89E1" w:rsidR="009B0E62" w:rsidRPr="00B57B36" w:rsidRDefault="009B0E62" w:rsidP="001E4651">
            <w:pPr>
              <w:pStyle w:val="CETBodytext"/>
              <w:ind w:right="-1"/>
              <w:jc w:val="center"/>
              <w:rPr>
                <w:rFonts w:cs="Arial"/>
                <w:szCs w:val="18"/>
                <w:lang w:val="en-GB"/>
              </w:rPr>
            </w:pPr>
            <w:r w:rsidRPr="00B32138">
              <w:t>24.4</w:t>
            </w:r>
          </w:p>
        </w:tc>
      </w:tr>
      <w:tr w:rsidR="009B0E62" w:rsidRPr="00B57B36" w14:paraId="068B92D3" w14:textId="77777777" w:rsidTr="009B0E62">
        <w:tc>
          <w:tcPr>
            <w:tcW w:w="432" w:type="dxa"/>
            <w:shd w:val="clear" w:color="auto" w:fill="FFFFFF"/>
          </w:tcPr>
          <w:p w14:paraId="1EFBBC10" w14:textId="55D4AF22" w:rsidR="009B0E62" w:rsidRPr="00B57B36" w:rsidRDefault="009B0E62" w:rsidP="001E4651">
            <w:pPr>
              <w:pStyle w:val="CETBodytext"/>
              <w:ind w:right="-1"/>
              <w:jc w:val="center"/>
              <w:rPr>
                <w:rFonts w:cs="Arial"/>
                <w:szCs w:val="18"/>
                <w:lang w:val="en-GB"/>
              </w:rPr>
            </w:pPr>
            <w:r>
              <w:rPr>
                <w:rFonts w:cs="Arial"/>
                <w:szCs w:val="18"/>
                <w:lang w:val="en-GB"/>
              </w:rPr>
              <w:t>6</w:t>
            </w:r>
          </w:p>
        </w:tc>
        <w:tc>
          <w:tcPr>
            <w:tcW w:w="997" w:type="dxa"/>
            <w:shd w:val="clear" w:color="auto" w:fill="FFFFFF"/>
          </w:tcPr>
          <w:p w14:paraId="18353592" w14:textId="7C6DCB42" w:rsidR="009B0E62" w:rsidRPr="00B57B36" w:rsidRDefault="00C34372" w:rsidP="001E4651">
            <w:pPr>
              <w:pStyle w:val="CETBodytext"/>
              <w:ind w:right="-1"/>
              <w:jc w:val="center"/>
              <w:rPr>
                <w:rFonts w:cs="Arial"/>
                <w:szCs w:val="18"/>
                <w:lang w:val="en-GB"/>
              </w:rPr>
            </w:pPr>
            <w:r>
              <w:t>3</w:t>
            </w:r>
          </w:p>
        </w:tc>
        <w:tc>
          <w:tcPr>
            <w:tcW w:w="992" w:type="dxa"/>
            <w:shd w:val="clear" w:color="auto" w:fill="FFFFFF"/>
          </w:tcPr>
          <w:p w14:paraId="4C54DA03" w14:textId="63510C56" w:rsidR="009B0E62" w:rsidRPr="00B57B36" w:rsidRDefault="00C34372" w:rsidP="001E4651">
            <w:pPr>
              <w:pStyle w:val="CETBodytext"/>
              <w:ind w:right="-1"/>
              <w:jc w:val="center"/>
              <w:rPr>
                <w:rFonts w:cs="Arial"/>
                <w:szCs w:val="18"/>
                <w:lang w:val="en-GB"/>
              </w:rPr>
            </w:pPr>
            <w:r>
              <w:t>2.4</w:t>
            </w:r>
          </w:p>
        </w:tc>
        <w:tc>
          <w:tcPr>
            <w:tcW w:w="999" w:type="dxa"/>
            <w:shd w:val="clear" w:color="auto" w:fill="FFFFFF"/>
          </w:tcPr>
          <w:p w14:paraId="6E3C72DD" w14:textId="7DE67319" w:rsidR="009B0E62" w:rsidRPr="00B57B36" w:rsidRDefault="00C34372" w:rsidP="001E4651">
            <w:pPr>
              <w:pStyle w:val="CETBodytext"/>
              <w:ind w:right="-1"/>
              <w:jc w:val="center"/>
              <w:rPr>
                <w:rFonts w:cs="Arial"/>
                <w:szCs w:val="18"/>
                <w:lang w:val="en-GB"/>
              </w:rPr>
            </w:pPr>
            <w:r>
              <w:t>49.2</w:t>
            </w:r>
          </w:p>
        </w:tc>
        <w:tc>
          <w:tcPr>
            <w:tcW w:w="999" w:type="dxa"/>
            <w:tcBorders>
              <w:right w:val="single" w:sz="4" w:space="0" w:color="008000"/>
            </w:tcBorders>
            <w:shd w:val="clear" w:color="auto" w:fill="FFFFFF"/>
          </w:tcPr>
          <w:p w14:paraId="200F76F5" w14:textId="2921BD94" w:rsidR="009B0E62" w:rsidRPr="00B57B36" w:rsidRDefault="00A92D59" w:rsidP="001E4651">
            <w:pPr>
              <w:pStyle w:val="CETBodytext"/>
              <w:ind w:right="-1"/>
              <w:jc w:val="center"/>
              <w:rPr>
                <w:rFonts w:cs="Arial"/>
                <w:szCs w:val="18"/>
                <w:lang w:val="en-GB"/>
              </w:rPr>
            </w:pPr>
            <w:r>
              <w:t>26.0</w:t>
            </w:r>
          </w:p>
        </w:tc>
        <w:tc>
          <w:tcPr>
            <w:tcW w:w="432" w:type="dxa"/>
            <w:tcBorders>
              <w:left w:val="single" w:sz="4" w:space="0" w:color="008000"/>
            </w:tcBorders>
            <w:shd w:val="clear" w:color="auto" w:fill="FFFFFF"/>
          </w:tcPr>
          <w:p w14:paraId="61F832A7" w14:textId="4892542E" w:rsidR="009B0E62" w:rsidRPr="00B57B36" w:rsidRDefault="009B0E62" w:rsidP="001E4651">
            <w:pPr>
              <w:pStyle w:val="CETBodytext"/>
              <w:ind w:right="-1"/>
              <w:jc w:val="center"/>
              <w:rPr>
                <w:rFonts w:cs="Arial"/>
                <w:szCs w:val="18"/>
                <w:lang w:val="en-GB"/>
              </w:rPr>
            </w:pPr>
            <w:r w:rsidRPr="00B32138">
              <w:t>12</w:t>
            </w:r>
          </w:p>
        </w:tc>
        <w:tc>
          <w:tcPr>
            <w:tcW w:w="998" w:type="dxa"/>
            <w:shd w:val="clear" w:color="auto" w:fill="FFFFFF"/>
          </w:tcPr>
          <w:p w14:paraId="3A6A813D" w14:textId="30B44194" w:rsidR="009B0E62" w:rsidRPr="00B57B36" w:rsidRDefault="009B0E62" w:rsidP="001E4651">
            <w:pPr>
              <w:pStyle w:val="CETBodytext"/>
              <w:ind w:right="-1"/>
              <w:jc w:val="center"/>
              <w:rPr>
                <w:rFonts w:cs="Arial"/>
                <w:szCs w:val="18"/>
                <w:lang w:val="en-GB"/>
              </w:rPr>
            </w:pPr>
            <w:r w:rsidRPr="00B32138">
              <w:t>3</w:t>
            </w:r>
          </w:p>
        </w:tc>
        <w:tc>
          <w:tcPr>
            <w:tcW w:w="993" w:type="dxa"/>
            <w:shd w:val="clear" w:color="auto" w:fill="FFFFFF"/>
          </w:tcPr>
          <w:p w14:paraId="22ECC951" w14:textId="0E448E94" w:rsidR="009B0E62" w:rsidRPr="00B57B36" w:rsidRDefault="009B0E62" w:rsidP="001E4651">
            <w:pPr>
              <w:pStyle w:val="CETBodytext"/>
              <w:ind w:right="-1"/>
              <w:jc w:val="center"/>
              <w:rPr>
                <w:rFonts w:cs="Arial"/>
                <w:szCs w:val="18"/>
                <w:lang w:val="en-GB"/>
              </w:rPr>
            </w:pPr>
            <w:r w:rsidRPr="00B32138">
              <w:t>3.5</w:t>
            </w:r>
          </w:p>
        </w:tc>
        <w:tc>
          <w:tcPr>
            <w:tcW w:w="999" w:type="dxa"/>
            <w:shd w:val="clear" w:color="auto" w:fill="FFFFFF"/>
          </w:tcPr>
          <w:p w14:paraId="70F3FF31" w14:textId="771E8600" w:rsidR="009B0E62" w:rsidRPr="00B57B36" w:rsidRDefault="009B0E62" w:rsidP="001E4651">
            <w:pPr>
              <w:pStyle w:val="CETBodytext"/>
              <w:ind w:right="-1"/>
              <w:jc w:val="center"/>
              <w:rPr>
                <w:rFonts w:cs="Arial"/>
                <w:szCs w:val="18"/>
                <w:lang w:val="en-GB"/>
              </w:rPr>
            </w:pPr>
            <w:r w:rsidRPr="00B32138">
              <w:t>47.7</w:t>
            </w:r>
          </w:p>
        </w:tc>
        <w:tc>
          <w:tcPr>
            <w:tcW w:w="999" w:type="dxa"/>
            <w:shd w:val="clear" w:color="auto" w:fill="FFFFFF"/>
          </w:tcPr>
          <w:p w14:paraId="5B91E1AD" w14:textId="69079DB7" w:rsidR="009B0E62" w:rsidRPr="00B57B36" w:rsidRDefault="009B0E62" w:rsidP="001E4651">
            <w:pPr>
              <w:pStyle w:val="CETBodytext"/>
              <w:ind w:right="-1"/>
              <w:jc w:val="center"/>
              <w:rPr>
                <w:rFonts w:cs="Arial"/>
                <w:szCs w:val="18"/>
                <w:lang w:val="en-GB"/>
              </w:rPr>
            </w:pPr>
            <w:r w:rsidRPr="00B32138">
              <w:t>25.1</w:t>
            </w:r>
          </w:p>
        </w:tc>
      </w:tr>
    </w:tbl>
    <w:p w14:paraId="68C94838" w14:textId="77777777" w:rsidR="009B0E62" w:rsidRDefault="009B0E62" w:rsidP="004F0A68">
      <w:pPr>
        <w:pStyle w:val="CETBodytext"/>
        <w:rPr>
          <w:lang w:val="en-GB"/>
        </w:rPr>
      </w:pPr>
    </w:p>
    <w:p w14:paraId="4D9A8C7E" w14:textId="77777777" w:rsidR="00DE0E4E" w:rsidRDefault="00DE0E4E" w:rsidP="004F0A68">
      <w:pPr>
        <w:pStyle w:val="CETBodytext"/>
        <w:rPr>
          <w:lang w:val="en-GB"/>
        </w:rPr>
      </w:pPr>
    </w:p>
    <w:p w14:paraId="79CAB635" w14:textId="77777777" w:rsidR="00DE0E4E" w:rsidRDefault="00DE0E4E" w:rsidP="00DE0E4E">
      <w:pPr>
        <w:pStyle w:val="CETBodytext"/>
        <w:rPr>
          <w:rStyle w:val="CETCaptionCarattere"/>
        </w:rPr>
      </w:pPr>
      <w:r>
        <w:rPr>
          <w:noProof/>
        </w:rPr>
        <w:drawing>
          <wp:inline distT="0" distB="0" distL="0" distR="0" wp14:anchorId="67503340" wp14:editId="6AC98F54">
            <wp:extent cx="5581650" cy="1552575"/>
            <wp:effectExtent l="0" t="0" r="0" b="9525"/>
            <wp:docPr id="148814580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1552575"/>
                    </a:xfrm>
                    <a:prstGeom prst="rect">
                      <a:avLst/>
                    </a:prstGeom>
                    <a:noFill/>
                    <a:ln>
                      <a:noFill/>
                    </a:ln>
                  </pic:spPr>
                </pic:pic>
              </a:graphicData>
            </a:graphic>
          </wp:inline>
        </w:drawing>
      </w:r>
    </w:p>
    <w:p w14:paraId="208B074E" w14:textId="77777777" w:rsidR="00DE0E4E" w:rsidRDefault="00DE0E4E" w:rsidP="00DE0E4E">
      <w:pPr>
        <w:pStyle w:val="CETBodytext"/>
        <w:rPr>
          <w:rStyle w:val="CETCaptionCarattere"/>
        </w:rPr>
      </w:pPr>
    </w:p>
    <w:p w14:paraId="7E763D29" w14:textId="70BD12E6" w:rsidR="009B0E62" w:rsidRDefault="009B0E62" w:rsidP="00DE0E4E">
      <w:pPr>
        <w:pStyle w:val="CETBodytext"/>
        <w:rPr>
          <w:rStyle w:val="CETCaptionCarattere"/>
        </w:rPr>
      </w:pPr>
      <w:r w:rsidRPr="00BD077D">
        <w:rPr>
          <w:rStyle w:val="CETCaptionCarattere"/>
        </w:rPr>
        <w:t xml:space="preserve">Figure </w:t>
      </w:r>
      <w:r>
        <w:rPr>
          <w:rStyle w:val="CETCaptionCarattere"/>
        </w:rPr>
        <w:t>2.</w:t>
      </w:r>
      <w:r w:rsidRPr="00BD077D">
        <w:rPr>
          <w:rStyle w:val="CETCaptionCarattere"/>
        </w:rPr>
        <w:t xml:space="preserve"> </w:t>
      </w:r>
      <w:r w:rsidRPr="009B0E62">
        <w:rPr>
          <w:rStyle w:val="CETCaptionCarattere"/>
        </w:rPr>
        <w:t>Pareto chart of significant factors for extraction</w:t>
      </w:r>
      <w:r>
        <w:rPr>
          <w:rStyle w:val="CETCaptionCarattere"/>
        </w:rPr>
        <w:t xml:space="preserve"> of</w:t>
      </w:r>
      <w:r w:rsidRPr="009B0E62">
        <w:rPr>
          <w:rStyle w:val="CETCaptionCarattere"/>
        </w:rPr>
        <w:t xml:space="preserve"> </w:t>
      </w:r>
      <w:r>
        <w:rPr>
          <w:rStyle w:val="CETCaptionCarattere"/>
        </w:rPr>
        <w:t xml:space="preserve">a) </w:t>
      </w:r>
      <w:r w:rsidRPr="009B0E62">
        <w:rPr>
          <w:rStyle w:val="CETCaptionCarattere"/>
        </w:rPr>
        <w:t>butyric acid</w:t>
      </w:r>
      <w:r>
        <w:rPr>
          <w:rStyle w:val="CETCaptionCarattere"/>
        </w:rPr>
        <w:t xml:space="preserve"> and b) propionic acid</w:t>
      </w:r>
      <w:r w:rsidRPr="009B0E62">
        <w:rPr>
          <w:rStyle w:val="CETCaptionCarattere"/>
        </w:rPr>
        <w:t xml:space="preserve"> </w:t>
      </w:r>
      <w:r>
        <w:rPr>
          <w:rStyle w:val="CETCaptionCarattere"/>
        </w:rPr>
        <w:t xml:space="preserve">using hexadecane </w:t>
      </w:r>
      <w:r w:rsidRPr="009B0E62">
        <w:rPr>
          <w:rStyle w:val="CETCaptionCarattere"/>
        </w:rPr>
        <w:t>at 95% confidence</w:t>
      </w:r>
    </w:p>
    <w:p w14:paraId="0C9392CF" w14:textId="77777777" w:rsidR="00DE0E4E" w:rsidRPr="00BD077D" w:rsidRDefault="00DE0E4E" w:rsidP="00DE0E4E">
      <w:pPr>
        <w:pStyle w:val="CETBodytext"/>
        <w:jc w:val="left"/>
      </w:pPr>
    </w:p>
    <w:p w14:paraId="27315971" w14:textId="27ACD7C2" w:rsidR="008117D9" w:rsidRPr="006B5861" w:rsidRDefault="008117D9" w:rsidP="009B0E62">
      <w:pPr>
        <w:pStyle w:val="CETBodytext"/>
        <w:rPr>
          <w:szCs w:val="18"/>
        </w:rPr>
      </w:pPr>
      <w:r w:rsidRPr="008117D9">
        <w:t xml:space="preserve">Indeed, pH plays a crucial role in the extraction of carboxylic acids, controlling the equilibrium concentrations between the aqueous and organic phases </w:t>
      </w:r>
      <w:r w:rsidRPr="00AC3C8B">
        <w:t>(</w:t>
      </w:r>
      <w:r w:rsidR="00AC3C8B" w:rsidRPr="00AC3C8B">
        <w:rPr>
          <w:lang w:val="en-GB"/>
        </w:rPr>
        <w:t>Reyhanitash et al., 2016</w:t>
      </w:r>
      <w:r w:rsidRPr="00AC3C8B">
        <w:t>).</w:t>
      </w:r>
      <w:r w:rsidRPr="008117D9">
        <w:t xml:space="preserve"> In the present study, it was observed that low pH values</w:t>
      </w:r>
      <w:r w:rsidRPr="006B5861">
        <w:t>, around 2.5, favored acid recovery. This occurs because, at these values, the acids remain predominantly in their undissociated forms, facilitating their transfer to the organic phase</w:t>
      </w:r>
      <w:r w:rsidR="009B0E62" w:rsidRPr="006B5861">
        <w:t xml:space="preserve"> due to affinity with the organic solvent</w:t>
      </w:r>
      <w:r w:rsidRPr="006B5861">
        <w:t>. This behavior is consistent with extractions conducted under similar conditions (</w:t>
      </w:r>
      <w:r w:rsidR="00AC3C8B" w:rsidRPr="006B5861">
        <w:rPr>
          <w:lang w:val="en-GB"/>
        </w:rPr>
        <w:t>Chun et al., 2018; Vidal et al., 2024</w:t>
      </w:r>
      <w:r w:rsidRPr="006B5861">
        <w:t>).</w:t>
      </w:r>
    </w:p>
    <w:p w14:paraId="623F8FDE" w14:textId="2CDDE440" w:rsidR="008117D9" w:rsidRPr="006B5861" w:rsidRDefault="008117D9" w:rsidP="001E4651">
      <w:pPr>
        <w:pStyle w:val="CETBodytext"/>
      </w:pPr>
      <w:r w:rsidRPr="006B5861">
        <w:t xml:space="preserve">The extraction efficiency was also influenced by the nature of </w:t>
      </w:r>
      <w:r w:rsidR="00B779B7" w:rsidRPr="006B5861">
        <w:t xml:space="preserve">the </w:t>
      </w:r>
      <w:r w:rsidRPr="006B5861">
        <w:t>acid. Acids with greater hydrophobicity, such as butyric acid, showed higher affinity for the organic phase, resulting in higher recovery percentages compared to propionic acid. This behavior is consistent with the observation that longer-chain carboxylic acids exhibit greater hydrophobicity, favoring their extraction by non-polar solvents, such as hexadecane (</w:t>
      </w:r>
      <w:r w:rsidR="00226FBD" w:rsidRPr="006B5861">
        <w:t>Yang et al., 2024</w:t>
      </w:r>
      <w:r w:rsidRPr="006B5861">
        <w:t>). It was evidenced that this difference directly reflects the distribution coefficients, which indicate higher efficiency in the transfer of butyric acid to the organic phase compared to propionic acid.</w:t>
      </w:r>
    </w:p>
    <w:p w14:paraId="58DA17E8" w14:textId="77777777" w:rsidR="008938A8" w:rsidRPr="006B5861" w:rsidRDefault="00C40D81" w:rsidP="008938A8">
      <w:pPr>
        <w:pStyle w:val="CETBodytext"/>
        <w:tabs>
          <w:tab w:val="clear" w:pos="7100"/>
          <w:tab w:val="left" w:pos="2415"/>
        </w:tabs>
        <w:spacing w:after="240"/>
        <w:rPr>
          <w:lang w:val="en-GB"/>
        </w:rPr>
      </w:pPr>
      <w:r w:rsidRPr="006B5861">
        <w:rPr>
          <w:lang w:val="en-GB"/>
        </w:rPr>
        <w:t>The adequacy of the models for butyric and propionic acid extraction was evaluated through analysis of variance (ANOVA), as presented in Tables 3 and 4. The adjusted correlation coefficients (</w:t>
      </w:r>
      <w:r w:rsidRPr="006B5861">
        <w:rPr>
          <w:i/>
          <w:iCs/>
        </w:rPr>
        <w:t>R</w:t>
      </w:r>
      <w:r w:rsidRPr="006B5861">
        <w:rPr>
          <w:i/>
          <w:iCs/>
          <w:vertAlign w:val="superscript"/>
        </w:rPr>
        <w:t>2</w:t>
      </w:r>
      <w:r w:rsidRPr="006B5861">
        <w:rPr>
          <w:i/>
          <w:iCs/>
        </w:rPr>
        <w:t>)</w:t>
      </w:r>
      <w:r w:rsidRPr="006B5861">
        <w:rPr>
          <w:lang w:val="en-GB"/>
        </w:rPr>
        <w:t xml:space="preserve"> were 99.98% and 99.79%, respectively, indicating minimal unexplained variability. The adjusted (R</w:t>
      </w:r>
      <w:r w:rsidRPr="006B5861">
        <w:rPr>
          <w:vertAlign w:val="superscript"/>
          <w:lang w:val="en-GB"/>
        </w:rPr>
        <w:t>2</w:t>
      </w:r>
      <w:r w:rsidRPr="006B5861">
        <w:rPr>
          <w:vertAlign w:val="subscript"/>
          <w:lang w:val="en-GB"/>
        </w:rPr>
        <w:t>ADJ</w:t>
      </w:r>
      <w:r w:rsidRPr="006B5861">
        <w:rPr>
          <w:lang w:val="en-GB"/>
        </w:rPr>
        <w:t>) and predicted (R</w:t>
      </w:r>
      <w:r w:rsidRPr="006B5861">
        <w:rPr>
          <w:vertAlign w:val="superscript"/>
          <w:lang w:val="en-GB"/>
        </w:rPr>
        <w:t>2</w:t>
      </w:r>
      <w:r w:rsidRPr="006B5861">
        <w:rPr>
          <w:vertAlign w:val="subscript"/>
          <w:lang w:val="en-GB"/>
        </w:rPr>
        <w:t>PRED</w:t>
      </w:r>
      <w:r w:rsidRPr="006B5861">
        <w:rPr>
          <w:lang w:val="en-GB"/>
        </w:rPr>
        <w:t xml:space="preserve">) values—99.91% and 99.97% for butyric acid, and 99.22% and 99.79% for propionic acid—demonstrate strong agreement between experimental and predicted values. The calculated Fischer’s values (750.03 and 57.22 for butyric and propionic acids, respectively) far exceeded the tabulated F-values, confirming statistical significance at a 95% confidence level. The tabulated F-value is determined from tables that relate the confidence interval and the degrees of freedom of the regression and residuals. For the verification of the tabulated F-values, the tables provided by Rodrigues and Iemma (2014) were used. </w:t>
      </w:r>
    </w:p>
    <w:p w14:paraId="3FE63316" w14:textId="010357C2" w:rsidR="003D0131" w:rsidRPr="00D248C4" w:rsidRDefault="00D248C4" w:rsidP="008938A8">
      <w:pPr>
        <w:pStyle w:val="CETBodytext"/>
        <w:tabs>
          <w:tab w:val="clear" w:pos="7100"/>
          <w:tab w:val="left" w:pos="2415"/>
        </w:tabs>
      </w:pPr>
      <w:r w:rsidRPr="006B5861">
        <w:t xml:space="preserve">Table </w:t>
      </w:r>
      <w:r w:rsidR="001467F6" w:rsidRPr="006B5861">
        <w:t>3</w:t>
      </w:r>
      <w:r w:rsidRPr="006B5861">
        <w:t xml:space="preserve"> – ANOVA Table for Butyric Acid Extraction (R</w:t>
      </w:r>
      <w:r w:rsidRPr="006B5861">
        <w:rPr>
          <w:vertAlign w:val="superscript"/>
        </w:rPr>
        <w:t xml:space="preserve">2 </w:t>
      </w:r>
      <w:r w:rsidRPr="006B5861">
        <w:t xml:space="preserve">= </w:t>
      </w:r>
      <w:r w:rsidR="00AB718E" w:rsidRPr="006B5861">
        <w:t>0.</w:t>
      </w:r>
      <w:r w:rsidR="00365699" w:rsidRPr="006B5861">
        <w:t>99976</w:t>
      </w:r>
      <w:r w:rsidRPr="006B5861">
        <w:t>).</w:t>
      </w: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1670"/>
        <w:gridCol w:w="650"/>
        <w:gridCol w:w="1197"/>
        <w:gridCol w:w="1353"/>
        <w:gridCol w:w="1508"/>
      </w:tblGrid>
      <w:tr w:rsidR="00381A27" w:rsidRPr="00DA1913" w14:paraId="426CCF08" w14:textId="77777777" w:rsidTr="001467F6">
        <w:trPr>
          <w:jc w:val="center"/>
        </w:trPr>
        <w:tc>
          <w:tcPr>
            <w:tcW w:w="1371" w:type="pct"/>
            <w:tcBorders>
              <w:top w:val="single" w:sz="12" w:space="0" w:color="00863D"/>
              <w:bottom w:val="single" w:sz="8" w:space="0" w:color="00863D"/>
            </w:tcBorders>
          </w:tcPr>
          <w:p w14:paraId="21ABA65F" w14:textId="77777777" w:rsidR="00381A27" w:rsidRPr="00DA1913" w:rsidRDefault="00381A27" w:rsidP="00535B42">
            <w:pPr>
              <w:spacing w:line="240" w:lineRule="auto"/>
              <w:rPr>
                <w:rFonts w:cs="Arial"/>
                <w:szCs w:val="18"/>
              </w:rPr>
            </w:pPr>
            <w:r w:rsidRPr="00DA1913">
              <w:rPr>
                <w:rFonts w:cs="Arial"/>
                <w:szCs w:val="18"/>
              </w:rPr>
              <w:t>Source of Variation</w:t>
            </w:r>
          </w:p>
        </w:tc>
        <w:tc>
          <w:tcPr>
            <w:tcW w:w="950" w:type="pct"/>
            <w:tcBorders>
              <w:top w:val="single" w:sz="12" w:space="0" w:color="00863D"/>
              <w:bottom w:val="single" w:sz="8" w:space="0" w:color="00863D"/>
            </w:tcBorders>
          </w:tcPr>
          <w:p w14:paraId="511A5238" w14:textId="77777777" w:rsidR="00381A27" w:rsidRPr="00DA1913" w:rsidRDefault="00381A27" w:rsidP="00535B42">
            <w:pPr>
              <w:spacing w:line="240" w:lineRule="auto"/>
              <w:jc w:val="center"/>
              <w:rPr>
                <w:rFonts w:cs="Arial"/>
                <w:szCs w:val="18"/>
              </w:rPr>
            </w:pPr>
            <w:r w:rsidRPr="00DA1913">
              <w:rPr>
                <w:rFonts w:cs="Arial"/>
                <w:szCs w:val="18"/>
              </w:rPr>
              <w:t>SS</w:t>
            </w:r>
          </w:p>
        </w:tc>
        <w:tc>
          <w:tcPr>
            <w:tcW w:w="370" w:type="pct"/>
            <w:tcBorders>
              <w:top w:val="single" w:sz="12" w:space="0" w:color="00863D"/>
              <w:bottom w:val="single" w:sz="8" w:space="0" w:color="00863D"/>
            </w:tcBorders>
          </w:tcPr>
          <w:p w14:paraId="79D118AA" w14:textId="77777777" w:rsidR="00381A27" w:rsidRPr="00DA1913" w:rsidRDefault="00381A27" w:rsidP="00535B42">
            <w:pPr>
              <w:spacing w:line="240" w:lineRule="auto"/>
              <w:jc w:val="center"/>
              <w:rPr>
                <w:rFonts w:cs="Arial"/>
                <w:szCs w:val="18"/>
              </w:rPr>
            </w:pPr>
            <w:r w:rsidRPr="00DA1913">
              <w:rPr>
                <w:rFonts w:cs="Arial"/>
                <w:szCs w:val="18"/>
              </w:rPr>
              <w:t>df</w:t>
            </w:r>
          </w:p>
        </w:tc>
        <w:tc>
          <w:tcPr>
            <w:tcW w:w="681" w:type="pct"/>
            <w:tcBorders>
              <w:top w:val="single" w:sz="12" w:space="0" w:color="00863D"/>
              <w:bottom w:val="single" w:sz="8" w:space="0" w:color="00863D"/>
            </w:tcBorders>
          </w:tcPr>
          <w:p w14:paraId="65AC284B" w14:textId="77777777" w:rsidR="00381A27" w:rsidRPr="00DA1913" w:rsidRDefault="00381A27" w:rsidP="00535B42">
            <w:pPr>
              <w:spacing w:line="240" w:lineRule="auto"/>
              <w:jc w:val="center"/>
              <w:rPr>
                <w:rFonts w:cs="Arial"/>
                <w:szCs w:val="18"/>
              </w:rPr>
            </w:pPr>
            <w:r w:rsidRPr="00DA1913">
              <w:rPr>
                <w:rFonts w:cs="Arial"/>
                <w:szCs w:val="18"/>
              </w:rPr>
              <w:t>MS</w:t>
            </w:r>
          </w:p>
        </w:tc>
        <w:tc>
          <w:tcPr>
            <w:tcW w:w="770" w:type="pct"/>
            <w:tcBorders>
              <w:top w:val="single" w:sz="12" w:space="0" w:color="00863D"/>
              <w:bottom w:val="single" w:sz="8" w:space="0" w:color="00863D"/>
            </w:tcBorders>
          </w:tcPr>
          <w:p w14:paraId="1892ACE0" w14:textId="77777777" w:rsidR="00381A27" w:rsidRPr="00DA1913" w:rsidRDefault="00381A27" w:rsidP="00535B42">
            <w:pPr>
              <w:spacing w:line="240" w:lineRule="auto"/>
              <w:jc w:val="center"/>
              <w:rPr>
                <w:rFonts w:cs="Arial"/>
                <w:szCs w:val="18"/>
              </w:rPr>
            </w:pPr>
            <w:r w:rsidRPr="00DA1913">
              <w:rPr>
                <w:rFonts w:cs="Arial"/>
                <w:szCs w:val="18"/>
              </w:rPr>
              <w:t>F</w:t>
            </w:r>
          </w:p>
        </w:tc>
        <w:tc>
          <w:tcPr>
            <w:tcW w:w="858" w:type="pct"/>
            <w:tcBorders>
              <w:top w:val="single" w:sz="12" w:space="0" w:color="00863D"/>
              <w:bottom w:val="single" w:sz="8" w:space="0" w:color="00863D"/>
            </w:tcBorders>
          </w:tcPr>
          <w:p w14:paraId="4DFEC8DE" w14:textId="77777777" w:rsidR="00381A27" w:rsidRPr="00DA1913" w:rsidRDefault="00381A27" w:rsidP="00535B42">
            <w:pPr>
              <w:spacing w:line="240" w:lineRule="auto"/>
              <w:jc w:val="center"/>
              <w:rPr>
                <w:rFonts w:cs="Arial"/>
                <w:szCs w:val="18"/>
              </w:rPr>
            </w:pPr>
            <w:r w:rsidRPr="00DA1913">
              <w:rPr>
                <w:rFonts w:cs="Arial"/>
                <w:szCs w:val="18"/>
              </w:rPr>
              <w:t>P-Value</w:t>
            </w:r>
          </w:p>
        </w:tc>
      </w:tr>
      <w:tr w:rsidR="00535B42" w:rsidRPr="00DA1913" w14:paraId="1530AA4D" w14:textId="77777777" w:rsidTr="001467F6">
        <w:trPr>
          <w:jc w:val="center"/>
        </w:trPr>
        <w:tc>
          <w:tcPr>
            <w:tcW w:w="1371" w:type="pct"/>
            <w:tcBorders>
              <w:top w:val="single" w:sz="8" w:space="0" w:color="00863D"/>
            </w:tcBorders>
          </w:tcPr>
          <w:p w14:paraId="634F2C56" w14:textId="77777777" w:rsidR="00381A27" w:rsidRPr="00DA1913" w:rsidRDefault="00381A27" w:rsidP="00535B42">
            <w:pPr>
              <w:spacing w:line="240" w:lineRule="auto"/>
              <w:rPr>
                <w:rFonts w:cs="Arial"/>
                <w:szCs w:val="18"/>
              </w:rPr>
            </w:pPr>
            <w:r w:rsidRPr="00DA1913">
              <w:rPr>
                <w:rFonts w:cs="Arial"/>
                <w:szCs w:val="18"/>
              </w:rPr>
              <w:t>ROW</w:t>
            </w:r>
          </w:p>
        </w:tc>
        <w:tc>
          <w:tcPr>
            <w:tcW w:w="950" w:type="pct"/>
            <w:tcBorders>
              <w:top w:val="single" w:sz="8" w:space="0" w:color="00863D"/>
            </w:tcBorders>
          </w:tcPr>
          <w:p w14:paraId="6F64D58D" w14:textId="77777777" w:rsidR="00381A27" w:rsidRPr="00DA1913" w:rsidRDefault="00381A27" w:rsidP="00535B42">
            <w:pPr>
              <w:spacing w:line="240" w:lineRule="auto"/>
              <w:jc w:val="center"/>
              <w:rPr>
                <w:rFonts w:cs="Arial"/>
                <w:szCs w:val="18"/>
              </w:rPr>
            </w:pPr>
            <w:r w:rsidRPr="00DA1913">
              <w:rPr>
                <w:rFonts w:cs="Arial"/>
                <w:szCs w:val="18"/>
              </w:rPr>
              <w:t>179.63</w:t>
            </w:r>
          </w:p>
        </w:tc>
        <w:tc>
          <w:tcPr>
            <w:tcW w:w="370" w:type="pct"/>
            <w:tcBorders>
              <w:top w:val="single" w:sz="8" w:space="0" w:color="00863D"/>
            </w:tcBorders>
          </w:tcPr>
          <w:p w14:paraId="0A617B29" w14:textId="77777777" w:rsidR="00381A27" w:rsidRPr="00DA1913" w:rsidRDefault="00381A27" w:rsidP="00535B42">
            <w:pPr>
              <w:spacing w:line="240" w:lineRule="auto"/>
              <w:jc w:val="center"/>
              <w:rPr>
                <w:rFonts w:cs="Arial"/>
                <w:szCs w:val="18"/>
              </w:rPr>
            </w:pPr>
            <w:r w:rsidRPr="00DA1913">
              <w:rPr>
                <w:rFonts w:cs="Arial"/>
                <w:szCs w:val="18"/>
              </w:rPr>
              <w:t>2</w:t>
            </w:r>
          </w:p>
        </w:tc>
        <w:tc>
          <w:tcPr>
            <w:tcW w:w="681" w:type="pct"/>
            <w:tcBorders>
              <w:top w:val="single" w:sz="8" w:space="0" w:color="00863D"/>
            </w:tcBorders>
          </w:tcPr>
          <w:p w14:paraId="58BE8DF6" w14:textId="77777777" w:rsidR="00381A27" w:rsidRPr="00DA1913" w:rsidRDefault="00381A27" w:rsidP="00535B42">
            <w:pPr>
              <w:spacing w:line="240" w:lineRule="auto"/>
              <w:jc w:val="center"/>
              <w:rPr>
                <w:rFonts w:cs="Arial"/>
                <w:szCs w:val="18"/>
              </w:rPr>
            </w:pPr>
            <w:r w:rsidRPr="00DA1913">
              <w:rPr>
                <w:rFonts w:cs="Arial"/>
                <w:szCs w:val="18"/>
              </w:rPr>
              <w:t>89.81</w:t>
            </w:r>
          </w:p>
        </w:tc>
        <w:tc>
          <w:tcPr>
            <w:tcW w:w="770" w:type="pct"/>
            <w:tcBorders>
              <w:top w:val="single" w:sz="8" w:space="0" w:color="00863D"/>
            </w:tcBorders>
          </w:tcPr>
          <w:p w14:paraId="21590DCE" w14:textId="77777777" w:rsidR="00381A27" w:rsidRPr="00DA1913" w:rsidRDefault="00381A27" w:rsidP="00535B42">
            <w:pPr>
              <w:spacing w:line="240" w:lineRule="auto"/>
              <w:jc w:val="center"/>
              <w:rPr>
                <w:rFonts w:cs="Arial"/>
                <w:szCs w:val="18"/>
              </w:rPr>
            </w:pPr>
            <w:r w:rsidRPr="00DA1913">
              <w:rPr>
                <w:rFonts w:cs="Arial"/>
                <w:szCs w:val="18"/>
              </w:rPr>
              <w:t>750.02</w:t>
            </w:r>
          </w:p>
        </w:tc>
        <w:tc>
          <w:tcPr>
            <w:tcW w:w="858" w:type="pct"/>
            <w:tcBorders>
              <w:top w:val="single" w:sz="8" w:space="0" w:color="00863D"/>
            </w:tcBorders>
          </w:tcPr>
          <w:p w14:paraId="70735FD7" w14:textId="77777777" w:rsidR="00381A27" w:rsidRPr="00DA1913" w:rsidRDefault="00381A27" w:rsidP="00535B42">
            <w:pPr>
              <w:spacing w:line="240" w:lineRule="auto"/>
              <w:jc w:val="center"/>
              <w:rPr>
                <w:rFonts w:cs="Arial"/>
                <w:szCs w:val="18"/>
              </w:rPr>
            </w:pPr>
            <w:r w:rsidRPr="00DA1913">
              <w:rPr>
                <w:rFonts w:cs="Arial"/>
                <w:szCs w:val="18"/>
              </w:rPr>
              <w:t>0.000089</w:t>
            </w:r>
          </w:p>
        </w:tc>
      </w:tr>
      <w:tr w:rsidR="001467F6" w:rsidRPr="00DA1913" w14:paraId="51E9506F" w14:textId="77777777" w:rsidTr="001467F6">
        <w:trPr>
          <w:jc w:val="center"/>
        </w:trPr>
        <w:tc>
          <w:tcPr>
            <w:tcW w:w="1371" w:type="pct"/>
          </w:tcPr>
          <w:p w14:paraId="070214BB" w14:textId="77777777" w:rsidR="00381A27" w:rsidRPr="00DA1913" w:rsidRDefault="00381A27" w:rsidP="00535B42">
            <w:pPr>
              <w:spacing w:line="240" w:lineRule="auto"/>
              <w:rPr>
                <w:rFonts w:cs="Arial"/>
                <w:szCs w:val="18"/>
              </w:rPr>
            </w:pPr>
            <w:r w:rsidRPr="00DA1913">
              <w:rPr>
                <w:rFonts w:cs="Arial"/>
                <w:szCs w:val="18"/>
              </w:rPr>
              <w:t>pH</w:t>
            </w:r>
          </w:p>
        </w:tc>
        <w:tc>
          <w:tcPr>
            <w:tcW w:w="950" w:type="pct"/>
          </w:tcPr>
          <w:p w14:paraId="75E20BB8" w14:textId="77777777" w:rsidR="00381A27" w:rsidRPr="00DA1913" w:rsidRDefault="00381A27" w:rsidP="00535B42">
            <w:pPr>
              <w:spacing w:line="240" w:lineRule="auto"/>
              <w:jc w:val="center"/>
              <w:rPr>
                <w:rFonts w:cs="Arial"/>
                <w:szCs w:val="18"/>
              </w:rPr>
            </w:pPr>
            <w:r w:rsidRPr="00DA1913">
              <w:rPr>
                <w:rFonts w:cs="Arial"/>
                <w:szCs w:val="18"/>
              </w:rPr>
              <w:t>363.67</w:t>
            </w:r>
          </w:p>
        </w:tc>
        <w:tc>
          <w:tcPr>
            <w:tcW w:w="370" w:type="pct"/>
          </w:tcPr>
          <w:p w14:paraId="7BE87E1D" w14:textId="77777777" w:rsidR="00381A27" w:rsidRPr="00DA1913" w:rsidRDefault="00381A27" w:rsidP="00535B42">
            <w:pPr>
              <w:spacing w:line="240" w:lineRule="auto"/>
              <w:jc w:val="center"/>
              <w:rPr>
                <w:rFonts w:cs="Arial"/>
                <w:szCs w:val="18"/>
              </w:rPr>
            </w:pPr>
            <w:r w:rsidRPr="00DA1913">
              <w:rPr>
                <w:rFonts w:cs="Arial"/>
                <w:szCs w:val="18"/>
              </w:rPr>
              <w:t>2</w:t>
            </w:r>
          </w:p>
        </w:tc>
        <w:tc>
          <w:tcPr>
            <w:tcW w:w="681" w:type="pct"/>
          </w:tcPr>
          <w:p w14:paraId="213B0A82" w14:textId="77777777" w:rsidR="00381A27" w:rsidRPr="00DA1913" w:rsidRDefault="00381A27" w:rsidP="00535B42">
            <w:pPr>
              <w:spacing w:line="240" w:lineRule="auto"/>
              <w:jc w:val="center"/>
              <w:rPr>
                <w:rFonts w:cs="Arial"/>
                <w:szCs w:val="18"/>
              </w:rPr>
            </w:pPr>
            <w:r w:rsidRPr="00DA1913">
              <w:rPr>
                <w:rFonts w:cs="Arial"/>
                <w:szCs w:val="18"/>
              </w:rPr>
              <w:t>181.83</w:t>
            </w:r>
          </w:p>
        </w:tc>
        <w:tc>
          <w:tcPr>
            <w:tcW w:w="770" w:type="pct"/>
          </w:tcPr>
          <w:p w14:paraId="710EED52" w14:textId="77777777" w:rsidR="00381A27" w:rsidRPr="00DA1913" w:rsidRDefault="00381A27" w:rsidP="00535B42">
            <w:pPr>
              <w:spacing w:line="240" w:lineRule="auto"/>
              <w:jc w:val="center"/>
              <w:rPr>
                <w:rFonts w:cs="Arial"/>
                <w:szCs w:val="18"/>
              </w:rPr>
            </w:pPr>
            <w:r w:rsidRPr="00DA1913">
              <w:rPr>
                <w:rFonts w:cs="Arial"/>
                <w:szCs w:val="18"/>
              </w:rPr>
              <w:t>1518.47</w:t>
            </w:r>
          </w:p>
        </w:tc>
        <w:tc>
          <w:tcPr>
            <w:tcW w:w="858" w:type="pct"/>
          </w:tcPr>
          <w:p w14:paraId="64B369A8" w14:textId="77777777" w:rsidR="00381A27" w:rsidRPr="00DA1913" w:rsidRDefault="00381A27" w:rsidP="00535B42">
            <w:pPr>
              <w:spacing w:line="240" w:lineRule="auto"/>
              <w:jc w:val="center"/>
              <w:rPr>
                <w:rFonts w:cs="Arial"/>
                <w:szCs w:val="18"/>
              </w:rPr>
            </w:pPr>
            <w:r w:rsidRPr="00DA1913">
              <w:rPr>
                <w:rFonts w:cs="Arial"/>
                <w:szCs w:val="18"/>
              </w:rPr>
              <w:t>0.000031</w:t>
            </w:r>
          </w:p>
        </w:tc>
      </w:tr>
      <w:tr w:rsidR="00535B42" w:rsidRPr="00DA1913" w14:paraId="4BC4F8B6" w14:textId="77777777" w:rsidTr="001467F6">
        <w:trPr>
          <w:jc w:val="center"/>
        </w:trPr>
        <w:tc>
          <w:tcPr>
            <w:tcW w:w="1371" w:type="pct"/>
          </w:tcPr>
          <w:p w14:paraId="7EBF9C92" w14:textId="77777777" w:rsidR="00381A27" w:rsidRPr="00DA1913" w:rsidRDefault="00381A27" w:rsidP="00535B42">
            <w:pPr>
              <w:spacing w:line="240" w:lineRule="auto"/>
              <w:rPr>
                <w:rFonts w:cs="Arial"/>
                <w:szCs w:val="18"/>
              </w:rPr>
            </w:pPr>
            <w:r w:rsidRPr="00DA1913">
              <w:rPr>
                <w:rFonts w:cs="Arial"/>
                <w:szCs w:val="18"/>
              </w:rPr>
              <w:t>(x</w:t>
            </w:r>
            <w:r w:rsidRPr="00DA1913">
              <w:rPr>
                <w:rFonts w:cs="Arial"/>
                <w:szCs w:val="18"/>
                <w:vertAlign w:val="subscript"/>
              </w:rPr>
              <w:t>1</w:t>
            </w:r>
            <w:r w:rsidRPr="00DA1913">
              <w:rPr>
                <w:rFonts w:cs="Arial"/>
                <w:szCs w:val="18"/>
              </w:rPr>
              <w:t>x</w:t>
            </w:r>
            <w:r w:rsidRPr="00DA1913">
              <w:rPr>
                <w:rFonts w:cs="Arial"/>
                <w:szCs w:val="18"/>
                <w:vertAlign w:val="subscript"/>
              </w:rPr>
              <w:t>2</w:t>
            </w:r>
            <w:r w:rsidRPr="00DA1913">
              <w:rPr>
                <w:rFonts w:cs="Arial"/>
                <w:szCs w:val="18"/>
              </w:rPr>
              <w:t>)</w:t>
            </w:r>
          </w:p>
        </w:tc>
        <w:tc>
          <w:tcPr>
            <w:tcW w:w="950" w:type="pct"/>
          </w:tcPr>
          <w:p w14:paraId="17E67C9C" w14:textId="77777777" w:rsidR="00381A27" w:rsidRPr="00DA1913" w:rsidRDefault="00381A27" w:rsidP="00535B42">
            <w:pPr>
              <w:spacing w:line="240" w:lineRule="auto"/>
              <w:jc w:val="center"/>
              <w:rPr>
                <w:rFonts w:cs="Arial"/>
                <w:szCs w:val="18"/>
              </w:rPr>
            </w:pPr>
            <w:r w:rsidRPr="00DA1913">
              <w:rPr>
                <w:rFonts w:cs="Arial"/>
                <w:szCs w:val="18"/>
              </w:rPr>
              <w:t>110.92</w:t>
            </w:r>
          </w:p>
        </w:tc>
        <w:tc>
          <w:tcPr>
            <w:tcW w:w="370" w:type="pct"/>
          </w:tcPr>
          <w:p w14:paraId="004731FC" w14:textId="77777777" w:rsidR="00381A27" w:rsidRPr="00DA1913" w:rsidRDefault="00381A27" w:rsidP="00535B42">
            <w:pPr>
              <w:spacing w:line="240" w:lineRule="auto"/>
              <w:jc w:val="center"/>
              <w:rPr>
                <w:rFonts w:cs="Arial"/>
                <w:szCs w:val="18"/>
              </w:rPr>
            </w:pPr>
            <w:r w:rsidRPr="00DA1913">
              <w:rPr>
                <w:rFonts w:cs="Arial"/>
                <w:szCs w:val="18"/>
              </w:rPr>
              <w:t>4</w:t>
            </w:r>
          </w:p>
        </w:tc>
        <w:tc>
          <w:tcPr>
            <w:tcW w:w="681" w:type="pct"/>
          </w:tcPr>
          <w:p w14:paraId="465544B2" w14:textId="77777777" w:rsidR="00381A27" w:rsidRPr="00DA1913" w:rsidRDefault="00381A27" w:rsidP="00535B42">
            <w:pPr>
              <w:spacing w:line="240" w:lineRule="auto"/>
              <w:jc w:val="center"/>
              <w:rPr>
                <w:rFonts w:cs="Arial"/>
                <w:szCs w:val="18"/>
              </w:rPr>
            </w:pPr>
            <w:r w:rsidRPr="00DA1913">
              <w:rPr>
                <w:rFonts w:cs="Arial"/>
                <w:szCs w:val="18"/>
              </w:rPr>
              <w:t>27.73</w:t>
            </w:r>
          </w:p>
        </w:tc>
        <w:tc>
          <w:tcPr>
            <w:tcW w:w="770" w:type="pct"/>
          </w:tcPr>
          <w:p w14:paraId="50394AB0" w14:textId="77777777" w:rsidR="00381A27" w:rsidRPr="00DA1913" w:rsidRDefault="00381A27" w:rsidP="00535B42">
            <w:pPr>
              <w:spacing w:line="240" w:lineRule="auto"/>
              <w:jc w:val="center"/>
              <w:rPr>
                <w:rFonts w:cs="Arial"/>
                <w:szCs w:val="18"/>
              </w:rPr>
            </w:pPr>
            <w:r w:rsidRPr="00DA1913">
              <w:rPr>
                <w:rFonts w:cs="Arial"/>
                <w:szCs w:val="18"/>
              </w:rPr>
              <w:t>231.57</w:t>
            </w:r>
          </w:p>
        </w:tc>
        <w:tc>
          <w:tcPr>
            <w:tcW w:w="858" w:type="pct"/>
          </w:tcPr>
          <w:p w14:paraId="40F32AFD" w14:textId="77777777" w:rsidR="00381A27" w:rsidRPr="00DA1913" w:rsidRDefault="00381A27" w:rsidP="00535B42">
            <w:pPr>
              <w:spacing w:line="240" w:lineRule="auto"/>
              <w:jc w:val="center"/>
              <w:rPr>
                <w:rFonts w:cs="Arial"/>
                <w:szCs w:val="18"/>
              </w:rPr>
            </w:pPr>
            <w:r w:rsidRPr="00DA1913">
              <w:rPr>
                <w:rFonts w:cs="Arial"/>
                <w:szCs w:val="18"/>
              </w:rPr>
              <w:t>0.000458</w:t>
            </w:r>
          </w:p>
        </w:tc>
      </w:tr>
      <w:tr w:rsidR="00535B42" w:rsidRPr="00DA1913" w14:paraId="79385D88" w14:textId="77777777" w:rsidTr="001467F6">
        <w:trPr>
          <w:jc w:val="center"/>
        </w:trPr>
        <w:tc>
          <w:tcPr>
            <w:tcW w:w="1371" w:type="pct"/>
          </w:tcPr>
          <w:p w14:paraId="5E863EEC" w14:textId="77777777" w:rsidR="00381A27" w:rsidRPr="00DA1913" w:rsidRDefault="00381A27" w:rsidP="00535B42">
            <w:pPr>
              <w:spacing w:line="240" w:lineRule="auto"/>
              <w:rPr>
                <w:rFonts w:cs="Arial"/>
                <w:szCs w:val="18"/>
              </w:rPr>
            </w:pPr>
            <w:r w:rsidRPr="00DA1913">
              <w:rPr>
                <w:rFonts w:cs="Arial"/>
                <w:szCs w:val="18"/>
              </w:rPr>
              <w:t>Pure Error</w:t>
            </w:r>
          </w:p>
        </w:tc>
        <w:tc>
          <w:tcPr>
            <w:tcW w:w="950" w:type="pct"/>
          </w:tcPr>
          <w:p w14:paraId="5F28D7A6" w14:textId="77777777" w:rsidR="00381A27" w:rsidRPr="00DA1913" w:rsidRDefault="00381A27" w:rsidP="00535B42">
            <w:pPr>
              <w:spacing w:line="240" w:lineRule="auto"/>
              <w:jc w:val="center"/>
              <w:rPr>
                <w:rFonts w:cs="Arial"/>
                <w:szCs w:val="18"/>
              </w:rPr>
            </w:pPr>
            <w:r w:rsidRPr="00DA1913">
              <w:rPr>
                <w:rFonts w:cs="Arial"/>
                <w:szCs w:val="18"/>
              </w:rPr>
              <w:t>0.35</w:t>
            </w:r>
          </w:p>
        </w:tc>
        <w:tc>
          <w:tcPr>
            <w:tcW w:w="370" w:type="pct"/>
          </w:tcPr>
          <w:p w14:paraId="3CE5D512" w14:textId="77777777" w:rsidR="00381A27" w:rsidRPr="00DA1913" w:rsidRDefault="00381A27" w:rsidP="00535B42">
            <w:pPr>
              <w:spacing w:line="240" w:lineRule="auto"/>
              <w:jc w:val="center"/>
              <w:rPr>
                <w:rFonts w:cs="Arial"/>
                <w:szCs w:val="18"/>
              </w:rPr>
            </w:pPr>
            <w:r w:rsidRPr="00DA1913">
              <w:rPr>
                <w:rFonts w:cs="Arial"/>
                <w:szCs w:val="18"/>
              </w:rPr>
              <w:t>3</w:t>
            </w:r>
          </w:p>
        </w:tc>
        <w:tc>
          <w:tcPr>
            <w:tcW w:w="681" w:type="pct"/>
          </w:tcPr>
          <w:p w14:paraId="582BDE3E" w14:textId="77777777" w:rsidR="00381A27" w:rsidRPr="00DA1913" w:rsidRDefault="00381A27" w:rsidP="00535B42">
            <w:pPr>
              <w:spacing w:line="240" w:lineRule="auto"/>
              <w:jc w:val="center"/>
              <w:rPr>
                <w:rFonts w:cs="Arial"/>
                <w:szCs w:val="18"/>
              </w:rPr>
            </w:pPr>
            <w:r w:rsidRPr="00DA1913">
              <w:rPr>
                <w:rFonts w:cs="Arial"/>
                <w:szCs w:val="18"/>
              </w:rPr>
              <w:t>0.11</w:t>
            </w:r>
          </w:p>
        </w:tc>
        <w:tc>
          <w:tcPr>
            <w:tcW w:w="770" w:type="pct"/>
          </w:tcPr>
          <w:p w14:paraId="25F9CE09" w14:textId="77777777" w:rsidR="00381A27" w:rsidRPr="00DA1913" w:rsidRDefault="00381A27" w:rsidP="00535B42">
            <w:pPr>
              <w:spacing w:line="240" w:lineRule="auto"/>
              <w:jc w:val="center"/>
              <w:rPr>
                <w:rFonts w:cs="Arial"/>
                <w:szCs w:val="18"/>
              </w:rPr>
            </w:pPr>
            <w:r w:rsidRPr="00DA1913">
              <w:rPr>
                <w:rFonts w:cs="Arial"/>
                <w:szCs w:val="18"/>
              </w:rPr>
              <w:t>-</w:t>
            </w:r>
          </w:p>
        </w:tc>
        <w:tc>
          <w:tcPr>
            <w:tcW w:w="858" w:type="pct"/>
          </w:tcPr>
          <w:p w14:paraId="7B61FD1E" w14:textId="77777777" w:rsidR="00381A27" w:rsidRPr="00DA1913" w:rsidRDefault="00381A27" w:rsidP="00535B42">
            <w:pPr>
              <w:spacing w:line="240" w:lineRule="auto"/>
              <w:jc w:val="center"/>
              <w:rPr>
                <w:rFonts w:cs="Arial"/>
                <w:szCs w:val="18"/>
              </w:rPr>
            </w:pPr>
            <w:r w:rsidRPr="00DA1913">
              <w:rPr>
                <w:rFonts w:cs="Arial"/>
                <w:szCs w:val="18"/>
              </w:rPr>
              <w:t>-</w:t>
            </w:r>
          </w:p>
        </w:tc>
      </w:tr>
      <w:tr w:rsidR="00381A27" w:rsidRPr="00DA1913" w14:paraId="462270D8" w14:textId="77777777" w:rsidTr="001467F6">
        <w:trPr>
          <w:jc w:val="center"/>
        </w:trPr>
        <w:tc>
          <w:tcPr>
            <w:tcW w:w="1371" w:type="pct"/>
            <w:tcBorders>
              <w:bottom w:val="single" w:sz="12" w:space="0" w:color="00863D"/>
            </w:tcBorders>
          </w:tcPr>
          <w:p w14:paraId="02693182" w14:textId="77777777" w:rsidR="00381A27" w:rsidRPr="00DA1913" w:rsidRDefault="00381A27" w:rsidP="00535B42">
            <w:pPr>
              <w:spacing w:line="240" w:lineRule="auto"/>
              <w:rPr>
                <w:rFonts w:cs="Arial"/>
                <w:szCs w:val="18"/>
              </w:rPr>
            </w:pPr>
            <w:r w:rsidRPr="00DA1913">
              <w:rPr>
                <w:rFonts w:cs="Arial"/>
                <w:szCs w:val="18"/>
              </w:rPr>
              <w:t>Total</w:t>
            </w:r>
          </w:p>
        </w:tc>
        <w:tc>
          <w:tcPr>
            <w:tcW w:w="950" w:type="pct"/>
            <w:tcBorders>
              <w:bottom w:val="single" w:sz="12" w:space="0" w:color="00863D"/>
            </w:tcBorders>
          </w:tcPr>
          <w:p w14:paraId="189CE886" w14:textId="77777777" w:rsidR="00381A27" w:rsidRPr="00DA1913" w:rsidRDefault="00381A27" w:rsidP="00535B42">
            <w:pPr>
              <w:spacing w:line="240" w:lineRule="auto"/>
              <w:jc w:val="center"/>
              <w:rPr>
                <w:rFonts w:cs="Arial"/>
                <w:szCs w:val="18"/>
              </w:rPr>
            </w:pPr>
            <w:r w:rsidRPr="00DA1913">
              <w:rPr>
                <w:rFonts w:cs="Arial"/>
                <w:szCs w:val="18"/>
              </w:rPr>
              <w:t>1482.01</w:t>
            </w:r>
          </w:p>
        </w:tc>
        <w:tc>
          <w:tcPr>
            <w:tcW w:w="370" w:type="pct"/>
            <w:tcBorders>
              <w:bottom w:val="single" w:sz="12" w:space="0" w:color="00863D"/>
            </w:tcBorders>
          </w:tcPr>
          <w:p w14:paraId="56911B2C" w14:textId="77777777" w:rsidR="00381A27" w:rsidRPr="00DA1913" w:rsidRDefault="00381A27" w:rsidP="00535B42">
            <w:pPr>
              <w:spacing w:line="240" w:lineRule="auto"/>
              <w:jc w:val="center"/>
              <w:rPr>
                <w:rFonts w:cs="Arial"/>
                <w:szCs w:val="18"/>
              </w:rPr>
            </w:pPr>
            <w:r w:rsidRPr="00DA1913">
              <w:rPr>
                <w:rFonts w:cs="Arial"/>
                <w:szCs w:val="18"/>
              </w:rPr>
              <w:t>11</w:t>
            </w:r>
          </w:p>
        </w:tc>
        <w:tc>
          <w:tcPr>
            <w:tcW w:w="681" w:type="pct"/>
            <w:tcBorders>
              <w:bottom w:val="single" w:sz="12" w:space="0" w:color="00863D"/>
            </w:tcBorders>
          </w:tcPr>
          <w:p w14:paraId="17CC4433" w14:textId="77777777" w:rsidR="00381A27" w:rsidRPr="00DA1913" w:rsidRDefault="00381A27" w:rsidP="00535B42">
            <w:pPr>
              <w:spacing w:line="240" w:lineRule="auto"/>
              <w:jc w:val="center"/>
              <w:rPr>
                <w:rFonts w:cs="Arial"/>
                <w:szCs w:val="18"/>
              </w:rPr>
            </w:pPr>
            <w:r w:rsidRPr="00DA1913">
              <w:rPr>
                <w:rFonts w:cs="Arial"/>
                <w:szCs w:val="18"/>
              </w:rPr>
              <w:t>-</w:t>
            </w:r>
          </w:p>
        </w:tc>
        <w:tc>
          <w:tcPr>
            <w:tcW w:w="770" w:type="pct"/>
            <w:tcBorders>
              <w:bottom w:val="single" w:sz="12" w:space="0" w:color="00863D"/>
            </w:tcBorders>
          </w:tcPr>
          <w:p w14:paraId="12610A82" w14:textId="77777777" w:rsidR="00381A27" w:rsidRPr="00DA1913" w:rsidRDefault="00381A27" w:rsidP="00535B42">
            <w:pPr>
              <w:spacing w:line="240" w:lineRule="auto"/>
              <w:jc w:val="center"/>
              <w:rPr>
                <w:rFonts w:cs="Arial"/>
                <w:szCs w:val="18"/>
              </w:rPr>
            </w:pPr>
            <w:r w:rsidRPr="00DA1913">
              <w:rPr>
                <w:rFonts w:cs="Arial"/>
                <w:szCs w:val="18"/>
              </w:rPr>
              <w:t>-</w:t>
            </w:r>
          </w:p>
        </w:tc>
        <w:tc>
          <w:tcPr>
            <w:tcW w:w="858" w:type="pct"/>
            <w:tcBorders>
              <w:bottom w:val="single" w:sz="12" w:space="0" w:color="00863D"/>
            </w:tcBorders>
          </w:tcPr>
          <w:p w14:paraId="2FDCD69F" w14:textId="77777777" w:rsidR="00381A27" w:rsidRPr="00DA1913" w:rsidRDefault="00381A27" w:rsidP="00535B42">
            <w:pPr>
              <w:spacing w:line="240" w:lineRule="auto"/>
              <w:jc w:val="center"/>
              <w:rPr>
                <w:rFonts w:cs="Arial"/>
                <w:szCs w:val="18"/>
              </w:rPr>
            </w:pPr>
            <w:r w:rsidRPr="00DA1913">
              <w:rPr>
                <w:rFonts w:cs="Arial"/>
                <w:szCs w:val="18"/>
              </w:rPr>
              <w:t>-</w:t>
            </w:r>
          </w:p>
        </w:tc>
      </w:tr>
    </w:tbl>
    <w:p w14:paraId="5F8B69E8" w14:textId="77777777" w:rsidR="00D34C40" w:rsidRDefault="008938A8" w:rsidP="00D34C40">
      <w:pPr>
        <w:pStyle w:val="CETBodytext"/>
        <w:tabs>
          <w:tab w:val="clear" w:pos="7100"/>
          <w:tab w:val="left" w:pos="1291"/>
        </w:tabs>
        <w:spacing w:after="240"/>
        <w:rPr>
          <w:sz w:val="16"/>
          <w:szCs w:val="16"/>
        </w:rPr>
      </w:pPr>
      <w:r w:rsidRPr="00DE0E4E">
        <w:rPr>
          <w:sz w:val="16"/>
          <w:szCs w:val="16"/>
        </w:rPr>
        <w:t xml:space="preserve">SS (Sum of Squares), df (Degrees of Freedom), </w:t>
      </w:r>
      <w:r w:rsidRPr="00DE0E4E">
        <w:rPr>
          <w:sz w:val="16"/>
          <w:szCs w:val="16"/>
          <w:lang w:val="en-GB"/>
        </w:rPr>
        <w:t>MS (Mean Square), F (F-ratio).</w:t>
      </w:r>
      <w:r w:rsidRPr="008938A8">
        <w:rPr>
          <w:sz w:val="16"/>
          <w:szCs w:val="16"/>
          <w:lang w:val="en-GB"/>
        </w:rPr>
        <w:t xml:space="preserve"> </w:t>
      </w:r>
    </w:p>
    <w:p w14:paraId="6FE1BC3A" w14:textId="77777777" w:rsidR="00DE0E4E" w:rsidRDefault="00DE0E4E" w:rsidP="00D34C40">
      <w:pPr>
        <w:pStyle w:val="CETBodytext"/>
        <w:tabs>
          <w:tab w:val="clear" w:pos="7100"/>
          <w:tab w:val="left" w:pos="1291"/>
        </w:tabs>
        <w:spacing w:after="240"/>
      </w:pPr>
    </w:p>
    <w:p w14:paraId="5507CD45" w14:textId="559F0308" w:rsidR="00D248C4" w:rsidRPr="006B5861" w:rsidRDefault="00D248C4" w:rsidP="005E74D4">
      <w:pPr>
        <w:pStyle w:val="CETBodytext"/>
        <w:tabs>
          <w:tab w:val="clear" w:pos="7100"/>
          <w:tab w:val="left" w:pos="1291"/>
        </w:tabs>
        <w:rPr>
          <w:sz w:val="16"/>
          <w:szCs w:val="16"/>
        </w:rPr>
      </w:pPr>
      <w:r w:rsidRPr="00D248C4">
        <w:lastRenderedPageBreak/>
        <w:t xml:space="preserve">Table </w:t>
      </w:r>
      <w:r w:rsidR="00F47E3D">
        <w:t>4</w:t>
      </w:r>
      <w:r w:rsidRPr="00D248C4">
        <w:t xml:space="preserve"> – ANOVA Table for Butyric Acid Extraction (R</w:t>
      </w:r>
      <w:r w:rsidRPr="00D248C4">
        <w:rPr>
          <w:vertAlign w:val="superscript"/>
        </w:rPr>
        <w:t xml:space="preserve">2 </w:t>
      </w:r>
      <w:r w:rsidRPr="006B5861">
        <w:t xml:space="preserve">= </w:t>
      </w:r>
      <w:r w:rsidR="00AB718E" w:rsidRPr="006B5861">
        <w:t>0.</w:t>
      </w:r>
      <w:r w:rsidRPr="006B5861">
        <w:t>99789).</w:t>
      </w: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643"/>
        <w:gridCol w:w="647"/>
        <w:gridCol w:w="1453"/>
        <w:gridCol w:w="1033"/>
        <w:gridCol w:w="1601"/>
      </w:tblGrid>
      <w:tr w:rsidR="00D248C4" w:rsidRPr="00DA1913" w14:paraId="1BBFD417" w14:textId="77777777" w:rsidTr="001467F6">
        <w:trPr>
          <w:jc w:val="center"/>
        </w:trPr>
        <w:tc>
          <w:tcPr>
            <w:tcW w:w="1371" w:type="pct"/>
            <w:tcBorders>
              <w:top w:val="single" w:sz="12" w:space="0" w:color="00863D"/>
              <w:bottom w:val="single" w:sz="8" w:space="0" w:color="00863D"/>
            </w:tcBorders>
          </w:tcPr>
          <w:p w14:paraId="3E6B4256" w14:textId="77777777" w:rsidR="00D248C4" w:rsidRPr="006B5861" w:rsidRDefault="00D248C4" w:rsidP="00535B42">
            <w:pPr>
              <w:spacing w:line="240" w:lineRule="auto"/>
              <w:rPr>
                <w:rFonts w:cs="Arial"/>
                <w:szCs w:val="18"/>
              </w:rPr>
            </w:pPr>
            <w:r w:rsidRPr="006B5861">
              <w:rPr>
                <w:rFonts w:cs="Arial"/>
                <w:szCs w:val="18"/>
              </w:rPr>
              <w:t>Source of Variation</w:t>
            </w:r>
          </w:p>
        </w:tc>
        <w:tc>
          <w:tcPr>
            <w:tcW w:w="935" w:type="pct"/>
            <w:tcBorders>
              <w:top w:val="single" w:sz="12" w:space="0" w:color="00863D"/>
              <w:bottom w:val="single" w:sz="8" w:space="0" w:color="00863D"/>
            </w:tcBorders>
          </w:tcPr>
          <w:p w14:paraId="33DCA7F2" w14:textId="77777777" w:rsidR="00D248C4" w:rsidRPr="006B5861" w:rsidRDefault="00D248C4" w:rsidP="00535B42">
            <w:pPr>
              <w:spacing w:line="240" w:lineRule="auto"/>
              <w:jc w:val="center"/>
              <w:rPr>
                <w:rFonts w:cs="Arial"/>
                <w:szCs w:val="18"/>
              </w:rPr>
            </w:pPr>
            <w:r w:rsidRPr="006B5861">
              <w:rPr>
                <w:rFonts w:cs="Arial"/>
                <w:szCs w:val="18"/>
              </w:rPr>
              <w:t>SS</w:t>
            </w:r>
          </w:p>
        </w:tc>
        <w:tc>
          <w:tcPr>
            <w:tcW w:w="368" w:type="pct"/>
            <w:tcBorders>
              <w:top w:val="single" w:sz="12" w:space="0" w:color="00863D"/>
              <w:bottom w:val="single" w:sz="8" w:space="0" w:color="00863D"/>
            </w:tcBorders>
          </w:tcPr>
          <w:p w14:paraId="3323CC6D" w14:textId="77777777" w:rsidR="00D248C4" w:rsidRPr="006B5861" w:rsidRDefault="00D248C4" w:rsidP="00535B42">
            <w:pPr>
              <w:spacing w:line="240" w:lineRule="auto"/>
              <w:jc w:val="center"/>
              <w:rPr>
                <w:rFonts w:cs="Arial"/>
                <w:szCs w:val="18"/>
              </w:rPr>
            </w:pPr>
            <w:r w:rsidRPr="006B5861">
              <w:rPr>
                <w:rFonts w:cs="Arial"/>
                <w:szCs w:val="18"/>
              </w:rPr>
              <w:t>df</w:t>
            </w:r>
          </w:p>
        </w:tc>
        <w:tc>
          <w:tcPr>
            <w:tcW w:w="827" w:type="pct"/>
            <w:tcBorders>
              <w:top w:val="single" w:sz="12" w:space="0" w:color="00863D"/>
              <w:bottom w:val="single" w:sz="8" w:space="0" w:color="00863D"/>
            </w:tcBorders>
          </w:tcPr>
          <w:p w14:paraId="7F663F72" w14:textId="77777777" w:rsidR="00D248C4" w:rsidRPr="006B5861" w:rsidRDefault="00D248C4" w:rsidP="00535B42">
            <w:pPr>
              <w:spacing w:line="240" w:lineRule="auto"/>
              <w:jc w:val="center"/>
              <w:rPr>
                <w:rFonts w:cs="Arial"/>
                <w:szCs w:val="18"/>
              </w:rPr>
            </w:pPr>
            <w:r w:rsidRPr="006B5861">
              <w:rPr>
                <w:rFonts w:cs="Arial"/>
                <w:szCs w:val="18"/>
              </w:rPr>
              <w:t>MS</w:t>
            </w:r>
          </w:p>
        </w:tc>
        <w:tc>
          <w:tcPr>
            <w:tcW w:w="588" w:type="pct"/>
            <w:tcBorders>
              <w:top w:val="single" w:sz="12" w:space="0" w:color="00863D"/>
              <w:bottom w:val="single" w:sz="8" w:space="0" w:color="00863D"/>
            </w:tcBorders>
          </w:tcPr>
          <w:p w14:paraId="109CEE0E" w14:textId="77777777" w:rsidR="00D248C4" w:rsidRPr="006B5861" w:rsidRDefault="00D248C4" w:rsidP="00535B42">
            <w:pPr>
              <w:spacing w:line="240" w:lineRule="auto"/>
              <w:jc w:val="center"/>
              <w:rPr>
                <w:rFonts w:cs="Arial"/>
                <w:szCs w:val="18"/>
              </w:rPr>
            </w:pPr>
            <w:r w:rsidRPr="006B5861">
              <w:rPr>
                <w:rFonts w:cs="Arial"/>
                <w:szCs w:val="18"/>
              </w:rPr>
              <w:t>F</w:t>
            </w:r>
          </w:p>
        </w:tc>
        <w:tc>
          <w:tcPr>
            <w:tcW w:w="911" w:type="pct"/>
            <w:tcBorders>
              <w:top w:val="single" w:sz="12" w:space="0" w:color="00863D"/>
              <w:bottom w:val="single" w:sz="8" w:space="0" w:color="00863D"/>
            </w:tcBorders>
          </w:tcPr>
          <w:p w14:paraId="6F654974" w14:textId="77777777" w:rsidR="00D248C4" w:rsidRPr="00DA1913" w:rsidRDefault="00D248C4" w:rsidP="00535B42">
            <w:pPr>
              <w:spacing w:line="240" w:lineRule="auto"/>
              <w:jc w:val="center"/>
              <w:rPr>
                <w:rFonts w:cs="Arial"/>
                <w:szCs w:val="18"/>
              </w:rPr>
            </w:pPr>
            <w:r w:rsidRPr="006B5861">
              <w:rPr>
                <w:rFonts w:cs="Arial"/>
                <w:szCs w:val="18"/>
              </w:rPr>
              <w:t>P-Value</w:t>
            </w:r>
          </w:p>
        </w:tc>
      </w:tr>
      <w:tr w:rsidR="00D248C4" w:rsidRPr="00DA1913" w14:paraId="3BCB86F9" w14:textId="77777777" w:rsidTr="001467F6">
        <w:trPr>
          <w:jc w:val="center"/>
        </w:trPr>
        <w:tc>
          <w:tcPr>
            <w:tcW w:w="1371" w:type="pct"/>
            <w:tcBorders>
              <w:top w:val="single" w:sz="8" w:space="0" w:color="00863D"/>
            </w:tcBorders>
          </w:tcPr>
          <w:p w14:paraId="29382E07" w14:textId="77777777" w:rsidR="00D248C4" w:rsidRPr="00DA1913" w:rsidRDefault="00D248C4" w:rsidP="00535B42">
            <w:pPr>
              <w:spacing w:line="240" w:lineRule="auto"/>
              <w:rPr>
                <w:rFonts w:cs="Arial"/>
                <w:szCs w:val="18"/>
              </w:rPr>
            </w:pPr>
            <w:r w:rsidRPr="00DA1913">
              <w:rPr>
                <w:rFonts w:cs="Arial"/>
                <w:szCs w:val="18"/>
              </w:rPr>
              <w:t>ROW</w:t>
            </w:r>
          </w:p>
        </w:tc>
        <w:tc>
          <w:tcPr>
            <w:tcW w:w="935" w:type="pct"/>
            <w:tcBorders>
              <w:top w:val="single" w:sz="8" w:space="0" w:color="00863D"/>
            </w:tcBorders>
          </w:tcPr>
          <w:p w14:paraId="6B4A9ACE" w14:textId="637E563C" w:rsidR="00D248C4" w:rsidRPr="00DA1913" w:rsidRDefault="00D248C4" w:rsidP="00535B42">
            <w:pPr>
              <w:spacing w:line="240" w:lineRule="auto"/>
              <w:jc w:val="center"/>
              <w:rPr>
                <w:rFonts w:cs="Arial"/>
                <w:szCs w:val="18"/>
              </w:rPr>
            </w:pPr>
            <w:r>
              <w:rPr>
                <w:rFonts w:cs="Arial"/>
                <w:szCs w:val="18"/>
              </w:rPr>
              <w:t>38.77</w:t>
            </w:r>
          </w:p>
        </w:tc>
        <w:tc>
          <w:tcPr>
            <w:tcW w:w="368" w:type="pct"/>
            <w:tcBorders>
              <w:top w:val="single" w:sz="8" w:space="0" w:color="00863D"/>
            </w:tcBorders>
          </w:tcPr>
          <w:p w14:paraId="2821CFFE" w14:textId="77777777" w:rsidR="00D248C4" w:rsidRPr="00DA1913" w:rsidRDefault="00D248C4" w:rsidP="00535B42">
            <w:pPr>
              <w:spacing w:line="240" w:lineRule="auto"/>
              <w:jc w:val="center"/>
              <w:rPr>
                <w:rFonts w:cs="Arial"/>
                <w:szCs w:val="18"/>
              </w:rPr>
            </w:pPr>
            <w:r w:rsidRPr="00DA1913">
              <w:rPr>
                <w:rFonts w:cs="Arial"/>
                <w:szCs w:val="18"/>
              </w:rPr>
              <w:t>2</w:t>
            </w:r>
          </w:p>
        </w:tc>
        <w:tc>
          <w:tcPr>
            <w:tcW w:w="827" w:type="pct"/>
            <w:tcBorders>
              <w:top w:val="single" w:sz="8" w:space="0" w:color="00863D"/>
            </w:tcBorders>
          </w:tcPr>
          <w:p w14:paraId="34350031" w14:textId="4D62A168" w:rsidR="00D248C4" w:rsidRPr="00DA1913" w:rsidRDefault="00D248C4" w:rsidP="00535B42">
            <w:pPr>
              <w:spacing w:line="240" w:lineRule="auto"/>
              <w:jc w:val="center"/>
              <w:rPr>
                <w:rFonts w:cs="Arial"/>
                <w:szCs w:val="18"/>
              </w:rPr>
            </w:pPr>
            <w:r>
              <w:rPr>
                <w:rFonts w:cs="Arial"/>
                <w:szCs w:val="18"/>
              </w:rPr>
              <w:t>19.38</w:t>
            </w:r>
          </w:p>
        </w:tc>
        <w:tc>
          <w:tcPr>
            <w:tcW w:w="588" w:type="pct"/>
            <w:tcBorders>
              <w:top w:val="single" w:sz="8" w:space="0" w:color="00863D"/>
            </w:tcBorders>
          </w:tcPr>
          <w:p w14:paraId="70552520" w14:textId="38955553" w:rsidR="00D248C4" w:rsidRPr="00DA1913" w:rsidRDefault="00D248C4" w:rsidP="00535B42">
            <w:pPr>
              <w:spacing w:line="240" w:lineRule="auto"/>
              <w:jc w:val="center"/>
              <w:rPr>
                <w:rFonts w:cs="Arial"/>
                <w:szCs w:val="18"/>
              </w:rPr>
            </w:pPr>
            <w:r>
              <w:rPr>
                <w:rFonts w:cs="Arial"/>
                <w:szCs w:val="18"/>
              </w:rPr>
              <w:t>57.22</w:t>
            </w:r>
          </w:p>
        </w:tc>
        <w:tc>
          <w:tcPr>
            <w:tcW w:w="911" w:type="pct"/>
            <w:tcBorders>
              <w:top w:val="single" w:sz="8" w:space="0" w:color="00863D"/>
            </w:tcBorders>
          </w:tcPr>
          <w:p w14:paraId="0D7E27DA" w14:textId="4FE00B01" w:rsidR="00D248C4" w:rsidRPr="00DA1913" w:rsidRDefault="00D248C4" w:rsidP="00535B42">
            <w:pPr>
              <w:spacing w:line="240" w:lineRule="auto"/>
              <w:jc w:val="center"/>
              <w:rPr>
                <w:rFonts w:cs="Arial"/>
                <w:szCs w:val="18"/>
              </w:rPr>
            </w:pPr>
            <w:r w:rsidRPr="00DA1913">
              <w:rPr>
                <w:rFonts w:cs="Arial"/>
                <w:szCs w:val="18"/>
              </w:rPr>
              <w:t>0.00</w:t>
            </w:r>
            <w:r>
              <w:rPr>
                <w:rFonts w:cs="Arial"/>
                <w:szCs w:val="18"/>
              </w:rPr>
              <w:t>4083</w:t>
            </w:r>
          </w:p>
        </w:tc>
      </w:tr>
      <w:tr w:rsidR="00D248C4" w:rsidRPr="00DA1913" w14:paraId="64EA3B48" w14:textId="77777777" w:rsidTr="001467F6">
        <w:trPr>
          <w:jc w:val="center"/>
        </w:trPr>
        <w:tc>
          <w:tcPr>
            <w:tcW w:w="1371" w:type="pct"/>
          </w:tcPr>
          <w:p w14:paraId="0A05E1D1" w14:textId="77777777" w:rsidR="00D248C4" w:rsidRPr="00DA1913" w:rsidRDefault="00D248C4" w:rsidP="00535B42">
            <w:pPr>
              <w:spacing w:line="240" w:lineRule="auto"/>
              <w:rPr>
                <w:rFonts w:cs="Arial"/>
                <w:szCs w:val="18"/>
              </w:rPr>
            </w:pPr>
            <w:r w:rsidRPr="00DA1913">
              <w:rPr>
                <w:rFonts w:cs="Arial"/>
                <w:szCs w:val="18"/>
              </w:rPr>
              <w:t>pH</w:t>
            </w:r>
          </w:p>
        </w:tc>
        <w:tc>
          <w:tcPr>
            <w:tcW w:w="935" w:type="pct"/>
          </w:tcPr>
          <w:p w14:paraId="1EB4BCDC" w14:textId="55855F7F" w:rsidR="00D248C4" w:rsidRPr="00DA1913" w:rsidRDefault="00D248C4" w:rsidP="00535B42">
            <w:pPr>
              <w:spacing w:line="240" w:lineRule="auto"/>
              <w:jc w:val="center"/>
              <w:rPr>
                <w:rFonts w:cs="Arial"/>
                <w:szCs w:val="18"/>
              </w:rPr>
            </w:pPr>
            <w:r>
              <w:rPr>
                <w:rFonts w:cs="Arial"/>
                <w:szCs w:val="18"/>
              </w:rPr>
              <w:t>38.64</w:t>
            </w:r>
          </w:p>
        </w:tc>
        <w:tc>
          <w:tcPr>
            <w:tcW w:w="368" w:type="pct"/>
          </w:tcPr>
          <w:p w14:paraId="16BE04AA" w14:textId="77777777" w:rsidR="00D248C4" w:rsidRPr="00DA1913" w:rsidRDefault="00D248C4" w:rsidP="00535B42">
            <w:pPr>
              <w:spacing w:line="240" w:lineRule="auto"/>
              <w:jc w:val="center"/>
              <w:rPr>
                <w:rFonts w:cs="Arial"/>
                <w:szCs w:val="18"/>
              </w:rPr>
            </w:pPr>
            <w:r w:rsidRPr="00DA1913">
              <w:rPr>
                <w:rFonts w:cs="Arial"/>
                <w:szCs w:val="18"/>
              </w:rPr>
              <w:t>2</w:t>
            </w:r>
          </w:p>
        </w:tc>
        <w:tc>
          <w:tcPr>
            <w:tcW w:w="827" w:type="pct"/>
          </w:tcPr>
          <w:p w14:paraId="12C59ED7" w14:textId="5FAB2D85" w:rsidR="00D248C4" w:rsidRPr="00DA1913" w:rsidRDefault="00D248C4" w:rsidP="00535B42">
            <w:pPr>
              <w:spacing w:line="240" w:lineRule="auto"/>
              <w:jc w:val="center"/>
              <w:rPr>
                <w:rFonts w:cs="Arial"/>
                <w:szCs w:val="18"/>
              </w:rPr>
            </w:pPr>
            <w:r>
              <w:rPr>
                <w:rFonts w:cs="Arial"/>
                <w:szCs w:val="18"/>
              </w:rPr>
              <w:t>19.32</w:t>
            </w:r>
          </w:p>
        </w:tc>
        <w:tc>
          <w:tcPr>
            <w:tcW w:w="588" w:type="pct"/>
          </w:tcPr>
          <w:p w14:paraId="426B509B" w14:textId="196B875E" w:rsidR="00D248C4" w:rsidRPr="00DA1913" w:rsidRDefault="00D248C4" w:rsidP="00535B42">
            <w:pPr>
              <w:spacing w:line="240" w:lineRule="auto"/>
              <w:jc w:val="center"/>
              <w:rPr>
                <w:rFonts w:cs="Arial"/>
                <w:szCs w:val="18"/>
              </w:rPr>
            </w:pPr>
            <w:r>
              <w:rPr>
                <w:rFonts w:cs="Arial"/>
                <w:szCs w:val="18"/>
              </w:rPr>
              <w:t>57.03</w:t>
            </w:r>
          </w:p>
        </w:tc>
        <w:tc>
          <w:tcPr>
            <w:tcW w:w="911" w:type="pct"/>
          </w:tcPr>
          <w:p w14:paraId="2A00347C" w14:textId="5AF6DE6C" w:rsidR="00D248C4" w:rsidRPr="00DA1913" w:rsidRDefault="00D248C4" w:rsidP="00535B42">
            <w:pPr>
              <w:spacing w:line="240" w:lineRule="auto"/>
              <w:jc w:val="center"/>
              <w:rPr>
                <w:rFonts w:cs="Arial"/>
                <w:szCs w:val="18"/>
              </w:rPr>
            </w:pPr>
            <w:r w:rsidRPr="00DA1913">
              <w:rPr>
                <w:rFonts w:cs="Arial"/>
                <w:szCs w:val="18"/>
              </w:rPr>
              <w:t>0.00</w:t>
            </w:r>
            <w:r>
              <w:rPr>
                <w:rFonts w:cs="Arial"/>
                <w:szCs w:val="18"/>
              </w:rPr>
              <w:t>4102</w:t>
            </w:r>
          </w:p>
        </w:tc>
      </w:tr>
      <w:tr w:rsidR="00D248C4" w:rsidRPr="00DA1913" w14:paraId="60F3403F" w14:textId="77777777" w:rsidTr="001467F6">
        <w:trPr>
          <w:jc w:val="center"/>
        </w:trPr>
        <w:tc>
          <w:tcPr>
            <w:tcW w:w="1371" w:type="pct"/>
          </w:tcPr>
          <w:p w14:paraId="08F128E1" w14:textId="77777777" w:rsidR="00D248C4" w:rsidRPr="00DA1913" w:rsidRDefault="00D248C4" w:rsidP="00535B42">
            <w:pPr>
              <w:spacing w:line="240" w:lineRule="auto"/>
              <w:rPr>
                <w:rFonts w:cs="Arial"/>
                <w:szCs w:val="18"/>
              </w:rPr>
            </w:pPr>
            <w:r w:rsidRPr="00DA1913">
              <w:rPr>
                <w:rFonts w:cs="Arial"/>
                <w:szCs w:val="18"/>
              </w:rPr>
              <w:t>(x</w:t>
            </w:r>
            <w:r w:rsidRPr="00DA1913">
              <w:rPr>
                <w:rFonts w:cs="Arial"/>
                <w:szCs w:val="18"/>
                <w:vertAlign w:val="subscript"/>
              </w:rPr>
              <w:t>1</w:t>
            </w:r>
            <w:r w:rsidRPr="00DA1913">
              <w:rPr>
                <w:rFonts w:cs="Arial"/>
                <w:szCs w:val="18"/>
              </w:rPr>
              <w:t>x</w:t>
            </w:r>
            <w:r w:rsidRPr="00DA1913">
              <w:rPr>
                <w:rFonts w:cs="Arial"/>
                <w:szCs w:val="18"/>
                <w:vertAlign w:val="subscript"/>
              </w:rPr>
              <w:t>2</w:t>
            </w:r>
            <w:r w:rsidRPr="00DA1913">
              <w:rPr>
                <w:rFonts w:cs="Arial"/>
                <w:szCs w:val="18"/>
              </w:rPr>
              <w:t>)</w:t>
            </w:r>
          </w:p>
        </w:tc>
        <w:tc>
          <w:tcPr>
            <w:tcW w:w="935" w:type="pct"/>
          </w:tcPr>
          <w:p w14:paraId="26B9EC8C" w14:textId="7B621D6B" w:rsidR="00D248C4" w:rsidRPr="00DA1913" w:rsidRDefault="00D248C4" w:rsidP="00535B42">
            <w:pPr>
              <w:spacing w:line="240" w:lineRule="auto"/>
              <w:jc w:val="center"/>
              <w:rPr>
                <w:rFonts w:cs="Arial"/>
                <w:szCs w:val="18"/>
              </w:rPr>
            </w:pPr>
            <w:r>
              <w:rPr>
                <w:rFonts w:cs="Arial"/>
                <w:szCs w:val="18"/>
              </w:rPr>
              <w:t>91.55</w:t>
            </w:r>
          </w:p>
        </w:tc>
        <w:tc>
          <w:tcPr>
            <w:tcW w:w="368" w:type="pct"/>
          </w:tcPr>
          <w:p w14:paraId="45B4822A" w14:textId="77777777" w:rsidR="00D248C4" w:rsidRPr="00DA1913" w:rsidRDefault="00D248C4" w:rsidP="00535B42">
            <w:pPr>
              <w:spacing w:line="240" w:lineRule="auto"/>
              <w:jc w:val="center"/>
              <w:rPr>
                <w:rFonts w:cs="Arial"/>
                <w:szCs w:val="18"/>
              </w:rPr>
            </w:pPr>
            <w:r w:rsidRPr="00DA1913">
              <w:rPr>
                <w:rFonts w:cs="Arial"/>
                <w:szCs w:val="18"/>
              </w:rPr>
              <w:t>4</w:t>
            </w:r>
          </w:p>
        </w:tc>
        <w:tc>
          <w:tcPr>
            <w:tcW w:w="827" w:type="pct"/>
          </w:tcPr>
          <w:p w14:paraId="38F24DCA" w14:textId="3A732C4C" w:rsidR="00D248C4" w:rsidRPr="00DA1913" w:rsidRDefault="00D248C4" w:rsidP="00535B42">
            <w:pPr>
              <w:spacing w:line="240" w:lineRule="auto"/>
              <w:jc w:val="center"/>
              <w:rPr>
                <w:rFonts w:cs="Arial"/>
                <w:szCs w:val="18"/>
              </w:rPr>
            </w:pPr>
            <w:r>
              <w:rPr>
                <w:rFonts w:cs="Arial"/>
                <w:szCs w:val="18"/>
              </w:rPr>
              <w:t>22.88</w:t>
            </w:r>
          </w:p>
        </w:tc>
        <w:tc>
          <w:tcPr>
            <w:tcW w:w="588" w:type="pct"/>
          </w:tcPr>
          <w:p w14:paraId="429F11A1" w14:textId="29EB4C91" w:rsidR="00D248C4" w:rsidRPr="00DA1913" w:rsidRDefault="00D248C4" w:rsidP="00535B42">
            <w:pPr>
              <w:spacing w:line="240" w:lineRule="auto"/>
              <w:jc w:val="center"/>
              <w:rPr>
                <w:rFonts w:cs="Arial"/>
                <w:szCs w:val="18"/>
              </w:rPr>
            </w:pPr>
            <w:r>
              <w:rPr>
                <w:rFonts w:cs="Arial"/>
                <w:szCs w:val="18"/>
              </w:rPr>
              <w:t>67.56</w:t>
            </w:r>
          </w:p>
        </w:tc>
        <w:tc>
          <w:tcPr>
            <w:tcW w:w="911" w:type="pct"/>
          </w:tcPr>
          <w:p w14:paraId="6B741FC2" w14:textId="256DD9FD" w:rsidR="00D248C4" w:rsidRPr="00DA1913" w:rsidRDefault="00D248C4" w:rsidP="00535B42">
            <w:pPr>
              <w:spacing w:line="240" w:lineRule="auto"/>
              <w:jc w:val="center"/>
              <w:rPr>
                <w:rFonts w:cs="Arial"/>
                <w:szCs w:val="18"/>
              </w:rPr>
            </w:pPr>
            <w:r w:rsidRPr="00DA1913">
              <w:rPr>
                <w:rFonts w:cs="Arial"/>
                <w:szCs w:val="18"/>
              </w:rPr>
              <w:t>0.00</w:t>
            </w:r>
            <w:r>
              <w:rPr>
                <w:rFonts w:cs="Arial"/>
                <w:szCs w:val="18"/>
              </w:rPr>
              <w:t>2857</w:t>
            </w:r>
          </w:p>
        </w:tc>
      </w:tr>
      <w:tr w:rsidR="00D248C4" w:rsidRPr="00DA1913" w14:paraId="39E876D4" w14:textId="77777777" w:rsidTr="001467F6">
        <w:trPr>
          <w:jc w:val="center"/>
        </w:trPr>
        <w:tc>
          <w:tcPr>
            <w:tcW w:w="1371" w:type="pct"/>
          </w:tcPr>
          <w:p w14:paraId="6EF4AAF1" w14:textId="77777777" w:rsidR="00D248C4" w:rsidRPr="00DA1913" w:rsidRDefault="00D248C4" w:rsidP="00535B42">
            <w:pPr>
              <w:spacing w:line="240" w:lineRule="auto"/>
              <w:rPr>
                <w:rFonts w:cs="Arial"/>
                <w:szCs w:val="18"/>
              </w:rPr>
            </w:pPr>
            <w:r w:rsidRPr="00DA1913">
              <w:rPr>
                <w:rFonts w:cs="Arial"/>
                <w:szCs w:val="18"/>
              </w:rPr>
              <w:t>Pure Error</w:t>
            </w:r>
          </w:p>
        </w:tc>
        <w:tc>
          <w:tcPr>
            <w:tcW w:w="935" w:type="pct"/>
          </w:tcPr>
          <w:p w14:paraId="3B4EDBA2" w14:textId="2AD0CB7A" w:rsidR="00D248C4" w:rsidRPr="00DA1913" w:rsidRDefault="00D248C4" w:rsidP="00535B42">
            <w:pPr>
              <w:spacing w:line="240" w:lineRule="auto"/>
              <w:jc w:val="center"/>
              <w:rPr>
                <w:rFonts w:cs="Arial"/>
                <w:szCs w:val="18"/>
              </w:rPr>
            </w:pPr>
            <w:r>
              <w:rPr>
                <w:rFonts w:cs="Arial"/>
                <w:szCs w:val="18"/>
              </w:rPr>
              <w:t>1.01</w:t>
            </w:r>
          </w:p>
        </w:tc>
        <w:tc>
          <w:tcPr>
            <w:tcW w:w="368" w:type="pct"/>
          </w:tcPr>
          <w:p w14:paraId="5B4CA7E6" w14:textId="77777777" w:rsidR="00D248C4" w:rsidRPr="00DA1913" w:rsidRDefault="00D248C4" w:rsidP="00535B42">
            <w:pPr>
              <w:spacing w:line="240" w:lineRule="auto"/>
              <w:jc w:val="center"/>
              <w:rPr>
                <w:rFonts w:cs="Arial"/>
                <w:szCs w:val="18"/>
              </w:rPr>
            </w:pPr>
            <w:r w:rsidRPr="00DA1913">
              <w:rPr>
                <w:rFonts w:cs="Arial"/>
                <w:szCs w:val="18"/>
              </w:rPr>
              <w:t>3</w:t>
            </w:r>
          </w:p>
        </w:tc>
        <w:tc>
          <w:tcPr>
            <w:tcW w:w="827" w:type="pct"/>
          </w:tcPr>
          <w:p w14:paraId="26D1F86D" w14:textId="3150C600" w:rsidR="00D248C4" w:rsidRPr="00DA1913" w:rsidRDefault="00D248C4" w:rsidP="00535B42">
            <w:pPr>
              <w:spacing w:line="240" w:lineRule="auto"/>
              <w:jc w:val="center"/>
              <w:rPr>
                <w:rFonts w:cs="Arial"/>
                <w:szCs w:val="18"/>
              </w:rPr>
            </w:pPr>
            <w:r w:rsidRPr="00DA1913">
              <w:rPr>
                <w:rFonts w:cs="Arial"/>
                <w:szCs w:val="18"/>
              </w:rPr>
              <w:t>0.</w:t>
            </w:r>
            <w:r>
              <w:rPr>
                <w:rFonts w:cs="Arial"/>
                <w:szCs w:val="18"/>
              </w:rPr>
              <w:t>33</w:t>
            </w:r>
          </w:p>
        </w:tc>
        <w:tc>
          <w:tcPr>
            <w:tcW w:w="588" w:type="pct"/>
          </w:tcPr>
          <w:p w14:paraId="60342737" w14:textId="77777777" w:rsidR="00D248C4" w:rsidRPr="00DA1913" w:rsidRDefault="00D248C4" w:rsidP="00535B42">
            <w:pPr>
              <w:spacing w:line="240" w:lineRule="auto"/>
              <w:jc w:val="center"/>
              <w:rPr>
                <w:rFonts w:cs="Arial"/>
                <w:szCs w:val="18"/>
              </w:rPr>
            </w:pPr>
            <w:r w:rsidRPr="00DA1913">
              <w:rPr>
                <w:rFonts w:cs="Arial"/>
                <w:szCs w:val="18"/>
              </w:rPr>
              <w:t>-</w:t>
            </w:r>
          </w:p>
        </w:tc>
        <w:tc>
          <w:tcPr>
            <w:tcW w:w="911" w:type="pct"/>
          </w:tcPr>
          <w:p w14:paraId="4BD15CF8" w14:textId="77777777" w:rsidR="00D248C4" w:rsidRPr="00DA1913" w:rsidRDefault="00D248C4" w:rsidP="00535B42">
            <w:pPr>
              <w:spacing w:line="240" w:lineRule="auto"/>
              <w:jc w:val="center"/>
              <w:rPr>
                <w:rFonts w:cs="Arial"/>
                <w:szCs w:val="18"/>
              </w:rPr>
            </w:pPr>
            <w:r w:rsidRPr="00DA1913">
              <w:rPr>
                <w:rFonts w:cs="Arial"/>
                <w:szCs w:val="18"/>
              </w:rPr>
              <w:t>-</w:t>
            </w:r>
          </w:p>
        </w:tc>
      </w:tr>
      <w:tr w:rsidR="00D248C4" w:rsidRPr="00DA1913" w14:paraId="0CAE4204" w14:textId="77777777" w:rsidTr="001467F6">
        <w:trPr>
          <w:jc w:val="center"/>
        </w:trPr>
        <w:tc>
          <w:tcPr>
            <w:tcW w:w="1371" w:type="pct"/>
            <w:tcBorders>
              <w:bottom w:val="single" w:sz="12" w:space="0" w:color="00863D"/>
            </w:tcBorders>
          </w:tcPr>
          <w:p w14:paraId="2623699A" w14:textId="77777777" w:rsidR="00D248C4" w:rsidRPr="00DA1913" w:rsidRDefault="00D248C4" w:rsidP="00535B42">
            <w:pPr>
              <w:spacing w:line="240" w:lineRule="auto"/>
              <w:rPr>
                <w:rFonts w:cs="Arial"/>
                <w:szCs w:val="18"/>
              </w:rPr>
            </w:pPr>
            <w:r w:rsidRPr="00DA1913">
              <w:rPr>
                <w:rFonts w:cs="Arial"/>
                <w:szCs w:val="18"/>
              </w:rPr>
              <w:t>Total</w:t>
            </w:r>
          </w:p>
        </w:tc>
        <w:tc>
          <w:tcPr>
            <w:tcW w:w="935" w:type="pct"/>
            <w:tcBorders>
              <w:bottom w:val="single" w:sz="12" w:space="0" w:color="00863D"/>
            </w:tcBorders>
          </w:tcPr>
          <w:p w14:paraId="3796F078" w14:textId="11ACD83E" w:rsidR="00D248C4" w:rsidRPr="00DA1913" w:rsidRDefault="00D248C4" w:rsidP="00535B42">
            <w:pPr>
              <w:spacing w:line="240" w:lineRule="auto"/>
              <w:jc w:val="center"/>
              <w:rPr>
                <w:rFonts w:cs="Arial"/>
                <w:szCs w:val="18"/>
              </w:rPr>
            </w:pPr>
            <w:r>
              <w:rPr>
                <w:rFonts w:cs="Arial"/>
                <w:szCs w:val="18"/>
              </w:rPr>
              <w:t>481.72</w:t>
            </w:r>
          </w:p>
        </w:tc>
        <w:tc>
          <w:tcPr>
            <w:tcW w:w="368" w:type="pct"/>
            <w:tcBorders>
              <w:bottom w:val="single" w:sz="12" w:space="0" w:color="00863D"/>
            </w:tcBorders>
          </w:tcPr>
          <w:p w14:paraId="3493F5EC" w14:textId="77777777" w:rsidR="00D248C4" w:rsidRPr="00DA1913" w:rsidRDefault="00D248C4" w:rsidP="00535B42">
            <w:pPr>
              <w:spacing w:line="240" w:lineRule="auto"/>
              <w:jc w:val="center"/>
              <w:rPr>
                <w:rFonts w:cs="Arial"/>
                <w:szCs w:val="18"/>
              </w:rPr>
            </w:pPr>
            <w:r w:rsidRPr="00DA1913">
              <w:rPr>
                <w:rFonts w:cs="Arial"/>
                <w:szCs w:val="18"/>
              </w:rPr>
              <w:t>11</w:t>
            </w:r>
          </w:p>
        </w:tc>
        <w:tc>
          <w:tcPr>
            <w:tcW w:w="827" w:type="pct"/>
            <w:tcBorders>
              <w:bottom w:val="single" w:sz="12" w:space="0" w:color="00863D"/>
            </w:tcBorders>
          </w:tcPr>
          <w:p w14:paraId="2B4E3FC5" w14:textId="77777777" w:rsidR="00D248C4" w:rsidRPr="00DA1913" w:rsidRDefault="00D248C4" w:rsidP="00535B42">
            <w:pPr>
              <w:spacing w:line="240" w:lineRule="auto"/>
              <w:jc w:val="center"/>
              <w:rPr>
                <w:rFonts w:cs="Arial"/>
                <w:szCs w:val="18"/>
              </w:rPr>
            </w:pPr>
            <w:r w:rsidRPr="00DA1913">
              <w:rPr>
                <w:rFonts w:cs="Arial"/>
                <w:szCs w:val="18"/>
              </w:rPr>
              <w:t>-</w:t>
            </w:r>
          </w:p>
        </w:tc>
        <w:tc>
          <w:tcPr>
            <w:tcW w:w="588" w:type="pct"/>
            <w:tcBorders>
              <w:bottom w:val="single" w:sz="12" w:space="0" w:color="00863D"/>
            </w:tcBorders>
          </w:tcPr>
          <w:p w14:paraId="73F124A8" w14:textId="77777777" w:rsidR="00D248C4" w:rsidRPr="00DA1913" w:rsidRDefault="00D248C4" w:rsidP="00535B42">
            <w:pPr>
              <w:spacing w:line="240" w:lineRule="auto"/>
              <w:jc w:val="center"/>
              <w:rPr>
                <w:rFonts w:cs="Arial"/>
                <w:szCs w:val="18"/>
              </w:rPr>
            </w:pPr>
            <w:r w:rsidRPr="00DA1913">
              <w:rPr>
                <w:rFonts w:cs="Arial"/>
                <w:szCs w:val="18"/>
              </w:rPr>
              <w:t>-</w:t>
            </w:r>
          </w:p>
        </w:tc>
        <w:tc>
          <w:tcPr>
            <w:tcW w:w="911" w:type="pct"/>
            <w:tcBorders>
              <w:bottom w:val="single" w:sz="12" w:space="0" w:color="00863D"/>
            </w:tcBorders>
          </w:tcPr>
          <w:p w14:paraId="051834CD" w14:textId="77777777" w:rsidR="00D248C4" w:rsidRPr="00DA1913" w:rsidRDefault="00D248C4" w:rsidP="00535B42">
            <w:pPr>
              <w:spacing w:line="240" w:lineRule="auto"/>
              <w:jc w:val="center"/>
              <w:rPr>
                <w:rFonts w:cs="Arial"/>
                <w:szCs w:val="18"/>
              </w:rPr>
            </w:pPr>
            <w:r w:rsidRPr="00DA1913">
              <w:rPr>
                <w:rFonts w:cs="Arial"/>
                <w:szCs w:val="18"/>
              </w:rPr>
              <w:t>-</w:t>
            </w:r>
          </w:p>
        </w:tc>
      </w:tr>
    </w:tbl>
    <w:p w14:paraId="7A39F68B" w14:textId="22094976" w:rsidR="008938A8" w:rsidRPr="008938A8" w:rsidRDefault="008938A8" w:rsidP="005E6DDD">
      <w:pPr>
        <w:pStyle w:val="CETBodytext"/>
        <w:tabs>
          <w:tab w:val="clear" w:pos="7100"/>
          <w:tab w:val="left" w:pos="1291"/>
        </w:tabs>
        <w:spacing w:after="240"/>
        <w:rPr>
          <w:sz w:val="16"/>
          <w:szCs w:val="16"/>
        </w:rPr>
      </w:pPr>
      <w:r w:rsidRPr="00DE0E4E">
        <w:rPr>
          <w:sz w:val="16"/>
          <w:szCs w:val="16"/>
        </w:rPr>
        <w:t xml:space="preserve">SS (Sum of Squares), df (Degrees of Freedom), </w:t>
      </w:r>
      <w:r w:rsidRPr="00DE0E4E">
        <w:rPr>
          <w:sz w:val="16"/>
          <w:szCs w:val="16"/>
          <w:lang w:val="en-GB"/>
        </w:rPr>
        <w:t>MS (Mean Square), F (F-ratio).</w:t>
      </w:r>
      <w:r w:rsidRPr="008938A8">
        <w:rPr>
          <w:sz w:val="16"/>
          <w:szCs w:val="16"/>
          <w:lang w:val="en-GB"/>
        </w:rPr>
        <w:t xml:space="preserve"> </w:t>
      </w:r>
    </w:p>
    <w:p w14:paraId="1803199A" w14:textId="453415ED" w:rsidR="001467F6" w:rsidRDefault="000F7E67" w:rsidP="00DE0E4E">
      <w:pPr>
        <w:pStyle w:val="CETBodytext"/>
        <w:tabs>
          <w:tab w:val="clear" w:pos="7100"/>
          <w:tab w:val="left" w:pos="1291"/>
        </w:tabs>
        <w:rPr>
          <w:b/>
          <w:bCs/>
          <w:lang w:val="en-GB"/>
        </w:rPr>
      </w:pPr>
      <w:r w:rsidRPr="004F0A68">
        <w:rPr>
          <w:b/>
          <w:bCs/>
        </w:rPr>
        <w:t>3.2</w:t>
      </w:r>
      <w:r>
        <w:t xml:space="preserve"> </w:t>
      </w:r>
      <w:r w:rsidRPr="000F7E67">
        <w:rPr>
          <w:b/>
          <w:bCs/>
          <w:lang w:val="en-GB"/>
        </w:rPr>
        <w:t>Experimental vs. Simulation Results</w:t>
      </w:r>
    </w:p>
    <w:p w14:paraId="22C7BF92" w14:textId="77777777" w:rsidR="00DE0E4E" w:rsidRDefault="00C252CF" w:rsidP="00DE0E4E">
      <w:pPr>
        <w:pStyle w:val="CETBodytext"/>
        <w:tabs>
          <w:tab w:val="clear" w:pos="7100"/>
          <w:tab w:val="left" w:pos="1291"/>
        </w:tabs>
      </w:pPr>
      <w:r>
        <w:t>Alongside the experimental results, a simulation was performed in Aspen Plus® to evaluate the accuracy of the Dortmund-UNIFAC model in the extraction of volatile fatty acids (VFAs) with hexadecane. The input values are described in Table 1, and the results, comparing both analyses, are presented in Figure 3.</w:t>
      </w:r>
      <w:r w:rsidR="00F33990">
        <w:t xml:space="preserve"> </w:t>
      </w:r>
      <w:r>
        <w:t>It is worth noting that ROW and pH were varied during the experiments, with the best results observed at a 6:1 ratio and pH 2.4. Under these conditions, the extraction efficiency reached 61.7% for butyric acid and 35.7% for propionic acid. The simulation yielded similar extraction values, with 64.3% for butyric acid and 36.1% for propionic acid, demonstrating good agreement between the experimental and simulated data.</w:t>
      </w:r>
      <w:r w:rsidR="005E6DDD" w:rsidRPr="005E6DDD">
        <w:t xml:space="preserve"> </w:t>
      </w:r>
    </w:p>
    <w:p w14:paraId="723918E6" w14:textId="35CA08FE" w:rsidR="00FC34FC" w:rsidRDefault="005E6DDD" w:rsidP="00C252CF">
      <w:pPr>
        <w:pStyle w:val="CETBodytext"/>
        <w:tabs>
          <w:tab w:val="clear" w:pos="7100"/>
          <w:tab w:val="left" w:pos="1291"/>
        </w:tabs>
      </w:pPr>
      <w:r w:rsidRPr="00DE0E4E">
        <w:t>Conventional solvents, such as hexadecane, are not as efficient when applied to dilute propionic acid solutions due to the low aqueous activity of carboxylic acids, resulting in low distribution coefficients, which explains the lower recovery compared to butyric acid</w:t>
      </w:r>
      <w:r w:rsidR="00D12831" w:rsidRPr="00DE0E4E">
        <w:t xml:space="preserve"> (Kumar et al., 2006).</w:t>
      </w:r>
    </w:p>
    <w:p w14:paraId="44395BAD" w14:textId="27FAA31B" w:rsidR="00FC34FC" w:rsidRDefault="00A25A23" w:rsidP="00C252CF">
      <w:pPr>
        <w:pStyle w:val="CETBodytext"/>
        <w:tabs>
          <w:tab w:val="clear" w:pos="7100"/>
          <w:tab w:val="left" w:pos="1291"/>
        </w:tabs>
      </w:pPr>
      <w:r>
        <w:rPr>
          <w:noProof/>
        </w:rPr>
        <w:drawing>
          <wp:inline distT="0" distB="0" distL="0" distR="0" wp14:anchorId="55500A10" wp14:editId="3C175BE3">
            <wp:extent cx="5638800" cy="2638425"/>
            <wp:effectExtent l="0" t="0" r="0" b="0"/>
            <wp:docPr id="1481174282" name="Gráfico 1">
              <a:extLst xmlns:a="http://schemas.openxmlformats.org/drawingml/2006/main">
                <a:ext uri="{FF2B5EF4-FFF2-40B4-BE49-F238E27FC236}">
                  <a16:creationId xmlns:a16="http://schemas.microsoft.com/office/drawing/2014/main" id="{27A0D9DE-10AB-A255-95E2-12101B1A15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265512B" w14:textId="64D5BD68" w:rsidR="00A25A23" w:rsidRDefault="00A25A23" w:rsidP="00C252CF">
      <w:pPr>
        <w:pStyle w:val="CETBodytext"/>
        <w:tabs>
          <w:tab w:val="clear" w:pos="7100"/>
          <w:tab w:val="left" w:pos="1291"/>
        </w:tabs>
        <w:rPr>
          <w:i/>
          <w:iCs/>
          <w:szCs w:val="18"/>
          <w:lang w:val="en-GB"/>
        </w:rPr>
      </w:pPr>
      <w:r w:rsidRPr="00A25A23">
        <w:rPr>
          <w:i/>
          <w:iCs/>
          <w:szCs w:val="18"/>
        </w:rPr>
        <w:t xml:space="preserve">Figure 3 - </w:t>
      </w:r>
      <w:r w:rsidRPr="00A25A23">
        <w:rPr>
          <w:i/>
          <w:iCs/>
          <w:szCs w:val="18"/>
          <w:lang w:val="en-GB"/>
        </w:rPr>
        <w:t>Experimental vs. Simulated VFA Extraction at Different ROW Ratios</w:t>
      </w:r>
    </w:p>
    <w:p w14:paraId="78B20F1C" w14:textId="77777777" w:rsidR="00A25A23" w:rsidRDefault="00A25A23" w:rsidP="00C252CF">
      <w:pPr>
        <w:pStyle w:val="CETBodytext"/>
        <w:tabs>
          <w:tab w:val="clear" w:pos="7100"/>
          <w:tab w:val="left" w:pos="1291"/>
        </w:tabs>
        <w:rPr>
          <w:i/>
          <w:iCs/>
          <w:szCs w:val="18"/>
          <w:lang w:val="en-GB"/>
        </w:rPr>
      </w:pPr>
    </w:p>
    <w:p w14:paraId="2B99CB16" w14:textId="4BB17C60" w:rsidR="001A6CAA" w:rsidRDefault="009E52DB" w:rsidP="001A6CAA">
      <w:pPr>
        <w:pStyle w:val="CETBodytext"/>
        <w:tabs>
          <w:tab w:val="clear" w:pos="7100"/>
          <w:tab w:val="left" w:pos="1291"/>
        </w:tabs>
        <w:rPr>
          <w:szCs w:val="18"/>
        </w:rPr>
      </w:pPr>
      <w:r w:rsidRPr="009E52DB">
        <w:rPr>
          <w:szCs w:val="18"/>
        </w:rPr>
        <w:t>The choice of the Dortmund-UNIFAC model for analyzing the experiments involving the extraction of volatile fatty acids (VFAs) with hexadecane is justified by its ability to handle complex systems that involve specific interactions between functional groups. Unlike the original UNIFAC model, the Dortmund-UNIFAC introduces modifications to the residual term, adjusting group interaction parameters based on a broader and more refined database</w:t>
      </w:r>
      <w:r w:rsidR="001A6CAA">
        <w:rPr>
          <w:szCs w:val="18"/>
        </w:rPr>
        <w:t xml:space="preserve"> (</w:t>
      </w:r>
      <w:r w:rsidR="001A6CAA" w:rsidRPr="001A6CAA">
        <w:rPr>
          <w:szCs w:val="18"/>
          <w:lang w:val="en-GB"/>
        </w:rPr>
        <w:t>Kuramochi</w:t>
      </w:r>
      <w:r w:rsidR="001A6CAA">
        <w:rPr>
          <w:szCs w:val="18"/>
          <w:lang w:val="en-GB"/>
        </w:rPr>
        <w:t xml:space="preserve"> et al., 2009)</w:t>
      </w:r>
      <w:r w:rsidRPr="009E52DB">
        <w:rPr>
          <w:szCs w:val="18"/>
        </w:rPr>
        <w:t>. This is essential to accurately represent the interactions between butyric and propionic acids, which have polar carboxylic groups, and hexadecane, a non-polar solvent.</w:t>
      </w:r>
      <w:r w:rsidR="00F33990">
        <w:rPr>
          <w:szCs w:val="18"/>
        </w:rPr>
        <w:t xml:space="preserve"> </w:t>
      </w:r>
      <w:r w:rsidRPr="009E52DB">
        <w:rPr>
          <w:szCs w:val="18"/>
        </w:rPr>
        <w:t>Additionally, the Dortmund-UNIFAC model includes adjustments to the combinatorial term, which enhances its representation of asymmetric systems, such as the mixture of large, non-polar molecules (hexadecane) with smaller, polar organic acids</w:t>
      </w:r>
      <w:r w:rsidR="001A6CAA">
        <w:rPr>
          <w:szCs w:val="18"/>
        </w:rPr>
        <w:t xml:space="preserve"> (</w:t>
      </w:r>
      <w:r w:rsidR="001A6CAA" w:rsidRPr="001A6CAA">
        <w:rPr>
          <w:szCs w:val="18"/>
          <w:lang w:val="en-GB"/>
        </w:rPr>
        <w:t>Kikic</w:t>
      </w:r>
      <w:r w:rsidR="001A6CAA">
        <w:rPr>
          <w:szCs w:val="18"/>
          <w:lang w:val="en-GB"/>
        </w:rPr>
        <w:t xml:space="preserve"> et al., 1980)</w:t>
      </w:r>
      <w:r w:rsidRPr="009E52DB">
        <w:rPr>
          <w:szCs w:val="18"/>
        </w:rPr>
        <w:t>. This feature is crucial for describing solubility differences and interactions between the aqueous and organic phases in the experiments.</w:t>
      </w:r>
      <w:r w:rsidR="00F33990">
        <w:rPr>
          <w:szCs w:val="18"/>
        </w:rPr>
        <w:t xml:space="preserve"> Therefore, the model developed has a good </w:t>
      </w:r>
      <w:r w:rsidR="00F33990" w:rsidRPr="006B5861">
        <w:rPr>
          <w:szCs w:val="18"/>
        </w:rPr>
        <w:t>representation of reality</w:t>
      </w:r>
      <w:r w:rsidR="00F33990">
        <w:rPr>
          <w:szCs w:val="18"/>
        </w:rPr>
        <w:t xml:space="preserve"> and it can be used for further process design and optimization.</w:t>
      </w:r>
    </w:p>
    <w:p w14:paraId="00EE5E05" w14:textId="4E613F38" w:rsidR="001A6CAA" w:rsidRDefault="001A6CAA" w:rsidP="005E74D4">
      <w:pPr>
        <w:pStyle w:val="CETHeading1"/>
        <w:numPr>
          <w:ilvl w:val="0"/>
          <w:numId w:val="24"/>
        </w:numPr>
        <w:spacing w:line="360" w:lineRule="auto"/>
        <w:ind w:left="357" w:hanging="357"/>
      </w:pPr>
      <w:r>
        <w:t>Conclusion</w:t>
      </w:r>
    </w:p>
    <w:p w14:paraId="19B2D0C9" w14:textId="0F7CF5C1" w:rsidR="001A6CAA" w:rsidRDefault="00227614" w:rsidP="00DE0E4E">
      <w:pPr>
        <w:pStyle w:val="CETBodytext"/>
      </w:pPr>
      <w:r w:rsidRPr="00227614">
        <w:t xml:space="preserve">This study demonstrated that liquid-liquid extraction of VFAs from synthetic media using hexadecane as a solvent is an effective technique, especially for butyric and </w:t>
      </w:r>
      <w:r w:rsidRPr="006B5861">
        <w:t>propionic acids when high</w:t>
      </w:r>
      <w:r w:rsidRPr="00227614">
        <w:t xml:space="preserve"> solvent-to-</w:t>
      </w:r>
      <w:r w:rsidR="00F33990">
        <w:t>feed</w:t>
      </w:r>
      <w:r w:rsidR="00F33990" w:rsidRPr="00227614">
        <w:t xml:space="preserve"> </w:t>
      </w:r>
      <w:r w:rsidRPr="00227614">
        <w:t xml:space="preserve">ratios are employed. The Dortmund-UNIFAC model proved to be suitable for describing the equilibrium between the phases, showing good agreement between experimental and simulated results. Statistical analysis further </w:t>
      </w:r>
      <w:r w:rsidRPr="00227614">
        <w:lastRenderedPageBreak/>
        <w:t>supported this agreement, with average deviations of less than 5%, validating the model's accuracy in predicting experimental data. These findings highlight the potential of hexadecane as a solvent in extraction processes, reinforcing its applicability in real fermentation systems</w:t>
      </w:r>
      <w:r w:rsidRPr="00D34C40">
        <w:t>.</w:t>
      </w:r>
      <w:r w:rsidR="00D12831" w:rsidRPr="00D34C40">
        <w:t xml:space="preserve"> However, to optimize recovery efficiency, it is necessary to test other solvents that may show better </w:t>
      </w:r>
      <w:r w:rsidR="00716243" w:rsidRPr="00D34C40">
        <w:t>affinity for carboxylic acids</w:t>
      </w:r>
      <w:r w:rsidR="00D12831" w:rsidRPr="00D34C40">
        <w:t xml:space="preserve">. Thus, with the use of improved organic acid recovery techniques, renewable and low-cost </w:t>
      </w:r>
      <w:r w:rsidR="00D12831" w:rsidRPr="006B5861">
        <w:t xml:space="preserve">biomass, along advancements in cell engineering, bio-based butyric acid has the potential to become more competitive </w:t>
      </w:r>
      <w:r w:rsidR="00085F40" w:rsidRPr="006B5861">
        <w:t>with</w:t>
      </w:r>
      <w:r w:rsidR="00D12831" w:rsidRPr="006B5861">
        <w:t xml:space="preserve"> </w:t>
      </w:r>
      <w:r w:rsidR="007805B3" w:rsidRPr="006B5861">
        <w:t xml:space="preserve">its </w:t>
      </w:r>
      <w:r w:rsidR="009362E8" w:rsidRPr="006B5861">
        <w:t>fossil</w:t>
      </w:r>
      <w:r w:rsidR="00972F97" w:rsidRPr="006B5861">
        <w:t>-derived</w:t>
      </w:r>
      <w:r w:rsidR="00D12831" w:rsidRPr="006B5861">
        <w:t xml:space="preserve"> </w:t>
      </w:r>
      <w:r w:rsidR="007805B3" w:rsidRPr="006B5861">
        <w:t>counterpart</w:t>
      </w:r>
      <w:r w:rsidR="00D12831" w:rsidRPr="006B5861">
        <w:t>.</w:t>
      </w:r>
    </w:p>
    <w:p w14:paraId="0FD3411D" w14:textId="77777777" w:rsidR="00210B89" w:rsidRDefault="00210B89" w:rsidP="001A6CAA">
      <w:pPr>
        <w:pStyle w:val="CETBodytext"/>
      </w:pPr>
    </w:p>
    <w:p w14:paraId="6D5616CB" w14:textId="77777777" w:rsidR="00227614" w:rsidRDefault="00227614" w:rsidP="001A6CAA">
      <w:pPr>
        <w:pStyle w:val="CETBodytext"/>
      </w:pPr>
    </w:p>
    <w:p w14:paraId="3F5DA09E" w14:textId="08DD1C7B" w:rsidR="00227614" w:rsidRDefault="00227614" w:rsidP="00DE0E4E">
      <w:pPr>
        <w:pStyle w:val="CETBodytext"/>
        <w:numPr>
          <w:ilvl w:val="0"/>
          <w:numId w:val="24"/>
        </w:numPr>
        <w:spacing w:after="240"/>
        <w:rPr>
          <w:b/>
          <w:bCs/>
          <w:sz w:val="20"/>
        </w:rPr>
      </w:pPr>
      <w:r w:rsidRPr="00227614">
        <w:rPr>
          <w:b/>
          <w:bCs/>
          <w:sz w:val="20"/>
        </w:rPr>
        <w:t>Acknowledgments</w:t>
      </w:r>
    </w:p>
    <w:p w14:paraId="1070D777" w14:textId="71B51562" w:rsidR="001A6CAA" w:rsidRDefault="000B5C7A" w:rsidP="001A6CAA">
      <w:pPr>
        <w:pStyle w:val="CETBodytext"/>
        <w:tabs>
          <w:tab w:val="clear" w:pos="7100"/>
          <w:tab w:val="left" w:pos="1291"/>
        </w:tabs>
      </w:pPr>
      <w:r w:rsidRPr="000B5C7A">
        <w:t xml:space="preserve">The authors </w:t>
      </w:r>
      <w:r w:rsidR="00F33990" w:rsidRPr="005777B6">
        <w:t xml:space="preserve">acknowledge the support </w:t>
      </w:r>
      <w:r w:rsidR="00F33990">
        <w:t xml:space="preserve">from </w:t>
      </w:r>
      <w:r w:rsidRPr="000B5C7A">
        <w:t>the Brazilian Federal Agency for Support and Evaluation of Graduate Education (CAPES)</w:t>
      </w:r>
      <w:r>
        <w:t>.</w:t>
      </w:r>
    </w:p>
    <w:p w14:paraId="0099DF4D" w14:textId="77777777" w:rsidR="000B5C7A" w:rsidRPr="00210B89" w:rsidRDefault="000B5C7A" w:rsidP="001A6CAA">
      <w:pPr>
        <w:pStyle w:val="CETBodytext"/>
        <w:tabs>
          <w:tab w:val="clear" w:pos="7100"/>
          <w:tab w:val="left" w:pos="1291"/>
        </w:tabs>
        <w:rPr>
          <w:b/>
          <w:bCs/>
          <w:sz w:val="20"/>
        </w:rPr>
      </w:pPr>
    </w:p>
    <w:p w14:paraId="6E6E9063" w14:textId="77777777" w:rsidR="00210B89" w:rsidRDefault="00210B89" w:rsidP="00210B89">
      <w:pPr>
        <w:pStyle w:val="CETBodytext"/>
        <w:tabs>
          <w:tab w:val="clear" w:pos="7100"/>
          <w:tab w:val="left" w:pos="1291"/>
        </w:tabs>
        <w:rPr>
          <w:b/>
          <w:bCs/>
          <w:sz w:val="20"/>
        </w:rPr>
      </w:pPr>
      <w:r w:rsidRPr="00210B89">
        <w:rPr>
          <w:b/>
          <w:bCs/>
          <w:sz w:val="20"/>
        </w:rPr>
        <w:t>References</w:t>
      </w:r>
    </w:p>
    <w:p w14:paraId="712B3C03" w14:textId="70F987D2" w:rsidR="00716243" w:rsidRDefault="00716243" w:rsidP="00210B89">
      <w:pPr>
        <w:pStyle w:val="CETBodytext"/>
        <w:tabs>
          <w:tab w:val="clear" w:pos="7100"/>
          <w:tab w:val="left" w:pos="1291"/>
        </w:tabs>
        <w:ind w:left="284" w:hanging="284"/>
        <w:rPr>
          <w:rFonts w:cs="Arial"/>
          <w:szCs w:val="18"/>
        </w:rPr>
      </w:pPr>
      <w:r w:rsidRPr="00716243">
        <w:rPr>
          <w:rFonts w:cs="Arial"/>
          <w:szCs w:val="18"/>
        </w:rPr>
        <w:t>Alao A.I., Agarry S.E., Afolabi T.J., 2023, Extraction of Lactic Acid from Fermentation Broth Using Long Chain Alkanoates, Journal of Chemical Engineering Data, 68, 2686-2697.</w:t>
      </w:r>
    </w:p>
    <w:p w14:paraId="22A60C2B" w14:textId="3EE1A2B1" w:rsidR="00210B89" w:rsidRPr="00210B89" w:rsidRDefault="00210B89" w:rsidP="00210B89">
      <w:pPr>
        <w:pStyle w:val="CETBodytext"/>
        <w:tabs>
          <w:tab w:val="clear" w:pos="7100"/>
          <w:tab w:val="left" w:pos="1291"/>
        </w:tabs>
        <w:ind w:left="284" w:hanging="284"/>
        <w:rPr>
          <w:rFonts w:cs="Arial"/>
          <w:szCs w:val="18"/>
        </w:rPr>
      </w:pPr>
      <w:r w:rsidRPr="00210B89">
        <w:rPr>
          <w:rFonts w:cs="Arial"/>
          <w:szCs w:val="18"/>
        </w:rPr>
        <w:t>Calvo-Flores F.G., Martin-Martinez F. J.</w:t>
      </w:r>
      <w:r w:rsidR="00EE3C91">
        <w:rPr>
          <w:rFonts w:cs="Arial"/>
          <w:szCs w:val="18"/>
        </w:rPr>
        <w:t>,</w:t>
      </w:r>
      <w:r w:rsidRPr="00210B89">
        <w:rPr>
          <w:rFonts w:cs="Arial"/>
          <w:szCs w:val="18"/>
        </w:rPr>
        <w:t xml:space="preserve"> 2022</w:t>
      </w:r>
      <w:r w:rsidR="00EE3C91">
        <w:rPr>
          <w:rFonts w:cs="Arial"/>
          <w:szCs w:val="18"/>
        </w:rPr>
        <w:t>,</w:t>
      </w:r>
      <w:r w:rsidRPr="00210B89">
        <w:rPr>
          <w:rFonts w:cs="Arial"/>
          <w:szCs w:val="18"/>
        </w:rPr>
        <w:t xml:space="preserve"> Biorefineries: Achievements and challenges for a bio-based economy</w:t>
      </w:r>
      <w:r w:rsidR="00EE3C91">
        <w:rPr>
          <w:rFonts w:cs="Arial"/>
          <w:szCs w:val="18"/>
        </w:rPr>
        <w:t>,</w:t>
      </w:r>
      <w:r w:rsidRPr="00210B89">
        <w:rPr>
          <w:rFonts w:cs="Arial"/>
          <w:szCs w:val="18"/>
        </w:rPr>
        <w:t xml:space="preserve"> Frontiers in Chemistry, 10, 973417.</w:t>
      </w:r>
    </w:p>
    <w:p w14:paraId="572D9E2B" w14:textId="63C1AFCB" w:rsidR="00210B89" w:rsidRPr="00210B89" w:rsidRDefault="00210B89" w:rsidP="00210B89">
      <w:pPr>
        <w:pStyle w:val="CETBodytext"/>
        <w:tabs>
          <w:tab w:val="clear" w:pos="7100"/>
          <w:tab w:val="left" w:pos="1291"/>
        </w:tabs>
        <w:ind w:left="284" w:hanging="284"/>
        <w:rPr>
          <w:rFonts w:cs="Arial"/>
          <w:szCs w:val="18"/>
        </w:rPr>
      </w:pPr>
      <w:r w:rsidRPr="00EE3C91">
        <w:rPr>
          <w:rFonts w:cs="Arial"/>
          <w:szCs w:val="18"/>
        </w:rPr>
        <w:t>Cardona C.A., Quintero J.A., Paz I. C.</w:t>
      </w:r>
      <w:r w:rsidR="00EE3C91" w:rsidRPr="00EE3C91">
        <w:rPr>
          <w:rFonts w:cs="Arial"/>
          <w:szCs w:val="18"/>
        </w:rPr>
        <w:t>,</w:t>
      </w:r>
      <w:r w:rsidRPr="00EE3C91">
        <w:rPr>
          <w:rFonts w:cs="Arial"/>
          <w:szCs w:val="18"/>
        </w:rPr>
        <w:t xml:space="preserve"> 2010</w:t>
      </w:r>
      <w:r w:rsidR="00EE3C91" w:rsidRPr="001E4651">
        <w:rPr>
          <w:rFonts w:cs="Arial"/>
          <w:szCs w:val="18"/>
        </w:rPr>
        <w:t>,</w:t>
      </w:r>
      <w:r w:rsidR="00EE3C91" w:rsidRPr="00EE3C91">
        <w:rPr>
          <w:rFonts w:cs="Arial"/>
          <w:szCs w:val="18"/>
        </w:rPr>
        <w:t xml:space="preserve"> </w:t>
      </w:r>
      <w:r w:rsidRPr="00210B89">
        <w:rPr>
          <w:rFonts w:cs="Arial"/>
          <w:szCs w:val="18"/>
        </w:rPr>
        <w:t>Production of bioethanol from the sugar cane bagasse: Status and perspectives</w:t>
      </w:r>
      <w:r w:rsidR="00EE3C91">
        <w:rPr>
          <w:rFonts w:cs="Arial"/>
          <w:szCs w:val="18"/>
        </w:rPr>
        <w:t>,</w:t>
      </w:r>
      <w:r w:rsidRPr="00210B89">
        <w:rPr>
          <w:rFonts w:cs="Arial"/>
          <w:szCs w:val="18"/>
        </w:rPr>
        <w:t xml:space="preserve"> Bioresource Technology, 101, 4754–4760.</w:t>
      </w:r>
    </w:p>
    <w:p w14:paraId="0C19BB94" w14:textId="26D0F8A4" w:rsidR="00210B89" w:rsidRPr="00210B89" w:rsidRDefault="00210B89" w:rsidP="00210B89">
      <w:pPr>
        <w:pStyle w:val="CETBodytext"/>
        <w:tabs>
          <w:tab w:val="clear" w:pos="7100"/>
          <w:tab w:val="left" w:pos="1291"/>
        </w:tabs>
        <w:ind w:left="284" w:hanging="284"/>
        <w:rPr>
          <w:rFonts w:cs="Arial"/>
          <w:szCs w:val="18"/>
        </w:rPr>
      </w:pPr>
      <w:r w:rsidRPr="00210B89">
        <w:rPr>
          <w:rFonts w:cs="Arial"/>
          <w:szCs w:val="18"/>
        </w:rPr>
        <w:t>Chun J., Choi O., Sang B.I.</w:t>
      </w:r>
      <w:r w:rsidR="00EE3C91">
        <w:rPr>
          <w:rFonts w:cs="Arial"/>
          <w:szCs w:val="18"/>
        </w:rPr>
        <w:t>,</w:t>
      </w:r>
      <w:r w:rsidRPr="00210B89">
        <w:rPr>
          <w:rFonts w:cs="Arial"/>
          <w:szCs w:val="18"/>
        </w:rPr>
        <w:t xml:space="preserve"> 2018</w:t>
      </w:r>
      <w:r w:rsidR="00EE3C91">
        <w:rPr>
          <w:rFonts w:cs="Arial"/>
          <w:szCs w:val="18"/>
        </w:rPr>
        <w:t>,</w:t>
      </w:r>
      <w:r w:rsidRPr="00210B89">
        <w:rPr>
          <w:rFonts w:cs="Arial"/>
          <w:szCs w:val="18"/>
        </w:rPr>
        <w:t xml:space="preserve"> Enhanced extraction of butyric acid under high-pressure CO</w:t>
      </w:r>
      <w:r w:rsidRPr="00210B89">
        <w:rPr>
          <w:rFonts w:ascii="Cambria Math" w:hAnsi="Cambria Math" w:cs="Cambria Math"/>
          <w:szCs w:val="18"/>
        </w:rPr>
        <w:t>₂</w:t>
      </w:r>
      <w:r w:rsidRPr="00210B89">
        <w:rPr>
          <w:rFonts w:cs="Arial"/>
          <w:szCs w:val="18"/>
        </w:rPr>
        <w:t xml:space="preserve"> conditions to integrate chemical catalysis for value-added chemicals and biofuels</w:t>
      </w:r>
      <w:r w:rsidR="00EE3C91">
        <w:rPr>
          <w:rFonts w:cs="Arial"/>
          <w:szCs w:val="18"/>
        </w:rPr>
        <w:t>,</w:t>
      </w:r>
      <w:r w:rsidRPr="00210B89">
        <w:rPr>
          <w:rFonts w:cs="Arial"/>
          <w:szCs w:val="18"/>
        </w:rPr>
        <w:t xml:space="preserve"> Biotechnology for Biofuels, 11, 119.</w:t>
      </w:r>
    </w:p>
    <w:p w14:paraId="523DDC14" w14:textId="7991D3C4" w:rsidR="00210B89" w:rsidRDefault="00210B89" w:rsidP="00210B89">
      <w:pPr>
        <w:pStyle w:val="CETBodytext"/>
        <w:tabs>
          <w:tab w:val="clear" w:pos="7100"/>
          <w:tab w:val="left" w:pos="1291"/>
        </w:tabs>
        <w:ind w:left="284" w:hanging="284"/>
        <w:rPr>
          <w:rFonts w:cs="Arial"/>
          <w:szCs w:val="18"/>
        </w:rPr>
      </w:pPr>
      <w:r w:rsidRPr="00210B89">
        <w:rPr>
          <w:rFonts w:cs="Arial"/>
          <w:szCs w:val="18"/>
        </w:rPr>
        <w:t>Jha A. K., Li J., Yuan Y., Baral B.</w:t>
      </w:r>
      <w:r w:rsidR="00EE3C91">
        <w:rPr>
          <w:rFonts w:cs="Arial"/>
          <w:szCs w:val="18"/>
        </w:rPr>
        <w:t>,</w:t>
      </w:r>
      <w:r w:rsidRPr="00210B89">
        <w:rPr>
          <w:rFonts w:cs="Arial"/>
          <w:szCs w:val="18"/>
        </w:rPr>
        <w:t xml:space="preserve"> 2014</w:t>
      </w:r>
      <w:r w:rsidR="00EE3C91">
        <w:rPr>
          <w:rFonts w:cs="Arial"/>
          <w:szCs w:val="18"/>
        </w:rPr>
        <w:t>,</w:t>
      </w:r>
      <w:r w:rsidRPr="00210B89">
        <w:rPr>
          <w:rFonts w:cs="Arial"/>
          <w:szCs w:val="18"/>
        </w:rPr>
        <w:t xml:space="preserve"> A review on bio-butyric acid production and its optimization</w:t>
      </w:r>
      <w:r w:rsidR="00EE3C91">
        <w:rPr>
          <w:rFonts w:cs="Arial"/>
          <w:szCs w:val="18"/>
        </w:rPr>
        <w:t>,</w:t>
      </w:r>
      <w:r w:rsidRPr="00210B89">
        <w:rPr>
          <w:rFonts w:cs="Arial"/>
          <w:szCs w:val="18"/>
        </w:rPr>
        <w:t xml:space="preserve"> International Journal of Agriculture and Biology, 16, 1019–1024.</w:t>
      </w:r>
    </w:p>
    <w:p w14:paraId="1CC97794" w14:textId="4FDDBA90" w:rsidR="00D12831" w:rsidRPr="00210B89" w:rsidRDefault="00D12831" w:rsidP="00210B89">
      <w:pPr>
        <w:pStyle w:val="CETBodytext"/>
        <w:tabs>
          <w:tab w:val="clear" w:pos="7100"/>
          <w:tab w:val="left" w:pos="1291"/>
        </w:tabs>
        <w:ind w:left="284" w:hanging="284"/>
        <w:rPr>
          <w:rFonts w:cs="Arial"/>
          <w:szCs w:val="18"/>
        </w:rPr>
      </w:pPr>
      <w:r w:rsidRPr="00D34C40">
        <w:rPr>
          <w:rFonts w:cs="Arial"/>
          <w:szCs w:val="18"/>
        </w:rPr>
        <w:t>Kumar, S., Babu, B. V., Wasewer, K. L., 2006. Recovery of propionic acid using reactive extraction. In: Proceedings of International Symposium &amp; 59th Annual Session of IIChE, December, pp. 27-30.</w:t>
      </w:r>
    </w:p>
    <w:p w14:paraId="2A30D7C3" w14:textId="4DBF9AB9" w:rsidR="00210B89" w:rsidRPr="00210B89" w:rsidRDefault="00210B89" w:rsidP="00210B89">
      <w:pPr>
        <w:pStyle w:val="CETBodytext"/>
        <w:tabs>
          <w:tab w:val="clear" w:pos="7100"/>
          <w:tab w:val="left" w:pos="1291"/>
        </w:tabs>
        <w:ind w:left="284" w:hanging="284"/>
        <w:rPr>
          <w:rFonts w:cs="Arial"/>
          <w:szCs w:val="18"/>
        </w:rPr>
      </w:pPr>
      <w:r w:rsidRPr="00210B89">
        <w:rPr>
          <w:rFonts w:cs="Arial"/>
          <w:szCs w:val="18"/>
        </w:rPr>
        <w:t>Kikic I., Alessi P., Rasmussen P., Fredenslund A.</w:t>
      </w:r>
      <w:r w:rsidR="005A3ED0">
        <w:rPr>
          <w:rFonts w:cs="Arial"/>
          <w:szCs w:val="18"/>
        </w:rPr>
        <w:t>,</w:t>
      </w:r>
      <w:r w:rsidRPr="00210B89">
        <w:rPr>
          <w:rFonts w:cs="Arial"/>
          <w:szCs w:val="18"/>
        </w:rPr>
        <w:t xml:space="preserve"> 1980</w:t>
      </w:r>
      <w:r w:rsidR="005A3ED0">
        <w:rPr>
          <w:rFonts w:cs="Arial"/>
          <w:szCs w:val="18"/>
        </w:rPr>
        <w:t>,</w:t>
      </w:r>
      <w:r w:rsidR="005A3ED0" w:rsidRPr="00210B89">
        <w:rPr>
          <w:rFonts w:cs="Arial"/>
          <w:szCs w:val="18"/>
        </w:rPr>
        <w:t xml:space="preserve"> </w:t>
      </w:r>
      <w:r w:rsidRPr="00210B89">
        <w:rPr>
          <w:rFonts w:cs="Arial"/>
          <w:szCs w:val="18"/>
        </w:rPr>
        <w:t>On the combinatorial part of the UNIFAC and UNIQUAC models</w:t>
      </w:r>
      <w:r w:rsidR="005A3ED0">
        <w:rPr>
          <w:rFonts w:cs="Arial"/>
          <w:szCs w:val="18"/>
        </w:rPr>
        <w:t>,</w:t>
      </w:r>
      <w:r w:rsidRPr="00210B89">
        <w:rPr>
          <w:rFonts w:cs="Arial"/>
          <w:szCs w:val="18"/>
        </w:rPr>
        <w:t xml:space="preserve"> Canadian Journal of Chemical Engineering, 28, 253–258.</w:t>
      </w:r>
    </w:p>
    <w:p w14:paraId="2ED22E48" w14:textId="546E6B7F" w:rsidR="00210B89" w:rsidRPr="00210B89" w:rsidRDefault="00210B89" w:rsidP="00210B89">
      <w:pPr>
        <w:pStyle w:val="CETBodytext"/>
        <w:tabs>
          <w:tab w:val="clear" w:pos="7100"/>
          <w:tab w:val="left" w:pos="1291"/>
        </w:tabs>
        <w:ind w:left="284" w:hanging="284"/>
        <w:rPr>
          <w:rFonts w:cs="Arial"/>
          <w:szCs w:val="18"/>
        </w:rPr>
      </w:pPr>
      <w:r w:rsidRPr="005A3ED0">
        <w:rPr>
          <w:rFonts w:cs="Arial"/>
          <w:szCs w:val="18"/>
        </w:rPr>
        <w:t>Kuramochi H., Maeda K., Kato S., Osako M., Nakamura K., Sakai S.</w:t>
      </w:r>
      <w:r w:rsidR="005A3ED0" w:rsidRPr="005A3ED0">
        <w:rPr>
          <w:rFonts w:cs="Arial"/>
          <w:szCs w:val="18"/>
        </w:rPr>
        <w:t>,</w:t>
      </w:r>
      <w:r w:rsidRPr="005A3ED0">
        <w:rPr>
          <w:rFonts w:cs="Arial"/>
          <w:szCs w:val="18"/>
        </w:rPr>
        <w:t xml:space="preserve"> 2009</w:t>
      </w:r>
      <w:r w:rsidR="005A3ED0" w:rsidRPr="001E4651">
        <w:rPr>
          <w:rFonts w:cs="Arial"/>
          <w:szCs w:val="18"/>
        </w:rPr>
        <w:t>,</w:t>
      </w:r>
      <w:r w:rsidR="005A3ED0" w:rsidRPr="005A3ED0">
        <w:rPr>
          <w:rFonts w:cs="Arial"/>
          <w:szCs w:val="18"/>
        </w:rPr>
        <w:t xml:space="preserve"> </w:t>
      </w:r>
      <w:r w:rsidRPr="00210B89">
        <w:rPr>
          <w:rFonts w:cs="Arial"/>
          <w:szCs w:val="18"/>
        </w:rPr>
        <w:t>Application of UNIFAC models for prediction of vapor–liquid and liquid–liquid equilibria relevant to separation and purification processes of crude biodiesel fuel</w:t>
      </w:r>
      <w:r w:rsidR="005A3ED0">
        <w:rPr>
          <w:rFonts w:cs="Arial"/>
          <w:szCs w:val="18"/>
        </w:rPr>
        <w:t>,</w:t>
      </w:r>
      <w:r w:rsidR="005A3ED0" w:rsidRPr="00210B89">
        <w:rPr>
          <w:rFonts w:cs="Arial"/>
          <w:szCs w:val="18"/>
        </w:rPr>
        <w:t xml:space="preserve"> </w:t>
      </w:r>
      <w:r w:rsidRPr="00210B89">
        <w:rPr>
          <w:rFonts w:cs="Arial"/>
          <w:szCs w:val="18"/>
        </w:rPr>
        <w:t>Fuel, 88, 1472–1477.</w:t>
      </w:r>
    </w:p>
    <w:p w14:paraId="64155D63" w14:textId="77777777" w:rsidR="006B43F6" w:rsidRPr="005777B6" w:rsidRDefault="006B43F6" w:rsidP="006B43F6">
      <w:pPr>
        <w:pStyle w:val="CETReferencetext"/>
      </w:pPr>
      <w:r w:rsidRPr="005777B6">
        <w:t>Leal Silva J.F., Maciel Filho R., Wolf Maciel M.R., 2018, Comparison of extraction solvents in the recovery of levulinic acid from biomass hydrolysate using a group contribution method, Chemical Engineering Transactions, 69, 373-378.</w:t>
      </w:r>
    </w:p>
    <w:p w14:paraId="22AC79EE" w14:textId="77777777" w:rsidR="006B43F6" w:rsidRPr="005777B6" w:rsidRDefault="006B43F6" w:rsidP="006B43F6">
      <w:pPr>
        <w:pStyle w:val="CETReferencetext"/>
      </w:pPr>
      <w:r w:rsidRPr="005777B6">
        <w:t>Leal Silva J.F., Maciel Filho R., 2024, Techno-economic Analysis and Life Cycle Assessment of Renewable Acetaldehyde from Sugarcane Ethanol, Chemical Engineering Transactions, 109, 175-180.</w:t>
      </w:r>
    </w:p>
    <w:p w14:paraId="50463CD9" w14:textId="0CFFAD93" w:rsidR="00210B89" w:rsidRPr="00210B89" w:rsidRDefault="00210B89" w:rsidP="00210B89">
      <w:pPr>
        <w:pStyle w:val="CETBodytext"/>
        <w:tabs>
          <w:tab w:val="clear" w:pos="7100"/>
          <w:tab w:val="left" w:pos="1291"/>
        </w:tabs>
        <w:ind w:left="284" w:hanging="284"/>
        <w:rPr>
          <w:rFonts w:cs="Arial"/>
          <w:szCs w:val="18"/>
        </w:rPr>
      </w:pPr>
      <w:r w:rsidRPr="00210B89">
        <w:rPr>
          <w:rFonts w:cs="Arial"/>
          <w:szCs w:val="18"/>
        </w:rPr>
        <w:t>Ling J., Fu H., Yang H.K., Xu W., Wang J., Yang S. T.</w:t>
      </w:r>
      <w:r w:rsidR="005A3ED0">
        <w:rPr>
          <w:rFonts w:cs="Arial"/>
          <w:szCs w:val="18"/>
        </w:rPr>
        <w:t>,</w:t>
      </w:r>
      <w:r w:rsidRPr="00210B89">
        <w:rPr>
          <w:rFonts w:cs="Arial"/>
          <w:szCs w:val="18"/>
        </w:rPr>
        <w:t xml:space="preserve"> 2018</w:t>
      </w:r>
      <w:r w:rsidR="005A3ED0">
        <w:rPr>
          <w:rFonts w:cs="Arial"/>
          <w:szCs w:val="18"/>
        </w:rPr>
        <w:t>,</w:t>
      </w:r>
      <w:r w:rsidR="005A3ED0" w:rsidRPr="00210B89">
        <w:rPr>
          <w:rFonts w:cs="Arial"/>
          <w:szCs w:val="18"/>
        </w:rPr>
        <w:t xml:space="preserve"> </w:t>
      </w:r>
      <w:r w:rsidRPr="00210B89">
        <w:rPr>
          <w:rFonts w:cs="Arial"/>
          <w:szCs w:val="18"/>
        </w:rPr>
        <w:t>Butyric acid: Applications and recent advances in its bioproduction</w:t>
      </w:r>
      <w:r w:rsidR="005A3ED0">
        <w:rPr>
          <w:rFonts w:cs="Arial"/>
          <w:szCs w:val="18"/>
        </w:rPr>
        <w:t>,</w:t>
      </w:r>
      <w:r w:rsidRPr="00210B89">
        <w:rPr>
          <w:rFonts w:cs="Arial"/>
          <w:szCs w:val="18"/>
        </w:rPr>
        <w:t xml:space="preserve"> Biotechnology Advances, 36, 2101–2117.</w:t>
      </w:r>
    </w:p>
    <w:p w14:paraId="31992F9E" w14:textId="0B0B3F05" w:rsidR="00210B89" w:rsidRPr="00210B89" w:rsidRDefault="00210B89" w:rsidP="00210B89">
      <w:pPr>
        <w:pStyle w:val="CETBodytext"/>
        <w:tabs>
          <w:tab w:val="clear" w:pos="7100"/>
          <w:tab w:val="left" w:pos="1291"/>
        </w:tabs>
        <w:ind w:left="284" w:hanging="284"/>
        <w:rPr>
          <w:rFonts w:cs="Arial"/>
          <w:szCs w:val="18"/>
        </w:rPr>
      </w:pPr>
      <w:r w:rsidRPr="00210B89">
        <w:rPr>
          <w:rFonts w:cs="Arial"/>
          <w:szCs w:val="18"/>
        </w:rPr>
        <w:t>Luo</w:t>
      </w:r>
      <w:r w:rsidR="005A3ED0">
        <w:rPr>
          <w:rFonts w:cs="Arial"/>
          <w:szCs w:val="18"/>
        </w:rPr>
        <w:t xml:space="preserve"> </w:t>
      </w:r>
      <w:r w:rsidRPr="00210B89">
        <w:rPr>
          <w:rFonts w:cs="Arial"/>
          <w:szCs w:val="18"/>
        </w:rPr>
        <w:t>H., Yang R., Zhao Y., Wang Z., Liu Z., Huang M., Zeng Q.</w:t>
      </w:r>
      <w:r w:rsidR="005A3ED0">
        <w:rPr>
          <w:rFonts w:cs="Arial"/>
          <w:szCs w:val="18"/>
        </w:rPr>
        <w:t>,</w:t>
      </w:r>
      <w:r w:rsidRPr="00210B89">
        <w:rPr>
          <w:rFonts w:cs="Arial"/>
          <w:szCs w:val="18"/>
        </w:rPr>
        <w:t xml:space="preserve"> 2018</w:t>
      </w:r>
      <w:r w:rsidR="005A3ED0">
        <w:rPr>
          <w:rFonts w:cs="Arial"/>
          <w:szCs w:val="18"/>
        </w:rPr>
        <w:t>,</w:t>
      </w:r>
      <w:r w:rsidRPr="00210B89">
        <w:rPr>
          <w:rFonts w:cs="Arial"/>
          <w:szCs w:val="18"/>
        </w:rPr>
        <w:t xml:space="preserve"> Recent advances and strategies in process and strain engineering for the production of butyric acid by microbial fermentation</w:t>
      </w:r>
      <w:r w:rsidR="005A3ED0">
        <w:rPr>
          <w:rFonts w:cs="Arial"/>
          <w:szCs w:val="18"/>
        </w:rPr>
        <w:t>,</w:t>
      </w:r>
      <w:r w:rsidRPr="00210B89">
        <w:rPr>
          <w:rFonts w:cs="Arial"/>
          <w:szCs w:val="18"/>
        </w:rPr>
        <w:t xml:space="preserve"> Bioresource Technology, 253, 343–354.</w:t>
      </w:r>
    </w:p>
    <w:p w14:paraId="5CC4919F" w14:textId="76CD7991" w:rsidR="00210B89" w:rsidRPr="00210B89" w:rsidRDefault="00210B89" w:rsidP="00210B89">
      <w:pPr>
        <w:pStyle w:val="CETBodytext"/>
        <w:tabs>
          <w:tab w:val="clear" w:pos="7100"/>
          <w:tab w:val="left" w:pos="1291"/>
        </w:tabs>
        <w:rPr>
          <w:rFonts w:cs="Arial"/>
          <w:szCs w:val="18"/>
        </w:rPr>
      </w:pPr>
      <w:r w:rsidRPr="00210B89">
        <w:rPr>
          <w:rFonts w:cs="Arial"/>
          <w:szCs w:val="18"/>
        </w:rPr>
        <w:t>Playne M. J.</w:t>
      </w:r>
      <w:r w:rsidR="005A3ED0">
        <w:rPr>
          <w:rFonts w:cs="Arial"/>
          <w:szCs w:val="18"/>
        </w:rPr>
        <w:t>,</w:t>
      </w:r>
      <w:r w:rsidRPr="00210B89">
        <w:rPr>
          <w:rFonts w:cs="Arial"/>
          <w:szCs w:val="18"/>
        </w:rPr>
        <w:t xml:space="preserve"> 1985</w:t>
      </w:r>
      <w:r w:rsidR="005A3ED0">
        <w:rPr>
          <w:rFonts w:cs="Arial"/>
          <w:szCs w:val="18"/>
        </w:rPr>
        <w:t>,</w:t>
      </w:r>
      <w:r w:rsidRPr="00210B89">
        <w:rPr>
          <w:rFonts w:cs="Arial"/>
          <w:szCs w:val="18"/>
        </w:rPr>
        <w:t xml:space="preserve"> Propionic and butyric acids. In Comprehensive Biotechnology (Vol. 3, pp. 731–759).</w:t>
      </w:r>
    </w:p>
    <w:p w14:paraId="7C1356B3" w14:textId="16A99455" w:rsidR="00210B89" w:rsidRPr="00210B89" w:rsidRDefault="00210B89" w:rsidP="00210B89">
      <w:pPr>
        <w:pStyle w:val="CETBodytext"/>
        <w:tabs>
          <w:tab w:val="clear" w:pos="7100"/>
          <w:tab w:val="left" w:pos="1291"/>
        </w:tabs>
        <w:ind w:left="284" w:hanging="284"/>
        <w:rPr>
          <w:rFonts w:cs="Arial"/>
          <w:szCs w:val="18"/>
        </w:rPr>
      </w:pPr>
      <w:r w:rsidRPr="00210B89">
        <w:rPr>
          <w:rFonts w:cs="Arial"/>
          <w:szCs w:val="18"/>
        </w:rPr>
        <w:t>Reyhanitash, E. Zaalberg B., Kersten S. R. A., Schuur B.</w:t>
      </w:r>
      <w:r w:rsidR="005A3ED0">
        <w:rPr>
          <w:rFonts w:cs="Arial"/>
          <w:szCs w:val="18"/>
        </w:rPr>
        <w:t>,</w:t>
      </w:r>
      <w:r w:rsidRPr="00210B89">
        <w:rPr>
          <w:rFonts w:cs="Arial"/>
          <w:szCs w:val="18"/>
        </w:rPr>
        <w:t xml:space="preserve"> 2016</w:t>
      </w:r>
      <w:r w:rsidR="005A3ED0">
        <w:rPr>
          <w:rFonts w:cs="Arial"/>
          <w:szCs w:val="18"/>
        </w:rPr>
        <w:t>,</w:t>
      </w:r>
      <w:r w:rsidRPr="00210B89">
        <w:rPr>
          <w:rFonts w:cs="Arial"/>
          <w:szCs w:val="18"/>
        </w:rPr>
        <w:t xml:space="preserve"> Extraction of volatile fatty acids from fermented wastewater</w:t>
      </w:r>
      <w:r w:rsidR="005A3ED0">
        <w:rPr>
          <w:rFonts w:cs="Arial"/>
          <w:szCs w:val="18"/>
        </w:rPr>
        <w:t>,</w:t>
      </w:r>
      <w:r w:rsidRPr="00210B89">
        <w:rPr>
          <w:rFonts w:cs="Arial"/>
          <w:szCs w:val="18"/>
        </w:rPr>
        <w:t xml:space="preserve"> Separation and Purification Technology, 161, 61–68.</w:t>
      </w:r>
    </w:p>
    <w:p w14:paraId="0CF21E58" w14:textId="7F825B1E" w:rsidR="00210B89" w:rsidRPr="00210B89" w:rsidRDefault="00210B89" w:rsidP="00210B89">
      <w:pPr>
        <w:pStyle w:val="CETBodytext"/>
        <w:tabs>
          <w:tab w:val="clear" w:pos="7100"/>
          <w:tab w:val="left" w:pos="1291"/>
        </w:tabs>
        <w:ind w:left="284" w:hanging="284"/>
        <w:rPr>
          <w:rFonts w:cs="Arial"/>
          <w:szCs w:val="18"/>
          <w:lang w:val="pt-BR"/>
        </w:rPr>
      </w:pPr>
      <w:r w:rsidRPr="00210B89">
        <w:rPr>
          <w:rFonts w:cs="Arial"/>
          <w:szCs w:val="18"/>
          <w:lang w:val="pt-BR"/>
        </w:rPr>
        <w:t>Rodrigues M. I., Iemma A. F.</w:t>
      </w:r>
      <w:r w:rsidR="005A3ED0">
        <w:rPr>
          <w:rFonts w:cs="Arial"/>
          <w:szCs w:val="18"/>
          <w:lang w:val="pt-BR"/>
        </w:rPr>
        <w:t>,</w:t>
      </w:r>
      <w:r w:rsidRPr="00210B89">
        <w:rPr>
          <w:rFonts w:cs="Arial"/>
          <w:szCs w:val="18"/>
          <w:lang w:val="pt-BR"/>
        </w:rPr>
        <w:t xml:space="preserve"> 2014</w:t>
      </w:r>
      <w:r w:rsidR="005A3ED0">
        <w:rPr>
          <w:rFonts w:cs="Arial"/>
          <w:szCs w:val="18"/>
          <w:lang w:val="pt-BR"/>
        </w:rPr>
        <w:t>,</w:t>
      </w:r>
      <w:r w:rsidRPr="00210B89">
        <w:rPr>
          <w:rFonts w:cs="Arial"/>
          <w:szCs w:val="18"/>
          <w:lang w:val="pt-BR"/>
        </w:rPr>
        <w:t xml:space="preserve"> </w:t>
      </w:r>
      <w:r w:rsidRPr="002E200E">
        <w:rPr>
          <w:rFonts w:cs="Arial"/>
          <w:szCs w:val="18"/>
          <w:lang w:val="pt-BR"/>
        </w:rPr>
        <w:t xml:space="preserve">Experimental design and process optimization. </w:t>
      </w:r>
      <w:r w:rsidRPr="00210B89">
        <w:rPr>
          <w:rFonts w:cs="Arial"/>
          <w:szCs w:val="18"/>
          <w:lang w:val="pt-BR"/>
        </w:rPr>
        <w:t>Casa do Pão Editora.</w:t>
      </w:r>
    </w:p>
    <w:p w14:paraId="3F82DFA0" w14:textId="3F2BF8F5" w:rsidR="00210B89" w:rsidRPr="00210B89" w:rsidRDefault="00210B89" w:rsidP="00210B89">
      <w:pPr>
        <w:pStyle w:val="CETBodytext"/>
        <w:tabs>
          <w:tab w:val="clear" w:pos="7100"/>
          <w:tab w:val="left" w:pos="1291"/>
        </w:tabs>
        <w:ind w:left="284" w:hanging="284"/>
        <w:rPr>
          <w:rFonts w:cs="Arial"/>
          <w:szCs w:val="18"/>
        </w:rPr>
      </w:pPr>
      <w:r w:rsidRPr="001E4651">
        <w:rPr>
          <w:rFonts w:cs="Arial"/>
          <w:szCs w:val="18"/>
        </w:rPr>
        <w:t>Yang S.T., Huang H., Tay A., Qin W., De Guzman L., San Nicolas E. C.</w:t>
      </w:r>
      <w:r w:rsidR="005A3ED0" w:rsidRPr="001E4651">
        <w:rPr>
          <w:rFonts w:cs="Arial"/>
          <w:szCs w:val="18"/>
        </w:rPr>
        <w:t>,</w:t>
      </w:r>
      <w:r w:rsidRPr="001E4651">
        <w:rPr>
          <w:rFonts w:cs="Arial"/>
          <w:szCs w:val="18"/>
        </w:rPr>
        <w:t xml:space="preserve"> 2006</w:t>
      </w:r>
      <w:r w:rsidR="005A3ED0">
        <w:rPr>
          <w:rFonts w:cs="Arial"/>
          <w:szCs w:val="18"/>
        </w:rPr>
        <w:t>,</w:t>
      </w:r>
      <w:r w:rsidRPr="001E4651">
        <w:rPr>
          <w:rFonts w:cs="Arial"/>
          <w:szCs w:val="18"/>
        </w:rPr>
        <w:t xml:space="preserve"> </w:t>
      </w:r>
      <w:r w:rsidRPr="00210B89">
        <w:rPr>
          <w:rFonts w:cs="Arial"/>
          <w:szCs w:val="18"/>
        </w:rPr>
        <w:t>Extractive fermentation for the production of carboxylic acids. In S.T. Yang (Ed.), Bioprocessing for value-added products from renewable resources</w:t>
      </w:r>
      <w:r w:rsidR="005A3ED0">
        <w:rPr>
          <w:rFonts w:cs="Arial"/>
          <w:szCs w:val="18"/>
        </w:rPr>
        <w:t>,</w:t>
      </w:r>
      <w:r w:rsidRPr="00210B89">
        <w:rPr>
          <w:rFonts w:cs="Arial"/>
          <w:szCs w:val="18"/>
        </w:rPr>
        <w:t xml:space="preserve"> pp. 421–446</w:t>
      </w:r>
      <w:r w:rsidR="005A3ED0">
        <w:rPr>
          <w:rFonts w:cs="Arial"/>
          <w:szCs w:val="18"/>
        </w:rPr>
        <w:t>,</w:t>
      </w:r>
      <w:r w:rsidRPr="00210B89">
        <w:rPr>
          <w:rFonts w:cs="Arial"/>
          <w:szCs w:val="18"/>
        </w:rPr>
        <w:t xml:space="preserve"> Elsevier.</w:t>
      </w:r>
    </w:p>
    <w:p w14:paraId="1AC9C5CF" w14:textId="0155564F" w:rsidR="00210B89" w:rsidRPr="00210B89" w:rsidRDefault="00210B89" w:rsidP="00210B89">
      <w:pPr>
        <w:pStyle w:val="CETBodytext"/>
        <w:tabs>
          <w:tab w:val="clear" w:pos="7100"/>
          <w:tab w:val="left" w:pos="1291"/>
        </w:tabs>
        <w:ind w:left="284" w:hanging="284"/>
        <w:rPr>
          <w:rFonts w:cs="Arial"/>
          <w:szCs w:val="18"/>
        </w:rPr>
      </w:pPr>
      <w:r w:rsidRPr="00210B89">
        <w:rPr>
          <w:rFonts w:cs="Arial"/>
          <w:szCs w:val="18"/>
        </w:rPr>
        <w:t>Yang S. T., White S. A., Hsu, S</w:t>
      </w:r>
      <w:r w:rsidR="005A3ED0">
        <w:rPr>
          <w:rFonts w:cs="Arial"/>
          <w:szCs w:val="18"/>
        </w:rPr>
        <w:t xml:space="preserve">, </w:t>
      </w:r>
      <w:r w:rsidRPr="00210B89">
        <w:rPr>
          <w:rFonts w:cs="Arial"/>
          <w:szCs w:val="18"/>
        </w:rPr>
        <w:t>1991</w:t>
      </w:r>
      <w:r w:rsidR="005A3ED0">
        <w:rPr>
          <w:rFonts w:cs="Arial"/>
          <w:szCs w:val="18"/>
        </w:rPr>
        <w:t>,</w:t>
      </w:r>
      <w:r w:rsidRPr="00210B89">
        <w:rPr>
          <w:rFonts w:cs="Arial"/>
          <w:szCs w:val="18"/>
        </w:rPr>
        <w:t xml:space="preserve"> Extraction of carboxylic acids with tertiary and quaternary amines: Effect of pH</w:t>
      </w:r>
      <w:r w:rsidR="005A3ED0">
        <w:rPr>
          <w:rFonts w:cs="Arial"/>
          <w:szCs w:val="18"/>
        </w:rPr>
        <w:t>,</w:t>
      </w:r>
      <w:r w:rsidRPr="00210B89">
        <w:rPr>
          <w:rFonts w:cs="Arial"/>
          <w:szCs w:val="18"/>
        </w:rPr>
        <w:t xml:space="preserve"> Industrial &amp; Engineering Chemistry Research, 30, 1335–1342.</w:t>
      </w:r>
    </w:p>
    <w:p w14:paraId="5545773F" w14:textId="0784CC13" w:rsidR="001A6CAA" w:rsidRPr="00A25A23" w:rsidRDefault="00210B89" w:rsidP="009E52DB">
      <w:pPr>
        <w:pStyle w:val="CETBodytext"/>
        <w:tabs>
          <w:tab w:val="clear" w:pos="7100"/>
          <w:tab w:val="left" w:pos="1291"/>
        </w:tabs>
        <w:rPr>
          <w:szCs w:val="18"/>
        </w:rPr>
      </w:pPr>
      <w:r w:rsidRPr="00210B89">
        <w:rPr>
          <w:rFonts w:cs="Arial"/>
          <w:szCs w:val="18"/>
        </w:rPr>
        <w:t>Zigová J., Vandák D., Schlosser Š., Šturdík E.</w:t>
      </w:r>
      <w:r w:rsidR="005A3ED0">
        <w:rPr>
          <w:rFonts w:cs="Arial"/>
          <w:szCs w:val="18"/>
        </w:rPr>
        <w:t>,</w:t>
      </w:r>
      <w:r w:rsidRPr="00210B89">
        <w:rPr>
          <w:rFonts w:cs="Arial"/>
          <w:szCs w:val="18"/>
        </w:rPr>
        <w:t xml:space="preserve"> 1996</w:t>
      </w:r>
      <w:r w:rsidR="005A3ED0">
        <w:rPr>
          <w:rFonts w:cs="Arial"/>
          <w:szCs w:val="18"/>
        </w:rPr>
        <w:t>,</w:t>
      </w:r>
      <w:r w:rsidRPr="00210B89">
        <w:rPr>
          <w:rFonts w:cs="Arial"/>
          <w:szCs w:val="18"/>
        </w:rPr>
        <w:t xml:space="preserve"> Extraction equilibria of butyric acid with organic solvents</w:t>
      </w:r>
      <w:r w:rsidR="005A3ED0">
        <w:rPr>
          <w:rFonts w:cs="Arial"/>
          <w:szCs w:val="18"/>
        </w:rPr>
        <w:t>,</w:t>
      </w:r>
      <w:r w:rsidRPr="00210B89">
        <w:rPr>
          <w:rFonts w:cs="Arial"/>
          <w:szCs w:val="18"/>
        </w:rPr>
        <w:t xml:space="preserve"> Separation Science and Technology, 31, 2671–2684.</w:t>
      </w:r>
    </w:p>
    <w:sectPr w:rsidR="001A6CAA" w:rsidRPr="00A25A23"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3FBF7" w14:textId="77777777" w:rsidR="007C6A33" w:rsidRDefault="007C6A33" w:rsidP="004F5E36">
      <w:r>
        <w:separator/>
      </w:r>
    </w:p>
  </w:endnote>
  <w:endnote w:type="continuationSeparator" w:id="0">
    <w:p w14:paraId="32011900" w14:textId="77777777" w:rsidR="007C6A33" w:rsidRDefault="007C6A33"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6C27E" w14:textId="77777777" w:rsidR="007C6A33" w:rsidRDefault="007C6A33" w:rsidP="004F5E36">
      <w:r>
        <w:separator/>
      </w:r>
    </w:p>
  </w:footnote>
  <w:footnote w:type="continuationSeparator" w:id="0">
    <w:p w14:paraId="2477AA6F" w14:textId="77777777" w:rsidR="007C6A33" w:rsidRDefault="007C6A33"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7C6163E"/>
    <w:multiLevelType w:val="hybridMultilevel"/>
    <w:tmpl w:val="13701336"/>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20"/>
  </w:num>
  <w:num w:numId="15" w16cid:durableId="19162326">
    <w:abstractNumId w:val="22"/>
  </w:num>
  <w:num w:numId="16" w16cid:durableId="1977102699">
    <w:abstractNumId w:val="21"/>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 w:numId="24" w16cid:durableId="203005756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gFAGpv5ZwtAAAA"/>
  </w:docVars>
  <w:rsids>
    <w:rsidRoot w:val="000E414A"/>
    <w:rsid w:val="00002392"/>
    <w:rsid w:val="000027C0"/>
    <w:rsid w:val="000052FB"/>
    <w:rsid w:val="00005A19"/>
    <w:rsid w:val="000117CB"/>
    <w:rsid w:val="00030C04"/>
    <w:rsid w:val="0003148D"/>
    <w:rsid w:val="00031EEC"/>
    <w:rsid w:val="00043F1B"/>
    <w:rsid w:val="00051566"/>
    <w:rsid w:val="000562A9"/>
    <w:rsid w:val="00062A9A"/>
    <w:rsid w:val="00065058"/>
    <w:rsid w:val="00085F40"/>
    <w:rsid w:val="00086C39"/>
    <w:rsid w:val="000A03B2"/>
    <w:rsid w:val="000B5C7A"/>
    <w:rsid w:val="000B644D"/>
    <w:rsid w:val="000C7074"/>
    <w:rsid w:val="000D0268"/>
    <w:rsid w:val="000D34BE"/>
    <w:rsid w:val="000D4BA8"/>
    <w:rsid w:val="000E0B3C"/>
    <w:rsid w:val="000E102F"/>
    <w:rsid w:val="000E36F1"/>
    <w:rsid w:val="000E3A73"/>
    <w:rsid w:val="000E414A"/>
    <w:rsid w:val="000E75FD"/>
    <w:rsid w:val="000F093C"/>
    <w:rsid w:val="000F787B"/>
    <w:rsid w:val="000F7E67"/>
    <w:rsid w:val="001147EE"/>
    <w:rsid w:val="00114C1A"/>
    <w:rsid w:val="0012091F"/>
    <w:rsid w:val="00126BC2"/>
    <w:rsid w:val="001308B6"/>
    <w:rsid w:val="0013121F"/>
    <w:rsid w:val="00131FE6"/>
    <w:rsid w:val="0013263F"/>
    <w:rsid w:val="001331DF"/>
    <w:rsid w:val="00134DE4"/>
    <w:rsid w:val="0014034D"/>
    <w:rsid w:val="00140FE3"/>
    <w:rsid w:val="00144D16"/>
    <w:rsid w:val="001467F6"/>
    <w:rsid w:val="001500C3"/>
    <w:rsid w:val="00150E59"/>
    <w:rsid w:val="00152301"/>
    <w:rsid w:val="00152DE3"/>
    <w:rsid w:val="00154881"/>
    <w:rsid w:val="00164CF9"/>
    <w:rsid w:val="0016668E"/>
    <w:rsid w:val="001667A6"/>
    <w:rsid w:val="0018171E"/>
    <w:rsid w:val="00184AD6"/>
    <w:rsid w:val="001A4AF7"/>
    <w:rsid w:val="001A6CAA"/>
    <w:rsid w:val="001B0349"/>
    <w:rsid w:val="001B1E93"/>
    <w:rsid w:val="001B65C1"/>
    <w:rsid w:val="001C0BB8"/>
    <w:rsid w:val="001C260F"/>
    <w:rsid w:val="001C5C3A"/>
    <w:rsid w:val="001C684B"/>
    <w:rsid w:val="001D0CFB"/>
    <w:rsid w:val="001D21AF"/>
    <w:rsid w:val="001D3D32"/>
    <w:rsid w:val="001D53FC"/>
    <w:rsid w:val="001E4489"/>
    <w:rsid w:val="001E4651"/>
    <w:rsid w:val="001F42A5"/>
    <w:rsid w:val="001F7B9D"/>
    <w:rsid w:val="00201C93"/>
    <w:rsid w:val="00210B89"/>
    <w:rsid w:val="00214FF6"/>
    <w:rsid w:val="00221314"/>
    <w:rsid w:val="002224B4"/>
    <w:rsid w:val="00224853"/>
    <w:rsid w:val="00226FBD"/>
    <w:rsid w:val="00227614"/>
    <w:rsid w:val="002447EF"/>
    <w:rsid w:val="00250450"/>
    <w:rsid w:val="00251550"/>
    <w:rsid w:val="00263B05"/>
    <w:rsid w:val="0027221A"/>
    <w:rsid w:val="00275B61"/>
    <w:rsid w:val="00280FAF"/>
    <w:rsid w:val="00281661"/>
    <w:rsid w:val="00282656"/>
    <w:rsid w:val="00295472"/>
    <w:rsid w:val="00296B83"/>
    <w:rsid w:val="002A121A"/>
    <w:rsid w:val="002A76A7"/>
    <w:rsid w:val="002B4015"/>
    <w:rsid w:val="002B78CE"/>
    <w:rsid w:val="002C2FB1"/>
    <w:rsid w:val="002C2FB6"/>
    <w:rsid w:val="002C52F3"/>
    <w:rsid w:val="002E200E"/>
    <w:rsid w:val="002E5FA7"/>
    <w:rsid w:val="002F3309"/>
    <w:rsid w:val="002F6B95"/>
    <w:rsid w:val="003008CE"/>
    <w:rsid w:val="003009B7"/>
    <w:rsid w:val="00300E56"/>
    <w:rsid w:val="0030152C"/>
    <w:rsid w:val="0030469C"/>
    <w:rsid w:val="00304CE8"/>
    <w:rsid w:val="00321CA6"/>
    <w:rsid w:val="00323763"/>
    <w:rsid w:val="00323C5F"/>
    <w:rsid w:val="00334C09"/>
    <w:rsid w:val="003409AC"/>
    <w:rsid w:val="003442B5"/>
    <w:rsid w:val="00345AFC"/>
    <w:rsid w:val="003603EA"/>
    <w:rsid w:val="00365699"/>
    <w:rsid w:val="00366EA2"/>
    <w:rsid w:val="003723D4"/>
    <w:rsid w:val="00381905"/>
    <w:rsid w:val="00381A27"/>
    <w:rsid w:val="00384CC8"/>
    <w:rsid w:val="003871FD"/>
    <w:rsid w:val="003A1E30"/>
    <w:rsid w:val="003A2829"/>
    <w:rsid w:val="003A6C2D"/>
    <w:rsid w:val="003A7D1C"/>
    <w:rsid w:val="003B304B"/>
    <w:rsid w:val="003B3146"/>
    <w:rsid w:val="003B49CD"/>
    <w:rsid w:val="003D0131"/>
    <w:rsid w:val="003D1E02"/>
    <w:rsid w:val="003E15F9"/>
    <w:rsid w:val="003F015E"/>
    <w:rsid w:val="00400414"/>
    <w:rsid w:val="0041446B"/>
    <w:rsid w:val="00436EE2"/>
    <w:rsid w:val="0044071E"/>
    <w:rsid w:val="0044329C"/>
    <w:rsid w:val="00453E24"/>
    <w:rsid w:val="00457456"/>
    <w:rsid w:val="004577FE"/>
    <w:rsid w:val="004579D1"/>
    <w:rsid w:val="00457B9C"/>
    <w:rsid w:val="0046164A"/>
    <w:rsid w:val="004628D2"/>
    <w:rsid w:val="00462DCD"/>
    <w:rsid w:val="004648AD"/>
    <w:rsid w:val="004703A9"/>
    <w:rsid w:val="004760DE"/>
    <w:rsid w:val="004763D7"/>
    <w:rsid w:val="004A004E"/>
    <w:rsid w:val="004A24CF"/>
    <w:rsid w:val="004C3D1D"/>
    <w:rsid w:val="004C3D84"/>
    <w:rsid w:val="004C7913"/>
    <w:rsid w:val="004E4DD6"/>
    <w:rsid w:val="004F0A68"/>
    <w:rsid w:val="004F5E36"/>
    <w:rsid w:val="00505DFE"/>
    <w:rsid w:val="00507B47"/>
    <w:rsid w:val="00507BEF"/>
    <w:rsid w:val="00507CC9"/>
    <w:rsid w:val="005119A5"/>
    <w:rsid w:val="005278B7"/>
    <w:rsid w:val="00532016"/>
    <w:rsid w:val="005346C8"/>
    <w:rsid w:val="00535B42"/>
    <w:rsid w:val="00540085"/>
    <w:rsid w:val="00543E7D"/>
    <w:rsid w:val="00547A68"/>
    <w:rsid w:val="005531C9"/>
    <w:rsid w:val="00554879"/>
    <w:rsid w:val="00570BE1"/>
    <w:rsid w:val="00570C43"/>
    <w:rsid w:val="00592274"/>
    <w:rsid w:val="005A3ED0"/>
    <w:rsid w:val="005A655F"/>
    <w:rsid w:val="005B2110"/>
    <w:rsid w:val="005B350B"/>
    <w:rsid w:val="005B61E6"/>
    <w:rsid w:val="005C77E1"/>
    <w:rsid w:val="005D3862"/>
    <w:rsid w:val="005D668A"/>
    <w:rsid w:val="005D6A2F"/>
    <w:rsid w:val="005D7DD1"/>
    <w:rsid w:val="005E0592"/>
    <w:rsid w:val="005E1A82"/>
    <w:rsid w:val="005E6DDD"/>
    <w:rsid w:val="005E74D4"/>
    <w:rsid w:val="005E794C"/>
    <w:rsid w:val="005F0A28"/>
    <w:rsid w:val="005F0E5E"/>
    <w:rsid w:val="00600535"/>
    <w:rsid w:val="00610CD6"/>
    <w:rsid w:val="00614A7E"/>
    <w:rsid w:val="00620DEE"/>
    <w:rsid w:val="00621F92"/>
    <w:rsid w:val="0062280A"/>
    <w:rsid w:val="006231E1"/>
    <w:rsid w:val="006237B7"/>
    <w:rsid w:val="00625639"/>
    <w:rsid w:val="00626342"/>
    <w:rsid w:val="00631B33"/>
    <w:rsid w:val="0064184D"/>
    <w:rsid w:val="006422CC"/>
    <w:rsid w:val="00651D18"/>
    <w:rsid w:val="006609E8"/>
    <w:rsid w:val="00660E3E"/>
    <w:rsid w:val="00662E74"/>
    <w:rsid w:val="00680C23"/>
    <w:rsid w:val="00683E23"/>
    <w:rsid w:val="006853AD"/>
    <w:rsid w:val="00693766"/>
    <w:rsid w:val="00695B25"/>
    <w:rsid w:val="006A3281"/>
    <w:rsid w:val="006A6DE5"/>
    <w:rsid w:val="006B43F6"/>
    <w:rsid w:val="006B4888"/>
    <w:rsid w:val="006B5861"/>
    <w:rsid w:val="006C1F6A"/>
    <w:rsid w:val="006C2E45"/>
    <w:rsid w:val="006C359C"/>
    <w:rsid w:val="006C5579"/>
    <w:rsid w:val="006D0B7A"/>
    <w:rsid w:val="006D6E8B"/>
    <w:rsid w:val="006D7209"/>
    <w:rsid w:val="006E4BA5"/>
    <w:rsid w:val="006E737D"/>
    <w:rsid w:val="00707DD1"/>
    <w:rsid w:val="00713191"/>
    <w:rsid w:val="00713973"/>
    <w:rsid w:val="00716243"/>
    <w:rsid w:val="00720A24"/>
    <w:rsid w:val="007316AF"/>
    <w:rsid w:val="00732386"/>
    <w:rsid w:val="0073514D"/>
    <w:rsid w:val="00743F38"/>
    <w:rsid w:val="007447F3"/>
    <w:rsid w:val="0075499F"/>
    <w:rsid w:val="007661C8"/>
    <w:rsid w:val="0076714E"/>
    <w:rsid w:val="0077098D"/>
    <w:rsid w:val="007805B3"/>
    <w:rsid w:val="00781E64"/>
    <w:rsid w:val="00785BF9"/>
    <w:rsid w:val="007931FA"/>
    <w:rsid w:val="00795F4B"/>
    <w:rsid w:val="007A4861"/>
    <w:rsid w:val="007A7BBA"/>
    <w:rsid w:val="007B0C50"/>
    <w:rsid w:val="007B48F9"/>
    <w:rsid w:val="007B72FE"/>
    <w:rsid w:val="007C1A43"/>
    <w:rsid w:val="007C6A33"/>
    <w:rsid w:val="007D0951"/>
    <w:rsid w:val="007D610D"/>
    <w:rsid w:val="007F72E4"/>
    <w:rsid w:val="0080013E"/>
    <w:rsid w:val="00801759"/>
    <w:rsid w:val="008117D9"/>
    <w:rsid w:val="00813288"/>
    <w:rsid w:val="00815878"/>
    <w:rsid w:val="008168FC"/>
    <w:rsid w:val="00830996"/>
    <w:rsid w:val="00832A90"/>
    <w:rsid w:val="008345F1"/>
    <w:rsid w:val="00865B07"/>
    <w:rsid w:val="008667EA"/>
    <w:rsid w:val="00866908"/>
    <w:rsid w:val="0087637F"/>
    <w:rsid w:val="00892AD5"/>
    <w:rsid w:val="008938A8"/>
    <w:rsid w:val="0089415F"/>
    <w:rsid w:val="008A1512"/>
    <w:rsid w:val="008D16DB"/>
    <w:rsid w:val="008D32B9"/>
    <w:rsid w:val="008D433B"/>
    <w:rsid w:val="008D4A16"/>
    <w:rsid w:val="008E5401"/>
    <w:rsid w:val="008E566E"/>
    <w:rsid w:val="0090161A"/>
    <w:rsid w:val="00901EB6"/>
    <w:rsid w:val="009041F8"/>
    <w:rsid w:val="00904C62"/>
    <w:rsid w:val="00922BA8"/>
    <w:rsid w:val="00924DAC"/>
    <w:rsid w:val="00927058"/>
    <w:rsid w:val="009362E8"/>
    <w:rsid w:val="00942750"/>
    <w:rsid w:val="009450CE"/>
    <w:rsid w:val="009454FF"/>
    <w:rsid w:val="009459BB"/>
    <w:rsid w:val="00947179"/>
    <w:rsid w:val="0095164B"/>
    <w:rsid w:val="00954090"/>
    <w:rsid w:val="009573E7"/>
    <w:rsid w:val="00963E05"/>
    <w:rsid w:val="00964A45"/>
    <w:rsid w:val="00967843"/>
    <w:rsid w:val="00967D54"/>
    <w:rsid w:val="00967DA5"/>
    <w:rsid w:val="00971028"/>
    <w:rsid w:val="00972F97"/>
    <w:rsid w:val="00980435"/>
    <w:rsid w:val="0099280F"/>
    <w:rsid w:val="00993B84"/>
    <w:rsid w:val="00994C6A"/>
    <w:rsid w:val="00996483"/>
    <w:rsid w:val="00996F5A"/>
    <w:rsid w:val="009B041A"/>
    <w:rsid w:val="009B0E62"/>
    <w:rsid w:val="009B6736"/>
    <w:rsid w:val="009B6E57"/>
    <w:rsid w:val="009C37C3"/>
    <w:rsid w:val="009C7C86"/>
    <w:rsid w:val="009D2FF7"/>
    <w:rsid w:val="009E1B45"/>
    <w:rsid w:val="009E52DB"/>
    <w:rsid w:val="009E7884"/>
    <w:rsid w:val="009E788A"/>
    <w:rsid w:val="009F0E08"/>
    <w:rsid w:val="00A04E9B"/>
    <w:rsid w:val="00A079AE"/>
    <w:rsid w:val="00A1763D"/>
    <w:rsid w:val="00A17CEC"/>
    <w:rsid w:val="00A25A23"/>
    <w:rsid w:val="00A27EF0"/>
    <w:rsid w:val="00A42361"/>
    <w:rsid w:val="00A50B20"/>
    <w:rsid w:val="00A51390"/>
    <w:rsid w:val="00A60D13"/>
    <w:rsid w:val="00A6112C"/>
    <w:rsid w:val="00A7223D"/>
    <w:rsid w:val="00A72569"/>
    <w:rsid w:val="00A72745"/>
    <w:rsid w:val="00A734DC"/>
    <w:rsid w:val="00A74163"/>
    <w:rsid w:val="00A76EFC"/>
    <w:rsid w:val="00A873CC"/>
    <w:rsid w:val="00A87D50"/>
    <w:rsid w:val="00A91010"/>
    <w:rsid w:val="00A92D59"/>
    <w:rsid w:val="00A97B5C"/>
    <w:rsid w:val="00A97F29"/>
    <w:rsid w:val="00AA702E"/>
    <w:rsid w:val="00AA7D26"/>
    <w:rsid w:val="00AB0964"/>
    <w:rsid w:val="00AB5011"/>
    <w:rsid w:val="00AB718E"/>
    <w:rsid w:val="00AC3C8B"/>
    <w:rsid w:val="00AC7368"/>
    <w:rsid w:val="00AD16B9"/>
    <w:rsid w:val="00AD7675"/>
    <w:rsid w:val="00AE377D"/>
    <w:rsid w:val="00AF0EBA"/>
    <w:rsid w:val="00AF2463"/>
    <w:rsid w:val="00AF6D5E"/>
    <w:rsid w:val="00B02C8A"/>
    <w:rsid w:val="00B12C4C"/>
    <w:rsid w:val="00B17FBD"/>
    <w:rsid w:val="00B315A6"/>
    <w:rsid w:val="00B31813"/>
    <w:rsid w:val="00B33365"/>
    <w:rsid w:val="00B57B36"/>
    <w:rsid w:val="00B57E6F"/>
    <w:rsid w:val="00B762C3"/>
    <w:rsid w:val="00B779B7"/>
    <w:rsid w:val="00B8686D"/>
    <w:rsid w:val="00B87722"/>
    <w:rsid w:val="00B93F69"/>
    <w:rsid w:val="00BA44D4"/>
    <w:rsid w:val="00BB1DDC"/>
    <w:rsid w:val="00BC30C9"/>
    <w:rsid w:val="00BC67D9"/>
    <w:rsid w:val="00BD077D"/>
    <w:rsid w:val="00BD6299"/>
    <w:rsid w:val="00BE3E58"/>
    <w:rsid w:val="00BF13CE"/>
    <w:rsid w:val="00BF32E8"/>
    <w:rsid w:val="00C01616"/>
    <w:rsid w:val="00C0162B"/>
    <w:rsid w:val="00C068ED"/>
    <w:rsid w:val="00C161C5"/>
    <w:rsid w:val="00C21389"/>
    <w:rsid w:val="00C22E0C"/>
    <w:rsid w:val="00C252CF"/>
    <w:rsid w:val="00C34372"/>
    <w:rsid w:val="00C345B1"/>
    <w:rsid w:val="00C40142"/>
    <w:rsid w:val="00C40D81"/>
    <w:rsid w:val="00C4447A"/>
    <w:rsid w:val="00C52C3C"/>
    <w:rsid w:val="00C56718"/>
    <w:rsid w:val="00C57182"/>
    <w:rsid w:val="00C57863"/>
    <w:rsid w:val="00C640AF"/>
    <w:rsid w:val="00C655FD"/>
    <w:rsid w:val="00C75407"/>
    <w:rsid w:val="00C841C6"/>
    <w:rsid w:val="00C870A8"/>
    <w:rsid w:val="00C94434"/>
    <w:rsid w:val="00CA0D75"/>
    <w:rsid w:val="00CA1C95"/>
    <w:rsid w:val="00CA5A9C"/>
    <w:rsid w:val="00CB5213"/>
    <w:rsid w:val="00CC4C20"/>
    <w:rsid w:val="00CD3517"/>
    <w:rsid w:val="00CD5FE2"/>
    <w:rsid w:val="00CE7C68"/>
    <w:rsid w:val="00D02B4C"/>
    <w:rsid w:val="00D040C4"/>
    <w:rsid w:val="00D04998"/>
    <w:rsid w:val="00D12831"/>
    <w:rsid w:val="00D1284D"/>
    <w:rsid w:val="00D14B44"/>
    <w:rsid w:val="00D1680B"/>
    <w:rsid w:val="00D16B9C"/>
    <w:rsid w:val="00D20AD1"/>
    <w:rsid w:val="00D248C4"/>
    <w:rsid w:val="00D2582C"/>
    <w:rsid w:val="00D34C40"/>
    <w:rsid w:val="00D46B7E"/>
    <w:rsid w:val="00D57C84"/>
    <w:rsid w:val="00D6057D"/>
    <w:rsid w:val="00D65592"/>
    <w:rsid w:val="00D71640"/>
    <w:rsid w:val="00D836C5"/>
    <w:rsid w:val="00D84576"/>
    <w:rsid w:val="00DA1399"/>
    <w:rsid w:val="00DA24C6"/>
    <w:rsid w:val="00DA4D7B"/>
    <w:rsid w:val="00DC2840"/>
    <w:rsid w:val="00DC73EE"/>
    <w:rsid w:val="00DD271C"/>
    <w:rsid w:val="00DE0E4E"/>
    <w:rsid w:val="00DE264A"/>
    <w:rsid w:val="00DE4563"/>
    <w:rsid w:val="00DF08C5"/>
    <w:rsid w:val="00DF5072"/>
    <w:rsid w:val="00E02D18"/>
    <w:rsid w:val="00E041E7"/>
    <w:rsid w:val="00E23CA1"/>
    <w:rsid w:val="00E409A8"/>
    <w:rsid w:val="00E50C12"/>
    <w:rsid w:val="00E65B91"/>
    <w:rsid w:val="00E7209D"/>
    <w:rsid w:val="00E72EAD"/>
    <w:rsid w:val="00E77223"/>
    <w:rsid w:val="00E83DB0"/>
    <w:rsid w:val="00E84CFB"/>
    <w:rsid w:val="00E8528B"/>
    <w:rsid w:val="00E85B94"/>
    <w:rsid w:val="00E95765"/>
    <w:rsid w:val="00E978D0"/>
    <w:rsid w:val="00EA4613"/>
    <w:rsid w:val="00EA7F91"/>
    <w:rsid w:val="00EB1523"/>
    <w:rsid w:val="00EC0E49"/>
    <w:rsid w:val="00EC101F"/>
    <w:rsid w:val="00EC1D9F"/>
    <w:rsid w:val="00ED103C"/>
    <w:rsid w:val="00ED2D1D"/>
    <w:rsid w:val="00EE0131"/>
    <w:rsid w:val="00EE17B0"/>
    <w:rsid w:val="00EE3C91"/>
    <w:rsid w:val="00EF06D9"/>
    <w:rsid w:val="00F113CC"/>
    <w:rsid w:val="00F3049E"/>
    <w:rsid w:val="00F30C64"/>
    <w:rsid w:val="00F32BA2"/>
    <w:rsid w:val="00F32CDB"/>
    <w:rsid w:val="00F33990"/>
    <w:rsid w:val="00F41EE4"/>
    <w:rsid w:val="00F47E3D"/>
    <w:rsid w:val="00F565FE"/>
    <w:rsid w:val="00F56678"/>
    <w:rsid w:val="00F63A70"/>
    <w:rsid w:val="00F63D8C"/>
    <w:rsid w:val="00F7534E"/>
    <w:rsid w:val="00F93EDF"/>
    <w:rsid w:val="00FA1802"/>
    <w:rsid w:val="00FA21D0"/>
    <w:rsid w:val="00FA5F5F"/>
    <w:rsid w:val="00FB730C"/>
    <w:rsid w:val="00FC2695"/>
    <w:rsid w:val="00FC34FC"/>
    <w:rsid w:val="00FC3E03"/>
    <w:rsid w:val="00FC3FC1"/>
    <w:rsid w:val="00FE0F9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2767"/>
  <w15:docId w15:val="{B61493FC-67D8-4E2A-97F3-E5F4A8AB6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5D3862"/>
    <w:pPr>
      <w:keepNext/>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5D3862"/>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grafodaLista">
    <w:name w:val="List Paragraph"/>
    <w:basedOn w:val="Normal"/>
    <w:uiPriority w:val="34"/>
    <w:rsid w:val="00280FAF"/>
    <w:pPr>
      <w:ind w:left="720"/>
      <w:contextualSpacing/>
    </w:pPr>
  </w:style>
  <w:style w:type="character" w:customStyle="1" w:styleId="gmail-apple-converted-space">
    <w:name w:val="gmail-apple-converted-space"/>
    <w:basedOn w:val="Fontepargpadro"/>
    <w:rsid w:val="00005A19"/>
  </w:style>
  <w:style w:type="paragraph" w:styleId="Reviso">
    <w:name w:val="Revision"/>
    <w:hidden/>
    <w:uiPriority w:val="99"/>
    <w:semiHidden/>
    <w:rsid w:val="00EE3C91"/>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78445">
      <w:bodyDiv w:val="1"/>
      <w:marLeft w:val="0"/>
      <w:marRight w:val="0"/>
      <w:marTop w:val="0"/>
      <w:marBottom w:val="0"/>
      <w:divBdr>
        <w:top w:val="none" w:sz="0" w:space="0" w:color="auto"/>
        <w:left w:val="none" w:sz="0" w:space="0" w:color="auto"/>
        <w:bottom w:val="none" w:sz="0" w:space="0" w:color="auto"/>
        <w:right w:val="none" w:sz="0" w:space="0" w:color="auto"/>
      </w:divBdr>
    </w:div>
    <w:div w:id="73482156">
      <w:bodyDiv w:val="1"/>
      <w:marLeft w:val="0"/>
      <w:marRight w:val="0"/>
      <w:marTop w:val="0"/>
      <w:marBottom w:val="0"/>
      <w:divBdr>
        <w:top w:val="none" w:sz="0" w:space="0" w:color="auto"/>
        <w:left w:val="none" w:sz="0" w:space="0" w:color="auto"/>
        <w:bottom w:val="none" w:sz="0" w:space="0" w:color="auto"/>
        <w:right w:val="none" w:sz="0" w:space="0" w:color="auto"/>
      </w:divBdr>
    </w:div>
    <w:div w:id="214123873">
      <w:bodyDiv w:val="1"/>
      <w:marLeft w:val="0"/>
      <w:marRight w:val="0"/>
      <w:marTop w:val="0"/>
      <w:marBottom w:val="0"/>
      <w:divBdr>
        <w:top w:val="none" w:sz="0" w:space="0" w:color="auto"/>
        <w:left w:val="none" w:sz="0" w:space="0" w:color="auto"/>
        <w:bottom w:val="none" w:sz="0" w:space="0" w:color="auto"/>
        <w:right w:val="none" w:sz="0" w:space="0" w:color="auto"/>
      </w:divBdr>
    </w:div>
    <w:div w:id="397214941">
      <w:bodyDiv w:val="1"/>
      <w:marLeft w:val="0"/>
      <w:marRight w:val="0"/>
      <w:marTop w:val="0"/>
      <w:marBottom w:val="0"/>
      <w:divBdr>
        <w:top w:val="none" w:sz="0" w:space="0" w:color="auto"/>
        <w:left w:val="none" w:sz="0" w:space="0" w:color="auto"/>
        <w:bottom w:val="none" w:sz="0" w:space="0" w:color="auto"/>
        <w:right w:val="none" w:sz="0" w:space="0" w:color="auto"/>
      </w:divBdr>
    </w:div>
    <w:div w:id="399911984">
      <w:bodyDiv w:val="1"/>
      <w:marLeft w:val="0"/>
      <w:marRight w:val="0"/>
      <w:marTop w:val="0"/>
      <w:marBottom w:val="0"/>
      <w:divBdr>
        <w:top w:val="none" w:sz="0" w:space="0" w:color="auto"/>
        <w:left w:val="none" w:sz="0" w:space="0" w:color="auto"/>
        <w:bottom w:val="none" w:sz="0" w:space="0" w:color="auto"/>
        <w:right w:val="none" w:sz="0" w:space="0" w:color="auto"/>
      </w:divBdr>
    </w:div>
    <w:div w:id="704866649">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66084">
      <w:bodyDiv w:val="1"/>
      <w:marLeft w:val="0"/>
      <w:marRight w:val="0"/>
      <w:marTop w:val="0"/>
      <w:marBottom w:val="0"/>
      <w:divBdr>
        <w:top w:val="none" w:sz="0" w:space="0" w:color="auto"/>
        <w:left w:val="none" w:sz="0" w:space="0" w:color="auto"/>
        <w:bottom w:val="none" w:sz="0" w:space="0" w:color="auto"/>
        <w:right w:val="none" w:sz="0" w:space="0" w:color="auto"/>
      </w:divBdr>
    </w:div>
    <w:div w:id="987592252">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817">
      <w:bodyDiv w:val="1"/>
      <w:marLeft w:val="0"/>
      <w:marRight w:val="0"/>
      <w:marTop w:val="0"/>
      <w:marBottom w:val="0"/>
      <w:divBdr>
        <w:top w:val="none" w:sz="0" w:space="0" w:color="auto"/>
        <w:left w:val="none" w:sz="0" w:space="0" w:color="auto"/>
        <w:bottom w:val="none" w:sz="0" w:space="0" w:color="auto"/>
        <w:right w:val="none" w:sz="0" w:space="0" w:color="auto"/>
      </w:divBdr>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44375952">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Rian\Downloads\grafico%20Riann%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BUT.exp</c:v>
          </c:tx>
          <c:spPr>
            <a:solidFill>
              <a:srgbClr val="FFC000"/>
            </a:solidFill>
            <a:ln>
              <a:solidFill>
                <a:schemeClr val="tx1"/>
              </a:solidFill>
            </a:ln>
            <a:effectLst/>
          </c:spPr>
          <c:invertIfNegative val="0"/>
          <c:cat>
            <c:strRef>
              <c:f>Plan1!$B$4:$C$9</c:f>
              <c:strCache>
                <c:ptCount val="6"/>
                <c:pt idx="1">
                  <c:v>6</c:v>
                </c:pt>
                <c:pt idx="3">
                  <c:v>3</c:v>
                </c:pt>
                <c:pt idx="5">
                  <c:v>1</c:v>
                </c:pt>
              </c:strCache>
            </c:strRef>
          </c:cat>
          <c:val>
            <c:numRef>
              <c:f>Plan1!$D$4:$D$9</c:f>
              <c:numCache>
                <c:formatCode>General</c:formatCode>
                <c:ptCount val="6"/>
                <c:pt idx="0">
                  <c:v>0</c:v>
                </c:pt>
                <c:pt idx="1">
                  <c:v>61.7</c:v>
                </c:pt>
                <c:pt idx="2">
                  <c:v>0</c:v>
                </c:pt>
                <c:pt idx="3">
                  <c:v>49.2</c:v>
                </c:pt>
                <c:pt idx="4">
                  <c:v>0</c:v>
                </c:pt>
                <c:pt idx="5">
                  <c:v>30.9</c:v>
                </c:pt>
              </c:numCache>
            </c:numRef>
          </c:val>
          <c:extLst>
            <c:ext xmlns:c16="http://schemas.microsoft.com/office/drawing/2014/chart" uri="{C3380CC4-5D6E-409C-BE32-E72D297353CC}">
              <c16:uniqueId val="{00000000-6045-4E3B-9AFC-5372322BEF90}"/>
            </c:ext>
          </c:extLst>
        </c:ser>
        <c:ser>
          <c:idx val="1"/>
          <c:order val="1"/>
          <c:tx>
            <c:v>BUT.sim</c:v>
          </c:tx>
          <c:spPr>
            <a:solidFill>
              <a:schemeClr val="accent2"/>
            </a:solidFill>
            <a:ln>
              <a:solidFill>
                <a:schemeClr val="tx1"/>
              </a:solidFill>
            </a:ln>
            <a:effectLst/>
          </c:spPr>
          <c:invertIfNegative val="0"/>
          <c:cat>
            <c:strRef>
              <c:f>Plan1!$B$4:$C$9</c:f>
              <c:strCache>
                <c:ptCount val="6"/>
                <c:pt idx="1">
                  <c:v>6</c:v>
                </c:pt>
                <c:pt idx="3">
                  <c:v>3</c:v>
                </c:pt>
                <c:pt idx="5">
                  <c:v>1</c:v>
                </c:pt>
              </c:strCache>
            </c:strRef>
          </c:cat>
          <c:val>
            <c:numRef>
              <c:f>Plan1!$E$4:$E$9</c:f>
              <c:numCache>
                <c:formatCode>General</c:formatCode>
                <c:ptCount val="6"/>
                <c:pt idx="0">
                  <c:v>0</c:v>
                </c:pt>
                <c:pt idx="1">
                  <c:v>64.3</c:v>
                </c:pt>
                <c:pt idx="2">
                  <c:v>0</c:v>
                </c:pt>
                <c:pt idx="3">
                  <c:v>47.4</c:v>
                </c:pt>
                <c:pt idx="4">
                  <c:v>0</c:v>
                </c:pt>
                <c:pt idx="5">
                  <c:v>23.2</c:v>
                </c:pt>
              </c:numCache>
            </c:numRef>
          </c:val>
          <c:extLst>
            <c:ext xmlns:c16="http://schemas.microsoft.com/office/drawing/2014/chart" uri="{C3380CC4-5D6E-409C-BE32-E72D297353CC}">
              <c16:uniqueId val="{00000001-6045-4E3B-9AFC-5372322BEF90}"/>
            </c:ext>
          </c:extLst>
        </c:ser>
        <c:ser>
          <c:idx val="2"/>
          <c:order val="2"/>
          <c:tx>
            <c:strRef>
              <c:f>Plan1!$F$3</c:f>
              <c:strCache>
                <c:ptCount val="1"/>
              </c:strCache>
            </c:strRef>
          </c:tx>
          <c:spPr>
            <a:solidFill>
              <a:schemeClr val="accent3"/>
            </a:solidFill>
            <a:ln>
              <a:noFill/>
            </a:ln>
            <a:effectLst/>
          </c:spPr>
          <c:invertIfNegative val="0"/>
          <c:cat>
            <c:strRef>
              <c:f>Plan1!$B$4:$C$9</c:f>
              <c:strCache>
                <c:ptCount val="6"/>
                <c:pt idx="1">
                  <c:v>6</c:v>
                </c:pt>
                <c:pt idx="3">
                  <c:v>3</c:v>
                </c:pt>
                <c:pt idx="5">
                  <c:v>1</c:v>
                </c:pt>
              </c:strCache>
            </c:strRef>
          </c:cat>
          <c:val>
            <c:numRef>
              <c:f>Plan1!$F$4:$F$9</c:f>
              <c:numCache>
                <c:formatCode>General</c:formatCode>
                <c:ptCount val="6"/>
              </c:numCache>
            </c:numRef>
          </c:val>
          <c:extLst>
            <c:ext xmlns:c16="http://schemas.microsoft.com/office/drawing/2014/chart" uri="{C3380CC4-5D6E-409C-BE32-E72D297353CC}">
              <c16:uniqueId val="{00000002-6045-4E3B-9AFC-5372322BEF90}"/>
            </c:ext>
          </c:extLst>
        </c:ser>
        <c:ser>
          <c:idx val="3"/>
          <c:order val="3"/>
          <c:tx>
            <c:v>PROP.exp</c:v>
          </c:tx>
          <c:spPr>
            <a:solidFill>
              <a:schemeClr val="accent1">
                <a:lumMod val="40000"/>
                <a:lumOff val="60000"/>
              </a:schemeClr>
            </a:solidFill>
            <a:ln>
              <a:solidFill>
                <a:schemeClr val="tx1"/>
              </a:solidFill>
            </a:ln>
            <a:effectLst/>
          </c:spPr>
          <c:invertIfNegative val="0"/>
          <c:cat>
            <c:strRef>
              <c:f>Plan1!$B$4:$C$9</c:f>
              <c:strCache>
                <c:ptCount val="6"/>
                <c:pt idx="1">
                  <c:v>6</c:v>
                </c:pt>
                <c:pt idx="3">
                  <c:v>3</c:v>
                </c:pt>
                <c:pt idx="5">
                  <c:v>1</c:v>
                </c:pt>
              </c:strCache>
            </c:strRef>
          </c:cat>
          <c:val>
            <c:numRef>
              <c:f>Plan1!$G$4:$G$9</c:f>
              <c:numCache>
                <c:formatCode>General</c:formatCode>
                <c:ptCount val="6"/>
                <c:pt idx="0">
                  <c:v>0</c:v>
                </c:pt>
                <c:pt idx="1">
                  <c:v>35.700000000000003</c:v>
                </c:pt>
                <c:pt idx="2">
                  <c:v>0</c:v>
                </c:pt>
                <c:pt idx="3">
                  <c:v>26</c:v>
                </c:pt>
                <c:pt idx="4">
                  <c:v>0</c:v>
                </c:pt>
                <c:pt idx="5">
                  <c:v>15.5</c:v>
                </c:pt>
              </c:numCache>
            </c:numRef>
          </c:val>
          <c:extLst>
            <c:ext xmlns:c16="http://schemas.microsoft.com/office/drawing/2014/chart" uri="{C3380CC4-5D6E-409C-BE32-E72D297353CC}">
              <c16:uniqueId val="{00000003-6045-4E3B-9AFC-5372322BEF90}"/>
            </c:ext>
          </c:extLst>
        </c:ser>
        <c:ser>
          <c:idx val="4"/>
          <c:order val="4"/>
          <c:tx>
            <c:v>PROP.sim</c:v>
          </c:tx>
          <c:spPr>
            <a:solidFill>
              <a:schemeClr val="accent5"/>
            </a:solidFill>
            <a:ln>
              <a:solidFill>
                <a:schemeClr val="tx1"/>
              </a:solidFill>
            </a:ln>
            <a:effectLst/>
          </c:spPr>
          <c:invertIfNegative val="0"/>
          <c:cat>
            <c:strRef>
              <c:f>Plan1!$B$4:$C$9</c:f>
              <c:strCache>
                <c:ptCount val="6"/>
                <c:pt idx="1">
                  <c:v>6</c:v>
                </c:pt>
                <c:pt idx="3">
                  <c:v>3</c:v>
                </c:pt>
                <c:pt idx="5">
                  <c:v>1</c:v>
                </c:pt>
              </c:strCache>
            </c:strRef>
          </c:cat>
          <c:val>
            <c:numRef>
              <c:f>Plan1!$H$4:$H$9</c:f>
              <c:numCache>
                <c:formatCode>General</c:formatCode>
                <c:ptCount val="6"/>
                <c:pt idx="0">
                  <c:v>0</c:v>
                </c:pt>
                <c:pt idx="1">
                  <c:v>36.1</c:v>
                </c:pt>
                <c:pt idx="2">
                  <c:v>0</c:v>
                </c:pt>
                <c:pt idx="3">
                  <c:v>22.1</c:v>
                </c:pt>
                <c:pt idx="4">
                  <c:v>0</c:v>
                </c:pt>
                <c:pt idx="5">
                  <c:v>8.6999999999999993</c:v>
                </c:pt>
              </c:numCache>
            </c:numRef>
          </c:val>
          <c:extLst>
            <c:ext xmlns:c16="http://schemas.microsoft.com/office/drawing/2014/chart" uri="{C3380CC4-5D6E-409C-BE32-E72D297353CC}">
              <c16:uniqueId val="{00000004-6045-4E3B-9AFC-5372322BEF90}"/>
            </c:ext>
          </c:extLst>
        </c:ser>
        <c:ser>
          <c:idx val="5"/>
          <c:order val="5"/>
          <c:spPr>
            <a:solidFill>
              <a:schemeClr val="accent6"/>
            </a:solidFill>
            <a:ln>
              <a:noFill/>
            </a:ln>
            <a:effectLst/>
          </c:spPr>
          <c:invertIfNegative val="0"/>
          <c:val>
            <c:numRef>
              <c:f>Plan1!$C$12</c:f>
              <c:numCache>
                <c:formatCode>General</c:formatCode>
                <c:ptCount val="1"/>
              </c:numCache>
            </c:numRef>
          </c:val>
          <c:extLst>
            <c:ext xmlns:c16="http://schemas.microsoft.com/office/drawing/2014/chart" uri="{C3380CC4-5D6E-409C-BE32-E72D297353CC}">
              <c16:uniqueId val="{00000005-6045-4E3B-9AFC-5372322BEF90}"/>
            </c:ext>
          </c:extLst>
        </c:ser>
        <c:dLbls>
          <c:showLegendKey val="0"/>
          <c:showVal val="0"/>
          <c:showCatName val="0"/>
          <c:showSerName val="0"/>
          <c:showPercent val="0"/>
          <c:showBubbleSize val="0"/>
        </c:dLbls>
        <c:gapWidth val="0"/>
        <c:axId val="888598447"/>
        <c:axId val="888597007"/>
      </c:barChart>
      <c:catAx>
        <c:axId val="888598447"/>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r>
                  <a:rPr lang="pt-BR" sz="900">
                    <a:solidFill>
                      <a:schemeClr val="tx1"/>
                    </a:solidFill>
                  </a:rPr>
                  <a:t>Ratio organic-water (ROW) at pH 2.4</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pt-BR"/>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pt-BR"/>
          </a:p>
        </c:txPr>
        <c:crossAx val="888597007"/>
        <c:crosses val="autoZero"/>
        <c:auto val="1"/>
        <c:lblAlgn val="ctr"/>
        <c:lblOffset val="100"/>
        <c:noMultiLvlLbl val="0"/>
      </c:catAx>
      <c:valAx>
        <c:axId val="888597007"/>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r>
                  <a:rPr lang="pt-BR" sz="900">
                    <a:solidFill>
                      <a:schemeClr val="tx1"/>
                    </a:solidFill>
                  </a:rPr>
                  <a:t>Extraction (%)</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pt-BR"/>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pt-BR"/>
          </a:p>
        </c:txPr>
        <c:crossAx val="888598447"/>
        <c:crosses val="autoZero"/>
        <c:crossBetween val="between"/>
      </c:valAx>
      <c:spPr>
        <a:noFill/>
        <a:ln>
          <a:solidFill>
            <a:schemeClr val="tx1"/>
          </a:solidFill>
        </a:ln>
        <a:effectLst/>
      </c:spPr>
    </c:plotArea>
    <c:legend>
      <c:legendPos val="r"/>
      <c:legendEntry>
        <c:idx val="0"/>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t-BR"/>
          </a:p>
        </c:txPr>
      </c:legendEntry>
      <c:legendEntry>
        <c:idx val="1"/>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t-BR"/>
          </a:p>
        </c:txPr>
      </c:legendEntry>
      <c:legendEntry>
        <c:idx val="2"/>
        <c:delete val="1"/>
      </c:legendEntry>
      <c:legendEntry>
        <c:idx val="3"/>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t-BR"/>
          </a:p>
        </c:txPr>
      </c:legendEntry>
      <c:legendEntry>
        <c:idx val="4"/>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t-BR"/>
          </a:p>
        </c:txPr>
      </c:legendEntry>
      <c:legendEntry>
        <c:idx val="5"/>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Pages>
  <Words>3296</Words>
  <Characters>18790</Characters>
  <Application>Microsoft Office Word</Application>
  <DocSecurity>0</DocSecurity>
  <Lines>156</Lines>
  <Paragraphs>44</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22042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Riann Nóbrega</cp:lastModifiedBy>
  <cp:revision>18</cp:revision>
  <cp:lastPrinted>2025-02-05T12:46:00Z</cp:lastPrinted>
  <dcterms:created xsi:type="dcterms:W3CDTF">2025-02-05T12:46:00Z</dcterms:created>
  <dcterms:modified xsi:type="dcterms:W3CDTF">2025-02-26T14:51:00Z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3616d0929ad69a0a41705031f2eb59909be6bfc7637a73e3b4c930547599e39a</vt:lpwstr>
  </property>
</Properties>
</file>