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6D77D2" w14:paraId="2A131A54" w14:textId="77777777" w:rsidTr="00555AA8">
        <w:trPr>
          <w:trHeight w:val="852"/>
          <w:jc w:val="center"/>
        </w:trPr>
        <w:tc>
          <w:tcPr>
            <w:tcW w:w="6940" w:type="dxa"/>
            <w:vMerge w:val="restart"/>
            <w:tcBorders>
              <w:right w:val="single" w:sz="4" w:space="0" w:color="auto"/>
            </w:tcBorders>
          </w:tcPr>
          <w:p w14:paraId="38C3D2BA" w14:textId="77777777" w:rsidR="000A03B2" w:rsidRPr="006D77D2" w:rsidRDefault="000A03B2" w:rsidP="00DE264A">
            <w:pPr>
              <w:tabs>
                <w:tab w:val="left" w:pos="-108"/>
              </w:tabs>
              <w:ind w:left="-108"/>
              <w:jc w:val="left"/>
              <w:rPr>
                <w:rFonts w:cs="Arial"/>
                <w:b/>
                <w:bCs/>
                <w:i/>
                <w:iCs/>
                <w:color w:val="000066"/>
                <w:sz w:val="12"/>
                <w:szCs w:val="12"/>
                <w:lang w:eastAsia="it-IT"/>
              </w:rPr>
            </w:pPr>
            <w:bookmarkStart w:id="0" w:name="_Hlk145068772"/>
            <w:r w:rsidRPr="006D77D2">
              <w:rPr>
                <w:rFonts w:cs="Arial"/>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6D77D2">
              <w:rPr>
                <w:rFonts w:cs="Arial"/>
                <w:color w:val="241F20"/>
                <w:szCs w:val="18"/>
                <w:lang w:eastAsia="it-IT"/>
              </w:rPr>
              <w:t xml:space="preserve"> </w:t>
            </w:r>
            <w:r w:rsidRPr="006D77D2">
              <w:rPr>
                <w:rFonts w:cs="Arial"/>
                <w:b/>
                <w:bCs/>
                <w:i/>
                <w:iCs/>
                <w:color w:val="000066"/>
                <w:sz w:val="24"/>
                <w:szCs w:val="24"/>
                <w:lang w:eastAsia="it-IT"/>
              </w:rPr>
              <w:t>CHEMICAL ENGINEERING</w:t>
            </w:r>
            <w:r w:rsidRPr="006D77D2">
              <w:rPr>
                <w:rFonts w:cs="Arial"/>
                <w:b/>
                <w:bCs/>
                <w:i/>
                <w:iCs/>
                <w:color w:val="0033FF"/>
                <w:sz w:val="24"/>
                <w:szCs w:val="24"/>
                <w:lang w:eastAsia="it-IT"/>
              </w:rPr>
              <w:t xml:space="preserve"> </w:t>
            </w:r>
            <w:r w:rsidRPr="006D77D2">
              <w:rPr>
                <w:rFonts w:cs="Arial"/>
                <w:b/>
                <w:bCs/>
                <w:i/>
                <w:iCs/>
                <w:color w:val="666666"/>
                <w:sz w:val="24"/>
                <w:szCs w:val="24"/>
                <w:lang w:eastAsia="it-IT"/>
              </w:rPr>
              <w:t>TRANSACTIONS</w:t>
            </w:r>
            <w:r w:rsidRPr="006D77D2">
              <w:rPr>
                <w:rFonts w:cs="Arial"/>
                <w:color w:val="333333"/>
                <w:sz w:val="24"/>
                <w:szCs w:val="24"/>
                <w:lang w:eastAsia="it-IT"/>
              </w:rPr>
              <w:t xml:space="preserve"> </w:t>
            </w:r>
            <w:r w:rsidRPr="006D77D2">
              <w:rPr>
                <w:rFonts w:cs="Arial"/>
                <w:b/>
                <w:bCs/>
                <w:i/>
                <w:iCs/>
                <w:color w:val="000066"/>
                <w:sz w:val="27"/>
                <w:szCs w:val="27"/>
                <w:lang w:eastAsia="it-IT"/>
              </w:rPr>
              <w:br/>
            </w:r>
          </w:p>
          <w:p w14:paraId="4B780582" w14:textId="47EF826C" w:rsidR="000A03B2" w:rsidRPr="006D77D2" w:rsidRDefault="00A76EFC" w:rsidP="001D21AF">
            <w:pPr>
              <w:tabs>
                <w:tab w:val="left" w:pos="-108"/>
              </w:tabs>
              <w:ind w:left="-108"/>
              <w:rPr>
                <w:rFonts w:cs="Arial"/>
                <w:b/>
                <w:bCs/>
                <w:i/>
                <w:iCs/>
                <w:color w:val="000066"/>
                <w:sz w:val="22"/>
                <w:szCs w:val="22"/>
                <w:lang w:eastAsia="it-IT"/>
              </w:rPr>
            </w:pPr>
            <w:r w:rsidRPr="006D77D2">
              <w:rPr>
                <w:rFonts w:cs="Arial"/>
                <w:b/>
                <w:bCs/>
                <w:i/>
                <w:iCs/>
                <w:color w:val="000066"/>
                <w:sz w:val="22"/>
                <w:szCs w:val="22"/>
                <w:lang w:eastAsia="it-IT"/>
              </w:rPr>
              <w:t>VOL.</w:t>
            </w:r>
            <w:r w:rsidR="00785BF9" w:rsidRPr="006D77D2">
              <w:rPr>
                <w:rFonts w:cs="Arial"/>
                <w:b/>
                <w:bCs/>
                <w:i/>
                <w:iCs/>
                <w:color w:val="000066"/>
                <w:sz w:val="22"/>
                <w:szCs w:val="22"/>
                <w:lang w:eastAsia="it-IT"/>
              </w:rPr>
              <w:t xml:space="preserve"> </w:t>
            </w:r>
            <w:r w:rsidR="00994C6A" w:rsidRPr="006D77D2">
              <w:rPr>
                <w:rFonts w:cs="Arial"/>
                <w:b/>
                <w:bCs/>
                <w:i/>
                <w:iCs/>
                <w:color w:val="000066"/>
                <w:sz w:val="22"/>
                <w:szCs w:val="22"/>
                <w:lang w:eastAsia="it-IT"/>
              </w:rPr>
              <w:t>xxx</w:t>
            </w:r>
            <w:r w:rsidR="007B48F9" w:rsidRPr="006D77D2">
              <w:rPr>
                <w:rFonts w:cs="Arial"/>
                <w:b/>
                <w:bCs/>
                <w:i/>
                <w:iCs/>
                <w:color w:val="000066"/>
                <w:sz w:val="22"/>
                <w:szCs w:val="22"/>
                <w:lang w:eastAsia="it-IT"/>
              </w:rPr>
              <w:t>,</w:t>
            </w:r>
            <w:r w:rsidR="00FA5F5F" w:rsidRPr="006D77D2">
              <w:rPr>
                <w:rFonts w:cs="Arial"/>
                <w:b/>
                <w:bCs/>
                <w:i/>
                <w:iCs/>
                <w:color w:val="000066"/>
                <w:sz w:val="22"/>
                <w:szCs w:val="22"/>
                <w:lang w:eastAsia="it-IT"/>
              </w:rPr>
              <w:t xml:space="preserve"> </w:t>
            </w:r>
            <w:r w:rsidR="0030152C" w:rsidRPr="006D77D2">
              <w:rPr>
                <w:rFonts w:cs="Arial"/>
                <w:b/>
                <w:bCs/>
                <w:i/>
                <w:iCs/>
                <w:color w:val="000066"/>
                <w:sz w:val="22"/>
                <w:szCs w:val="22"/>
                <w:lang w:eastAsia="it-IT"/>
              </w:rPr>
              <w:t>202</w:t>
            </w:r>
            <w:r w:rsidR="00994C6A" w:rsidRPr="006D77D2">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6D77D2" w:rsidRDefault="000A03B2" w:rsidP="00CD5FE2">
            <w:pPr>
              <w:spacing w:line="140" w:lineRule="atLeast"/>
              <w:jc w:val="right"/>
              <w:rPr>
                <w:rFonts w:cs="Arial"/>
                <w:sz w:val="14"/>
                <w:szCs w:val="14"/>
              </w:rPr>
            </w:pPr>
            <w:r w:rsidRPr="006D77D2">
              <w:rPr>
                <w:rFonts w:cs="Arial"/>
                <w:sz w:val="14"/>
                <w:szCs w:val="14"/>
              </w:rPr>
              <w:t>A publication of</w:t>
            </w:r>
          </w:p>
          <w:p w14:paraId="599E5441" w14:textId="77777777" w:rsidR="000A03B2" w:rsidRPr="006D77D2" w:rsidRDefault="000A03B2" w:rsidP="00CD5FE2">
            <w:pPr>
              <w:jc w:val="right"/>
              <w:rPr>
                <w:rFonts w:cs="Arial"/>
              </w:rPr>
            </w:pPr>
            <w:r w:rsidRPr="006D77D2">
              <w:rPr>
                <w:rFonts w:cs="Arial"/>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6D77D2" w14:paraId="380FA3CD" w14:textId="77777777" w:rsidTr="00555AA8">
        <w:trPr>
          <w:trHeight w:val="567"/>
          <w:jc w:val="center"/>
        </w:trPr>
        <w:tc>
          <w:tcPr>
            <w:tcW w:w="6940" w:type="dxa"/>
            <w:vMerge/>
            <w:tcBorders>
              <w:right w:val="single" w:sz="4" w:space="0" w:color="auto"/>
            </w:tcBorders>
          </w:tcPr>
          <w:p w14:paraId="39E5E4C1" w14:textId="77777777" w:rsidR="000A03B2" w:rsidRPr="006D77D2" w:rsidRDefault="000A03B2" w:rsidP="00CD5FE2">
            <w:pPr>
              <w:tabs>
                <w:tab w:val="left" w:pos="-108"/>
              </w:tabs>
              <w:rPr>
                <w:rFonts w:cs="Arial"/>
              </w:rPr>
            </w:pPr>
          </w:p>
        </w:tc>
        <w:tc>
          <w:tcPr>
            <w:tcW w:w="1842" w:type="dxa"/>
            <w:tcBorders>
              <w:left w:val="single" w:sz="4" w:space="0" w:color="auto"/>
              <w:bottom w:val="nil"/>
              <w:right w:val="single" w:sz="4" w:space="0" w:color="auto"/>
            </w:tcBorders>
          </w:tcPr>
          <w:p w14:paraId="43858A98" w14:textId="77777777" w:rsidR="000A03B2" w:rsidRPr="006D77D2" w:rsidRDefault="000A03B2" w:rsidP="00CD5FE2">
            <w:pPr>
              <w:spacing w:line="140" w:lineRule="atLeast"/>
              <w:jc w:val="right"/>
              <w:rPr>
                <w:rFonts w:cs="Arial"/>
                <w:sz w:val="14"/>
                <w:szCs w:val="14"/>
              </w:rPr>
            </w:pPr>
            <w:r w:rsidRPr="006D77D2">
              <w:rPr>
                <w:rFonts w:cs="Arial"/>
                <w:sz w:val="14"/>
                <w:szCs w:val="14"/>
              </w:rPr>
              <w:t>The Italian Association</w:t>
            </w:r>
          </w:p>
          <w:p w14:paraId="7522B1D2" w14:textId="77777777" w:rsidR="000A03B2" w:rsidRPr="006D77D2" w:rsidRDefault="000A03B2" w:rsidP="00CD5FE2">
            <w:pPr>
              <w:spacing w:line="140" w:lineRule="atLeast"/>
              <w:jc w:val="right"/>
              <w:rPr>
                <w:rFonts w:cs="Arial"/>
                <w:sz w:val="14"/>
                <w:szCs w:val="14"/>
              </w:rPr>
            </w:pPr>
            <w:r w:rsidRPr="006D77D2">
              <w:rPr>
                <w:rFonts w:cs="Arial"/>
                <w:sz w:val="14"/>
                <w:szCs w:val="14"/>
              </w:rPr>
              <w:t>of Chemical Engineering</w:t>
            </w:r>
          </w:p>
          <w:p w14:paraId="4F0CC5DE" w14:textId="47FDB2FC" w:rsidR="000A03B2" w:rsidRPr="006D77D2" w:rsidRDefault="000D0268" w:rsidP="00CD5FE2">
            <w:pPr>
              <w:spacing w:line="140" w:lineRule="atLeast"/>
              <w:jc w:val="right"/>
              <w:rPr>
                <w:rFonts w:cs="Arial"/>
                <w:sz w:val="13"/>
                <w:szCs w:val="13"/>
              </w:rPr>
            </w:pPr>
            <w:r w:rsidRPr="006D77D2">
              <w:rPr>
                <w:rFonts w:cs="Arial"/>
                <w:sz w:val="13"/>
                <w:szCs w:val="13"/>
              </w:rPr>
              <w:t>Online at www.cetjournal.it</w:t>
            </w:r>
          </w:p>
        </w:tc>
      </w:tr>
      <w:tr w:rsidR="000A03B2" w:rsidRPr="006D77D2" w14:paraId="2D1B7169" w14:textId="77777777" w:rsidTr="00555AA8">
        <w:trPr>
          <w:trHeight w:val="68"/>
          <w:jc w:val="center"/>
        </w:trPr>
        <w:tc>
          <w:tcPr>
            <w:tcW w:w="8782" w:type="dxa"/>
            <w:gridSpan w:val="2"/>
          </w:tcPr>
          <w:p w14:paraId="1D8DD3C9" w14:textId="025D7B18" w:rsidR="00AA7D26" w:rsidRPr="006D77D2" w:rsidRDefault="00AA7D26" w:rsidP="007D610D">
            <w:pPr>
              <w:ind w:left="-107"/>
              <w:outlineLvl w:val="2"/>
              <w:rPr>
                <w:rFonts w:cs="Arial"/>
                <w:color w:val="000000"/>
                <w:sz w:val="14"/>
                <w:szCs w:val="14"/>
                <w:shd w:val="clear" w:color="auto" w:fill="FFFFFF"/>
                <w:lang w:val="it-IT"/>
              </w:rPr>
            </w:pPr>
            <w:r w:rsidRPr="006D77D2">
              <w:rPr>
                <w:rFonts w:cs="Arial"/>
                <w:iCs/>
                <w:color w:val="333333"/>
                <w:sz w:val="14"/>
                <w:szCs w:val="14"/>
                <w:lang w:val="it-IT" w:eastAsia="it-IT"/>
              </w:rPr>
              <w:t>Guest Editors:</w:t>
            </w:r>
            <w:r w:rsidR="007D610D" w:rsidRPr="006D77D2">
              <w:rPr>
                <w:rFonts w:eastAsiaTheme="minorHAnsi" w:cs="Arial"/>
                <w:sz w:val="22"/>
                <w:szCs w:val="22"/>
                <w:lang w:val="it-IT"/>
                <w14:ligatures w14:val="standardContextual"/>
              </w:rPr>
              <w:t xml:space="preserve"> </w:t>
            </w:r>
            <w:r w:rsidR="007D610D" w:rsidRPr="006D77D2">
              <w:rPr>
                <w:rFonts w:cs="Arial"/>
                <w:color w:val="000000"/>
                <w:sz w:val="14"/>
                <w:szCs w:val="14"/>
                <w:shd w:val="clear" w:color="auto" w:fill="FFFFFF"/>
                <w:lang w:val="it-IT"/>
              </w:rPr>
              <w:t xml:space="preserve">Fabrizio Bezzo, </w:t>
            </w:r>
            <w:r w:rsidR="001D3D32" w:rsidRPr="006D77D2">
              <w:rPr>
                <w:rFonts w:cs="Arial"/>
                <w:color w:val="000000"/>
                <w:sz w:val="14"/>
                <w:szCs w:val="14"/>
                <w:shd w:val="clear" w:color="auto" w:fill="FFFFFF"/>
                <w:lang w:val="it-IT"/>
              </w:rPr>
              <w:t>Flavio Manenti</w:t>
            </w:r>
            <w:r w:rsidR="00304CE8" w:rsidRPr="006D77D2">
              <w:rPr>
                <w:rFonts w:cs="Arial"/>
                <w:color w:val="000000"/>
                <w:sz w:val="14"/>
                <w:szCs w:val="14"/>
                <w:shd w:val="clear" w:color="auto" w:fill="FFFFFF"/>
                <w:lang w:val="it-IT"/>
              </w:rPr>
              <w:t>,</w:t>
            </w:r>
            <w:r w:rsidR="001D3D32" w:rsidRPr="006D77D2">
              <w:rPr>
                <w:rFonts w:cs="Arial"/>
                <w:color w:val="000000"/>
                <w:sz w:val="14"/>
                <w:szCs w:val="14"/>
                <w:shd w:val="clear" w:color="auto" w:fill="FFFFFF"/>
                <w:lang w:val="it-IT"/>
              </w:rPr>
              <w:t xml:space="preserve"> </w:t>
            </w:r>
            <w:r w:rsidR="007D610D" w:rsidRPr="006D77D2">
              <w:rPr>
                <w:rFonts w:cs="Arial"/>
                <w:color w:val="000000"/>
                <w:sz w:val="14"/>
                <w:szCs w:val="14"/>
                <w:shd w:val="clear" w:color="auto" w:fill="FFFFFF"/>
                <w:lang w:val="it-IT"/>
              </w:rPr>
              <w:t>Gabriele Pannocchia, Almerinda di Benedetto</w:t>
            </w:r>
          </w:p>
          <w:p w14:paraId="1B0F1814" w14:textId="7C54DC3A" w:rsidR="000A03B2" w:rsidRPr="006D77D2" w:rsidRDefault="00AA7D26" w:rsidP="00AA7D26">
            <w:pPr>
              <w:tabs>
                <w:tab w:val="left" w:pos="-108"/>
              </w:tabs>
              <w:spacing w:line="140" w:lineRule="atLeast"/>
              <w:ind w:left="-107"/>
              <w:jc w:val="left"/>
              <w:rPr>
                <w:rFonts w:cs="Arial"/>
              </w:rPr>
            </w:pPr>
            <w:r w:rsidRPr="006D77D2">
              <w:rPr>
                <w:rFonts w:cs="Arial"/>
                <w:iCs/>
                <w:color w:val="333333"/>
                <w:sz w:val="14"/>
                <w:szCs w:val="14"/>
                <w:lang w:eastAsia="it-IT"/>
              </w:rPr>
              <w:t>Copyright © 202</w:t>
            </w:r>
            <w:r w:rsidR="00994C6A" w:rsidRPr="006D77D2">
              <w:rPr>
                <w:rFonts w:cs="Arial"/>
                <w:iCs/>
                <w:color w:val="333333"/>
                <w:sz w:val="14"/>
                <w:szCs w:val="14"/>
                <w:lang w:eastAsia="it-IT"/>
              </w:rPr>
              <w:t>5</w:t>
            </w:r>
            <w:r w:rsidRPr="006D77D2">
              <w:rPr>
                <w:rFonts w:cs="Arial"/>
                <w:iCs/>
                <w:color w:val="333333"/>
                <w:sz w:val="14"/>
                <w:szCs w:val="14"/>
                <w:lang w:eastAsia="it-IT"/>
              </w:rPr>
              <w:t xml:space="preserve">, AIDIC </w:t>
            </w:r>
            <w:proofErr w:type="spellStart"/>
            <w:r w:rsidRPr="006D77D2">
              <w:rPr>
                <w:rFonts w:cs="Arial"/>
                <w:iCs/>
                <w:color w:val="333333"/>
                <w:sz w:val="14"/>
                <w:szCs w:val="14"/>
                <w:lang w:eastAsia="it-IT"/>
              </w:rPr>
              <w:t>Servizi</w:t>
            </w:r>
            <w:proofErr w:type="spellEnd"/>
            <w:r w:rsidRPr="006D77D2">
              <w:rPr>
                <w:rFonts w:cs="Arial"/>
                <w:iCs/>
                <w:color w:val="333333"/>
                <w:sz w:val="14"/>
                <w:szCs w:val="14"/>
                <w:lang w:eastAsia="it-IT"/>
              </w:rPr>
              <w:t xml:space="preserve"> </w:t>
            </w:r>
            <w:proofErr w:type="spellStart"/>
            <w:r w:rsidRPr="006D77D2">
              <w:rPr>
                <w:rFonts w:cs="Arial"/>
                <w:iCs/>
                <w:color w:val="333333"/>
                <w:sz w:val="14"/>
                <w:szCs w:val="14"/>
                <w:lang w:eastAsia="it-IT"/>
              </w:rPr>
              <w:t>S.r.l</w:t>
            </w:r>
            <w:proofErr w:type="spellEnd"/>
            <w:r w:rsidRPr="006D77D2">
              <w:rPr>
                <w:rFonts w:cs="Arial"/>
                <w:iCs/>
                <w:color w:val="333333"/>
                <w:sz w:val="14"/>
                <w:szCs w:val="14"/>
                <w:lang w:eastAsia="it-IT"/>
              </w:rPr>
              <w:t>.</w:t>
            </w:r>
            <w:r w:rsidRPr="006D77D2">
              <w:rPr>
                <w:rFonts w:cs="Arial"/>
                <w:iCs/>
                <w:color w:val="333333"/>
                <w:sz w:val="14"/>
                <w:szCs w:val="14"/>
                <w:lang w:eastAsia="it-IT"/>
              </w:rPr>
              <w:br/>
            </w:r>
            <w:r w:rsidRPr="006D77D2">
              <w:rPr>
                <w:rFonts w:cs="Arial"/>
                <w:b/>
                <w:iCs/>
                <w:color w:val="000000"/>
                <w:sz w:val="14"/>
                <w:szCs w:val="14"/>
                <w:lang w:eastAsia="it-IT"/>
              </w:rPr>
              <w:t>ISBN</w:t>
            </w:r>
            <w:r w:rsidRPr="006D77D2">
              <w:rPr>
                <w:rFonts w:cs="Arial"/>
                <w:iCs/>
                <w:color w:val="000000"/>
                <w:sz w:val="14"/>
                <w:szCs w:val="14"/>
                <w:lang w:eastAsia="it-IT"/>
              </w:rPr>
              <w:t xml:space="preserve"> </w:t>
            </w:r>
            <w:r w:rsidR="003B49CD" w:rsidRPr="006D77D2">
              <w:rPr>
                <w:rFonts w:cs="Arial"/>
                <w:sz w:val="14"/>
                <w:szCs w:val="14"/>
              </w:rPr>
              <w:t>979-12-81206-1</w:t>
            </w:r>
            <w:r w:rsidR="00994C6A" w:rsidRPr="006D77D2">
              <w:rPr>
                <w:rFonts w:cs="Arial"/>
                <w:sz w:val="14"/>
                <w:szCs w:val="14"/>
              </w:rPr>
              <w:t>7</w:t>
            </w:r>
            <w:r w:rsidR="003B49CD" w:rsidRPr="006D77D2">
              <w:rPr>
                <w:rFonts w:cs="Arial"/>
                <w:sz w:val="14"/>
                <w:szCs w:val="14"/>
              </w:rPr>
              <w:t>-</w:t>
            </w:r>
            <w:r w:rsidR="00994C6A" w:rsidRPr="006D77D2">
              <w:rPr>
                <w:rFonts w:cs="Arial"/>
                <w:sz w:val="14"/>
                <w:szCs w:val="14"/>
              </w:rPr>
              <w:t>5</w:t>
            </w:r>
            <w:r w:rsidRPr="006D77D2">
              <w:rPr>
                <w:rFonts w:cs="Arial"/>
                <w:iCs/>
                <w:color w:val="333333"/>
                <w:sz w:val="14"/>
                <w:szCs w:val="14"/>
                <w:lang w:eastAsia="it-IT"/>
              </w:rPr>
              <w:t xml:space="preserve">; </w:t>
            </w:r>
            <w:r w:rsidRPr="006D77D2">
              <w:rPr>
                <w:rFonts w:cs="Arial"/>
                <w:b/>
                <w:iCs/>
                <w:color w:val="333333"/>
                <w:sz w:val="14"/>
                <w:szCs w:val="14"/>
                <w:lang w:eastAsia="it-IT"/>
              </w:rPr>
              <w:t>ISSN</w:t>
            </w:r>
            <w:r w:rsidRPr="006D77D2">
              <w:rPr>
                <w:rFonts w:cs="Arial"/>
                <w:iCs/>
                <w:color w:val="333333"/>
                <w:sz w:val="14"/>
                <w:szCs w:val="14"/>
                <w:lang w:eastAsia="it-IT"/>
              </w:rPr>
              <w:t xml:space="preserve"> 2283-9216</w:t>
            </w:r>
          </w:p>
        </w:tc>
      </w:tr>
    </w:tbl>
    <w:bookmarkEnd w:id="0"/>
    <w:p w14:paraId="09AEA2A7" w14:textId="77777777" w:rsidR="00555AA8" w:rsidRPr="006D77D2" w:rsidRDefault="00555AA8" w:rsidP="00B57E6F">
      <w:pPr>
        <w:pStyle w:val="CETAuthors"/>
        <w:rPr>
          <w:rFonts w:cs="Arial"/>
          <w:noProof w:val="0"/>
          <w:sz w:val="32"/>
        </w:rPr>
      </w:pPr>
      <w:r w:rsidRPr="006D77D2">
        <w:rPr>
          <w:rFonts w:cs="Arial"/>
          <w:noProof w:val="0"/>
          <w:sz w:val="32"/>
        </w:rPr>
        <w:t>A Didactic Approach to Kinetic Parameter Estimation: A Case Study of Glycerol Carbonate Synthesis from Glycerol and Dimethyl Carbonate</w:t>
      </w:r>
    </w:p>
    <w:p w14:paraId="4CF24D2C" w14:textId="77777777" w:rsidR="00555AA8" w:rsidRPr="006D77D2" w:rsidRDefault="00555AA8" w:rsidP="00B57E6F">
      <w:pPr>
        <w:pStyle w:val="CETAddress"/>
        <w:rPr>
          <w:rFonts w:cs="Arial"/>
          <w:sz w:val="24"/>
          <w:lang w:val="es-MX"/>
        </w:rPr>
      </w:pPr>
      <w:r w:rsidRPr="006D77D2">
        <w:rPr>
          <w:rFonts w:cs="Arial"/>
          <w:sz w:val="24"/>
          <w:lang w:val="es-MX"/>
        </w:rPr>
        <w:t>Juan Carlos Ojeda-Toro</w:t>
      </w:r>
      <w:r w:rsidRPr="006D77D2">
        <w:rPr>
          <w:rFonts w:cs="Arial"/>
          <w:sz w:val="24"/>
          <w:vertAlign w:val="superscript"/>
          <w:lang w:val="es-MX"/>
        </w:rPr>
        <w:t>a*</w:t>
      </w:r>
      <w:r w:rsidRPr="006D77D2">
        <w:rPr>
          <w:rFonts w:cs="Arial"/>
          <w:sz w:val="24"/>
          <w:lang w:val="es-MX"/>
        </w:rPr>
        <w:t>, Javier A. Mancera-Apolinar</w:t>
      </w:r>
      <w:r w:rsidRPr="006D77D2">
        <w:rPr>
          <w:rFonts w:cs="Arial"/>
          <w:sz w:val="24"/>
          <w:vertAlign w:val="superscript"/>
          <w:lang w:val="es-MX"/>
        </w:rPr>
        <w:t>b</w:t>
      </w:r>
      <w:r w:rsidRPr="006D77D2">
        <w:rPr>
          <w:rFonts w:cs="Arial"/>
          <w:sz w:val="24"/>
          <w:lang w:val="es-MX"/>
        </w:rPr>
        <w:t>, Jaime Eduardo Arturo-Calvache</w:t>
      </w:r>
      <w:r w:rsidRPr="006D77D2">
        <w:rPr>
          <w:rFonts w:cs="Arial"/>
          <w:sz w:val="24"/>
          <w:vertAlign w:val="superscript"/>
          <w:lang w:val="es-MX"/>
        </w:rPr>
        <w:t>b</w:t>
      </w:r>
    </w:p>
    <w:p w14:paraId="1DC5F0A4" w14:textId="77777777" w:rsidR="007F49BF" w:rsidRPr="006D77D2" w:rsidRDefault="007F49BF" w:rsidP="00B57E6F">
      <w:pPr>
        <w:pStyle w:val="CETAddress"/>
        <w:rPr>
          <w:rFonts w:cs="Arial"/>
          <w:sz w:val="24"/>
          <w:lang w:val="es-MX"/>
        </w:rPr>
      </w:pPr>
    </w:p>
    <w:p w14:paraId="2ADDF4FC" w14:textId="35FD6278" w:rsidR="006320BA" w:rsidRPr="006D77D2" w:rsidRDefault="00B57E6F" w:rsidP="006320BA">
      <w:pPr>
        <w:pStyle w:val="CETAddress"/>
        <w:rPr>
          <w:rFonts w:cs="Arial"/>
          <w:lang w:val="es-MX"/>
        </w:rPr>
      </w:pPr>
      <w:r w:rsidRPr="006D77D2">
        <w:rPr>
          <w:rFonts w:cs="Arial"/>
          <w:vertAlign w:val="superscript"/>
          <w:lang w:val="es-MX"/>
        </w:rPr>
        <w:t>a</w:t>
      </w:r>
      <w:r w:rsidR="006320BA" w:rsidRPr="006D77D2">
        <w:rPr>
          <w:rFonts w:cs="Arial"/>
          <w:lang w:val="es-MX"/>
        </w:rPr>
        <w:t>Grupo de Investigación en Procesos Reactivos Intensificados con Separación y Materiales Avanzados - PRISMA, Departamento de Física y Química, Facultad de Ciencias Exactas y Naturales, Universidad Nacional de Colombia, Sede Manizales, Campus La Nubia, km 9 vía al Aeropuerto la Nubia, Apartado Aéreo 127, Manizales, Caldas, Colombia.</w:t>
      </w:r>
    </w:p>
    <w:p w14:paraId="7B2F399A" w14:textId="200C3C5E" w:rsidR="00FD51A3" w:rsidRPr="006D77D2" w:rsidRDefault="007F49BF" w:rsidP="007F49BF">
      <w:pPr>
        <w:pStyle w:val="CETAddress"/>
        <w:rPr>
          <w:rFonts w:cs="Arial"/>
          <w:lang w:val="es-MX"/>
        </w:rPr>
      </w:pPr>
      <w:r w:rsidRPr="006D77D2">
        <w:rPr>
          <w:rFonts w:cs="Arial"/>
          <w:vertAlign w:val="superscript"/>
          <w:lang w:val="en-US"/>
        </w:rPr>
        <w:t>b</w:t>
      </w:r>
      <w:r w:rsidRPr="006D77D2">
        <w:rPr>
          <w:rFonts w:cs="Arial"/>
          <w:lang w:val="en-US"/>
        </w:rPr>
        <w:t xml:space="preserve">Grupo de Procesos Sostenibles, Department of Chemical and Environmental Engineering, Faculty of Engineering, Universidad de América, Avda. </w:t>
      </w:r>
      <w:r w:rsidRPr="006D77D2">
        <w:rPr>
          <w:rFonts w:cs="Arial"/>
          <w:lang w:val="es-MX"/>
        </w:rPr>
        <w:t>Circunvalar No. 20-53, Bogotá, Colombia.</w:t>
      </w:r>
      <w:r w:rsidR="00B57E6F" w:rsidRPr="006D77D2">
        <w:rPr>
          <w:rFonts w:cs="Arial"/>
          <w:lang w:val="es-MX"/>
        </w:rPr>
        <w:t xml:space="preserve"> </w:t>
      </w:r>
    </w:p>
    <w:p w14:paraId="289A0E93" w14:textId="1AB9064E" w:rsidR="00544457" w:rsidRPr="006D77D2" w:rsidRDefault="00FD51A3" w:rsidP="002B0812">
      <w:pPr>
        <w:pStyle w:val="CETBodytext"/>
        <w:rPr>
          <w:rFonts w:cs="Arial"/>
          <w:noProof/>
          <w:sz w:val="16"/>
          <w:lang w:val="es-MX"/>
        </w:rPr>
      </w:pPr>
      <w:r w:rsidRPr="006D77D2">
        <w:rPr>
          <w:rFonts w:cs="Arial"/>
          <w:noProof/>
          <w:sz w:val="16"/>
          <w:lang w:val="es-MX"/>
        </w:rPr>
        <w:t>*Corresponding author: juan.ojedaca@unipamplona.edu.co, tel.: (+57) 3148267334</w:t>
      </w:r>
    </w:p>
    <w:p w14:paraId="392DDC31" w14:textId="57624AC8" w:rsidR="00544457" w:rsidRPr="006D77D2" w:rsidRDefault="00B35B20" w:rsidP="00B35B20">
      <w:pPr>
        <w:pStyle w:val="CETHeading1"/>
        <w:numPr>
          <w:ilvl w:val="0"/>
          <w:numId w:val="0"/>
        </w:numPr>
        <w:jc w:val="both"/>
        <w:rPr>
          <w:rFonts w:cs="Arial"/>
          <w:b w:val="0"/>
          <w:sz w:val="18"/>
        </w:rPr>
      </w:pPr>
      <w:r w:rsidRPr="006D77D2">
        <w:rPr>
          <w:rFonts w:cs="Arial"/>
          <w:b w:val="0"/>
          <w:sz w:val="18"/>
        </w:rPr>
        <w:t xml:space="preserve">This study introduces a didactic methodology </w:t>
      </w:r>
      <w:r w:rsidR="004D6901" w:rsidRPr="006D77D2">
        <w:rPr>
          <w:rFonts w:cs="Arial"/>
          <w:b w:val="0"/>
          <w:sz w:val="18"/>
        </w:rPr>
        <w:t>for estimating kinetic parameters</w:t>
      </w:r>
      <w:proofErr w:type="gramStart"/>
      <w:r w:rsidR="00505998" w:rsidRPr="006D77D2">
        <w:rPr>
          <w:rFonts w:cs="Arial"/>
          <w:b w:val="0"/>
          <w:sz w:val="18"/>
        </w:rPr>
        <w:t>, it</w:t>
      </w:r>
      <w:proofErr w:type="gramEnd"/>
      <w:r w:rsidR="00505998" w:rsidRPr="006D77D2">
        <w:rPr>
          <w:rFonts w:cs="Arial"/>
          <w:b w:val="0"/>
          <w:sz w:val="18"/>
        </w:rPr>
        <w:t xml:space="preserve"> was</w:t>
      </w:r>
      <w:r w:rsidR="004D6901" w:rsidRPr="006D77D2">
        <w:rPr>
          <w:rFonts w:cs="Arial"/>
          <w:b w:val="0"/>
          <w:sz w:val="18"/>
        </w:rPr>
        <w:t xml:space="preserve"> </w:t>
      </w:r>
      <w:r w:rsidRPr="006D77D2">
        <w:rPr>
          <w:rFonts w:cs="Arial"/>
          <w:b w:val="0"/>
          <w:sz w:val="18"/>
        </w:rPr>
        <w:t xml:space="preserve">designed as a practical guide for chemical engineering students, focusing on the synthesis of glycerol carbonate (GC) from glycerol (G) and dimethyl carbonate (DMC) as a case study. Notably, the kinetics of this reaction had not been previously adjusted in the literature, offering a novel opportunity to explore and model its </w:t>
      </w:r>
      <w:r w:rsidR="004D6901" w:rsidRPr="006D77D2">
        <w:rPr>
          <w:rFonts w:cs="Arial"/>
          <w:b w:val="0"/>
          <w:sz w:val="18"/>
        </w:rPr>
        <w:t>behavior</w:t>
      </w:r>
      <w:r w:rsidRPr="006D77D2">
        <w:rPr>
          <w:rFonts w:cs="Arial"/>
          <w:b w:val="0"/>
          <w:sz w:val="18"/>
        </w:rPr>
        <w:t>. Experimental datasets from two distinct cases</w:t>
      </w:r>
      <w:r w:rsidR="004D6901" w:rsidRPr="006D77D2">
        <w:rPr>
          <w:rFonts w:cs="Arial"/>
          <w:b w:val="0"/>
          <w:sz w:val="18"/>
        </w:rPr>
        <w:t xml:space="preserve">, </w:t>
      </w:r>
      <w:r w:rsidRPr="006D77D2">
        <w:rPr>
          <w:rFonts w:cs="Arial"/>
          <w:b w:val="0"/>
          <w:sz w:val="18"/>
        </w:rPr>
        <w:t>using CaO and carbide slag as heterogeneous catalysts under different reaction conditions</w:t>
      </w:r>
      <w:r w:rsidR="004D6901" w:rsidRPr="006D77D2">
        <w:rPr>
          <w:rFonts w:cs="Arial"/>
          <w:b w:val="0"/>
          <w:sz w:val="18"/>
        </w:rPr>
        <w:t xml:space="preserve"> </w:t>
      </w:r>
      <w:r w:rsidRPr="006D77D2">
        <w:rPr>
          <w:rFonts w:cs="Arial"/>
          <w:b w:val="0"/>
          <w:sz w:val="18"/>
        </w:rPr>
        <w:t xml:space="preserve">were </w:t>
      </w:r>
      <w:r w:rsidR="00880212" w:rsidRPr="006D77D2">
        <w:rPr>
          <w:rFonts w:cs="Arial"/>
          <w:b w:val="0"/>
          <w:sz w:val="18"/>
        </w:rPr>
        <w:t>analyzed</w:t>
      </w:r>
      <w:r w:rsidRPr="006D77D2">
        <w:rPr>
          <w:rFonts w:cs="Arial"/>
          <w:b w:val="0"/>
          <w:sz w:val="18"/>
        </w:rPr>
        <w:t xml:space="preserve">. Both elementary and non-elementary rate laws were applied within a pseudo-homogeneous model framework, with kinetic parameters determined by minimizing the discrepancy between experimental and calculated glycerol conversion values using MATLAB®. Results demonstrate that non-elementary rate laws provide a superior fit to experimental data (average relative deviation-ARD: Case 1-1.26% and Case 2-2.33%) compared to elementary rate laws (ARD: Case 1-2.75% and Case 2-6.06%), underscoring the importance of accounting for reaction complexities in kinetic </w:t>
      </w:r>
      <w:r w:rsidR="00030BF3" w:rsidRPr="006D77D2">
        <w:rPr>
          <w:rFonts w:cs="Arial"/>
          <w:b w:val="0"/>
          <w:sz w:val="18"/>
        </w:rPr>
        <w:t>modelling</w:t>
      </w:r>
      <w:r w:rsidRPr="006D77D2">
        <w:rPr>
          <w:rFonts w:cs="Arial"/>
          <w:b w:val="0"/>
          <w:sz w:val="18"/>
        </w:rPr>
        <w:t>. This methodology serves as a step-by-step educational tool, enhancing students’ understanding of parameter estimation, model validation, and reaction optimization while showcasing the integration of theoretical and computational tools in addressing rea</w:t>
      </w:r>
      <w:r w:rsidR="006A35FC" w:rsidRPr="006D77D2">
        <w:rPr>
          <w:rFonts w:cs="Arial"/>
          <w:b w:val="0"/>
          <w:sz w:val="18"/>
        </w:rPr>
        <w:t xml:space="preserve">l </w:t>
      </w:r>
      <w:r w:rsidRPr="006D77D2">
        <w:rPr>
          <w:rFonts w:cs="Arial"/>
          <w:b w:val="0"/>
          <w:sz w:val="18"/>
        </w:rPr>
        <w:t xml:space="preserve">chemical </w:t>
      </w:r>
      <w:r w:rsidR="006A35FC" w:rsidRPr="006D77D2">
        <w:rPr>
          <w:rFonts w:cs="Arial"/>
          <w:b w:val="0"/>
          <w:sz w:val="18"/>
        </w:rPr>
        <w:t>engineering issues</w:t>
      </w:r>
      <w:r w:rsidRPr="006D77D2">
        <w:rPr>
          <w:rFonts w:cs="Arial"/>
          <w:b w:val="0"/>
          <w:sz w:val="18"/>
        </w:rPr>
        <w:t>.</w:t>
      </w:r>
      <w:r w:rsidR="004D6901" w:rsidRPr="006D77D2">
        <w:rPr>
          <w:rFonts w:cs="Arial"/>
          <w:b w:val="0"/>
          <w:sz w:val="18"/>
        </w:rPr>
        <w:t xml:space="preserve"> </w:t>
      </w:r>
    </w:p>
    <w:p w14:paraId="476B2F2E" w14:textId="481D8566" w:rsidR="00600535" w:rsidRPr="006D77D2" w:rsidRDefault="00600535" w:rsidP="004C3480">
      <w:pPr>
        <w:pStyle w:val="CETHeading1"/>
      </w:pPr>
      <w:r w:rsidRPr="006D77D2">
        <w:t>Introduction</w:t>
      </w:r>
    </w:p>
    <w:p w14:paraId="00839486" w14:textId="6188C0E0" w:rsidR="00710294" w:rsidRPr="006D77D2" w:rsidRDefault="00982FB6" w:rsidP="00C65CA3">
      <w:pPr>
        <w:spacing w:line="240" w:lineRule="auto"/>
        <w:rPr>
          <w:rFonts w:cs="Arial"/>
          <w:bCs/>
          <w:lang w:val="en-US"/>
        </w:rPr>
      </w:pPr>
      <w:r w:rsidRPr="006D77D2">
        <w:rPr>
          <w:rFonts w:cs="Arial"/>
          <w:bCs/>
          <w:lang w:val="en-US"/>
        </w:rPr>
        <w:t>Glycerol carbonate (GC) is a versatile compound with diverse industrial applications due to its low toxicity, biodegradability, nonflammability, water solubility, and high boiling point. It is used in additives, semiconductors, surfactants, cosmetics, pharmaceuticals, and polymers. In polymer synthesis, GC acts as a monomer for polycarbonates and polyurethanes, promoting sustainable materials development</w:t>
      </w:r>
      <w:r w:rsidR="00EB1703" w:rsidRPr="006D77D2">
        <w:rPr>
          <w:rFonts w:cs="Arial"/>
          <w:bCs/>
          <w:noProof/>
          <w:lang w:val="en-US"/>
        </w:rPr>
        <w:t xml:space="preserve"> </w:t>
      </w:r>
      <w:r w:rsidR="00EB1703" w:rsidRPr="006D77D2">
        <w:rPr>
          <w:rFonts w:cs="Arial"/>
          <w:bCs/>
          <w:lang w:val="en-US"/>
        </w:rPr>
        <w:t xml:space="preserve">materials </w:t>
      </w:r>
      <w:r w:rsidR="00EB1703" w:rsidRPr="006D77D2">
        <w:rPr>
          <w:rFonts w:cs="Arial"/>
          <w:bCs/>
          <w:lang w:val="en-US"/>
        </w:rPr>
        <w:fldChar w:fldCharType="begin" w:fldLock="1"/>
      </w:r>
      <w:r w:rsidR="0050406A" w:rsidRPr="006D77D2">
        <w:rPr>
          <w:rFonts w:cs="Arial"/>
          <w:bCs/>
          <w:lang w:val="en-US"/>
        </w:rPr>
        <w:instrText>ADDIN CSL_CITATION {"citationItems":[{"id":"ITEM-1","itemData":{"DOI":"10.1016/j.jcou.2022.102250","ISSN":"22129820","abstract":"As the most abundant C1 carbon source, as well as renewable and highly environmentally unfriendly compound, carbon dioxide serves as a very promising compound for the chemical industry. This review focuses on heterogeneous catalytic conversion of CO2 to various compounds, which would then offer reusable, cheaper, and safer reaction conditions. Most of the heterogeneously catalyzed reactions with CO2 involve carboxylation of simple alcohols to alkyl carbonates, thus formation of new C-O bonds. Additional C-O bond-forming type- reactions involve formation of cyclic carbonates from carboxylation of glycerol, propargylic alcohols, and epoxides. C-N bond formation was also investigated through carbamates synthesis, while most importantly C-C bond formation was discussed in preparation of various carboxylic acids. In this review article, the state-of-the-art was presented with detailed elaboration on reaction conditions used, activity/selectivity or chosen catalysts, as well as critical comparison in results obtained and conclusions drawn from most recent publications.","author":[{"dropping-particle":"","family":"Kojčinović","given":"Aleksa","non-dropping-particle":"","parse-names":false,"suffix":""},{"dropping-particle":"","family":"Likozar","given":"Blaž","non-dropping-particle":"","parse-names":false,"suffix":""},{"dropping-particle":"","family":"Grilc","given":"Miha","non-dropping-particle":"","parse-names":false,"suffix":""}],"container-title":"Journal of CO2 Utilization","id":"ITEM-1","issue":"October","issued":{"date-parts":[["2022","12"]]},"page":"102250","title":"Heterogeneous catalytic materials for carboxylation reactions with CO2 as reactant","type":"article-journal","volume":"66"},"uris":["http://www.mendeley.com/documents/?uuid=39cf3344-89fa-4c2e-83c2-610342fe379e"]},{"id":"ITEM-2","itemData":{"DOI":"10.3303/CET1865118","ISBN":"9788895608624","ISSN":"22839216","abstract":"The use of bio-based resources for the production of added value products has become a key element of sustainable development. In this regard, biorefinery is a recognized approach to transforming renewable feedstocks into fuels, chemicals, and materials. However, the integration of chemicals production into current biorefineries is challenging. This route is the least developed and most complex of all biorefinery operations and bio-based chemicals suffer from direct competition with oil-based counterparts. Additionally, the overabundance of targets makes difficulty the decision making for companies. As such, there is a need to identify a core group of primary chemicals and secondary intermediates analogous to those in the petrochemical industry, including products with well-established value chains. To address some of these challenges, this work intends to contribute with ideas for the use of glycerol as a feedstock for polymers production. These polymers may be produced directly from glycerol or from some organic acid derived from glycerol. Such organic acids are in general flexible building blocks which may result in polymers for several applications, such as packaging materials and textile fibers, insulation foam, electronics and car parts. Among organic acids, succinic acid and lactic acid has a great potential to be used in the production of specialty polymers for medical implants because these materials can combine biodegradability with biocompatibility. Bearing this in mind, potential conversion routes of glycerol to lactic acid-derived specialty polymers are discussed in this work.","author":[{"dropping-particle":"","family":"Assumpção","given":"Daniel C.","non-dropping-particle":"","parse-names":false,"suffix":""},{"dropping-particle":"","family":"Barbosa","given":"Maria Ingrid R.","non-dropping-particle":"","parse-names":false,"suffix":""},{"dropping-particle":"","family":"Mariano","given":"Adriano P.","non-dropping-particle":"","parse-names":false,"suffix":""},{"dropping-particle":"","family":"Jardini","given":"André","non-dropping-particle":"","parse-names":false,"suffix":""},{"dropping-particle":"","family":"Maciel","given":"Maria Regina W.","non-dropping-particle":"","parse-names":false,"suffix":""},{"dropping-particle":"","family":"Filho","given":"Rubens Maciel","non-dropping-particle":"","parse-names":false,"suffix":""}],"container-title":"Chemical Engineering Transactions","id":"ITEM-2","issued":{"date-parts":[["2018"]]},"page":"703-708","title":"Investigation for sustainable polymers - Insights for the use of glycerol as a biorefinery product for the synthesis of monomers and polymers","type":"article-journal","volume":"65"},"uris":["http://www.mendeley.com/documents/?uuid=b5135c00-5132-4ed3-bc35-a9518d898519"]}],"mendeley":{"formattedCitation":"(Assumpção et al. 2018; Kojčinović, Likozar, and Grilc 2022)","plainTextFormattedCitation":"(Assumpção et al. 2018; Kojčinović, Likozar, and Grilc 2022)","previouslyFormattedCitation":"(Assumpção et al. 2018; Kojčinović, Likozar, and Grilc 2022)"},"properties":{"noteIndex":0},"schema":"https://github.com/citation-style-language/schema/raw/master/csl-citation.json"}</w:instrText>
      </w:r>
      <w:r w:rsidR="00EB1703" w:rsidRPr="006D77D2">
        <w:rPr>
          <w:rFonts w:cs="Arial"/>
          <w:bCs/>
          <w:lang w:val="en-US"/>
        </w:rPr>
        <w:fldChar w:fldCharType="separate"/>
      </w:r>
      <w:r w:rsidR="00142997" w:rsidRPr="006D77D2">
        <w:rPr>
          <w:rFonts w:cs="Arial"/>
          <w:bCs/>
          <w:noProof/>
          <w:lang w:val="en-US"/>
        </w:rPr>
        <w:t>(Assumpção et al. 2018; Kojčinović, Likozar, and Grilc 2022)</w:t>
      </w:r>
      <w:r w:rsidR="00EB1703" w:rsidRPr="006D77D2">
        <w:rPr>
          <w:rFonts w:cs="Arial"/>
          <w:bCs/>
          <w:lang w:val="en-US"/>
        </w:rPr>
        <w:fldChar w:fldCharType="end"/>
      </w:r>
      <w:r w:rsidRPr="006D77D2">
        <w:rPr>
          <w:rFonts w:cs="Arial"/>
          <w:bCs/>
          <w:lang w:val="en-US"/>
        </w:rPr>
        <w:t>. The increasing demand for GC has driven research into efficient production methods, including the transesterification of glycerol (a biodiesel byproduct) with dimethyl carbonate (DMC)</w:t>
      </w:r>
      <w:r w:rsidR="008241AF" w:rsidRPr="006D77D2">
        <w:rPr>
          <w:rFonts w:cs="Arial"/>
          <w:bCs/>
          <w:lang w:val="en-US"/>
        </w:rPr>
        <w:t xml:space="preserve"> </w:t>
      </w:r>
      <w:r w:rsidR="008241AF" w:rsidRPr="006D77D2">
        <w:rPr>
          <w:rFonts w:cs="Arial"/>
          <w:bCs/>
          <w:lang w:val="en-US"/>
        </w:rPr>
        <w:fldChar w:fldCharType="begin" w:fldLock="1"/>
      </w:r>
      <w:r w:rsidR="00D711BA" w:rsidRPr="006D77D2">
        <w:rPr>
          <w:rFonts w:cs="Arial"/>
          <w:bCs/>
          <w:lang w:val="en-US"/>
        </w:rPr>
        <w:instrText>ADDIN CSL_CITATION {"citationItems":[{"id":"ITEM-1","itemData":{"URL":"https://www.maximizemarketresearch.com/market-report/global-glycerol-carbonate-market/119135/","accessed":{"date-parts":[["2024","7","31"]]},"author":[{"dropping-particle":"","family":"MMR","given":"","non-dropping-particle":"","parse-names":false,"suffix":""}],"id":"ITEM-1","issued":{"date-parts":[["2024"]]},"title":"Glycerol Carbonate Market – Global Industry Analysis and Forecast (2024-2030)","type":"webpage"},"uris":["http://www.mendeley.com/documents/?uuid=5d018d14-fe24-4af2-a78a-59872b950ef8"]}],"mendeley":{"formattedCitation":"(MMR 2024)","plainTextFormattedCitation":"(MMR 2024)","previouslyFormattedCitation":"(MMR 2024)"},"properties":{"noteIndex":0},"schema":"https://github.com/citation-style-language/schema/raw/master/csl-citation.json"}</w:instrText>
      </w:r>
      <w:r w:rsidR="008241AF" w:rsidRPr="006D77D2">
        <w:rPr>
          <w:rFonts w:cs="Arial"/>
          <w:bCs/>
          <w:lang w:val="en-US"/>
        </w:rPr>
        <w:fldChar w:fldCharType="separate"/>
      </w:r>
      <w:r w:rsidR="008241AF" w:rsidRPr="006D77D2">
        <w:rPr>
          <w:rFonts w:cs="Arial"/>
          <w:bCs/>
          <w:noProof/>
          <w:lang w:val="en-US"/>
        </w:rPr>
        <w:t>(MMR 2024)</w:t>
      </w:r>
      <w:r w:rsidR="008241AF" w:rsidRPr="006D77D2">
        <w:rPr>
          <w:rFonts w:cs="Arial"/>
          <w:bCs/>
          <w:lang w:val="en-US"/>
        </w:rPr>
        <w:fldChar w:fldCharType="end"/>
      </w:r>
      <w:r w:rsidRPr="006D77D2">
        <w:rPr>
          <w:rFonts w:cs="Arial"/>
          <w:bCs/>
          <w:lang w:val="en-US"/>
        </w:rPr>
        <w:t>. Biodiesel production generates glycerol in significant quantities (10% wt. per ton), creating a surplus that has lowered its commercial value and highlighted the need for valorization strategies</w:t>
      </w:r>
      <w:r w:rsidR="008241AF" w:rsidRPr="006D77D2">
        <w:rPr>
          <w:rFonts w:cs="Arial"/>
          <w:bCs/>
          <w:lang w:val="en-US"/>
        </w:rPr>
        <w:t xml:space="preserve"> </w:t>
      </w:r>
      <w:r w:rsidR="008241AF" w:rsidRPr="006D77D2">
        <w:rPr>
          <w:rFonts w:cs="Arial"/>
          <w:bCs/>
          <w:lang w:val="en-US"/>
        </w:rPr>
        <w:fldChar w:fldCharType="begin" w:fldLock="1"/>
      </w:r>
      <w:r w:rsidR="00052BB9" w:rsidRPr="006D77D2">
        <w:rPr>
          <w:rFonts w:cs="Arial"/>
          <w:bCs/>
          <w:lang w:val="en-US"/>
        </w:rPr>
        <w:instrText>ADDIN CSL_CITATION {"citationItems":[{"id":"ITEM-1","itemData":{"DOI":"10.1016/j.crgsc.2021.100199","ISSN":"26660865","abstract":"The utilization of CO2 as a feedstock to produce valuable chemical products is an important area of research in the field of sustainable chemistry and climate change. It addresses the challenge of rising CO2 atmospheric levels and also the concern that the fossil fuels which are the major source of carbon-based raw materials used in the chemical industry are predicted to be depleted in the near future. This review examines the advances and challenges in the glycerol carbonylation with CO2 to produce glycerol carbonate. Glycerol is the main by-product of the biodiesel industry and its surplus is creating a lot of disposal challenges to this budding industry. Thus, its reaction with CO2 is very attractive because the process converts two wastes into a high value-added product. In this review, the nature and performance of different homogeneous and heterogeneous catalysts are discussed with respect to the attendant process conditions and their effects on conversion and selectivity in the reaction of CO2 and glycerol. Metal free catalyst systems for the same process have also been explored and their efficiency discussed. The presence of dehydrating agents has been found to play a key role in improving selectivity of glycerol carbonate formation when using a variety of catalyst systems. The role of other key reaction parameters such as solvent, pressure and temperature have also been highlighted. Mechanistic insights for the production of glycerol carbonate from CO2 and glycerol have been presented.","author":[{"dropping-particle":"","family":"Lukato","given":"Simon","non-dropping-particle":"","parse-names":false,"suffix":""},{"dropping-particle":"","family":"Kasozi","given":"Gabriel N.","non-dropping-particle":"","parse-names":false,"suffix":""},{"dropping-particle":"","family":"Naziriwo","given":"Betty","non-dropping-particle":"","parse-names":false,"suffix":""},{"dropping-particle":"","family":"Tebandeke","given":"Emmanuel","non-dropping-particle":"","parse-names":false,"suffix":""}],"container-title":"Current Research in Green and Sustainable Chemistry","id":"ITEM-1","issue":"May","issued":{"date-parts":[["2021"]]},"page":"100199","publisher":"Elsevier Ltd","title":"Glycerol carbonylation with CO2 to form glycerol carbonate: A review of recent developments and challenges","type":"article-journal","volume":"4"},"uris":["http://www.mendeley.com/documents/?uuid=5beaabdf-53bf-44c0-88ef-f3f34a71aeec"]}],"mendeley":{"formattedCitation":"(Lukato et al. 2021)","plainTextFormattedCitation":"(Lukato et al. 2021)","previouslyFormattedCitation":"(Lukato et al. 2021)"},"properties":{"noteIndex":0},"schema":"https://github.com/citation-style-language/schema/raw/master/csl-citation.json"}</w:instrText>
      </w:r>
      <w:r w:rsidR="008241AF" w:rsidRPr="006D77D2">
        <w:rPr>
          <w:rFonts w:cs="Arial"/>
          <w:bCs/>
          <w:lang w:val="en-US"/>
        </w:rPr>
        <w:fldChar w:fldCharType="separate"/>
      </w:r>
      <w:r w:rsidR="00052BB9" w:rsidRPr="006D77D2">
        <w:rPr>
          <w:rFonts w:cs="Arial"/>
          <w:bCs/>
          <w:noProof/>
          <w:lang w:val="en-US"/>
        </w:rPr>
        <w:t>(Lukato et al. 2021)</w:t>
      </w:r>
      <w:r w:rsidR="008241AF" w:rsidRPr="006D77D2">
        <w:rPr>
          <w:rFonts w:cs="Arial"/>
          <w:bCs/>
          <w:lang w:val="en-US"/>
        </w:rPr>
        <w:fldChar w:fldCharType="end"/>
      </w:r>
      <w:r w:rsidRPr="006D77D2">
        <w:rPr>
          <w:rFonts w:cs="Arial"/>
          <w:bCs/>
          <w:lang w:val="en-US"/>
        </w:rPr>
        <w:t>.The transesterification process offers a sustainable alternative to traditional GC synthesis, often catalyzed by heterogeneous materials like CaO, K</w:t>
      </w:r>
      <w:r w:rsidRPr="006D77D2">
        <w:rPr>
          <w:rFonts w:ascii="Cambria Math" w:hAnsi="Cambria Math" w:cs="Cambria Math"/>
          <w:bCs/>
          <w:lang w:val="en-US"/>
        </w:rPr>
        <w:t>₂</w:t>
      </w:r>
      <w:r w:rsidRPr="006D77D2">
        <w:rPr>
          <w:rFonts w:cs="Arial"/>
          <w:bCs/>
          <w:lang w:val="en-US"/>
        </w:rPr>
        <w:t>CO</w:t>
      </w:r>
      <w:r w:rsidRPr="006D77D2">
        <w:rPr>
          <w:rFonts w:ascii="Cambria Math" w:hAnsi="Cambria Math" w:cs="Cambria Math"/>
          <w:bCs/>
          <w:lang w:val="en-US"/>
        </w:rPr>
        <w:t>₃</w:t>
      </w:r>
      <w:r w:rsidRPr="006D77D2">
        <w:rPr>
          <w:rFonts w:cs="Arial"/>
          <w:bCs/>
          <w:lang w:val="en-US"/>
        </w:rPr>
        <w:t>, and zeolites</w:t>
      </w:r>
      <w:r w:rsidR="002363A0" w:rsidRPr="006D77D2">
        <w:rPr>
          <w:rFonts w:cs="Arial"/>
          <w:bCs/>
          <w:lang w:val="en-US"/>
        </w:rPr>
        <w:t xml:space="preserve"> </w:t>
      </w:r>
      <w:r w:rsidR="002363A0" w:rsidRPr="006D77D2">
        <w:rPr>
          <w:rFonts w:cs="Arial"/>
          <w:bCs/>
          <w:lang w:val="en-US"/>
        </w:rPr>
        <w:fldChar w:fldCharType="begin" w:fldLock="1"/>
      </w:r>
      <w:r w:rsidR="001A2584" w:rsidRPr="006D77D2">
        <w:rPr>
          <w:rFonts w:cs="Arial"/>
          <w:bCs/>
          <w:lang w:val="en-US"/>
        </w:rPr>
        <w:instrText>ADDIN CSL_CITATION {"citationItems":[{"id":"ITEM-1","itemData":{"DOI":"10.1016/j.rser.2016.08.020","ISSN":"13640321","abstract":"The increasing use of bio-based fuels and fuel additives, among them biodiesel, causes significant surplus of crude glycerol on the market which creates new challenges in terms of its sustainable utilization. A lot of ways for the incorporation of this by-product into different branches of industry requires purification by expensive and complicated processes. Therefore, researchers are seeking for applications of untreated crude glycerol. Among the possibilities, much attention is drawn to the polymer chemistry and technology. This branch of industry is one of the biggest consumers of glycerol after food, pharmaceutical and personal care applications sectors, and probably the biggest one that does not require complicated purification of glycerol resulting from biodiesel technology. Crude glycerol can be applied in the number of processes such as fermentation, oxidation, esterification and transesterification, biomass liquefaction, oligomerization and polymerization, carboxylation, glycerolysis, hydrogenolysis, dehydration or dihydroxylation. This paper summarizes the use of glycerol in polymer technology and the attempts of crude glycerol incorporation into this field reported in literature.","author":[{"dropping-particle":"","family":"Hejna","given":"Aleksander","non-dropping-particle":"","parse-names":false,"suffix":""},{"dropping-particle":"","family":"Kosmela","given":"Paulina","non-dropping-particle":"","parse-names":false,"suffix":""},{"dropping-particle":"","family":"Formela","given":"Krzysztof","non-dropping-particle":"","parse-names":false,"suffix":""},{"dropping-particle":"","family":"Piszczyk","given":"Łukasz","non-dropping-particle":"","parse-names":false,"suffix":""},{"dropping-particle":"","family":"Haponiuk","given":"Józef T.","non-dropping-particle":"","parse-names":false,"suffix":""}],"container-title":"Renewable and Sustainable Energy Reviews","id":"ITEM-1","issued":{"date-parts":[["2016","12"]]},"page":"449-475","title":"Potential applications of crude glycerol in polymer technology–Current state and perspectives","type":"article-journal","volume":"66"},"uris":["http://www.mendeley.com/documents/?uuid=787546c7-23f1-471e-8171-de74dba3fbcf"]},{"id":"ITEM-2","itemData":{"DOI":"10.1016/j.cej.2013.04.109","ISSN":"13858947","abstract":"The extruded CaO-based catalysts are prepared and used for the synthesis of glycerol carbonate from glycerol and dimethyl carbonate. The effects of binders (diatomite, kaolin, and activated alumina), pore-forming agents (polyacrylamide, activated carbon, and polyethylene glycol), and calcination temperatures (700°C, 800°C, and 900°C) on the catalytic activity and stability of the catalyst are investigated. XRD, FT-IR, BET, and SEM are used for the characterization of the prepared catalyst. It is found that the stability of CaO catalyst can be increased by extruding it using activated alumina as the binder and using polyacrylamide, or activated carbon, or polyethylene glycol as the pore forming agent. Under the CaO/binder mass ratio of 3:1, calcination temperature of 800°C, and reaction temperature of 80°C, the glycerol conversion and glycerol carbonate yield for the fresh CaO/Al2O3(polya, 3) catalyst can reach 95.39% and 90.57%, respectively. At the fifth recycling, the glycerol conversion and glycerol carbonate yield for the recovered CaO/Al2O3(polya, 3) catalyst still can reach 65.47% and 62.53%, respectively, which are far higher than for CaO powder catalyst. The extruded catalyst also has a certain water-resistance performance. The catalyst characterization shows the active site of the extruded CaO-based catalyst is CaO. The extruded catalyst not only has higher surface area, higher pore volume, and larger pore diameter, but also higher mechanical strength, and can be used for the industrial process for producing glycerol carbonate. © 2013 Elsevier B.V.","author":[{"dropping-particle":"","family":"Lu","given":"Pengfei","non-dropping-particle":"","parse-names":false,"suffix":""},{"dropping-particle":"","family":"Wang","given":"Huajun","non-dropping-particle":"","parse-names":false,"suffix":""},{"dropping-particle":"","family":"Hu","given":"Keke","non-dropping-particle":"","parse-names":false,"suffix":""}],"container-title":"Chemical Engineering Journal","id":"ITEM-2","issued":{"date-parts":[["2013","7"]]},"page":"147-154","publisher":"Elsevier B.V.","title":"Synthesis of glycerol carbonate from glycerol and dimethyl carbonate over the extruded CaO-based catalyst","type":"article-journal","volume":"228"},"uris":["http://www.mendeley.com/documents/?uuid=19e57e1b-efb1-45ac-8dbf-6047bb8b52ea"]}],"mendeley":{"formattedCitation":"(Hejna et al. 2016; Lu, Wang, and Hu 2013)","plainTextFormattedCitation":"(Hejna et al. 2016; Lu, Wang, and Hu 2013)","previouslyFormattedCitation":"(Hejna et al. 2016)"},"properties":{"noteIndex":0},"schema":"https://github.com/citation-style-language/schema/raw/master/csl-citation.json"}</w:instrText>
      </w:r>
      <w:r w:rsidR="002363A0" w:rsidRPr="006D77D2">
        <w:rPr>
          <w:rFonts w:cs="Arial"/>
          <w:bCs/>
          <w:lang w:val="en-US"/>
        </w:rPr>
        <w:fldChar w:fldCharType="separate"/>
      </w:r>
      <w:r w:rsidR="001A2584" w:rsidRPr="006D77D2">
        <w:rPr>
          <w:rFonts w:cs="Arial"/>
          <w:bCs/>
          <w:noProof/>
          <w:lang w:val="en-US"/>
        </w:rPr>
        <w:t>(Hejna et al. 2016; Lu, Wang, and Hu 2013)</w:t>
      </w:r>
      <w:r w:rsidR="002363A0" w:rsidRPr="006D77D2">
        <w:rPr>
          <w:rFonts w:cs="Arial"/>
          <w:bCs/>
          <w:lang w:val="en-US"/>
        </w:rPr>
        <w:fldChar w:fldCharType="end"/>
      </w:r>
      <w:r w:rsidRPr="006D77D2">
        <w:rPr>
          <w:rFonts w:cs="Arial"/>
          <w:bCs/>
          <w:lang w:val="en-US"/>
        </w:rPr>
        <w:t>.</w:t>
      </w:r>
      <w:r w:rsidR="001A2584" w:rsidRPr="006D77D2">
        <w:rPr>
          <w:rFonts w:cs="Arial"/>
          <w:bCs/>
          <w:lang w:val="en-US"/>
        </w:rPr>
        <w:t xml:space="preserve"> </w:t>
      </w:r>
      <w:r w:rsidRPr="006D77D2">
        <w:rPr>
          <w:rFonts w:cs="Arial"/>
          <w:bCs/>
          <w:lang w:val="en-US"/>
        </w:rPr>
        <w:t xml:space="preserve">Understanding the kinetics of this reaction is </w:t>
      </w:r>
      <w:r w:rsidR="00A358C9" w:rsidRPr="006D77D2">
        <w:rPr>
          <w:rFonts w:cs="Arial"/>
          <w:bCs/>
          <w:lang w:val="en-US"/>
        </w:rPr>
        <w:t>essential for design, optimization and scale-up</w:t>
      </w:r>
      <w:r w:rsidRPr="006D77D2">
        <w:rPr>
          <w:rFonts w:cs="Arial"/>
          <w:bCs/>
          <w:lang w:val="en-US"/>
        </w:rPr>
        <w:t xml:space="preserve"> </w:t>
      </w:r>
      <w:r w:rsidR="00EB1703" w:rsidRPr="006D77D2">
        <w:rPr>
          <w:rFonts w:cs="Arial"/>
          <w:bCs/>
          <w:lang w:val="en-US"/>
        </w:rPr>
        <w:t xml:space="preserve">of the </w:t>
      </w:r>
      <w:r w:rsidRPr="006D77D2">
        <w:rPr>
          <w:rFonts w:cs="Arial"/>
          <w:bCs/>
          <w:lang w:val="en-US"/>
        </w:rPr>
        <w:t>GC production</w:t>
      </w:r>
      <w:r w:rsidR="004820A7" w:rsidRPr="006D77D2">
        <w:rPr>
          <w:rFonts w:cs="Arial"/>
          <w:bCs/>
          <w:lang w:val="en-US"/>
        </w:rPr>
        <w:t xml:space="preserve"> process</w:t>
      </w:r>
      <w:r w:rsidR="00A358C9" w:rsidRPr="006D77D2">
        <w:rPr>
          <w:rFonts w:cs="Arial"/>
          <w:bCs/>
          <w:lang w:val="en-US"/>
        </w:rPr>
        <w:t xml:space="preserve"> </w:t>
      </w:r>
      <w:r w:rsidR="00A358C9" w:rsidRPr="006D77D2">
        <w:rPr>
          <w:rFonts w:cs="Arial"/>
          <w:bCs/>
          <w:lang w:val="en-US"/>
        </w:rPr>
        <w:fldChar w:fldCharType="begin" w:fldLock="1"/>
      </w:r>
      <w:r w:rsidR="009A1796" w:rsidRPr="006D77D2">
        <w:rPr>
          <w:rFonts w:cs="Arial"/>
          <w:bCs/>
          <w:lang w:val="en-US"/>
        </w:rPr>
        <w:instrText>ADDIN CSL_CITATION {"citationItems":[{"id":"ITEM-1","itemData":{"ISBN":"978-1-292-41668-7","author":[{"dropping-particle":"","family":"Fogler","given":"H. Scott","non-dropping-particle":"","parse-names":false,"suffix":""}],"edition":"6th","id":"ITEM-1","issued":{"date-parts":[["2022"]]},"number-of-pages":"1076","publisher":"Pearson Education Limited","publisher-place":"Harlow, UK","title":"Elements of Chemical Reaction Engineering","type":"book"},"uris":["http://www.mendeley.com/documents/?uuid=9d2136dc-8851-4d2e-adba-1ddfd5b6e947"]}],"mendeley":{"formattedCitation":"(Fogler 2022)","plainTextFormattedCitation":"(Fogler 2022)","previouslyFormattedCitation":"(Fogler 2022)"},"properties":{"noteIndex":0},"schema":"https://github.com/citation-style-language/schema/raw/master/csl-citation.json"}</w:instrText>
      </w:r>
      <w:r w:rsidR="00A358C9" w:rsidRPr="006D77D2">
        <w:rPr>
          <w:rFonts w:cs="Arial"/>
          <w:bCs/>
          <w:lang w:val="en-US"/>
        </w:rPr>
        <w:fldChar w:fldCharType="separate"/>
      </w:r>
      <w:r w:rsidR="009A1796" w:rsidRPr="006D77D2">
        <w:rPr>
          <w:rFonts w:cs="Arial"/>
          <w:bCs/>
          <w:noProof/>
          <w:lang w:val="en-US"/>
        </w:rPr>
        <w:t>(Fogler 2022)</w:t>
      </w:r>
      <w:r w:rsidR="00A358C9" w:rsidRPr="006D77D2">
        <w:rPr>
          <w:rFonts w:cs="Arial"/>
          <w:bCs/>
          <w:lang w:val="en-US"/>
        </w:rPr>
        <w:fldChar w:fldCharType="end"/>
      </w:r>
      <w:r w:rsidRPr="006D77D2">
        <w:rPr>
          <w:rFonts w:cs="Arial"/>
          <w:bCs/>
          <w:lang w:val="en-US"/>
        </w:rPr>
        <w:t xml:space="preserve">. Accurate kinetic parameter estimation enables predictive </w:t>
      </w:r>
      <w:r w:rsidR="004D5A46" w:rsidRPr="006D77D2">
        <w:rPr>
          <w:rFonts w:cs="Arial"/>
          <w:bCs/>
          <w:lang w:val="en-US"/>
        </w:rPr>
        <w:t xml:space="preserve">the </w:t>
      </w:r>
      <w:r w:rsidR="000E4DD0" w:rsidRPr="006D77D2">
        <w:rPr>
          <w:rFonts w:cs="Arial"/>
          <w:bCs/>
          <w:lang w:val="en-US"/>
        </w:rPr>
        <w:t>reactive system</w:t>
      </w:r>
      <w:r w:rsidR="001C0981" w:rsidRPr="006D77D2">
        <w:rPr>
          <w:rFonts w:cs="Arial"/>
          <w:bCs/>
          <w:lang w:val="en-US"/>
        </w:rPr>
        <w:t>’s</w:t>
      </w:r>
      <w:r w:rsidR="000E4DD0" w:rsidRPr="006D77D2">
        <w:rPr>
          <w:rFonts w:cs="Arial"/>
          <w:bCs/>
          <w:lang w:val="en-US"/>
        </w:rPr>
        <w:t xml:space="preserve"> </w:t>
      </w:r>
      <w:r w:rsidR="00416C8D" w:rsidRPr="006D77D2">
        <w:rPr>
          <w:rFonts w:cs="Arial"/>
          <w:bCs/>
          <w:lang w:val="en-US"/>
        </w:rPr>
        <w:t>behavior</w:t>
      </w:r>
      <w:r w:rsidR="000E4DD0" w:rsidRPr="006D77D2">
        <w:rPr>
          <w:rFonts w:cs="Arial"/>
          <w:bCs/>
          <w:lang w:val="en-US"/>
        </w:rPr>
        <w:t xml:space="preserve"> and effects of operating parameters</w:t>
      </w:r>
      <w:r w:rsidRPr="006D77D2">
        <w:rPr>
          <w:rFonts w:cs="Arial"/>
          <w:bCs/>
          <w:lang w:val="en-US"/>
        </w:rPr>
        <w:t>.</w:t>
      </w:r>
      <w:r w:rsidR="00856B2A" w:rsidRPr="006D77D2">
        <w:rPr>
          <w:rFonts w:cs="Arial"/>
          <w:bCs/>
          <w:lang w:val="en-US"/>
        </w:rPr>
        <w:t xml:space="preserve"> </w:t>
      </w:r>
      <w:r w:rsidR="00342AFD" w:rsidRPr="006D77D2">
        <w:rPr>
          <w:rFonts w:cs="Arial"/>
          <w:bCs/>
          <w:lang w:val="en-US"/>
        </w:rPr>
        <w:t>However, many kinetic studies lack transparency and educational accessibility, often omitting step-by-step derivations, parameter estimation procedures, or clear computational implementation—barriers for students with limited coding experience</w:t>
      </w:r>
      <w:r w:rsidR="000C530C" w:rsidRPr="006D77D2">
        <w:rPr>
          <w:rFonts w:cs="Arial"/>
          <w:bCs/>
          <w:lang w:val="en-US"/>
        </w:rPr>
        <w:t>.</w:t>
      </w:r>
      <w:r w:rsidR="008D228E" w:rsidRPr="006D77D2">
        <w:rPr>
          <w:rFonts w:cs="Arial"/>
          <w:bCs/>
          <w:lang w:val="en-US"/>
        </w:rPr>
        <w:t xml:space="preserve"> </w:t>
      </w:r>
      <w:r w:rsidR="00C6080E" w:rsidRPr="006D77D2">
        <w:rPr>
          <w:rFonts w:cs="Arial"/>
          <w:bCs/>
          <w:lang w:val="en-US"/>
        </w:rPr>
        <w:t xml:space="preserve">This study addresses that gap by proposing a didactic methodology for kinetic parameter estimation, tailored to chemical engineering education. Using the glycerol–DMC transesterification as a case study, experimental data from two heterogeneous catalysts (CaO and carbide slag) under varying conditions were analyzed </w:t>
      </w:r>
      <w:r w:rsidR="00206F73" w:rsidRPr="006D77D2">
        <w:rPr>
          <w:rFonts w:cs="Arial"/>
          <w:bCs/>
          <w:lang w:val="en-US"/>
        </w:rPr>
        <w:fldChar w:fldCharType="begin" w:fldLock="1"/>
      </w:r>
      <w:r w:rsidR="00D711BA" w:rsidRPr="006D77D2">
        <w:rPr>
          <w:rFonts w:cs="Arial"/>
          <w:bCs/>
          <w:lang w:val="en-US"/>
        </w:rPr>
        <w:instrText>ADDIN CSL_CITATION {"citationItems":[{"id":"ITEM-1","itemData":{"DOI":"10.1016/j.apcata.2009.07.020","ISSN":"0926860X","abstract":"The synthesis of glycerol carbonate from glycerol and dimethyl carbonate by transesterification is reported. Firstly, a catalyst screening has been performed by studying the influence of different basic and acid homogeneous and heterogeneous catalysts on reaction results. Catalytic activity is extremely low for acidic catalysts indicating that reaction rate is very slow. On the contrary, high conversions and yields are obtained for basic catalysts. Catalytic activity increases with catalyst basic strength. The best heterogeneous catalyst is CaO. Calcination of CaO increases dramatically its activity due to calcium hydroxide removal from its surface. A reaction optimization study has been carried out with CaO as catalyst by using a factorial design of experiments leading to operation conditions for achieving a 100% conversion and a &gt;95% yield at 1.5 h reaction time: 95 °C, catalyst/glycerol molar ratio = 0.06 and dimethyl carbonate/glycerol molar ratio = 3.5. Carbonate glycerol can be easily isolated by filtering the catalyst out and evaporating the filtrate at vacuum. Leaching of catalyst in reaction medium was lower than 0.34%. Catalyst recycling leads to a quick decrease in both conversions and yields probably due to a combination of catalyst deactivation by CaO exposure to air between catalytic runs, and a decrease in the catalyst surface area available for reaction due to particle agglomeration. © 2009 Elsevier B.V. All rights reserved.","author":[{"dropping-particle":"","family":"Ochoa-Gómez","given":"José R.","non-dropping-particle":"","parse-names":false,"suffix":""},{"dropping-particle":"","family":"Gómez-Jiménez-Aberasturi","given":"Olga","non-dropping-particle":"","parse-names":false,"suffix":""},{"dropping-particle":"","family":"Maestro-Madurga","given":"Belén","non-dropping-particle":"","parse-names":false,"suffix":""},{"dropping-particle":"","family":"Pesquera-Rodríguez","given":"Amaia","non-dropping-particle":"","parse-names":false,"suffix":""},{"dropping-particle":"","family":"Ramírez-López","given":"Camilo","non-dropping-particle":"","parse-names":false,"suffix":""},{"dropping-particle":"","family":"Lorenzo-Ibarreta","given":"Leire","non-dropping-particle":"","parse-names":false,"suffix":""},{"dropping-particle":"","family":"Torrecilla-Soria","given":"Jesús","non-dropping-particle":"","parse-names":false,"suffix":""},{"dropping-particle":"","family":"Villarán-Velasco","given":"María C.","non-dropping-particle":"","parse-names":false,"suffix":""}],"container-title":"Applied Catalysis A: General","id":"ITEM-1","issue":"2","issued":{"date-parts":[["2009","9"]]},"page":"315-324","title":"Synthesis of glycerol carbonate from glycerol and dimethyl carbonate by transesterification: Catalyst screening and reaction optimization","type":"article-journal","volume":"366"},"uris":["http://www.mendeley.com/documents/?uuid=2831506e-e79e-444e-98df-771ac529bc97"]},{"id":"ITEM-2","itemData":{"DOI":"10.1155/2021/9300442","ISSN":"1687-9430","abstract":"Na2CO3 was loaded onto waste carbide slag (CS) by impregnation-calcination method to prepare the solid base catalyst, which was used to synthesize glycerol carbonate (GC) by the transesterification of glycerol with dimethyl carbonate (DMC). The prepared catalysts were characterized by a scanning electron microscope (SEM), thermogravimetric analysis (TGA), X-ray diffraction (XRD), Fourier transform infrared spectroscopy (FTIR), and Brunner−Emmet−Teller (BET) techniques. The catalyst 15 wt.% Na2CO3-CS-800, which was prepared by impregnating CS to the Na2CO3 solution with the concentration of 15 wt.% weight of CS and calcined at 800°C for 3 hours, showed an excellent catalytic ability. When it was applied in the catalytic synthesis of GC, 98.1% glycerol conversion and 96.0% GC yield were achieved in 90 mins at 75°C with the catalyst dosage of 3 wt.% to total reactants and the DMC to glycerol molar ratio of 5. More importantly, the loading of Na2CO3 can effectively improve the reusability of catalyst. The 15 wt.% Na2CO3-CS-800 can still achieve 83.6% glycerol conversion and 80.5% GC yield after five-time reuse. Meanwhile, under the same reaction conditions, the CS-800, which was obtained by calcining CS at 800°C for 3 hours, experienced significant activity reduction with only 15.2% glycerol conversion and 14.1% GC yield after five-time reuse. FTIR and XRD characterization revealed that CO32- might play a key role in preserving active catalytic CaO component by forming protective CaCO3 shell on the catalyst surface.","author":[{"dropping-particle":"","family":"Wang","given":"Jianye","non-dropping-particle":"","parse-names":false,"suffix":""},{"dropping-particle":"","family":"Wang","given":"Zhu","non-dropping-particle":"","parse-names":false,"suffix":""},{"dropping-particle":"","family":"Liu","given":"Haifeng","non-dropping-particle":"","parse-names":false,"suffix":""},{"dropping-particle":"","family":"Wang","given":"Song","non-dropping-particle":"","parse-names":false,"suffix":""},{"dropping-particle":"","family":"Sun","given":"Yifeng","non-dropping-particle":"","parse-names":false,"suffix":""}],"container-title":"International Journal of Polymer Science","editor":[{"dropping-particle":"","family":"Perez","given":"Victor Haber","non-dropping-particle":"","parse-names":false,"suffix":""}],"id":"ITEM-2","issue":"i","issued":{"date-parts":[["2021","12","7"]]},"page":"1-14","title":"Synthesis of Glycerol Carbonate from Glycerol and Dimethyl Carbonate Catalyzed by Solid Base Catalyst Derived from Waste Carbide Slag","type":"article-journal","volume":"2021"},"uris":["http://www.mendeley.com/documents/?uuid=e2144d7a-6d74-4546-97e4-f4cbe2fd6ca3"]}],"mendeley":{"formattedCitation":"(Ochoa-Gómez et al. 2009; Wang et al. 2021)","plainTextFormattedCitation":"(Ochoa-Gómez et al. 2009; Wang et al. 2021)","previouslyFormattedCitation":"(Ochoa-Gómez et al. 2009; Wang et al. 2021)"},"properties":{"noteIndex":0},"schema":"https://github.com/citation-style-language/schema/raw/master/csl-citation.json"}</w:instrText>
      </w:r>
      <w:r w:rsidR="00206F73" w:rsidRPr="006D77D2">
        <w:rPr>
          <w:rFonts w:cs="Arial"/>
          <w:bCs/>
          <w:lang w:val="en-US"/>
        </w:rPr>
        <w:fldChar w:fldCharType="separate"/>
      </w:r>
      <w:r w:rsidR="00206F73" w:rsidRPr="006D77D2">
        <w:rPr>
          <w:rFonts w:cs="Arial"/>
          <w:bCs/>
          <w:noProof/>
          <w:lang w:val="en-US"/>
        </w:rPr>
        <w:t>(Ochoa-Gómez et al. 2009; Wang et al. 2021)</w:t>
      </w:r>
      <w:r w:rsidR="00206F73" w:rsidRPr="006D77D2">
        <w:rPr>
          <w:rFonts w:cs="Arial"/>
          <w:bCs/>
          <w:lang w:val="en-US"/>
        </w:rPr>
        <w:fldChar w:fldCharType="end"/>
      </w:r>
      <w:r w:rsidRPr="006D77D2">
        <w:rPr>
          <w:rFonts w:cs="Arial"/>
          <w:bCs/>
          <w:lang w:val="en-US"/>
        </w:rPr>
        <w:t xml:space="preserve">, </w:t>
      </w:r>
      <w:r w:rsidR="00C6080E" w:rsidRPr="006D77D2">
        <w:rPr>
          <w:rFonts w:cs="Arial"/>
          <w:bCs/>
          <w:lang w:val="en-US"/>
        </w:rPr>
        <w:t xml:space="preserve">Both elementary and non-elementary rate laws were applied within a pseudo-homogeneous model, and kinetic parameters were estimated by minimizing the error between experimental and </w:t>
      </w:r>
      <w:r w:rsidR="00C6080E" w:rsidRPr="006D77D2">
        <w:rPr>
          <w:rFonts w:cs="Arial"/>
          <w:bCs/>
          <w:lang w:val="en-US"/>
        </w:rPr>
        <w:lastRenderedPageBreak/>
        <w:t>calculated conversions using MATLAB®. The methodology provides students with practical tools to connect theoretical kinetics with computational modeling, preparing them for real-world challenges. Additionally, it highlights the importance of integrating kinetic analysis with computational tools for efficient process design</w:t>
      </w:r>
      <w:r w:rsidR="004164B0" w:rsidRPr="006D77D2">
        <w:rPr>
          <w:rFonts w:cs="Arial"/>
          <w:bCs/>
          <w:lang w:val="en-US"/>
        </w:rPr>
        <w:t>.</w:t>
      </w:r>
    </w:p>
    <w:p w14:paraId="4ACF82B7" w14:textId="02EB7BCA" w:rsidR="002A619F" w:rsidRPr="006D77D2" w:rsidRDefault="002A619F" w:rsidP="004C3480">
      <w:pPr>
        <w:pStyle w:val="CETHeading1"/>
        <w:numPr>
          <w:ilvl w:val="1"/>
          <w:numId w:val="26"/>
        </w:numPr>
        <w:rPr>
          <w:rFonts w:cs="Arial"/>
          <w:szCs w:val="22"/>
        </w:rPr>
      </w:pPr>
      <w:r w:rsidRPr="006D77D2">
        <w:rPr>
          <w:rFonts w:cs="Arial"/>
          <w:szCs w:val="22"/>
        </w:rPr>
        <w:t>Synthesis of glycerol carbonate from glycerol and dimethyl carbonate</w:t>
      </w:r>
    </w:p>
    <w:p w14:paraId="40159F34" w14:textId="42EFF409" w:rsidR="007B6B21" w:rsidRPr="006D77D2" w:rsidRDefault="007B5D4E" w:rsidP="00A376D7">
      <w:pPr>
        <w:spacing w:line="240" w:lineRule="auto"/>
        <w:rPr>
          <w:rFonts w:cs="Arial"/>
          <w:lang w:val="en-US"/>
        </w:rPr>
      </w:pPr>
      <w:r w:rsidRPr="006D77D2">
        <w:rPr>
          <w:rFonts w:cs="Arial"/>
          <w:lang w:val="en-US"/>
        </w:rPr>
        <w:t>The simultaneous synthesis of glycerol carbonate (GC) and methanol (M) from glycerol (G) and dimethyl carbonate (DMC) is carried out via a heterogeneous liquid-phase chemical reaction using CaO as a catalyst:</w:t>
      </w:r>
      <w:r w:rsidR="00AC21AC" w:rsidRPr="006D77D2">
        <w:rPr>
          <w:rFonts w:cs="Arial"/>
          <w:lang w:val="en-US"/>
        </w:rPr>
        <w:t xml:space="preserve"> C</w:t>
      </w:r>
      <w:r w:rsidR="00AC21AC" w:rsidRPr="006D77D2">
        <w:rPr>
          <w:rFonts w:cs="Arial"/>
          <w:vertAlign w:val="subscript"/>
          <w:lang w:val="en-US"/>
        </w:rPr>
        <w:t>3</w:t>
      </w:r>
      <w:r w:rsidR="00AC21AC" w:rsidRPr="006D77D2">
        <w:rPr>
          <w:rFonts w:cs="Arial"/>
          <w:lang w:val="en-US"/>
        </w:rPr>
        <w:t>H</w:t>
      </w:r>
      <w:r w:rsidR="00AC21AC" w:rsidRPr="006D77D2">
        <w:rPr>
          <w:rFonts w:cs="Arial"/>
          <w:vertAlign w:val="subscript"/>
          <w:lang w:val="en-US"/>
        </w:rPr>
        <w:t>8</w:t>
      </w:r>
      <w:r w:rsidR="00AC21AC" w:rsidRPr="006D77D2">
        <w:rPr>
          <w:rFonts w:cs="Arial"/>
          <w:lang w:val="en-US"/>
        </w:rPr>
        <w:t>O</w:t>
      </w:r>
      <w:r w:rsidR="00AC21AC" w:rsidRPr="006D77D2">
        <w:rPr>
          <w:rFonts w:cs="Arial"/>
          <w:vertAlign w:val="subscript"/>
          <w:lang w:val="en-US"/>
        </w:rPr>
        <w:t>3</w:t>
      </w:r>
      <w:r w:rsidR="00AC21AC" w:rsidRPr="006D77D2">
        <w:rPr>
          <w:rFonts w:cs="Arial"/>
          <w:lang w:val="en-US"/>
        </w:rPr>
        <w:t xml:space="preserve"> + C</w:t>
      </w:r>
      <w:r w:rsidR="00AC21AC" w:rsidRPr="006D77D2">
        <w:rPr>
          <w:rFonts w:cs="Arial"/>
          <w:vertAlign w:val="subscript"/>
          <w:lang w:val="en-US"/>
        </w:rPr>
        <w:t>3</w:t>
      </w:r>
      <w:r w:rsidR="00AC21AC" w:rsidRPr="006D77D2">
        <w:rPr>
          <w:rFonts w:cs="Arial"/>
          <w:lang w:val="en-US"/>
        </w:rPr>
        <w:t>H</w:t>
      </w:r>
      <w:r w:rsidR="00AC21AC" w:rsidRPr="006D77D2">
        <w:rPr>
          <w:rFonts w:cs="Arial"/>
          <w:vertAlign w:val="subscript"/>
          <w:lang w:val="en-US"/>
        </w:rPr>
        <w:t>6</w:t>
      </w:r>
      <w:r w:rsidR="00AC21AC" w:rsidRPr="006D77D2">
        <w:rPr>
          <w:rFonts w:cs="Arial"/>
          <w:lang w:val="en-US"/>
        </w:rPr>
        <w:t>O</w:t>
      </w:r>
      <w:r w:rsidR="00AC21AC" w:rsidRPr="006D77D2">
        <w:rPr>
          <w:rFonts w:cs="Arial"/>
          <w:vertAlign w:val="subscript"/>
          <w:lang w:val="en-US"/>
        </w:rPr>
        <w:t>3</w:t>
      </w:r>
      <w:r w:rsidR="00AC21AC" w:rsidRPr="006D77D2">
        <w:rPr>
          <w:rFonts w:cs="Arial"/>
          <w:lang w:val="en-US"/>
        </w:rPr>
        <w:t xml:space="preserve"> ↔ C</w:t>
      </w:r>
      <w:r w:rsidR="00AC21AC" w:rsidRPr="006D77D2">
        <w:rPr>
          <w:rFonts w:cs="Arial"/>
          <w:vertAlign w:val="subscript"/>
          <w:lang w:val="en-US"/>
        </w:rPr>
        <w:t>4</w:t>
      </w:r>
      <w:r w:rsidR="00AC21AC" w:rsidRPr="006D77D2">
        <w:rPr>
          <w:rFonts w:cs="Arial"/>
          <w:lang w:val="en-US"/>
        </w:rPr>
        <w:t>H</w:t>
      </w:r>
      <w:r w:rsidR="00AC21AC" w:rsidRPr="006D77D2">
        <w:rPr>
          <w:rFonts w:cs="Arial"/>
          <w:vertAlign w:val="subscript"/>
          <w:lang w:val="en-US"/>
        </w:rPr>
        <w:t>6</w:t>
      </w:r>
      <w:r w:rsidR="00AC21AC" w:rsidRPr="006D77D2">
        <w:rPr>
          <w:rFonts w:cs="Arial"/>
          <w:lang w:val="en-US"/>
        </w:rPr>
        <w:t>O</w:t>
      </w:r>
      <w:r w:rsidR="00AC21AC" w:rsidRPr="006D77D2">
        <w:rPr>
          <w:rFonts w:cs="Arial"/>
          <w:vertAlign w:val="subscript"/>
          <w:lang w:val="en-US"/>
        </w:rPr>
        <w:t>4</w:t>
      </w:r>
      <w:r w:rsidR="00AC21AC" w:rsidRPr="006D77D2">
        <w:rPr>
          <w:rFonts w:cs="Arial"/>
          <w:lang w:val="en-US"/>
        </w:rPr>
        <w:t xml:space="preserve"> + 2CH</w:t>
      </w:r>
      <w:r w:rsidR="00AC21AC" w:rsidRPr="006D77D2">
        <w:rPr>
          <w:rFonts w:cs="Arial"/>
          <w:vertAlign w:val="subscript"/>
          <w:lang w:val="en-US"/>
        </w:rPr>
        <w:t>4</w:t>
      </w:r>
      <w:r w:rsidR="00AC21AC" w:rsidRPr="006D77D2">
        <w:rPr>
          <w:rFonts w:cs="Arial"/>
          <w:lang w:val="en-US"/>
        </w:rPr>
        <w:t>O (</w:t>
      </w:r>
      <w:r w:rsidR="00C2071C" w:rsidRPr="006D77D2">
        <w:rPr>
          <w:rFonts w:cs="Arial"/>
          <w:lang w:val="en-US"/>
        </w:rPr>
        <w:t>G + DMC ↔ GC + 2M</w:t>
      </w:r>
      <w:r w:rsidR="00AC21AC" w:rsidRPr="006D77D2">
        <w:rPr>
          <w:rFonts w:cs="Arial"/>
          <w:lang w:val="en-US"/>
        </w:rPr>
        <w:t>).</w:t>
      </w:r>
      <w:r w:rsidR="00C2071C" w:rsidRPr="006D77D2">
        <w:rPr>
          <w:rFonts w:cs="Arial"/>
          <w:lang w:val="en-US"/>
        </w:rPr>
        <w:t xml:space="preserve"> </w:t>
      </w:r>
      <w:r w:rsidR="004D67C9" w:rsidRPr="006D77D2">
        <w:rPr>
          <w:rFonts w:cs="Arial"/>
          <w:szCs w:val="18"/>
          <w:lang w:val="en-US"/>
        </w:rPr>
        <w:t>Langmuir-Hinshelwood (LH) reaction mechanisms for this system have been proposed by</w:t>
      </w:r>
      <w:r w:rsidR="002A619F" w:rsidRPr="006D77D2">
        <w:rPr>
          <w:rFonts w:cs="Arial"/>
          <w:szCs w:val="18"/>
          <w:lang w:val="en-US"/>
        </w:rPr>
        <w:t xml:space="preserve"> </w:t>
      </w:r>
      <w:r w:rsidR="002A619F" w:rsidRPr="006D77D2">
        <w:rPr>
          <w:rFonts w:cs="Arial"/>
          <w:szCs w:val="18"/>
          <w:lang w:val="en-US"/>
        </w:rPr>
        <w:fldChar w:fldCharType="begin" w:fldLock="1"/>
      </w:r>
      <w:r w:rsidR="00D711BA" w:rsidRPr="006D77D2">
        <w:rPr>
          <w:rFonts w:cs="Arial"/>
          <w:szCs w:val="18"/>
          <w:lang w:val="en-US"/>
        </w:rPr>
        <w:instrText>ADDIN CSL_CITATION {"citationItems":[{"id":"ITEM-1","itemData":{"DOI":"10.1016/j.apcata.2009.07.020","ISSN":"0926860X","abstract":"The synthesis of glycerol carbonate from glycerol and dimethyl carbonate by transesterification is reported. Firstly, a catalyst screening has been performed by studying the influence of different basic and acid homogeneous and heterogeneous catalysts on reaction results. Catalytic activity is extremely low for acidic catalysts indicating that reaction rate is very slow. On the contrary, high conversions and yields are obtained for basic catalysts. Catalytic activity increases with catalyst basic strength. The best heterogeneous catalyst is CaO. Calcination of CaO increases dramatically its activity due to calcium hydroxide removal from its surface. A reaction optimization study has been carried out with CaO as catalyst by using a factorial design of experiments leading to operation conditions for achieving a 100% conversion and a &gt;95% yield at 1.5 h reaction time: 95 °C, catalyst/glycerol molar ratio = 0.06 and dimethyl carbonate/glycerol molar ratio = 3.5. Carbonate glycerol can be easily isolated by filtering the catalyst out and evaporating the filtrate at vacuum. Leaching of catalyst in reaction medium was lower than 0.34%. Catalyst recycling leads to a quick decrease in both conversions and yields probably due to a combination of catalyst deactivation by CaO exposure to air between catalytic runs, and a decrease in the catalyst surface area available for reaction due to particle agglomeration. © 2009 Elsevier B.V. All rights reserved.","author":[{"dropping-particle":"","family":"Ochoa-Gómez","given":"José R.","non-dropping-particle":"","parse-names":false,"suffix":""},{"dropping-particle":"","family":"Gómez-Jiménez-Aberasturi","given":"Olga","non-dropping-particle":"","parse-names":false,"suffix":""},{"dropping-particle":"","family":"Maestro-Madurga","given":"Belén","non-dropping-particle":"","parse-names":false,"suffix":""},{"dropping-particle":"","family":"Pesquera-Rodríguez","given":"Amaia","non-dropping-particle":"","parse-names":false,"suffix":""},{"dropping-particle":"","family":"Ramírez-López","given":"Camilo","non-dropping-particle":"","parse-names":false,"suffix":""},{"dropping-particle":"","family":"Lorenzo-Ibarreta","given":"Leire","non-dropping-particle":"","parse-names":false,"suffix":""},{"dropping-particle":"","family":"Torrecilla-Soria","given":"Jesús","non-dropping-particle":"","parse-names":false,"suffix":""},{"dropping-particle":"","family":"Villarán-Velasco","given":"María C.","non-dropping-particle":"","parse-names":false,"suffix":""}],"container-title":"Applied Catalysis A: General","id":"ITEM-1","issue":"2","issued":{"date-parts":[["2009","9"]]},"page":"315-324","title":"Synthesis of glycerol carbonate from glycerol and dimethyl carbonate by transesterification: Catalyst screening and reaction optimization","type":"article-journal","volume":"366"},"uris":["http://www.mendeley.com/documents/?uuid=2831506e-e79e-444e-98df-771ac529bc97"]},{"id":"ITEM-2","itemData":{"DOI":"10.1002/er.7281","ISSN":"0363-907X","abstract":"Glycerol carbonate (GC) was synthesized by transesterification of glycerol with dimethyl carbonate (DMC) using calcium oxide (CaO) derived from eggshell as a catalyst. The best results of 96% glycerol conversion and 94% GC yield were achieved under the following reaction conditions: 0.08 mole ratio of CaO to glycerol, 1:2.5 mole ratio of glycerol to DMC, 60°C reaction temperature, and 3 hours reaction time. As expected, CaO showed deteriorated catalytic performance when recycling as observed by a rapid decrease in GC yield. This research showed that the active CaO phase first was converted to calcium methoxide (Ca[OCH3]2) and calcium diglyceroxide (Ca[C3H7O3]2) and finally to carbonate phase (CaCO3) which can be confirmed by XRD patterns. According to the phase transformation, the basicity decreased from 0.482 mmol/g to 0.023 mmol/g, and basic strength altered from strong basic strength (15.0 &lt; H_ &lt; 18.4) to weak basic strength (7.2 &lt; H_ &lt; 9.8), resulting in the lower catalytic activity of the consecutive runs. Despite the fact that the GC selectivity was almost 100%, the reaction products (methanol and GC) were not obtained in their stoichiometric ratio and their extents corresponded with that of the catalyst phase transformation to CaCO3. The mechanism of CaO catalyzed transesterification based on the condensation reaction of glycerol and catalyst was proposed, and in situ formation of water-derivative species was hypothesized as a cause of CaO transformation. CaO could react with DMC and water, generating methanol and CaCO3. This enabled unconventional monitoring of catalyst deactivation by checking if the mole ratio of methanol to GC was higher than 2:1 of its reaction stoichiometric ratio. It was also demonstrated that calcination of post-run catalyst at 900°C to CaO exhibited almost constant catalytic activity, and the mole ratio of methanol to GC was constant at its reaction stoichiometry (2:1) for at least 4 times use.","author":[{"dropping-particle":"","family":"Praikaew","given":"Wanichaya","non-dropping-particle":"","parse-names":false,"suffix":""},{"dropping-particle":"","family":"Kiatkittipong","given":"Worapon","non-dropping-particle":"","parse-names":false,"suffix":""},{"dropping-particle":"","family":"Aiouache","given":"Farid","non-dropping-particle":"","parse-names":false,"suffix":""},{"dropping-particle":"","family":"Najdanovic</w:instrText>
      </w:r>
      <w:r w:rsidR="00D711BA" w:rsidRPr="006D77D2">
        <w:rPr>
          <w:rFonts w:ascii="Cambria Math" w:hAnsi="Cambria Math" w:cs="Cambria Math"/>
          <w:szCs w:val="18"/>
          <w:lang w:val="en-US"/>
        </w:rPr>
        <w:instrText>‐</w:instrText>
      </w:r>
      <w:r w:rsidR="00D711BA" w:rsidRPr="006D77D2">
        <w:rPr>
          <w:rFonts w:cs="Arial"/>
          <w:szCs w:val="18"/>
          <w:lang w:val="en-US"/>
        </w:rPr>
        <w:instrText>Visak","given":"Vesna","non-dropping-particle":"","parse-names":false,"suffix":""},{"dropping-particle":"","family":"Termtanun","given":"Mutsee","non-dropping-particle":"","parse-names":false,"suffix":""},{"dropping-particle":"","family":"Lim","given":"Jun Wei","non-dropping-particle":"","parse-names":false,"suffix":""},{"dropping-particle":"","family":"Lam","given":"Su Shiung","non-dropping-particle":"","parse-names":false,"suffix":""},{"dropping-particle":"","family":"Kiatkittipong","given":"Kunlanan","non-dropping-particle":"","parse-names":false,"suffix":""},{"dropping-particle":"","family":"Laosiripojana","given":"Navadol","non-dropping-particle":"","parse-names":false,"suffix":""},{"dropping-particle":"","family":"Boonyasuwat","given":"Sunya","non-dropping-particle":"","parse-names":false,"suffix":""},{"dropping-particle":"","family":"Assabumrungrat","given":"Suttichai","non-dropping-particle":"","parse-names":false,"suffix":""}],"container-title":"International Journal of Energy Research","id":"ITEM-2","issue":"2","issued":{"date-parts":[["2022","2","15"]]},"page":"1646-1658","title":"Mechanism of CaO catalyst deactivation with unconventional monitoring method for glycerol carbonate production via transesterification of glycerol with dimethyl carbonate","type":"article-journal","volume":"46"},"uris":["http://www.mendeley.com/documents/?uuid=185225d4-61d1-4be7-ad95-16411bc619dd"]}],"mendeley":{"formattedCitation":"(Ochoa-Gómez et al. 2009; Praikaew et al. 2022)","plainTextFormattedCitation":"(Ochoa-Gómez et al. 2009; Praikaew et al. 2022)","previouslyFormattedCitation":"(Ochoa-Gómez et al. 2009; Praikaew et al. 2022)"},"properties":{"noteIndex":0},"schema":"https://github.com/citation-style-language/schema/raw/master/csl-citation.json"}</w:instrText>
      </w:r>
      <w:r w:rsidR="002A619F" w:rsidRPr="006D77D2">
        <w:rPr>
          <w:rFonts w:cs="Arial"/>
          <w:szCs w:val="18"/>
          <w:lang w:val="en-US"/>
        </w:rPr>
        <w:fldChar w:fldCharType="separate"/>
      </w:r>
      <w:r w:rsidR="00B86355" w:rsidRPr="006D77D2">
        <w:rPr>
          <w:rFonts w:cs="Arial"/>
          <w:noProof/>
          <w:szCs w:val="18"/>
          <w:lang w:val="en-US"/>
        </w:rPr>
        <w:t>(Ochoa-Gómez et al. 2009; Praikaew et al. 2022)</w:t>
      </w:r>
      <w:r w:rsidR="002A619F" w:rsidRPr="006D77D2">
        <w:rPr>
          <w:rFonts w:cs="Arial"/>
          <w:szCs w:val="18"/>
          <w:lang w:val="en-US"/>
        </w:rPr>
        <w:fldChar w:fldCharType="end"/>
      </w:r>
      <w:r w:rsidR="002A619F" w:rsidRPr="006D77D2">
        <w:rPr>
          <w:rFonts w:cs="Arial"/>
          <w:szCs w:val="18"/>
          <w:lang w:val="en-US"/>
        </w:rPr>
        <w:t xml:space="preserve">. </w:t>
      </w:r>
      <w:r w:rsidR="004D67C9" w:rsidRPr="006D77D2">
        <w:rPr>
          <w:rFonts w:cs="Arial"/>
          <w:szCs w:val="18"/>
          <w:lang w:val="en-US"/>
        </w:rPr>
        <w:t>When a reaction rate equation is derived from</w:t>
      </w:r>
      <w:r w:rsidR="00DC0A12" w:rsidRPr="006D77D2">
        <w:rPr>
          <w:rFonts w:cs="Arial"/>
          <w:lang w:val="en-US"/>
        </w:rPr>
        <w:t xml:space="preserve"> </w:t>
      </w:r>
      <w:r w:rsidR="00DC0A12" w:rsidRPr="006D77D2">
        <w:rPr>
          <w:rFonts w:cs="Arial"/>
          <w:lang w:val="en-US"/>
        </w:rPr>
        <w:fldChar w:fldCharType="begin" w:fldLock="1"/>
      </w:r>
      <w:r w:rsidR="00E02B68" w:rsidRPr="006D77D2">
        <w:rPr>
          <w:rFonts w:cs="Arial"/>
          <w:lang w:val="en-US"/>
        </w:rPr>
        <w:instrText>ADDIN CSL_CITATION {"citationItems":[{"id":"ITEM-1","itemData":{"DOI":"10.1016/j.apcata.2009.07.020","ISSN":"0926860X","abstract":"The synthesis of glycerol carbonate from glycerol and dimethyl carbonate by transesterification is reported. Firstly, a catalyst screening has been performed by studying the influence of different basic and acid homogeneous and heterogeneous catalysts on reaction results. Catalytic activity is extremely low for acidic catalysts indicating that reaction rate is very slow. On the contrary, high conversions and yields are obtained for basic catalysts. Catalytic activity increases with catalyst basic strength. The best heterogeneous catalyst is CaO. Calcination of CaO increases dramatically its activity due to calcium hydroxide removal from its surface. A reaction optimization study has been carried out with CaO as catalyst by using a factorial design of experiments leading to operation conditions for achieving a 100% conversion and a &gt;95% yield at 1.5 h reaction time: 95 °C, catalyst/glycerol molar ratio = 0.06 and dimethyl carbonate/glycerol molar ratio = 3.5. Carbonate glycerol can be easily isolated by filtering the catalyst out and evaporating the filtrate at vacuum. Leaching of catalyst in reaction medium was lower than 0.34%. Catalyst recycling leads to a quick decrease in both conversions and yields probably due to a combination of catalyst deactivation by CaO exposure to air between catalytic runs, and a decrease in the catalyst surface area available for reaction due to particle agglomeration. © 2009 Elsevier B.V. All rights reserved.","author":[{"dropping-particle":"","family":"Ochoa-Gómez","given":"José R.","non-dropping-particle":"","parse-names":false,"suffix":""},{"dropping-particle":"","family":"Gómez-Jiménez-Aberasturi","given":"Olga","non-dropping-particle":"","parse-names":false,"suffix":""},{"dropping-particle":"","family":"Maestro-Madurga","given":"Belén","non-dropping-particle":"","parse-names":false,"suffix":""},{"dropping-particle":"","family":"Pesquera-Rodríguez","given":"Amaia","non-dropping-particle":"","parse-names":false,"suffix":""},{"dropping-particle":"","family":"Ramírez-López","given":"Camilo","non-dropping-particle":"","parse-names":false,"suffix":""},{"dropping-particle":"","family":"Lorenzo-Ibarreta","given":"Leire","non-dropping-particle":"","parse-names":false,"suffix":""},{"dropping-particle":"","family":"Torrecilla-Soria","given":"Jesús","non-dropping-particle":"","parse-names":false,"suffix":""},{"dropping-particle":"","family":"Villarán-Velasco","given":"María C.","non-dropping-particle":"","parse-names":false,"suffix":""}],"container-title":"Applied Catalysis A: General","id":"ITEM-1","issue":"2","issued":{"date-parts":[["2009","9"]]},"page":"315-324","title":"Synthesis of glycerol carbonate from glycerol and dimethyl carbonate by transesterification: Catalyst screening and reaction optimization","type":"article-journal","volume":"366"},"uris":["http://www.mendeley.com/documents/?uuid=2831506e-e79e-444e-98df-771ac529bc97"]}],"mendeley":{"formattedCitation":"(Ochoa-Gómez et al. 2009)","manualFormatting":"Ochoa-Gómez's et al. (2009)","plainTextFormattedCitation":"(Ochoa-Gómez et al. 2009)","previouslyFormattedCitation":"(Ochoa-Gómez et al. 2009)"},"properties":{"noteIndex":0},"schema":"https://github.com/citation-style-language/schema/raw/master/csl-citation.json"}</w:instrText>
      </w:r>
      <w:r w:rsidR="00DC0A12" w:rsidRPr="006D77D2">
        <w:rPr>
          <w:rFonts w:cs="Arial"/>
          <w:lang w:val="en-US"/>
        </w:rPr>
        <w:fldChar w:fldCharType="separate"/>
      </w:r>
      <w:r w:rsidR="00DC0A12" w:rsidRPr="006D77D2">
        <w:rPr>
          <w:rFonts w:cs="Arial"/>
          <w:noProof/>
          <w:lang w:val="en-US"/>
        </w:rPr>
        <w:t>Ochoa-Gómez</w:t>
      </w:r>
      <w:r w:rsidR="00E02B68" w:rsidRPr="006D77D2">
        <w:rPr>
          <w:rFonts w:cs="Arial"/>
          <w:noProof/>
          <w:lang w:val="en-US"/>
        </w:rPr>
        <w:t>'s</w:t>
      </w:r>
      <w:r w:rsidR="00DC0A12" w:rsidRPr="006D77D2">
        <w:rPr>
          <w:rFonts w:cs="Arial"/>
          <w:noProof/>
          <w:lang w:val="en-US"/>
        </w:rPr>
        <w:t xml:space="preserve"> et al. </w:t>
      </w:r>
      <w:r w:rsidR="00E02B68" w:rsidRPr="006D77D2">
        <w:rPr>
          <w:rFonts w:cs="Arial"/>
          <w:noProof/>
          <w:lang w:val="en-US"/>
        </w:rPr>
        <w:t>(</w:t>
      </w:r>
      <w:r w:rsidR="00DC0A12" w:rsidRPr="006D77D2">
        <w:rPr>
          <w:rFonts w:cs="Arial"/>
          <w:noProof/>
          <w:lang w:val="en-US"/>
        </w:rPr>
        <w:t>2009)</w:t>
      </w:r>
      <w:r w:rsidR="00DC0A12" w:rsidRPr="006D77D2">
        <w:rPr>
          <w:rFonts w:cs="Arial"/>
          <w:lang w:val="en-US"/>
        </w:rPr>
        <w:fldChar w:fldCharType="end"/>
      </w:r>
      <w:r w:rsidR="00DC0A12" w:rsidRPr="006D77D2">
        <w:rPr>
          <w:rFonts w:cs="Arial"/>
          <w:lang w:val="en-US"/>
        </w:rPr>
        <w:t xml:space="preserve"> </w:t>
      </w:r>
      <w:r w:rsidR="004A096B" w:rsidRPr="006D77D2">
        <w:rPr>
          <w:rFonts w:cs="Arial"/>
          <w:lang w:val="en-US"/>
        </w:rPr>
        <w:t xml:space="preserve">mechanism </w:t>
      </w:r>
      <w:r w:rsidR="00F13BE6" w:rsidRPr="006D77D2">
        <w:rPr>
          <w:rFonts w:cs="Arial"/>
          <w:lang w:val="en-US"/>
        </w:rPr>
        <w:t>using Fogler’s rate-controlling step approach, the resulting expression closely resembles a power-law rate equation. Consequently, both elementary and non-elementary power-law rate equations for the general reaction were considered in this study</w:t>
      </w:r>
      <w:r w:rsidR="002A619F" w:rsidRPr="006D77D2">
        <w:rPr>
          <w:rFonts w:cs="Arial"/>
          <w:lang w:val="en-US"/>
        </w:rPr>
        <w:t xml:space="preserve">. </w:t>
      </w:r>
      <w:r w:rsidR="00F13BE6" w:rsidRPr="006D77D2">
        <w:rPr>
          <w:rFonts w:cs="Arial"/>
          <w:lang w:val="en-US"/>
        </w:rPr>
        <w:t xml:space="preserve">Due to the unavailability of experimental data, phenomena such as mass transfer limitations, catalyst deactivation, and </w:t>
      </w:r>
      <w:r w:rsidR="00393EEF" w:rsidRPr="006D77D2">
        <w:rPr>
          <w:rFonts w:cs="Arial"/>
          <w:lang w:val="en-US"/>
        </w:rPr>
        <w:t>effectiveness</w:t>
      </w:r>
      <w:r w:rsidR="00F13BE6" w:rsidRPr="006D77D2">
        <w:rPr>
          <w:rFonts w:cs="Arial"/>
          <w:lang w:val="en-US"/>
        </w:rPr>
        <w:t xml:space="preserve"> factor were not accounted for. Instead, a pseudo-homogeneous model was applied to two experimental data sets</w:t>
      </w:r>
      <w:r w:rsidR="002A619F" w:rsidRPr="006D77D2">
        <w:rPr>
          <w:rFonts w:cs="Arial"/>
          <w:lang w:val="en-US"/>
        </w:rPr>
        <w:t>:</w:t>
      </w:r>
      <w:r w:rsidR="0068444F" w:rsidRPr="006D77D2">
        <w:rPr>
          <w:rFonts w:cs="Arial"/>
          <w:lang w:val="en-US"/>
        </w:rPr>
        <w:t xml:space="preserve"> </w:t>
      </w:r>
      <w:r w:rsidR="00A06E9A" w:rsidRPr="006D77D2">
        <w:rPr>
          <w:rFonts w:cs="Arial"/>
          <w:lang w:val="en-US"/>
        </w:rPr>
        <w:t xml:space="preserve">the </w:t>
      </w:r>
      <w:r w:rsidR="0068444F" w:rsidRPr="006D77D2">
        <w:rPr>
          <w:rFonts w:cs="Arial"/>
          <w:lang w:val="en-US"/>
        </w:rPr>
        <w:t>first one (</w:t>
      </w:r>
      <w:r w:rsidR="002A619F" w:rsidRPr="006D77D2">
        <w:rPr>
          <w:rFonts w:cs="Arial"/>
          <w:lang w:val="en-US"/>
        </w:rPr>
        <w:t>Case 1</w:t>
      </w:r>
      <w:r w:rsidR="0068444F" w:rsidRPr="006D77D2">
        <w:rPr>
          <w:rFonts w:cs="Arial"/>
          <w:lang w:val="en-US"/>
        </w:rPr>
        <w:t>),</w:t>
      </w:r>
      <w:r w:rsidR="002A619F" w:rsidRPr="006D77D2">
        <w:rPr>
          <w:rFonts w:cs="Arial"/>
          <w:lang w:val="en-US"/>
        </w:rPr>
        <w:t xml:space="preserve"> </w:t>
      </w:r>
      <w:r w:rsidR="00393EEF" w:rsidRPr="006D77D2">
        <w:rPr>
          <w:rFonts w:cs="Arial"/>
          <w:lang w:val="en-US"/>
        </w:rPr>
        <w:t xml:space="preserve">glycerol carbonate synthesis based on Ochoa-Gómez’s approach </w:t>
      </w:r>
      <w:r w:rsidR="002A619F" w:rsidRPr="006D77D2">
        <w:rPr>
          <w:rFonts w:cs="Arial"/>
          <w:lang w:val="en-US"/>
        </w:rPr>
        <w:fldChar w:fldCharType="begin" w:fldLock="1"/>
      </w:r>
      <w:r w:rsidR="00D711BA" w:rsidRPr="006D77D2">
        <w:rPr>
          <w:rFonts w:cs="Arial"/>
          <w:lang w:val="en-US"/>
        </w:rPr>
        <w:instrText>ADDIN CSL_CITATION {"citationItems":[{"id":"ITEM-1","itemData":{"DOI":"10.1016/j.apcata.2009.07.020","ISSN":"0926860X","abstract":"The synthesis of glycerol carbonate from glycerol and dimethyl carbonate by transesterification is reported. Firstly, a catalyst screening has been performed by studying the influence of different basic and acid homogeneous and heterogeneous catalysts on reaction results. Catalytic activity is extremely low for acidic catalysts indicating that reaction rate is very slow. On the contrary, high conversions and yields are obtained for basic catalysts. Catalytic activity increases with catalyst basic strength. The best heterogeneous catalyst is CaO. Calcination of CaO increases dramatically its activity due to calcium hydroxide removal from its surface. A reaction optimization study has been carried out with CaO as catalyst by using a factorial design of experiments leading to operation conditions for achieving a 100% conversion and a &gt;95% yield at 1.5 h reaction time: 95 °C, catalyst/glycerol molar ratio = 0.06 and dimethyl carbonate/glycerol molar ratio = 3.5. Carbonate glycerol can be easily isolated by filtering the catalyst out and evaporating the filtrate at vacuum. Leaching of catalyst in reaction medium was lower than 0.34%. Catalyst recycling leads to a quick decrease in both conversions and yields probably due to a combination of catalyst deactivation by CaO exposure to air between catalytic runs, and a decrease in the catalyst surface area available for reaction due to particle agglomeration. © 2009 Elsevier B.V. All rights reserved.","author":[{"dropping-particle":"","family":"Ochoa-Gómez","given":"José R.","non-dropping-particle":"","parse-names":false,"suffix":""},{"dropping-particle":"","family":"Gómez-Jiménez-Aberasturi","given":"Olga","non-dropping-particle":"","parse-names":false,"suffix":""},{"dropping-particle":"","family":"Maestro-Madurga","given":"Belén","non-dropping-particle":"","parse-names":false,"suffix":""},{"dropping-particle":"","family":"Pesquera-Rodríguez","given":"Amaia","non-dropping-particle":"","parse-names":false,"suffix":""},{"dropping-particle":"","family":"Ramírez-López","given":"Camilo","non-dropping-particle":"","parse-names":false,"suffix":""},{"dropping-particle":"","family":"Lorenzo-Ibarreta","given":"Leire","non-dropping-particle":"","parse-names":false,"suffix":""},{"dropping-particle":"","family":"Torrecilla-Soria","given":"Jesús","non-dropping-particle":"","parse-names":false,"suffix":""},{"dropping-particle":"","family":"Villarán-Velasco","given":"María C.","non-dropping-particle":"","parse-names":false,"suffix":""}],"container-title":"Applied Catalysis A: General","id":"ITEM-1","issue":"2","issued":{"date-parts":[["2009","9"]]},"page":"315-324","title":"Synthesis of glycerol carbonate from glycerol and dimethyl carbonate by transesterification: Catalyst screening and reaction optimization","type":"article-journal","volume":"366"},"uris":["http://www.mendeley.com/documents/?uuid=2831506e-e79e-444e-98df-771ac529bc97"]}],"mendeley":{"formattedCitation":"(Ochoa-Gómez et al. 2009)","plainTextFormattedCitation":"(Ochoa-Gómez et al. 2009)","previouslyFormattedCitation":"(Ochoa-Gómez et al. 2009)"},"properties":{"noteIndex":0},"schema":"https://github.com/citation-style-language/schema/raw/master/csl-citation.json"}</w:instrText>
      </w:r>
      <w:r w:rsidR="002A619F" w:rsidRPr="006D77D2">
        <w:rPr>
          <w:rFonts w:cs="Arial"/>
          <w:lang w:val="en-US"/>
        </w:rPr>
        <w:fldChar w:fldCharType="separate"/>
      </w:r>
      <w:r w:rsidR="00B86355" w:rsidRPr="006D77D2">
        <w:rPr>
          <w:rFonts w:cs="Arial"/>
          <w:noProof/>
          <w:lang w:val="en-US"/>
        </w:rPr>
        <w:t>(Ochoa-Gómez et al. 2009)</w:t>
      </w:r>
      <w:r w:rsidR="002A619F" w:rsidRPr="006D77D2">
        <w:rPr>
          <w:rFonts w:cs="Arial"/>
          <w:lang w:val="en-US"/>
        </w:rPr>
        <w:fldChar w:fldCharType="end"/>
      </w:r>
      <w:r w:rsidR="000C5BC8" w:rsidRPr="006D77D2">
        <w:rPr>
          <w:rFonts w:cs="Arial"/>
          <w:lang w:val="en-US"/>
        </w:rPr>
        <w:t xml:space="preserve">, </w:t>
      </w:r>
      <w:r w:rsidR="00DA3F99" w:rsidRPr="006D77D2">
        <w:rPr>
          <w:rFonts w:cs="Arial"/>
          <w:lang w:val="en-US"/>
        </w:rPr>
        <w:t>using an isothermal batch reactor and uncalcined CaO as the catalyst</w:t>
      </w:r>
      <w:r w:rsidR="000739F7" w:rsidRPr="006D77D2">
        <w:rPr>
          <w:rFonts w:cs="Arial"/>
          <w:lang w:val="en-US"/>
        </w:rPr>
        <w:t xml:space="preserve">; and </w:t>
      </w:r>
      <w:r w:rsidR="00A06E9A" w:rsidRPr="006D77D2">
        <w:rPr>
          <w:rFonts w:cs="Arial"/>
          <w:lang w:val="en-US"/>
        </w:rPr>
        <w:t xml:space="preserve">the </w:t>
      </w:r>
      <w:r w:rsidR="000739F7" w:rsidRPr="006D77D2">
        <w:rPr>
          <w:rFonts w:cs="Arial"/>
          <w:lang w:val="en-US"/>
        </w:rPr>
        <w:t xml:space="preserve">second one (Case 2), </w:t>
      </w:r>
      <w:r w:rsidR="00DA3F99" w:rsidRPr="006D77D2">
        <w:rPr>
          <w:rFonts w:cs="Arial"/>
          <w:lang w:val="en-US"/>
        </w:rPr>
        <w:t>glycerol carbonate synthesis based on Wang’s approach</w:t>
      </w:r>
      <w:r w:rsidR="002A619F" w:rsidRPr="006D77D2">
        <w:rPr>
          <w:rFonts w:cs="Arial"/>
          <w:lang w:val="en-US"/>
        </w:rPr>
        <w:t xml:space="preserve"> </w:t>
      </w:r>
      <w:r w:rsidR="002A619F" w:rsidRPr="006D77D2">
        <w:rPr>
          <w:rFonts w:cs="Arial"/>
          <w:lang w:val="en-US"/>
        </w:rPr>
        <w:fldChar w:fldCharType="begin" w:fldLock="1"/>
      </w:r>
      <w:r w:rsidR="00D711BA" w:rsidRPr="006D77D2">
        <w:rPr>
          <w:rFonts w:cs="Arial"/>
          <w:lang w:val="en-US"/>
        </w:rPr>
        <w:instrText>ADDIN CSL_CITATION {"citationItems":[{"id":"ITEM-1","itemData":{"DOI":"10.1155/2021/9300442","ISSN":"1687-9430","abstract":"Na2CO3 was loaded onto waste carbide slag (CS) by impregnation-calcination method to prepare the solid base catalyst, which was used to synthesize glycerol carbonate (GC) by the transesterification of glycerol with dimethyl carbonate (DMC). The prepared catalysts were characterized by a scanning electron microscope (SEM), thermogravimetric analysis (TGA), X-ray diffraction (XRD), Fourier transform infrared spectroscopy (FTIR), and Brunner−Emmet−Teller (BET) techniques. The catalyst 15 wt.% Na2CO3-CS-800, which was prepared by impregnating CS to the Na2CO3 solution with the concentration of 15 wt.% weight of CS and calcined at 800°C for 3 hours, showed an excellent catalytic ability. When it was applied in the catalytic synthesis of GC, 98.1% glycerol conversion and 96.0% GC yield were achieved in 90 mins at 75°C with the catalyst dosage of 3 wt.% to total reactants and the DMC to glycerol molar ratio of 5. More importantly, the loading of Na2CO3 can effectively improve the reusability of catalyst. The 15 wt.% Na2CO3-CS-800 can still achieve 83.6% glycerol conversion and 80.5% GC yield after five-time reuse. Meanwhile, under the same reaction conditions, the CS-800, which was obtained by calcining CS at 800°C for 3 hours, experienced significant activity reduction with only 15.2% glycerol conversion and 14.1% GC yield after five-time reuse. FTIR and XRD characterization revealed that CO32- might play a key role in preserving active catalytic CaO component by forming protective CaCO3 shell on the catalyst surface.","author":[{"dropping-particle":"","family":"Wang","given":"Jianye","non-dropping-particle":"","parse-names":false,"suffix":""},{"dropping-particle":"","family":"Wang","given":"Zhu","non-dropping-particle":"","parse-names":false,"suffix":""},{"dropping-particle":"","family":"Liu","given":"Haifeng","non-dropping-particle":"","parse-names":false,"suffix":""},{"dropping-particle":"","family":"Wang","given":"Song","non-dropping-particle":"","parse-names":false,"suffix":""},{"dropping-particle":"","family":"Sun","given":"Yifeng","non-dropping-particle":"","parse-names":false,"suffix":""}],"container-title":"International Journal of Polymer Science","editor":[{"dropping-particle":"","family":"Perez","given":"Victor Haber","non-dropping-particle":"","parse-names":false,"suffix":""}],"id":"ITEM-1","issue":"i","issued":{"date-parts":[["2021","12","7"]]},"page":"1-14","title":"Synthesis of Glycerol Carbonate from Glycerol and Dimethyl Carbonate Catalyzed by Solid Base Catalyst Derived from Waste Carbide Slag","type":"article-journal","volume":"2021"},"uris":["http://www.mendeley.com/documents/?uuid=e2144d7a-6d74-4546-97e4-f4cbe2fd6ca3"]}],"mendeley":{"formattedCitation":"(Wang et al. 2021)","plainTextFormattedCitation":"(Wang et al. 2021)","previouslyFormattedCitation":"(Wang et al. 2021)"},"properties":{"noteIndex":0},"schema":"https://github.com/citation-style-language/schema/raw/master/csl-citation.json"}</w:instrText>
      </w:r>
      <w:r w:rsidR="002A619F" w:rsidRPr="006D77D2">
        <w:rPr>
          <w:rFonts w:cs="Arial"/>
          <w:lang w:val="en-US"/>
        </w:rPr>
        <w:fldChar w:fldCharType="separate"/>
      </w:r>
      <w:r w:rsidR="00B86355" w:rsidRPr="006D77D2">
        <w:rPr>
          <w:rFonts w:cs="Arial"/>
          <w:noProof/>
          <w:lang w:val="en-US"/>
        </w:rPr>
        <w:t>(Wang et al. 2021)</w:t>
      </w:r>
      <w:r w:rsidR="002A619F" w:rsidRPr="006D77D2">
        <w:rPr>
          <w:rFonts w:cs="Arial"/>
          <w:lang w:val="en-US"/>
        </w:rPr>
        <w:fldChar w:fldCharType="end"/>
      </w:r>
      <w:r w:rsidR="00605C29" w:rsidRPr="006D77D2">
        <w:rPr>
          <w:rFonts w:cs="Arial"/>
          <w:lang w:val="en-US"/>
        </w:rPr>
        <w:t xml:space="preserve">, </w:t>
      </w:r>
      <w:r w:rsidR="00DA3F99" w:rsidRPr="006D77D2">
        <w:rPr>
          <w:rFonts w:cs="Arial"/>
          <w:lang w:val="en-US"/>
        </w:rPr>
        <w:t>using an isothermal batch reactor and a carbide slag catalyst composed of Ca(OH)</w:t>
      </w:r>
      <w:r w:rsidR="00DA3F99" w:rsidRPr="006D77D2">
        <w:rPr>
          <w:rFonts w:ascii="Cambria Math" w:hAnsi="Cambria Math" w:cs="Cambria Math"/>
          <w:lang w:val="en-US"/>
        </w:rPr>
        <w:t>₂</w:t>
      </w:r>
      <w:r w:rsidR="00DA3F99" w:rsidRPr="006D77D2">
        <w:rPr>
          <w:rFonts w:cs="Arial"/>
          <w:lang w:val="en-US"/>
        </w:rPr>
        <w:t xml:space="preserve">, </w:t>
      </w:r>
      <w:proofErr w:type="spellStart"/>
      <w:r w:rsidR="00DA3F99" w:rsidRPr="006D77D2">
        <w:rPr>
          <w:rFonts w:cs="Arial"/>
          <w:lang w:val="en-US"/>
        </w:rPr>
        <w:t>CaCO</w:t>
      </w:r>
      <w:proofErr w:type="spellEnd"/>
      <w:r w:rsidR="00DA3F99" w:rsidRPr="006D77D2">
        <w:rPr>
          <w:rFonts w:ascii="Cambria Math" w:hAnsi="Cambria Math" w:cs="Cambria Math"/>
          <w:lang w:val="en-US"/>
        </w:rPr>
        <w:t>₃</w:t>
      </w:r>
      <w:r w:rsidR="00DA3F99" w:rsidRPr="006D77D2">
        <w:rPr>
          <w:rFonts w:cs="Arial"/>
          <w:lang w:val="en-US"/>
        </w:rPr>
        <w:t xml:space="preserve">, and minor components (MgO, </w:t>
      </w:r>
      <w:proofErr w:type="spellStart"/>
      <w:r w:rsidR="00DA3F99" w:rsidRPr="006D77D2">
        <w:rPr>
          <w:rFonts w:cs="Arial"/>
          <w:lang w:val="en-US"/>
        </w:rPr>
        <w:t>SiO</w:t>
      </w:r>
      <w:proofErr w:type="spellEnd"/>
      <w:r w:rsidR="00DA3F99" w:rsidRPr="006D77D2">
        <w:rPr>
          <w:rFonts w:ascii="Cambria Math" w:hAnsi="Cambria Math" w:cs="Cambria Math"/>
          <w:lang w:val="en-US"/>
        </w:rPr>
        <w:t>₂</w:t>
      </w:r>
      <w:r w:rsidR="00DA3F99" w:rsidRPr="006D77D2">
        <w:rPr>
          <w:rFonts w:cs="Arial"/>
          <w:lang w:val="en-US"/>
        </w:rPr>
        <w:t xml:space="preserve">, </w:t>
      </w:r>
      <w:proofErr w:type="spellStart"/>
      <w:r w:rsidR="00DA3F99" w:rsidRPr="006D77D2">
        <w:rPr>
          <w:rFonts w:cs="Arial"/>
          <w:lang w:val="en-US"/>
        </w:rPr>
        <w:t>Al</w:t>
      </w:r>
      <w:r w:rsidR="00DA3F99" w:rsidRPr="006D77D2">
        <w:rPr>
          <w:rFonts w:ascii="Cambria Math" w:hAnsi="Cambria Math" w:cs="Cambria Math"/>
          <w:lang w:val="en-US"/>
        </w:rPr>
        <w:t>₂</w:t>
      </w:r>
      <w:r w:rsidR="00DA3F99" w:rsidRPr="006D77D2">
        <w:rPr>
          <w:rFonts w:cs="Arial"/>
          <w:lang w:val="en-US"/>
        </w:rPr>
        <w:t>O</w:t>
      </w:r>
      <w:proofErr w:type="spellEnd"/>
      <w:r w:rsidR="00DA3F99" w:rsidRPr="006D77D2">
        <w:rPr>
          <w:rFonts w:ascii="Cambria Math" w:hAnsi="Cambria Math" w:cs="Cambria Math"/>
          <w:lang w:val="en-US"/>
        </w:rPr>
        <w:t>₃</w:t>
      </w:r>
      <w:r w:rsidR="00DA3F99" w:rsidRPr="006D77D2">
        <w:rPr>
          <w:rFonts w:cs="Arial"/>
          <w:lang w:val="en-US"/>
        </w:rPr>
        <w:t xml:space="preserve">, </w:t>
      </w:r>
      <w:proofErr w:type="spellStart"/>
      <w:r w:rsidR="00DA3F99" w:rsidRPr="006D77D2">
        <w:rPr>
          <w:rFonts w:cs="Arial"/>
          <w:lang w:val="en-US"/>
        </w:rPr>
        <w:t>Fe</w:t>
      </w:r>
      <w:r w:rsidR="00DA3F99" w:rsidRPr="006D77D2">
        <w:rPr>
          <w:rFonts w:ascii="Cambria Math" w:hAnsi="Cambria Math" w:cs="Cambria Math"/>
          <w:lang w:val="en-US"/>
        </w:rPr>
        <w:t>₂</w:t>
      </w:r>
      <w:r w:rsidR="00DA3F99" w:rsidRPr="006D77D2">
        <w:rPr>
          <w:rFonts w:cs="Arial"/>
          <w:lang w:val="en-US"/>
        </w:rPr>
        <w:t>O</w:t>
      </w:r>
      <w:proofErr w:type="spellEnd"/>
      <w:r w:rsidR="00DA3F99" w:rsidRPr="006D77D2">
        <w:rPr>
          <w:rFonts w:ascii="Cambria Math" w:hAnsi="Cambria Math" w:cs="Cambria Math"/>
          <w:lang w:val="en-US"/>
        </w:rPr>
        <w:t>₃</w:t>
      </w:r>
      <w:r w:rsidR="00DA3F99" w:rsidRPr="006D77D2">
        <w:rPr>
          <w:rFonts w:cs="Arial"/>
          <w:lang w:val="en-US"/>
        </w:rPr>
        <w:t xml:space="preserve">) impregnated and calcined with </w:t>
      </w:r>
      <w:proofErr w:type="spellStart"/>
      <w:r w:rsidR="00DA3F99" w:rsidRPr="006D77D2">
        <w:rPr>
          <w:rFonts w:cs="Arial"/>
          <w:lang w:val="en-US"/>
        </w:rPr>
        <w:t>Na</w:t>
      </w:r>
      <w:r w:rsidR="00DA3F99" w:rsidRPr="006D77D2">
        <w:rPr>
          <w:rFonts w:ascii="Cambria Math" w:hAnsi="Cambria Math" w:cs="Cambria Math"/>
          <w:lang w:val="en-US"/>
        </w:rPr>
        <w:t>₂</w:t>
      </w:r>
      <w:r w:rsidR="00DA3F99" w:rsidRPr="006D77D2">
        <w:rPr>
          <w:rFonts w:cs="Arial"/>
          <w:lang w:val="en-US"/>
        </w:rPr>
        <w:t>CO</w:t>
      </w:r>
      <w:proofErr w:type="spellEnd"/>
      <w:r w:rsidR="00DA3F99" w:rsidRPr="006D77D2">
        <w:rPr>
          <w:rFonts w:ascii="Cambria Math" w:hAnsi="Cambria Math" w:cs="Cambria Math"/>
          <w:lang w:val="en-US"/>
        </w:rPr>
        <w:t>₃</w:t>
      </w:r>
      <w:r w:rsidR="00A376D7" w:rsidRPr="006D77D2">
        <w:rPr>
          <w:rFonts w:cs="Arial"/>
          <w:lang w:val="en-US"/>
        </w:rPr>
        <w:t xml:space="preserve">. </w:t>
      </w:r>
      <w:r w:rsidR="00FB6773" w:rsidRPr="006D77D2">
        <w:rPr>
          <w:rFonts w:cs="Arial"/>
          <w:lang w:val="en-US"/>
        </w:rPr>
        <w:t>The experimental conditions and methodologies are detailed in the respective references</w:t>
      </w:r>
      <w:r w:rsidR="009425D3" w:rsidRPr="006D77D2">
        <w:rPr>
          <w:rFonts w:cs="Arial"/>
          <w:lang w:val="en-US"/>
        </w:rPr>
        <w:t>.</w:t>
      </w:r>
    </w:p>
    <w:p w14:paraId="06118F33" w14:textId="3C7B4068" w:rsidR="000724CE" w:rsidRPr="006D77D2" w:rsidRDefault="000724CE" w:rsidP="00EE2277">
      <w:pPr>
        <w:pStyle w:val="CETHeading1"/>
        <w:rPr>
          <w:rFonts w:cs="Arial"/>
          <w:bCs/>
        </w:rPr>
      </w:pPr>
      <w:r w:rsidRPr="006D77D2">
        <w:rPr>
          <w:rFonts w:cs="Arial"/>
          <w:bCs/>
        </w:rPr>
        <w:t>Mathematical modeling of the kinetics of glycerol carbonate synthesis</w:t>
      </w:r>
    </w:p>
    <w:p w14:paraId="6AAF3B91" w14:textId="77777777" w:rsidR="000724CE" w:rsidRPr="006D77D2" w:rsidRDefault="000724CE" w:rsidP="00940A3C">
      <w:pPr>
        <w:spacing w:line="240" w:lineRule="auto"/>
        <w:rPr>
          <w:rFonts w:cs="Arial"/>
          <w:szCs w:val="18"/>
          <w:lang w:val="en-US"/>
        </w:rPr>
      </w:pPr>
      <w:r w:rsidRPr="006D77D2">
        <w:rPr>
          <w:rFonts w:cs="Arial"/>
          <w:szCs w:val="18"/>
          <w:lang w:val="en-US"/>
        </w:rPr>
        <w:t>The molar balance of the batch reactor for the first case can adopt the following form:</w:t>
      </w:r>
    </w:p>
    <w:p w14:paraId="615CCB5F" w14:textId="77777777" w:rsidR="00EE2277" w:rsidRPr="006D77D2" w:rsidRDefault="00EE2277" w:rsidP="00940A3C">
      <w:pPr>
        <w:spacing w:line="240" w:lineRule="auto"/>
        <w:rPr>
          <w:rFonts w:cs="Arial"/>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7"/>
        <w:gridCol w:w="490"/>
      </w:tblGrid>
      <w:tr w:rsidR="000724CE" w:rsidRPr="006D77D2" w14:paraId="149CF0DA" w14:textId="77777777" w:rsidTr="007416DC">
        <w:tc>
          <w:tcPr>
            <w:tcW w:w="8338" w:type="dxa"/>
            <w:vAlign w:val="center"/>
          </w:tcPr>
          <w:p w14:paraId="5F8D11AD" w14:textId="6B0A3F54" w:rsidR="000724CE" w:rsidRPr="006D77D2" w:rsidRDefault="00557409" w:rsidP="007416DC">
            <w:pPr>
              <w:spacing w:line="240" w:lineRule="auto"/>
              <w:jc w:val="left"/>
              <w:rPr>
                <w:rFonts w:cs="Arial"/>
                <w:szCs w:val="18"/>
                <w:lang w:val="en-US"/>
              </w:rPr>
            </w:pPr>
            <w:r w:rsidRPr="006D77D2">
              <w:rPr>
                <w:rFonts w:cs="Arial"/>
                <w:position w:val="-26"/>
                <w:szCs w:val="18"/>
                <w:lang w:val="en-US"/>
              </w:rPr>
              <w:object w:dxaOrig="1040" w:dyaOrig="580" w14:anchorId="161AC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29.5pt" o:ole="">
                  <v:imagedata r:id="rId10" o:title=""/>
                </v:shape>
                <o:OLEObject Type="Embed" ProgID="Equation.DSMT4" ShapeID="_x0000_i1025" DrawAspect="Content" ObjectID="_1806657685" r:id="rId11"/>
              </w:object>
            </w:r>
          </w:p>
        </w:tc>
        <w:tc>
          <w:tcPr>
            <w:tcW w:w="490" w:type="dxa"/>
            <w:vAlign w:val="center"/>
          </w:tcPr>
          <w:p w14:paraId="41EBF82F" w14:textId="5AA6B4C4" w:rsidR="000724CE" w:rsidRPr="006D77D2" w:rsidRDefault="000724CE" w:rsidP="00940A3C">
            <w:pPr>
              <w:pStyle w:val="Caption"/>
              <w:keepNext/>
              <w:jc w:val="right"/>
              <w:rPr>
                <w:rFonts w:cs="Arial"/>
                <w:b w:val="0"/>
                <w:color w:val="auto"/>
              </w:rPr>
            </w:pPr>
            <w:bookmarkStart w:id="1" w:name="_Ref170825724"/>
            <w:r w:rsidRPr="006D77D2">
              <w:rPr>
                <w:rFonts w:cs="Arial"/>
                <w:b w:val="0"/>
                <w:color w:val="auto"/>
              </w:rPr>
              <w:t>(</w:t>
            </w:r>
            <w:r w:rsidRPr="006D77D2">
              <w:rPr>
                <w:rFonts w:cs="Arial"/>
                <w:b w:val="0"/>
                <w:color w:val="auto"/>
              </w:rPr>
              <w:fldChar w:fldCharType="begin"/>
            </w:r>
            <w:r w:rsidRPr="006D77D2">
              <w:rPr>
                <w:rFonts w:cs="Arial"/>
                <w:b w:val="0"/>
                <w:color w:val="auto"/>
              </w:rPr>
              <w:instrText xml:space="preserve"> SEQ Ecuación \* ARABIC </w:instrText>
            </w:r>
            <w:r w:rsidRPr="006D77D2">
              <w:rPr>
                <w:rFonts w:cs="Arial"/>
                <w:b w:val="0"/>
                <w:color w:val="auto"/>
              </w:rPr>
              <w:fldChar w:fldCharType="separate"/>
            </w:r>
            <w:r w:rsidR="001D0CA2" w:rsidRPr="006D77D2">
              <w:rPr>
                <w:rFonts w:cs="Arial"/>
                <w:b w:val="0"/>
                <w:noProof/>
                <w:color w:val="auto"/>
              </w:rPr>
              <w:t>1</w:t>
            </w:r>
            <w:r w:rsidRPr="006D77D2">
              <w:rPr>
                <w:rFonts w:cs="Arial"/>
                <w:b w:val="0"/>
                <w:color w:val="auto"/>
              </w:rPr>
              <w:fldChar w:fldCharType="end"/>
            </w:r>
            <w:r w:rsidRPr="006D77D2">
              <w:rPr>
                <w:rFonts w:cs="Arial"/>
                <w:b w:val="0"/>
                <w:color w:val="auto"/>
              </w:rPr>
              <w:t>)</w:t>
            </w:r>
            <w:bookmarkEnd w:id="1"/>
          </w:p>
        </w:tc>
      </w:tr>
    </w:tbl>
    <w:p w14:paraId="66A6F90C" w14:textId="77777777" w:rsidR="00EE2277" w:rsidRPr="006D77D2" w:rsidRDefault="00EE2277" w:rsidP="00940A3C">
      <w:pPr>
        <w:spacing w:line="240" w:lineRule="auto"/>
        <w:rPr>
          <w:rFonts w:cs="Arial"/>
          <w:szCs w:val="18"/>
          <w:lang w:val="en-US"/>
        </w:rPr>
      </w:pPr>
    </w:p>
    <w:p w14:paraId="63D0A380" w14:textId="5792E1F4" w:rsidR="000724CE" w:rsidRPr="006D77D2" w:rsidRDefault="000724CE" w:rsidP="00940A3C">
      <w:pPr>
        <w:spacing w:line="240" w:lineRule="auto"/>
        <w:rPr>
          <w:rFonts w:cs="Arial"/>
          <w:szCs w:val="18"/>
          <w:lang w:val="en-US"/>
        </w:rPr>
      </w:pPr>
      <w:r w:rsidRPr="006D77D2">
        <w:rPr>
          <w:rFonts w:cs="Arial"/>
          <w:szCs w:val="18"/>
          <w:lang w:val="en-US"/>
        </w:rPr>
        <w:t xml:space="preserve">Where </w:t>
      </w:r>
      <w:proofErr w:type="spellStart"/>
      <w:r w:rsidRPr="006D77D2">
        <w:rPr>
          <w:rFonts w:cs="Arial"/>
          <w:szCs w:val="18"/>
          <w:lang w:val="en-US"/>
        </w:rPr>
        <w:t>x</w:t>
      </w:r>
      <w:r w:rsidRPr="006D77D2">
        <w:rPr>
          <w:rFonts w:cs="Arial"/>
          <w:szCs w:val="18"/>
          <w:vertAlign w:val="subscript"/>
          <w:lang w:val="en-US"/>
        </w:rPr>
        <w:t>G</w:t>
      </w:r>
      <w:proofErr w:type="spellEnd"/>
      <w:r w:rsidRPr="006D77D2">
        <w:rPr>
          <w:rFonts w:cs="Arial"/>
          <w:szCs w:val="18"/>
          <w:lang w:val="en-US"/>
        </w:rPr>
        <w:t xml:space="preserve"> represents </w:t>
      </w:r>
      <w:bookmarkStart w:id="2" w:name="_Hlk183768040"/>
      <w:r w:rsidRPr="006D77D2">
        <w:rPr>
          <w:rFonts w:cs="Arial"/>
          <w:szCs w:val="18"/>
          <w:lang w:val="en-US"/>
        </w:rPr>
        <w:t>glycerol conversion</w:t>
      </w:r>
      <w:bookmarkEnd w:id="2"/>
      <w:r w:rsidRPr="006D77D2">
        <w:rPr>
          <w:rFonts w:cs="Arial"/>
          <w:szCs w:val="18"/>
          <w:lang w:val="en-US"/>
        </w:rPr>
        <w:t xml:space="preserve">, </w:t>
      </w:r>
      <w:r w:rsidR="00557409" w:rsidRPr="006D77D2">
        <w:rPr>
          <w:rFonts w:cs="Arial"/>
          <w:position w:val="-10"/>
          <w:szCs w:val="18"/>
          <w:lang w:val="en-US"/>
        </w:rPr>
        <w:object w:dxaOrig="200" w:dyaOrig="320" w14:anchorId="1D4538A9">
          <v:shape id="_x0000_i1026" type="#_x0000_t75" style="width:10pt;height:16.5pt" o:ole="">
            <v:imagedata r:id="rId12" o:title=""/>
          </v:shape>
          <o:OLEObject Type="Embed" ProgID="Equation.DSMT4" ShapeID="_x0000_i1026" DrawAspect="Content" ObjectID="_1806657686" r:id="rId13"/>
        </w:object>
      </w:r>
      <w:r w:rsidRPr="006D77D2">
        <w:rPr>
          <w:rFonts w:cs="Arial"/>
          <w:szCs w:val="18"/>
          <w:lang w:val="en-US"/>
        </w:rPr>
        <w:t xml:space="preserve"> (mol/(</w:t>
      </w:r>
      <w:proofErr w:type="spellStart"/>
      <w:r w:rsidRPr="006D77D2">
        <w:rPr>
          <w:rFonts w:cs="Arial"/>
          <w:szCs w:val="18"/>
          <w:lang w:val="en-US"/>
        </w:rPr>
        <w:t>g∙min</w:t>
      </w:r>
      <w:proofErr w:type="spellEnd"/>
      <w:r w:rsidRPr="006D77D2">
        <w:rPr>
          <w:rFonts w:cs="Arial"/>
          <w:szCs w:val="18"/>
          <w:lang w:val="en-US"/>
        </w:rPr>
        <w:t xml:space="preserve">)) is the reaction rate of glycerol, W is the </w:t>
      </w:r>
      <w:bookmarkStart w:id="3" w:name="_Hlk183768215"/>
      <w:r w:rsidRPr="006D77D2">
        <w:rPr>
          <w:rFonts w:cs="Arial"/>
          <w:szCs w:val="18"/>
          <w:lang w:val="en-US"/>
        </w:rPr>
        <w:t xml:space="preserve">catalyst mass </w:t>
      </w:r>
      <w:bookmarkEnd w:id="3"/>
      <w:r w:rsidRPr="006D77D2">
        <w:rPr>
          <w:rFonts w:cs="Arial"/>
          <w:szCs w:val="18"/>
          <w:lang w:val="en-US"/>
        </w:rPr>
        <w:t>(g), N</w:t>
      </w:r>
      <w:r w:rsidRPr="006D77D2">
        <w:rPr>
          <w:rFonts w:cs="Arial"/>
          <w:szCs w:val="18"/>
          <w:vertAlign w:val="subscript"/>
          <w:lang w:val="en-US"/>
        </w:rPr>
        <w:t>A0</w:t>
      </w:r>
      <w:r w:rsidRPr="006D77D2">
        <w:rPr>
          <w:rFonts w:cs="Arial"/>
          <w:szCs w:val="18"/>
          <w:lang w:val="en-US"/>
        </w:rPr>
        <w:t xml:space="preserve"> is the initial mols of glycerol (mol), t is time (min). In turn, the catalyst mass can be calculated by</w:t>
      </w:r>
      <w:r w:rsidR="00720EE2" w:rsidRPr="006D77D2">
        <w:rPr>
          <w:rFonts w:cs="Arial"/>
          <w:szCs w:val="18"/>
          <w:lang w:val="en-US"/>
        </w:rPr>
        <w:t xml:space="preserve"> </w:t>
      </w:r>
      <w:r w:rsidR="001505B4" w:rsidRPr="006D77D2">
        <w:rPr>
          <w:rFonts w:cs="Arial"/>
          <w:position w:val="-10"/>
          <w:szCs w:val="18"/>
          <w:lang w:val="en-US"/>
        </w:rPr>
        <w:object w:dxaOrig="1280" w:dyaOrig="300" w14:anchorId="373C7FAC">
          <v:shape id="_x0000_i1027" type="#_x0000_t75" style="width:63pt;height:15pt" o:ole="">
            <v:imagedata r:id="rId14" o:title=""/>
          </v:shape>
          <o:OLEObject Type="Embed" ProgID="Equation.DSMT4" ShapeID="_x0000_i1027" DrawAspect="Content" ObjectID="_1806657687" r:id="rId15"/>
        </w:object>
      </w:r>
      <w:r w:rsidRPr="006D77D2">
        <w:rPr>
          <w:rFonts w:cs="Arial"/>
          <w:szCs w:val="18"/>
          <w:lang w:val="en-US"/>
        </w:rPr>
        <w:t xml:space="preserve">, where </w:t>
      </w:r>
      <w:proofErr w:type="spellStart"/>
      <w:r w:rsidRPr="006D77D2">
        <w:rPr>
          <w:rFonts w:cs="Arial"/>
          <w:szCs w:val="18"/>
          <w:lang w:val="en-US"/>
        </w:rPr>
        <w:t>N</w:t>
      </w:r>
      <w:r w:rsidRPr="006D77D2">
        <w:rPr>
          <w:rFonts w:cs="Arial"/>
          <w:szCs w:val="18"/>
          <w:vertAlign w:val="subscript"/>
          <w:lang w:val="en-US"/>
        </w:rPr>
        <w:t>cat</w:t>
      </w:r>
      <w:proofErr w:type="spellEnd"/>
      <w:r w:rsidRPr="006D77D2">
        <w:rPr>
          <w:rFonts w:cs="Arial"/>
          <w:szCs w:val="18"/>
          <w:lang w:val="en-US"/>
        </w:rPr>
        <w:t xml:space="preserve"> represents the catalyst mols and </w:t>
      </w:r>
      <w:proofErr w:type="spellStart"/>
      <w:r w:rsidRPr="006D77D2">
        <w:rPr>
          <w:rFonts w:cs="Arial"/>
          <w:szCs w:val="18"/>
          <w:lang w:val="en-US"/>
        </w:rPr>
        <w:t>MW</w:t>
      </w:r>
      <w:r w:rsidRPr="006D77D2">
        <w:rPr>
          <w:rFonts w:cs="Arial"/>
          <w:szCs w:val="18"/>
          <w:vertAlign w:val="subscript"/>
          <w:lang w:val="en-US"/>
        </w:rPr>
        <w:t>cat</w:t>
      </w:r>
      <w:proofErr w:type="spellEnd"/>
      <w:r w:rsidRPr="006D77D2">
        <w:rPr>
          <w:rFonts w:cs="Arial"/>
          <w:szCs w:val="18"/>
          <w:lang w:val="en-US"/>
        </w:rPr>
        <w:t xml:space="preserve"> is its molecular weight. Then, equation </w:t>
      </w:r>
      <w:r w:rsidR="001D0CA2" w:rsidRPr="006D77D2">
        <w:rPr>
          <w:rFonts w:cs="Arial"/>
          <w:szCs w:val="18"/>
          <w:lang w:val="en-US"/>
        </w:rPr>
        <w:t>1</w:t>
      </w:r>
      <w:r w:rsidRPr="006D77D2">
        <w:rPr>
          <w:rFonts w:cs="Arial"/>
          <w:szCs w:val="18"/>
          <w:lang w:val="en-US"/>
        </w:rPr>
        <w:t xml:space="preserve"> can become in,</w:t>
      </w:r>
    </w:p>
    <w:p w14:paraId="2084EEC2" w14:textId="77777777" w:rsidR="00FC5A9E" w:rsidRPr="006D77D2" w:rsidRDefault="00FC5A9E" w:rsidP="00940A3C">
      <w:pPr>
        <w:spacing w:line="240" w:lineRule="auto"/>
        <w:rPr>
          <w:rFonts w:cs="Arial"/>
          <w:szCs w:val="18"/>
          <w:lang w:val="en-US"/>
        </w:rPr>
      </w:pPr>
    </w:p>
    <w:tbl>
      <w:tblPr>
        <w:tblStyle w:val="TableGrid"/>
        <w:tblW w:w="0" w:type="auto"/>
        <w:tblLook w:val="04A0" w:firstRow="1" w:lastRow="0" w:firstColumn="1" w:lastColumn="0" w:noHBand="0" w:noVBand="1"/>
      </w:tblPr>
      <w:tblGrid>
        <w:gridCol w:w="8297"/>
        <w:gridCol w:w="490"/>
      </w:tblGrid>
      <w:tr w:rsidR="000724CE" w:rsidRPr="006D77D2" w14:paraId="75597D53" w14:textId="77777777" w:rsidTr="002D49BF">
        <w:tc>
          <w:tcPr>
            <w:tcW w:w="8338" w:type="dxa"/>
            <w:tcBorders>
              <w:top w:val="nil"/>
              <w:left w:val="nil"/>
              <w:bottom w:val="nil"/>
              <w:right w:val="nil"/>
            </w:tcBorders>
            <w:vAlign w:val="center"/>
          </w:tcPr>
          <w:p w14:paraId="561D4A34" w14:textId="77C0DDF1" w:rsidR="000724CE" w:rsidRPr="006D77D2" w:rsidRDefault="00557409" w:rsidP="007416DC">
            <w:pPr>
              <w:spacing w:line="240" w:lineRule="auto"/>
              <w:jc w:val="left"/>
              <w:rPr>
                <w:rFonts w:cs="Arial"/>
                <w:szCs w:val="18"/>
                <w:lang w:val="en-US"/>
              </w:rPr>
            </w:pPr>
            <w:r w:rsidRPr="006D77D2">
              <w:rPr>
                <w:rFonts w:cs="Arial"/>
                <w:position w:val="-26"/>
                <w:szCs w:val="18"/>
                <w:lang w:val="en-US"/>
              </w:rPr>
              <w:object w:dxaOrig="1579" w:dyaOrig="580" w14:anchorId="039B7700">
                <v:shape id="_x0000_i1028" type="#_x0000_t75" style="width:78pt;height:29.5pt" o:ole="">
                  <v:imagedata r:id="rId16" o:title=""/>
                </v:shape>
                <o:OLEObject Type="Embed" ProgID="Equation.DSMT4" ShapeID="_x0000_i1028" DrawAspect="Content" ObjectID="_1806657688" r:id="rId17"/>
              </w:object>
            </w:r>
          </w:p>
        </w:tc>
        <w:tc>
          <w:tcPr>
            <w:tcW w:w="490" w:type="dxa"/>
            <w:tcBorders>
              <w:top w:val="nil"/>
              <w:left w:val="nil"/>
              <w:bottom w:val="nil"/>
              <w:right w:val="nil"/>
            </w:tcBorders>
            <w:vAlign w:val="center"/>
          </w:tcPr>
          <w:p w14:paraId="3CB48B87" w14:textId="03ED4F03" w:rsidR="000724CE" w:rsidRPr="006D77D2" w:rsidRDefault="000724CE" w:rsidP="00940A3C">
            <w:pPr>
              <w:pStyle w:val="Caption"/>
              <w:keepNext/>
              <w:jc w:val="right"/>
              <w:rPr>
                <w:rFonts w:cs="Arial"/>
                <w:b w:val="0"/>
                <w:color w:val="auto"/>
              </w:rPr>
            </w:pPr>
            <w:r w:rsidRPr="006D77D2">
              <w:rPr>
                <w:rFonts w:cs="Arial"/>
                <w:b w:val="0"/>
                <w:color w:val="auto"/>
              </w:rPr>
              <w:t>(</w:t>
            </w:r>
            <w:r w:rsidRPr="006D77D2">
              <w:rPr>
                <w:rFonts w:cs="Arial"/>
                <w:b w:val="0"/>
                <w:color w:val="auto"/>
              </w:rPr>
              <w:fldChar w:fldCharType="begin"/>
            </w:r>
            <w:r w:rsidRPr="006D77D2">
              <w:rPr>
                <w:rFonts w:cs="Arial"/>
                <w:b w:val="0"/>
                <w:color w:val="auto"/>
              </w:rPr>
              <w:instrText xml:space="preserve"> SEQ Ecuación \* ARABIC </w:instrText>
            </w:r>
            <w:r w:rsidRPr="006D77D2">
              <w:rPr>
                <w:rFonts w:cs="Arial"/>
                <w:b w:val="0"/>
                <w:color w:val="auto"/>
              </w:rPr>
              <w:fldChar w:fldCharType="separate"/>
            </w:r>
            <w:r w:rsidR="001D0CA2" w:rsidRPr="006D77D2">
              <w:rPr>
                <w:rFonts w:cs="Arial"/>
                <w:b w:val="0"/>
                <w:noProof/>
                <w:color w:val="auto"/>
              </w:rPr>
              <w:t>2</w:t>
            </w:r>
            <w:r w:rsidRPr="006D77D2">
              <w:rPr>
                <w:rFonts w:cs="Arial"/>
                <w:b w:val="0"/>
                <w:color w:val="auto"/>
              </w:rPr>
              <w:fldChar w:fldCharType="end"/>
            </w:r>
            <w:r w:rsidRPr="006D77D2">
              <w:rPr>
                <w:rFonts w:cs="Arial"/>
                <w:b w:val="0"/>
                <w:color w:val="auto"/>
              </w:rPr>
              <w:t>)</w:t>
            </w:r>
          </w:p>
        </w:tc>
      </w:tr>
    </w:tbl>
    <w:p w14:paraId="6B7CE821" w14:textId="77777777" w:rsidR="00FC5A9E" w:rsidRPr="006D77D2" w:rsidRDefault="00FC5A9E" w:rsidP="00940A3C">
      <w:pPr>
        <w:spacing w:line="240" w:lineRule="auto"/>
        <w:rPr>
          <w:rFonts w:cs="Arial"/>
          <w:szCs w:val="18"/>
          <w:lang w:val="en-US"/>
        </w:rPr>
      </w:pPr>
    </w:p>
    <w:p w14:paraId="0529DDB4" w14:textId="6E33A103" w:rsidR="000724CE" w:rsidRPr="006D77D2" w:rsidRDefault="000724CE" w:rsidP="00940A3C">
      <w:pPr>
        <w:spacing w:line="240" w:lineRule="auto"/>
        <w:rPr>
          <w:rFonts w:cs="Arial"/>
          <w:szCs w:val="18"/>
          <w:lang w:val="en-US"/>
        </w:rPr>
      </w:pPr>
      <w:r w:rsidRPr="006D77D2">
        <w:rPr>
          <w:rFonts w:cs="Arial"/>
          <w:szCs w:val="18"/>
          <w:lang w:val="en-US"/>
        </w:rPr>
        <w:t>At this last expression, molar catalyst-glycerol ratio can be defined as</w:t>
      </w:r>
      <w:r w:rsidR="001505B4" w:rsidRPr="006D77D2">
        <w:rPr>
          <w:rFonts w:cs="Arial"/>
          <w:szCs w:val="18"/>
          <w:lang w:val="en-US"/>
        </w:rPr>
        <w:t xml:space="preserve"> </w:t>
      </w:r>
      <w:r w:rsidR="00E94894" w:rsidRPr="006D77D2">
        <w:rPr>
          <w:rFonts w:cs="Arial"/>
          <w:position w:val="-12"/>
          <w:szCs w:val="18"/>
          <w:lang w:val="en-US"/>
        </w:rPr>
        <w:object w:dxaOrig="1300" w:dyaOrig="320" w14:anchorId="0C0F5E47">
          <v:shape id="_x0000_i1029" type="#_x0000_t75" style="width:64.5pt;height:16.5pt" o:ole="">
            <v:imagedata r:id="rId18" o:title=""/>
          </v:shape>
          <o:OLEObject Type="Embed" ProgID="Equation.DSMT4" ShapeID="_x0000_i1029" DrawAspect="Content" ObjectID="_1806657689" r:id="rId19"/>
        </w:object>
      </w:r>
      <w:r w:rsidRPr="006D77D2">
        <w:rPr>
          <w:rFonts w:cs="Arial"/>
          <w:szCs w:val="18"/>
          <w:lang w:val="en-US"/>
        </w:rPr>
        <w:t>. Thus, the final molar balance adopts the following way:</w:t>
      </w:r>
    </w:p>
    <w:p w14:paraId="4B3345C3" w14:textId="77777777" w:rsidR="00FC5A9E" w:rsidRPr="006D77D2" w:rsidRDefault="00FC5A9E" w:rsidP="00940A3C">
      <w:pPr>
        <w:spacing w:line="240" w:lineRule="auto"/>
        <w:rPr>
          <w:rFonts w:cs="Arial"/>
          <w:szCs w:val="18"/>
          <w:lang w:val="en-US"/>
        </w:rPr>
      </w:pPr>
    </w:p>
    <w:tbl>
      <w:tblPr>
        <w:tblStyle w:val="TableGrid"/>
        <w:tblW w:w="0" w:type="auto"/>
        <w:tblLook w:val="04A0" w:firstRow="1" w:lastRow="0" w:firstColumn="1" w:lastColumn="0" w:noHBand="0" w:noVBand="1"/>
      </w:tblPr>
      <w:tblGrid>
        <w:gridCol w:w="8297"/>
        <w:gridCol w:w="490"/>
      </w:tblGrid>
      <w:tr w:rsidR="000724CE" w:rsidRPr="006D77D2" w14:paraId="395F2808" w14:textId="77777777" w:rsidTr="002D49BF">
        <w:tc>
          <w:tcPr>
            <w:tcW w:w="8338" w:type="dxa"/>
            <w:tcBorders>
              <w:top w:val="nil"/>
              <w:left w:val="nil"/>
              <w:bottom w:val="nil"/>
              <w:right w:val="nil"/>
            </w:tcBorders>
            <w:vAlign w:val="center"/>
          </w:tcPr>
          <w:p w14:paraId="322B024E" w14:textId="1268EE85" w:rsidR="000724CE" w:rsidRPr="006D77D2" w:rsidRDefault="00B17E1F" w:rsidP="007416DC">
            <w:pPr>
              <w:spacing w:line="240" w:lineRule="auto"/>
              <w:jc w:val="left"/>
              <w:rPr>
                <w:rFonts w:cs="Arial"/>
                <w:szCs w:val="18"/>
                <w:lang w:val="en-US"/>
              </w:rPr>
            </w:pPr>
            <w:r w:rsidRPr="006D77D2">
              <w:rPr>
                <w:rFonts w:cs="Arial"/>
                <w:position w:val="-20"/>
                <w:szCs w:val="18"/>
                <w:lang w:val="en-US"/>
              </w:rPr>
              <w:object w:dxaOrig="1780" w:dyaOrig="499" w14:anchorId="7E30F90A">
                <v:shape id="_x0000_i1030" type="#_x0000_t75" style="width:89.5pt;height:25pt" o:ole="">
                  <v:imagedata r:id="rId20" o:title=""/>
                </v:shape>
                <o:OLEObject Type="Embed" ProgID="Equation.DSMT4" ShapeID="_x0000_i1030" DrawAspect="Content" ObjectID="_1806657690" r:id="rId21"/>
              </w:object>
            </w:r>
          </w:p>
        </w:tc>
        <w:tc>
          <w:tcPr>
            <w:tcW w:w="490" w:type="dxa"/>
            <w:tcBorders>
              <w:top w:val="nil"/>
              <w:left w:val="nil"/>
              <w:bottom w:val="nil"/>
              <w:right w:val="nil"/>
            </w:tcBorders>
            <w:vAlign w:val="center"/>
          </w:tcPr>
          <w:p w14:paraId="370441DA" w14:textId="40C0B336" w:rsidR="000724CE" w:rsidRPr="006D77D2" w:rsidRDefault="000724CE" w:rsidP="00940A3C">
            <w:pPr>
              <w:pStyle w:val="Caption"/>
              <w:keepNext/>
              <w:jc w:val="right"/>
              <w:rPr>
                <w:rFonts w:cs="Arial"/>
                <w:b w:val="0"/>
                <w:color w:val="auto"/>
              </w:rPr>
            </w:pPr>
            <w:bookmarkStart w:id="4" w:name="_Ref171068043"/>
            <w:r w:rsidRPr="006D77D2">
              <w:rPr>
                <w:rFonts w:cs="Arial"/>
                <w:b w:val="0"/>
                <w:color w:val="auto"/>
              </w:rPr>
              <w:t>(</w:t>
            </w:r>
            <w:r w:rsidRPr="006D77D2">
              <w:rPr>
                <w:rFonts w:cs="Arial"/>
                <w:b w:val="0"/>
                <w:color w:val="auto"/>
              </w:rPr>
              <w:fldChar w:fldCharType="begin"/>
            </w:r>
            <w:r w:rsidRPr="006D77D2">
              <w:rPr>
                <w:rFonts w:cs="Arial"/>
                <w:b w:val="0"/>
                <w:color w:val="auto"/>
              </w:rPr>
              <w:instrText xml:space="preserve"> SEQ Ecuación \* ARABIC </w:instrText>
            </w:r>
            <w:r w:rsidRPr="006D77D2">
              <w:rPr>
                <w:rFonts w:cs="Arial"/>
                <w:b w:val="0"/>
                <w:color w:val="auto"/>
              </w:rPr>
              <w:fldChar w:fldCharType="separate"/>
            </w:r>
            <w:r w:rsidR="001D0CA2" w:rsidRPr="006D77D2">
              <w:rPr>
                <w:rFonts w:cs="Arial"/>
                <w:b w:val="0"/>
                <w:noProof/>
                <w:color w:val="auto"/>
              </w:rPr>
              <w:t>3</w:t>
            </w:r>
            <w:r w:rsidRPr="006D77D2">
              <w:rPr>
                <w:rFonts w:cs="Arial"/>
                <w:b w:val="0"/>
                <w:color w:val="auto"/>
              </w:rPr>
              <w:fldChar w:fldCharType="end"/>
            </w:r>
            <w:r w:rsidRPr="006D77D2">
              <w:rPr>
                <w:rFonts w:cs="Arial"/>
                <w:b w:val="0"/>
                <w:color w:val="auto"/>
              </w:rPr>
              <w:t>)</w:t>
            </w:r>
            <w:bookmarkEnd w:id="4"/>
          </w:p>
        </w:tc>
      </w:tr>
    </w:tbl>
    <w:p w14:paraId="46FB4B85" w14:textId="77777777" w:rsidR="00EE2277" w:rsidRPr="006D77D2" w:rsidRDefault="00EE2277" w:rsidP="00940A3C">
      <w:pPr>
        <w:spacing w:line="240" w:lineRule="auto"/>
        <w:rPr>
          <w:rFonts w:cs="Arial"/>
          <w:szCs w:val="18"/>
          <w:lang w:val="en-US"/>
        </w:rPr>
      </w:pPr>
    </w:p>
    <w:p w14:paraId="128F7A99" w14:textId="2679367A" w:rsidR="000724CE" w:rsidRPr="006D77D2" w:rsidRDefault="000724CE" w:rsidP="00940A3C">
      <w:pPr>
        <w:spacing w:line="240" w:lineRule="auto"/>
        <w:rPr>
          <w:rFonts w:cs="Arial"/>
          <w:szCs w:val="18"/>
          <w:lang w:val="en-US"/>
        </w:rPr>
      </w:pPr>
      <w:r w:rsidRPr="006D77D2">
        <w:rPr>
          <w:rFonts w:cs="Arial"/>
          <w:szCs w:val="18"/>
          <w:lang w:val="en-US"/>
        </w:rPr>
        <w:t xml:space="preserve">The experimental conditions for </w:t>
      </w:r>
      <w:r w:rsidR="000D04E9" w:rsidRPr="006D77D2">
        <w:rPr>
          <w:rFonts w:cs="Arial"/>
          <w:szCs w:val="18"/>
          <w:lang w:val="en-US"/>
        </w:rPr>
        <w:t>both cases</w:t>
      </w:r>
      <w:r w:rsidRPr="006D77D2">
        <w:rPr>
          <w:rFonts w:cs="Arial"/>
          <w:szCs w:val="18"/>
          <w:lang w:val="en-US"/>
        </w:rPr>
        <w:t xml:space="preserve"> are described in the </w:t>
      </w:r>
      <w:r w:rsidRPr="006D77D2">
        <w:rPr>
          <w:rFonts w:cs="Arial"/>
          <w:szCs w:val="18"/>
          <w:lang w:val="en-US"/>
        </w:rPr>
        <w:fldChar w:fldCharType="begin"/>
      </w:r>
      <w:r w:rsidRPr="006D77D2">
        <w:rPr>
          <w:rFonts w:cs="Arial"/>
          <w:szCs w:val="18"/>
          <w:lang w:val="en-US"/>
        </w:rPr>
        <w:instrText xml:space="preserve"> REF _Ref170917877 \h  \* MERGEFORMAT </w:instrText>
      </w:r>
      <w:r w:rsidRPr="006D77D2">
        <w:rPr>
          <w:rFonts w:cs="Arial"/>
          <w:szCs w:val="18"/>
          <w:lang w:val="en-US"/>
        </w:rPr>
      </w:r>
      <w:r w:rsidRPr="006D77D2">
        <w:rPr>
          <w:rFonts w:cs="Arial"/>
          <w:szCs w:val="18"/>
          <w:lang w:val="en-US"/>
        </w:rPr>
        <w:fldChar w:fldCharType="separate"/>
      </w:r>
      <w:r w:rsidRPr="006D77D2">
        <w:rPr>
          <w:rFonts w:cs="Arial"/>
          <w:szCs w:val="18"/>
          <w:lang w:val="en-US"/>
        </w:rPr>
        <w:t xml:space="preserve">Table </w:t>
      </w:r>
      <w:r w:rsidRPr="006D77D2">
        <w:rPr>
          <w:rFonts w:cs="Arial"/>
          <w:noProof/>
          <w:szCs w:val="18"/>
          <w:lang w:val="en-US"/>
        </w:rPr>
        <w:t>1</w:t>
      </w:r>
      <w:r w:rsidRPr="006D77D2">
        <w:rPr>
          <w:rFonts w:cs="Arial"/>
          <w:szCs w:val="18"/>
          <w:lang w:val="en-US"/>
        </w:rPr>
        <w:fldChar w:fldCharType="end"/>
      </w:r>
      <w:r w:rsidR="00C150DA" w:rsidRPr="006D77D2">
        <w:rPr>
          <w:rFonts w:cs="Arial"/>
          <w:szCs w:val="18"/>
          <w:lang w:val="en-US"/>
        </w:rPr>
        <w:t>, except that case two directly takes the form of expression 1.</w:t>
      </w:r>
    </w:p>
    <w:p w14:paraId="2612A5DF" w14:textId="77777777" w:rsidR="00293931" w:rsidRPr="006D77D2" w:rsidRDefault="00293931" w:rsidP="00940A3C">
      <w:pPr>
        <w:spacing w:line="240" w:lineRule="auto"/>
        <w:rPr>
          <w:rFonts w:cs="Arial"/>
          <w:szCs w:val="18"/>
          <w:lang w:val="en-US"/>
        </w:rPr>
      </w:pPr>
    </w:p>
    <w:p w14:paraId="6591D87A" w14:textId="2C3A47C0" w:rsidR="00293931" w:rsidRPr="006D77D2" w:rsidRDefault="00293931" w:rsidP="00940A3C">
      <w:pPr>
        <w:spacing w:line="240" w:lineRule="auto"/>
        <w:rPr>
          <w:rFonts w:cs="Arial"/>
          <w:szCs w:val="18"/>
          <w:lang w:val="en-US"/>
        </w:rPr>
      </w:pPr>
      <w:bookmarkStart w:id="5" w:name="_Ref170917877"/>
      <w:bookmarkStart w:id="6" w:name="_Ref170917871"/>
      <w:r w:rsidRPr="006D77D2">
        <w:rPr>
          <w:rFonts w:cs="Arial"/>
          <w:lang w:val="en-US"/>
        </w:rPr>
        <w:t xml:space="preserve">Table </w:t>
      </w:r>
      <w:r w:rsidRPr="006D77D2">
        <w:rPr>
          <w:rFonts w:cs="Arial"/>
        </w:rPr>
        <w:fldChar w:fldCharType="begin"/>
      </w:r>
      <w:r w:rsidRPr="006D77D2">
        <w:rPr>
          <w:rFonts w:cs="Arial"/>
          <w:lang w:val="en-US"/>
        </w:rPr>
        <w:instrText xml:space="preserve"> SEQ Table \* ARABIC </w:instrText>
      </w:r>
      <w:r w:rsidRPr="006D77D2">
        <w:rPr>
          <w:rFonts w:cs="Arial"/>
        </w:rPr>
        <w:fldChar w:fldCharType="separate"/>
      </w:r>
      <w:r w:rsidRPr="006D77D2">
        <w:rPr>
          <w:rFonts w:cs="Arial"/>
          <w:noProof/>
          <w:lang w:val="en-US"/>
        </w:rPr>
        <w:t>1</w:t>
      </w:r>
      <w:r w:rsidRPr="006D77D2">
        <w:rPr>
          <w:rFonts w:cs="Arial"/>
        </w:rPr>
        <w:fldChar w:fldCharType="end"/>
      </w:r>
      <w:bookmarkEnd w:id="5"/>
      <w:r w:rsidRPr="006D77D2">
        <w:rPr>
          <w:rFonts w:cs="Arial"/>
          <w:lang w:val="en-US"/>
        </w:rPr>
        <w:t xml:space="preserve">: </w:t>
      </w:r>
      <w:bookmarkStart w:id="7" w:name="_Hlk170918683"/>
      <w:r w:rsidRPr="006D77D2">
        <w:rPr>
          <w:rFonts w:cs="Arial"/>
          <w:lang w:val="en-US"/>
        </w:rPr>
        <w:t>General experimental conditions for case</w:t>
      </w:r>
      <w:r w:rsidR="007A0AE9" w:rsidRPr="006D77D2">
        <w:rPr>
          <w:rFonts w:cs="Arial"/>
          <w:lang w:val="en-US"/>
        </w:rPr>
        <w:t>s</w:t>
      </w:r>
      <w:r w:rsidRPr="006D77D2">
        <w:rPr>
          <w:rFonts w:cs="Arial"/>
          <w:lang w:val="en-US"/>
        </w:rPr>
        <w:t xml:space="preserve"> 1 </w:t>
      </w:r>
      <w:bookmarkEnd w:id="7"/>
      <w:r w:rsidRPr="006D77D2">
        <w:rPr>
          <w:rFonts w:cs="Arial"/>
          <w:lang w:val="en-US"/>
        </w:rPr>
        <w:fldChar w:fldCharType="begin" w:fldLock="1"/>
      </w:r>
      <w:r w:rsidR="00D711BA" w:rsidRPr="006D77D2">
        <w:rPr>
          <w:rFonts w:cs="Arial"/>
          <w:lang w:val="en-US"/>
        </w:rPr>
        <w:instrText>ADDIN CSL_CITATION {"citationItems":[{"id":"ITEM-1","itemData":{"DOI":"10.1016/j.apcata.2009.07.020","ISSN":"0926860X","abstract":"The synthesis of glycerol carbonate from glycerol and dimethyl carbonate by transesterification is reported. Firstly, a catalyst screening has been performed by studying the influence of different basic and acid homogeneous and heterogeneous catalysts on reaction results. Catalytic activity is extremely low for acidic catalysts indicating that reaction rate is very slow. On the contrary, high conversions and yields are obtained for basic catalysts. Catalytic activity increases with catalyst basic strength. The best heterogeneous catalyst is CaO. Calcination of CaO increases dramatically its activity due to calcium hydroxide removal from its surface. A reaction optimization study has been carried out with CaO as catalyst by using a factorial design of experiments leading to operation conditions for achieving a 100% conversion and a &gt;95% yield at 1.5 h reaction time: 95 °C, catalyst/glycerol molar ratio = 0.06 and dimethyl carbonate/glycerol molar ratio = 3.5. Carbonate glycerol can be easily isolated by filtering the catalyst out and evaporating the filtrate at vacuum. Leaching of catalyst in reaction medium was lower than 0.34%. Catalyst recycling leads to a quick decrease in both conversions and yields probably due to a combination of catalyst deactivation by CaO exposure to air between catalytic runs, and a decrease in the catalyst surface area available for reaction due to particle agglomeration. © 2009 Elsevier B.V. All rights reserved.","author":[{"dropping-particle":"","family":"Ochoa-Gómez","given":"José R.","non-dropping-particle":"","parse-names":false,"suffix":""},{"dropping-particle":"","family":"Gómez-Jiménez-Aberasturi","given":"Olga","non-dropping-particle":"","parse-names":false,"suffix":""},{"dropping-particle":"","family":"Maestro-Madurga","given":"Belén","non-dropping-particle":"","parse-names":false,"suffix":""},{"dropping-particle":"","family":"Pesquera-Rodríguez","given":"Amaia","non-dropping-particle":"","parse-names":false,"suffix":""},{"dropping-particle":"","family":"Ramírez-López","given":"Camilo","non-dropping-particle":"","parse-names":false,"suffix":""},{"dropping-particle":"","family":"Lorenzo-Ibarreta","given":"Leire","non-dropping-particle":"","parse-names":false,"suffix":""},{"dropping-particle":"","family":"Torrecilla-Soria","given":"Jesús","non-dropping-particle":"","parse-names":false,"suffix":""},{"dropping-particle":"","family":"Villarán-Velasco","given":"María C.","non-dropping-particle":"","parse-names":false,"suffix":""}],"container-title":"Applied Catalysis A: General","id":"ITEM-1","issue":"2","issued":{"date-parts":[["2009","9"]]},"page":"315-324","title":"Synthesis of glycerol carbonate from glycerol and dimethyl carbonate by transesterification: Catalyst screening and reaction optimization","type":"article-journal","volume":"366"},"uris":["http://www.mendeley.com/documents/?uuid=2831506e-e79e-444e-98df-771ac529bc97"]}],"mendeley":{"formattedCitation":"(Ochoa-Gómez et al. 2009)","plainTextFormattedCitation":"(Ochoa-Gómez et al. 2009)","previouslyFormattedCitation":"(Ochoa-Gómez et al. 2009)"},"properties":{"noteIndex":0},"schema":"https://github.com/citation-style-language/schema/raw/master/csl-citation.json"}</w:instrText>
      </w:r>
      <w:r w:rsidRPr="006D77D2">
        <w:rPr>
          <w:rFonts w:cs="Arial"/>
          <w:lang w:val="en-US"/>
        </w:rPr>
        <w:fldChar w:fldCharType="separate"/>
      </w:r>
      <w:r w:rsidR="00B86355" w:rsidRPr="006D77D2">
        <w:rPr>
          <w:rFonts w:cs="Arial"/>
          <w:noProof/>
          <w:lang w:val="en-US"/>
        </w:rPr>
        <w:t>(Ochoa-Gómez et al. 2009)</w:t>
      </w:r>
      <w:r w:rsidRPr="006D77D2">
        <w:rPr>
          <w:rFonts w:cs="Arial"/>
          <w:lang w:val="en-US"/>
        </w:rPr>
        <w:fldChar w:fldCharType="end"/>
      </w:r>
      <w:bookmarkEnd w:id="6"/>
      <w:r w:rsidR="007A0AE9" w:rsidRPr="006D77D2">
        <w:rPr>
          <w:rFonts w:cs="Arial"/>
          <w:lang w:val="en-US"/>
        </w:rPr>
        <w:t xml:space="preserve"> and 2 </w:t>
      </w:r>
      <w:r w:rsidR="007A0AE9" w:rsidRPr="006D77D2">
        <w:rPr>
          <w:rFonts w:cs="Arial"/>
          <w:lang w:val="en-US"/>
        </w:rPr>
        <w:fldChar w:fldCharType="begin" w:fldLock="1"/>
      </w:r>
      <w:r w:rsidR="002363A0" w:rsidRPr="006D77D2">
        <w:rPr>
          <w:rFonts w:cs="Arial"/>
          <w:lang w:val="en-US"/>
        </w:rPr>
        <w:instrText>ADDIN CSL_CITATION {"citationItems":[{"id":"ITEM-1","itemData":{"DOI":"10.1155/2021/9300442","ISSN":"1687-9430","abstract":"Na2CO3 was loaded onto waste carbide slag (CS) by impregnation-calcination method to prepare the solid base catalyst, which was used to synthesize glycerol carbonate (GC) by the transesterification of glycerol with dimethyl carbonate (DMC). The prepared catalysts were characterized by a scanning electron microscope (SEM), thermogravimetric analysis (TGA), X-ray diffraction (XRD), Fourier transform infrared spectroscopy (FTIR), and Brunner−Emmet−Teller (BET) techniques. The catalyst 15 wt.% Na2CO3-CS-800, which was prepared by impregnating CS to the Na2CO3 solution with the concentration of 15 wt.% weight of CS and calcined at 800°C for 3 hours, showed an excellent catalytic ability. When it was applied in the catalytic synthesis of GC, 98.1% glycerol conversion and 96.0% GC yield were achieved in 90 mins at 75°C with the catalyst dosage of 3 wt.% to total reactants and the DMC to glycerol molar ratio of 5. More importantly, the loading of Na2CO3 can effectively improve the reusability of catalyst. The 15 wt.% Na2CO3-CS-800 can still achieve 83.6% glycerol conversion and 80.5% GC yield after five-time reuse. Meanwhile, under the same reaction conditions, the CS-800, which was obtained by calcining CS at 800°C for 3 hours, experienced significant activity reduction with only 15.2% glycerol conversion and 14.1% GC yield after five-time reuse. FTIR and XRD characterization revealed that CO32- might play a key role in preserving active catalytic CaO component by forming protective CaCO3 shell on the catalyst surface.","author":[{"dropping-particle":"","family":"Wang","given":"Jianye","non-dropping-particle":"","parse-names":false,"suffix":""},{"dropping-particle":"","family":"Wang","given":"Zhu","non-dropping-particle":"","parse-names":false,"suffix":""},{"dropping-particle":"","family":"Liu","given":"Haifeng","non-dropping-particle":"","parse-names":false,"suffix":""},{"dropping-particle":"","family":"Wang","given":"Song","non-dropping-particle":"","parse-names":false,"suffix":""},{"dropping-particle":"","family":"Sun","given":"Yifeng","non-dropping-particle":"","parse-names":false,"suffix":""}],"container-title":"International Journal of Polymer Science","editor":[{"dropping-particle":"","family":"Perez","given":"Victor Haber","non-dropping-particle":"","parse-names":false,"suffix":""}],"id":"ITEM-1","issue":"i","issued":{"date-parts":[["2021","12","7"]]},"page":"1-14","title":"Synthesis of Glycerol Carbonate from Glycerol and Dimethyl Carbonate Catalyzed by Solid Base Catalyst Derived from Waste Carbide Slag","type":"article-journal","volume":"2021"},"uris":["http://www.mendeley.com/documents/?uuid=e2144d7a-6d74-4546-97e4-f4cbe2fd6ca3"]}],"mendeley":{"formattedCitation":"(Wang et al. 2021)","plainTextFormattedCitation":"(Wang et al. 2021)","previouslyFormattedCitation":"(Wang et al. 2021)"},"properties":{"noteIndex":0},"schema":"https://github.com/citation-style-language/schema/raw/master/csl-citation.json"}</w:instrText>
      </w:r>
      <w:r w:rsidR="007A0AE9" w:rsidRPr="006D77D2">
        <w:rPr>
          <w:rFonts w:cs="Arial"/>
          <w:lang w:val="en-US"/>
        </w:rPr>
        <w:fldChar w:fldCharType="separate"/>
      </w:r>
      <w:r w:rsidR="007A0AE9" w:rsidRPr="006D77D2">
        <w:rPr>
          <w:rFonts w:cs="Arial"/>
          <w:noProof/>
          <w:lang w:val="en-US"/>
        </w:rPr>
        <w:t>(Wang et al. 2021)</w:t>
      </w:r>
      <w:r w:rsidR="007A0AE9" w:rsidRPr="006D77D2">
        <w:rPr>
          <w:rFonts w:cs="Arial"/>
          <w:lang w:val="en-US"/>
        </w:rPr>
        <w:fldChar w:fldCharType="end"/>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3062"/>
        <w:gridCol w:w="1331"/>
        <w:gridCol w:w="1330"/>
        <w:gridCol w:w="1134"/>
      </w:tblGrid>
      <w:tr w:rsidR="00B95008" w:rsidRPr="006D77D2" w14:paraId="50DA6C5C" w14:textId="0FD42380" w:rsidTr="00D62068">
        <w:tc>
          <w:tcPr>
            <w:tcW w:w="1134" w:type="dxa"/>
            <w:tcBorders>
              <w:top w:val="single" w:sz="12" w:space="0" w:color="008000"/>
              <w:bottom w:val="single" w:sz="6" w:space="0" w:color="008000"/>
            </w:tcBorders>
            <w:shd w:val="clear" w:color="auto" w:fill="FFFFFF"/>
          </w:tcPr>
          <w:p w14:paraId="1FD0D734" w14:textId="2098E2AB" w:rsidR="00B95008" w:rsidRPr="006D77D2" w:rsidRDefault="00B95008" w:rsidP="00B95008">
            <w:pPr>
              <w:pStyle w:val="CETBodytext"/>
              <w:rPr>
                <w:lang w:val="en-GB"/>
              </w:rPr>
            </w:pPr>
            <w:r w:rsidRPr="006D77D2">
              <w:rPr>
                <w:rFonts w:cs="Arial"/>
                <w:szCs w:val="18"/>
              </w:rPr>
              <w:t>Symbol</w:t>
            </w:r>
          </w:p>
        </w:tc>
        <w:tc>
          <w:tcPr>
            <w:tcW w:w="3062" w:type="dxa"/>
            <w:tcBorders>
              <w:top w:val="single" w:sz="12" w:space="0" w:color="008000"/>
              <w:bottom w:val="single" w:sz="6" w:space="0" w:color="008000"/>
            </w:tcBorders>
            <w:shd w:val="clear" w:color="auto" w:fill="FFFFFF"/>
          </w:tcPr>
          <w:p w14:paraId="29DCB804" w14:textId="3D313929" w:rsidR="00B95008" w:rsidRPr="006D77D2" w:rsidRDefault="00B95008" w:rsidP="00B95008">
            <w:pPr>
              <w:pStyle w:val="CETBodytext"/>
              <w:rPr>
                <w:lang w:val="en-GB"/>
              </w:rPr>
            </w:pPr>
            <w:r w:rsidRPr="006D77D2">
              <w:rPr>
                <w:rFonts w:cs="Arial"/>
                <w:szCs w:val="18"/>
              </w:rPr>
              <w:t>Variable</w:t>
            </w:r>
          </w:p>
        </w:tc>
        <w:tc>
          <w:tcPr>
            <w:tcW w:w="1331" w:type="dxa"/>
            <w:tcBorders>
              <w:top w:val="single" w:sz="12" w:space="0" w:color="008000"/>
              <w:bottom w:val="single" w:sz="6" w:space="0" w:color="008000"/>
            </w:tcBorders>
            <w:shd w:val="clear" w:color="auto" w:fill="FFFFFF"/>
          </w:tcPr>
          <w:p w14:paraId="138C27EE" w14:textId="0E4A4ACB" w:rsidR="00B95008" w:rsidRPr="006D77D2" w:rsidRDefault="00B95008" w:rsidP="00B95008">
            <w:pPr>
              <w:pStyle w:val="CETBodytext"/>
              <w:rPr>
                <w:lang w:val="en-GB"/>
              </w:rPr>
            </w:pPr>
            <w:r w:rsidRPr="006D77D2">
              <w:rPr>
                <w:rFonts w:cs="Arial"/>
                <w:szCs w:val="18"/>
              </w:rPr>
              <w:t>Value – Case 1</w:t>
            </w:r>
          </w:p>
        </w:tc>
        <w:tc>
          <w:tcPr>
            <w:tcW w:w="1330" w:type="dxa"/>
            <w:tcBorders>
              <w:top w:val="single" w:sz="12" w:space="0" w:color="008000"/>
              <w:bottom w:val="single" w:sz="6" w:space="0" w:color="008000"/>
            </w:tcBorders>
            <w:shd w:val="clear" w:color="auto" w:fill="FFFFFF"/>
          </w:tcPr>
          <w:p w14:paraId="3DEE76F5" w14:textId="398C9C3E" w:rsidR="00B95008" w:rsidRPr="006D77D2" w:rsidRDefault="00D62068" w:rsidP="00B95008">
            <w:pPr>
              <w:pStyle w:val="CETBodytext"/>
              <w:ind w:right="-1"/>
              <w:rPr>
                <w:rFonts w:cs="Arial"/>
                <w:szCs w:val="18"/>
              </w:rPr>
            </w:pPr>
            <w:r w:rsidRPr="006D77D2">
              <w:rPr>
                <w:rFonts w:cs="Arial"/>
                <w:szCs w:val="18"/>
              </w:rPr>
              <w:t>Value – Case 2</w:t>
            </w:r>
          </w:p>
        </w:tc>
        <w:tc>
          <w:tcPr>
            <w:tcW w:w="1134" w:type="dxa"/>
            <w:tcBorders>
              <w:top w:val="single" w:sz="12" w:space="0" w:color="008000"/>
              <w:bottom w:val="single" w:sz="6" w:space="0" w:color="008000"/>
            </w:tcBorders>
            <w:shd w:val="clear" w:color="auto" w:fill="FFFFFF"/>
          </w:tcPr>
          <w:p w14:paraId="5862A410" w14:textId="56FC86E8" w:rsidR="00B95008" w:rsidRPr="006D77D2" w:rsidRDefault="00B95008" w:rsidP="00B95008">
            <w:pPr>
              <w:pStyle w:val="CETBodytext"/>
              <w:ind w:right="-1"/>
              <w:rPr>
                <w:rFonts w:cs="Arial"/>
                <w:szCs w:val="18"/>
              </w:rPr>
            </w:pPr>
            <w:r w:rsidRPr="006D77D2">
              <w:rPr>
                <w:rFonts w:cs="Arial"/>
                <w:szCs w:val="18"/>
              </w:rPr>
              <w:t>Units</w:t>
            </w:r>
          </w:p>
        </w:tc>
      </w:tr>
      <w:tr w:rsidR="00D62068" w:rsidRPr="006D77D2" w14:paraId="232DDC55" w14:textId="5B3CED5A" w:rsidTr="00D62068">
        <w:tc>
          <w:tcPr>
            <w:tcW w:w="1134" w:type="dxa"/>
            <w:shd w:val="clear" w:color="auto" w:fill="FFFFFF"/>
          </w:tcPr>
          <w:p w14:paraId="667BF4C3" w14:textId="15B7C074" w:rsidR="00D62068" w:rsidRPr="006D77D2" w:rsidRDefault="00D62068" w:rsidP="00D62068">
            <w:pPr>
              <w:pStyle w:val="CETBodytext"/>
              <w:rPr>
                <w:lang w:val="en-GB"/>
              </w:rPr>
            </w:pPr>
            <w:r w:rsidRPr="006D77D2">
              <w:rPr>
                <w:rFonts w:cs="Arial"/>
                <w:szCs w:val="18"/>
              </w:rPr>
              <w:t>N</w:t>
            </w:r>
            <w:r w:rsidRPr="006D77D2">
              <w:rPr>
                <w:rFonts w:cs="Arial"/>
                <w:szCs w:val="18"/>
                <w:vertAlign w:val="subscript"/>
              </w:rPr>
              <w:t>G0</w:t>
            </w:r>
          </w:p>
        </w:tc>
        <w:tc>
          <w:tcPr>
            <w:tcW w:w="3062" w:type="dxa"/>
            <w:shd w:val="clear" w:color="auto" w:fill="FFFFFF"/>
          </w:tcPr>
          <w:p w14:paraId="3C69D9E5" w14:textId="455EE9D9" w:rsidR="00D62068" w:rsidRPr="006D77D2" w:rsidRDefault="00D62068" w:rsidP="00D62068">
            <w:pPr>
              <w:pStyle w:val="CETBodytext"/>
              <w:rPr>
                <w:lang w:val="en-GB"/>
              </w:rPr>
            </w:pPr>
            <w:r w:rsidRPr="006D77D2">
              <w:rPr>
                <w:rFonts w:cs="Arial"/>
                <w:szCs w:val="18"/>
              </w:rPr>
              <w:t>Initial mols of glycerol</w:t>
            </w:r>
          </w:p>
        </w:tc>
        <w:tc>
          <w:tcPr>
            <w:tcW w:w="1331" w:type="dxa"/>
            <w:shd w:val="clear" w:color="auto" w:fill="FFFFFF"/>
          </w:tcPr>
          <w:p w14:paraId="43D9061A" w14:textId="653DFD26" w:rsidR="00D62068" w:rsidRPr="006D77D2" w:rsidRDefault="00D62068" w:rsidP="00D62068">
            <w:pPr>
              <w:pStyle w:val="CETBodytext"/>
              <w:rPr>
                <w:lang w:val="en-GB"/>
              </w:rPr>
            </w:pPr>
            <w:r w:rsidRPr="006D77D2">
              <w:rPr>
                <w:rFonts w:cs="Arial"/>
                <w:szCs w:val="18"/>
              </w:rPr>
              <w:t>0.217</w:t>
            </w:r>
          </w:p>
        </w:tc>
        <w:tc>
          <w:tcPr>
            <w:tcW w:w="1330" w:type="dxa"/>
            <w:shd w:val="clear" w:color="auto" w:fill="FFFFFF"/>
          </w:tcPr>
          <w:p w14:paraId="101218B2" w14:textId="57C19C23" w:rsidR="00D62068" w:rsidRPr="006D77D2" w:rsidRDefault="00D62068" w:rsidP="00D62068">
            <w:pPr>
              <w:pStyle w:val="CETBodytext"/>
              <w:ind w:right="-1"/>
              <w:rPr>
                <w:rFonts w:cs="Arial"/>
                <w:szCs w:val="18"/>
              </w:rPr>
            </w:pPr>
            <w:r w:rsidRPr="006D77D2">
              <w:rPr>
                <w:rFonts w:cs="Arial"/>
                <w:szCs w:val="18"/>
              </w:rPr>
              <w:t>0.03</w:t>
            </w:r>
          </w:p>
        </w:tc>
        <w:tc>
          <w:tcPr>
            <w:tcW w:w="1134" w:type="dxa"/>
            <w:shd w:val="clear" w:color="auto" w:fill="FFFFFF"/>
          </w:tcPr>
          <w:p w14:paraId="4B6A72FB" w14:textId="30D06200" w:rsidR="00D62068" w:rsidRPr="006D77D2" w:rsidRDefault="00D62068" w:rsidP="00D62068">
            <w:pPr>
              <w:pStyle w:val="CETBodytext"/>
              <w:ind w:right="-1"/>
              <w:rPr>
                <w:rFonts w:cs="Arial"/>
                <w:szCs w:val="18"/>
              </w:rPr>
            </w:pPr>
            <w:r w:rsidRPr="006D77D2">
              <w:rPr>
                <w:rFonts w:cs="Arial"/>
                <w:szCs w:val="18"/>
              </w:rPr>
              <w:t>mol</w:t>
            </w:r>
          </w:p>
        </w:tc>
      </w:tr>
      <w:tr w:rsidR="00D62068" w:rsidRPr="006D77D2" w14:paraId="6CF0EF17" w14:textId="4DC9E67E" w:rsidTr="00D62068">
        <w:tc>
          <w:tcPr>
            <w:tcW w:w="1134" w:type="dxa"/>
            <w:shd w:val="clear" w:color="auto" w:fill="FFFFFF"/>
          </w:tcPr>
          <w:p w14:paraId="7C7D3ACE" w14:textId="3BA16E6F" w:rsidR="00D62068" w:rsidRPr="006D77D2" w:rsidRDefault="00D62068" w:rsidP="00D62068">
            <w:pPr>
              <w:pStyle w:val="CETBodytext"/>
              <w:rPr>
                <w:lang w:val="en-GB"/>
              </w:rPr>
            </w:pPr>
            <w:r w:rsidRPr="006D77D2">
              <w:rPr>
                <w:rFonts w:cs="Arial"/>
                <w:szCs w:val="18"/>
              </w:rPr>
              <w:t>V</w:t>
            </w:r>
            <w:r w:rsidRPr="006D77D2">
              <w:rPr>
                <w:rFonts w:cs="Arial"/>
                <w:szCs w:val="18"/>
                <w:vertAlign w:val="subscript"/>
              </w:rPr>
              <w:t>R</w:t>
            </w:r>
          </w:p>
        </w:tc>
        <w:tc>
          <w:tcPr>
            <w:tcW w:w="3062" w:type="dxa"/>
            <w:shd w:val="clear" w:color="auto" w:fill="FFFFFF"/>
          </w:tcPr>
          <w:p w14:paraId="6B45F2AF" w14:textId="3B166C52" w:rsidR="00D62068" w:rsidRPr="006D77D2" w:rsidRDefault="00D62068" w:rsidP="00D62068">
            <w:pPr>
              <w:pStyle w:val="CETBodytext"/>
              <w:rPr>
                <w:lang w:val="en-GB"/>
              </w:rPr>
            </w:pPr>
            <w:r w:rsidRPr="006D77D2">
              <w:rPr>
                <w:rFonts w:cs="Arial"/>
                <w:szCs w:val="18"/>
              </w:rPr>
              <w:t>Reactive mixture volume</w:t>
            </w:r>
          </w:p>
        </w:tc>
        <w:tc>
          <w:tcPr>
            <w:tcW w:w="1331" w:type="dxa"/>
            <w:shd w:val="clear" w:color="auto" w:fill="FFFFFF"/>
          </w:tcPr>
          <w:p w14:paraId="757C1B88" w14:textId="66465104" w:rsidR="00D62068" w:rsidRPr="006D77D2" w:rsidRDefault="00D62068" w:rsidP="00D62068">
            <w:pPr>
              <w:pStyle w:val="CETBodytext"/>
              <w:rPr>
                <w:lang w:val="en-GB"/>
              </w:rPr>
            </w:pPr>
            <w:r w:rsidRPr="006D77D2">
              <w:rPr>
                <w:rFonts w:cs="Arial"/>
                <w:szCs w:val="18"/>
              </w:rPr>
              <w:t>0.25</w:t>
            </w:r>
          </w:p>
        </w:tc>
        <w:tc>
          <w:tcPr>
            <w:tcW w:w="1330" w:type="dxa"/>
            <w:shd w:val="clear" w:color="auto" w:fill="FFFFFF"/>
          </w:tcPr>
          <w:p w14:paraId="317EC946" w14:textId="398FBD5D" w:rsidR="00D62068" w:rsidRPr="006D77D2" w:rsidRDefault="00D62068" w:rsidP="00D62068">
            <w:pPr>
              <w:pStyle w:val="CETBodytext"/>
              <w:ind w:right="-1"/>
              <w:rPr>
                <w:rFonts w:cs="Arial"/>
                <w:szCs w:val="18"/>
              </w:rPr>
            </w:pPr>
            <w:r w:rsidRPr="006D77D2">
              <w:rPr>
                <w:rFonts w:cs="Arial"/>
                <w:szCs w:val="18"/>
              </w:rPr>
              <w:t>0.1</w:t>
            </w:r>
          </w:p>
        </w:tc>
        <w:tc>
          <w:tcPr>
            <w:tcW w:w="1134" w:type="dxa"/>
            <w:shd w:val="clear" w:color="auto" w:fill="FFFFFF"/>
          </w:tcPr>
          <w:p w14:paraId="559C4B69" w14:textId="454C6D2C" w:rsidR="00D62068" w:rsidRPr="006D77D2" w:rsidRDefault="00D62068" w:rsidP="00D62068">
            <w:pPr>
              <w:pStyle w:val="CETBodytext"/>
              <w:ind w:right="-1"/>
              <w:rPr>
                <w:rFonts w:cs="Arial"/>
                <w:szCs w:val="18"/>
              </w:rPr>
            </w:pPr>
            <w:r w:rsidRPr="006D77D2">
              <w:rPr>
                <w:rFonts w:cs="Arial"/>
                <w:szCs w:val="18"/>
              </w:rPr>
              <w:t>L</w:t>
            </w:r>
          </w:p>
        </w:tc>
      </w:tr>
      <w:tr w:rsidR="00D62068" w:rsidRPr="006D77D2" w14:paraId="4FBCF83A" w14:textId="6805DA9A" w:rsidTr="00D62068">
        <w:tc>
          <w:tcPr>
            <w:tcW w:w="1134" w:type="dxa"/>
            <w:shd w:val="clear" w:color="auto" w:fill="FFFFFF"/>
          </w:tcPr>
          <w:p w14:paraId="5B694286" w14:textId="162BD69C" w:rsidR="00D62068" w:rsidRPr="006D77D2" w:rsidRDefault="00D62068" w:rsidP="00D62068">
            <w:pPr>
              <w:pStyle w:val="CETBodytext"/>
              <w:rPr>
                <w:lang w:val="en-GB"/>
              </w:rPr>
            </w:pPr>
            <w:r w:rsidRPr="006D77D2">
              <w:rPr>
                <w:rFonts w:cs="Arial"/>
                <w:szCs w:val="18"/>
              </w:rPr>
              <w:t>N</w:t>
            </w:r>
            <w:r w:rsidRPr="006D77D2">
              <w:rPr>
                <w:rFonts w:cs="Arial"/>
                <w:szCs w:val="18"/>
                <w:vertAlign w:val="subscript"/>
              </w:rPr>
              <w:t>DMC0</w:t>
            </w:r>
          </w:p>
        </w:tc>
        <w:tc>
          <w:tcPr>
            <w:tcW w:w="3062" w:type="dxa"/>
            <w:shd w:val="clear" w:color="auto" w:fill="FFFFFF"/>
          </w:tcPr>
          <w:p w14:paraId="7029F22F" w14:textId="2AD4CA35" w:rsidR="00D62068" w:rsidRPr="006D77D2" w:rsidRDefault="00D62068" w:rsidP="00D62068">
            <w:pPr>
              <w:pStyle w:val="CETBodytext"/>
              <w:rPr>
                <w:lang w:val="en-GB"/>
              </w:rPr>
            </w:pPr>
            <w:r w:rsidRPr="006D77D2">
              <w:rPr>
                <w:rFonts w:cs="Arial"/>
                <w:szCs w:val="18"/>
              </w:rPr>
              <w:t>Initial mols of DMC</w:t>
            </w:r>
          </w:p>
        </w:tc>
        <w:tc>
          <w:tcPr>
            <w:tcW w:w="1331" w:type="dxa"/>
            <w:shd w:val="clear" w:color="auto" w:fill="FFFFFF"/>
          </w:tcPr>
          <w:p w14:paraId="143CD74F" w14:textId="405E1B2F" w:rsidR="00D62068" w:rsidRPr="006D77D2" w:rsidRDefault="00D62068" w:rsidP="00D62068">
            <w:pPr>
              <w:pStyle w:val="CETBodytext"/>
              <w:rPr>
                <w:lang w:val="en-GB"/>
              </w:rPr>
            </w:pPr>
            <w:r w:rsidRPr="006D77D2">
              <w:rPr>
                <w:rFonts w:cs="Arial"/>
                <w:szCs w:val="18"/>
              </w:rPr>
              <w:t>1.5191</w:t>
            </w:r>
          </w:p>
        </w:tc>
        <w:tc>
          <w:tcPr>
            <w:tcW w:w="1330" w:type="dxa"/>
            <w:shd w:val="clear" w:color="auto" w:fill="FFFFFF"/>
          </w:tcPr>
          <w:p w14:paraId="5860E9BF" w14:textId="5A6059AC" w:rsidR="00D62068" w:rsidRPr="006D77D2" w:rsidRDefault="00D62068" w:rsidP="00D62068">
            <w:pPr>
              <w:pStyle w:val="CETBodytext"/>
              <w:ind w:right="-1"/>
              <w:rPr>
                <w:rFonts w:cs="Arial"/>
                <w:szCs w:val="18"/>
              </w:rPr>
            </w:pPr>
            <w:r w:rsidRPr="006D77D2">
              <w:rPr>
                <w:rFonts w:cs="Arial"/>
                <w:szCs w:val="18"/>
              </w:rPr>
              <w:t>0.15</w:t>
            </w:r>
          </w:p>
        </w:tc>
        <w:tc>
          <w:tcPr>
            <w:tcW w:w="1134" w:type="dxa"/>
            <w:shd w:val="clear" w:color="auto" w:fill="FFFFFF"/>
          </w:tcPr>
          <w:p w14:paraId="43A02F85" w14:textId="2004FC4A" w:rsidR="00D62068" w:rsidRPr="006D77D2" w:rsidRDefault="00D62068" w:rsidP="00D62068">
            <w:pPr>
              <w:pStyle w:val="CETBodytext"/>
              <w:ind w:right="-1"/>
              <w:rPr>
                <w:rFonts w:cs="Arial"/>
                <w:szCs w:val="18"/>
              </w:rPr>
            </w:pPr>
            <w:r w:rsidRPr="006D77D2">
              <w:rPr>
                <w:rFonts w:cs="Arial"/>
                <w:szCs w:val="18"/>
              </w:rPr>
              <w:t>mol</w:t>
            </w:r>
          </w:p>
        </w:tc>
      </w:tr>
      <w:tr w:rsidR="00D62068" w:rsidRPr="006D77D2" w14:paraId="3DF32789" w14:textId="734BD888" w:rsidTr="00D62068">
        <w:tc>
          <w:tcPr>
            <w:tcW w:w="1134" w:type="dxa"/>
            <w:shd w:val="clear" w:color="auto" w:fill="FFFFFF"/>
          </w:tcPr>
          <w:p w14:paraId="4F0AF485" w14:textId="103BD0DA" w:rsidR="00D62068" w:rsidRPr="006D77D2" w:rsidRDefault="00D62068" w:rsidP="00D62068">
            <w:pPr>
              <w:pStyle w:val="CETBodytext"/>
              <w:rPr>
                <w:lang w:val="en-GB"/>
              </w:rPr>
            </w:pPr>
            <w:r w:rsidRPr="006D77D2">
              <w:rPr>
                <w:rFonts w:cs="Arial"/>
                <w:szCs w:val="18"/>
              </w:rPr>
              <w:t>CGR</w:t>
            </w:r>
          </w:p>
        </w:tc>
        <w:tc>
          <w:tcPr>
            <w:tcW w:w="3062" w:type="dxa"/>
            <w:shd w:val="clear" w:color="auto" w:fill="FFFFFF"/>
          </w:tcPr>
          <w:p w14:paraId="725371D9" w14:textId="61C7FCC1" w:rsidR="00D62068" w:rsidRPr="006D77D2" w:rsidRDefault="00D62068" w:rsidP="00D62068">
            <w:pPr>
              <w:pStyle w:val="CETBodytext"/>
              <w:rPr>
                <w:lang w:val="en-GB"/>
              </w:rPr>
            </w:pPr>
            <w:r w:rsidRPr="006D77D2">
              <w:rPr>
                <w:rFonts w:cs="Arial"/>
                <w:szCs w:val="18"/>
              </w:rPr>
              <w:t>Molar catalyst-glycerol ratio</w:t>
            </w:r>
          </w:p>
        </w:tc>
        <w:tc>
          <w:tcPr>
            <w:tcW w:w="1331" w:type="dxa"/>
            <w:shd w:val="clear" w:color="auto" w:fill="FFFFFF"/>
          </w:tcPr>
          <w:p w14:paraId="06438261" w14:textId="503875D8" w:rsidR="00D62068" w:rsidRPr="006D77D2" w:rsidRDefault="00D62068" w:rsidP="00D62068">
            <w:pPr>
              <w:pStyle w:val="CETBodytext"/>
              <w:rPr>
                <w:lang w:val="en-GB"/>
              </w:rPr>
            </w:pPr>
            <w:r w:rsidRPr="006D77D2">
              <w:rPr>
                <w:rFonts w:cs="Arial"/>
                <w:szCs w:val="18"/>
              </w:rPr>
              <w:t>0.12</w:t>
            </w:r>
          </w:p>
        </w:tc>
        <w:tc>
          <w:tcPr>
            <w:tcW w:w="1330" w:type="dxa"/>
            <w:shd w:val="clear" w:color="auto" w:fill="FFFFFF"/>
          </w:tcPr>
          <w:p w14:paraId="6766922E" w14:textId="322B6ACA" w:rsidR="00D62068" w:rsidRPr="006D77D2" w:rsidRDefault="0032733B" w:rsidP="00D62068">
            <w:pPr>
              <w:pStyle w:val="CETBodytext"/>
              <w:ind w:right="-1"/>
              <w:rPr>
                <w:rFonts w:cs="Arial"/>
                <w:szCs w:val="18"/>
              </w:rPr>
            </w:pPr>
            <w:r w:rsidRPr="006D77D2">
              <w:rPr>
                <w:rFonts w:cs="Arial"/>
                <w:szCs w:val="18"/>
              </w:rPr>
              <w:t>---</w:t>
            </w:r>
          </w:p>
        </w:tc>
        <w:tc>
          <w:tcPr>
            <w:tcW w:w="1134" w:type="dxa"/>
            <w:shd w:val="clear" w:color="auto" w:fill="FFFFFF"/>
          </w:tcPr>
          <w:p w14:paraId="3FBEC3BB" w14:textId="7A4F6B69" w:rsidR="00D62068" w:rsidRPr="006D77D2" w:rsidRDefault="00D62068" w:rsidP="00D62068">
            <w:pPr>
              <w:pStyle w:val="CETBodytext"/>
              <w:ind w:right="-1"/>
              <w:rPr>
                <w:rFonts w:cs="Arial"/>
                <w:szCs w:val="18"/>
              </w:rPr>
            </w:pPr>
            <w:r w:rsidRPr="006D77D2">
              <w:rPr>
                <w:rFonts w:cs="Arial"/>
                <w:szCs w:val="18"/>
              </w:rPr>
              <w:t>---</w:t>
            </w:r>
          </w:p>
        </w:tc>
      </w:tr>
      <w:tr w:rsidR="0032733B" w:rsidRPr="006D77D2" w14:paraId="1EA7940C" w14:textId="1467AD2F" w:rsidTr="00D62068">
        <w:tc>
          <w:tcPr>
            <w:tcW w:w="1134" w:type="dxa"/>
            <w:shd w:val="clear" w:color="auto" w:fill="FFFFFF"/>
          </w:tcPr>
          <w:p w14:paraId="6105C1F6" w14:textId="255A2B15" w:rsidR="0032733B" w:rsidRPr="006D77D2" w:rsidRDefault="0032733B" w:rsidP="0032733B">
            <w:pPr>
              <w:pStyle w:val="CETBodytext"/>
              <w:rPr>
                <w:lang w:val="en-GB"/>
              </w:rPr>
            </w:pPr>
            <w:r w:rsidRPr="006D77D2">
              <w:rPr>
                <w:rFonts w:cs="Arial"/>
                <w:szCs w:val="18"/>
              </w:rPr>
              <w:t>T</w:t>
            </w:r>
            <w:r w:rsidRPr="006D77D2">
              <w:rPr>
                <w:rFonts w:cs="Arial"/>
                <w:szCs w:val="18"/>
                <w:vertAlign w:val="subscript"/>
              </w:rPr>
              <w:t>0</w:t>
            </w:r>
          </w:p>
        </w:tc>
        <w:tc>
          <w:tcPr>
            <w:tcW w:w="3062" w:type="dxa"/>
            <w:shd w:val="clear" w:color="auto" w:fill="FFFFFF"/>
          </w:tcPr>
          <w:p w14:paraId="34EEEA29" w14:textId="0F33867F" w:rsidR="0032733B" w:rsidRPr="006D77D2" w:rsidRDefault="0032733B" w:rsidP="0032733B">
            <w:pPr>
              <w:pStyle w:val="CETBodytext"/>
              <w:rPr>
                <w:lang w:val="en-GB"/>
              </w:rPr>
            </w:pPr>
            <w:r w:rsidRPr="006D77D2">
              <w:rPr>
                <w:rFonts w:cs="Arial"/>
                <w:szCs w:val="18"/>
              </w:rPr>
              <w:t>Initial temperature of reactive mixture</w:t>
            </w:r>
          </w:p>
        </w:tc>
        <w:tc>
          <w:tcPr>
            <w:tcW w:w="1331" w:type="dxa"/>
            <w:shd w:val="clear" w:color="auto" w:fill="FFFFFF"/>
          </w:tcPr>
          <w:p w14:paraId="4C9A0108" w14:textId="46BB5CA6" w:rsidR="0032733B" w:rsidRPr="006D77D2" w:rsidRDefault="0032733B" w:rsidP="0032733B">
            <w:pPr>
              <w:pStyle w:val="CETBodytext"/>
              <w:rPr>
                <w:lang w:val="en-GB"/>
              </w:rPr>
            </w:pPr>
            <w:r w:rsidRPr="006D77D2">
              <w:rPr>
                <w:rFonts w:cs="Arial"/>
                <w:szCs w:val="18"/>
              </w:rPr>
              <w:t>363.15</w:t>
            </w:r>
          </w:p>
        </w:tc>
        <w:tc>
          <w:tcPr>
            <w:tcW w:w="1330" w:type="dxa"/>
            <w:shd w:val="clear" w:color="auto" w:fill="FFFFFF"/>
          </w:tcPr>
          <w:p w14:paraId="3B9A43EE" w14:textId="2E78FB33" w:rsidR="0032733B" w:rsidRPr="006D77D2" w:rsidRDefault="0032733B" w:rsidP="0032733B">
            <w:pPr>
              <w:pStyle w:val="CETBodytext"/>
              <w:ind w:right="-1"/>
              <w:rPr>
                <w:rFonts w:cs="Arial"/>
                <w:szCs w:val="18"/>
              </w:rPr>
            </w:pPr>
            <w:r w:rsidRPr="006D77D2">
              <w:rPr>
                <w:rFonts w:cs="Arial"/>
                <w:szCs w:val="18"/>
              </w:rPr>
              <w:t>348.15</w:t>
            </w:r>
          </w:p>
        </w:tc>
        <w:tc>
          <w:tcPr>
            <w:tcW w:w="1134" w:type="dxa"/>
            <w:shd w:val="clear" w:color="auto" w:fill="FFFFFF"/>
          </w:tcPr>
          <w:p w14:paraId="686BAC27" w14:textId="53D894C1" w:rsidR="0032733B" w:rsidRPr="006D77D2" w:rsidRDefault="0032733B" w:rsidP="0032733B">
            <w:pPr>
              <w:pStyle w:val="CETBodytext"/>
              <w:ind w:right="-1"/>
              <w:rPr>
                <w:rFonts w:cs="Arial"/>
                <w:szCs w:val="18"/>
              </w:rPr>
            </w:pPr>
            <w:r w:rsidRPr="006D77D2">
              <w:rPr>
                <w:rFonts w:cs="Arial"/>
                <w:szCs w:val="18"/>
              </w:rPr>
              <w:t>K</w:t>
            </w:r>
          </w:p>
        </w:tc>
      </w:tr>
      <w:tr w:rsidR="0032733B" w:rsidRPr="006D77D2" w14:paraId="5ADD4615" w14:textId="05B84A55" w:rsidTr="00D62068">
        <w:tc>
          <w:tcPr>
            <w:tcW w:w="1134" w:type="dxa"/>
            <w:shd w:val="clear" w:color="auto" w:fill="FFFFFF"/>
          </w:tcPr>
          <w:p w14:paraId="4C6F8DD2" w14:textId="1380D310" w:rsidR="0032733B" w:rsidRPr="006D77D2" w:rsidRDefault="0032733B" w:rsidP="0032733B">
            <w:pPr>
              <w:pStyle w:val="CETBodytext"/>
              <w:rPr>
                <w:lang w:val="en-GB"/>
              </w:rPr>
            </w:pPr>
            <w:r w:rsidRPr="006D77D2">
              <w:rPr>
                <w:rFonts w:cs="Arial"/>
                <w:szCs w:val="18"/>
              </w:rPr>
              <w:t>t</w:t>
            </w:r>
          </w:p>
        </w:tc>
        <w:tc>
          <w:tcPr>
            <w:tcW w:w="3062" w:type="dxa"/>
            <w:shd w:val="clear" w:color="auto" w:fill="FFFFFF"/>
          </w:tcPr>
          <w:p w14:paraId="6EA09517" w14:textId="502DC096" w:rsidR="0032733B" w:rsidRPr="006D77D2" w:rsidRDefault="0032733B" w:rsidP="0032733B">
            <w:pPr>
              <w:pStyle w:val="CETBodytext"/>
              <w:rPr>
                <w:lang w:val="en-GB"/>
              </w:rPr>
            </w:pPr>
            <w:r w:rsidRPr="006D77D2">
              <w:rPr>
                <w:rFonts w:cs="Arial"/>
                <w:szCs w:val="18"/>
              </w:rPr>
              <w:t>Reaction time</w:t>
            </w:r>
          </w:p>
        </w:tc>
        <w:tc>
          <w:tcPr>
            <w:tcW w:w="1331" w:type="dxa"/>
            <w:shd w:val="clear" w:color="auto" w:fill="FFFFFF"/>
          </w:tcPr>
          <w:p w14:paraId="21849176" w14:textId="0642280B" w:rsidR="0032733B" w:rsidRPr="006D77D2" w:rsidRDefault="0032733B" w:rsidP="0032733B">
            <w:pPr>
              <w:pStyle w:val="CETBodytext"/>
              <w:rPr>
                <w:lang w:val="en-GB"/>
              </w:rPr>
            </w:pPr>
            <w:r w:rsidRPr="006D77D2">
              <w:rPr>
                <w:rFonts w:cs="Arial"/>
                <w:szCs w:val="18"/>
              </w:rPr>
              <w:t>90</w:t>
            </w:r>
          </w:p>
        </w:tc>
        <w:tc>
          <w:tcPr>
            <w:tcW w:w="1330" w:type="dxa"/>
            <w:shd w:val="clear" w:color="auto" w:fill="FFFFFF"/>
          </w:tcPr>
          <w:p w14:paraId="5DD17487" w14:textId="7249AC04" w:rsidR="0032733B" w:rsidRPr="006D77D2" w:rsidRDefault="0032733B" w:rsidP="0032733B">
            <w:pPr>
              <w:pStyle w:val="CETBodytext"/>
              <w:ind w:right="-1"/>
              <w:rPr>
                <w:rFonts w:cs="Arial"/>
                <w:szCs w:val="18"/>
              </w:rPr>
            </w:pPr>
            <w:r w:rsidRPr="006D77D2">
              <w:rPr>
                <w:rFonts w:cs="Arial"/>
                <w:szCs w:val="18"/>
              </w:rPr>
              <w:t>90</w:t>
            </w:r>
          </w:p>
        </w:tc>
        <w:tc>
          <w:tcPr>
            <w:tcW w:w="1134" w:type="dxa"/>
            <w:shd w:val="clear" w:color="auto" w:fill="FFFFFF"/>
          </w:tcPr>
          <w:p w14:paraId="0A086384" w14:textId="36CF8276" w:rsidR="0032733B" w:rsidRPr="006D77D2" w:rsidRDefault="0032733B" w:rsidP="0032733B">
            <w:pPr>
              <w:pStyle w:val="CETBodytext"/>
              <w:ind w:right="-1"/>
              <w:rPr>
                <w:rFonts w:cs="Arial"/>
                <w:szCs w:val="18"/>
              </w:rPr>
            </w:pPr>
            <w:r w:rsidRPr="006D77D2">
              <w:rPr>
                <w:rFonts w:cs="Arial"/>
                <w:szCs w:val="18"/>
              </w:rPr>
              <w:t>min</w:t>
            </w:r>
          </w:p>
        </w:tc>
      </w:tr>
    </w:tbl>
    <w:p w14:paraId="2A9C1B84" w14:textId="77777777" w:rsidR="00C6080E" w:rsidRPr="006D77D2" w:rsidRDefault="00C6080E" w:rsidP="00940A3C">
      <w:pPr>
        <w:spacing w:line="240" w:lineRule="auto"/>
        <w:rPr>
          <w:rFonts w:cs="Arial"/>
          <w:szCs w:val="18"/>
          <w:lang w:val="en-US"/>
        </w:rPr>
      </w:pPr>
      <w:bookmarkStart w:id="8" w:name="_Hlk188634991"/>
    </w:p>
    <w:p w14:paraId="10EF1783" w14:textId="565C364D" w:rsidR="000724CE" w:rsidRPr="006D77D2" w:rsidRDefault="000724CE" w:rsidP="00940A3C">
      <w:pPr>
        <w:spacing w:line="240" w:lineRule="auto"/>
        <w:rPr>
          <w:rFonts w:cs="Arial"/>
          <w:szCs w:val="18"/>
          <w:lang w:val="en-US"/>
        </w:rPr>
      </w:pPr>
      <w:r w:rsidRPr="006D77D2">
        <w:rPr>
          <w:rFonts w:cs="Arial"/>
          <w:szCs w:val="18"/>
          <w:lang w:val="en-US"/>
        </w:rPr>
        <w:t>According to the stoichiometric of the general reaction, the elementary kinetic law can be written a</w:t>
      </w:r>
      <w:r w:rsidR="00757053" w:rsidRPr="006D77D2">
        <w:rPr>
          <w:rFonts w:cs="Arial"/>
          <w:szCs w:val="18"/>
          <w:lang w:val="en-US"/>
        </w:rPr>
        <w:t>s</w:t>
      </w:r>
      <w:r w:rsidR="00E32643" w:rsidRPr="006D77D2">
        <w:rPr>
          <w:rFonts w:cs="Arial"/>
          <w:szCs w:val="18"/>
          <w:lang w:val="en-US"/>
        </w:rPr>
        <w:t xml:space="preserve"> </w:t>
      </w:r>
      <w:r w:rsidR="00720EE2" w:rsidRPr="006D77D2">
        <w:rPr>
          <w:rFonts w:cs="Arial"/>
          <w:position w:val="-10"/>
          <w:szCs w:val="18"/>
          <w:lang w:val="en-US"/>
        </w:rPr>
        <w:object w:dxaOrig="2120" w:dyaOrig="320" w14:anchorId="14AFF9A1">
          <v:shape id="_x0000_i1031" type="#_x0000_t75" style="width:106pt;height:16.5pt" o:ole="">
            <v:imagedata r:id="rId22" o:title=""/>
          </v:shape>
          <o:OLEObject Type="Embed" ProgID="Equation.DSMT4" ShapeID="_x0000_i1031" DrawAspect="Content" ObjectID="_1806657691" r:id="rId23"/>
        </w:object>
      </w:r>
      <w:r w:rsidR="00781929" w:rsidRPr="006D77D2">
        <w:rPr>
          <w:rFonts w:cs="Arial"/>
          <w:szCs w:val="18"/>
          <w:lang w:val="en-US"/>
        </w:rPr>
        <w:t xml:space="preserve">, </w:t>
      </w:r>
      <w:r w:rsidRPr="006D77D2">
        <w:rPr>
          <w:rFonts w:cs="Arial"/>
          <w:szCs w:val="18"/>
          <w:lang w:val="en-US"/>
        </w:rPr>
        <w:t xml:space="preserve">where k and </w:t>
      </w:r>
      <w:proofErr w:type="spellStart"/>
      <w:r w:rsidRPr="006D77D2">
        <w:rPr>
          <w:rFonts w:cs="Arial"/>
          <w:szCs w:val="18"/>
          <w:lang w:val="en-US"/>
        </w:rPr>
        <w:t>k</w:t>
      </w:r>
      <w:r w:rsidRPr="006D77D2">
        <w:rPr>
          <w:rFonts w:cs="Arial"/>
          <w:szCs w:val="18"/>
          <w:vertAlign w:val="subscript"/>
          <w:lang w:val="en-US"/>
        </w:rPr>
        <w:t>rev</w:t>
      </w:r>
      <w:proofErr w:type="spellEnd"/>
      <w:r w:rsidRPr="006D77D2">
        <w:rPr>
          <w:rFonts w:cs="Arial"/>
          <w:szCs w:val="18"/>
          <w:lang w:val="en-US"/>
        </w:rPr>
        <w:t xml:space="preserve"> are the rate constants of the direct and reverse direction (which follows the Arrhenius’s law:</w:t>
      </w:r>
      <w:r w:rsidR="00A43EDE" w:rsidRPr="006D77D2">
        <w:rPr>
          <w:rFonts w:cs="Arial"/>
          <w:szCs w:val="18"/>
          <w:lang w:val="en-US"/>
        </w:rPr>
        <w:t xml:space="preserve"> </w:t>
      </w:r>
      <w:r w:rsidR="00D7298F" w:rsidRPr="006D77D2">
        <w:rPr>
          <w:rFonts w:cs="Arial"/>
          <w:position w:val="-6"/>
          <w:szCs w:val="18"/>
          <w:lang w:val="en-US"/>
        </w:rPr>
        <w:object w:dxaOrig="1160" w:dyaOrig="300" w14:anchorId="703E9093">
          <v:shape id="_x0000_i1032" type="#_x0000_t75" style="width:58pt;height:16pt" o:ole="">
            <v:imagedata r:id="rId24" o:title=""/>
          </v:shape>
          <o:OLEObject Type="Embed" ProgID="Equation.DSMT4" ShapeID="_x0000_i1032" DrawAspect="Content" ObjectID="_1806657692" r:id="rId25"/>
        </w:object>
      </w:r>
      <w:r w:rsidRPr="006D77D2">
        <w:rPr>
          <w:rFonts w:cs="Arial"/>
          <w:szCs w:val="18"/>
          <w:lang w:val="en-US"/>
        </w:rPr>
        <w:t>and</w:t>
      </w:r>
      <w:r w:rsidR="0091263E" w:rsidRPr="006D77D2">
        <w:rPr>
          <w:rFonts w:cs="Arial"/>
          <w:szCs w:val="18"/>
          <w:lang w:val="en-US"/>
        </w:rPr>
        <w:t xml:space="preserve"> </w:t>
      </w:r>
      <w:r w:rsidR="0091263E" w:rsidRPr="006D77D2">
        <w:rPr>
          <w:rFonts w:cs="Arial"/>
          <w:position w:val="-10"/>
          <w:szCs w:val="18"/>
          <w:lang w:val="en-US"/>
        </w:rPr>
        <w:object w:dxaOrig="1620" w:dyaOrig="380" w14:anchorId="54C0269B">
          <v:shape id="_x0000_i1033" type="#_x0000_t75" style="width:81pt;height:19.5pt" o:ole="">
            <v:imagedata r:id="rId26" o:title=""/>
          </v:shape>
          <o:OLEObject Type="Embed" ProgID="Equation.DSMT4" ShapeID="_x0000_i1033" DrawAspect="Content" ObjectID="_1806657693" r:id="rId27"/>
        </w:object>
      </w:r>
      <w:r w:rsidRPr="006D77D2">
        <w:rPr>
          <w:rFonts w:cs="Arial"/>
          <w:szCs w:val="18"/>
          <w:lang w:val="en-US"/>
        </w:rPr>
        <w:t xml:space="preserve"> Where R is the universal gas constant </w:t>
      </w:r>
      <w:r w:rsidRPr="006D77D2">
        <w:rPr>
          <w:rFonts w:cs="Arial"/>
          <w:szCs w:val="18"/>
          <w:lang w:val="en-US"/>
        </w:rPr>
        <w:lastRenderedPageBreak/>
        <w:t>(kJ/(</w:t>
      </w:r>
      <w:proofErr w:type="spellStart"/>
      <w:r w:rsidRPr="006D77D2">
        <w:rPr>
          <w:rFonts w:cs="Arial"/>
          <w:szCs w:val="18"/>
          <w:lang w:val="en-US"/>
        </w:rPr>
        <w:t>mol∙K</w:t>
      </w:r>
      <w:proofErr w:type="spellEnd"/>
      <w:r w:rsidRPr="006D77D2">
        <w:rPr>
          <w:rFonts w:cs="Arial"/>
          <w:szCs w:val="18"/>
          <w:lang w:val="en-US"/>
        </w:rPr>
        <w:t>) for first case and J/(</w:t>
      </w:r>
      <w:proofErr w:type="spellStart"/>
      <w:r w:rsidRPr="006D77D2">
        <w:rPr>
          <w:rFonts w:cs="Arial"/>
          <w:szCs w:val="18"/>
          <w:lang w:val="en-US"/>
        </w:rPr>
        <w:t>mol∙K</w:t>
      </w:r>
      <w:proofErr w:type="spellEnd"/>
      <w:r w:rsidRPr="006D77D2">
        <w:rPr>
          <w:rFonts w:cs="Arial"/>
          <w:szCs w:val="18"/>
          <w:lang w:val="en-US"/>
        </w:rPr>
        <w:t>) for second case), T is the absolute temperature (K), A and A</w:t>
      </w:r>
      <w:r w:rsidRPr="006D77D2">
        <w:rPr>
          <w:rFonts w:cs="Arial"/>
          <w:szCs w:val="18"/>
          <w:vertAlign w:val="subscript"/>
          <w:lang w:val="en-US"/>
        </w:rPr>
        <w:t>rev</w:t>
      </w:r>
      <w:r w:rsidRPr="006D77D2">
        <w:rPr>
          <w:rFonts w:cs="Arial"/>
          <w:szCs w:val="18"/>
          <w:lang w:val="en-US"/>
        </w:rPr>
        <w:t xml:space="preserve"> are the pre-exponential factors or frequency factors and </w:t>
      </w:r>
      <w:proofErr w:type="spellStart"/>
      <w:r w:rsidRPr="006D77D2">
        <w:rPr>
          <w:rFonts w:cs="Arial"/>
          <w:szCs w:val="18"/>
          <w:lang w:val="en-US"/>
        </w:rPr>
        <w:t>E</w:t>
      </w:r>
      <w:r w:rsidRPr="006D77D2">
        <w:rPr>
          <w:rFonts w:cs="Arial"/>
          <w:szCs w:val="18"/>
          <w:vertAlign w:val="subscript"/>
          <w:lang w:val="en-US"/>
        </w:rPr>
        <w:t>a</w:t>
      </w:r>
      <w:proofErr w:type="spellEnd"/>
      <w:r w:rsidRPr="006D77D2">
        <w:rPr>
          <w:rFonts w:cs="Arial"/>
          <w:szCs w:val="18"/>
          <w:lang w:val="en-US"/>
        </w:rPr>
        <w:t xml:space="preserve"> and </w:t>
      </w:r>
      <w:r w:rsidR="00D61350" w:rsidRPr="006D77D2">
        <w:rPr>
          <w:rFonts w:cs="Arial"/>
          <w:position w:val="-12"/>
          <w:szCs w:val="18"/>
          <w:lang w:val="en-US"/>
        </w:rPr>
        <w:object w:dxaOrig="380" w:dyaOrig="320" w14:anchorId="4C6C0A6C">
          <v:shape id="_x0000_i1034" type="#_x0000_t75" style="width:19pt;height:16.5pt" o:ole="">
            <v:imagedata r:id="rId28" o:title=""/>
          </v:shape>
          <o:OLEObject Type="Embed" ProgID="Equation.DSMT4" ShapeID="_x0000_i1034" DrawAspect="Content" ObjectID="_1806657694" r:id="rId29"/>
        </w:object>
      </w:r>
      <w:r w:rsidR="00D61350" w:rsidRPr="006D77D2">
        <w:rPr>
          <w:rFonts w:cs="Arial"/>
          <w:szCs w:val="18"/>
          <w:lang w:val="en-US"/>
        </w:rPr>
        <w:t xml:space="preserve"> </w:t>
      </w:r>
      <w:r w:rsidRPr="006D77D2">
        <w:rPr>
          <w:rFonts w:cs="Arial"/>
          <w:szCs w:val="18"/>
          <w:lang w:val="en-US"/>
        </w:rPr>
        <w:t>are the activation energies for the direct and reverse reactions, respectively), respectively, and C</w:t>
      </w:r>
      <w:r w:rsidRPr="006D77D2">
        <w:rPr>
          <w:rFonts w:cs="Arial"/>
          <w:szCs w:val="18"/>
          <w:vertAlign w:val="subscript"/>
          <w:lang w:val="en-US"/>
        </w:rPr>
        <w:t>i</w:t>
      </w:r>
      <w:r w:rsidRPr="006D77D2">
        <w:rPr>
          <w:rFonts w:cs="Arial"/>
          <w:szCs w:val="18"/>
          <w:lang w:val="en-US"/>
        </w:rPr>
        <w:t xml:space="preserve"> is the concentration of specie </w:t>
      </w:r>
      <w:proofErr w:type="spellStart"/>
      <w:r w:rsidRPr="006D77D2">
        <w:rPr>
          <w:rFonts w:cs="Arial"/>
          <w:szCs w:val="18"/>
          <w:lang w:val="en-US"/>
        </w:rPr>
        <w:t>i</w:t>
      </w:r>
      <w:proofErr w:type="spellEnd"/>
      <w:r w:rsidRPr="006D77D2">
        <w:rPr>
          <w:rFonts w:cs="Arial"/>
          <w:szCs w:val="18"/>
          <w:lang w:val="en-US"/>
        </w:rPr>
        <w:t xml:space="preserve"> (mol/L).</w:t>
      </w:r>
      <w:r w:rsidR="004519A5" w:rsidRPr="006D77D2">
        <w:rPr>
          <w:rFonts w:cs="Arial"/>
          <w:szCs w:val="18"/>
          <w:lang w:val="en-US"/>
        </w:rPr>
        <w:t xml:space="preserve"> </w:t>
      </w:r>
      <w:r w:rsidRPr="006D77D2">
        <w:rPr>
          <w:rFonts w:cs="Arial"/>
          <w:szCs w:val="18"/>
          <w:lang w:val="en-US"/>
        </w:rPr>
        <w:t>Meanwhile, the non-elementary kinetic equation can be expressed as</w:t>
      </w:r>
      <w:r w:rsidR="00266EFF" w:rsidRPr="006D77D2">
        <w:rPr>
          <w:rFonts w:cs="Arial"/>
          <w:szCs w:val="18"/>
          <w:lang w:val="en-US"/>
        </w:rPr>
        <w:t xml:space="preserve"> </w:t>
      </w:r>
      <w:r w:rsidR="00214E6F" w:rsidRPr="006D77D2">
        <w:rPr>
          <w:rFonts w:cs="Arial"/>
          <w:position w:val="-10"/>
          <w:szCs w:val="18"/>
          <w:lang w:val="en-US"/>
        </w:rPr>
        <w:object w:dxaOrig="2120" w:dyaOrig="320" w14:anchorId="628489C7">
          <v:shape id="_x0000_i1035" type="#_x0000_t75" style="width:106pt;height:16.5pt" o:ole="">
            <v:imagedata r:id="rId30" o:title=""/>
          </v:shape>
          <o:OLEObject Type="Embed" ProgID="Equation.DSMT4" ShapeID="_x0000_i1035" DrawAspect="Content" ObjectID="_1806657695" r:id="rId31"/>
        </w:object>
      </w:r>
      <w:r w:rsidR="00781929" w:rsidRPr="006D77D2">
        <w:rPr>
          <w:rFonts w:cs="Arial"/>
          <w:szCs w:val="18"/>
          <w:lang w:val="en-US"/>
        </w:rPr>
        <w:t xml:space="preserve">, </w:t>
      </w:r>
      <w:r w:rsidRPr="006D77D2">
        <w:rPr>
          <w:rFonts w:cs="Arial"/>
          <w:szCs w:val="18"/>
          <w:lang w:val="en-US"/>
        </w:rPr>
        <w:t xml:space="preserve">where the superscripts of concentration variable are the reaction order for each </w:t>
      </w:r>
      <w:r w:rsidR="00C3468C" w:rsidRPr="006D77D2">
        <w:rPr>
          <w:rFonts w:cs="Arial"/>
          <w:szCs w:val="18"/>
          <w:lang w:val="en-US"/>
        </w:rPr>
        <w:t>species</w:t>
      </w:r>
      <w:r w:rsidRPr="006D77D2">
        <w:rPr>
          <w:rFonts w:cs="Arial"/>
          <w:szCs w:val="18"/>
          <w:lang w:val="en-US"/>
        </w:rPr>
        <w:t>.</w:t>
      </w:r>
      <w:r w:rsidR="00387A17" w:rsidRPr="006D77D2">
        <w:rPr>
          <w:rFonts w:cs="Arial"/>
          <w:szCs w:val="18"/>
          <w:lang w:val="en-US"/>
        </w:rPr>
        <w:t xml:space="preserve"> </w:t>
      </w:r>
      <w:r w:rsidRPr="006D77D2">
        <w:rPr>
          <w:rFonts w:cs="Arial"/>
          <w:szCs w:val="18"/>
          <w:lang w:val="en-US"/>
        </w:rPr>
        <w:t>The concentration of all species can be expressed in terms of glycerol conversion as follows:</w:t>
      </w:r>
      <w:r w:rsidR="008611B7" w:rsidRPr="006D77D2">
        <w:rPr>
          <w:rFonts w:cs="Arial"/>
          <w:szCs w:val="18"/>
          <w:lang w:val="en-US"/>
        </w:rPr>
        <w:t xml:space="preserve"> </w:t>
      </w:r>
      <w:r w:rsidR="00642BB2" w:rsidRPr="006D77D2">
        <w:rPr>
          <w:rFonts w:cs="Arial"/>
          <w:position w:val="-12"/>
          <w:szCs w:val="18"/>
          <w:lang w:val="en-US"/>
        </w:rPr>
        <w:object w:dxaOrig="1380" w:dyaOrig="320" w14:anchorId="10AC034B">
          <v:shape id="_x0000_i1036" type="#_x0000_t75" style="width:69pt;height:16.5pt" o:ole="">
            <v:imagedata r:id="rId32" o:title=""/>
          </v:shape>
          <o:OLEObject Type="Embed" ProgID="Equation.DSMT4" ShapeID="_x0000_i1036" DrawAspect="Content" ObjectID="_1806657696" r:id="rId33"/>
        </w:object>
      </w:r>
      <w:r w:rsidR="00800004" w:rsidRPr="006D77D2">
        <w:rPr>
          <w:rFonts w:cs="Arial"/>
          <w:szCs w:val="18"/>
          <w:lang w:val="en-US"/>
        </w:rPr>
        <w:t xml:space="preserve">, </w:t>
      </w:r>
      <w:r w:rsidR="00A36F54" w:rsidRPr="006D77D2">
        <w:rPr>
          <w:rFonts w:cs="Arial"/>
          <w:position w:val="-12"/>
          <w:szCs w:val="18"/>
          <w:lang w:val="en-US"/>
        </w:rPr>
        <w:object w:dxaOrig="1719" w:dyaOrig="320" w14:anchorId="38074B6C">
          <v:shape id="_x0000_i1037" type="#_x0000_t75" style="width:85.5pt;height:16.5pt" o:ole="">
            <v:imagedata r:id="rId34" o:title=""/>
          </v:shape>
          <o:OLEObject Type="Embed" ProgID="Equation.DSMT4" ShapeID="_x0000_i1037" DrawAspect="Content" ObjectID="_1806657697" r:id="rId35"/>
        </w:object>
      </w:r>
      <w:r w:rsidR="00800004" w:rsidRPr="006D77D2">
        <w:rPr>
          <w:rFonts w:cs="Arial"/>
          <w:szCs w:val="18"/>
          <w:lang w:val="en-US"/>
        </w:rPr>
        <w:t xml:space="preserve">, </w:t>
      </w:r>
      <w:r w:rsidR="00A36F54" w:rsidRPr="006D77D2">
        <w:rPr>
          <w:rFonts w:cs="Arial"/>
          <w:position w:val="-12"/>
          <w:szCs w:val="18"/>
          <w:lang w:val="en-US"/>
        </w:rPr>
        <w:object w:dxaOrig="1040" w:dyaOrig="320" w14:anchorId="208A734D">
          <v:shape id="_x0000_i1038" type="#_x0000_t75" style="width:51.5pt;height:16.5pt" o:ole="">
            <v:imagedata r:id="rId36" o:title=""/>
          </v:shape>
          <o:OLEObject Type="Embed" ProgID="Equation.DSMT4" ShapeID="_x0000_i1038" DrawAspect="Content" ObjectID="_1806657698" r:id="rId37"/>
        </w:object>
      </w:r>
      <w:r w:rsidR="00800004" w:rsidRPr="006D77D2">
        <w:rPr>
          <w:rFonts w:cs="Arial"/>
          <w:szCs w:val="18"/>
          <w:lang w:val="en-US"/>
        </w:rPr>
        <w:t xml:space="preserve"> and</w:t>
      </w:r>
      <w:r w:rsidR="00A36F54" w:rsidRPr="006D77D2">
        <w:rPr>
          <w:rFonts w:cs="Arial"/>
          <w:szCs w:val="18"/>
          <w:lang w:val="en-US"/>
        </w:rPr>
        <w:t xml:space="preserve"> </w:t>
      </w:r>
      <w:r w:rsidR="00D35D37" w:rsidRPr="006D77D2">
        <w:rPr>
          <w:rFonts w:cs="Arial"/>
          <w:position w:val="-12"/>
          <w:szCs w:val="18"/>
          <w:lang w:val="en-US"/>
        </w:rPr>
        <w:object w:dxaOrig="1060" w:dyaOrig="320" w14:anchorId="294CD5C4">
          <v:shape id="_x0000_i1039" type="#_x0000_t75" style="width:53.5pt;height:16.5pt" o:ole="">
            <v:imagedata r:id="rId38" o:title=""/>
          </v:shape>
          <o:OLEObject Type="Embed" ProgID="Equation.DSMT4" ShapeID="_x0000_i1039" DrawAspect="Content" ObjectID="_1806657699" r:id="rId39"/>
        </w:object>
      </w:r>
      <w:r w:rsidR="00800004" w:rsidRPr="006D77D2">
        <w:rPr>
          <w:rFonts w:cs="Arial"/>
          <w:szCs w:val="18"/>
          <w:lang w:val="en-US"/>
        </w:rPr>
        <w:t>.</w:t>
      </w:r>
      <w:r w:rsidR="00FE3D52" w:rsidRPr="006D77D2">
        <w:rPr>
          <w:rFonts w:cs="Arial"/>
          <w:szCs w:val="18"/>
          <w:lang w:val="en-US"/>
        </w:rPr>
        <w:t xml:space="preserve"> </w:t>
      </w:r>
      <w:r w:rsidR="002E4FC5" w:rsidRPr="006D77D2">
        <w:rPr>
          <w:rFonts w:cs="Arial"/>
          <w:szCs w:val="18"/>
          <w:lang w:val="en-US"/>
        </w:rPr>
        <w:t>All t</w:t>
      </w:r>
      <w:r w:rsidRPr="006D77D2">
        <w:rPr>
          <w:rFonts w:cs="Arial"/>
          <w:szCs w:val="18"/>
          <w:lang w:val="en-US"/>
        </w:rPr>
        <w:t xml:space="preserve">hese expressions consider the chemical reaction stoichiometric and its phase, </w:t>
      </w:r>
      <w:r w:rsidR="00C3468C" w:rsidRPr="006D77D2">
        <w:rPr>
          <w:rFonts w:cs="Arial"/>
          <w:szCs w:val="18"/>
          <w:lang w:val="en-US"/>
        </w:rPr>
        <w:t xml:space="preserve">initial concentrations of the reactive species </w:t>
      </w:r>
      <w:r w:rsidRPr="006D77D2">
        <w:rPr>
          <w:rFonts w:cs="Arial"/>
          <w:szCs w:val="18"/>
          <w:lang w:val="en-US"/>
        </w:rPr>
        <w:t>(there are only reactants and no products) and the mode of the reactor operation (batch).</w:t>
      </w:r>
    </w:p>
    <w:bookmarkEnd w:id="8"/>
    <w:p w14:paraId="7479D4DB" w14:textId="77777777" w:rsidR="00214E6F" w:rsidRPr="006D77D2" w:rsidRDefault="00214E6F" w:rsidP="00940A3C">
      <w:pPr>
        <w:spacing w:line="240" w:lineRule="auto"/>
        <w:rPr>
          <w:rFonts w:cs="Arial"/>
          <w:szCs w:val="18"/>
          <w:lang w:val="en-US"/>
        </w:rPr>
      </w:pPr>
    </w:p>
    <w:p w14:paraId="3F65AFFE" w14:textId="02827694" w:rsidR="000724CE" w:rsidRPr="006D77D2" w:rsidRDefault="000724CE" w:rsidP="00940A3C">
      <w:pPr>
        <w:spacing w:line="240" w:lineRule="auto"/>
        <w:rPr>
          <w:rFonts w:cs="Arial"/>
          <w:szCs w:val="18"/>
          <w:lang w:val="en-US"/>
        </w:rPr>
      </w:pPr>
      <w:r w:rsidRPr="006D77D2">
        <w:rPr>
          <w:rFonts w:cs="Arial"/>
          <w:szCs w:val="18"/>
          <w:lang w:val="en-US"/>
        </w:rPr>
        <w:t>In general, both cases present experimental data of glycerol conversion versus time or versus other independent variable (such as molar ratio of dimethyl carbonate to glycerol (</w:t>
      </w:r>
      <w:r w:rsidRPr="006D77D2">
        <w:rPr>
          <w:rFonts w:cs="Arial"/>
          <w:szCs w:val="18"/>
          <w:lang w:val="en-US"/>
        </w:rPr>
        <w:sym w:font="Symbol" w:char="F051"/>
      </w:r>
      <w:r w:rsidRPr="006D77D2">
        <w:rPr>
          <w:rFonts w:cs="Arial"/>
          <w:szCs w:val="18"/>
          <w:vertAlign w:val="subscript"/>
          <w:lang w:val="en-US"/>
        </w:rPr>
        <w:t>DMC</w:t>
      </w:r>
      <w:r w:rsidRPr="006D77D2">
        <w:rPr>
          <w:rFonts w:cs="Arial"/>
          <w:szCs w:val="18"/>
          <w:lang w:val="en-US"/>
        </w:rPr>
        <w:t>) or temperature) at specific conditions. Then the main objective is to identify the kinetic reaction parameters that minimize the discrepancy between the conversion values calculated using the reactor model (</w:t>
      </w:r>
      <w:r w:rsidRPr="006D77D2">
        <w:rPr>
          <w:rFonts w:cs="Arial"/>
          <w:i/>
          <w:iCs/>
          <w:szCs w:val="18"/>
          <w:lang w:val="en-US"/>
        </w:rPr>
        <w:t>e.g.</w:t>
      </w:r>
      <w:r w:rsidR="00C428AF" w:rsidRPr="006D77D2">
        <w:rPr>
          <w:rFonts w:cs="Arial"/>
          <w:i/>
          <w:iCs/>
          <w:szCs w:val="18"/>
          <w:lang w:val="en-US"/>
        </w:rPr>
        <w:t>,</w:t>
      </w:r>
      <w:r w:rsidRPr="006D77D2">
        <w:rPr>
          <w:rFonts w:cs="Arial"/>
          <w:szCs w:val="18"/>
          <w:lang w:val="en-US"/>
        </w:rPr>
        <w:t xml:space="preserve"> equations </w:t>
      </w:r>
      <w:r w:rsidRPr="006D77D2">
        <w:rPr>
          <w:rFonts w:cs="Arial"/>
          <w:szCs w:val="18"/>
          <w:lang w:val="en-US"/>
        </w:rPr>
        <w:fldChar w:fldCharType="begin"/>
      </w:r>
      <w:r w:rsidRPr="006D77D2">
        <w:rPr>
          <w:rFonts w:cs="Arial"/>
          <w:szCs w:val="18"/>
          <w:lang w:val="en-US"/>
        </w:rPr>
        <w:instrText xml:space="preserve"> REF _Ref170825724 \h  \* MERGEFORMAT </w:instrText>
      </w:r>
      <w:r w:rsidRPr="006D77D2">
        <w:rPr>
          <w:rFonts w:cs="Arial"/>
          <w:szCs w:val="18"/>
          <w:lang w:val="en-US"/>
        </w:rPr>
      </w:r>
      <w:r w:rsidRPr="006D77D2">
        <w:rPr>
          <w:rFonts w:cs="Arial"/>
          <w:szCs w:val="18"/>
          <w:lang w:val="en-US"/>
        </w:rPr>
        <w:fldChar w:fldCharType="separate"/>
      </w:r>
      <w:r w:rsidR="000B2539" w:rsidRPr="006D77D2">
        <w:rPr>
          <w:rFonts w:cs="Arial"/>
          <w:szCs w:val="18"/>
          <w:lang w:val="en-US"/>
        </w:rPr>
        <w:t>(</w:t>
      </w:r>
      <w:r w:rsidR="000B2539" w:rsidRPr="006D77D2">
        <w:rPr>
          <w:rFonts w:cs="Arial"/>
          <w:noProof/>
          <w:szCs w:val="18"/>
          <w:lang w:val="en-US"/>
        </w:rPr>
        <w:t>1</w:t>
      </w:r>
      <w:r w:rsidR="000B2539" w:rsidRPr="006D77D2">
        <w:rPr>
          <w:rFonts w:cs="Arial"/>
          <w:szCs w:val="18"/>
          <w:lang w:val="en-US"/>
        </w:rPr>
        <w:t>)</w:t>
      </w:r>
      <w:r w:rsidRPr="006D77D2">
        <w:rPr>
          <w:rFonts w:cs="Arial"/>
          <w:szCs w:val="18"/>
          <w:lang w:val="en-US"/>
        </w:rPr>
        <w:fldChar w:fldCharType="end"/>
      </w:r>
      <w:r w:rsidRPr="006D77D2">
        <w:rPr>
          <w:rFonts w:cs="Arial"/>
          <w:szCs w:val="18"/>
          <w:lang w:val="en-US"/>
        </w:rPr>
        <w:t xml:space="preserve"> or </w:t>
      </w:r>
      <w:r w:rsidRPr="006D77D2">
        <w:rPr>
          <w:rFonts w:cs="Arial"/>
          <w:szCs w:val="18"/>
          <w:lang w:val="en-US"/>
        </w:rPr>
        <w:fldChar w:fldCharType="begin"/>
      </w:r>
      <w:r w:rsidRPr="006D77D2">
        <w:rPr>
          <w:rFonts w:cs="Arial"/>
          <w:szCs w:val="18"/>
          <w:lang w:val="en-US"/>
        </w:rPr>
        <w:instrText xml:space="preserve"> REF _Ref171068043 \h  \* MERGEFORMAT </w:instrText>
      </w:r>
      <w:r w:rsidRPr="006D77D2">
        <w:rPr>
          <w:rFonts w:cs="Arial"/>
          <w:szCs w:val="18"/>
          <w:lang w:val="en-US"/>
        </w:rPr>
      </w:r>
      <w:r w:rsidRPr="006D77D2">
        <w:rPr>
          <w:rFonts w:cs="Arial"/>
          <w:szCs w:val="18"/>
          <w:lang w:val="en-US"/>
        </w:rPr>
        <w:fldChar w:fldCharType="separate"/>
      </w:r>
      <w:r w:rsidR="000B2539" w:rsidRPr="006D77D2">
        <w:rPr>
          <w:rFonts w:cs="Arial"/>
          <w:szCs w:val="18"/>
          <w:lang w:val="en-US"/>
        </w:rPr>
        <w:t>(</w:t>
      </w:r>
      <w:r w:rsidR="000B2539" w:rsidRPr="006D77D2">
        <w:rPr>
          <w:rFonts w:cs="Arial"/>
          <w:noProof/>
          <w:szCs w:val="18"/>
          <w:lang w:val="en-US"/>
        </w:rPr>
        <w:t>3</w:t>
      </w:r>
      <w:r w:rsidR="000B2539" w:rsidRPr="006D77D2">
        <w:rPr>
          <w:rFonts w:cs="Arial"/>
          <w:szCs w:val="18"/>
          <w:lang w:val="en-US"/>
        </w:rPr>
        <w:t>)</w:t>
      </w:r>
      <w:r w:rsidRPr="006D77D2">
        <w:rPr>
          <w:rFonts w:cs="Arial"/>
          <w:szCs w:val="18"/>
          <w:lang w:val="en-US"/>
        </w:rPr>
        <w:fldChar w:fldCharType="end"/>
      </w:r>
      <w:r w:rsidRPr="006D77D2">
        <w:rPr>
          <w:rFonts w:cs="Arial"/>
          <w:szCs w:val="18"/>
          <w:lang w:val="en-US"/>
        </w:rPr>
        <w:t xml:space="preserve"> ) and their experimental values. Thus, expression </w:t>
      </w:r>
      <w:r w:rsidRPr="006D77D2">
        <w:rPr>
          <w:rFonts w:cs="Arial"/>
          <w:szCs w:val="18"/>
          <w:lang w:val="en-US"/>
        </w:rPr>
        <w:fldChar w:fldCharType="begin"/>
      </w:r>
      <w:r w:rsidRPr="006D77D2">
        <w:rPr>
          <w:rFonts w:cs="Arial"/>
          <w:szCs w:val="18"/>
          <w:lang w:val="en-US"/>
        </w:rPr>
        <w:instrText xml:space="preserve"> REF _Ref171068166 \h  \* MERGEFORMAT </w:instrText>
      </w:r>
      <w:r w:rsidRPr="006D77D2">
        <w:rPr>
          <w:rFonts w:cs="Arial"/>
          <w:szCs w:val="18"/>
          <w:lang w:val="en-US"/>
        </w:rPr>
      </w:r>
      <w:r w:rsidRPr="006D77D2">
        <w:rPr>
          <w:rFonts w:cs="Arial"/>
          <w:szCs w:val="18"/>
          <w:lang w:val="en-US"/>
        </w:rPr>
        <w:fldChar w:fldCharType="separate"/>
      </w:r>
      <w:r w:rsidR="000B2539" w:rsidRPr="006D77D2">
        <w:rPr>
          <w:rFonts w:cs="Arial"/>
          <w:szCs w:val="18"/>
          <w:lang w:val="en-US"/>
        </w:rPr>
        <w:t>(</w:t>
      </w:r>
      <w:r w:rsidR="000B2539" w:rsidRPr="006D77D2">
        <w:rPr>
          <w:rFonts w:cs="Arial"/>
          <w:noProof/>
          <w:szCs w:val="18"/>
          <w:lang w:val="en-US"/>
        </w:rPr>
        <w:t>4</w:t>
      </w:r>
      <w:r w:rsidR="000B2539" w:rsidRPr="006D77D2">
        <w:rPr>
          <w:rFonts w:cs="Arial"/>
          <w:szCs w:val="18"/>
          <w:lang w:val="en-US"/>
        </w:rPr>
        <w:t>)</w:t>
      </w:r>
      <w:r w:rsidRPr="006D77D2">
        <w:rPr>
          <w:rFonts w:cs="Arial"/>
          <w:szCs w:val="18"/>
          <w:lang w:val="en-US"/>
        </w:rPr>
        <w:fldChar w:fldCharType="end"/>
      </w:r>
      <w:r w:rsidRPr="006D77D2">
        <w:rPr>
          <w:rFonts w:cs="Arial"/>
          <w:szCs w:val="18"/>
          <w:lang w:val="en-US"/>
        </w:rPr>
        <w:t xml:space="preserve"> is proposed as an objective function and it can be minimized by using the Nelder–Mead simplex method available in the </w:t>
      </w:r>
      <w:bookmarkStart w:id="9" w:name="_Hlk172300278"/>
      <w:proofErr w:type="spellStart"/>
      <w:r w:rsidRPr="006D77D2">
        <w:rPr>
          <w:rFonts w:cs="Arial"/>
          <w:i/>
          <w:iCs/>
          <w:szCs w:val="18"/>
          <w:lang w:val="en-US"/>
        </w:rPr>
        <w:t>fminsearch</w:t>
      </w:r>
      <w:proofErr w:type="spellEnd"/>
      <w:r w:rsidRPr="006D77D2">
        <w:rPr>
          <w:rFonts w:cs="Arial"/>
          <w:szCs w:val="18"/>
          <w:lang w:val="en-US"/>
        </w:rPr>
        <w:t xml:space="preserve"> command </w:t>
      </w:r>
      <w:bookmarkEnd w:id="9"/>
      <w:r w:rsidRPr="006D77D2">
        <w:rPr>
          <w:rFonts w:cs="Arial"/>
          <w:szCs w:val="18"/>
          <w:lang w:val="en-US"/>
        </w:rPr>
        <w:t>of the MATLAB® software.</w:t>
      </w:r>
    </w:p>
    <w:p w14:paraId="6645AEC5" w14:textId="77777777" w:rsidR="00CF4630" w:rsidRPr="006D77D2" w:rsidRDefault="00CF4630" w:rsidP="00940A3C">
      <w:pPr>
        <w:spacing w:line="240" w:lineRule="auto"/>
        <w:rPr>
          <w:rFonts w:cs="Arial"/>
          <w:szCs w:val="18"/>
          <w:lang w:val="en-US"/>
        </w:rPr>
      </w:pPr>
    </w:p>
    <w:tbl>
      <w:tblPr>
        <w:tblStyle w:val="TableGrid"/>
        <w:tblW w:w="0" w:type="auto"/>
        <w:tblLook w:val="04A0" w:firstRow="1" w:lastRow="0" w:firstColumn="1" w:lastColumn="0" w:noHBand="0" w:noVBand="1"/>
      </w:tblPr>
      <w:tblGrid>
        <w:gridCol w:w="8297"/>
        <w:gridCol w:w="490"/>
      </w:tblGrid>
      <w:tr w:rsidR="000724CE" w:rsidRPr="006D77D2" w14:paraId="6B6DA3BA" w14:textId="77777777" w:rsidTr="002D49BF">
        <w:tc>
          <w:tcPr>
            <w:tcW w:w="8338" w:type="dxa"/>
            <w:tcBorders>
              <w:top w:val="nil"/>
              <w:left w:val="nil"/>
              <w:bottom w:val="nil"/>
              <w:right w:val="nil"/>
            </w:tcBorders>
            <w:vAlign w:val="center"/>
          </w:tcPr>
          <w:p w14:paraId="3B1D6DFA" w14:textId="6989596E" w:rsidR="000724CE" w:rsidRPr="006D77D2" w:rsidRDefault="005D44D8" w:rsidP="00FC5A9E">
            <w:pPr>
              <w:spacing w:line="240" w:lineRule="auto"/>
              <w:jc w:val="left"/>
              <w:rPr>
                <w:rFonts w:cs="Arial"/>
                <w:szCs w:val="18"/>
                <w:lang w:val="en-US"/>
              </w:rPr>
            </w:pPr>
            <w:r w:rsidRPr="006D77D2">
              <w:rPr>
                <w:rFonts w:cs="Arial"/>
                <w:position w:val="-22"/>
                <w:szCs w:val="18"/>
                <w:lang w:val="en-US"/>
              </w:rPr>
              <w:object w:dxaOrig="1719" w:dyaOrig="560" w14:anchorId="29788234">
                <v:shape id="_x0000_i1040" type="#_x0000_t75" style="width:85.5pt;height:29.5pt" o:ole="">
                  <v:imagedata r:id="rId40" o:title=""/>
                </v:shape>
                <o:OLEObject Type="Embed" ProgID="Equation.DSMT4" ShapeID="_x0000_i1040" DrawAspect="Content" ObjectID="_1806657700" r:id="rId41"/>
              </w:object>
            </w:r>
          </w:p>
        </w:tc>
        <w:tc>
          <w:tcPr>
            <w:tcW w:w="490" w:type="dxa"/>
            <w:tcBorders>
              <w:top w:val="nil"/>
              <w:left w:val="nil"/>
              <w:bottom w:val="nil"/>
              <w:right w:val="nil"/>
            </w:tcBorders>
            <w:vAlign w:val="center"/>
          </w:tcPr>
          <w:p w14:paraId="7310ED54" w14:textId="0B341BE1" w:rsidR="000724CE" w:rsidRPr="006D77D2" w:rsidRDefault="000724CE" w:rsidP="00940A3C">
            <w:pPr>
              <w:pStyle w:val="Caption"/>
              <w:keepNext/>
              <w:jc w:val="right"/>
              <w:rPr>
                <w:rFonts w:cs="Arial"/>
                <w:b w:val="0"/>
                <w:color w:val="auto"/>
                <w:lang w:val="en-US"/>
              </w:rPr>
            </w:pPr>
            <w:bookmarkStart w:id="10" w:name="_Ref171068166"/>
            <w:r w:rsidRPr="006D77D2">
              <w:rPr>
                <w:rFonts w:cs="Arial"/>
                <w:b w:val="0"/>
                <w:color w:val="auto"/>
                <w:lang w:val="en-US"/>
              </w:rPr>
              <w:t>(</w:t>
            </w:r>
            <w:r w:rsidRPr="006D77D2">
              <w:rPr>
                <w:rFonts w:cs="Arial"/>
                <w:b w:val="0"/>
                <w:color w:val="auto"/>
              </w:rPr>
              <w:fldChar w:fldCharType="begin"/>
            </w:r>
            <w:r w:rsidRPr="006D77D2">
              <w:rPr>
                <w:rFonts w:cs="Arial"/>
                <w:b w:val="0"/>
                <w:color w:val="auto"/>
                <w:lang w:val="en-US"/>
              </w:rPr>
              <w:instrText xml:space="preserve"> SEQ Ecuación \* ARABIC </w:instrText>
            </w:r>
            <w:r w:rsidRPr="006D77D2">
              <w:rPr>
                <w:rFonts w:cs="Arial"/>
                <w:b w:val="0"/>
                <w:color w:val="auto"/>
              </w:rPr>
              <w:fldChar w:fldCharType="separate"/>
            </w:r>
            <w:r w:rsidR="00AE44AC" w:rsidRPr="006D77D2">
              <w:rPr>
                <w:rFonts w:cs="Arial"/>
                <w:b w:val="0"/>
                <w:noProof/>
                <w:color w:val="auto"/>
                <w:lang w:val="en-US"/>
              </w:rPr>
              <w:t>4</w:t>
            </w:r>
            <w:r w:rsidRPr="006D77D2">
              <w:rPr>
                <w:rFonts w:cs="Arial"/>
                <w:b w:val="0"/>
                <w:color w:val="auto"/>
              </w:rPr>
              <w:fldChar w:fldCharType="end"/>
            </w:r>
            <w:r w:rsidRPr="006D77D2">
              <w:rPr>
                <w:rFonts w:cs="Arial"/>
                <w:b w:val="0"/>
                <w:color w:val="auto"/>
                <w:lang w:val="en-US"/>
              </w:rPr>
              <w:t>)</w:t>
            </w:r>
            <w:bookmarkEnd w:id="10"/>
          </w:p>
        </w:tc>
      </w:tr>
    </w:tbl>
    <w:p w14:paraId="581656CA" w14:textId="77777777" w:rsidR="00CF4630" w:rsidRPr="006D77D2" w:rsidRDefault="00CF4630" w:rsidP="00940A3C">
      <w:pPr>
        <w:spacing w:line="240" w:lineRule="auto"/>
        <w:rPr>
          <w:rFonts w:cs="Arial"/>
          <w:szCs w:val="18"/>
          <w:lang w:val="en-US"/>
        </w:rPr>
      </w:pPr>
    </w:p>
    <w:p w14:paraId="7185666D" w14:textId="26466CBB" w:rsidR="000724CE" w:rsidRPr="006D77D2" w:rsidRDefault="000724CE" w:rsidP="00940A3C">
      <w:pPr>
        <w:spacing w:line="240" w:lineRule="auto"/>
        <w:rPr>
          <w:rFonts w:cs="Arial"/>
          <w:szCs w:val="18"/>
          <w:lang w:val="en-US"/>
        </w:rPr>
      </w:pPr>
      <w:r w:rsidRPr="006D77D2">
        <w:rPr>
          <w:rFonts w:cs="Arial"/>
          <w:szCs w:val="18"/>
          <w:lang w:val="en-US"/>
        </w:rPr>
        <w:t xml:space="preserve">Now according to the previous information, </w:t>
      </w:r>
      <w:proofErr w:type="gramStart"/>
      <w:r w:rsidRPr="006D77D2">
        <w:rPr>
          <w:rFonts w:cs="Arial"/>
          <w:szCs w:val="18"/>
          <w:lang w:val="en-US"/>
        </w:rPr>
        <w:t>algorithm</w:t>
      </w:r>
      <w:proofErr w:type="gramEnd"/>
      <w:r w:rsidRPr="006D77D2">
        <w:rPr>
          <w:rFonts w:cs="Arial"/>
          <w:szCs w:val="18"/>
          <w:lang w:val="en-US"/>
        </w:rPr>
        <w:t xml:space="preserve"> of non-elementary kinetic adjustment for the first case is built as shown at the </w:t>
      </w:r>
      <w:r w:rsidRPr="006D77D2">
        <w:rPr>
          <w:rFonts w:cs="Arial"/>
          <w:szCs w:val="18"/>
          <w:lang w:val="en-US"/>
        </w:rPr>
        <w:fldChar w:fldCharType="begin"/>
      </w:r>
      <w:r w:rsidRPr="006D77D2">
        <w:rPr>
          <w:rFonts w:cs="Arial"/>
          <w:szCs w:val="18"/>
          <w:lang w:val="en-US"/>
        </w:rPr>
        <w:instrText xml:space="preserve"> REF _Ref172298489 \h  \* MERGEFORMAT </w:instrText>
      </w:r>
      <w:r w:rsidRPr="006D77D2">
        <w:rPr>
          <w:rFonts w:cs="Arial"/>
          <w:szCs w:val="18"/>
          <w:lang w:val="en-US"/>
        </w:rPr>
      </w:r>
      <w:r w:rsidRPr="006D77D2">
        <w:rPr>
          <w:rFonts w:cs="Arial"/>
          <w:szCs w:val="18"/>
          <w:lang w:val="en-US"/>
        </w:rPr>
        <w:fldChar w:fldCharType="separate"/>
      </w:r>
      <w:r w:rsidRPr="006D77D2">
        <w:rPr>
          <w:rFonts w:cs="Arial"/>
          <w:szCs w:val="18"/>
          <w:lang w:val="en-US"/>
        </w:rPr>
        <w:t xml:space="preserve">Figure </w:t>
      </w:r>
      <w:r w:rsidRPr="006D77D2">
        <w:rPr>
          <w:rFonts w:cs="Arial"/>
          <w:noProof/>
          <w:szCs w:val="18"/>
          <w:lang w:val="en-US"/>
        </w:rPr>
        <w:t>1</w:t>
      </w:r>
      <w:r w:rsidRPr="006D77D2">
        <w:rPr>
          <w:rFonts w:cs="Arial"/>
          <w:szCs w:val="18"/>
          <w:lang w:val="en-US"/>
        </w:rPr>
        <w:fldChar w:fldCharType="end"/>
      </w:r>
      <w:r w:rsidRPr="006D77D2">
        <w:rPr>
          <w:rFonts w:cs="Arial"/>
          <w:szCs w:val="18"/>
          <w:lang w:val="en-US"/>
        </w:rPr>
        <w:t xml:space="preserve"> (elementary kinetic adjustment can be done with an analogous algorithm). </w:t>
      </w:r>
    </w:p>
    <w:p w14:paraId="4097F759" w14:textId="77777777" w:rsidR="00584C57" w:rsidRPr="006D77D2" w:rsidRDefault="00584C57" w:rsidP="00940A3C">
      <w:pPr>
        <w:spacing w:line="240" w:lineRule="auto"/>
        <w:rPr>
          <w:rFonts w:cs="Arial"/>
          <w:szCs w:val="18"/>
          <w:lang w:val="en-US"/>
        </w:rPr>
      </w:pPr>
    </w:p>
    <w:p w14:paraId="04041EC8" w14:textId="2D1D8DB6" w:rsidR="00584C57" w:rsidRPr="006D77D2" w:rsidRDefault="00584C57" w:rsidP="00940A3C">
      <w:pPr>
        <w:spacing w:line="240" w:lineRule="auto"/>
        <w:rPr>
          <w:rFonts w:cs="Arial"/>
          <w:szCs w:val="18"/>
          <w:lang w:val="en-US"/>
        </w:rPr>
      </w:pPr>
      <w:r w:rsidRPr="006D77D2">
        <w:rPr>
          <w:rFonts w:cs="Arial"/>
          <w:noProof/>
          <w:szCs w:val="18"/>
        </w:rPr>
        <w:drawing>
          <wp:inline distT="0" distB="0" distL="0" distR="0" wp14:anchorId="61D25BA7" wp14:editId="0666A817">
            <wp:extent cx="2560588" cy="4590941"/>
            <wp:effectExtent l="0" t="5398" r="6033" b="6032"/>
            <wp:docPr id="1089119899" name="Picture 4"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119899" name="Picture 4" descr="A diagram of a flowchart&#10;&#10;Description automatically generated"/>
                    <pic:cNvPicPr>
                      <a:picLocks noChangeAspect="1" noChangeArrowheads="1"/>
                    </pic:cNvPicPr>
                  </pic:nvPicPr>
                  <pic:blipFill rotWithShape="1">
                    <a:blip r:embed="rId42">
                      <a:extLst>
                        <a:ext uri="{28A0092B-C50C-407E-A947-70E740481C1C}">
                          <a14:useLocalDpi xmlns:a14="http://schemas.microsoft.com/office/drawing/2010/main" val="0"/>
                        </a:ext>
                      </a:extLst>
                    </a:blip>
                    <a:srcRect l="2344" r="2114"/>
                    <a:stretch/>
                  </pic:blipFill>
                  <pic:spPr bwMode="auto">
                    <a:xfrm rot="16200000">
                      <a:off x="0" y="0"/>
                      <a:ext cx="2581805" cy="4628981"/>
                    </a:xfrm>
                    <a:prstGeom prst="rect">
                      <a:avLst/>
                    </a:prstGeom>
                    <a:noFill/>
                    <a:ln>
                      <a:noFill/>
                    </a:ln>
                    <a:extLst>
                      <a:ext uri="{53640926-AAD7-44D8-BBD7-CCE9431645EC}">
                        <a14:shadowObscured xmlns:a14="http://schemas.microsoft.com/office/drawing/2010/main"/>
                      </a:ext>
                    </a:extLst>
                  </pic:spPr>
                </pic:pic>
              </a:graphicData>
            </a:graphic>
          </wp:inline>
        </w:drawing>
      </w:r>
    </w:p>
    <w:p w14:paraId="0AF16BD1" w14:textId="77777777" w:rsidR="007E02D2" w:rsidRPr="006D77D2" w:rsidRDefault="007E02D2" w:rsidP="007E02D2">
      <w:pPr>
        <w:pStyle w:val="Caption"/>
        <w:rPr>
          <w:rFonts w:cs="Arial"/>
          <w:b w:val="0"/>
          <w:bCs w:val="0"/>
          <w:color w:val="auto"/>
          <w:lang w:val="en-US"/>
        </w:rPr>
      </w:pPr>
      <w:bookmarkStart w:id="11" w:name="_Ref172298489"/>
      <w:r w:rsidRPr="006D77D2">
        <w:rPr>
          <w:rFonts w:cs="Arial"/>
          <w:b w:val="0"/>
          <w:bCs w:val="0"/>
          <w:color w:val="auto"/>
          <w:lang w:val="en-US"/>
        </w:rPr>
        <w:t xml:space="preserve">Figure </w:t>
      </w:r>
      <w:r w:rsidRPr="006D77D2">
        <w:rPr>
          <w:rFonts w:cs="Arial"/>
          <w:b w:val="0"/>
          <w:bCs w:val="0"/>
          <w:color w:val="auto"/>
        </w:rPr>
        <w:fldChar w:fldCharType="begin"/>
      </w:r>
      <w:r w:rsidRPr="006D77D2">
        <w:rPr>
          <w:rFonts w:cs="Arial"/>
          <w:b w:val="0"/>
          <w:bCs w:val="0"/>
          <w:color w:val="auto"/>
          <w:lang w:val="en-US"/>
        </w:rPr>
        <w:instrText xml:space="preserve"> SEQ Figure \* ARABIC </w:instrText>
      </w:r>
      <w:r w:rsidRPr="006D77D2">
        <w:rPr>
          <w:rFonts w:cs="Arial"/>
          <w:b w:val="0"/>
          <w:bCs w:val="0"/>
          <w:color w:val="auto"/>
        </w:rPr>
        <w:fldChar w:fldCharType="separate"/>
      </w:r>
      <w:r w:rsidRPr="006D77D2">
        <w:rPr>
          <w:rFonts w:cs="Arial"/>
          <w:b w:val="0"/>
          <w:bCs w:val="0"/>
          <w:noProof/>
          <w:color w:val="auto"/>
          <w:lang w:val="en-US"/>
        </w:rPr>
        <w:t>1</w:t>
      </w:r>
      <w:r w:rsidRPr="006D77D2">
        <w:rPr>
          <w:rFonts w:cs="Arial"/>
          <w:b w:val="0"/>
          <w:bCs w:val="0"/>
          <w:color w:val="auto"/>
        </w:rPr>
        <w:fldChar w:fldCharType="end"/>
      </w:r>
      <w:bookmarkEnd w:id="11"/>
      <w:r w:rsidRPr="006D77D2">
        <w:rPr>
          <w:rFonts w:cs="Arial"/>
          <w:b w:val="0"/>
          <w:bCs w:val="0"/>
          <w:color w:val="auto"/>
          <w:lang w:val="en-US"/>
        </w:rPr>
        <w:t>:</w:t>
      </w:r>
      <w:r w:rsidRPr="006D77D2">
        <w:rPr>
          <w:rFonts w:cs="Arial"/>
          <w:color w:val="auto"/>
          <w:lang w:val="en-US"/>
        </w:rPr>
        <w:t xml:space="preserve"> </w:t>
      </w:r>
      <w:r w:rsidRPr="006D77D2">
        <w:rPr>
          <w:rFonts w:cs="Arial"/>
          <w:b w:val="0"/>
          <w:bCs w:val="0"/>
          <w:color w:val="auto"/>
          <w:lang w:val="en-US"/>
        </w:rPr>
        <w:t>Algorithm for non-linear mathematical adjustment of non-elementary kinetic parameters of glycerol carbonate synthesis by Ochoa-Gómez’s approach (Case 1)</w:t>
      </w:r>
    </w:p>
    <w:p w14:paraId="0EB32DD1" w14:textId="77777777" w:rsidR="007E02D2" w:rsidRPr="006D77D2" w:rsidRDefault="007E02D2" w:rsidP="00940A3C">
      <w:pPr>
        <w:spacing w:line="240" w:lineRule="auto"/>
        <w:rPr>
          <w:rFonts w:cs="Arial"/>
          <w:szCs w:val="18"/>
          <w:lang w:val="en-US"/>
        </w:rPr>
      </w:pPr>
    </w:p>
    <w:p w14:paraId="22CDFCFC" w14:textId="34288CAD" w:rsidR="00114CC8" w:rsidRPr="006D77D2" w:rsidRDefault="001E6A56" w:rsidP="00114CC8">
      <w:pPr>
        <w:spacing w:line="240" w:lineRule="auto"/>
        <w:rPr>
          <w:rFonts w:cs="Arial"/>
          <w:szCs w:val="18"/>
          <w:lang w:val="en-US"/>
        </w:rPr>
      </w:pPr>
      <w:r w:rsidRPr="006D77D2">
        <w:rPr>
          <w:rFonts w:cs="Arial"/>
          <w:szCs w:val="18"/>
          <w:lang w:val="en-US"/>
        </w:rPr>
        <w:t>The mathematical routine is initiated by defining essential constant values, such as experimental time (</w:t>
      </w:r>
      <w:proofErr w:type="spellStart"/>
      <w:r w:rsidRPr="006D77D2">
        <w:rPr>
          <w:rFonts w:cs="Arial"/>
          <w:szCs w:val="18"/>
          <w:lang w:val="en-US"/>
        </w:rPr>
        <w:t>t</w:t>
      </w:r>
      <w:r w:rsidRPr="006D77D2">
        <w:rPr>
          <w:rFonts w:cs="Arial"/>
          <w:szCs w:val="18"/>
          <w:vertAlign w:val="superscript"/>
          <w:lang w:val="en-US"/>
        </w:rPr>
        <w:t>exp</w:t>
      </w:r>
      <w:proofErr w:type="spellEnd"/>
      <w:r w:rsidRPr="006D77D2">
        <w:rPr>
          <w:rFonts w:cs="Arial"/>
          <w:szCs w:val="18"/>
          <w:lang w:val="en-US"/>
        </w:rPr>
        <w:t>) and glycerol conversion (</w:t>
      </w:r>
      <w:r w:rsidRPr="006D77D2">
        <w:rPr>
          <w:rFonts w:cs="Arial"/>
          <w:position w:val="-10"/>
          <w:szCs w:val="18"/>
          <w:lang w:val="en-US"/>
        </w:rPr>
        <w:object w:dxaOrig="340" w:dyaOrig="320" w14:anchorId="1F701AB5">
          <v:shape id="_x0000_i1041" type="#_x0000_t75" style="width:17.5pt;height:16.5pt" o:ole="">
            <v:imagedata r:id="rId43" o:title=""/>
          </v:shape>
          <o:OLEObject Type="Embed" ProgID="Equation.DSMT4" ShapeID="_x0000_i1041" DrawAspect="Content" ObjectID="_1806657701" r:id="rId44"/>
        </w:object>
      </w:r>
      <w:r w:rsidRPr="006D77D2">
        <w:rPr>
          <w:rFonts w:cs="Arial"/>
          <w:szCs w:val="18"/>
          <w:lang w:val="en-US"/>
        </w:rPr>
        <w:t>), actual iteration (</w:t>
      </w:r>
      <w:proofErr w:type="spellStart"/>
      <w:r w:rsidRPr="006D77D2">
        <w:rPr>
          <w:rFonts w:cs="Arial"/>
          <w:szCs w:val="18"/>
          <w:lang w:val="en-US"/>
        </w:rPr>
        <w:t>i</w:t>
      </w:r>
      <w:proofErr w:type="spellEnd"/>
      <w:r w:rsidRPr="006D77D2">
        <w:rPr>
          <w:rFonts w:cs="Arial"/>
          <w:szCs w:val="18"/>
          <w:lang w:val="en-US"/>
        </w:rPr>
        <w:t>) and maximum number of iterations (</w:t>
      </w:r>
      <w:proofErr w:type="spellStart"/>
      <w:r w:rsidRPr="006D77D2">
        <w:rPr>
          <w:rFonts w:cs="Arial"/>
          <w:szCs w:val="18"/>
          <w:lang w:val="en-US"/>
        </w:rPr>
        <w:t>i</w:t>
      </w:r>
      <w:r w:rsidRPr="006D77D2">
        <w:rPr>
          <w:rFonts w:cs="Arial"/>
          <w:szCs w:val="18"/>
          <w:vertAlign w:val="subscript"/>
          <w:lang w:val="en-US"/>
        </w:rPr>
        <w:t>max</w:t>
      </w:r>
      <w:proofErr w:type="spellEnd"/>
      <w:r w:rsidRPr="006D77D2">
        <w:rPr>
          <w:rFonts w:cs="Arial"/>
          <w:szCs w:val="18"/>
          <w:lang w:val="en-US"/>
        </w:rPr>
        <w:t xml:space="preserve">) (they are established by default as </w:t>
      </w:r>
      <w:proofErr w:type="spellStart"/>
      <w:r w:rsidRPr="006D77D2">
        <w:rPr>
          <w:rFonts w:cs="Arial"/>
          <w:szCs w:val="18"/>
          <w:lang w:val="en-US"/>
        </w:rPr>
        <w:t>i</w:t>
      </w:r>
      <w:proofErr w:type="spellEnd"/>
      <w:r w:rsidRPr="006D77D2">
        <w:rPr>
          <w:rFonts w:cs="Arial"/>
          <w:szCs w:val="18"/>
          <w:lang w:val="en-US"/>
        </w:rPr>
        <w:t xml:space="preserve"> = 1 and </w:t>
      </w:r>
      <w:proofErr w:type="spellStart"/>
      <w:r w:rsidRPr="006D77D2">
        <w:rPr>
          <w:rFonts w:cs="Arial"/>
          <w:szCs w:val="18"/>
          <w:lang w:val="en-US"/>
        </w:rPr>
        <w:t>i</w:t>
      </w:r>
      <w:r w:rsidRPr="006D77D2">
        <w:rPr>
          <w:rFonts w:cs="Arial"/>
          <w:szCs w:val="18"/>
          <w:vertAlign w:val="subscript"/>
          <w:lang w:val="en-US"/>
        </w:rPr>
        <w:t>max</w:t>
      </w:r>
      <w:proofErr w:type="spellEnd"/>
      <w:r w:rsidRPr="006D77D2">
        <w:rPr>
          <w:rFonts w:cs="Arial"/>
          <w:szCs w:val="18"/>
          <w:lang w:val="en-US"/>
        </w:rPr>
        <w:t xml:space="preserve"> = 200×number of unknown parameters in the </w:t>
      </w:r>
      <w:proofErr w:type="spellStart"/>
      <w:r w:rsidRPr="006D77D2">
        <w:rPr>
          <w:rFonts w:cs="Arial"/>
          <w:i/>
          <w:iCs/>
          <w:szCs w:val="18"/>
          <w:lang w:val="en-US"/>
        </w:rPr>
        <w:t>fminsearch</w:t>
      </w:r>
      <w:proofErr w:type="spellEnd"/>
      <w:r w:rsidRPr="006D77D2">
        <w:rPr>
          <w:rFonts w:cs="Arial"/>
          <w:szCs w:val="18"/>
          <w:lang w:val="en-US"/>
        </w:rPr>
        <w:t xml:space="preserve"> command). Initial estimates for parameters A, </w:t>
      </w:r>
      <w:proofErr w:type="spellStart"/>
      <w:r w:rsidRPr="006D77D2">
        <w:rPr>
          <w:rFonts w:cs="Arial"/>
          <w:szCs w:val="18"/>
          <w:lang w:val="en-US"/>
        </w:rPr>
        <w:t>E</w:t>
      </w:r>
      <w:r w:rsidRPr="006D77D2">
        <w:rPr>
          <w:rFonts w:cs="Arial"/>
          <w:szCs w:val="18"/>
          <w:vertAlign w:val="subscript"/>
          <w:lang w:val="en-US"/>
        </w:rPr>
        <w:t>a</w:t>
      </w:r>
      <w:proofErr w:type="spellEnd"/>
      <w:r w:rsidRPr="006D77D2">
        <w:rPr>
          <w:rFonts w:cs="Arial"/>
          <w:szCs w:val="18"/>
          <w:lang w:val="en-US"/>
        </w:rPr>
        <w:t xml:space="preserve">, </w:t>
      </w:r>
      <w:r w:rsidRPr="006D77D2">
        <w:rPr>
          <w:rFonts w:cs="Arial"/>
          <w:szCs w:val="18"/>
          <w:lang w:val="en-US"/>
        </w:rPr>
        <w:sym w:font="Symbol" w:char="F061"/>
      </w:r>
      <w:r w:rsidRPr="006D77D2">
        <w:rPr>
          <w:rFonts w:cs="Arial"/>
          <w:szCs w:val="18"/>
          <w:lang w:val="en-US"/>
        </w:rPr>
        <w:t xml:space="preserve">, </w:t>
      </w:r>
      <w:r w:rsidRPr="006D77D2">
        <w:rPr>
          <w:rFonts w:cs="Arial"/>
          <w:szCs w:val="18"/>
          <w:lang w:val="en-US"/>
        </w:rPr>
        <w:sym w:font="Symbol" w:char="F062"/>
      </w:r>
      <w:r w:rsidRPr="006D77D2">
        <w:rPr>
          <w:rFonts w:cs="Arial"/>
          <w:szCs w:val="18"/>
          <w:lang w:val="en-US"/>
        </w:rPr>
        <w:t>, A</w:t>
      </w:r>
      <w:r w:rsidRPr="006D77D2">
        <w:rPr>
          <w:rFonts w:cs="Arial"/>
          <w:szCs w:val="18"/>
          <w:vertAlign w:val="subscript"/>
          <w:lang w:val="en-US"/>
        </w:rPr>
        <w:t>rev</w:t>
      </w:r>
      <w:r w:rsidRPr="006D77D2">
        <w:rPr>
          <w:rFonts w:cs="Arial"/>
          <w:szCs w:val="18"/>
          <w:lang w:val="en-US"/>
        </w:rPr>
        <w:t xml:space="preserve">, </w:t>
      </w:r>
      <w:r w:rsidRPr="006D77D2">
        <w:rPr>
          <w:rFonts w:cs="Arial"/>
          <w:position w:val="-12"/>
          <w:szCs w:val="18"/>
          <w:lang w:val="en-US"/>
        </w:rPr>
        <w:object w:dxaOrig="380" w:dyaOrig="320" w14:anchorId="2ABD42FC">
          <v:shape id="_x0000_i1042" type="#_x0000_t75" style="width:19pt;height:16.5pt" o:ole="">
            <v:imagedata r:id="rId28" o:title=""/>
          </v:shape>
          <o:OLEObject Type="Embed" ProgID="Equation.DSMT4" ShapeID="_x0000_i1042" DrawAspect="Content" ObjectID="_1806657702" r:id="rId45"/>
        </w:object>
      </w:r>
      <w:r w:rsidRPr="006D77D2">
        <w:rPr>
          <w:rFonts w:cs="Arial"/>
          <w:szCs w:val="18"/>
          <w:lang w:val="en-US"/>
        </w:rPr>
        <w:t xml:space="preserve">, </w:t>
      </w:r>
      <w:r w:rsidRPr="006D77D2">
        <w:rPr>
          <w:rFonts w:cs="Arial"/>
          <w:szCs w:val="18"/>
          <w:lang w:val="en-US"/>
        </w:rPr>
        <w:sym w:font="Symbol" w:char="F067"/>
      </w:r>
      <w:r w:rsidRPr="006D77D2">
        <w:rPr>
          <w:rFonts w:cs="Arial"/>
          <w:szCs w:val="18"/>
          <w:lang w:val="en-US"/>
        </w:rPr>
        <w:t xml:space="preserve">, and </w:t>
      </w:r>
      <w:r w:rsidRPr="006D77D2">
        <w:rPr>
          <w:rFonts w:cs="Arial"/>
          <w:szCs w:val="18"/>
          <w:lang w:val="en-US"/>
        </w:rPr>
        <w:sym w:font="Symbol" w:char="F064"/>
      </w:r>
      <w:r w:rsidRPr="006D77D2">
        <w:rPr>
          <w:rFonts w:cs="Arial"/>
          <w:szCs w:val="18"/>
          <w:lang w:val="en-US"/>
        </w:rPr>
        <w:t xml:space="preserve"> are assigned. In general, the reaction orders (</w:t>
      </w:r>
      <w:r w:rsidRPr="006D77D2">
        <w:rPr>
          <w:rFonts w:cs="Arial"/>
          <w:szCs w:val="18"/>
          <w:lang w:val="en-US"/>
        </w:rPr>
        <w:sym w:font="Symbol" w:char="F061"/>
      </w:r>
      <w:r w:rsidRPr="006D77D2">
        <w:rPr>
          <w:rFonts w:cs="Arial"/>
          <w:szCs w:val="18"/>
          <w:lang w:val="en-US"/>
        </w:rPr>
        <w:t xml:space="preserve">, </w:t>
      </w:r>
      <w:r w:rsidRPr="006D77D2">
        <w:rPr>
          <w:rFonts w:cs="Arial"/>
          <w:szCs w:val="18"/>
          <w:lang w:val="en-US"/>
        </w:rPr>
        <w:sym w:font="Symbol" w:char="F062"/>
      </w:r>
      <w:r w:rsidRPr="006D77D2">
        <w:rPr>
          <w:rFonts w:cs="Arial"/>
          <w:szCs w:val="18"/>
          <w:lang w:val="en-US"/>
        </w:rPr>
        <w:t xml:space="preserve">, </w:t>
      </w:r>
      <w:r w:rsidRPr="006D77D2">
        <w:rPr>
          <w:rFonts w:cs="Arial"/>
          <w:szCs w:val="18"/>
          <w:lang w:val="en-US"/>
        </w:rPr>
        <w:sym w:font="Symbol" w:char="F067"/>
      </w:r>
      <w:r w:rsidRPr="006D77D2">
        <w:rPr>
          <w:rFonts w:cs="Arial"/>
          <w:szCs w:val="18"/>
          <w:lang w:val="en-US"/>
        </w:rPr>
        <w:t xml:space="preserve">, and </w:t>
      </w:r>
      <w:r w:rsidRPr="006D77D2">
        <w:rPr>
          <w:rFonts w:cs="Arial"/>
          <w:szCs w:val="18"/>
          <w:lang w:val="en-US"/>
        </w:rPr>
        <w:sym w:font="Symbol" w:char="F064"/>
      </w:r>
      <w:r w:rsidRPr="006D77D2">
        <w:rPr>
          <w:rFonts w:cs="Arial"/>
          <w:szCs w:val="18"/>
          <w:lang w:val="en-US"/>
        </w:rPr>
        <w:t>) have values between 0 and 3. Meanwhile, frequency factors (A and A</w:t>
      </w:r>
      <w:r w:rsidRPr="006D77D2">
        <w:rPr>
          <w:rFonts w:cs="Arial"/>
          <w:szCs w:val="18"/>
          <w:vertAlign w:val="subscript"/>
          <w:lang w:val="en-US"/>
        </w:rPr>
        <w:t>rev</w:t>
      </w:r>
      <w:r w:rsidRPr="006D77D2">
        <w:rPr>
          <w:rFonts w:cs="Arial"/>
          <w:szCs w:val="18"/>
          <w:lang w:val="en-US"/>
        </w:rPr>
        <w:t>) and activation energies (</w:t>
      </w:r>
      <w:proofErr w:type="spellStart"/>
      <w:r w:rsidRPr="006D77D2">
        <w:rPr>
          <w:rFonts w:cs="Arial"/>
          <w:szCs w:val="18"/>
          <w:lang w:val="en-US"/>
        </w:rPr>
        <w:t>E</w:t>
      </w:r>
      <w:r w:rsidRPr="006D77D2">
        <w:rPr>
          <w:rFonts w:cs="Arial"/>
          <w:szCs w:val="18"/>
          <w:vertAlign w:val="subscript"/>
          <w:lang w:val="en-US"/>
        </w:rPr>
        <w:t>a</w:t>
      </w:r>
      <w:proofErr w:type="spellEnd"/>
      <w:r w:rsidRPr="006D77D2">
        <w:rPr>
          <w:rFonts w:cs="Arial"/>
          <w:szCs w:val="18"/>
          <w:lang w:val="en-US"/>
        </w:rPr>
        <w:t xml:space="preserve"> and </w:t>
      </w:r>
      <w:r w:rsidRPr="006D77D2">
        <w:rPr>
          <w:rFonts w:cs="Arial"/>
          <w:position w:val="-12"/>
          <w:szCs w:val="18"/>
          <w:lang w:val="en-US"/>
        </w:rPr>
        <w:object w:dxaOrig="380" w:dyaOrig="320" w14:anchorId="39BF7DFC">
          <v:shape id="_x0000_i1043" type="#_x0000_t75" style="width:19pt;height:16.5pt" o:ole="">
            <v:imagedata r:id="rId28" o:title=""/>
          </v:shape>
          <o:OLEObject Type="Embed" ProgID="Equation.DSMT4" ShapeID="_x0000_i1043" DrawAspect="Content" ObjectID="_1806657703" r:id="rId46"/>
        </w:object>
      </w:r>
      <w:r w:rsidRPr="006D77D2">
        <w:rPr>
          <w:rFonts w:cs="Arial"/>
          <w:szCs w:val="18"/>
          <w:lang w:val="en-US"/>
        </w:rPr>
        <w:t xml:space="preserve">) can take different real positive values. Subsequently, a minimization process by using the Nelder–Mead simplex approach is initiated to reduce the value of the objective function </w:t>
      </w:r>
      <w:r w:rsidRPr="006D77D2">
        <w:rPr>
          <w:rFonts w:cs="Arial"/>
          <w:szCs w:val="18"/>
          <w:lang w:val="en-US"/>
        </w:rPr>
        <w:fldChar w:fldCharType="begin"/>
      </w:r>
      <w:r w:rsidRPr="006D77D2">
        <w:rPr>
          <w:rFonts w:cs="Arial"/>
          <w:szCs w:val="18"/>
          <w:lang w:val="en-US"/>
        </w:rPr>
        <w:instrText xml:space="preserve"> REF _Ref171068166 \h  \* MERGEFORMAT </w:instrText>
      </w:r>
      <w:r w:rsidRPr="006D77D2">
        <w:rPr>
          <w:rFonts w:cs="Arial"/>
          <w:szCs w:val="18"/>
          <w:lang w:val="en-US"/>
        </w:rPr>
      </w:r>
      <w:r w:rsidRPr="006D77D2">
        <w:rPr>
          <w:rFonts w:cs="Arial"/>
          <w:szCs w:val="18"/>
          <w:lang w:val="en-US"/>
        </w:rPr>
        <w:fldChar w:fldCharType="separate"/>
      </w:r>
      <w:r w:rsidRPr="006D77D2">
        <w:rPr>
          <w:rFonts w:cs="Arial"/>
          <w:szCs w:val="18"/>
          <w:lang w:val="en-US"/>
        </w:rPr>
        <w:t>(</w:t>
      </w:r>
      <w:r w:rsidRPr="006D77D2">
        <w:rPr>
          <w:rFonts w:cs="Arial"/>
          <w:noProof/>
          <w:szCs w:val="18"/>
          <w:lang w:val="en-US"/>
        </w:rPr>
        <w:t>4</w:t>
      </w:r>
      <w:r w:rsidRPr="006D77D2">
        <w:rPr>
          <w:rFonts w:cs="Arial"/>
          <w:szCs w:val="18"/>
          <w:lang w:val="en-US"/>
        </w:rPr>
        <w:t>)</w:t>
      </w:r>
      <w:r w:rsidRPr="006D77D2">
        <w:rPr>
          <w:rFonts w:cs="Arial"/>
          <w:szCs w:val="18"/>
          <w:lang w:val="en-US"/>
        </w:rPr>
        <w:fldChar w:fldCharType="end"/>
      </w:r>
      <w:r w:rsidRPr="006D77D2">
        <w:rPr>
          <w:rFonts w:cs="Arial"/>
          <w:szCs w:val="18"/>
          <w:lang w:val="en-US"/>
        </w:rPr>
        <w:t xml:space="preserve">. Where the rate constants (k and </w:t>
      </w:r>
      <w:proofErr w:type="spellStart"/>
      <w:r w:rsidRPr="006D77D2">
        <w:rPr>
          <w:rFonts w:cs="Arial"/>
          <w:szCs w:val="18"/>
          <w:lang w:val="en-US"/>
        </w:rPr>
        <w:t>k</w:t>
      </w:r>
      <w:r w:rsidRPr="006D77D2">
        <w:rPr>
          <w:rFonts w:cs="Arial"/>
          <w:szCs w:val="18"/>
          <w:vertAlign w:val="subscript"/>
          <w:lang w:val="en-US"/>
        </w:rPr>
        <w:t>rev</w:t>
      </w:r>
      <w:proofErr w:type="spellEnd"/>
      <w:r w:rsidRPr="006D77D2">
        <w:rPr>
          <w:rFonts w:cs="Arial"/>
          <w:szCs w:val="18"/>
          <w:lang w:val="en-US"/>
        </w:rPr>
        <w:t xml:space="preserve">) are computed utilizing the initial parameter estimates and Arrhenius equation. The system of differential equations or the single differential equation for this case, represented by </w:t>
      </w:r>
      <w:r w:rsidRPr="006D77D2">
        <w:rPr>
          <w:rFonts w:cs="Arial"/>
          <w:szCs w:val="18"/>
          <w:lang w:val="en-US"/>
        </w:rPr>
        <w:fldChar w:fldCharType="begin"/>
      </w:r>
      <w:r w:rsidRPr="006D77D2">
        <w:rPr>
          <w:rFonts w:cs="Arial"/>
          <w:szCs w:val="18"/>
          <w:lang w:val="en-US"/>
        </w:rPr>
        <w:instrText xml:space="preserve"> REF _Ref171068043 \h  \* MERGEFORMAT </w:instrText>
      </w:r>
      <w:r w:rsidRPr="006D77D2">
        <w:rPr>
          <w:rFonts w:cs="Arial"/>
          <w:szCs w:val="18"/>
          <w:lang w:val="en-US"/>
        </w:rPr>
      </w:r>
      <w:r w:rsidRPr="006D77D2">
        <w:rPr>
          <w:rFonts w:cs="Arial"/>
          <w:szCs w:val="18"/>
          <w:lang w:val="en-US"/>
        </w:rPr>
        <w:fldChar w:fldCharType="separate"/>
      </w:r>
      <w:r w:rsidRPr="006D77D2">
        <w:rPr>
          <w:rFonts w:cs="Arial"/>
          <w:szCs w:val="18"/>
          <w:lang w:val="en-US"/>
        </w:rPr>
        <w:t>(</w:t>
      </w:r>
      <w:r w:rsidRPr="006D77D2">
        <w:rPr>
          <w:rFonts w:cs="Arial"/>
          <w:noProof/>
          <w:szCs w:val="18"/>
          <w:lang w:val="en-US"/>
        </w:rPr>
        <w:t>3</w:t>
      </w:r>
      <w:r w:rsidRPr="006D77D2">
        <w:rPr>
          <w:rFonts w:cs="Arial"/>
          <w:szCs w:val="18"/>
          <w:lang w:val="en-US"/>
        </w:rPr>
        <w:t>)</w:t>
      </w:r>
      <w:r w:rsidRPr="006D77D2">
        <w:rPr>
          <w:rFonts w:cs="Arial"/>
          <w:szCs w:val="18"/>
          <w:lang w:val="en-US"/>
        </w:rPr>
        <w:fldChar w:fldCharType="end"/>
      </w:r>
      <w:r w:rsidRPr="006D77D2">
        <w:rPr>
          <w:rFonts w:cs="Arial"/>
          <w:szCs w:val="18"/>
          <w:lang w:val="en-US"/>
        </w:rPr>
        <w:t>, is solved through the application of the fourth-order Runge-</w:t>
      </w:r>
      <w:proofErr w:type="spellStart"/>
      <w:r w:rsidRPr="006D77D2">
        <w:rPr>
          <w:rFonts w:cs="Arial"/>
          <w:szCs w:val="18"/>
          <w:lang w:val="en-US"/>
        </w:rPr>
        <w:t>Kutta</w:t>
      </w:r>
      <w:proofErr w:type="spellEnd"/>
      <w:r w:rsidRPr="006D77D2">
        <w:rPr>
          <w:rFonts w:cs="Arial"/>
          <w:szCs w:val="18"/>
          <w:lang w:val="en-US"/>
        </w:rPr>
        <w:t xml:space="preserve"> (RK4) method (this is available in the ODEs of MATLAB® </w:t>
      </w:r>
      <w:r w:rsidRPr="006D77D2">
        <w:rPr>
          <w:rFonts w:cs="Arial"/>
          <w:i/>
          <w:szCs w:val="18"/>
          <w:lang w:val="en-US"/>
        </w:rPr>
        <w:t>e.g.</w:t>
      </w:r>
      <w:r w:rsidRPr="006D77D2">
        <w:rPr>
          <w:rFonts w:cs="Arial"/>
          <w:szCs w:val="18"/>
          <w:lang w:val="en-US"/>
        </w:rPr>
        <w:t xml:space="preserve">, ode45). It is important to </w:t>
      </w:r>
      <w:proofErr w:type="gramStart"/>
      <w:r w:rsidRPr="006D77D2">
        <w:rPr>
          <w:rFonts w:cs="Arial"/>
          <w:szCs w:val="18"/>
          <w:lang w:val="en-US"/>
        </w:rPr>
        <w:t>remind</w:t>
      </w:r>
      <w:proofErr w:type="gramEnd"/>
      <w:r w:rsidRPr="006D77D2">
        <w:rPr>
          <w:rFonts w:cs="Arial"/>
          <w:szCs w:val="18"/>
          <w:lang w:val="en-US"/>
        </w:rPr>
        <w:t xml:space="preserve"> that this equation describes the dynamic evolution of the glycerol carbonate synthesis chemical reaction. The calculated values resulting from the differential equation solution are employed in the computation of the objective function (F</w:t>
      </w:r>
      <w:r w:rsidRPr="006D77D2">
        <w:rPr>
          <w:rFonts w:cs="Arial"/>
          <w:szCs w:val="18"/>
          <w:vertAlign w:val="subscript"/>
          <w:lang w:val="en-US"/>
        </w:rPr>
        <w:t>OBJ</w:t>
      </w:r>
      <w:r w:rsidRPr="006D77D2">
        <w:rPr>
          <w:rFonts w:cs="Arial"/>
          <w:szCs w:val="18"/>
          <w:lang w:val="en-US"/>
        </w:rPr>
        <w:t xml:space="preserve">) using equation </w:t>
      </w:r>
      <w:r w:rsidRPr="006D77D2">
        <w:rPr>
          <w:rFonts w:cs="Arial"/>
          <w:szCs w:val="18"/>
          <w:lang w:val="en-US"/>
        </w:rPr>
        <w:fldChar w:fldCharType="begin"/>
      </w:r>
      <w:r w:rsidRPr="006D77D2">
        <w:rPr>
          <w:rFonts w:cs="Arial"/>
          <w:szCs w:val="18"/>
          <w:lang w:val="en-US"/>
        </w:rPr>
        <w:instrText xml:space="preserve"> REF _Ref171068166 \h  \* MERGEFORMAT </w:instrText>
      </w:r>
      <w:r w:rsidRPr="006D77D2">
        <w:rPr>
          <w:rFonts w:cs="Arial"/>
          <w:szCs w:val="18"/>
          <w:lang w:val="en-US"/>
        </w:rPr>
      </w:r>
      <w:r w:rsidRPr="006D77D2">
        <w:rPr>
          <w:rFonts w:cs="Arial"/>
          <w:szCs w:val="18"/>
          <w:lang w:val="en-US"/>
        </w:rPr>
        <w:fldChar w:fldCharType="separate"/>
      </w:r>
      <w:r w:rsidRPr="006D77D2">
        <w:rPr>
          <w:rFonts w:cs="Arial"/>
          <w:szCs w:val="18"/>
          <w:lang w:val="en-US"/>
        </w:rPr>
        <w:t>(</w:t>
      </w:r>
      <w:r w:rsidRPr="006D77D2">
        <w:rPr>
          <w:rFonts w:cs="Arial"/>
          <w:noProof/>
          <w:szCs w:val="18"/>
          <w:lang w:val="en-US"/>
        </w:rPr>
        <w:t>4</w:t>
      </w:r>
      <w:r w:rsidRPr="006D77D2">
        <w:rPr>
          <w:rFonts w:cs="Arial"/>
          <w:szCs w:val="18"/>
          <w:lang w:val="en-US"/>
        </w:rPr>
        <w:t>)</w:t>
      </w:r>
      <w:r w:rsidRPr="006D77D2">
        <w:rPr>
          <w:rFonts w:cs="Arial"/>
          <w:szCs w:val="18"/>
          <w:lang w:val="en-US"/>
        </w:rPr>
        <w:fldChar w:fldCharType="end"/>
      </w:r>
      <w:r w:rsidRPr="006D77D2">
        <w:rPr>
          <w:rFonts w:cs="Arial"/>
          <w:szCs w:val="18"/>
          <w:lang w:val="en-US"/>
        </w:rPr>
        <w:t xml:space="preserve">. If convergence is not achieved within the prescribed iteration limit, as defined by parameter </w:t>
      </w:r>
      <w:proofErr w:type="spellStart"/>
      <w:r w:rsidRPr="006D77D2">
        <w:rPr>
          <w:rFonts w:cs="Arial"/>
          <w:szCs w:val="18"/>
          <w:lang w:val="en-US"/>
        </w:rPr>
        <w:t>i</w:t>
      </w:r>
      <w:r w:rsidRPr="006D77D2">
        <w:rPr>
          <w:rFonts w:cs="Arial"/>
          <w:szCs w:val="18"/>
          <w:vertAlign w:val="subscript"/>
          <w:lang w:val="en-US"/>
        </w:rPr>
        <w:t>max</w:t>
      </w:r>
      <w:proofErr w:type="spellEnd"/>
      <w:r w:rsidRPr="006D77D2">
        <w:rPr>
          <w:rFonts w:cs="Arial"/>
          <w:szCs w:val="18"/>
          <w:lang w:val="en-US"/>
        </w:rPr>
        <w:t xml:space="preserve">, the process is returned to the initial estimates step following an increment in </w:t>
      </w:r>
      <w:r w:rsidRPr="006D77D2">
        <w:rPr>
          <w:rFonts w:cs="Arial"/>
          <w:szCs w:val="18"/>
          <w:lang w:val="en-US"/>
        </w:rPr>
        <w:lastRenderedPageBreak/>
        <w:t xml:space="preserve">parameter </w:t>
      </w:r>
      <w:proofErr w:type="spellStart"/>
      <w:r w:rsidRPr="006D77D2">
        <w:rPr>
          <w:rFonts w:cs="Arial"/>
          <w:szCs w:val="18"/>
          <w:lang w:val="en-US"/>
        </w:rPr>
        <w:t>i</w:t>
      </w:r>
      <w:proofErr w:type="spellEnd"/>
      <w:r w:rsidRPr="006D77D2">
        <w:rPr>
          <w:rFonts w:cs="Arial"/>
          <w:szCs w:val="18"/>
          <w:lang w:val="en-US"/>
        </w:rPr>
        <w:t xml:space="preserve">. Upon attainment of convergence, statistical analysis is performed on the acquired results. At this work, the average relative deviation (ARD [%]) of experimental data and simulations for both cases can be computed by </w:t>
      </w:r>
      <w:r w:rsidRPr="006D77D2">
        <w:rPr>
          <w:rFonts w:cs="Arial"/>
          <w:position w:val="-26"/>
          <w:szCs w:val="18"/>
          <w:lang w:val="en-US"/>
        </w:rPr>
        <w:object w:dxaOrig="2040" w:dyaOrig="600" w14:anchorId="02510E7B">
          <v:shape id="_x0000_i1044" type="#_x0000_t75" style="width:101.5pt;height:31pt" o:ole="">
            <v:imagedata r:id="rId47" o:title=""/>
          </v:shape>
          <o:OLEObject Type="Embed" ProgID="Equation.DSMT4" ShapeID="_x0000_i1044" DrawAspect="Content" ObjectID="_1806657704" r:id="rId48"/>
        </w:object>
      </w:r>
      <w:r w:rsidRPr="006D77D2">
        <w:rPr>
          <w:rFonts w:cs="Arial"/>
          <w:szCs w:val="18"/>
          <w:lang w:val="en-US"/>
        </w:rPr>
        <w:t>. If this does not satisfy the goodness-of-fit requirements in the mathematical adjustment (</w:t>
      </w:r>
      <w:r w:rsidRPr="006D77D2">
        <w:rPr>
          <w:rFonts w:cs="Arial"/>
          <w:i/>
          <w:iCs/>
          <w:szCs w:val="18"/>
          <w:lang w:val="en-US"/>
        </w:rPr>
        <w:t>e.g.</w:t>
      </w:r>
      <w:r w:rsidRPr="006D77D2">
        <w:rPr>
          <w:rFonts w:cs="Arial"/>
          <w:szCs w:val="18"/>
          <w:lang w:val="en-US"/>
        </w:rPr>
        <w:t xml:space="preserve">, ARD ≤ 5%), the latest solutions from the minimization can be taken, the maximum number of objective function evaluations can be increased using the </w:t>
      </w:r>
      <w:proofErr w:type="spellStart"/>
      <w:r w:rsidRPr="006D77D2">
        <w:rPr>
          <w:rFonts w:cs="Arial"/>
          <w:szCs w:val="18"/>
          <w:lang w:val="en-US"/>
        </w:rPr>
        <w:t>optimset</w:t>
      </w:r>
      <w:proofErr w:type="spellEnd"/>
      <w:r w:rsidRPr="006D77D2">
        <w:rPr>
          <w:rFonts w:cs="Arial"/>
          <w:szCs w:val="18"/>
          <w:lang w:val="en-US"/>
        </w:rPr>
        <w:t xml:space="preserve"> command (which is added to the </w:t>
      </w:r>
      <w:proofErr w:type="spellStart"/>
      <w:r w:rsidRPr="006D77D2">
        <w:rPr>
          <w:rFonts w:cs="Arial"/>
          <w:i/>
          <w:iCs/>
          <w:szCs w:val="18"/>
          <w:lang w:val="en-US"/>
        </w:rPr>
        <w:t>fminsearch</w:t>
      </w:r>
      <w:proofErr w:type="spellEnd"/>
      <w:r w:rsidRPr="006D77D2">
        <w:rPr>
          <w:rFonts w:cs="Arial"/>
          <w:szCs w:val="18"/>
          <w:lang w:val="en-US"/>
        </w:rPr>
        <w:t xml:space="preserve"> command), and the numerical routine can be restarted. Finally, the process is concluded.</w:t>
      </w:r>
      <w:r w:rsidR="004B7D7A" w:rsidRPr="006D77D2">
        <w:rPr>
          <w:rFonts w:cs="Arial"/>
          <w:szCs w:val="18"/>
          <w:lang w:val="en-US"/>
        </w:rPr>
        <w:t xml:space="preserve"> A</w:t>
      </w:r>
      <w:r w:rsidR="00114CC8" w:rsidRPr="006D77D2">
        <w:rPr>
          <w:rFonts w:cs="Arial"/>
          <w:szCs w:val="18"/>
          <w:lang w:val="en-US"/>
        </w:rPr>
        <w:t xml:space="preserve">lgorithms of non-elementary and elementary kinetic adjustments for the second case are </w:t>
      </w:r>
      <w:proofErr w:type="gramStart"/>
      <w:r w:rsidR="00114CC8" w:rsidRPr="006D77D2">
        <w:rPr>
          <w:rFonts w:cs="Arial"/>
          <w:szCs w:val="18"/>
          <w:lang w:val="en-US"/>
        </w:rPr>
        <w:t>similar to</w:t>
      </w:r>
      <w:proofErr w:type="gramEnd"/>
      <w:r w:rsidR="00114CC8" w:rsidRPr="006D77D2">
        <w:rPr>
          <w:rFonts w:cs="Arial"/>
          <w:szCs w:val="18"/>
          <w:lang w:val="en-US"/>
        </w:rPr>
        <w:t xml:space="preserve"> the previous one. Only the differential equation </w:t>
      </w:r>
      <w:r w:rsidR="00114CC8" w:rsidRPr="006D77D2">
        <w:rPr>
          <w:rFonts w:cs="Arial"/>
          <w:szCs w:val="18"/>
          <w:lang w:val="en-US"/>
        </w:rPr>
        <w:fldChar w:fldCharType="begin"/>
      </w:r>
      <w:r w:rsidR="00114CC8" w:rsidRPr="006D77D2">
        <w:rPr>
          <w:rFonts w:cs="Arial"/>
          <w:szCs w:val="18"/>
          <w:lang w:val="en-US"/>
        </w:rPr>
        <w:instrText xml:space="preserve"> REF _Ref170825724 \h  \* MERGEFORMAT </w:instrText>
      </w:r>
      <w:r w:rsidR="00114CC8" w:rsidRPr="006D77D2">
        <w:rPr>
          <w:rFonts w:cs="Arial"/>
          <w:szCs w:val="18"/>
          <w:lang w:val="en-US"/>
        </w:rPr>
      </w:r>
      <w:r w:rsidR="00114CC8" w:rsidRPr="006D77D2">
        <w:rPr>
          <w:rFonts w:cs="Arial"/>
          <w:szCs w:val="18"/>
          <w:lang w:val="en-US"/>
        </w:rPr>
        <w:fldChar w:fldCharType="separate"/>
      </w:r>
      <w:r w:rsidR="00114CC8" w:rsidRPr="006D77D2">
        <w:rPr>
          <w:rFonts w:cs="Arial"/>
          <w:szCs w:val="18"/>
          <w:lang w:val="en-US"/>
        </w:rPr>
        <w:t>(</w:t>
      </w:r>
      <w:r w:rsidR="00114CC8" w:rsidRPr="006D77D2">
        <w:rPr>
          <w:rFonts w:cs="Arial"/>
          <w:noProof/>
          <w:szCs w:val="18"/>
          <w:lang w:val="en-US"/>
        </w:rPr>
        <w:t>1</w:t>
      </w:r>
      <w:r w:rsidR="00114CC8" w:rsidRPr="006D77D2">
        <w:rPr>
          <w:rFonts w:cs="Arial"/>
          <w:szCs w:val="18"/>
          <w:lang w:val="en-US"/>
        </w:rPr>
        <w:t>)</w:t>
      </w:r>
      <w:r w:rsidR="00114CC8" w:rsidRPr="006D77D2">
        <w:rPr>
          <w:rFonts w:cs="Arial"/>
          <w:szCs w:val="18"/>
          <w:lang w:val="en-US"/>
        </w:rPr>
        <w:fldChar w:fldCharType="end"/>
      </w:r>
      <w:r w:rsidR="00114CC8" w:rsidRPr="006D77D2">
        <w:rPr>
          <w:rFonts w:cs="Arial"/>
          <w:szCs w:val="18"/>
          <w:lang w:val="en-US"/>
        </w:rPr>
        <w:t xml:space="preserve"> is solved under its respective experimental conditions of time (</w:t>
      </w:r>
      <w:proofErr w:type="spellStart"/>
      <w:r w:rsidR="00114CC8" w:rsidRPr="006D77D2">
        <w:rPr>
          <w:rFonts w:cs="Arial"/>
          <w:szCs w:val="18"/>
          <w:lang w:val="en-US"/>
        </w:rPr>
        <w:t>t</w:t>
      </w:r>
      <w:r w:rsidR="00114CC8" w:rsidRPr="006D77D2">
        <w:rPr>
          <w:rFonts w:cs="Arial"/>
          <w:szCs w:val="18"/>
          <w:vertAlign w:val="superscript"/>
          <w:lang w:val="en-US"/>
        </w:rPr>
        <w:t>exp</w:t>
      </w:r>
      <w:proofErr w:type="spellEnd"/>
      <w:r w:rsidR="00114CC8" w:rsidRPr="006D77D2">
        <w:rPr>
          <w:rFonts w:cs="Arial"/>
          <w:szCs w:val="18"/>
          <w:lang w:val="en-US"/>
        </w:rPr>
        <w:t>), dimethyl carbonate feed ratio or initial molar ratio of dimethyl carbonate to glycerol (Θ</w:t>
      </w:r>
      <w:r w:rsidR="00114CC8" w:rsidRPr="006D77D2">
        <w:rPr>
          <w:rFonts w:cs="Arial"/>
          <w:szCs w:val="18"/>
          <w:vertAlign w:val="subscript"/>
          <w:lang w:val="en-US"/>
        </w:rPr>
        <w:t>DMC</w:t>
      </w:r>
      <w:r w:rsidR="00114CC8" w:rsidRPr="006D77D2">
        <w:rPr>
          <w:rFonts w:cs="Arial"/>
          <w:szCs w:val="18"/>
          <w:lang w:val="en-US"/>
        </w:rPr>
        <w:t>) and reacting temperature (T).</w:t>
      </w:r>
    </w:p>
    <w:p w14:paraId="7A04AD4A" w14:textId="3600E97C" w:rsidR="003047A3" w:rsidRPr="006D77D2" w:rsidRDefault="003047A3" w:rsidP="00CF4630">
      <w:pPr>
        <w:pStyle w:val="CETHeading1"/>
        <w:rPr>
          <w:rFonts w:cs="Arial"/>
        </w:rPr>
      </w:pPr>
      <w:r w:rsidRPr="006D77D2">
        <w:rPr>
          <w:rFonts w:cs="Arial"/>
        </w:rPr>
        <w:t>Results and Analysis</w:t>
      </w:r>
    </w:p>
    <w:p w14:paraId="2078F4F5" w14:textId="431ACD64" w:rsidR="003047A3" w:rsidRPr="006D77D2" w:rsidRDefault="003047A3" w:rsidP="00940A3C">
      <w:pPr>
        <w:spacing w:line="240" w:lineRule="auto"/>
        <w:rPr>
          <w:rFonts w:cs="Arial"/>
          <w:bCs/>
          <w:szCs w:val="18"/>
          <w:lang w:val="en-US"/>
        </w:rPr>
      </w:pPr>
      <w:r w:rsidRPr="006D77D2">
        <w:rPr>
          <w:rFonts w:cs="Arial"/>
          <w:bCs/>
          <w:szCs w:val="18"/>
          <w:lang w:val="en-US"/>
        </w:rPr>
        <w:t>The following results can be obtained applying the previous mathematical modeling strategy. Figures 2</w:t>
      </w:r>
      <w:r w:rsidR="004B41B4" w:rsidRPr="006D77D2">
        <w:rPr>
          <w:rFonts w:cs="Arial"/>
          <w:bCs/>
          <w:szCs w:val="18"/>
          <w:lang w:val="en-US"/>
        </w:rPr>
        <w:t>a</w:t>
      </w:r>
      <w:r w:rsidRPr="006D77D2">
        <w:rPr>
          <w:rFonts w:cs="Arial"/>
          <w:bCs/>
          <w:szCs w:val="18"/>
          <w:lang w:val="en-US"/>
        </w:rPr>
        <w:t xml:space="preserve"> and </w:t>
      </w:r>
      <w:r w:rsidR="004B41B4" w:rsidRPr="006D77D2">
        <w:rPr>
          <w:rFonts w:cs="Arial"/>
          <w:bCs/>
          <w:szCs w:val="18"/>
          <w:lang w:val="en-US"/>
        </w:rPr>
        <w:t>2b</w:t>
      </w:r>
      <w:r w:rsidRPr="006D77D2">
        <w:rPr>
          <w:rFonts w:cs="Arial"/>
          <w:bCs/>
          <w:szCs w:val="18"/>
          <w:lang w:val="en-US"/>
        </w:rPr>
        <w:t xml:space="preserve"> illustrate the experimental data and the model predictions for glycerol conversion as a function of time for both Case 1 (at fixed </w:t>
      </w:r>
      <w:bookmarkStart w:id="12" w:name="_Hlk173233249"/>
      <w:r w:rsidRPr="006D77D2">
        <w:rPr>
          <w:rFonts w:cs="Arial"/>
          <w:bCs/>
          <w:szCs w:val="18"/>
          <w:lang w:val="en-US"/>
        </w:rPr>
        <w:t>molar ratio of catalyst to glycerol of</w:t>
      </w:r>
      <w:r w:rsidR="007B7E07" w:rsidRPr="006D77D2">
        <w:rPr>
          <w:rFonts w:cs="Arial"/>
          <w:bCs/>
          <w:szCs w:val="18"/>
          <w:lang w:val="en-US"/>
        </w:rPr>
        <w:t xml:space="preserve"> </w:t>
      </w:r>
      <w:r w:rsidR="007B7E07" w:rsidRPr="006D77D2">
        <w:rPr>
          <w:rFonts w:cs="Arial"/>
          <w:position w:val="-6"/>
          <w:szCs w:val="18"/>
          <w:lang w:val="en-US"/>
        </w:rPr>
        <w:object w:dxaOrig="1020" w:dyaOrig="240" w14:anchorId="637D0D7B">
          <v:shape id="_x0000_i1045" type="#_x0000_t75" style="width:51pt;height:12pt" o:ole="">
            <v:imagedata r:id="rId49" o:title=""/>
          </v:shape>
          <o:OLEObject Type="Embed" ProgID="Equation.DSMT4" ShapeID="_x0000_i1045" DrawAspect="Content" ObjectID="_1806657705" r:id="rId50"/>
        </w:object>
      </w:r>
      <w:bookmarkEnd w:id="12"/>
      <w:r w:rsidRPr="006D77D2">
        <w:rPr>
          <w:rFonts w:cs="Arial"/>
          <w:bCs/>
          <w:szCs w:val="18"/>
          <w:lang w:val="en-US"/>
        </w:rPr>
        <w:t>, molar ratio of dimethyl carbonate to glycerol of</w:t>
      </w:r>
      <w:r w:rsidR="008F30BD" w:rsidRPr="006D77D2">
        <w:rPr>
          <w:rFonts w:cs="Arial"/>
          <w:bCs/>
          <w:szCs w:val="18"/>
          <w:lang w:val="en-US"/>
        </w:rPr>
        <w:t xml:space="preserve"> </w:t>
      </w:r>
      <w:r w:rsidR="008F30BD" w:rsidRPr="006D77D2">
        <w:rPr>
          <w:rFonts w:cs="Arial"/>
          <w:position w:val="-10"/>
          <w:szCs w:val="18"/>
          <w:lang w:val="en-US"/>
        </w:rPr>
        <w:object w:dxaOrig="760" w:dyaOrig="300" w14:anchorId="6A356D64">
          <v:shape id="_x0000_i1046" type="#_x0000_t75" style="width:37.5pt;height:16pt" o:ole="">
            <v:imagedata r:id="rId51" o:title=""/>
          </v:shape>
          <o:OLEObject Type="Embed" ProgID="Equation.DSMT4" ShapeID="_x0000_i1046" DrawAspect="Content" ObjectID="_1806657706" r:id="rId52"/>
        </w:object>
      </w:r>
      <w:r w:rsidRPr="006D77D2">
        <w:rPr>
          <w:rFonts w:cs="Arial"/>
          <w:szCs w:val="18"/>
          <w:lang w:val="en-US"/>
        </w:rPr>
        <w:t xml:space="preserve"> and two different temperatures 363.15 K and 348.15 K</w:t>
      </w:r>
      <w:r w:rsidRPr="006D77D2">
        <w:rPr>
          <w:rFonts w:cs="Arial"/>
          <w:bCs/>
          <w:szCs w:val="18"/>
          <w:lang w:val="en-US"/>
        </w:rPr>
        <w:t xml:space="preserve">) </w:t>
      </w:r>
      <w:r w:rsidRPr="006D77D2">
        <w:rPr>
          <w:rFonts w:cs="Arial"/>
          <w:bCs/>
          <w:szCs w:val="18"/>
          <w:lang w:val="en-US"/>
        </w:rPr>
        <w:fldChar w:fldCharType="begin" w:fldLock="1"/>
      </w:r>
      <w:r w:rsidR="00D711BA" w:rsidRPr="006D77D2">
        <w:rPr>
          <w:rFonts w:cs="Arial"/>
          <w:bCs/>
          <w:szCs w:val="18"/>
          <w:lang w:val="en-US"/>
        </w:rPr>
        <w:instrText>ADDIN CSL_CITATION {"citationItems":[{"id":"ITEM-1","itemData":{"DOI":"10.1016/j.apcata.2009.07.020","ISSN":"0926860X","abstract":"The synthesis of glycerol carbonate from glycerol and dimethyl carbonate by transesterification is reported. Firstly, a catalyst screening has been performed by studying the influence of different basic and acid homogeneous and heterogeneous catalysts on reaction results. Catalytic activity is extremely low for acidic catalysts indicating that reaction rate is very slow. On the contrary, high conversions and yields are obtained for basic catalysts. Catalytic activity increases with catalyst basic strength. The best heterogeneous catalyst is CaO. Calcination of CaO increases dramatically its activity due to calcium hydroxide removal from its surface. A reaction optimization study has been carried out with CaO as catalyst by using a factorial design of experiments leading to operation conditions for achieving a 100% conversion and a &gt;95% yield at 1.5 h reaction time: 95 °C, catalyst/glycerol molar ratio = 0.06 and dimethyl carbonate/glycerol molar ratio = 3.5. Carbonate glycerol can be easily isolated by filtering the catalyst out and evaporating the filtrate at vacuum. Leaching of catalyst in reaction medium was lower than 0.34%. Catalyst recycling leads to a quick decrease in both conversions and yields probably due to a combination of catalyst deactivation by CaO exposure to air between catalytic runs, and a decrease in the catalyst surface area available for reaction due to particle agglomeration. © 2009 Elsevier B.V. All rights reserved.","author":[{"dropping-particle":"","family":"Ochoa-Gómez","given":"José R.","non-dropping-particle":"","parse-names":false,"suffix":""},{"dropping-particle":"","family":"Gómez-Jiménez-Aberasturi","given":"Olga","non-dropping-particle":"","parse-names":false,"suffix":""},{"dropping-particle":"","family":"Maestro-Madurga","given":"Belén","non-dropping-particle":"","parse-names":false,"suffix":""},{"dropping-particle":"","family":"Pesquera-Rodríguez","given":"Amaia","non-dropping-particle":"","parse-names":false,"suffix":""},{"dropping-particle":"","family":"Ramírez-López","given":"Camilo","non-dropping-particle":"","parse-names":false,"suffix":""},{"dropping-particle":"","family":"Lorenzo-Ibarreta","given":"Leire","non-dropping-particle":"","parse-names":false,"suffix":""},{"dropping-particle":"","family":"Torrecilla-Soria","given":"Jesús","non-dropping-particle":"","parse-names":false,"suffix":""},{"dropping-particle":"","family":"Villarán-Velasco","given":"María C.","non-dropping-particle":"","parse-names":false,"suffix":""}],"container-title":"Applied Catalysis A: General","id":"ITEM-1","issue":"2","issued":{"date-parts":[["2009","9"]]},"page":"315-324","title":"Synthesis of glycerol carbonate from glycerol and dimethyl carbonate by transesterification: Catalyst screening and reaction optimization","type":"article-journal","volume":"366"},"uris":["http://www.mendeley.com/documents/?uuid=2831506e-e79e-444e-98df-771ac529bc97"]}],"mendeley":{"formattedCitation":"(Ochoa-Gómez et al. 2009)","plainTextFormattedCitation":"(Ochoa-Gómez et al. 2009)","previouslyFormattedCitation":"(Ochoa-Gómez et al. 2009)"},"properties":{"noteIndex":0},"schema":"https://github.com/citation-style-language/schema/raw/master/csl-citation.json"}</w:instrText>
      </w:r>
      <w:r w:rsidRPr="006D77D2">
        <w:rPr>
          <w:rFonts w:cs="Arial"/>
          <w:bCs/>
          <w:szCs w:val="18"/>
          <w:lang w:val="en-US"/>
        </w:rPr>
        <w:fldChar w:fldCharType="separate"/>
      </w:r>
      <w:r w:rsidR="00B86355" w:rsidRPr="006D77D2">
        <w:rPr>
          <w:rFonts w:cs="Arial"/>
          <w:bCs/>
          <w:noProof/>
          <w:szCs w:val="18"/>
          <w:lang w:val="en-US"/>
        </w:rPr>
        <w:t>(Ochoa-Gómez et al. 2009)</w:t>
      </w:r>
      <w:r w:rsidRPr="006D77D2">
        <w:rPr>
          <w:rFonts w:cs="Arial"/>
          <w:bCs/>
          <w:szCs w:val="18"/>
          <w:lang w:val="en-US"/>
        </w:rPr>
        <w:fldChar w:fldCharType="end"/>
      </w:r>
      <w:r w:rsidRPr="006D77D2">
        <w:rPr>
          <w:rFonts w:cs="Arial"/>
          <w:bCs/>
          <w:szCs w:val="18"/>
          <w:lang w:val="en-US"/>
        </w:rPr>
        <w:t xml:space="preserve"> and Case 2 (at </w:t>
      </w:r>
      <w:r w:rsidRPr="006D77D2">
        <w:rPr>
          <w:rFonts w:cs="Arial"/>
          <w:szCs w:val="18"/>
          <w:lang w:val="en-US"/>
        </w:rPr>
        <w:t xml:space="preserve">3%wt of </w:t>
      </w:r>
      <w:bookmarkStart w:id="13" w:name="_Hlk173240395"/>
      <w:r w:rsidRPr="006D77D2">
        <w:rPr>
          <w:rFonts w:cs="Arial"/>
          <w:szCs w:val="18"/>
          <w:lang w:val="en-US"/>
        </w:rPr>
        <w:t xml:space="preserve">catalyst dosage </w:t>
      </w:r>
      <w:bookmarkEnd w:id="13"/>
      <w:r w:rsidRPr="006D77D2">
        <w:rPr>
          <w:rFonts w:cs="Arial"/>
          <w:szCs w:val="18"/>
          <w:lang w:val="en-US"/>
        </w:rPr>
        <w:t>from the reaction mixture, molar ratio of dimethyl carbonate to glycerol of</w:t>
      </w:r>
      <w:r w:rsidR="008F30BD" w:rsidRPr="006D77D2">
        <w:rPr>
          <w:rFonts w:cs="Arial"/>
          <w:szCs w:val="18"/>
          <w:lang w:val="en-US"/>
        </w:rPr>
        <w:t xml:space="preserve"> </w:t>
      </w:r>
      <w:r w:rsidR="008F30BD" w:rsidRPr="006D77D2">
        <w:rPr>
          <w:rFonts w:cs="Arial"/>
          <w:position w:val="-10"/>
          <w:szCs w:val="18"/>
          <w:lang w:val="en-US"/>
        </w:rPr>
        <w:object w:dxaOrig="760" w:dyaOrig="300" w14:anchorId="429FD08D">
          <v:shape id="_x0000_i1047" type="#_x0000_t75" style="width:37.5pt;height:16pt" o:ole="">
            <v:imagedata r:id="rId53" o:title=""/>
          </v:shape>
          <o:OLEObject Type="Embed" ProgID="Equation.DSMT4" ShapeID="_x0000_i1047" DrawAspect="Content" ObjectID="_1806657707" r:id="rId54"/>
        </w:object>
      </w:r>
      <w:r w:rsidRPr="006D77D2">
        <w:rPr>
          <w:rFonts w:cs="Arial"/>
          <w:szCs w:val="18"/>
          <w:lang w:val="en-US"/>
        </w:rPr>
        <w:t xml:space="preserve"> and a single temperature of 348.15 K</w:t>
      </w:r>
      <w:r w:rsidRPr="006D77D2">
        <w:rPr>
          <w:rFonts w:cs="Arial"/>
          <w:bCs/>
          <w:szCs w:val="18"/>
          <w:lang w:val="en-US"/>
        </w:rPr>
        <w:t xml:space="preserve">) </w:t>
      </w:r>
      <w:r w:rsidRPr="006D77D2">
        <w:rPr>
          <w:rFonts w:cs="Arial"/>
          <w:bCs/>
          <w:szCs w:val="18"/>
          <w:lang w:val="en-US"/>
        </w:rPr>
        <w:fldChar w:fldCharType="begin" w:fldLock="1"/>
      </w:r>
      <w:r w:rsidR="00D711BA" w:rsidRPr="006D77D2">
        <w:rPr>
          <w:rFonts w:cs="Arial"/>
          <w:bCs/>
          <w:szCs w:val="18"/>
          <w:lang w:val="en-US"/>
        </w:rPr>
        <w:instrText>ADDIN CSL_CITATION {"citationItems":[{"id":"ITEM-1","itemData":{"DOI":"10.1155/2021/9300442","ISSN":"1687-9430","abstract":"Na2CO3 was loaded onto waste carbide slag (CS) by impregnation-calcination method to prepare the solid base catalyst, which was used to synthesize glycerol carbonate (GC) by the transesterification of glycerol with dimethyl carbonate (DMC). The prepared catalysts were characterized by a scanning electron microscope (SEM), thermogravimetric analysis (TGA), X-ray diffraction (XRD), Fourier transform infrared spectroscopy (FTIR), and Brunner−Emmet−Teller (BET) techniques. The catalyst 15 wt.% Na2CO3-CS-800, which was prepared by impregnating CS to the Na2CO3 solution with the concentration of 15 wt.% weight of CS and calcined at 800°C for 3 hours, showed an excellent catalytic ability. When it was applied in the catalytic synthesis of GC, 98.1% glycerol conversion and 96.0% GC yield were achieved in 90 mins at 75°C with the catalyst dosage of 3 wt.% to total reactants and the DMC to glycerol molar ratio of 5. More importantly, the loading of Na2CO3 can effectively improve the reusability of catalyst. The 15 wt.% Na2CO3-CS-800 can still achieve 83.6% glycerol conversion and 80.5% GC yield after five-time reuse. Meanwhile, under the same reaction conditions, the CS-800, which was obtained by calcining CS at 800°C for 3 hours, experienced significant activity reduction with only 15.2% glycerol conversion and 14.1% GC yield after five-time reuse. FTIR and XRD characterization revealed that CO32- might play a key role in preserving active catalytic CaO component by forming protective CaCO3 shell on the catalyst surface.","author":[{"dropping-particle":"","family":"Wang","given":"Jianye","non-dropping-particle":"","parse-names":false,"suffix":""},{"dropping-particle":"","family":"Wang","given":"Zhu","non-dropping-particle":"","parse-names":false,"suffix":""},{"dropping-particle":"","family":"Liu","given":"Haifeng","non-dropping-particle":"","parse-names":false,"suffix":""},{"dropping-particle":"","family":"Wang","given":"Song","non-dropping-particle":"","parse-names":false,"suffix":""},{"dropping-particle":"","family":"Sun","given":"Yifeng","non-dropping-particle":"","parse-names":false,"suffix":""}],"container-title":"International Journal of Polymer Science","editor":[{"dropping-particle":"","family":"Perez","given":"Victor Haber","non-dropping-particle":"","parse-names":false,"suffix":""}],"id":"ITEM-1","issue":"i","issued":{"date-parts":[["2021","12","7"]]},"page":"1-14","title":"Synthesis of Glycerol Carbonate from Glycerol and Dimethyl Carbonate Catalyzed by Solid Base Catalyst Derived from Waste Carbide Slag","type":"article-journal","volume":"2021"},"uris":["http://www.mendeley.com/documents/?uuid=e2144d7a-6d74-4546-97e4-f4cbe2fd6ca3"]}],"mendeley":{"formattedCitation":"(Wang et al. 2021)","plainTextFormattedCitation":"(Wang et al. 2021)","previouslyFormattedCitation":"(Wang et al. 2021)"},"properties":{"noteIndex":0},"schema":"https://github.com/citation-style-language/schema/raw/master/csl-citation.json"}</w:instrText>
      </w:r>
      <w:r w:rsidRPr="006D77D2">
        <w:rPr>
          <w:rFonts w:cs="Arial"/>
          <w:bCs/>
          <w:szCs w:val="18"/>
          <w:lang w:val="en-US"/>
        </w:rPr>
        <w:fldChar w:fldCharType="separate"/>
      </w:r>
      <w:r w:rsidR="00B86355" w:rsidRPr="006D77D2">
        <w:rPr>
          <w:rFonts w:cs="Arial"/>
          <w:bCs/>
          <w:noProof/>
          <w:szCs w:val="18"/>
          <w:lang w:val="en-US"/>
        </w:rPr>
        <w:t>(Wang et al. 2021)</w:t>
      </w:r>
      <w:r w:rsidRPr="006D77D2">
        <w:rPr>
          <w:rFonts w:cs="Arial"/>
          <w:bCs/>
          <w:szCs w:val="18"/>
          <w:lang w:val="en-US"/>
        </w:rPr>
        <w:fldChar w:fldCharType="end"/>
      </w:r>
      <w:r w:rsidRPr="006D77D2">
        <w:rPr>
          <w:rFonts w:cs="Arial"/>
          <w:bCs/>
          <w:szCs w:val="18"/>
          <w:lang w:val="en-US"/>
        </w:rPr>
        <w:t xml:space="preserve">, respectively. In both cases, the glycerol conversion increases with time, as expected for a batch reactor. The non-elementary rate law consistently provides a closer fit to the experimental data than the elementary rate law, particularly at higher conversions. This suggests that the reaction mechanism is more complex than a simple elementary step and that the non-elementary rate law better captures the underlying kinetics. It is well-known that an elementary rate law assumes that the reaction occurs in a single step, with the rate being proportional to the concentrations of the reactants raised to their stoichiometric coefficients. However, the transesterification reaction between glycerol and DMC involves multiple steps as previously </w:t>
      </w:r>
      <w:r w:rsidRPr="006D77D2">
        <w:rPr>
          <w:rFonts w:cs="Arial"/>
          <w:bCs/>
          <w:szCs w:val="18"/>
          <w:lang w:val="en-US"/>
        </w:rPr>
        <w:fldChar w:fldCharType="begin" w:fldLock="1"/>
      </w:r>
      <w:r w:rsidR="00D711BA" w:rsidRPr="006D77D2">
        <w:rPr>
          <w:rFonts w:cs="Arial"/>
          <w:bCs/>
          <w:szCs w:val="18"/>
          <w:lang w:val="en-US"/>
        </w:rPr>
        <w:instrText>ADDIN CSL_CITATION {"citationItems":[{"id":"ITEM-1","itemData":{"DOI":"10.1016/j.apcata.2009.07.020","ISSN":"0926860X","abstract":"The synthesis of glycerol carbonate from glycerol and dimethyl carbonate by transesterification is reported. Firstly, a catalyst screening has been performed by studying the influence of different basic and acid homogeneous and heterogeneous catalysts on reaction results. Catalytic activity is extremely low for acidic catalysts indicating that reaction rate is very slow. On the contrary, high conversions and yields are obtained for basic catalysts. Catalytic activity increases with catalyst basic strength. The best heterogeneous catalyst is CaO. Calcination of CaO increases dramatically its activity due to calcium hydroxide removal from its surface. A reaction optimization study has been carried out with CaO as catalyst by using a factorial design of experiments leading to operation conditions for achieving a 100% conversion and a &gt;95% yield at 1.5 h reaction time: 95 °C, catalyst/glycerol molar ratio = 0.06 and dimethyl carbonate/glycerol molar ratio = 3.5. Carbonate glycerol can be easily isolated by filtering the catalyst out and evaporating the filtrate at vacuum. Leaching of catalyst in reaction medium was lower than 0.34%. Catalyst recycling leads to a quick decrease in both conversions and yields probably due to a combination of catalyst deactivation by CaO exposure to air between catalytic runs, and a decrease in the catalyst surface area available for reaction due to particle agglomeration. © 2009 Elsevier B.V. All rights reserved.","author":[{"dropping-particle":"","family":"Ochoa-Gómez","given":"José R.","non-dropping-particle":"","parse-names":false,"suffix":""},{"dropping-particle":"","family":"Gómez-Jiménez-Aberasturi","given":"Olga","non-dropping-particle":"","parse-names":false,"suffix":""},{"dropping-particle":"","family":"Maestro-Madurga","given":"Belén","non-dropping-particle":"","parse-names":false,"suffix":""},{"dropping-particle":"","family":"Pesquera-Rodríguez","given":"Amaia","non-dropping-particle":"","parse-names":false,"suffix":""},{"dropping-particle":"","family":"Ramírez-López","given":"Camilo","non-dropping-particle":"","parse-names":false,"suffix":""},{"dropping-particle":"","family":"Lorenzo-Ibarreta","given":"Leire","non-dropping-particle":"","parse-names":false,"suffix":""},{"dropping-particle":"","family":"Torrecilla-Soria","given":"Jesús","non-dropping-particle":"","parse-names":false,"suffix":""},{"dropping-particle":"","family":"Villarán-Velasco","given":"María C.","non-dropping-particle":"","parse-names":false,"suffix":""}],"container-title":"Applied Catalysis A: General","id":"ITEM-1","issue":"2","issued":{"date-parts":[["2009","9"]]},"page":"315-324","title":"Synthesis of glycerol carbonate from glycerol and dimethyl carbonate by transesterification: Catalyst screening and reaction optimization","type":"article-journal","volume":"366"},"uris":["http://www.mendeley.com/documents/?uuid=2831506e-e79e-444e-98df-771ac529bc97"]}],"mendeley":{"formattedCitation":"(Ochoa-Gómez et al. 2009)","manualFormatting":"Ochoa-Gómez et al. (2009)","plainTextFormattedCitation":"(Ochoa-Gómez et al. 2009)","previouslyFormattedCitation":"(Ochoa-Gómez et al. 2009)"},"properties":{"noteIndex":0},"schema":"https://github.com/citation-style-language/schema/raw/master/csl-citation.json"}</w:instrText>
      </w:r>
      <w:r w:rsidRPr="006D77D2">
        <w:rPr>
          <w:rFonts w:cs="Arial"/>
          <w:bCs/>
          <w:szCs w:val="18"/>
          <w:lang w:val="en-US"/>
        </w:rPr>
        <w:fldChar w:fldCharType="separate"/>
      </w:r>
      <w:r w:rsidRPr="006D77D2">
        <w:rPr>
          <w:rFonts w:cs="Arial"/>
          <w:bCs/>
          <w:noProof/>
          <w:szCs w:val="18"/>
          <w:lang w:val="en-US"/>
        </w:rPr>
        <w:t>Ochoa-Gómez et al. (2009)</w:t>
      </w:r>
      <w:r w:rsidRPr="006D77D2">
        <w:rPr>
          <w:rFonts w:cs="Arial"/>
          <w:bCs/>
          <w:szCs w:val="18"/>
          <w:lang w:val="en-US"/>
        </w:rPr>
        <w:fldChar w:fldCharType="end"/>
      </w:r>
      <w:r w:rsidRPr="006D77D2">
        <w:rPr>
          <w:rFonts w:cs="Arial"/>
          <w:bCs/>
          <w:szCs w:val="18"/>
          <w:lang w:val="en-US"/>
        </w:rPr>
        <w:t xml:space="preserve"> </w:t>
      </w:r>
      <w:r w:rsidRPr="006D77D2">
        <w:rPr>
          <w:rFonts w:cs="Arial"/>
          <w:szCs w:val="18"/>
          <w:lang w:val="en-US"/>
        </w:rPr>
        <w:t xml:space="preserve">and </w:t>
      </w:r>
      <w:r w:rsidRPr="006D77D2">
        <w:rPr>
          <w:rFonts w:cs="Arial"/>
          <w:szCs w:val="18"/>
          <w:lang w:val="en-US"/>
        </w:rPr>
        <w:fldChar w:fldCharType="begin" w:fldLock="1"/>
      </w:r>
      <w:r w:rsidR="00D711BA" w:rsidRPr="006D77D2">
        <w:rPr>
          <w:rFonts w:cs="Arial"/>
          <w:szCs w:val="18"/>
          <w:lang w:val="en-US"/>
        </w:rPr>
        <w:instrText>ADDIN CSL_CITATION {"citationItems":[{"id":"ITEM-1","itemData":{"DOI":"10.1002/er.7281","ISSN":"0363-907X","abstract":"Glycerol carbonate (GC) was synthesized by transesterification of glycerol with dimethyl carbonate (DMC) using calcium oxide (CaO) derived from eggshell as a catalyst. The best results of 96% glycerol conversion and 94% GC yield were achieved under the following reaction conditions: 0.08 mole ratio of CaO to glycerol, 1:2.5 mole ratio of glycerol to DMC, 60°C reaction temperature, and 3 hours reaction time. As expected, CaO showed deteriorated catalytic performance when recycling as observed by a rapid decrease in GC yield. This research showed that the active CaO phase first was converted to calcium methoxide (Ca[OCH3]2) and calcium diglyceroxide (Ca[C3H7O3]2) and finally to carbonate phase (CaCO3) which can be confirmed by XRD patterns. According to the phase transformation, the basicity decreased from 0.482 mmol/g to 0.023 mmol/g, and basic strength altered from strong basic strength (15.0 &lt; H_ &lt; 18.4) to weak basic strength (7.2 &lt; H_ &lt; 9.8), resulting in the lower catalytic activity of the consecutive runs. Despite the fact that the GC selectivity was almost 100%, the reaction products (methanol and GC) were not obtained in their stoichiometric ratio and their extents corresponded with that of the catalyst phase transformation to CaCO3. The mechanism of CaO catalyzed transesterification based on the condensation reaction of glycerol and catalyst was proposed, and in situ formation of water-derivative species was hypothesized as a cause of CaO transformation. CaO could react with DMC and water, generating methanol and CaCO3. This enabled unconventional monitoring of catalyst deactivation by checking if the mole ratio of methanol to GC was higher than 2:1 of its reaction stoichiometric ratio. It was also demonstrated that calcination of post-run catalyst at 900°C to CaO exhibited almost constant catalytic activity, and the mole ratio of methanol to GC was constant at its reaction stoichiometry (2:1) for at least 4 times use.","author":[{"dropping-particle":"","family":"Praikaew","given":"Wanichaya","non-dropping-particle":"","parse-names":false,"suffix":""},{"dropping-particle":"","family":"Kiatkittipong","given":"Worapon","non-dropping-particle":"","parse-names":false,"suffix":""},{"dropping-particle":"","family":"Aiouache","given":"Farid","non-dropping-particle":"","parse-names":false,"suffix":""},{"dropping-particle":"","family":"Najdanovic</w:instrText>
      </w:r>
      <w:r w:rsidR="00D711BA" w:rsidRPr="006D77D2">
        <w:rPr>
          <w:rFonts w:ascii="Cambria Math" w:hAnsi="Cambria Math" w:cs="Cambria Math"/>
          <w:szCs w:val="18"/>
          <w:lang w:val="en-US"/>
        </w:rPr>
        <w:instrText>‐</w:instrText>
      </w:r>
      <w:r w:rsidR="00D711BA" w:rsidRPr="006D77D2">
        <w:rPr>
          <w:rFonts w:cs="Arial"/>
          <w:szCs w:val="18"/>
          <w:lang w:val="en-US"/>
        </w:rPr>
        <w:instrText>Visak","given":"Vesna","non-dropping-particle":"","parse-names":false,"suffix":""},{"dropping-particle":"","family":"Termtanun","given":"Mutsee","non-dropping-particle":"","parse-names":false,"suffix":""},{"dropping-particle":"","family":"Lim","given":"Jun Wei","non-dropping-particle":"","parse-names":false,"suffix":""},{"dropping-particle":"","family":"Lam","given":"Su Shiung","non-dropping-particle":"","parse-names":false,"suffix":""},{"dropping-particle":"","family":"Kiatkittipong","given":"Kunlanan","non-dropping-particle":"","parse-names":false,"suffix":""},{"dropping-particle":"","family":"Laosiripojana","given":"Navadol","non-dropping-particle":"","parse-names":false,"suffix":""},{"dropping-particle":"","family":"Boonyasuwat","given":"Sunya","non-dropping-particle":"","parse-names":false,"suffix":""},{"dropping-particle":"","family":"Assabumrungrat","given":"Suttichai","non-dropping-particle":"","parse-names":false,"suffix":""}],"container-title":"International Journal of Energy Research","id":"ITEM-1","issue":"2","issued":{"date-parts":[["2022","2","15"]]},"page":"1646-1658","title":"Mechanism of CaO catalyst deactivation with unconventional monitoring method for glycerol carbonate production via transesterification of glycerol with dimethyl carbonate","type":"article-journal","volume":"46"},"uris":["http://www.mendeley.com/documents/?uuid=185225d4-61d1-4be7-ad95-16411bc619dd"]}],"mendeley":{"formattedCitation":"(Praikaew et al. 2022)","manualFormatting":"Praikaew et al. (2022)","plainTextFormattedCitation":"(Praikaew et al. 2022)","previouslyFormattedCitation":"(Praikaew et al. 2022)"},"properties":{"noteIndex":0},"schema":"https://github.com/citation-style-language/schema/raw/master/csl-citation.json"}</w:instrText>
      </w:r>
      <w:r w:rsidRPr="006D77D2">
        <w:rPr>
          <w:rFonts w:cs="Arial"/>
          <w:szCs w:val="18"/>
          <w:lang w:val="en-US"/>
        </w:rPr>
        <w:fldChar w:fldCharType="separate"/>
      </w:r>
      <w:r w:rsidRPr="006D77D2">
        <w:rPr>
          <w:rFonts w:cs="Arial"/>
          <w:noProof/>
          <w:szCs w:val="18"/>
          <w:lang w:val="en-US"/>
        </w:rPr>
        <w:t>Praikaew et al. (2022)</w:t>
      </w:r>
      <w:r w:rsidRPr="006D77D2">
        <w:rPr>
          <w:rFonts w:cs="Arial"/>
          <w:szCs w:val="18"/>
          <w:lang w:val="en-US"/>
        </w:rPr>
        <w:fldChar w:fldCharType="end"/>
      </w:r>
      <w:r w:rsidRPr="006D77D2">
        <w:rPr>
          <w:rFonts w:cs="Arial"/>
          <w:szCs w:val="18"/>
          <w:lang w:val="en-US"/>
        </w:rPr>
        <w:t xml:space="preserve"> suggested</w:t>
      </w:r>
      <w:r w:rsidRPr="006D77D2">
        <w:rPr>
          <w:rFonts w:cs="Arial"/>
          <w:bCs/>
          <w:szCs w:val="18"/>
          <w:lang w:val="en-US"/>
        </w:rPr>
        <w:t>, including adsorption of reactants onto the catalyst surface, surface reaction, and desorption of products. The non-elementary rate law, which allows for fractional reaction orders, can better account for these complexities.</w:t>
      </w:r>
    </w:p>
    <w:p w14:paraId="729D4201" w14:textId="77777777" w:rsidR="000739D8" w:rsidRPr="006D77D2" w:rsidRDefault="000739D8" w:rsidP="000739D8">
      <w:pPr>
        <w:spacing w:line="240" w:lineRule="auto"/>
        <w:rPr>
          <w:rFonts w:cs="Arial"/>
          <w:bCs/>
          <w:szCs w:val="18"/>
          <w:lang w:val="en-US"/>
        </w:rPr>
      </w:pPr>
      <w:r w:rsidRPr="006D77D2">
        <w:rPr>
          <w:rFonts w:cs="Arial"/>
          <w:bCs/>
          <w:szCs w:val="18"/>
          <w:lang w:val="en-US"/>
        </w:rPr>
        <w:t>A comparative analysis of Case 1 and Case 2 at identical reaction conditions (348.15 K and 90 minutes of reacting time) reveals superior performance of the carbide slag catalyst (Case 2) in terms of glycerol conversion (</w:t>
      </w:r>
      <w:r w:rsidRPr="006D77D2">
        <w:rPr>
          <w:rFonts w:cs="Arial"/>
          <w:position w:val="-10"/>
          <w:szCs w:val="18"/>
          <w:lang w:val="en-US"/>
        </w:rPr>
        <w:object w:dxaOrig="820" w:dyaOrig="300" w14:anchorId="33B42CB4">
          <v:shape id="_x0000_i1048" type="#_x0000_t75" style="width:41pt;height:16pt" o:ole="">
            <v:imagedata r:id="rId55" o:title=""/>
          </v:shape>
          <o:OLEObject Type="Embed" ProgID="Equation.DSMT4" ShapeID="_x0000_i1048" DrawAspect="Content" ObjectID="_1806657708" r:id="rId56"/>
        </w:object>
      </w:r>
      <w:r w:rsidRPr="006D77D2">
        <w:rPr>
          <w:rFonts w:cs="Arial"/>
          <w:bCs/>
          <w:szCs w:val="18"/>
          <w:lang w:val="en-US"/>
        </w:rPr>
        <w:t xml:space="preserve">) compared to the CaO catalyst (Case 1) with </w:t>
      </w:r>
      <w:r w:rsidRPr="006D77D2">
        <w:rPr>
          <w:rFonts w:cs="Arial"/>
          <w:position w:val="-10"/>
          <w:szCs w:val="18"/>
          <w:lang w:val="en-US"/>
        </w:rPr>
        <w:object w:dxaOrig="820" w:dyaOrig="300" w14:anchorId="2223B981">
          <v:shape id="_x0000_i1049" type="#_x0000_t75" style="width:41pt;height:16pt" o:ole="">
            <v:imagedata r:id="rId57" o:title=""/>
          </v:shape>
          <o:OLEObject Type="Embed" ProgID="Equation.DSMT4" ShapeID="_x0000_i1049" DrawAspect="Content" ObjectID="_1806657709" r:id="rId58"/>
        </w:object>
      </w:r>
      <w:r w:rsidRPr="006D77D2">
        <w:rPr>
          <w:rFonts w:cs="Arial"/>
          <w:bCs/>
          <w:szCs w:val="18"/>
          <w:lang w:val="en-US"/>
        </w:rPr>
        <w:t>. Despite a higher DMC excess in Case 1 (</w:t>
      </w:r>
      <w:r w:rsidRPr="006D77D2">
        <w:rPr>
          <w:rFonts w:cs="Arial"/>
          <w:position w:val="-10"/>
          <w:szCs w:val="18"/>
          <w:lang w:val="en-US"/>
        </w:rPr>
        <w:object w:dxaOrig="760" w:dyaOrig="300" w14:anchorId="4F90419C">
          <v:shape id="_x0000_i1050" type="#_x0000_t75" style="width:37.5pt;height:16pt" o:ole="">
            <v:imagedata r:id="rId51" o:title=""/>
          </v:shape>
          <o:OLEObject Type="Embed" ProgID="Equation.DSMT4" ShapeID="_x0000_i1050" DrawAspect="Content" ObjectID="_1806657710" r:id="rId59"/>
        </w:object>
      </w:r>
      <w:r w:rsidRPr="006D77D2">
        <w:rPr>
          <w:rFonts w:cs="Arial"/>
          <w:bCs/>
          <w:szCs w:val="18"/>
          <w:lang w:val="en-US"/>
        </w:rPr>
        <w:t>) relative to Case 2 (</w:t>
      </w:r>
      <w:r w:rsidRPr="006D77D2">
        <w:rPr>
          <w:rFonts w:cs="Arial"/>
          <w:position w:val="-10"/>
          <w:szCs w:val="18"/>
          <w:lang w:val="en-US"/>
        </w:rPr>
        <w:object w:dxaOrig="760" w:dyaOrig="300" w14:anchorId="6C31DCE7">
          <v:shape id="_x0000_i1051" type="#_x0000_t75" style="width:37.5pt;height:16pt" o:ole="">
            <v:imagedata r:id="rId60" o:title=""/>
          </v:shape>
          <o:OLEObject Type="Embed" ProgID="Equation.DSMT4" ShapeID="_x0000_i1051" DrawAspect="Content" ObjectID="_1806657711" r:id="rId61"/>
        </w:object>
      </w:r>
      <w:r w:rsidRPr="006D77D2">
        <w:rPr>
          <w:rFonts w:cs="Arial"/>
          <w:bCs/>
          <w:szCs w:val="18"/>
          <w:lang w:val="en-US"/>
        </w:rPr>
        <w:t xml:space="preserve">), a direct comparison of catalyst efficiency is hindered by the disparate catalyst quantities employed. Case 1 utilized a catalyst-to-glycerol molar ratio of </w:t>
      </w:r>
      <w:r w:rsidRPr="006D77D2">
        <w:rPr>
          <w:rFonts w:cs="Arial"/>
          <w:position w:val="-6"/>
          <w:szCs w:val="18"/>
          <w:lang w:val="en-US"/>
        </w:rPr>
        <w:object w:dxaOrig="1020" w:dyaOrig="240" w14:anchorId="4FF484F3">
          <v:shape id="_x0000_i1052" type="#_x0000_t75" style="width:51pt;height:12pt" o:ole="">
            <v:imagedata r:id="rId62" o:title=""/>
          </v:shape>
          <o:OLEObject Type="Embed" ProgID="Equation.DSMT4" ShapeID="_x0000_i1052" DrawAspect="Content" ObjectID="_1806657712" r:id="rId63"/>
        </w:object>
      </w:r>
      <w:r w:rsidRPr="006D77D2">
        <w:rPr>
          <w:rFonts w:cs="Arial"/>
          <w:bCs/>
          <w:szCs w:val="18"/>
          <w:lang w:val="en-US"/>
        </w:rPr>
        <w:t xml:space="preserve">, equivalent to 0.93 </w:t>
      </w:r>
      <w:proofErr w:type="spellStart"/>
      <w:r w:rsidRPr="006D77D2">
        <w:rPr>
          <w:rFonts w:cs="Arial"/>
          <w:bCs/>
          <w:szCs w:val="18"/>
          <w:lang w:val="en-US"/>
        </w:rPr>
        <w:t>wt</w:t>
      </w:r>
      <w:proofErr w:type="spellEnd"/>
      <w:r w:rsidRPr="006D77D2">
        <w:rPr>
          <w:rFonts w:cs="Arial"/>
          <w:bCs/>
          <w:szCs w:val="18"/>
          <w:lang w:val="en-US"/>
        </w:rPr>
        <w:t xml:space="preserve">%, whereas Case 2 employed a 3 </w:t>
      </w:r>
      <w:proofErr w:type="spellStart"/>
      <w:r w:rsidRPr="006D77D2">
        <w:rPr>
          <w:rFonts w:cs="Arial"/>
          <w:bCs/>
          <w:szCs w:val="18"/>
          <w:lang w:val="en-US"/>
        </w:rPr>
        <w:t>wt</w:t>
      </w:r>
      <w:proofErr w:type="spellEnd"/>
      <w:r w:rsidRPr="006D77D2">
        <w:rPr>
          <w:rFonts w:cs="Arial"/>
          <w:bCs/>
          <w:szCs w:val="18"/>
          <w:lang w:val="en-US"/>
        </w:rPr>
        <w:t xml:space="preserve">% catalyst dosage. It is important to highlight that a more extensive experimental dataset was available for Case 2, enabling a comprehensive parameter kinetics correlation encompassing the data presented in Figures 2b-d. In contrast, Case 1 suffered from insufficient experimental data on dimethyl carbonate feed ratio and catalyst loading, precluding a thorough investigation of their impact on reactive system performance. While </w:t>
      </w:r>
      <w:r w:rsidRPr="006D77D2">
        <w:rPr>
          <w:rFonts w:cs="Arial"/>
          <w:bCs/>
          <w:szCs w:val="18"/>
          <w:lang w:val="en-US"/>
        </w:rPr>
        <w:fldChar w:fldCharType="begin" w:fldLock="1"/>
      </w:r>
      <w:r w:rsidRPr="006D77D2">
        <w:rPr>
          <w:rFonts w:cs="Arial"/>
          <w:bCs/>
          <w:szCs w:val="18"/>
          <w:lang w:val="en-US"/>
        </w:rPr>
        <w:instrText>ADDIN CSL_CITATION {"citationItems":[{"id":"ITEM-1","itemData":{"DOI":"10.1016/j.apcata.2009.07.020","ISSN":"0926860X","abstract":"The synthesis of glycerol carbonate from glycerol and dimethyl carbonate by transesterification is reported. Firstly, a catalyst screening has been performed by studying the influence of different basic and acid homogeneous and heterogeneous catalysts on reaction results. Catalytic activity is extremely low for acidic catalysts indicating that reaction rate is very slow. On the contrary, high conversions and yields are obtained for basic catalysts. Catalytic activity increases with catalyst basic strength. The best heterogeneous catalyst is CaO. Calcination of CaO increases dramatically its activity due to calcium hydroxide removal from its surface. A reaction optimization study has been carried out with CaO as catalyst by using a factorial design of experiments leading to operation conditions for achieving a 100% conversion and a &gt;95% yield at 1.5 h reaction time: 95 °C, catalyst/glycerol molar ratio = 0.06 and dimethyl carbonate/glycerol molar ratio = 3.5. Carbonate glycerol can be easily isolated by filtering the catalyst out and evaporating the filtrate at vacuum. Leaching of catalyst in reaction medium was lower than 0.34%. Catalyst recycling leads to a quick decrease in both conversions and yields probably due to a combination of catalyst deactivation by CaO exposure to air between catalytic runs, and a decrease in the catalyst surface area available for reaction due to particle agglomeration. © 2009 Elsevier B.V. All rights reserved.","author":[{"dropping-particle":"","family":"Ochoa-Gómez","given":"José R.","non-dropping-particle":"","parse-names":false,"suffix":""},{"dropping-particle":"","family":"Gómez-Jiménez-Aberasturi","given":"Olga","non-dropping-particle":"","parse-names":false,"suffix":""},{"dropping-particle":"","family":"Maestro-Madurga","given":"Belén","non-dropping-particle":"","parse-names":false,"suffix":""},{"dropping-particle":"","family":"Pesquera-Rodríguez","given":"Amaia","non-dropping-particle":"","parse-names":false,"suffix":""},{"dropping-particle":"","family":"Ramírez-López","given":"Camilo","non-dropping-particle":"","parse-names":false,"suffix":""},{"dropping-particle":"","family":"Lorenzo-Ibarreta","given":"Leire","non-dropping-particle":"","parse-names":false,"suffix":""},{"dropping-particle":"","family":"Torrecilla-Soria","given":"Jesús","non-dropping-particle":"","parse-names":false,"suffix":""},{"dropping-particle":"","family":"Villarán-Velasco","given":"María C.","non-dropping-particle":"","parse-names":false,"suffix":""}],"container-title":"Applied Catalysis A: General","id":"ITEM-1","issue":"2","issued":{"date-parts":[["2009","9"]]},"page":"315-324","title":"Synthesis of glycerol carbonate from glycerol and dimethyl carbonate by transesterification: Catalyst screening and reaction optimization","type":"article-journal","volume":"366"},"uris":["http://www.mendeley.com/documents/?uuid=2831506e-e79e-444e-98df-771ac529bc97"]}],"mendeley":{"formattedCitation":"(Ochoa-Gómez et al. 2009)","manualFormatting":"Ochoa-Gómez et al. (2009)","plainTextFormattedCitation":"(Ochoa-Gómez et al. 2009)","previouslyFormattedCitation":"(Ochoa-Gómez et al. 2009)"},"properties":{"noteIndex":0},"schema":"https://github.com/citation-style-language/schema/raw/master/csl-citation.json"}</w:instrText>
      </w:r>
      <w:r w:rsidRPr="006D77D2">
        <w:rPr>
          <w:rFonts w:cs="Arial"/>
          <w:bCs/>
          <w:szCs w:val="18"/>
          <w:lang w:val="en-US"/>
        </w:rPr>
        <w:fldChar w:fldCharType="separate"/>
      </w:r>
      <w:r w:rsidRPr="006D77D2">
        <w:rPr>
          <w:rFonts w:cs="Arial"/>
          <w:bCs/>
          <w:noProof/>
          <w:szCs w:val="18"/>
          <w:lang w:val="en-US"/>
        </w:rPr>
        <w:t>Ochoa-Gómez et al. (2009)</w:t>
      </w:r>
      <w:r w:rsidRPr="006D77D2">
        <w:rPr>
          <w:rFonts w:cs="Arial"/>
          <w:bCs/>
          <w:szCs w:val="18"/>
          <w:lang w:val="en-US"/>
        </w:rPr>
        <w:fldChar w:fldCharType="end"/>
      </w:r>
      <w:r w:rsidRPr="006D77D2">
        <w:rPr>
          <w:rFonts w:cs="Arial"/>
          <w:bCs/>
          <w:szCs w:val="18"/>
          <w:lang w:val="en-US"/>
        </w:rPr>
        <w:t xml:space="preserve"> suggested potential mass transfer limitations within the reactive system for Case 1, this phenomenon was not considered in the present study, which focused only on the influence of temperature variation as depicted in Figure 2.</w:t>
      </w:r>
    </w:p>
    <w:p w14:paraId="63943B0A" w14:textId="77777777" w:rsidR="004B7D7A" w:rsidRPr="006D77D2" w:rsidRDefault="000739D8" w:rsidP="000739D8">
      <w:pPr>
        <w:spacing w:line="240" w:lineRule="auto"/>
        <w:rPr>
          <w:rFonts w:cs="Arial"/>
          <w:bCs/>
          <w:szCs w:val="18"/>
          <w:lang w:val="en-US"/>
        </w:rPr>
      </w:pPr>
      <w:r w:rsidRPr="006D77D2">
        <w:rPr>
          <w:rFonts w:cs="Arial"/>
          <w:bCs/>
          <w:szCs w:val="18"/>
          <w:lang w:val="en-US"/>
        </w:rPr>
        <w:t>On the other hand, Figure 2c illustrates the influence of the dimethyl carbonate to glycerol molar ratio (</w:t>
      </w:r>
      <w:r w:rsidRPr="006D77D2">
        <w:rPr>
          <w:rFonts w:cs="Arial"/>
          <w:bCs/>
          <w:szCs w:val="18"/>
          <w:lang w:val="en-US"/>
        </w:rPr>
        <w:sym w:font="Symbol" w:char="F051"/>
      </w:r>
      <w:r w:rsidRPr="006D77D2">
        <w:rPr>
          <w:rFonts w:cs="Arial"/>
          <w:bCs/>
          <w:szCs w:val="18"/>
          <w:vertAlign w:val="subscript"/>
          <w:lang w:val="en-US"/>
        </w:rPr>
        <w:t>DMC</w:t>
      </w:r>
      <w:r w:rsidRPr="006D77D2">
        <w:rPr>
          <w:rFonts w:cs="Arial"/>
          <w:bCs/>
          <w:szCs w:val="18"/>
          <w:lang w:val="en-US"/>
        </w:rPr>
        <w:t xml:space="preserve">) on glycerol conversion within Case 2. A positive correlation between </w:t>
      </w:r>
      <w:r w:rsidRPr="006D77D2">
        <w:rPr>
          <w:rFonts w:cs="Arial"/>
          <w:bCs/>
          <w:szCs w:val="18"/>
          <w:lang w:val="en-US"/>
        </w:rPr>
        <w:sym w:font="Symbol" w:char="F051"/>
      </w:r>
      <w:r w:rsidRPr="006D77D2">
        <w:rPr>
          <w:rFonts w:cs="Arial"/>
          <w:bCs/>
          <w:szCs w:val="18"/>
          <w:vertAlign w:val="subscript"/>
          <w:lang w:val="en-US"/>
        </w:rPr>
        <w:t>DMC</w:t>
      </w:r>
      <w:r w:rsidRPr="006D77D2">
        <w:rPr>
          <w:rFonts w:cs="Arial"/>
          <w:bCs/>
          <w:szCs w:val="18"/>
          <w:lang w:val="en-US"/>
        </w:rPr>
        <w:t xml:space="preserve"> and glycerol conversion is observed, suggesting that an elevated DMC concentration promotes the reaction. This observation aligns with Le Chatelier's principle, which predicts a product-favored equilibrium shift in response to increased </w:t>
      </w:r>
      <w:proofErr w:type="gramStart"/>
      <w:r w:rsidRPr="006D77D2">
        <w:rPr>
          <w:rFonts w:cs="Arial"/>
          <w:bCs/>
          <w:szCs w:val="18"/>
          <w:lang w:val="en-US"/>
        </w:rPr>
        <w:t>reactant</w:t>
      </w:r>
      <w:proofErr w:type="gramEnd"/>
      <w:r w:rsidRPr="006D77D2">
        <w:rPr>
          <w:rFonts w:cs="Arial"/>
          <w:bCs/>
          <w:szCs w:val="18"/>
          <w:lang w:val="en-US"/>
        </w:rPr>
        <w:t xml:space="preserve"> concentration. While the elementary rate law-based model exhibits a qualitative agreement with this trend, the quantitative accuracy is limited. Conversely, the non-elementary rate law demonstrates superior predictive capabilities, thus reinforcing the validity of the kinetic model.</w:t>
      </w:r>
      <w:r w:rsidR="00956906" w:rsidRPr="006D77D2">
        <w:rPr>
          <w:rFonts w:cs="Arial"/>
          <w:bCs/>
          <w:szCs w:val="18"/>
          <w:lang w:val="en-US"/>
        </w:rPr>
        <w:t xml:space="preserve"> </w:t>
      </w:r>
      <w:r w:rsidRPr="006D77D2">
        <w:rPr>
          <w:rFonts w:cs="Arial"/>
          <w:bCs/>
          <w:szCs w:val="18"/>
          <w:lang w:val="en-US"/>
        </w:rPr>
        <w:t xml:space="preserve">In addition, Figure 2d illustrates the impact of temperature on glycerol conversion for Case 2, where the catalyst dosage is 3 </w:t>
      </w:r>
      <w:proofErr w:type="spellStart"/>
      <w:r w:rsidRPr="006D77D2">
        <w:rPr>
          <w:rFonts w:cs="Arial"/>
          <w:bCs/>
          <w:szCs w:val="18"/>
          <w:lang w:val="en-US"/>
        </w:rPr>
        <w:t>wt</w:t>
      </w:r>
      <w:proofErr w:type="spellEnd"/>
      <w:r w:rsidRPr="006D77D2">
        <w:rPr>
          <w:rFonts w:cs="Arial"/>
          <w:bCs/>
          <w:szCs w:val="18"/>
          <w:lang w:val="en-US"/>
        </w:rPr>
        <w:t>% of the reaction mixture, and the molar ratio of dimethyl carbonate to glycerol (</w:t>
      </w:r>
      <w:r w:rsidRPr="006D77D2">
        <w:rPr>
          <w:rFonts w:cs="Arial"/>
          <w:bCs/>
          <w:szCs w:val="18"/>
          <w:lang w:val="en-US"/>
        </w:rPr>
        <w:sym w:font="Symbol" w:char="F051"/>
      </w:r>
      <w:r w:rsidRPr="006D77D2">
        <w:rPr>
          <w:rFonts w:cs="Arial"/>
          <w:bCs/>
          <w:szCs w:val="18"/>
          <w:vertAlign w:val="subscript"/>
          <w:lang w:val="en-US"/>
        </w:rPr>
        <w:t>DMC</w:t>
      </w:r>
      <w:r w:rsidRPr="006D77D2">
        <w:rPr>
          <w:rFonts w:cs="Arial"/>
          <w:bCs/>
          <w:szCs w:val="18"/>
          <w:lang w:val="en-US"/>
        </w:rPr>
        <w:t>) is 5. The experimental data reveals that higher temperatures enhance reaction kinetics, which is consistent with the Arrhenius approach. Both the elementary and non-elementary rate law models capture this trend qualitatively. However, the non-elementary rate law model demonstrates superior quantitative accuracy, particularly at elevated temperatures, thereby reinforcing the robustness of the kinetic model.</w:t>
      </w:r>
      <w:r w:rsidR="004B7D7A" w:rsidRPr="006D77D2">
        <w:rPr>
          <w:rFonts w:cs="Arial"/>
          <w:bCs/>
          <w:szCs w:val="18"/>
          <w:lang w:val="en-US"/>
        </w:rPr>
        <w:t xml:space="preserve"> </w:t>
      </w:r>
    </w:p>
    <w:p w14:paraId="0BD610D6" w14:textId="2B5128BA" w:rsidR="000739D8" w:rsidRPr="006D77D2" w:rsidRDefault="004B7D7A" w:rsidP="000739D8">
      <w:pPr>
        <w:spacing w:line="240" w:lineRule="auto"/>
        <w:rPr>
          <w:rFonts w:cs="Arial"/>
          <w:bCs/>
          <w:szCs w:val="18"/>
          <w:lang w:val="en-US"/>
        </w:rPr>
      </w:pPr>
      <w:r w:rsidRPr="006D77D2">
        <w:rPr>
          <w:rFonts w:cs="Arial"/>
          <w:bCs/>
          <w:szCs w:val="18"/>
          <w:lang w:val="en-US"/>
        </w:rPr>
        <w:t>Table 3 presents the ARD values for both Case 1 and Case 2, comparing the experimental data with the simulation results obtained from elementary and non-elementary kinetics. In both cases, the non-elementary kinetics exhibit lower ARD values, indicating a better fit to the experimental data compared to the elementary one. This suggests that the non-elementary rate law, which accounts for the complexities of the reaction mechanism, provides a more accurate representation of the reaction kinetics.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3"/>
      </w:tblGrid>
      <w:tr w:rsidR="00C33A8C" w:rsidRPr="006D77D2" w14:paraId="08CB9366" w14:textId="77777777" w:rsidTr="000739D8">
        <w:tc>
          <w:tcPr>
            <w:tcW w:w="4394" w:type="dxa"/>
          </w:tcPr>
          <w:p w14:paraId="610F94C3" w14:textId="77777777" w:rsidR="00874FDB" w:rsidRPr="006D77D2" w:rsidRDefault="004E2533" w:rsidP="001161E0">
            <w:pPr>
              <w:spacing w:line="240" w:lineRule="auto"/>
              <w:jc w:val="center"/>
              <w:rPr>
                <w:rFonts w:cs="Arial"/>
                <w:szCs w:val="18"/>
                <w:lang w:val="en-US"/>
              </w:rPr>
            </w:pPr>
            <w:r w:rsidRPr="006D77D2">
              <w:rPr>
                <w:rFonts w:cs="Arial"/>
                <w:noProof/>
                <w:szCs w:val="18"/>
                <w:lang w:eastAsia="es-CO"/>
              </w:rPr>
              <w:lastRenderedPageBreak/>
              <w:drawing>
                <wp:inline distT="0" distB="0" distL="0" distR="0" wp14:anchorId="6BDB05C3" wp14:editId="02C3BBFB">
                  <wp:extent cx="2520679" cy="2016000"/>
                  <wp:effectExtent l="0" t="0" r="0" b="3810"/>
                  <wp:docPr id="169028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rotWithShape="1">
                          <a:blip r:embed="rId64">
                            <a:extLst>
                              <a:ext uri="{28A0092B-C50C-407E-A947-70E740481C1C}">
                                <a14:useLocalDpi xmlns:a14="http://schemas.microsoft.com/office/drawing/2010/main" val="0"/>
                              </a:ext>
                            </a:extLst>
                          </a:blip>
                          <a:srcRect l="4099" t="5471" r="7340"/>
                          <a:stretch/>
                        </pic:blipFill>
                        <pic:spPr bwMode="auto">
                          <a:xfrm>
                            <a:off x="0" y="0"/>
                            <a:ext cx="2520679" cy="2016000"/>
                          </a:xfrm>
                          <a:prstGeom prst="rect">
                            <a:avLst/>
                          </a:prstGeom>
                          <a:noFill/>
                          <a:ln>
                            <a:noFill/>
                          </a:ln>
                          <a:extLst>
                            <a:ext uri="{53640926-AAD7-44D8-BBD7-CCE9431645EC}">
                              <a14:shadowObscured xmlns:a14="http://schemas.microsoft.com/office/drawing/2010/main"/>
                            </a:ext>
                          </a:extLst>
                        </pic:spPr>
                      </pic:pic>
                    </a:graphicData>
                  </a:graphic>
                </wp:inline>
              </w:drawing>
            </w:r>
          </w:p>
          <w:p w14:paraId="00F1B237" w14:textId="0DE031FA" w:rsidR="004E2533" w:rsidRPr="006D77D2" w:rsidRDefault="004E2533" w:rsidP="001161E0">
            <w:pPr>
              <w:spacing w:line="240" w:lineRule="auto"/>
              <w:jc w:val="center"/>
              <w:rPr>
                <w:rFonts w:cs="Arial"/>
                <w:szCs w:val="18"/>
                <w:lang w:val="en-US"/>
              </w:rPr>
            </w:pPr>
            <w:r w:rsidRPr="006D77D2">
              <w:rPr>
                <w:rFonts w:cs="Arial"/>
                <w:szCs w:val="18"/>
                <w:lang w:val="en-US"/>
              </w:rPr>
              <w:t>(a)</w:t>
            </w:r>
          </w:p>
        </w:tc>
        <w:tc>
          <w:tcPr>
            <w:tcW w:w="4393" w:type="dxa"/>
          </w:tcPr>
          <w:p w14:paraId="77DAEB83" w14:textId="77777777" w:rsidR="004E2533" w:rsidRPr="006D77D2" w:rsidRDefault="004E2533" w:rsidP="001161E0">
            <w:pPr>
              <w:spacing w:line="240" w:lineRule="auto"/>
              <w:jc w:val="center"/>
              <w:rPr>
                <w:rFonts w:cs="Arial"/>
                <w:szCs w:val="18"/>
                <w:lang w:val="en-US"/>
              </w:rPr>
            </w:pPr>
            <w:r w:rsidRPr="006D77D2">
              <w:rPr>
                <w:noProof/>
              </w:rPr>
              <w:drawing>
                <wp:inline distT="0" distB="0" distL="0" distR="0" wp14:anchorId="5B535441" wp14:editId="1CEC089F">
                  <wp:extent cx="2531156" cy="2016000"/>
                  <wp:effectExtent l="0" t="0" r="2540" b="3810"/>
                  <wp:docPr id="1531734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rotWithShape="1">
                          <a:blip r:embed="rId65">
                            <a:extLst>
                              <a:ext uri="{28A0092B-C50C-407E-A947-70E740481C1C}">
                                <a14:useLocalDpi xmlns:a14="http://schemas.microsoft.com/office/drawing/2010/main" val="0"/>
                              </a:ext>
                            </a:extLst>
                          </a:blip>
                          <a:srcRect l="3577" t="5153" r="7153"/>
                          <a:stretch/>
                        </pic:blipFill>
                        <pic:spPr bwMode="auto">
                          <a:xfrm>
                            <a:off x="0" y="0"/>
                            <a:ext cx="2531156" cy="2016000"/>
                          </a:xfrm>
                          <a:prstGeom prst="rect">
                            <a:avLst/>
                          </a:prstGeom>
                          <a:noFill/>
                          <a:ln>
                            <a:noFill/>
                          </a:ln>
                          <a:extLst>
                            <a:ext uri="{53640926-AAD7-44D8-BBD7-CCE9431645EC}">
                              <a14:shadowObscured xmlns:a14="http://schemas.microsoft.com/office/drawing/2010/main"/>
                            </a:ext>
                          </a:extLst>
                        </pic:spPr>
                      </pic:pic>
                    </a:graphicData>
                  </a:graphic>
                </wp:inline>
              </w:drawing>
            </w:r>
          </w:p>
          <w:p w14:paraId="534E9589" w14:textId="76E8E0AF" w:rsidR="006152C4" w:rsidRPr="006D77D2" w:rsidRDefault="004E2533" w:rsidP="001161E0">
            <w:pPr>
              <w:spacing w:line="240" w:lineRule="auto"/>
              <w:jc w:val="center"/>
              <w:rPr>
                <w:rFonts w:cs="Arial"/>
                <w:szCs w:val="18"/>
                <w:lang w:val="en-US"/>
              </w:rPr>
            </w:pPr>
            <w:r w:rsidRPr="006D77D2">
              <w:rPr>
                <w:rFonts w:cs="Arial"/>
                <w:szCs w:val="18"/>
                <w:lang w:val="en-US"/>
              </w:rPr>
              <w:t>(b)</w:t>
            </w:r>
          </w:p>
        </w:tc>
      </w:tr>
      <w:tr w:rsidR="00162AF1" w:rsidRPr="006D77D2" w14:paraId="41A01F57" w14:textId="77777777" w:rsidTr="000739D8">
        <w:tc>
          <w:tcPr>
            <w:tcW w:w="4394" w:type="dxa"/>
          </w:tcPr>
          <w:p w14:paraId="28899705" w14:textId="77777777" w:rsidR="004E2533" w:rsidRPr="006D77D2" w:rsidRDefault="004E2533" w:rsidP="001161E0">
            <w:pPr>
              <w:spacing w:line="240" w:lineRule="auto"/>
              <w:jc w:val="center"/>
              <w:rPr>
                <w:rFonts w:cs="Arial"/>
                <w:szCs w:val="18"/>
                <w:lang w:val="en-US"/>
              </w:rPr>
            </w:pPr>
            <w:r w:rsidRPr="006D77D2">
              <w:rPr>
                <w:noProof/>
              </w:rPr>
              <w:drawing>
                <wp:inline distT="0" distB="0" distL="0" distR="0" wp14:anchorId="03805787" wp14:editId="5EF5F732">
                  <wp:extent cx="2532193" cy="2016000"/>
                  <wp:effectExtent l="0" t="0" r="1905" b="3810"/>
                  <wp:docPr id="11604320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rotWithShape="1">
                          <a:blip r:embed="rId66">
                            <a:extLst>
                              <a:ext uri="{28A0092B-C50C-407E-A947-70E740481C1C}">
                                <a14:useLocalDpi xmlns:a14="http://schemas.microsoft.com/office/drawing/2010/main" val="0"/>
                              </a:ext>
                            </a:extLst>
                          </a:blip>
                          <a:srcRect l="2289" t="5344" r="8583"/>
                          <a:stretch/>
                        </pic:blipFill>
                        <pic:spPr bwMode="auto">
                          <a:xfrm>
                            <a:off x="0" y="0"/>
                            <a:ext cx="2532193" cy="2016000"/>
                          </a:xfrm>
                          <a:prstGeom prst="rect">
                            <a:avLst/>
                          </a:prstGeom>
                          <a:noFill/>
                          <a:ln>
                            <a:noFill/>
                          </a:ln>
                          <a:extLst>
                            <a:ext uri="{53640926-AAD7-44D8-BBD7-CCE9431645EC}">
                              <a14:shadowObscured xmlns:a14="http://schemas.microsoft.com/office/drawing/2010/main"/>
                            </a:ext>
                          </a:extLst>
                        </pic:spPr>
                      </pic:pic>
                    </a:graphicData>
                  </a:graphic>
                </wp:inline>
              </w:drawing>
            </w:r>
          </w:p>
          <w:p w14:paraId="45FFE471" w14:textId="015EB186" w:rsidR="00162AF1" w:rsidRPr="006D77D2" w:rsidRDefault="004E2533" w:rsidP="001161E0">
            <w:pPr>
              <w:spacing w:line="240" w:lineRule="auto"/>
              <w:jc w:val="center"/>
              <w:rPr>
                <w:rFonts w:cs="Arial"/>
                <w:szCs w:val="18"/>
                <w:lang w:val="en-US"/>
              </w:rPr>
            </w:pPr>
            <w:r w:rsidRPr="006D77D2">
              <w:rPr>
                <w:rFonts w:cs="Arial"/>
                <w:szCs w:val="18"/>
                <w:lang w:val="en-US"/>
              </w:rPr>
              <w:t>(c)</w:t>
            </w:r>
          </w:p>
        </w:tc>
        <w:tc>
          <w:tcPr>
            <w:tcW w:w="4393" w:type="dxa"/>
          </w:tcPr>
          <w:p w14:paraId="08E9528D" w14:textId="3C7A5948" w:rsidR="004E2533" w:rsidRPr="006D77D2" w:rsidRDefault="004E2533" w:rsidP="001161E0">
            <w:pPr>
              <w:spacing w:line="240" w:lineRule="auto"/>
              <w:jc w:val="center"/>
              <w:rPr>
                <w:rFonts w:cs="Arial"/>
                <w:szCs w:val="18"/>
                <w:lang w:val="en-US"/>
              </w:rPr>
            </w:pPr>
            <w:r w:rsidRPr="006D77D2">
              <w:rPr>
                <w:noProof/>
              </w:rPr>
              <w:drawing>
                <wp:inline distT="0" distB="0" distL="0" distR="0" wp14:anchorId="15F37284" wp14:editId="1B0184BC">
                  <wp:extent cx="2531156" cy="2016000"/>
                  <wp:effectExtent l="0" t="0" r="2540" b="3810"/>
                  <wp:docPr id="12097627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rotWithShape="1">
                          <a:blip r:embed="rId67">
                            <a:extLst>
                              <a:ext uri="{28A0092B-C50C-407E-A947-70E740481C1C}">
                                <a14:useLocalDpi xmlns:a14="http://schemas.microsoft.com/office/drawing/2010/main" val="0"/>
                              </a:ext>
                            </a:extLst>
                          </a:blip>
                          <a:srcRect l="2289" t="5153" r="8440"/>
                          <a:stretch/>
                        </pic:blipFill>
                        <pic:spPr bwMode="auto">
                          <a:xfrm>
                            <a:off x="0" y="0"/>
                            <a:ext cx="2531156" cy="2016000"/>
                          </a:xfrm>
                          <a:prstGeom prst="rect">
                            <a:avLst/>
                          </a:prstGeom>
                          <a:noFill/>
                          <a:ln>
                            <a:noFill/>
                          </a:ln>
                          <a:extLst>
                            <a:ext uri="{53640926-AAD7-44D8-BBD7-CCE9431645EC}">
                              <a14:shadowObscured xmlns:a14="http://schemas.microsoft.com/office/drawing/2010/main"/>
                            </a:ext>
                          </a:extLst>
                        </pic:spPr>
                      </pic:pic>
                    </a:graphicData>
                  </a:graphic>
                </wp:inline>
              </w:drawing>
            </w:r>
          </w:p>
          <w:p w14:paraId="7AC3B914" w14:textId="7AC23E9F" w:rsidR="00162AF1" w:rsidRPr="006D77D2" w:rsidRDefault="00162AF1" w:rsidP="001161E0">
            <w:pPr>
              <w:spacing w:line="240" w:lineRule="auto"/>
              <w:jc w:val="center"/>
              <w:rPr>
                <w:rFonts w:cs="Arial"/>
                <w:szCs w:val="18"/>
                <w:lang w:val="en-US"/>
              </w:rPr>
            </w:pPr>
            <w:r w:rsidRPr="006D77D2">
              <w:rPr>
                <w:rFonts w:cs="Arial"/>
                <w:szCs w:val="18"/>
                <w:lang w:val="en-US"/>
              </w:rPr>
              <w:t>(</w:t>
            </w:r>
            <w:r w:rsidR="004E2533" w:rsidRPr="006D77D2">
              <w:rPr>
                <w:rFonts w:cs="Arial"/>
                <w:szCs w:val="18"/>
                <w:lang w:val="en-US"/>
              </w:rPr>
              <w:t>d</w:t>
            </w:r>
            <w:r w:rsidRPr="006D77D2">
              <w:rPr>
                <w:rFonts w:cs="Arial"/>
                <w:szCs w:val="18"/>
                <w:lang w:val="en-US"/>
              </w:rPr>
              <w:t>)</w:t>
            </w:r>
          </w:p>
        </w:tc>
      </w:tr>
    </w:tbl>
    <w:p w14:paraId="407A2F5E" w14:textId="61AB16ED" w:rsidR="00F9212D" w:rsidRPr="006D77D2" w:rsidRDefault="003047A3" w:rsidP="00FC5A9E">
      <w:pPr>
        <w:spacing w:line="240" w:lineRule="auto"/>
        <w:rPr>
          <w:rFonts w:cs="Arial"/>
          <w:szCs w:val="18"/>
        </w:rPr>
      </w:pPr>
      <w:r w:rsidRPr="006D77D2">
        <w:rPr>
          <w:rFonts w:cs="Arial"/>
          <w:szCs w:val="18"/>
          <w:lang w:val="en-US"/>
        </w:rPr>
        <w:t xml:space="preserve">Figure </w:t>
      </w:r>
      <w:r w:rsidRPr="006D77D2">
        <w:rPr>
          <w:rFonts w:cs="Arial"/>
          <w:szCs w:val="18"/>
        </w:rPr>
        <w:fldChar w:fldCharType="begin"/>
      </w:r>
      <w:r w:rsidRPr="006D77D2">
        <w:rPr>
          <w:rFonts w:cs="Arial"/>
          <w:szCs w:val="18"/>
          <w:lang w:val="en-US"/>
        </w:rPr>
        <w:instrText xml:space="preserve"> SEQ Figure \* ARABIC </w:instrText>
      </w:r>
      <w:r w:rsidRPr="006D77D2">
        <w:rPr>
          <w:rFonts w:cs="Arial"/>
          <w:szCs w:val="18"/>
        </w:rPr>
        <w:fldChar w:fldCharType="separate"/>
      </w:r>
      <w:r w:rsidR="00F071B1" w:rsidRPr="006D77D2">
        <w:rPr>
          <w:rFonts w:cs="Arial"/>
          <w:noProof/>
          <w:szCs w:val="18"/>
          <w:lang w:val="en-US"/>
        </w:rPr>
        <w:t>2</w:t>
      </w:r>
      <w:r w:rsidRPr="006D77D2">
        <w:rPr>
          <w:rFonts w:cs="Arial"/>
          <w:szCs w:val="18"/>
        </w:rPr>
        <w:fldChar w:fldCharType="end"/>
      </w:r>
      <w:r w:rsidR="00FC5A9E" w:rsidRPr="006D77D2">
        <w:rPr>
          <w:rFonts w:cs="Arial"/>
          <w:szCs w:val="18"/>
          <w:lang w:val="en-US"/>
        </w:rPr>
        <w:t>:</w:t>
      </w:r>
      <w:r w:rsidRPr="006D77D2">
        <w:rPr>
          <w:rFonts w:cs="Arial"/>
          <w:szCs w:val="18"/>
          <w:lang w:val="en-US"/>
        </w:rPr>
        <w:t xml:space="preserve"> Experimental data and mathematical modeling of the kinetic parameter adjustment for the synthesis of glycerol carbonate from glycerol and dimethyl carbonate (elementary and non-elementary reaction rate law)</w:t>
      </w:r>
      <w:r w:rsidR="001762F2" w:rsidRPr="006D77D2">
        <w:rPr>
          <w:rFonts w:cs="Arial"/>
          <w:szCs w:val="18"/>
          <w:lang w:val="en-US"/>
        </w:rPr>
        <w:t>.</w:t>
      </w:r>
      <w:r w:rsidR="00A366DD" w:rsidRPr="006D77D2">
        <w:rPr>
          <w:rFonts w:cs="Arial"/>
          <w:szCs w:val="18"/>
          <w:lang w:val="en-US"/>
        </w:rPr>
        <w:t xml:space="preserve"> Case 1 (a) at 363.15 K and 348.15 K, for all cases,</w:t>
      </w:r>
      <w:r w:rsidR="00AF385B" w:rsidRPr="006D77D2">
        <w:rPr>
          <w:rFonts w:cs="Arial"/>
          <w:szCs w:val="18"/>
          <w:lang w:val="en-US"/>
        </w:rPr>
        <w:t xml:space="preserve"> </w:t>
      </w:r>
      <w:r w:rsidR="00DA67AA" w:rsidRPr="006D77D2">
        <w:rPr>
          <w:rFonts w:cs="Arial"/>
          <w:position w:val="-6"/>
          <w:szCs w:val="18"/>
          <w:lang w:val="en-US"/>
        </w:rPr>
        <w:object w:dxaOrig="760" w:dyaOrig="240" w14:anchorId="5FA30163">
          <v:shape id="_x0000_i1053" type="#_x0000_t75" style="width:37.5pt;height:12pt" o:ole="">
            <v:imagedata r:id="rId68" o:title=""/>
          </v:shape>
          <o:OLEObject Type="Embed" ProgID="Equation.DSMT4" ShapeID="_x0000_i1053" DrawAspect="Content" ObjectID="_1806657713" r:id="rId69"/>
        </w:object>
      </w:r>
      <w:r w:rsidR="00A366DD" w:rsidRPr="006D77D2">
        <w:rPr>
          <w:rFonts w:cs="Arial"/>
          <w:szCs w:val="18"/>
          <w:lang w:val="en-US"/>
        </w:rPr>
        <w:t xml:space="preserve"> and </w:t>
      </w:r>
      <w:r w:rsidR="00AF385B" w:rsidRPr="006D77D2">
        <w:rPr>
          <w:rFonts w:cs="Arial"/>
          <w:position w:val="-10"/>
          <w:szCs w:val="18"/>
          <w:lang w:val="en-US"/>
        </w:rPr>
        <w:object w:dxaOrig="760" w:dyaOrig="300" w14:anchorId="277D74FF">
          <v:shape id="_x0000_i1054" type="#_x0000_t75" style="width:37.5pt;height:16pt" o:ole="">
            <v:imagedata r:id="rId51" o:title=""/>
          </v:shape>
          <o:OLEObject Type="Embed" ProgID="Equation.DSMT4" ShapeID="_x0000_i1054" DrawAspect="Content" ObjectID="_1806657714" r:id="rId70"/>
        </w:object>
      </w:r>
      <w:r w:rsidR="00A366DD" w:rsidRPr="006D77D2">
        <w:rPr>
          <w:rFonts w:cs="Arial"/>
          <w:szCs w:val="18"/>
          <w:lang w:val="en-US"/>
        </w:rPr>
        <w:t xml:space="preserve"> </w:t>
      </w:r>
      <w:r w:rsidR="00A366DD" w:rsidRPr="006D77D2">
        <w:rPr>
          <w:rFonts w:cs="Arial"/>
          <w:szCs w:val="18"/>
        </w:rPr>
        <w:fldChar w:fldCharType="begin" w:fldLock="1"/>
      </w:r>
      <w:r w:rsidR="00A366DD" w:rsidRPr="006D77D2">
        <w:rPr>
          <w:rFonts w:cs="Arial"/>
          <w:szCs w:val="18"/>
          <w:lang w:val="en-US"/>
        </w:rPr>
        <w:instrText>ADDIN CSL_CITATION {"citationItems":[{"id":"ITEM-1","itemData":{"DOI":"10.1016/j.apcata.2009.07.020","ISSN":"0926860X","abstract":"The synthesis of glycerol carbonate from glycerol and dimethyl carbonate by transesterification is reported. Firstly, a catalyst screening has been performed by studying the influence of different basic and acid homogeneous and heterogeneous catalysts on reaction results. Catalytic activity is extremely low for acidic catalysts indicating that reaction rate is very slow. On the contrary, high conversions and yields are obtained for basic catalysts. Catalytic activity increases with catalyst basic strength. The best heterogeneous catalyst is CaO. Calcination of CaO increases dramatically its activity due to calcium hydroxide removal from its surface. A reaction optimization study has been carried out with CaO as catalyst by using a factorial design of experiments leading to operation conditions for achieving a 100% conversion and a &gt;95% yield at 1.5 h reaction time: 95 °C, catalyst/glycerol molar ratio = 0.06 and dimethyl carbonate/glycerol molar ratio = 3.5. Carbonate glycerol can be easily isolated by filtering the catalyst out and evaporating the filtrate at vacuum. Leaching of catalyst in reaction medium was lower than 0.34%. Catalyst recycling leads to a quick decrease in both conversions and yields probably due to a combination of catalyst deactivation by CaO exposure to air between catalytic runs, and a decrease in the catalyst surface area available for reaction due to particle agglomeration. © 2009 Elsevier B.V. All rights reserved.","author":[{"dropping-particle":"","family":"Ochoa-Gómez","given":"José R.","non-dropping-particle":"","parse-names":false,"suffix":""},{"dropping-particle":"","family":"Gómez-Jiménez-Aberasturi","given":"Olga","non-dropping-particle":"","parse-names":false,"suffix":""},{"dropping-particle":"","family":"Maestro-Madurga","given":"Belén","non-dropping-particle":"","parse-names":false,"suffix":""},{"dropping-particle":"","family":"Pesquera-Rodríguez","given":"Amaia","non-dropping-particle":"","parse-names":false,"suffix":""},{"dropping-particle":"","family":"Ramírez-López","given":"Camilo","non-dropping-particle":"","parse-names":false,"suffix":""},{"dropping-particle":"","family":"Lorenzo-Ibarreta","given":"Leire","non-dropping-particle":"","parse-names":false,"suffix":""},{"dropping-particle":"","family":"Torrecilla-Soria","given":"Jesús","non-dropping-particle":"","parse-names":false,"suffix":""},{"dropping-particle":"","family":"Villarán-Velasco","given":"María C.","non-dropping-particle":"","parse-names":false,"suffix":""}],"container-title":"Applied Catalysis A: General","id":"ITEM-1","issue":"2","issued":{"date-parts":[["2009","9"]]},"page":"315-324","title":"Synthesis of glycerol carbonate from glycerol and dimethyl carbonate by transesterification: Catalyst screening and reaction optimization","type":"article-journal","volume":"366"},"uris":["http://www.mendeley.com/documents/?uuid=2831506e-e79e-444e-98df-771ac529bc97"]}],"mendeley":{"formattedCitation":"(Ochoa-Gómez et al. 2009)","plainTextFormattedCitation":"(Ochoa-Gómez et al. 2009)","previouslyFormattedCitation":"(Ochoa-Gómez et al. 2009)"},"properties":{"noteIndex":0},"schema":"https://github.com/citation-style-language/schema/raw/master/csl-citation.json"}</w:instrText>
      </w:r>
      <w:r w:rsidR="00A366DD" w:rsidRPr="006D77D2">
        <w:rPr>
          <w:rFonts w:cs="Arial"/>
          <w:szCs w:val="18"/>
        </w:rPr>
        <w:fldChar w:fldCharType="separate"/>
      </w:r>
      <w:r w:rsidR="00A366DD" w:rsidRPr="006D77D2">
        <w:rPr>
          <w:rFonts w:cs="Arial"/>
          <w:noProof/>
          <w:szCs w:val="18"/>
          <w:lang w:val="en-US"/>
        </w:rPr>
        <w:t>(Ochoa-Gómez et al. 2009)</w:t>
      </w:r>
      <w:r w:rsidR="00A366DD" w:rsidRPr="006D77D2">
        <w:rPr>
          <w:rFonts w:cs="Arial"/>
          <w:szCs w:val="18"/>
        </w:rPr>
        <w:fldChar w:fldCharType="end"/>
      </w:r>
      <w:r w:rsidR="001762F2" w:rsidRPr="006D77D2">
        <w:rPr>
          <w:rFonts w:cs="Arial"/>
          <w:szCs w:val="18"/>
        </w:rPr>
        <w:t>; Case 2</w:t>
      </w:r>
      <w:r w:rsidR="00A366DD" w:rsidRPr="006D77D2">
        <w:rPr>
          <w:rFonts w:cs="Arial"/>
          <w:szCs w:val="18"/>
          <w:lang w:val="en-US"/>
        </w:rPr>
        <w:t xml:space="preserve"> </w:t>
      </w:r>
      <w:r w:rsidR="00B6142B" w:rsidRPr="006D77D2">
        <w:rPr>
          <w:rFonts w:cs="Arial"/>
          <w:szCs w:val="18"/>
          <w:lang w:val="en-US"/>
        </w:rPr>
        <w:t>(</w:t>
      </w:r>
      <w:r w:rsidR="001762F2" w:rsidRPr="006D77D2">
        <w:rPr>
          <w:rFonts w:cs="Arial"/>
          <w:szCs w:val="18"/>
          <w:lang w:val="en-US"/>
        </w:rPr>
        <w:t>b</w:t>
      </w:r>
      <w:r w:rsidR="00B6142B" w:rsidRPr="006D77D2">
        <w:rPr>
          <w:rFonts w:cs="Arial"/>
          <w:szCs w:val="18"/>
          <w:lang w:val="en-US"/>
        </w:rPr>
        <w:t xml:space="preserve">) </w:t>
      </w:r>
      <w:r w:rsidR="001762F2" w:rsidRPr="006D77D2">
        <w:rPr>
          <w:rFonts w:cs="Arial"/>
          <w:szCs w:val="18"/>
          <w:lang w:val="en-US"/>
        </w:rPr>
        <w:t xml:space="preserve">at </w:t>
      </w:r>
      <w:r w:rsidRPr="006D77D2">
        <w:rPr>
          <w:rFonts w:cs="Arial"/>
          <w:szCs w:val="18"/>
          <w:lang w:val="en-US"/>
        </w:rPr>
        <w:t>348.15 K</w:t>
      </w:r>
      <w:r w:rsidR="00B6142B" w:rsidRPr="006D77D2">
        <w:rPr>
          <w:rFonts w:cs="Arial"/>
          <w:szCs w:val="18"/>
          <w:lang w:val="en-US"/>
        </w:rPr>
        <w:t xml:space="preserve">, 3%wt catalyst dosage </w:t>
      </w:r>
      <w:r w:rsidR="00621E72" w:rsidRPr="006D77D2">
        <w:rPr>
          <w:rFonts w:cs="Arial"/>
          <w:szCs w:val="18"/>
          <w:lang w:val="en-US"/>
        </w:rPr>
        <w:t xml:space="preserve">and </w:t>
      </w:r>
      <w:r w:rsidR="00AF385B" w:rsidRPr="006D77D2">
        <w:rPr>
          <w:rFonts w:cs="Arial"/>
          <w:position w:val="-10"/>
          <w:szCs w:val="18"/>
          <w:lang w:val="en-US"/>
        </w:rPr>
        <w:object w:dxaOrig="760" w:dyaOrig="300" w14:anchorId="10E357E9">
          <v:shape id="_x0000_i1055" type="#_x0000_t75" style="width:37.5pt;height:16pt" o:ole="">
            <v:imagedata r:id="rId71" o:title=""/>
          </v:shape>
          <o:OLEObject Type="Embed" ProgID="Equation.DSMT4" ShapeID="_x0000_i1055" DrawAspect="Content" ObjectID="_1806657715" r:id="rId72"/>
        </w:object>
      </w:r>
      <w:r w:rsidR="00B6142B" w:rsidRPr="006D77D2">
        <w:rPr>
          <w:rFonts w:cs="Arial"/>
          <w:szCs w:val="18"/>
          <w:lang w:val="en-US"/>
        </w:rPr>
        <w:t>, (</w:t>
      </w:r>
      <w:r w:rsidR="001762F2" w:rsidRPr="006D77D2">
        <w:rPr>
          <w:rFonts w:cs="Arial"/>
          <w:szCs w:val="18"/>
          <w:lang w:val="en-US"/>
        </w:rPr>
        <w:t>c</w:t>
      </w:r>
      <w:r w:rsidR="00B6142B" w:rsidRPr="006D77D2">
        <w:rPr>
          <w:rFonts w:cs="Arial"/>
          <w:szCs w:val="18"/>
          <w:lang w:val="en-US"/>
        </w:rPr>
        <w:t>)</w:t>
      </w:r>
      <w:r w:rsidR="001762F2" w:rsidRPr="006D77D2">
        <w:rPr>
          <w:rFonts w:cs="Arial"/>
          <w:szCs w:val="18"/>
          <w:lang w:val="en-US"/>
        </w:rPr>
        <w:t xml:space="preserve"> at</w:t>
      </w:r>
      <w:r w:rsidR="00B6142B" w:rsidRPr="006D77D2">
        <w:rPr>
          <w:rFonts w:cs="Arial"/>
          <w:szCs w:val="18"/>
          <w:lang w:val="en-US"/>
        </w:rPr>
        <w:t xml:space="preserve"> </w:t>
      </w:r>
      <w:bookmarkStart w:id="14" w:name="_Hlk173225634"/>
      <w:r w:rsidR="00A11DF6" w:rsidRPr="006D77D2">
        <w:rPr>
          <w:rFonts w:cs="Arial"/>
          <w:szCs w:val="18"/>
          <w:lang w:val="en-US"/>
        </w:rPr>
        <w:t>348.15 K, 3%wt catalyst dosage and 90 min of reaction time</w:t>
      </w:r>
      <w:r w:rsidR="001762F2" w:rsidRPr="006D77D2">
        <w:rPr>
          <w:rFonts w:cs="Arial"/>
          <w:szCs w:val="18"/>
          <w:lang w:val="en-US"/>
        </w:rPr>
        <w:t xml:space="preserve"> and </w:t>
      </w:r>
      <w:r w:rsidR="00A11DF6" w:rsidRPr="006D77D2">
        <w:rPr>
          <w:rFonts w:cs="Arial"/>
          <w:szCs w:val="18"/>
          <w:lang w:val="en-US"/>
        </w:rPr>
        <w:t>(</w:t>
      </w:r>
      <w:r w:rsidR="001762F2" w:rsidRPr="006D77D2">
        <w:rPr>
          <w:rFonts w:cs="Arial"/>
          <w:szCs w:val="18"/>
          <w:lang w:val="en-US"/>
        </w:rPr>
        <w:t>d</w:t>
      </w:r>
      <w:r w:rsidR="00A11DF6" w:rsidRPr="006D77D2">
        <w:rPr>
          <w:rFonts w:cs="Arial"/>
          <w:szCs w:val="18"/>
          <w:lang w:val="en-US"/>
        </w:rPr>
        <w:t>)</w:t>
      </w:r>
      <w:r w:rsidR="00890846" w:rsidRPr="006D77D2">
        <w:rPr>
          <w:rFonts w:cs="Arial"/>
          <w:szCs w:val="18"/>
          <w:lang w:val="en-US"/>
        </w:rPr>
        <w:t xml:space="preserve"> </w:t>
      </w:r>
      <w:r w:rsidR="001762F2" w:rsidRPr="006D77D2">
        <w:rPr>
          <w:rFonts w:cs="Arial"/>
          <w:szCs w:val="18"/>
          <w:lang w:val="en-US"/>
        </w:rPr>
        <w:t xml:space="preserve">at </w:t>
      </w:r>
      <w:r w:rsidR="00042690" w:rsidRPr="006D77D2">
        <w:rPr>
          <w:rFonts w:cs="Arial"/>
          <w:position w:val="-10"/>
          <w:szCs w:val="18"/>
          <w:lang w:val="en-US"/>
        </w:rPr>
        <w:object w:dxaOrig="760" w:dyaOrig="300" w14:anchorId="6A2CC8E6">
          <v:shape id="_x0000_i1056" type="#_x0000_t75" style="width:37.5pt;height:16pt" o:ole="">
            <v:imagedata r:id="rId73" o:title=""/>
          </v:shape>
          <o:OLEObject Type="Embed" ProgID="Equation.DSMT4" ShapeID="_x0000_i1056" DrawAspect="Content" ObjectID="_1806657716" r:id="rId74"/>
        </w:object>
      </w:r>
      <w:r w:rsidR="00890846" w:rsidRPr="006D77D2">
        <w:rPr>
          <w:rFonts w:cs="Arial"/>
          <w:szCs w:val="18"/>
          <w:lang w:val="en-US"/>
        </w:rPr>
        <w:t>, 3%wt catalyst dosage and 90 min of reaction time</w:t>
      </w:r>
      <w:r w:rsidRPr="006D77D2">
        <w:rPr>
          <w:rFonts w:cs="Arial"/>
          <w:szCs w:val="18"/>
          <w:lang w:val="en-US"/>
        </w:rPr>
        <w:t xml:space="preserve"> </w:t>
      </w:r>
      <w:bookmarkEnd w:id="14"/>
      <w:r w:rsidRPr="006D77D2">
        <w:rPr>
          <w:rFonts w:cs="Arial"/>
          <w:szCs w:val="18"/>
        </w:rPr>
        <w:fldChar w:fldCharType="begin" w:fldLock="1"/>
      </w:r>
      <w:r w:rsidR="00D711BA" w:rsidRPr="006D77D2">
        <w:rPr>
          <w:rFonts w:cs="Arial"/>
          <w:szCs w:val="18"/>
          <w:lang w:val="en-US"/>
        </w:rPr>
        <w:instrText>ADDIN CSL_CITATION {"citationItems":[{"id":"ITEM-1","itemData":{"DOI":"10.1155/2021/9300442","ISSN":"1687-9430","abstract":"Na2CO3 was loaded onto waste carbide slag (CS) by impregnation-calcination method to prepare the solid base catalyst, which was used to synthesize glycerol carbonate (GC) by the transesterification of glycerol with dimethyl carbonate (DMC). The prepared catalysts were characterized by a scanning electron microscope (SEM), thermogravimetric analysis (TGA), X-ray diffraction (XRD), Fourier transform infrared spectroscopy (FTIR), and Brunner−Emmet−Teller (BET) techniques. The catalyst 15 wt.% Na2CO3-CS-800, which was prepared by impregnating CS to the Na2CO3 solution with the concentration of 15 wt.% weight of CS and calcined at 800°C for 3 hours, showed an excellent catalytic ability. When it was applied in the catalytic synthesis of GC, 98.1% glycerol conversion and 96.0% GC yield were achieved in 90 mins at 75°C with the catalyst dosage of 3 wt.% to total reactants and the DMC to glycerol molar ratio of 5. More importantly, the loading of Na2CO3 can effectively improve the reusability of catalyst. The 15 wt.% Na2CO3-CS-800 can still achieve 83.6% glycerol conversion and 80.5% GC yield after five-time reuse. Meanwhile, under the same reaction conditions, the CS-800, which was obtained by calcining CS at 800°C for 3 hours, experienced significant activity reduction with only 15.2% glycerol conversion and 14.1% GC yield after five-time reuse. FTIR and XRD characterization revealed that CO32- might play a key role in preserving active catalytic CaO component by forming protective CaCO3 shell on the catalyst surface.","author":[{"dropping-particle":"","family":"Wang","given":"Jianye","non-dropping-particle":"","parse-names":false,"suffix":""},{"dropping-particle":"","family":"Wang","given":"Zhu","non-dropping-particle":"","parse-names":false,"suffix":""},{"dropping-particle":"","family":"Liu","given":"Haifeng","non-dropping-particle":"","parse-names":false,"suffix":""},{"dropping-particle":"","family":"Wang","given":"Song","non-dropping-particle":"","parse-names":false,"suffix":""},{"dropping-particle":"","family":"Sun","given":"Yifeng","non-dropping-particle":"","parse-names":false,"suffix":""}],"container-title":"International Journal of Polymer Science","editor":[{"dropping-particle":"","family":"Perez","given":"Victor Haber","non-dropping-particle":"","parse-names":false,"suffix":""}],"id":"ITEM-1","issue":"i","issued":{"date-parts":[["2021","12","7"]]},"page":"1-14","title":"Synthesis of Glycerol Carbonate from Glycerol and Dimethyl Carbonate Catalyzed by Solid Base Catalyst Derived from Waste Carbide Slag","type":"article-journal","volume":"2021"},"uris":["http://www.mendeley.com/documents/?uuid=e2144d7a-6d74-4546-97e4-f4cbe2fd6ca3"]}],"mendeley":{"formattedCitation":"(Wang et al. 2021)","plainTextFormattedCitation":"(Wang et al. 2021)","previouslyFormattedCitation":"(Wang et al. 2021)"},"properties":{"noteIndex":0},"schema":"https://github.com/citation-style-language/schema/raw/master/csl-citation.json"}</w:instrText>
      </w:r>
      <w:r w:rsidRPr="006D77D2">
        <w:rPr>
          <w:rFonts w:cs="Arial"/>
          <w:szCs w:val="18"/>
        </w:rPr>
        <w:fldChar w:fldCharType="separate"/>
      </w:r>
      <w:r w:rsidR="00B86355" w:rsidRPr="006D77D2">
        <w:rPr>
          <w:rFonts w:cs="Arial"/>
          <w:noProof/>
          <w:szCs w:val="18"/>
          <w:lang w:val="en-US"/>
        </w:rPr>
        <w:t>(Wang et al. 2021)</w:t>
      </w:r>
      <w:r w:rsidRPr="006D77D2">
        <w:rPr>
          <w:rFonts w:cs="Arial"/>
          <w:szCs w:val="18"/>
        </w:rPr>
        <w:fldChar w:fldCharType="end"/>
      </w:r>
    </w:p>
    <w:p w14:paraId="68B7A5E0" w14:textId="77777777" w:rsidR="00564E47" w:rsidRPr="006D77D2" w:rsidRDefault="00564E47" w:rsidP="00FC5A9E">
      <w:pPr>
        <w:spacing w:line="240" w:lineRule="auto"/>
        <w:rPr>
          <w:rFonts w:cs="Arial"/>
          <w:szCs w:val="18"/>
        </w:rPr>
      </w:pPr>
    </w:p>
    <w:p w14:paraId="186C7D22" w14:textId="61D1805B" w:rsidR="00765723" w:rsidRPr="006D77D2" w:rsidRDefault="00F9212D" w:rsidP="00FC5A9E">
      <w:pPr>
        <w:spacing w:line="240" w:lineRule="auto"/>
        <w:rPr>
          <w:rFonts w:cs="Arial"/>
          <w:szCs w:val="18"/>
        </w:rPr>
      </w:pPr>
      <w:r w:rsidRPr="006D77D2">
        <w:rPr>
          <w:rFonts w:cs="Arial"/>
          <w:lang w:val="en-US"/>
        </w:rPr>
        <w:t xml:space="preserve">Table </w:t>
      </w:r>
      <w:r w:rsidRPr="006D77D2">
        <w:rPr>
          <w:rFonts w:cs="Arial"/>
        </w:rPr>
        <w:fldChar w:fldCharType="begin"/>
      </w:r>
      <w:r w:rsidRPr="006D77D2">
        <w:rPr>
          <w:rFonts w:cs="Arial"/>
          <w:lang w:val="en-US"/>
        </w:rPr>
        <w:instrText xml:space="preserve"> SEQ Table \* ARABIC </w:instrText>
      </w:r>
      <w:r w:rsidRPr="006D77D2">
        <w:rPr>
          <w:rFonts w:cs="Arial"/>
        </w:rPr>
        <w:fldChar w:fldCharType="separate"/>
      </w:r>
      <w:r w:rsidRPr="006D77D2">
        <w:rPr>
          <w:rFonts w:cs="Arial"/>
          <w:noProof/>
          <w:lang w:val="en-US"/>
        </w:rPr>
        <w:t>3</w:t>
      </w:r>
      <w:r w:rsidRPr="006D77D2">
        <w:rPr>
          <w:rFonts w:cs="Arial"/>
        </w:rPr>
        <w:fldChar w:fldCharType="end"/>
      </w:r>
      <w:r w:rsidRPr="006D77D2">
        <w:rPr>
          <w:rFonts w:cs="Arial"/>
          <w:lang w:val="en-US"/>
        </w:rPr>
        <w:t xml:space="preserve">: ARD evaluation </w:t>
      </w:r>
      <w:r w:rsidR="00D45ADD" w:rsidRPr="006D77D2">
        <w:rPr>
          <w:rFonts w:cs="Arial"/>
          <w:lang w:val="en-US"/>
        </w:rPr>
        <w:t>for</w:t>
      </w:r>
      <w:r w:rsidRPr="006D77D2">
        <w:rPr>
          <w:rFonts w:cs="Arial"/>
          <w:lang w:val="en-US"/>
        </w:rPr>
        <w:t xml:space="preserve"> elementary and non-elementary kinetics simulation</w:t>
      </w:r>
      <w:r w:rsidR="00A929FB" w:rsidRPr="006D77D2">
        <w:rPr>
          <w:rFonts w:cs="Arial"/>
          <w:lang w:val="en-US"/>
        </w:rPr>
        <w: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31"/>
        <w:gridCol w:w="671"/>
        <w:gridCol w:w="1134"/>
      </w:tblGrid>
      <w:tr w:rsidR="00547109" w:rsidRPr="006D77D2" w14:paraId="2A3F6873" w14:textId="77777777" w:rsidTr="00815774">
        <w:tc>
          <w:tcPr>
            <w:tcW w:w="2031" w:type="dxa"/>
            <w:tcBorders>
              <w:top w:val="single" w:sz="12" w:space="0" w:color="008000"/>
              <w:bottom w:val="single" w:sz="6" w:space="0" w:color="008000"/>
            </w:tcBorders>
            <w:shd w:val="clear" w:color="auto" w:fill="FFFFFF"/>
          </w:tcPr>
          <w:p w14:paraId="14D46174" w14:textId="3B0D40F7" w:rsidR="00547109" w:rsidRPr="006D77D2" w:rsidRDefault="00547109" w:rsidP="00547109">
            <w:pPr>
              <w:pStyle w:val="CETBodytext"/>
              <w:rPr>
                <w:lang w:val="en-GB"/>
              </w:rPr>
            </w:pPr>
            <w:r w:rsidRPr="006D77D2">
              <w:rPr>
                <w:rFonts w:cs="Arial"/>
                <w:szCs w:val="18"/>
              </w:rPr>
              <w:t>ARD (%)</w:t>
            </w:r>
          </w:p>
        </w:tc>
        <w:tc>
          <w:tcPr>
            <w:tcW w:w="671" w:type="dxa"/>
            <w:tcBorders>
              <w:top w:val="single" w:sz="12" w:space="0" w:color="008000"/>
              <w:bottom w:val="single" w:sz="6" w:space="0" w:color="008000"/>
            </w:tcBorders>
            <w:shd w:val="clear" w:color="auto" w:fill="FFFFFF"/>
          </w:tcPr>
          <w:p w14:paraId="32AB5863" w14:textId="4A9DE5BA" w:rsidR="00547109" w:rsidRPr="006D77D2" w:rsidRDefault="00547109" w:rsidP="00547109">
            <w:pPr>
              <w:pStyle w:val="CETBodytext"/>
              <w:rPr>
                <w:lang w:val="en-GB"/>
              </w:rPr>
            </w:pPr>
            <w:r w:rsidRPr="006D77D2">
              <w:rPr>
                <w:rFonts w:cs="Arial"/>
                <w:szCs w:val="18"/>
              </w:rPr>
              <w:t>Case 1</w:t>
            </w:r>
          </w:p>
        </w:tc>
        <w:tc>
          <w:tcPr>
            <w:tcW w:w="1134" w:type="dxa"/>
            <w:tcBorders>
              <w:top w:val="single" w:sz="12" w:space="0" w:color="008000"/>
              <w:bottom w:val="single" w:sz="6" w:space="0" w:color="008000"/>
            </w:tcBorders>
            <w:shd w:val="clear" w:color="auto" w:fill="FFFFFF"/>
          </w:tcPr>
          <w:p w14:paraId="726A9F1C" w14:textId="05D521ED" w:rsidR="00547109" w:rsidRPr="006D77D2" w:rsidRDefault="00547109" w:rsidP="00547109">
            <w:pPr>
              <w:pStyle w:val="CETBodytext"/>
              <w:rPr>
                <w:lang w:val="en-GB"/>
              </w:rPr>
            </w:pPr>
            <w:r w:rsidRPr="006D77D2">
              <w:rPr>
                <w:rFonts w:cs="Arial"/>
                <w:szCs w:val="18"/>
              </w:rPr>
              <w:t>Case 2</w:t>
            </w:r>
          </w:p>
        </w:tc>
      </w:tr>
      <w:tr w:rsidR="00815774" w:rsidRPr="006D77D2" w14:paraId="1FCE6547" w14:textId="77777777" w:rsidTr="00815774">
        <w:tc>
          <w:tcPr>
            <w:tcW w:w="2031" w:type="dxa"/>
            <w:shd w:val="clear" w:color="auto" w:fill="FFFFFF"/>
          </w:tcPr>
          <w:p w14:paraId="5D96DAEB" w14:textId="36D3600D" w:rsidR="00815774" w:rsidRPr="006D77D2" w:rsidRDefault="00815774" w:rsidP="00815774">
            <w:pPr>
              <w:pStyle w:val="CETBodytext"/>
              <w:rPr>
                <w:lang w:val="en-GB"/>
              </w:rPr>
            </w:pPr>
            <w:bookmarkStart w:id="15" w:name="_Hlk184134760"/>
            <w:bookmarkStart w:id="16" w:name="_Hlk184134064"/>
            <w:r w:rsidRPr="006D77D2">
              <w:t>Elementary kinetics</w:t>
            </w:r>
          </w:p>
        </w:tc>
        <w:tc>
          <w:tcPr>
            <w:tcW w:w="671" w:type="dxa"/>
            <w:shd w:val="clear" w:color="auto" w:fill="FFFFFF"/>
          </w:tcPr>
          <w:p w14:paraId="7F594CB9" w14:textId="2540613E" w:rsidR="00815774" w:rsidRPr="006D77D2" w:rsidRDefault="00815774" w:rsidP="00815774">
            <w:pPr>
              <w:pStyle w:val="CETBodytext"/>
              <w:rPr>
                <w:lang w:val="en-GB"/>
              </w:rPr>
            </w:pPr>
            <w:r w:rsidRPr="006D77D2">
              <w:t>2.75</w:t>
            </w:r>
          </w:p>
        </w:tc>
        <w:tc>
          <w:tcPr>
            <w:tcW w:w="1134" w:type="dxa"/>
            <w:shd w:val="clear" w:color="auto" w:fill="FFFFFF"/>
          </w:tcPr>
          <w:p w14:paraId="1FE14FDE" w14:textId="056DFD5A" w:rsidR="00815774" w:rsidRPr="006D77D2" w:rsidRDefault="00815774" w:rsidP="00815774">
            <w:pPr>
              <w:pStyle w:val="CETBodytext"/>
              <w:rPr>
                <w:lang w:val="en-GB"/>
              </w:rPr>
            </w:pPr>
            <w:r w:rsidRPr="006D77D2">
              <w:t>6.0</w:t>
            </w:r>
            <w:r w:rsidR="00FD43F9" w:rsidRPr="006D77D2">
              <w:t>6</w:t>
            </w:r>
          </w:p>
        </w:tc>
      </w:tr>
      <w:tr w:rsidR="00815774" w:rsidRPr="006D77D2" w14:paraId="4ED459DD" w14:textId="77777777" w:rsidTr="00815774">
        <w:tc>
          <w:tcPr>
            <w:tcW w:w="2031" w:type="dxa"/>
            <w:shd w:val="clear" w:color="auto" w:fill="FFFFFF"/>
          </w:tcPr>
          <w:p w14:paraId="4C102989" w14:textId="7D412813" w:rsidR="00815774" w:rsidRPr="006D77D2" w:rsidRDefault="00815774" w:rsidP="00815774">
            <w:pPr>
              <w:pStyle w:val="CETBodytext"/>
              <w:rPr>
                <w:lang w:val="en-GB"/>
              </w:rPr>
            </w:pPr>
            <w:bookmarkStart w:id="17" w:name="_Hlk184134197"/>
            <w:bookmarkEnd w:id="15"/>
            <w:r w:rsidRPr="006D77D2">
              <w:t>Non-elementary kinetics</w:t>
            </w:r>
          </w:p>
        </w:tc>
        <w:tc>
          <w:tcPr>
            <w:tcW w:w="671" w:type="dxa"/>
            <w:shd w:val="clear" w:color="auto" w:fill="FFFFFF"/>
          </w:tcPr>
          <w:p w14:paraId="23165752" w14:textId="0F856E0D" w:rsidR="00815774" w:rsidRPr="006D77D2" w:rsidRDefault="00815774" w:rsidP="00815774">
            <w:pPr>
              <w:pStyle w:val="CETBodytext"/>
              <w:rPr>
                <w:lang w:val="en-GB"/>
              </w:rPr>
            </w:pPr>
            <w:r w:rsidRPr="006D77D2">
              <w:t>1.26</w:t>
            </w:r>
          </w:p>
        </w:tc>
        <w:tc>
          <w:tcPr>
            <w:tcW w:w="1134" w:type="dxa"/>
            <w:shd w:val="clear" w:color="auto" w:fill="FFFFFF"/>
          </w:tcPr>
          <w:p w14:paraId="2B20A381" w14:textId="48A778DF" w:rsidR="00815774" w:rsidRPr="006D77D2" w:rsidRDefault="00815774" w:rsidP="00815774">
            <w:pPr>
              <w:pStyle w:val="CETBodytext"/>
              <w:rPr>
                <w:lang w:val="en-GB"/>
              </w:rPr>
            </w:pPr>
            <w:r w:rsidRPr="006D77D2">
              <w:t>2.3</w:t>
            </w:r>
            <w:r w:rsidR="00FD43F9" w:rsidRPr="006D77D2">
              <w:t>3</w:t>
            </w:r>
          </w:p>
        </w:tc>
      </w:tr>
      <w:bookmarkEnd w:id="16"/>
      <w:bookmarkEnd w:id="17"/>
    </w:tbl>
    <w:p w14:paraId="742576BE" w14:textId="77777777" w:rsidR="00CB6FEA" w:rsidRPr="006D77D2" w:rsidRDefault="00CB6FEA" w:rsidP="00940A3C">
      <w:pPr>
        <w:spacing w:line="240" w:lineRule="auto"/>
        <w:rPr>
          <w:rFonts w:cs="Arial"/>
          <w:lang w:val="en-US"/>
        </w:rPr>
      </w:pPr>
    </w:p>
    <w:p w14:paraId="7ACF6364" w14:textId="0CAD751A" w:rsidR="003047A3" w:rsidRPr="006D77D2" w:rsidRDefault="00CB6FEA" w:rsidP="00940A3C">
      <w:pPr>
        <w:spacing w:line="240" w:lineRule="auto"/>
        <w:rPr>
          <w:rFonts w:cs="Arial"/>
          <w:szCs w:val="18"/>
          <w:lang w:val="en-US"/>
        </w:rPr>
      </w:pPr>
      <w:r w:rsidRPr="006D77D2">
        <w:rPr>
          <w:rFonts w:cs="Arial"/>
          <w:lang w:val="en-US"/>
        </w:rPr>
        <w:t xml:space="preserve">Table </w:t>
      </w:r>
      <w:r w:rsidRPr="006D77D2">
        <w:rPr>
          <w:rFonts w:cs="Arial"/>
        </w:rPr>
        <w:fldChar w:fldCharType="begin"/>
      </w:r>
      <w:r w:rsidRPr="006D77D2">
        <w:rPr>
          <w:rFonts w:cs="Arial"/>
          <w:lang w:val="en-US"/>
        </w:rPr>
        <w:instrText xml:space="preserve"> SEQ Table \* ARABIC </w:instrText>
      </w:r>
      <w:r w:rsidRPr="006D77D2">
        <w:rPr>
          <w:rFonts w:cs="Arial"/>
        </w:rPr>
        <w:fldChar w:fldCharType="separate"/>
      </w:r>
      <w:r w:rsidRPr="006D77D2">
        <w:rPr>
          <w:rFonts w:cs="Arial"/>
          <w:noProof/>
          <w:lang w:val="en-US"/>
        </w:rPr>
        <w:t>4</w:t>
      </w:r>
      <w:r w:rsidRPr="006D77D2">
        <w:rPr>
          <w:rFonts w:cs="Arial"/>
        </w:rPr>
        <w:fldChar w:fldCharType="end"/>
      </w:r>
      <w:r w:rsidRPr="006D77D2">
        <w:rPr>
          <w:rFonts w:cs="Arial"/>
          <w:lang w:val="en-US"/>
        </w:rPr>
        <w:t>: Adjusted kinetic parameters using elementary</w:t>
      </w:r>
      <w:r w:rsidR="00366256" w:rsidRPr="006D77D2">
        <w:rPr>
          <w:rFonts w:cs="Arial"/>
          <w:lang w:val="en-US"/>
        </w:rPr>
        <w:t xml:space="preserve"> and non-elementary</w:t>
      </w:r>
      <w:r w:rsidRPr="006D77D2">
        <w:rPr>
          <w:rFonts w:cs="Arial"/>
          <w:lang w:val="en-US"/>
        </w:rPr>
        <w:t xml:space="preserve"> rate law</w:t>
      </w:r>
      <w:r w:rsidR="00366256" w:rsidRPr="006D77D2">
        <w:rPr>
          <w:rFonts w:cs="Arial"/>
          <w:lang w:val="en-US"/>
        </w:rPr>
        <w:t>s</w:t>
      </w:r>
      <w:r w:rsidRPr="006D77D2">
        <w:rPr>
          <w:rFonts w:cs="Arial"/>
          <w:lang w:val="en-US"/>
        </w:rPr>
        <w:t xml:space="preserve"> for both cases</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993"/>
        <w:gridCol w:w="1062"/>
        <w:gridCol w:w="1914"/>
        <w:gridCol w:w="1276"/>
        <w:gridCol w:w="2126"/>
      </w:tblGrid>
      <w:tr w:rsidR="00464DC2" w:rsidRPr="006D77D2" w14:paraId="16A63173" w14:textId="31B901F6" w:rsidTr="003F5D28">
        <w:tc>
          <w:tcPr>
            <w:tcW w:w="1134" w:type="dxa"/>
            <w:vMerge w:val="restart"/>
            <w:tcBorders>
              <w:top w:val="single" w:sz="12" w:space="0" w:color="008000"/>
            </w:tcBorders>
            <w:shd w:val="clear" w:color="auto" w:fill="FFFFFF"/>
          </w:tcPr>
          <w:p w14:paraId="48462BA1" w14:textId="1DA6BE68" w:rsidR="00464DC2" w:rsidRPr="006D77D2" w:rsidRDefault="00464DC2" w:rsidP="0049050C">
            <w:pPr>
              <w:pStyle w:val="CETBodytext"/>
              <w:rPr>
                <w:lang w:val="en-GB"/>
              </w:rPr>
            </w:pPr>
            <w:r w:rsidRPr="006D77D2">
              <w:rPr>
                <w:rFonts w:cs="Arial"/>
                <w:szCs w:val="18"/>
              </w:rPr>
              <w:t>Rate law</w:t>
            </w:r>
          </w:p>
        </w:tc>
        <w:tc>
          <w:tcPr>
            <w:tcW w:w="993" w:type="dxa"/>
            <w:vMerge w:val="restart"/>
            <w:tcBorders>
              <w:top w:val="single" w:sz="12" w:space="0" w:color="008000"/>
            </w:tcBorders>
            <w:shd w:val="clear" w:color="auto" w:fill="FFFFFF"/>
          </w:tcPr>
          <w:p w14:paraId="0F562C0F" w14:textId="19ADFD9A" w:rsidR="00464DC2" w:rsidRPr="006D77D2" w:rsidRDefault="00464DC2" w:rsidP="0049050C">
            <w:pPr>
              <w:pStyle w:val="CETBodytext"/>
              <w:rPr>
                <w:rFonts w:cs="Arial"/>
                <w:szCs w:val="18"/>
              </w:rPr>
            </w:pPr>
            <w:r w:rsidRPr="006D77D2">
              <w:rPr>
                <w:rFonts w:cs="Arial"/>
                <w:szCs w:val="18"/>
              </w:rPr>
              <w:t>Parameter</w:t>
            </w:r>
          </w:p>
        </w:tc>
        <w:tc>
          <w:tcPr>
            <w:tcW w:w="2976" w:type="dxa"/>
            <w:gridSpan w:val="2"/>
            <w:tcBorders>
              <w:top w:val="single" w:sz="12" w:space="0" w:color="008000"/>
              <w:bottom w:val="single" w:sz="6" w:space="0" w:color="008000"/>
            </w:tcBorders>
            <w:shd w:val="clear" w:color="auto" w:fill="FFFFFF"/>
          </w:tcPr>
          <w:p w14:paraId="18FC005A" w14:textId="3B5036E1" w:rsidR="00464DC2" w:rsidRPr="006D77D2" w:rsidRDefault="00464DC2" w:rsidP="0049050C">
            <w:pPr>
              <w:pStyle w:val="CETBodytext"/>
              <w:rPr>
                <w:lang w:val="en-GB"/>
              </w:rPr>
            </w:pPr>
            <w:r w:rsidRPr="006D77D2">
              <w:rPr>
                <w:rFonts w:cs="Arial"/>
                <w:szCs w:val="18"/>
              </w:rPr>
              <w:t>Case 1</w:t>
            </w:r>
          </w:p>
        </w:tc>
        <w:tc>
          <w:tcPr>
            <w:tcW w:w="3402" w:type="dxa"/>
            <w:gridSpan w:val="2"/>
            <w:tcBorders>
              <w:top w:val="single" w:sz="12" w:space="0" w:color="008000"/>
              <w:bottom w:val="single" w:sz="6" w:space="0" w:color="008000"/>
            </w:tcBorders>
            <w:shd w:val="clear" w:color="auto" w:fill="FFFFFF"/>
          </w:tcPr>
          <w:p w14:paraId="218CFB8F" w14:textId="2FAAA529" w:rsidR="00464DC2" w:rsidRPr="006D77D2" w:rsidRDefault="00464DC2" w:rsidP="0049050C">
            <w:pPr>
              <w:pStyle w:val="CETBodytext"/>
              <w:rPr>
                <w:rFonts w:cs="Arial"/>
                <w:szCs w:val="18"/>
              </w:rPr>
            </w:pPr>
            <w:r w:rsidRPr="006D77D2">
              <w:rPr>
                <w:rFonts w:cs="Arial"/>
                <w:szCs w:val="18"/>
              </w:rPr>
              <w:t>Case 2</w:t>
            </w:r>
          </w:p>
        </w:tc>
      </w:tr>
      <w:tr w:rsidR="00464DC2" w:rsidRPr="006D77D2" w14:paraId="3021D503" w14:textId="77777777" w:rsidTr="003F5D28">
        <w:tc>
          <w:tcPr>
            <w:tcW w:w="1134" w:type="dxa"/>
            <w:vMerge/>
            <w:tcBorders>
              <w:bottom w:val="single" w:sz="6" w:space="0" w:color="008000"/>
            </w:tcBorders>
            <w:shd w:val="clear" w:color="auto" w:fill="FFFFFF"/>
          </w:tcPr>
          <w:p w14:paraId="1B8A1D9C" w14:textId="77777777" w:rsidR="00464DC2" w:rsidRPr="006D77D2" w:rsidRDefault="00464DC2" w:rsidP="0049050C">
            <w:pPr>
              <w:pStyle w:val="CETBodytext"/>
              <w:rPr>
                <w:rFonts w:cs="Arial"/>
                <w:szCs w:val="18"/>
              </w:rPr>
            </w:pPr>
          </w:p>
        </w:tc>
        <w:tc>
          <w:tcPr>
            <w:tcW w:w="993" w:type="dxa"/>
            <w:vMerge/>
            <w:tcBorders>
              <w:bottom w:val="single" w:sz="6" w:space="0" w:color="008000"/>
            </w:tcBorders>
            <w:shd w:val="clear" w:color="auto" w:fill="FFFFFF"/>
          </w:tcPr>
          <w:p w14:paraId="261EBB38" w14:textId="77777777" w:rsidR="00464DC2" w:rsidRPr="006D77D2" w:rsidRDefault="00464DC2" w:rsidP="0049050C">
            <w:pPr>
              <w:pStyle w:val="CETBodytext"/>
              <w:rPr>
                <w:rFonts w:cs="Arial"/>
                <w:szCs w:val="18"/>
              </w:rPr>
            </w:pPr>
          </w:p>
        </w:tc>
        <w:tc>
          <w:tcPr>
            <w:tcW w:w="1062" w:type="dxa"/>
            <w:tcBorders>
              <w:top w:val="single" w:sz="12" w:space="0" w:color="008000"/>
              <w:bottom w:val="single" w:sz="6" w:space="0" w:color="008000"/>
            </w:tcBorders>
            <w:shd w:val="clear" w:color="auto" w:fill="FFFFFF"/>
          </w:tcPr>
          <w:p w14:paraId="1C9EA791" w14:textId="77E4F883" w:rsidR="00464DC2" w:rsidRPr="006D77D2" w:rsidRDefault="00464DC2" w:rsidP="0049050C">
            <w:pPr>
              <w:pStyle w:val="CETBodytext"/>
              <w:rPr>
                <w:rFonts w:cs="Arial"/>
                <w:szCs w:val="18"/>
              </w:rPr>
            </w:pPr>
            <w:r w:rsidRPr="006D77D2">
              <w:rPr>
                <w:rFonts w:cs="Arial"/>
                <w:szCs w:val="18"/>
              </w:rPr>
              <w:t>Value</w:t>
            </w:r>
          </w:p>
        </w:tc>
        <w:tc>
          <w:tcPr>
            <w:tcW w:w="1914" w:type="dxa"/>
            <w:tcBorders>
              <w:top w:val="single" w:sz="12" w:space="0" w:color="008000"/>
              <w:bottom w:val="single" w:sz="6" w:space="0" w:color="008000"/>
            </w:tcBorders>
            <w:shd w:val="clear" w:color="auto" w:fill="FFFFFF"/>
          </w:tcPr>
          <w:p w14:paraId="0D8F1A81" w14:textId="32DB1394" w:rsidR="00464DC2" w:rsidRPr="006D77D2" w:rsidRDefault="00464DC2" w:rsidP="0049050C">
            <w:pPr>
              <w:pStyle w:val="CETBodytext"/>
              <w:rPr>
                <w:lang w:val="en-GB"/>
              </w:rPr>
            </w:pPr>
            <w:r w:rsidRPr="006D77D2">
              <w:rPr>
                <w:lang w:val="en-GB"/>
              </w:rPr>
              <w:t>Units</w:t>
            </w:r>
          </w:p>
        </w:tc>
        <w:tc>
          <w:tcPr>
            <w:tcW w:w="1276" w:type="dxa"/>
            <w:tcBorders>
              <w:top w:val="single" w:sz="12" w:space="0" w:color="008000"/>
              <w:bottom w:val="single" w:sz="6" w:space="0" w:color="008000"/>
            </w:tcBorders>
            <w:shd w:val="clear" w:color="auto" w:fill="FFFFFF"/>
          </w:tcPr>
          <w:p w14:paraId="45F87C83" w14:textId="4A299432" w:rsidR="00464DC2" w:rsidRPr="006D77D2" w:rsidRDefault="00464DC2" w:rsidP="0049050C">
            <w:pPr>
              <w:pStyle w:val="CETBodytext"/>
              <w:rPr>
                <w:rFonts w:cs="Arial"/>
                <w:szCs w:val="18"/>
              </w:rPr>
            </w:pPr>
            <w:r w:rsidRPr="006D77D2">
              <w:rPr>
                <w:rFonts w:cs="Arial"/>
                <w:szCs w:val="18"/>
              </w:rPr>
              <w:t>Value</w:t>
            </w:r>
          </w:p>
        </w:tc>
        <w:tc>
          <w:tcPr>
            <w:tcW w:w="2126" w:type="dxa"/>
            <w:tcBorders>
              <w:top w:val="single" w:sz="12" w:space="0" w:color="008000"/>
              <w:bottom w:val="single" w:sz="6" w:space="0" w:color="008000"/>
            </w:tcBorders>
            <w:shd w:val="clear" w:color="auto" w:fill="FFFFFF"/>
          </w:tcPr>
          <w:p w14:paraId="68CD8986" w14:textId="4C44FBB6" w:rsidR="00464DC2" w:rsidRPr="006D77D2" w:rsidRDefault="00464DC2" w:rsidP="0049050C">
            <w:pPr>
              <w:pStyle w:val="CETBodytext"/>
              <w:rPr>
                <w:rFonts w:cs="Arial"/>
                <w:szCs w:val="18"/>
              </w:rPr>
            </w:pPr>
            <w:r w:rsidRPr="006D77D2">
              <w:rPr>
                <w:rFonts w:cs="Arial"/>
                <w:szCs w:val="18"/>
              </w:rPr>
              <w:t>Units</w:t>
            </w:r>
          </w:p>
        </w:tc>
      </w:tr>
      <w:tr w:rsidR="00464DC2" w:rsidRPr="006D77D2" w14:paraId="2791AF82" w14:textId="389B517A" w:rsidTr="003F5D28">
        <w:tc>
          <w:tcPr>
            <w:tcW w:w="1134" w:type="dxa"/>
            <w:vMerge w:val="restart"/>
            <w:shd w:val="clear" w:color="auto" w:fill="FFFFFF"/>
          </w:tcPr>
          <w:p w14:paraId="00C3B776" w14:textId="1988C031" w:rsidR="00464DC2" w:rsidRPr="006D77D2" w:rsidRDefault="00464DC2" w:rsidP="00415631">
            <w:pPr>
              <w:pStyle w:val="CETBodytext"/>
              <w:rPr>
                <w:lang w:val="en-GB"/>
              </w:rPr>
            </w:pPr>
            <w:r w:rsidRPr="006D77D2">
              <w:rPr>
                <w:lang w:val="en-GB"/>
              </w:rPr>
              <w:t>Elementary</w:t>
            </w:r>
          </w:p>
        </w:tc>
        <w:tc>
          <w:tcPr>
            <w:tcW w:w="993" w:type="dxa"/>
            <w:shd w:val="clear" w:color="auto" w:fill="FFFFFF"/>
          </w:tcPr>
          <w:p w14:paraId="37D3E7ED" w14:textId="43FDCA6E" w:rsidR="00464DC2" w:rsidRPr="006D77D2" w:rsidRDefault="00464DC2" w:rsidP="00415631">
            <w:pPr>
              <w:pStyle w:val="CETBodytext"/>
            </w:pPr>
            <w:r w:rsidRPr="006D77D2">
              <w:t>A</w:t>
            </w:r>
          </w:p>
        </w:tc>
        <w:tc>
          <w:tcPr>
            <w:tcW w:w="1062" w:type="dxa"/>
            <w:shd w:val="clear" w:color="auto" w:fill="FFFFFF"/>
          </w:tcPr>
          <w:p w14:paraId="6F61E38F" w14:textId="0401101D" w:rsidR="00464DC2" w:rsidRPr="006D77D2" w:rsidRDefault="00464DC2" w:rsidP="00415631">
            <w:pPr>
              <w:pStyle w:val="CETBodytext"/>
              <w:rPr>
                <w:lang w:val="en-GB"/>
              </w:rPr>
            </w:pPr>
            <w:r w:rsidRPr="006D77D2">
              <w:t>6.5740×10</w:t>
            </w:r>
            <w:r w:rsidRPr="006D77D2">
              <w:rPr>
                <w:vertAlign w:val="superscript"/>
              </w:rPr>
              <w:t>8</w:t>
            </w:r>
          </w:p>
        </w:tc>
        <w:tc>
          <w:tcPr>
            <w:tcW w:w="1914" w:type="dxa"/>
            <w:shd w:val="clear" w:color="auto" w:fill="FFFFFF"/>
          </w:tcPr>
          <w:p w14:paraId="1963DFE9" w14:textId="6160E652" w:rsidR="00464DC2" w:rsidRPr="006D77D2" w:rsidRDefault="00464DC2" w:rsidP="00415631">
            <w:pPr>
              <w:pStyle w:val="CETBodytext"/>
              <w:rPr>
                <w:lang w:val="en-GB"/>
              </w:rPr>
            </w:pPr>
            <w:r w:rsidRPr="006D77D2">
              <w:t>L</w:t>
            </w:r>
            <w:r w:rsidRPr="006D77D2">
              <w:rPr>
                <w:vertAlign w:val="superscript"/>
              </w:rPr>
              <w:t>2</w:t>
            </w:r>
            <w:r w:rsidRPr="006D77D2">
              <w:t>/(</w:t>
            </w:r>
            <w:proofErr w:type="spellStart"/>
            <w:r w:rsidRPr="006D77D2">
              <w:t>g∙mol∙min</w:t>
            </w:r>
            <w:proofErr w:type="spellEnd"/>
            <w:r w:rsidRPr="006D77D2">
              <w:t>)</w:t>
            </w:r>
          </w:p>
        </w:tc>
        <w:tc>
          <w:tcPr>
            <w:tcW w:w="1276" w:type="dxa"/>
            <w:shd w:val="clear" w:color="auto" w:fill="FFFFFF"/>
          </w:tcPr>
          <w:p w14:paraId="79D64B73" w14:textId="5D70BE24" w:rsidR="00464DC2" w:rsidRPr="006D77D2" w:rsidRDefault="00464DC2" w:rsidP="00415631">
            <w:pPr>
              <w:pStyle w:val="CETBodytext"/>
            </w:pPr>
            <w:r w:rsidRPr="006D77D2">
              <w:t>1.6774×10</w:t>
            </w:r>
            <w:r w:rsidRPr="006D77D2">
              <w:rPr>
                <w:vertAlign w:val="superscript"/>
              </w:rPr>
              <w:t>18</w:t>
            </w:r>
          </w:p>
        </w:tc>
        <w:tc>
          <w:tcPr>
            <w:tcW w:w="2126" w:type="dxa"/>
            <w:shd w:val="clear" w:color="auto" w:fill="FFFFFF"/>
          </w:tcPr>
          <w:p w14:paraId="39917576" w14:textId="493B4990" w:rsidR="00464DC2" w:rsidRPr="006D77D2" w:rsidRDefault="00464DC2" w:rsidP="00415631">
            <w:pPr>
              <w:pStyle w:val="CETBodytext"/>
            </w:pPr>
            <w:r w:rsidRPr="006D77D2">
              <w:t>L</w:t>
            </w:r>
            <w:r w:rsidRPr="006D77D2">
              <w:rPr>
                <w:vertAlign w:val="superscript"/>
              </w:rPr>
              <w:t>2</w:t>
            </w:r>
            <w:r w:rsidRPr="006D77D2">
              <w:t>/(</w:t>
            </w:r>
            <w:proofErr w:type="spellStart"/>
            <w:r w:rsidRPr="006D77D2">
              <w:t>g∙mol∙min</w:t>
            </w:r>
            <w:proofErr w:type="spellEnd"/>
            <w:r w:rsidRPr="006D77D2">
              <w:t>)</w:t>
            </w:r>
          </w:p>
        </w:tc>
      </w:tr>
      <w:tr w:rsidR="00464DC2" w:rsidRPr="006D77D2" w14:paraId="1A0DD8DB" w14:textId="1C53F5ED" w:rsidTr="003F5D28">
        <w:tc>
          <w:tcPr>
            <w:tcW w:w="1134" w:type="dxa"/>
            <w:vMerge/>
            <w:shd w:val="clear" w:color="auto" w:fill="FFFFFF"/>
          </w:tcPr>
          <w:p w14:paraId="1B06DB1B" w14:textId="74F3578A" w:rsidR="00464DC2" w:rsidRPr="006D77D2" w:rsidRDefault="00464DC2" w:rsidP="00415631">
            <w:pPr>
              <w:pStyle w:val="CETBodytext"/>
              <w:rPr>
                <w:lang w:val="en-GB"/>
              </w:rPr>
            </w:pPr>
          </w:p>
        </w:tc>
        <w:tc>
          <w:tcPr>
            <w:tcW w:w="993" w:type="dxa"/>
            <w:shd w:val="clear" w:color="auto" w:fill="FFFFFF"/>
          </w:tcPr>
          <w:p w14:paraId="479346D8" w14:textId="7A4BC116" w:rsidR="00464DC2" w:rsidRPr="006D77D2" w:rsidRDefault="00464DC2" w:rsidP="00415631">
            <w:pPr>
              <w:pStyle w:val="CETBodytext"/>
            </w:pPr>
            <w:proofErr w:type="spellStart"/>
            <w:r w:rsidRPr="006D77D2">
              <w:t>E</w:t>
            </w:r>
            <w:r w:rsidRPr="006D77D2">
              <w:rPr>
                <w:vertAlign w:val="subscript"/>
              </w:rPr>
              <w:t>a</w:t>
            </w:r>
            <w:proofErr w:type="spellEnd"/>
          </w:p>
        </w:tc>
        <w:tc>
          <w:tcPr>
            <w:tcW w:w="1062" w:type="dxa"/>
            <w:shd w:val="clear" w:color="auto" w:fill="FFFFFF"/>
          </w:tcPr>
          <w:p w14:paraId="71105C38" w14:textId="57753C33" w:rsidR="00464DC2" w:rsidRPr="006D77D2" w:rsidRDefault="00464DC2" w:rsidP="00415631">
            <w:pPr>
              <w:pStyle w:val="CETBodytext"/>
              <w:rPr>
                <w:lang w:val="en-GB"/>
              </w:rPr>
            </w:pPr>
            <w:r w:rsidRPr="006D77D2">
              <w:t>79.3491</w:t>
            </w:r>
          </w:p>
        </w:tc>
        <w:tc>
          <w:tcPr>
            <w:tcW w:w="1914" w:type="dxa"/>
            <w:shd w:val="clear" w:color="auto" w:fill="FFFFFF"/>
          </w:tcPr>
          <w:p w14:paraId="1BAEC024" w14:textId="1A2A3948" w:rsidR="00464DC2" w:rsidRPr="006D77D2" w:rsidRDefault="00464DC2" w:rsidP="00415631">
            <w:pPr>
              <w:pStyle w:val="CETBodytext"/>
              <w:rPr>
                <w:lang w:val="en-GB"/>
              </w:rPr>
            </w:pPr>
            <w:r w:rsidRPr="006D77D2">
              <w:t>kJ/mol</w:t>
            </w:r>
          </w:p>
        </w:tc>
        <w:tc>
          <w:tcPr>
            <w:tcW w:w="1276" w:type="dxa"/>
            <w:shd w:val="clear" w:color="auto" w:fill="FFFFFF"/>
          </w:tcPr>
          <w:p w14:paraId="45FCFC04" w14:textId="60E44909" w:rsidR="00464DC2" w:rsidRPr="006D77D2" w:rsidRDefault="00464DC2" w:rsidP="00415631">
            <w:pPr>
              <w:pStyle w:val="CETBodytext"/>
            </w:pPr>
            <w:r w:rsidRPr="006D77D2">
              <w:t>1.3007×10</w:t>
            </w:r>
            <w:r w:rsidRPr="006D77D2">
              <w:rPr>
                <w:vertAlign w:val="superscript"/>
              </w:rPr>
              <w:t>5</w:t>
            </w:r>
          </w:p>
        </w:tc>
        <w:tc>
          <w:tcPr>
            <w:tcW w:w="2126" w:type="dxa"/>
            <w:shd w:val="clear" w:color="auto" w:fill="FFFFFF"/>
          </w:tcPr>
          <w:p w14:paraId="5C0E5891" w14:textId="30D2BBDB" w:rsidR="00464DC2" w:rsidRPr="006D77D2" w:rsidRDefault="00464DC2" w:rsidP="00415631">
            <w:pPr>
              <w:pStyle w:val="CETBodytext"/>
            </w:pPr>
            <w:r w:rsidRPr="006D77D2">
              <w:t>J/mol</w:t>
            </w:r>
          </w:p>
        </w:tc>
      </w:tr>
      <w:tr w:rsidR="00464DC2" w:rsidRPr="006D77D2" w14:paraId="6F39B393" w14:textId="77777777" w:rsidTr="003F5D28">
        <w:tc>
          <w:tcPr>
            <w:tcW w:w="1134" w:type="dxa"/>
            <w:vMerge/>
            <w:shd w:val="clear" w:color="auto" w:fill="FFFFFF"/>
          </w:tcPr>
          <w:p w14:paraId="3D12779D" w14:textId="36724849" w:rsidR="00464DC2" w:rsidRPr="006D77D2" w:rsidRDefault="00464DC2" w:rsidP="00415631">
            <w:pPr>
              <w:pStyle w:val="CETBodytext"/>
            </w:pPr>
          </w:p>
        </w:tc>
        <w:tc>
          <w:tcPr>
            <w:tcW w:w="993" w:type="dxa"/>
            <w:shd w:val="clear" w:color="auto" w:fill="FFFFFF"/>
          </w:tcPr>
          <w:p w14:paraId="5995E5D1" w14:textId="473B751C" w:rsidR="00464DC2" w:rsidRPr="006D77D2" w:rsidRDefault="00464DC2" w:rsidP="00415631">
            <w:pPr>
              <w:pStyle w:val="CETBodytext"/>
            </w:pPr>
            <w:r w:rsidRPr="006D77D2">
              <w:t>A</w:t>
            </w:r>
            <w:r w:rsidRPr="006D77D2">
              <w:rPr>
                <w:vertAlign w:val="subscript"/>
              </w:rPr>
              <w:t>rev</w:t>
            </w:r>
          </w:p>
        </w:tc>
        <w:tc>
          <w:tcPr>
            <w:tcW w:w="1062" w:type="dxa"/>
            <w:shd w:val="clear" w:color="auto" w:fill="FFFFFF"/>
          </w:tcPr>
          <w:p w14:paraId="08838793" w14:textId="7811AFE5" w:rsidR="00464DC2" w:rsidRPr="006D77D2" w:rsidRDefault="00464DC2" w:rsidP="00415631">
            <w:pPr>
              <w:pStyle w:val="CETBodytext"/>
            </w:pPr>
            <w:r w:rsidRPr="006D77D2">
              <w:t>1.4387×10</w:t>
            </w:r>
            <w:r w:rsidRPr="006D77D2">
              <w:rPr>
                <w:vertAlign w:val="superscript"/>
              </w:rPr>
              <w:t>-3</w:t>
            </w:r>
          </w:p>
        </w:tc>
        <w:tc>
          <w:tcPr>
            <w:tcW w:w="1914" w:type="dxa"/>
            <w:shd w:val="clear" w:color="auto" w:fill="FFFFFF"/>
          </w:tcPr>
          <w:p w14:paraId="38F4B518" w14:textId="1E1C5E4A" w:rsidR="00464DC2" w:rsidRPr="006D77D2" w:rsidRDefault="00464DC2" w:rsidP="00415631">
            <w:pPr>
              <w:pStyle w:val="CETBodytext"/>
            </w:pPr>
            <w:r w:rsidRPr="006D77D2">
              <w:t>L</w:t>
            </w:r>
            <w:r w:rsidRPr="006D77D2">
              <w:rPr>
                <w:vertAlign w:val="superscript"/>
              </w:rPr>
              <w:t>3</w:t>
            </w:r>
            <w:r w:rsidRPr="006D77D2">
              <w:t>/(g∙mol</w:t>
            </w:r>
            <w:r w:rsidRPr="006D77D2">
              <w:rPr>
                <w:vertAlign w:val="superscript"/>
              </w:rPr>
              <w:t>2</w:t>
            </w:r>
            <w:r w:rsidRPr="006D77D2">
              <w:t>∙min)</w:t>
            </w:r>
          </w:p>
        </w:tc>
        <w:tc>
          <w:tcPr>
            <w:tcW w:w="1276" w:type="dxa"/>
            <w:shd w:val="clear" w:color="auto" w:fill="FFFFFF"/>
          </w:tcPr>
          <w:p w14:paraId="1ED43762" w14:textId="4159F202" w:rsidR="00464DC2" w:rsidRPr="006D77D2" w:rsidRDefault="00464DC2" w:rsidP="00415631">
            <w:pPr>
              <w:pStyle w:val="CETBodytext"/>
            </w:pPr>
            <w:r w:rsidRPr="006D77D2">
              <w:t>1.63703×10</w:t>
            </w:r>
            <w:r w:rsidRPr="006D77D2">
              <w:rPr>
                <w:vertAlign w:val="superscript"/>
              </w:rPr>
              <w:t>-2</w:t>
            </w:r>
          </w:p>
        </w:tc>
        <w:tc>
          <w:tcPr>
            <w:tcW w:w="2126" w:type="dxa"/>
            <w:shd w:val="clear" w:color="auto" w:fill="FFFFFF"/>
          </w:tcPr>
          <w:p w14:paraId="4E5D6006" w14:textId="32A60840" w:rsidR="00464DC2" w:rsidRPr="006D77D2" w:rsidRDefault="00464DC2" w:rsidP="00415631">
            <w:pPr>
              <w:pStyle w:val="CETBodytext"/>
            </w:pPr>
            <w:r w:rsidRPr="006D77D2">
              <w:t>L</w:t>
            </w:r>
            <w:r w:rsidRPr="006D77D2">
              <w:rPr>
                <w:vertAlign w:val="superscript"/>
              </w:rPr>
              <w:t>3</w:t>
            </w:r>
            <w:r w:rsidRPr="006D77D2">
              <w:t>/(g∙mol</w:t>
            </w:r>
            <w:r w:rsidRPr="006D77D2">
              <w:rPr>
                <w:vertAlign w:val="superscript"/>
              </w:rPr>
              <w:t>2</w:t>
            </w:r>
            <w:r w:rsidRPr="006D77D2">
              <w:t>∙min)</w:t>
            </w:r>
          </w:p>
        </w:tc>
      </w:tr>
      <w:tr w:rsidR="00464DC2" w:rsidRPr="006D77D2" w14:paraId="01066782" w14:textId="77777777" w:rsidTr="003F5D28">
        <w:tc>
          <w:tcPr>
            <w:tcW w:w="1134" w:type="dxa"/>
            <w:vMerge/>
            <w:shd w:val="clear" w:color="auto" w:fill="FFFFFF"/>
          </w:tcPr>
          <w:p w14:paraId="0254C5F2" w14:textId="594BFBCC" w:rsidR="00464DC2" w:rsidRPr="006D77D2" w:rsidRDefault="00464DC2" w:rsidP="00415631">
            <w:pPr>
              <w:pStyle w:val="CETBodytext"/>
            </w:pPr>
          </w:p>
        </w:tc>
        <w:tc>
          <w:tcPr>
            <w:tcW w:w="993" w:type="dxa"/>
            <w:shd w:val="clear" w:color="auto" w:fill="FFFFFF"/>
          </w:tcPr>
          <w:p w14:paraId="65BE0CD6" w14:textId="4AA2FEED" w:rsidR="00464DC2" w:rsidRPr="006D77D2" w:rsidRDefault="00FD43F9" w:rsidP="00415631">
            <w:pPr>
              <w:pStyle w:val="CETBodytext"/>
            </w:pPr>
            <w:r w:rsidRPr="006D77D2">
              <w:rPr>
                <w:rFonts w:cs="Arial"/>
                <w:position w:val="-12"/>
                <w:szCs w:val="18"/>
              </w:rPr>
              <w:object w:dxaOrig="380" w:dyaOrig="320" w14:anchorId="41252FAE">
                <v:shape id="_x0000_i1057" type="#_x0000_t75" style="width:19pt;height:16.5pt" o:ole="">
                  <v:imagedata r:id="rId75" o:title=""/>
                </v:shape>
                <o:OLEObject Type="Embed" ProgID="Equation.DSMT4" ShapeID="_x0000_i1057" DrawAspect="Content" ObjectID="_1806657717" r:id="rId76"/>
              </w:object>
            </w:r>
          </w:p>
        </w:tc>
        <w:tc>
          <w:tcPr>
            <w:tcW w:w="1062" w:type="dxa"/>
            <w:shd w:val="clear" w:color="auto" w:fill="FFFFFF"/>
          </w:tcPr>
          <w:p w14:paraId="093A8B3E" w14:textId="669E660E" w:rsidR="00464DC2" w:rsidRPr="006D77D2" w:rsidRDefault="00464DC2" w:rsidP="00415631">
            <w:pPr>
              <w:pStyle w:val="CETBodytext"/>
            </w:pPr>
            <w:r w:rsidRPr="006D77D2">
              <w:t>6.1011×10</w:t>
            </w:r>
            <w:r w:rsidRPr="006D77D2">
              <w:rPr>
                <w:vertAlign w:val="superscript"/>
              </w:rPr>
              <w:t>-14</w:t>
            </w:r>
          </w:p>
        </w:tc>
        <w:tc>
          <w:tcPr>
            <w:tcW w:w="1914" w:type="dxa"/>
            <w:shd w:val="clear" w:color="auto" w:fill="FFFFFF"/>
          </w:tcPr>
          <w:p w14:paraId="25FC7117" w14:textId="15C90FEE" w:rsidR="00464DC2" w:rsidRPr="006D77D2" w:rsidRDefault="00464DC2" w:rsidP="00415631">
            <w:pPr>
              <w:pStyle w:val="CETBodytext"/>
            </w:pPr>
            <w:r w:rsidRPr="006D77D2">
              <w:t>kJ/mol</w:t>
            </w:r>
          </w:p>
        </w:tc>
        <w:tc>
          <w:tcPr>
            <w:tcW w:w="1276" w:type="dxa"/>
            <w:shd w:val="clear" w:color="auto" w:fill="FFFFFF"/>
          </w:tcPr>
          <w:p w14:paraId="608B463A" w14:textId="5D74CA1E" w:rsidR="00464DC2" w:rsidRPr="006D77D2" w:rsidRDefault="00464DC2" w:rsidP="00415631">
            <w:pPr>
              <w:pStyle w:val="CETBodytext"/>
            </w:pPr>
            <w:r w:rsidRPr="006D77D2">
              <w:t>3.8975</w:t>
            </w:r>
          </w:p>
        </w:tc>
        <w:tc>
          <w:tcPr>
            <w:tcW w:w="2126" w:type="dxa"/>
            <w:shd w:val="clear" w:color="auto" w:fill="FFFFFF"/>
          </w:tcPr>
          <w:p w14:paraId="5A120994" w14:textId="647AC4A0" w:rsidR="00464DC2" w:rsidRPr="006D77D2" w:rsidRDefault="00464DC2" w:rsidP="00415631">
            <w:pPr>
              <w:pStyle w:val="CETBodytext"/>
            </w:pPr>
            <w:r w:rsidRPr="006D77D2">
              <w:t>J/mol</w:t>
            </w:r>
          </w:p>
        </w:tc>
      </w:tr>
      <w:tr w:rsidR="00F455BC" w:rsidRPr="006D77D2" w14:paraId="3AFAE380" w14:textId="77777777" w:rsidTr="003F5D28">
        <w:tc>
          <w:tcPr>
            <w:tcW w:w="1134" w:type="dxa"/>
            <w:vMerge w:val="restart"/>
            <w:shd w:val="clear" w:color="auto" w:fill="FFFFFF"/>
          </w:tcPr>
          <w:p w14:paraId="4E647621" w14:textId="4C4A0186" w:rsidR="00F455BC" w:rsidRPr="006D77D2" w:rsidRDefault="00F455BC" w:rsidP="00F455BC">
            <w:pPr>
              <w:pStyle w:val="CETBodytext"/>
            </w:pPr>
            <w:r w:rsidRPr="006D77D2">
              <w:t>Non-elementary</w:t>
            </w:r>
          </w:p>
        </w:tc>
        <w:tc>
          <w:tcPr>
            <w:tcW w:w="993" w:type="dxa"/>
            <w:shd w:val="clear" w:color="auto" w:fill="FFFFFF"/>
            <w:vAlign w:val="center"/>
          </w:tcPr>
          <w:p w14:paraId="7F14BA75" w14:textId="50680136" w:rsidR="00F455BC" w:rsidRPr="006D77D2" w:rsidRDefault="00F455BC" w:rsidP="00F455BC">
            <w:pPr>
              <w:pStyle w:val="CETBodytext"/>
            </w:pPr>
            <w:r w:rsidRPr="006D77D2">
              <w:rPr>
                <w:rFonts w:cs="Arial"/>
                <w:szCs w:val="18"/>
              </w:rPr>
              <w:t>A</w:t>
            </w:r>
          </w:p>
        </w:tc>
        <w:tc>
          <w:tcPr>
            <w:tcW w:w="1062" w:type="dxa"/>
            <w:shd w:val="clear" w:color="auto" w:fill="FFFFFF"/>
            <w:vAlign w:val="center"/>
          </w:tcPr>
          <w:p w14:paraId="59421EFA" w14:textId="410357F9" w:rsidR="00F455BC" w:rsidRPr="006D77D2" w:rsidRDefault="00F455BC" w:rsidP="00F455BC">
            <w:pPr>
              <w:pStyle w:val="CETBodytext"/>
            </w:pPr>
            <w:r w:rsidRPr="006D77D2">
              <w:rPr>
                <w:rFonts w:cs="Arial"/>
                <w:szCs w:val="18"/>
              </w:rPr>
              <w:t>4.4313×10</w:t>
            </w:r>
            <w:r w:rsidRPr="006D77D2">
              <w:rPr>
                <w:rFonts w:cs="Arial"/>
                <w:szCs w:val="18"/>
                <w:vertAlign w:val="superscript"/>
              </w:rPr>
              <w:t>4</w:t>
            </w:r>
          </w:p>
        </w:tc>
        <w:tc>
          <w:tcPr>
            <w:tcW w:w="1914" w:type="dxa"/>
            <w:shd w:val="clear" w:color="auto" w:fill="FFFFFF"/>
            <w:vAlign w:val="center"/>
          </w:tcPr>
          <w:p w14:paraId="58AB3C0E" w14:textId="3852BFC1" w:rsidR="00F455BC" w:rsidRPr="006D77D2" w:rsidRDefault="00F455BC" w:rsidP="00F455BC">
            <w:pPr>
              <w:pStyle w:val="CETBodytext"/>
            </w:pPr>
            <w:r w:rsidRPr="006D77D2">
              <w:rPr>
                <w:rFonts w:cs="Arial"/>
                <w:szCs w:val="18"/>
              </w:rPr>
              <w:t>L</w:t>
            </w:r>
            <w:r w:rsidRPr="006D77D2">
              <w:rPr>
                <w:rFonts w:cs="Arial"/>
                <w:szCs w:val="18"/>
                <w:vertAlign w:val="superscript"/>
              </w:rPr>
              <w:t>1.0896</w:t>
            </w:r>
            <w:r w:rsidRPr="006D77D2">
              <w:rPr>
                <w:rFonts w:cs="Arial"/>
                <w:szCs w:val="18"/>
              </w:rPr>
              <w:t>/(g∙mol</w:t>
            </w:r>
            <w:r w:rsidRPr="006D77D2">
              <w:rPr>
                <w:rFonts w:cs="Arial"/>
                <w:szCs w:val="18"/>
                <w:vertAlign w:val="superscript"/>
              </w:rPr>
              <w:t>0.0896</w:t>
            </w:r>
            <w:r w:rsidRPr="006D77D2">
              <w:rPr>
                <w:rFonts w:cs="Arial"/>
                <w:szCs w:val="18"/>
              </w:rPr>
              <w:t>∙min)</w:t>
            </w:r>
          </w:p>
        </w:tc>
        <w:tc>
          <w:tcPr>
            <w:tcW w:w="1276" w:type="dxa"/>
            <w:shd w:val="clear" w:color="auto" w:fill="FFFFFF"/>
            <w:vAlign w:val="center"/>
          </w:tcPr>
          <w:p w14:paraId="3C2BB9C1" w14:textId="59930FDA" w:rsidR="00F455BC" w:rsidRPr="006D77D2" w:rsidRDefault="00F455BC" w:rsidP="00F455BC">
            <w:pPr>
              <w:pStyle w:val="CETBodytext"/>
            </w:pPr>
            <w:r w:rsidRPr="006D77D2">
              <w:rPr>
                <w:rFonts w:cs="Arial"/>
                <w:szCs w:val="18"/>
              </w:rPr>
              <w:t>2.1815×10</w:t>
            </w:r>
            <w:r w:rsidRPr="006D77D2">
              <w:rPr>
                <w:rFonts w:cs="Arial"/>
                <w:szCs w:val="18"/>
                <w:vertAlign w:val="superscript"/>
              </w:rPr>
              <w:t>3</w:t>
            </w:r>
          </w:p>
        </w:tc>
        <w:tc>
          <w:tcPr>
            <w:tcW w:w="2126" w:type="dxa"/>
            <w:shd w:val="clear" w:color="auto" w:fill="FFFFFF"/>
            <w:vAlign w:val="center"/>
          </w:tcPr>
          <w:p w14:paraId="748204B1" w14:textId="79D3F5A2" w:rsidR="00F455BC" w:rsidRPr="006D77D2" w:rsidRDefault="00F455BC" w:rsidP="00F455BC">
            <w:pPr>
              <w:pStyle w:val="CETBodytext"/>
            </w:pPr>
            <w:r w:rsidRPr="006D77D2">
              <w:rPr>
                <w:rFonts w:cs="Arial"/>
                <w:szCs w:val="18"/>
              </w:rPr>
              <w:t>L</w:t>
            </w:r>
            <w:r w:rsidRPr="006D77D2">
              <w:rPr>
                <w:rFonts w:cs="Arial"/>
                <w:szCs w:val="18"/>
                <w:vertAlign w:val="superscript"/>
              </w:rPr>
              <w:t>0.0163</w:t>
            </w:r>
            <w:r w:rsidRPr="006D77D2">
              <w:rPr>
                <w:rFonts w:cs="Arial"/>
                <w:szCs w:val="18"/>
              </w:rPr>
              <w:t>mol</w:t>
            </w:r>
            <w:r w:rsidRPr="006D77D2">
              <w:rPr>
                <w:rFonts w:cs="Arial"/>
                <w:szCs w:val="18"/>
                <w:vertAlign w:val="superscript"/>
              </w:rPr>
              <w:t>0.9837</w:t>
            </w:r>
            <w:r w:rsidRPr="006D77D2">
              <w:rPr>
                <w:rFonts w:cs="Arial"/>
                <w:szCs w:val="18"/>
              </w:rPr>
              <w:t>/(</w:t>
            </w:r>
            <w:proofErr w:type="spellStart"/>
            <w:r w:rsidRPr="006D77D2">
              <w:rPr>
                <w:rFonts w:cs="Arial"/>
                <w:szCs w:val="18"/>
              </w:rPr>
              <w:t>g∙min</w:t>
            </w:r>
            <w:proofErr w:type="spellEnd"/>
            <w:r w:rsidRPr="006D77D2">
              <w:rPr>
                <w:rFonts w:cs="Arial"/>
                <w:szCs w:val="18"/>
              </w:rPr>
              <w:t>)</w:t>
            </w:r>
          </w:p>
        </w:tc>
      </w:tr>
      <w:tr w:rsidR="00F455BC" w:rsidRPr="006D77D2" w14:paraId="41DED02F" w14:textId="77777777" w:rsidTr="003F5D28">
        <w:tc>
          <w:tcPr>
            <w:tcW w:w="1134" w:type="dxa"/>
            <w:vMerge/>
            <w:shd w:val="clear" w:color="auto" w:fill="FFFFFF"/>
          </w:tcPr>
          <w:p w14:paraId="098B098B" w14:textId="77777777" w:rsidR="00F455BC" w:rsidRPr="006D77D2" w:rsidRDefault="00F455BC" w:rsidP="00F455BC">
            <w:pPr>
              <w:pStyle w:val="CETBodytext"/>
            </w:pPr>
          </w:p>
        </w:tc>
        <w:tc>
          <w:tcPr>
            <w:tcW w:w="993" w:type="dxa"/>
            <w:shd w:val="clear" w:color="auto" w:fill="FFFFFF"/>
            <w:vAlign w:val="center"/>
          </w:tcPr>
          <w:p w14:paraId="35F9DD62" w14:textId="53834714" w:rsidR="00F455BC" w:rsidRPr="006D77D2" w:rsidRDefault="00F455BC" w:rsidP="00F455BC">
            <w:pPr>
              <w:pStyle w:val="CETBodytext"/>
            </w:pPr>
            <w:proofErr w:type="spellStart"/>
            <w:r w:rsidRPr="006D77D2">
              <w:rPr>
                <w:rFonts w:cs="Arial"/>
                <w:szCs w:val="18"/>
              </w:rPr>
              <w:t>E</w:t>
            </w:r>
            <w:r w:rsidRPr="006D77D2">
              <w:rPr>
                <w:rFonts w:cs="Arial"/>
                <w:szCs w:val="18"/>
                <w:vertAlign w:val="subscript"/>
              </w:rPr>
              <w:t>a</w:t>
            </w:r>
            <w:proofErr w:type="spellEnd"/>
          </w:p>
        </w:tc>
        <w:tc>
          <w:tcPr>
            <w:tcW w:w="1062" w:type="dxa"/>
            <w:shd w:val="clear" w:color="auto" w:fill="FFFFFF"/>
            <w:vAlign w:val="center"/>
          </w:tcPr>
          <w:p w14:paraId="4DAEC1CE" w14:textId="6E4AB496" w:rsidR="00F455BC" w:rsidRPr="006D77D2" w:rsidRDefault="00F455BC" w:rsidP="00F455BC">
            <w:pPr>
              <w:pStyle w:val="CETBodytext"/>
            </w:pPr>
            <w:r w:rsidRPr="006D77D2">
              <w:rPr>
                <w:rFonts w:cs="Arial"/>
                <w:szCs w:val="18"/>
              </w:rPr>
              <w:t>44.1182</w:t>
            </w:r>
          </w:p>
        </w:tc>
        <w:tc>
          <w:tcPr>
            <w:tcW w:w="1914" w:type="dxa"/>
            <w:shd w:val="clear" w:color="auto" w:fill="FFFFFF"/>
            <w:vAlign w:val="center"/>
          </w:tcPr>
          <w:p w14:paraId="444DE76F" w14:textId="42FED507" w:rsidR="00F455BC" w:rsidRPr="006D77D2" w:rsidRDefault="00F455BC" w:rsidP="00F455BC">
            <w:pPr>
              <w:pStyle w:val="CETBodytext"/>
            </w:pPr>
            <w:r w:rsidRPr="006D77D2">
              <w:rPr>
                <w:rFonts w:cs="Arial"/>
                <w:szCs w:val="18"/>
              </w:rPr>
              <w:t>kJ/mol</w:t>
            </w:r>
          </w:p>
        </w:tc>
        <w:tc>
          <w:tcPr>
            <w:tcW w:w="1276" w:type="dxa"/>
            <w:shd w:val="clear" w:color="auto" w:fill="FFFFFF"/>
            <w:vAlign w:val="center"/>
          </w:tcPr>
          <w:p w14:paraId="7BB460DE" w14:textId="453F552B" w:rsidR="00F455BC" w:rsidRPr="006D77D2" w:rsidRDefault="00F455BC" w:rsidP="00F455BC">
            <w:pPr>
              <w:pStyle w:val="CETBodytext"/>
            </w:pPr>
            <w:r w:rsidRPr="006D77D2">
              <w:rPr>
                <w:rFonts w:cs="Arial"/>
                <w:szCs w:val="18"/>
              </w:rPr>
              <w:t>4.1180×10</w:t>
            </w:r>
            <w:r w:rsidRPr="006D77D2">
              <w:rPr>
                <w:rFonts w:cs="Arial"/>
                <w:szCs w:val="18"/>
                <w:vertAlign w:val="superscript"/>
              </w:rPr>
              <w:t>4</w:t>
            </w:r>
          </w:p>
        </w:tc>
        <w:tc>
          <w:tcPr>
            <w:tcW w:w="2126" w:type="dxa"/>
            <w:shd w:val="clear" w:color="auto" w:fill="FFFFFF"/>
            <w:vAlign w:val="center"/>
          </w:tcPr>
          <w:p w14:paraId="51F512CB" w14:textId="29B3347B" w:rsidR="00F455BC" w:rsidRPr="006D77D2" w:rsidRDefault="00F455BC" w:rsidP="00F455BC">
            <w:pPr>
              <w:pStyle w:val="CETBodytext"/>
            </w:pPr>
            <w:r w:rsidRPr="006D77D2">
              <w:rPr>
                <w:rFonts w:cs="Arial"/>
                <w:szCs w:val="18"/>
              </w:rPr>
              <w:t>J/mol</w:t>
            </w:r>
          </w:p>
        </w:tc>
      </w:tr>
      <w:tr w:rsidR="00F455BC" w:rsidRPr="006D77D2" w14:paraId="22AA0FEF" w14:textId="77777777" w:rsidTr="003F5D28">
        <w:tc>
          <w:tcPr>
            <w:tcW w:w="1134" w:type="dxa"/>
            <w:vMerge/>
            <w:shd w:val="clear" w:color="auto" w:fill="FFFFFF"/>
          </w:tcPr>
          <w:p w14:paraId="1B0A4FFD" w14:textId="77777777" w:rsidR="00F455BC" w:rsidRPr="006D77D2" w:rsidRDefault="00F455BC" w:rsidP="00F455BC">
            <w:pPr>
              <w:pStyle w:val="CETBodytext"/>
            </w:pPr>
          </w:p>
        </w:tc>
        <w:tc>
          <w:tcPr>
            <w:tcW w:w="993" w:type="dxa"/>
            <w:shd w:val="clear" w:color="auto" w:fill="FFFFFF"/>
            <w:vAlign w:val="center"/>
          </w:tcPr>
          <w:p w14:paraId="75AB6058" w14:textId="5AF10EB3" w:rsidR="00F455BC" w:rsidRPr="006D77D2" w:rsidRDefault="00F455BC" w:rsidP="00F455BC">
            <w:pPr>
              <w:pStyle w:val="CETBodytext"/>
            </w:pPr>
            <w:r w:rsidRPr="006D77D2">
              <w:rPr>
                <w:rFonts w:cs="Arial"/>
                <w:szCs w:val="18"/>
              </w:rPr>
              <w:sym w:font="Symbol" w:char="F061"/>
            </w:r>
          </w:p>
        </w:tc>
        <w:tc>
          <w:tcPr>
            <w:tcW w:w="1062" w:type="dxa"/>
            <w:shd w:val="clear" w:color="auto" w:fill="FFFFFF"/>
            <w:vAlign w:val="center"/>
          </w:tcPr>
          <w:p w14:paraId="4A9BFC17" w14:textId="6CCDD5D2" w:rsidR="00F455BC" w:rsidRPr="006D77D2" w:rsidRDefault="00F455BC" w:rsidP="00F455BC">
            <w:pPr>
              <w:pStyle w:val="CETBodytext"/>
            </w:pPr>
            <w:r w:rsidRPr="006D77D2">
              <w:rPr>
                <w:rFonts w:cs="Arial"/>
                <w:szCs w:val="18"/>
              </w:rPr>
              <w:t>0.3091</w:t>
            </w:r>
          </w:p>
        </w:tc>
        <w:tc>
          <w:tcPr>
            <w:tcW w:w="1914" w:type="dxa"/>
            <w:shd w:val="clear" w:color="auto" w:fill="FFFFFF"/>
            <w:vAlign w:val="center"/>
          </w:tcPr>
          <w:p w14:paraId="5D22DC64" w14:textId="2F90CF9A" w:rsidR="00F455BC" w:rsidRPr="006D77D2" w:rsidRDefault="00F455BC" w:rsidP="00F455BC">
            <w:pPr>
              <w:pStyle w:val="CETBodytext"/>
            </w:pPr>
            <w:r w:rsidRPr="006D77D2">
              <w:rPr>
                <w:rFonts w:cs="Arial"/>
                <w:szCs w:val="18"/>
              </w:rPr>
              <w:t>---</w:t>
            </w:r>
          </w:p>
        </w:tc>
        <w:tc>
          <w:tcPr>
            <w:tcW w:w="1276" w:type="dxa"/>
            <w:shd w:val="clear" w:color="auto" w:fill="FFFFFF"/>
            <w:vAlign w:val="center"/>
          </w:tcPr>
          <w:p w14:paraId="1D6DC099" w14:textId="61791997" w:rsidR="00F455BC" w:rsidRPr="006D77D2" w:rsidRDefault="00F455BC" w:rsidP="00F455BC">
            <w:pPr>
              <w:pStyle w:val="CETBodytext"/>
            </w:pPr>
            <w:r w:rsidRPr="006D77D2">
              <w:rPr>
                <w:rFonts w:cs="Arial"/>
                <w:szCs w:val="18"/>
              </w:rPr>
              <w:t>1.4515×10</w:t>
            </w:r>
            <w:r w:rsidRPr="006D77D2">
              <w:rPr>
                <w:rFonts w:cs="Arial"/>
                <w:szCs w:val="18"/>
                <w:vertAlign w:val="superscript"/>
              </w:rPr>
              <w:t>-3</w:t>
            </w:r>
          </w:p>
        </w:tc>
        <w:tc>
          <w:tcPr>
            <w:tcW w:w="2126" w:type="dxa"/>
            <w:shd w:val="clear" w:color="auto" w:fill="FFFFFF"/>
            <w:vAlign w:val="center"/>
          </w:tcPr>
          <w:p w14:paraId="16826003" w14:textId="7DD79D1A" w:rsidR="00F455BC" w:rsidRPr="006D77D2" w:rsidRDefault="00F455BC" w:rsidP="00F455BC">
            <w:pPr>
              <w:pStyle w:val="CETBodytext"/>
            </w:pPr>
            <w:r w:rsidRPr="006D77D2">
              <w:rPr>
                <w:rFonts w:cs="Arial"/>
                <w:szCs w:val="18"/>
              </w:rPr>
              <w:t>---</w:t>
            </w:r>
          </w:p>
        </w:tc>
      </w:tr>
      <w:tr w:rsidR="00F455BC" w:rsidRPr="006D77D2" w14:paraId="341E5B00" w14:textId="77777777" w:rsidTr="003F5D28">
        <w:tc>
          <w:tcPr>
            <w:tcW w:w="1134" w:type="dxa"/>
            <w:vMerge/>
            <w:shd w:val="clear" w:color="auto" w:fill="FFFFFF"/>
          </w:tcPr>
          <w:p w14:paraId="5F52946D" w14:textId="77777777" w:rsidR="00F455BC" w:rsidRPr="006D77D2" w:rsidRDefault="00F455BC" w:rsidP="00F455BC">
            <w:pPr>
              <w:pStyle w:val="CETBodytext"/>
            </w:pPr>
          </w:p>
        </w:tc>
        <w:tc>
          <w:tcPr>
            <w:tcW w:w="993" w:type="dxa"/>
            <w:shd w:val="clear" w:color="auto" w:fill="FFFFFF"/>
            <w:vAlign w:val="center"/>
          </w:tcPr>
          <w:p w14:paraId="7E14F827" w14:textId="53B2FA30" w:rsidR="00F455BC" w:rsidRPr="006D77D2" w:rsidRDefault="00F455BC" w:rsidP="00F455BC">
            <w:pPr>
              <w:pStyle w:val="CETBodytext"/>
            </w:pPr>
            <w:r w:rsidRPr="006D77D2">
              <w:rPr>
                <w:rFonts w:cs="Arial"/>
                <w:szCs w:val="18"/>
              </w:rPr>
              <w:sym w:font="Symbol" w:char="F062"/>
            </w:r>
          </w:p>
        </w:tc>
        <w:tc>
          <w:tcPr>
            <w:tcW w:w="1062" w:type="dxa"/>
            <w:shd w:val="clear" w:color="auto" w:fill="FFFFFF"/>
            <w:vAlign w:val="center"/>
          </w:tcPr>
          <w:p w14:paraId="0580F937" w14:textId="1434D423" w:rsidR="00F455BC" w:rsidRPr="006D77D2" w:rsidRDefault="00F455BC" w:rsidP="00F455BC">
            <w:pPr>
              <w:pStyle w:val="CETBodytext"/>
            </w:pPr>
            <w:r w:rsidRPr="006D77D2">
              <w:rPr>
                <w:rFonts w:cs="Arial"/>
                <w:szCs w:val="18"/>
              </w:rPr>
              <w:t>0.7805</w:t>
            </w:r>
          </w:p>
        </w:tc>
        <w:tc>
          <w:tcPr>
            <w:tcW w:w="1914" w:type="dxa"/>
            <w:shd w:val="clear" w:color="auto" w:fill="FFFFFF"/>
            <w:vAlign w:val="center"/>
          </w:tcPr>
          <w:p w14:paraId="3FE56F00" w14:textId="49BB0E3E" w:rsidR="00F455BC" w:rsidRPr="006D77D2" w:rsidRDefault="00F455BC" w:rsidP="00F455BC">
            <w:pPr>
              <w:pStyle w:val="CETBodytext"/>
            </w:pPr>
            <w:r w:rsidRPr="006D77D2">
              <w:rPr>
                <w:rFonts w:cs="Arial"/>
                <w:szCs w:val="18"/>
              </w:rPr>
              <w:t>---</w:t>
            </w:r>
          </w:p>
        </w:tc>
        <w:tc>
          <w:tcPr>
            <w:tcW w:w="1276" w:type="dxa"/>
            <w:shd w:val="clear" w:color="auto" w:fill="FFFFFF"/>
            <w:vAlign w:val="center"/>
          </w:tcPr>
          <w:p w14:paraId="5FE0196E" w14:textId="281E3DF6" w:rsidR="00F455BC" w:rsidRPr="006D77D2" w:rsidRDefault="00F455BC" w:rsidP="00F455BC">
            <w:pPr>
              <w:pStyle w:val="CETBodytext"/>
            </w:pPr>
            <w:r w:rsidRPr="006D77D2">
              <w:rPr>
                <w:rFonts w:cs="Arial"/>
                <w:szCs w:val="18"/>
              </w:rPr>
              <w:t>1.4848×10</w:t>
            </w:r>
            <w:r w:rsidRPr="006D77D2">
              <w:rPr>
                <w:rFonts w:cs="Arial"/>
                <w:szCs w:val="18"/>
                <w:vertAlign w:val="superscript"/>
              </w:rPr>
              <w:t>-2</w:t>
            </w:r>
          </w:p>
        </w:tc>
        <w:tc>
          <w:tcPr>
            <w:tcW w:w="2126" w:type="dxa"/>
            <w:shd w:val="clear" w:color="auto" w:fill="FFFFFF"/>
            <w:vAlign w:val="center"/>
          </w:tcPr>
          <w:p w14:paraId="333C8746" w14:textId="2B3BCD40" w:rsidR="00F455BC" w:rsidRPr="006D77D2" w:rsidRDefault="00F455BC" w:rsidP="00F455BC">
            <w:pPr>
              <w:pStyle w:val="CETBodytext"/>
            </w:pPr>
            <w:r w:rsidRPr="006D77D2">
              <w:rPr>
                <w:rFonts w:cs="Arial"/>
                <w:szCs w:val="18"/>
              </w:rPr>
              <w:t>---</w:t>
            </w:r>
          </w:p>
        </w:tc>
      </w:tr>
      <w:tr w:rsidR="00F455BC" w:rsidRPr="006D77D2" w14:paraId="5F6FA683" w14:textId="77777777" w:rsidTr="003F5D28">
        <w:tc>
          <w:tcPr>
            <w:tcW w:w="1134" w:type="dxa"/>
            <w:vMerge/>
            <w:shd w:val="clear" w:color="auto" w:fill="FFFFFF"/>
          </w:tcPr>
          <w:p w14:paraId="3F510286" w14:textId="77777777" w:rsidR="00F455BC" w:rsidRPr="006D77D2" w:rsidRDefault="00F455BC" w:rsidP="00F455BC">
            <w:pPr>
              <w:pStyle w:val="CETBodytext"/>
            </w:pPr>
          </w:p>
        </w:tc>
        <w:tc>
          <w:tcPr>
            <w:tcW w:w="993" w:type="dxa"/>
            <w:shd w:val="clear" w:color="auto" w:fill="FFFFFF"/>
            <w:vAlign w:val="center"/>
          </w:tcPr>
          <w:p w14:paraId="21DAB76E" w14:textId="303DE3A5" w:rsidR="00F455BC" w:rsidRPr="006D77D2" w:rsidRDefault="00F455BC" w:rsidP="00F455BC">
            <w:pPr>
              <w:pStyle w:val="CETBodytext"/>
            </w:pPr>
            <w:r w:rsidRPr="006D77D2">
              <w:rPr>
                <w:rFonts w:cs="Arial"/>
                <w:szCs w:val="18"/>
              </w:rPr>
              <w:t>A</w:t>
            </w:r>
            <w:r w:rsidRPr="006D77D2">
              <w:rPr>
                <w:rFonts w:cs="Arial"/>
                <w:szCs w:val="18"/>
                <w:vertAlign w:val="subscript"/>
              </w:rPr>
              <w:t>rev</w:t>
            </w:r>
          </w:p>
        </w:tc>
        <w:tc>
          <w:tcPr>
            <w:tcW w:w="1062" w:type="dxa"/>
            <w:shd w:val="clear" w:color="auto" w:fill="FFFFFF"/>
            <w:vAlign w:val="center"/>
          </w:tcPr>
          <w:p w14:paraId="5EBBCE40" w14:textId="51531126" w:rsidR="00F455BC" w:rsidRPr="006D77D2" w:rsidRDefault="00F455BC" w:rsidP="00F455BC">
            <w:pPr>
              <w:pStyle w:val="CETBodytext"/>
            </w:pPr>
            <w:r w:rsidRPr="006D77D2">
              <w:rPr>
                <w:rFonts w:cs="Arial"/>
                <w:szCs w:val="18"/>
              </w:rPr>
              <w:t>4.4494×10</w:t>
            </w:r>
            <w:r w:rsidRPr="006D77D2">
              <w:rPr>
                <w:rFonts w:cs="Arial"/>
                <w:szCs w:val="18"/>
                <w:vertAlign w:val="superscript"/>
              </w:rPr>
              <w:t>-3</w:t>
            </w:r>
          </w:p>
        </w:tc>
        <w:tc>
          <w:tcPr>
            <w:tcW w:w="1914" w:type="dxa"/>
            <w:shd w:val="clear" w:color="auto" w:fill="FFFFFF"/>
            <w:vAlign w:val="center"/>
          </w:tcPr>
          <w:p w14:paraId="65E45E8A" w14:textId="7AC5C155" w:rsidR="00F455BC" w:rsidRPr="006D77D2" w:rsidRDefault="00F455BC" w:rsidP="00F455BC">
            <w:pPr>
              <w:pStyle w:val="CETBodytext"/>
            </w:pPr>
            <w:r w:rsidRPr="006D77D2">
              <w:rPr>
                <w:rFonts w:cs="Arial"/>
                <w:szCs w:val="18"/>
              </w:rPr>
              <w:t>L</w:t>
            </w:r>
            <w:r w:rsidRPr="006D77D2">
              <w:rPr>
                <w:rFonts w:cs="Arial"/>
                <w:szCs w:val="18"/>
                <w:vertAlign w:val="superscript"/>
              </w:rPr>
              <w:t>1.6719</w:t>
            </w:r>
            <w:r w:rsidRPr="006D77D2">
              <w:rPr>
                <w:rFonts w:cs="Arial"/>
                <w:szCs w:val="18"/>
              </w:rPr>
              <w:t>/(g∙mol</w:t>
            </w:r>
            <w:r w:rsidRPr="006D77D2">
              <w:rPr>
                <w:rFonts w:cs="Arial"/>
                <w:szCs w:val="18"/>
                <w:vertAlign w:val="superscript"/>
              </w:rPr>
              <w:t>0.6719</w:t>
            </w:r>
            <w:r w:rsidRPr="006D77D2">
              <w:rPr>
                <w:rFonts w:cs="Arial"/>
                <w:szCs w:val="18"/>
              </w:rPr>
              <w:t>∙min)</w:t>
            </w:r>
          </w:p>
        </w:tc>
        <w:tc>
          <w:tcPr>
            <w:tcW w:w="1276" w:type="dxa"/>
            <w:shd w:val="clear" w:color="auto" w:fill="FFFFFF"/>
            <w:vAlign w:val="center"/>
          </w:tcPr>
          <w:p w14:paraId="050BC68D" w14:textId="0F96D49D" w:rsidR="00F455BC" w:rsidRPr="006D77D2" w:rsidRDefault="00F455BC" w:rsidP="00F455BC">
            <w:pPr>
              <w:pStyle w:val="CETBodytext"/>
            </w:pPr>
            <w:r w:rsidRPr="006D77D2">
              <w:rPr>
                <w:rFonts w:cs="Arial"/>
                <w:szCs w:val="18"/>
              </w:rPr>
              <w:t>2.5581</w:t>
            </w:r>
          </w:p>
        </w:tc>
        <w:tc>
          <w:tcPr>
            <w:tcW w:w="2126" w:type="dxa"/>
            <w:shd w:val="clear" w:color="auto" w:fill="FFFFFF"/>
            <w:vAlign w:val="center"/>
          </w:tcPr>
          <w:p w14:paraId="2FCCD0B6" w14:textId="286752E5" w:rsidR="00F455BC" w:rsidRPr="006D77D2" w:rsidRDefault="00F455BC" w:rsidP="00F455BC">
            <w:pPr>
              <w:pStyle w:val="CETBodytext"/>
            </w:pPr>
            <w:r w:rsidRPr="006D77D2">
              <w:rPr>
                <w:rFonts w:cs="Arial"/>
                <w:szCs w:val="18"/>
              </w:rPr>
              <w:t>L</w:t>
            </w:r>
            <w:r w:rsidRPr="006D77D2">
              <w:rPr>
                <w:rFonts w:cs="Arial"/>
                <w:szCs w:val="18"/>
                <w:vertAlign w:val="superscript"/>
              </w:rPr>
              <w:t>2.5808</w:t>
            </w:r>
            <w:r w:rsidRPr="006D77D2">
              <w:rPr>
                <w:rFonts w:cs="Arial"/>
                <w:szCs w:val="18"/>
              </w:rPr>
              <w:t>/(g∙mol</w:t>
            </w:r>
            <w:r w:rsidRPr="006D77D2">
              <w:rPr>
                <w:rFonts w:cs="Arial"/>
                <w:szCs w:val="18"/>
                <w:vertAlign w:val="superscript"/>
              </w:rPr>
              <w:t>1.5808</w:t>
            </w:r>
            <w:r w:rsidRPr="006D77D2">
              <w:rPr>
                <w:rFonts w:cs="Arial"/>
                <w:szCs w:val="18"/>
              </w:rPr>
              <w:t>∙min)</w:t>
            </w:r>
          </w:p>
        </w:tc>
      </w:tr>
      <w:tr w:rsidR="00F455BC" w:rsidRPr="006D77D2" w14:paraId="7744E54A" w14:textId="77777777" w:rsidTr="003F5D28">
        <w:tc>
          <w:tcPr>
            <w:tcW w:w="1134" w:type="dxa"/>
            <w:vMerge/>
            <w:shd w:val="clear" w:color="auto" w:fill="FFFFFF"/>
          </w:tcPr>
          <w:p w14:paraId="6B2F1B31" w14:textId="77777777" w:rsidR="00F455BC" w:rsidRPr="006D77D2" w:rsidRDefault="00F455BC" w:rsidP="00F455BC">
            <w:pPr>
              <w:pStyle w:val="CETBodytext"/>
            </w:pPr>
          </w:p>
        </w:tc>
        <w:tc>
          <w:tcPr>
            <w:tcW w:w="993" w:type="dxa"/>
            <w:shd w:val="clear" w:color="auto" w:fill="FFFFFF"/>
            <w:vAlign w:val="center"/>
          </w:tcPr>
          <w:p w14:paraId="09330AFC" w14:textId="7BE81B16" w:rsidR="00F455BC" w:rsidRPr="006D77D2" w:rsidRDefault="00FD43F9" w:rsidP="00F455BC">
            <w:pPr>
              <w:pStyle w:val="CETBodytext"/>
            </w:pPr>
            <w:r w:rsidRPr="006D77D2">
              <w:rPr>
                <w:rFonts w:cs="Arial"/>
                <w:position w:val="-12"/>
                <w:szCs w:val="18"/>
              </w:rPr>
              <w:object w:dxaOrig="380" w:dyaOrig="320" w14:anchorId="12525734">
                <v:shape id="_x0000_i1058" type="#_x0000_t75" style="width:19pt;height:16.5pt" o:ole="">
                  <v:imagedata r:id="rId75" o:title=""/>
                </v:shape>
                <o:OLEObject Type="Embed" ProgID="Equation.DSMT4" ShapeID="_x0000_i1058" DrawAspect="Content" ObjectID="_1806657718" r:id="rId77"/>
              </w:object>
            </w:r>
          </w:p>
        </w:tc>
        <w:tc>
          <w:tcPr>
            <w:tcW w:w="1062" w:type="dxa"/>
            <w:shd w:val="clear" w:color="auto" w:fill="FFFFFF"/>
            <w:vAlign w:val="center"/>
          </w:tcPr>
          <w:p w14:paraId="0639137B" w14:textId="2598DAFE" w:rsidR="00F455BC" w:rsidRPr="006D77D2" w:rsidRDefault="00F455BC" w:rsidP="00F455BC">
            <w:pPr>
              <w:pStyle w:val="CETBodytext"/>
            </w:pPr>
            <w:r w:rsidRPr="006D77D2">
              <w:rPr>
                <w:rFonts w:cs="Arial"/>
                <w:szCs w:val="18"/>
              </w:rPr>
              <w:t>5.8728×10</w:t>
            </w:r>
            <w:r w:rsidRPr="006D77D2">
              <w:rPr>
                <w:rFonts w:cs="Arial"/>
                <w:szCs w:val="18"/>
                <w:vertAlign w:val="superscript"/>
              </w:rPr>
              <w:t>-2</w:t>
            </w:r>
          </w:p>
        </w:tc>
        <w:tc>
          <w:tcPr>
            <w:tcW w:w="1914" w:type="dxa"/>
            <w:shd w:val="clear" w:color="auto" w:fill="FFFFFF"/>
            <w:vAlign w:val="center"/>
          </w:tcPr>
          <w:p w14:paraId="56AD166C" w14:textId="7416034F" w:rsidR="00F455BC" w:rsidRPr="006D77D2" w:rsidRDefault="00F455BC" w:rsidP="00F455BC">
            <w:pPr>
              <w:pStyle w:val="CETBodytext"/>
            </w:pPr>
            <w:r w:rsidRPr="006D77D2">
              <w:rPr>
                <w:rFonts w:cs="Arial"/>
                <w:szCs w:val="18"/>
              </w:rPr>
              <w:t>kJ/mol</w:t>
            </w:r>
          </w:p>
        </w:tc>
        <w:tc>
          <w:tcPr>
            <w:tcW w:w="1276" w:type="dxa"/>
            <w:shd w:val="clear" w:color="auto" w:fill="FFFFFF"/>
            <w:vAlign w:val="center"/>
          </w:tcPr>
          <w:p w14:paraId="494204AD" w14:textId="0B89E104" w:rsidR="00F455BC" w:rsidRPr="006D77D2" w:rsidRDefault="00F455BC" w:rsidP="00F455BC">
            <w:pPr>
              <w:pStyle w:val="CETBodytext"/>
            </w:pPr>
            <w:r w:rsidRPr="006D77D2">
              <w:rPr>
                <w:rFonts w:cs="Arial"/>
                <w:szCs w:val="18"/>
              </w:rPr>
              <w:t>1.2409×10</w:t>
            </w:r>
            <w:r w:rsidRPr="006D77D2">
              <w:rPr>
                <w:rFonts w:cs="Arial"/>
                <w:szCs w:val="18"/>
                <w:vertAlign w:val="superscript"/>
              </w:rPr>
              <w:t>4</w:t>
            </w:r>
          </w:p>
        </w:tc>
        <w:tc>
          <w:tcPr>
            <w:tcW w:w="2126" w:type="dxa"/>
            <w:shd w:val="clear" w:color="auto" w:fill="FFFFFF"/>
            <w:vAlign w:val="center"/>
          </w:tcPr>
          <w:p w14:paraId="04BA39B7" w14:textId="438A1EE9" w:rsidR="00F455BC" w:rsidRPr="006D77D2" w:rsidRDefault="00F455BC" w:rsidP="00F455BC">
            <w:pPr>
              <w:pStyle w:val="CETBodytext"/>
            </w:pPr>
            <w:r w:rsidRPr="006D77D2">
              <w:rPr>
                <w:rFonts w:cs="Arial"/>
                <w:szCs w:val="18"/>
              </w:rPr>
              <w:t>J/mol</w:t>
            </w:r>
          </w:p>
        </w:tc>
      </w:tr>
      <w:tr w:rsidR="00F455BC" w:rsidRPr="006D77D2" w14:paraId="404D52E0" w14:textId="77777777" w:rsidTr="003F5D28">
        <w:tc>
          <w:tcPr>
            <w:tcW w:w="1134" w:type="dxa"/>
            <w:vMerge/>
            <w:shd w:val="clear" w:color="auto" w:fill="FFFFFF"/>
          </w:tcPr>
          <w:p w14:paraId="032681D2" w14:textId="77777777" w:rsidR="00F455BC" w:rsidRPr="006D77D2" w:rsidRDefault="00F455BC" w:rsidP="00F455BC">
            <w:pPr>
              <w:pStyle w:val="CETBodytext"/>
            </w:pPr>
          </w:p>
        </w:tc>
        <w:tc>
          <w:tcPr>
            <w:tcW w:w="993" w:type="dxa"/>
            <w:shd w:val="clear" w:color="auto" w:fill="FFFFFF"/>
            <w:vAlign w:val="center"/>
          </w:tcPr>
          <w:p w14:paraId="774EFA60" w14:textId="24D09CEC" w:rsidR="00F455BC" w:rsidRPr="006D77D2" w:rsidRDefault="00F455BC" w:rsidP="00F455BC">
            <w:pPr>
              <w:pStyle w:val="CETBodytext"/>
            </w:pPr>
            <w:r w:rsidRPr="006D77D2">
              <w:rPr>
                <w:rFonts w:cs="Arial"/>
                <w:szCs w:val="18"/>
              </w:rPr>
              <w:sym w:font="Symbol" w:char="F067"/>
            </w:r>
          </w:p>
        </w:tc>
        <w:tc>
          <w:tcPr>
            <w:tcW w:w="1062" w:type="dxa"/>
            <w:shd w:val="clear" w:color="auto" w:fill="FFFFFF"/>
            <w:vAlign w:val="center"/>
          </w:tcPr>
          <w:p w14:paraId="2BE831B6" w14:textId="7220E020" w:rsidR="00F455BC" w:rsidRPr="006D77D2" w:rsidRDefault="00F455BC" w:rsidP="00F455BC">
            <w:pPr>
              <w:pStyle w:val="CETBodytext"/>
            </w:pPr>
            <w:r w:rsidRPr="006D77D2">
              <w:rPr>
                <w:rFonts w:cs="Arial"/>
                <w:szCs w:val="18"/>
              </w:rPr>
              <w:t>1.0537</w:t>
            </w:r>
          </w:p>
        </w:tc>
        <w:tc>
          <w:tcPr>
            <w:tcW w:w="1914" w:type="dxa"/>
            <w:shd w:val="clear" w:color="auto" w:fill="FFFFFF"/>
            <w:vAlign w:val="center"/>
          </w:tcPr>
          <w:p w14:paraId="05C7CED7" w14:textId="72431605" w:rsidR="00F455BC" w:rsidRPr="006D77D2" w:rsidRDefault="00F455BC" w:rsidP="00F455BC">
            <w:pPr>
              <w:pStyle w:val="CETBodytext"/>
            </w:pPr>
            <w:r w:rsidRPr="006D77D2">
              <w:rPr>
                <w:rFonts w:cs="Arial"/>
                <w:szCs w:val="18"/>
              </w:rPr>
              <w:t>---</w:t>
            </w:r>
          </w:p>
        </w:tc>
        <w:tc>
          <w:tcPr>
            <w:tcW w:w="1276" w:type="dxa"/>
            <w:shd w:val="clear" w:color="auto" w:fill="FFFFFF"/>
            <w:vAlign w:val="center"/>
          </w:tcPr>
          <w:p w14:paraId="5D56B8AA" w14:textId="12B0BB53" w:rsidR="00F455BC" w:rsidRPr="006D77D2" w:rsidRDefault="00F455BC" w:rsidP="00F455BC">
            <w:pPr>
              <w:pStyle w:val="CETBodytext"/>
            </w:pPr>
            <w:r w:rsidRPr="006D77D2">
              <w:rPr>
                <w:rFonts w:cs="Arial"/>
                <w:szCs w:val="18"/>
              </w:rPr>
              <w:t>2.5703</w:t>
            </w:r>
          </w:p>
        </w:tc>
        <w:tc>
          <w:tcPr>
            <w:tcW w:w="2126" w:type="dxa"/>
            <w:shd w:val="clear" w:color="auto" w:fill="FFFFFF"/>
            <w:vAlign w:val="center"/>
          </w:tcPr>
          <w:p w14:paraId="62F73230" w14:textId="210F1C39" w:rsidR="00F455BC" w:rsidRPr="006D77D2" w:rsidRDefault="00F455BC" w:rsidP="00F455BC">
            <w:pPr>
              <w:pStyle w:val="CETBodytext"/>
            </w:pPr>
            <w:r w:rsidRPr="006D77D2">
              <w:rPr>
                <w:rFonts w:cs="Arial"/>
                <w:szCs w:val="18"/>
              </w:rPr>
              <w:t>---</w:t>
            </w:r>
          </w:p>
        </w:tc>
      </w:tr>
      <w:tr w:rsidR="00F455BC" w:rsidRPr="006D77D2" w14:paraId="4C429BAA" w14:textId="77777777" w:rsidTr="003F5D28">
        <w:tc>
          <w:tcPr>
            <w:tcW w:w="1134" w:type="dxa"/>
            <w:vMerge/>
            <w:shd w:val="clear" w:color="auto" w:fill="FFFFFF"/>
          </w:tcPr>
          <w:p w14:paraId="476645DB" w14:textId="77777777" w:rsidR="00F455BC" w:rsidRPr="006D77D2" w:rsidRDefault="00F455BC" w:rsidP="00F455BC">
            <w:pPr>
              <w:pStyle w:val="CETBodytext"/>
            </w:pPr>
          </w:p>
        </w:tc>
        <w:tc>
          <w:tcPr>
            <w:tcW w:w="993" w:type="dxa"/>
            <w:shd w:val="clear" w:color="auto" w:fill="FFFFFF"/>
            <w:vAlign w:val="center"/>
          </w:tcPr>
          <w:p w14:paraId="3992C038" w14:textId="5BBA6B9B" w:rsidR="00F455BC" w:rsidRPr="006D77D2" w:rsidRDefault="00F455BC" w:rsidP="00F455BC">
            <w:pPr>
              <w:pStyle w:val="CETBodytext"/>
            </w:pPr>
            <w:r w:rsidRPr="006D77D2">
              <w:rPr>
                <w:rFonts w:cs="Arial"/>
                <w:szCs w:val="18"/>
              </w:rPr>
              <w:sym w:font="Symbol" w:char="F064"/>
            </w:r>
          </w:p>
        </w:tc>
        <w:tc>
          <w:tcPr>
            <w:tcW w:w="1062" w:type="dxa"/>
            <w:shd w:val="clear" w:color="auto" w:fill="FFFFFF"/>
            <w:vAlign w:val="center"/>
          </w:tcPr>
          <w:p w14:paraId="4DE50021" w14:textId="19BEFC4B" w:rsidR="00F455BC" w:rsidRPr="006D77D2" w:rsidRDefault="00F455BC" w:rsidP="00F455BC">
            <w:pPr>
              <w:pStyle w:val="CETBodytext"/>
            </w:pPr>
            <w:r w:rsidRPr="006D77D2">
              <w:rPr>
                <w:rFonts w:cs="Arial"/>
                <w:szCs w:val="18"/>
              </w:rPr>
              <w:t>0.6182</w:t>
            </w:r>
          </w:p>
        </w:tc>
        <w:tc>
          <w:tcPr>
            <w:tcW w:w="1914" w:type="dxa"/>
            <w:shd w:val="clear" w:color="auto" w:fill="FFFFFF"/>
            <w:vAlign w:val="center"/>
          </w:tcPr>
          <w:p w14:paraId="6542DF62" w14:textId="4EE17AB3" w:rsidR="00F455BC" w:rsidRPr="006D77D2" w:rsidRDefault="00F455BC" w:rsidP="00F455BC">
            <w:pPr>
              <w:pStyle w:val="CETBodytext"/>
            </w:pPr>
            <w:r w:rsidRPr="006D77D2">
              <w:rPr>
                <w:rFonts w:cs="Arial"/>
                <w:szCs w:val="18"/>
              </w:rPr>
              <w:t>---</w:t>
            </w:r>
          </w:p>
        </w:tc>
        <w:tc>
          <w:tcPr>
            <w:tcW w:w="1276" w:type="dxa"/>
            <w:shd w:val="clear" w:color="auto" w:fill="FFFFFF"/>
            <w:vAlign w:val="center"/>
          </w:tcPr>
          <w:p w14:paraId="518093EF" w14:textId="3B2CFA5F" w:rsidR="00F455BC" w:rsidRPr="006D77D2" w:rsidRDefault="00F455BC" w:rsidP="00F455BC">
            <w:pPr>
              <w:pStyle w:val="CETBodytext"/>
            </w:pPr>
            <w:r w:rsidRPr="006D77D2">
              <w:rPr>
                <w:rFonts w:cs="Arial"/>
                <w:szCs w:val="18"/>
              </w:rPr>
              <w:t>1.0553×10</w:t>
            </w:r>
            <w:r w:rsidRPr="006D77D2">
              <w:rPr>
                <w:rFonts w:cs="Arial"/>
                <w:szCs w:val="18"/>
                <w:vertAlign w:val="superscript"/>
              </w:rPr>
              <w:t>-2</w:t>
            </w:r>
          </w:p>
        </w:tc>
        <w:tc>
          <w:tcPr>
            <w:tcW w:w="2126" w:type="dxa"/>
            <w:shd w:val="clear" w:color="auto" w:fill="FFFFFF"/>
            <w:vAlign w:val="center"/>
          </w:tcPr>
          <w:p w14:paraId="4CB80FCA" w14:textId="478DE414" w:rsidR="00F455BC" w:rsidRPr="006D77D2" w:rsidRDefault="00F455BC" w:rsidP="00F455BC">
            <w:pPr>
              <w:pStyle w:val="CETBodytext"/>
            </w:pPr>
            <w:r w:rsidRPr="006D77D2">
              <w:rPr>
                <w:rFonts w:cs="Arial"/>
                <w:szCs w:val="18"/>
              </w:rPr>
              <w:t>---</w:t>
            </w:r>
          </w:p>
        </w:tc>
      </w:tr>
    </w:tbl>
    <w:p w14:paraId="6B6574D7" w14:textId="3E7E1753" w:rsidR="0032174D" w:rsidRPr="006D77D2" w:rsidRDefault="0032174D" w:rsidP="0032174D">
      <w:pPr>
        <w:spacing w:line="240" w:lineRule="auto"/>
        <w:rPr>
          <w:rFonts w:cs="Arial"/>
          <w:bCs/>
          <w:szCs w:val="18"/>
          <w:lang w:val="en-US"/>
        </w:rPr>
      </w:pPr>
      <w:r w:rsidRPr="006D77D2">
        <w:rPr>
          <w:rFonts w:cs="Arial"/>
          <w:bCs/>
          <w:szCs w:val="18"/>
          <w:lang w:val="en-US"/>
        </w:rPr>
        <w:lastRenderedPageBreak/>
        <w:t xml:space="preserve">Finally, Table 4 displays the adjusted kinetic parameters obtained using elementary and non-elementary rate laws for both cases. The parameters include </w:t>
      </w:r>
      <w:proofErr w:type="gramStart"/>
      <w:r w:rsidRPr="006D77D2">
        <w:rPr>
          <w:rFonts w:cs="Arial"/>
          <w:bCs/>
          <w:szCs w:val="18"/>
          <w:lang w:val="en-US"/>
        </w:rPr>
        <w:t>the pre</w:t>
      </w:r>
      <w:proofErr w:type="gramEnd"/>
      <w:r w:rsidRPr="006D77D2">
        <w:rPr>
          <w:rFonts w:cs="Arial"/>
          <w:bCs/>
          <w:szCs w:val="18"/>
          <w:lang w:val="en-US"/>
        </w:rPr>
        <w:t>-exponential factors (A and A</w:t>
      </w:r>
      <w:r w:rsidRPr="006D77D2">
        <w:rPr>
          <w:rFonts w:cs="Arial"/>
          <w:bCs/>
          <w:szCs w:val="18"/>
          <w:vertAlign w:val="subscript"/>
          <w:lang w:val="en-US"/>
        </w:rPr>
        <w:t>rev</w:t>
      </w:r>
      <w:r w:rsidRPr="006D77D2">
        <w:rPr>
          <w:rFonts w:cs="Arial"/>
          <w:bCs/>
          <w:szCs w:val="18"/>
          <w:lang w:val="en-US"/>
        </w:rPr>
        <w:t>), activation energies (</w:t>
      </w:r>
      <w:proofErr w:type="spellStart"/>
      <w:r w:rsidRPr="006D77D2">
        <w:rPr>
          <w:rFonts w:cs="Arial"/>
          <w:bCs/>
          <w:szCs w:val="18"/>
          <w:lang w:val="en-US"/>
        </w:rPr>
        <w:t>E</w:t>
      </w:r>
      <w:r w:rsidRPr="006D77D2">
        <w:rPr>
          <w:rFonts w:cs="Arial"/>
          <w:bCs/>
          <w:szCs w:val="18"/>
          <w:vertAlign w:val="subscript"/>
          <w:lang w:val="en-US"/>
        </w:rPr>
        <w:t>a</w:t>
      </w:r>
      <w:proofErr w:type="spellEnd"/>
      <w:r w:rsidRPr="006D77D2">
        <w:rPr>
          <w:rFonts w:cs="Arial"/>
          <w:bCs/>
          <w:szCs w:val="18"/>
          <w:lang w:val="en-US"/>
        </w:rPr>
        <w:t xml:space="preserve"> and </w:t>
      </w:r>
      <w:r w:rsidRPr="006D77D2">
        <w:rPr>
          <w:rFonts w:cs="Arial"/>
          <w:position w:val="-12"/>
          <w:szCs w:val="18"/>
          <w:lang w:val="en-US"/>
        </w:rPr>
        <w:object w:dxaOrig="380" w:dyaOrig="320" w14:anchorId="2E40460E">
          <v:shape id="_x0000_i1059" type="#_x0000_t75" style="width:19pt;height:16.5pt" o:ole="">
            <v:imagedata r:id="rId75" o:title=""/>
          </v:shape>
          <o:OLEObject Type="Embed" ProgID="Equation.DSMT4" ShapeID="_x0000_i1059" DrawAspect="Content" ObjectID="_1806657719" r:id="rId78"/>
        </w:object>
      </w:r>
      <w:r w:rsidRPr="006D77D2">
        <w:rPr>
          <w:rFonts w:cs="Arial"/>
          <w:bCs/>
          <w:szCs w:val="18"/>
          <w:lang w:val="en-US"/>
        </w:rPr>
        <w:t>), and reaction orders (</w:t>
      </w:r>
      <w:r w:rsidRPr="006D77D2">
        <w:rPr>
          <w:rFonts w:cs="Arial"/>
          <w:bCs/>
          <w:szCs w:val="18"/>
          <w:lang w:val="en-US"/>
        </w:rPr>
        <w:sym w:font="Symbol" w:char="F061"/>
      </w:r>
      <w:r w:rsidRPr="006D77D2">
        <w:rPr>
          <w:rFonts w:cs="Arial"/>
          <w:bCs/>
          <w:szCs w:val="18"/>
          <w:lang w:val="en-US"/>
        </w:rPr>
        <w:t xml:space="preserve">, </w:t>
      </w:r>
      <w:r w:rsidRPr="006D77D2">
        <w:rPr>
          <w:rFonts w:cs="Arial"/>
          <w:bCs/>
          <w:szCs w:val="18"/>
          <w:lang w:val="en-US"/>
        </w:rPr>
        <w:sym w:font="Symbol" w:char="F062"/>
      </w:r>
      <w:r w:rsidRPr="006D77D2">
        <w:rPr>
          <w:rFonts w:cs="Arial"/>
          <w:bCs/>
          <w:szCs w:val="18"/>
          <w:lang w:val="en-US"/>
        </w:rPr>
        <w:t xml:space="preserve">, </w:t>
      </w:r>
      <w:r w:rsidRPr="006D77D2">
        <w:rPr>
          <w:rFonts w:cs="Arial"/>
          <w:bCs/>
          <w:szCs w:val="18"/>
          <w:lang w:val="en-US"/>
        </w:rPr>
        <w:sym w:font="Symbol" w:char="F067"/>
      </w:r>
      <w:r w:rsidRPr="006D77D2">
        <w:rPr>
          <w:rFonts w:cs="Arial"/>
          <w:bCs/>
          <w:szCs w:val="18"/>
          <w:lang w:val="en-US"/>
        </w:rPr>
        <w:t xml:space="preserve"> and </w:t>
      </w:r>
      <w:r w:rsidRPr="006D77D2">
        <w:rPr>
          <w:rFonts w:cs="Arial"/>
          <w:bCs/>
          <w:szCs w:val="18"/>
          <w:lang w:val="en-US"/>
        </w:rPr>
        <w:sym w:font="Symbol" w:char="F064"/>
      </w:r>
      <w:r w:rsidRPr="006D77D2">
        <w:rPr>
          <w:rFonts w:cs="Arial"/>
          <w:bCs/>
          <w:szCs w:val="18"/>
          <w:lang w:val="en-US"/>
        </w:rPr>
        <w:t>). The values of these parameters differ between the two cases due to the different catalysts and reaction conditions employed. The non-elementary rate law introduces additional parameters (reaction orders) to account for the non-linear dependence of the reaction rate on the concentrations of the reactants. These parameters enable a more precise description of the reaction kinetics, as evidenced by the lower ARD values in Table 3.</w:t>
      </w:r>
    </w:p>
    <w:p w14:paraId="68D26B83" w14:textId="1EB04576" w:rsidR="00600535" w:rsidRPr="006D77D2" w:rsidRDefault="00600535" w:rsidP="00940A3C">
      <w:pPr>
        <w:pStyle w:val="CETHeading1"/>
        <w:numPr>
          <w:ilvl w:val="0"/>
          <w:numId w:val="0"/>
        </w:numPr>
        <w:rPr>
          <w:rFonts w:cs="Arial"/>
          <w:lang w:val="en-GB"/>
        </w:rPr>
      </w:pPr>
      <w:r w:rsidRPr="006D77D2">
        <w:rPr>
          <w:rFonts w:cs="Arial"/>
          <w:lang w:val="en-GB"/>
        </w:rPr>
        <w:t>Conclusions</w:t>
      </w:r>
    </w:p>
    <w:p w14:paraId="3055859F" w14:textId="36067752" w:rsidR="008E381B" w:rsidRPr="006D77D2" w:rsidRDefault="008E381B" w:rsidP="00940A3C">
      <w:pPr>
        <w:pStyle w:val="CETHeadingxx"/>
        <w:jc w:val="both"/>
        <w:rPr>
          <w:rFonts w:cs="Arial"/>
          <w:b w:val="0"/>
          <w:lang w:val="en-GB"/>
        </w:rPr>
      </w:pPr>
      <w:r w:rsidRPr="006D77D2">
        <w:rPr>
          <w:rFonts w:cs="Arial"/>
          <w:b w:val="0"/>
          <w:lang w:val="en-GB"/>
        </w:rPr>
        <w:t xml:space="preserve">This study presented a comprehensive methodology for estimating kinetic parameters in the synthesis of glycerol carbonate (GC) through the transesterification of glycerol and dimethyl carbonate using heterogeneous catalysts under varying conditions. By </w:t>
      </w:r>
      <w:proofErr w:type="spellStart"/>
      <w:r w:rsidRPr="006D77D2">
        <w:rPr>
          <w:rFonts w:cs="Arial"/>
          <w:b w:val="0"/>
          <w:lang w:val="en-GB"/>
        </w:rPr>
        <w:t>analyzing</w:t>
      </w:r>
      <w:proofErr w:type="spellEnd"/>
      <w:r w:rsidRPr="006D77D2">
        <w:rPr>
          <w:rFonts w:cs="Arial"/>
          <w:b w:val="0"/>
          <w:lang w:val="en-GB"/>
        </w:rPr>
        <w:t xml:space="preserve"> two experimental datasets—one using CaO and the other carbide slag as catalysts—the results demonstrated that non-elementary kinetic models provided a consistently better fit to experimental data compared to elementary ones, capturing </w:t>
      </w:r>
      <w:r w:rsidR="003C789E" w:rsidRPr="006D77D2">
        <w:rPr>
          <w:rFonts w:cs="Arial"/>
          <w:b w:val="0"/>
          <w:lang w:val="en-GB"/>
        </w:rPr>
        <w:t>possible</w:t>
      </w:r>
      <w:r w:rsidRPr="006D77D2">
        <w:rPr>
          <w:rFonts w:cs="Arial"/>
          <w:b w:val="0"/>
          <w:lang w:val="en-GB"/>
        </w:rPr>
        <w:t xml:space="preserve"> complexit</w:t>
      </w:r>
      <w:r w:rsidR="003C789E" w:rsidRPr="006D77D2">
        <w:rPr>
          <w:rFonts w:cs="Arial"/>
          <w:b w:val="0"/>
          <w:lang w:val="en-GB"/>
        </w:rPr>
        <w:t>ies</w:t>
      </w:r>
      <w:r w:rsidRPr="006D77D2">
        <w:rPr>
          <w:rFonts w:cs="Arial"/>
          <w:b w:val="0"/>
          <w:lang w:val="en-GB"/>
        </w:rPr>
        <w:t xml:space="preserve"> of the reaction mechanism. The superior performance of the carbide slag catalyst over CaO, particularly under identical conditions, underscores the significance of catalyst selection and optimization in enhancing reaction efficiency. Additionally, the study highlighted the influence of key parameters such as temperature and the molar ratio of dimethyl carbonate to glycerol, reaffirming their critical role in determining reaction kinetics. Beyond its technical contributions, this work serves as a practical guide for chemical engineering students and researchers, bridging theoretical principles with real-world applications and emphasizing the importance of accurate kinetic models in optimizing reaction conditions and designing efficient chemical processes. As future research could explore mass transfer effects, catalyst deactivation</w:t>
      </w:r>
      <w:r w:rsidR="00A129B7" w:rsidRPr="006D77D2">
        <w:rPr>
          <w:rFonts w:cs="Arial"/>
          <w:b w:val="0"/>
          <w:lang w:val="en-GB"/>
        </w:rPr>
        <w:t>, effectiveness factor</w:t>
      </w:r>
      <w:r w:rsidRPr="006D77D2">
        <w:rPr>
          <w:rFonts w:cs="Arial"/>
          <w:b w:val="0"/>
          <w:lang w:val="en-GB"/>
        </w:rPr>
        <w:t>, and broader experimental datasets to further refine kinetic models, thereby enhancing their predictive accuracy and industrial applicability. Overall, this work not only advances sustainable GC production processes but also reinforces the value of kinetic parameter estimation in both academic and industrial contexts.</w:t>
      </w:r>
    </w:p>
    <w:p w14:paraId="4F1327F8" w14:textId="77777777" w:rsidR="00600535" w:rsidRPr="00B00040" w:rsidRDefault="00600535" w:rsidP="00940A3C">
      <w:pPr>
        <w:pStyle w:val="CETReference"/>
        <w:rPr>
          <w:rFonts w:cs="Arial"/>
          <w:lang w:val="es-MX"/>
        </w:rPr>
      </w:pPr>
      <w:proofErr w:type="spellStart"/>
      <w:r w:rsidRPr="00B00040">
        <w:rPr>
          <w:rFonts w:cs="Arial"/>
          <w:lang w:val="es-MX"/>
        </w:rPr>
        <w:t>References</w:t>
      </w:r>
      <w:proofErr w:type="spellEnd"/>
    </w:p>
    <w:p w14:paraId="6905840A" w14:textId="6F49C80C" w:rsidR="001A2584" w:rsidRPr="006D77D2" w:rsidRDefault="009F1B6F" w:rsidP="001A2584">
      <w:pPr>
        <w:widowControl w:val="0"/>
        <w:autoSpaceDE w:val="0"/>
        <w:autoSpaceDN w:val="0"/>
        <w:adjustRightInd w:val="0"/>
        <w:spacing w:line="240" w:lineRule="auto"/>
        <w:ind w:left="480" w:hanging="480"/>
        <w:rPr>
          <w:rFonts w:cs="Arial"/>
          <w:noProof/>
        </w:rPr>
      </w:pPr>
      <w:r w:rsidRPr="006D77D2">
        <w:rPr>
          <w:rFonts w:cs="Arial"/>
          <w:szCs w:val="18"/>
        </w:rPr>
        <w:fldChar w:fldCharType="begin" w:fldLock="1"/>
      </w:r>
      <w:r w:rsidRPr="00B00040">
        <w:rPr>
          <w:rFonts w:cs="Arial"/>
          <w:szCs w:val="18"/>
          <w:lang w:val="es-MX"/>
        </w:rPr>
        <w:instrText xml:space="preserve">ADDIN Mendeley Bibliography CSL_BIBLIOGRAPHY </w:instrText>
      </w:r>
      <w:r w:rsidRPr="006D77D2">
        <w:rPr>
          <w:rFonts w:cs="Arial"/>
          <w:szCs w:val="18"/>
        </w:rPr>
        <w:fldChar w:fldCharType="separate"/>
      </w:r>
      <w:r w:rsidR="001A2584" w:rsidRPr="00B00040">
        <w:rPr>
          <w:rFonts w:cs="Arial"/>
          <w:noProof/>
          <w:lang w:val="es-MX"/>
        </w:rPr>
        <w:t xml:space="preserve">Assumpção, Daniel C., Maria Ingrid R. Barbosa, Adriano P. Mariano, André Jardini, Maria Regina W. Maciel, and Rubens Maciel Filho. </w:t>
      </w:r>
      <w:r w:rsidR="001A2584" w:rsidRPr="006D77D2">
        <w:rPr>
          <w:rFonts w:cs="Arial"/>
          <w:noProof/>
        </w:rPr>
        <w:t xml:space="preserve">2018. “Investigation for Sustainable Polymers - Insights for the Use of Glycerol as a Biorefinery Product for the Synthesis of Monomers and Polymers.” </w:t>
      </w:r>
      <w:r w:rsidR="001A2584" w:rsidRPr="006D77D2">
        <w:rPr>
          <w:rFonts w:cs="Arial"/>
          <w:i/>
          <w:iCs/>
          <w:noProof/>
        </w:rPr>
        <w:t>Chemical Engineering Transactions</w:t>
      </w:r>
      <w:r w:rsidR="001A2584" w:rsidRPr="006D77D2">
        <w:rPr>
          <w:rFonts w:cs="Arial"/>
          <w:noProof/>
        </w:rPr>
        <w:t xml:space="preserve"> 65:703–8. doi: 10.3303/CET1865118.</w:t>
      </w:r>
    </w:p>
    <w:p w14:paraId="13A753B2" w14:textId="77777777" w:rsidR="001A2584" w:rsidRPr="006D77D2" w:rsidRDefault="001A2584" w:rsidP="001A2584">
      <w:pPr>
        <w:widowControl w:val="0"/>
        <w:autoSpaceDE w:val="0"/>
        <w:autoSpaceDN w:val="0"/>
        <w:adjustRightInd w:val="0"/>
        <w:spacing w:line="240" w:lineRule="auto"/>
        <w:ind w:left="480" w:hanging="480"/>
        <w:rPr>
          <w:rFonts w:cs="Arial"/>
          <w:noProof/>
        </w:rPr>
      </w:pPr>
      <w:r w:rsidRPr="006D77D2">
        <w:rPr>
          <w:rFonts w:cs="Arial"/>
          <w:noProof/>
        </w:rPr>
        <w:t xml:space="preserve">Fogler, H. Scott. 2022. </w:t>
      </w:r>
      <w:r w:rsidRPr="006D77D2">
        <w:rPr>
          <w:rFonts w:cs="Arial"/>
          <w:i/>
          <w:iCs/>
          <w:noProof/>
        </w:rPr>
        <w:t>Elements of Chemical Reaction Engineering</w:t>
      </w:r>
      <w:r w:rsidRPr="006D77D2">
        <w:rPr>
          <w:rFonts w:cs="Arial"/>
          <w:noProof/>
        </w:rPr>
        <w:t>. 6th ed. Harlow, UK: Pearson Education Limited.</w:t>
      </w:r>
    </w:p>
    <w:p w14:paraId="154281E6" w14:textId="77777777" w:rsidR="001A2584" w:rsidRPr="006D77D2" w:rsidRDefault="001A2584" w:rsidP="001A2584">
      <w:pPr>
        <w:widowControl w:val="0"/>
        <w:autoSpaceDE w:val="0"/>
        <w:autoSpaceDN w:val="0"/>
        <w:adjustRightInd w:val="0"/>
        <w:spacing w:line="240" w:lineRule="auto"/>
        <w:ind w:left="480" w:hanging="480"/>
        <w:rPr>
          <w:rFonts w:cs="Arial"/>
          <w:noProof/>
        </w:rPr>
      </w:pPr>
      <w:r w:rsidRPr="006D77D2">
        <w:rPr>
          <w:rFonts w:cs="Arial"/>
          <w:noProof/>
        </w:rPr>
        <w:t xml:space="preserve">Hejna, Aleksander, Paulina Kosmela, Krzysztof Formela, Łukasz Piszczyk, and Józef T. Haponiuk. 2016. “Potential Applications of Crude Glycerol in Polymer Technology–Current State and Perspectives.” </w:t>
      </w:r>
      <w:r w:rsidRPr="006D77D2">
        <w:rPr>
          <w:rFonts w:cs="Arial"/>
          <w:i/>
          <w:iCs/>
          <w:noProof/>
        </w:rPr>
        <w:t>Renewable and Sustainable Energy Reviews</w:t>
      </w:r>
      <w:r w:rsidRPr="006D77D2">
        <w:rPr>
          <w:rFonts w:cs="Arial"/>
          <w:noProof/>
        </w:rPr>
        <w:t xml:space="preserve"> 66:449–75. doi: 10.1016/j.rser.2016.08.020.</w:t>
      </w:r>
    </w:p>
    <w:p w14:paraId="337E0ACE" w14:textId="77777777" w:rsidR="001A2584" w:rsidRPr="006D77D2" w:rsidRDefault="001A2584" w:rsidP="001A2584">
      <w:pPr>
        <w:widowControl w:val="0"/>
        <w:autoSpaceDE w:val="0"/>
        <w:autoSpaceDN w:val="0"/>
        <w:adjustRightInd w:val="0"/>
        <w:spacing w:line="240" w:lineRule="auto"/>
        <w:ind w:left="480" w:hanging="480"/>
        <w:rPr>
          <w:rFonts w:cs="Arial"/>
          <w:noProof/>
        </w:rPr>
      </w:pPr>
      <w:r w:rsidRPr="006D77D2">
        <w:rPr>
          <w:rFonts w:cs="Arial"/>
          <w:noProof/>
        </w:rPr>
        <w:t xml:space="preserve">Kojčinović, Aleksa, Blaž Likozar, and Miha Grilc. 2022. “Heterogeneous Catalytic Materials for Carboxylation Reactions with CO2 as Reactant.” </w:t>
      </w:r>
      <w:r w:rsidRPr="006D77D2">
        <w:rPr>
          <w:rFonts w:cs="Arial"/>
          <w:i/>
          <w:iCs/>
          <w:noProof/>
        </w:rPr>
        <w:t>Journal of CO2 Utilization</w:t>
      </w:r>
      <w:r w:rsidRPr="006D77D2">
        <w:rPr>
          <w:rFonts w:cs="Arial"/>
          <w:noProof/>
        </w:rPr>
        <w:t xml:space="preserve"> 66(October):102250. doi: 10.1016/j.jcou.2022.102250.</w:t>
      </w:r>
    </w:p>
    <w:p w14:paraId="057147CC" w14:textId="77777777" w:rsidR="001A2584" w:rsidRPr="006D77D2" w:rsidRDefault="001A2584" w:rsidP="001A2584">
      <w:pPr>
        <w:widowControl w:val="0"/>
        <w:autoSpaceDE w:val="0"/>
        <w:autoSpaceDN w:val="0"/>
        <w:adjustRightInd w:val="0"/>
        <w:spacing w:line="240" w:lineRule="auto"/>
        <w:ind w:left="480" w:hanging="480"/>
        <w:rPr>
          <w:rFonts w:cs="Arial"/>
          <w:noProof/>
        </w:rPr>
      </w:pPr>
      <w:r w:rsidRPr="006D77D2">
        <w:rPr>
          <w:rFonts w:cs="Arial"/>
          <w:noProof/>
        </w:rPr>
        <w:t xml:space="preserve">Lu, Pengfei, Huajun Wang, and Keke Hu. 2013. “Synthesis of Glycerol Carbonate from Glycerol and Dimethyl Carbonate over the Extruded CaO-Based Catalyst.” </w:t>
      </w:r>
      <w:r w:rsidRPr="006D77D2">
        <w:rPr>
          <w:rFonts w:cs="Arial"/>
          <w:i/>
          <w:iCs/>
          <w:noProof/>
        </w:rPr>
        <w:t>Chemical Engineering Journal</w:t>
      </w:r>
      <w:r w:rsidRPr="006D77D2">
        <w:rPr>
          <w:rFonts w:cs="Arial"/>
          <w:noProof/>
        </w:rPr>
        <w:t xml:space="preserve"> 228:147–54. doi: 10.1016/j.cej.2013.04.109.</w:t>
      </w:r>
    </w:p>
    <w:p w14:paraId="65DC111C" w14:textId="77777777" w:rsidR="001A2584" w:rsidRPr="006D77D2" w:rsidRDefault="001A2584" w:rsidP="001A2584">
      <w:pPr>
        <w:widowControl w:val="0"/>
        <w:autoSpaceDE w:val="0"/>
        <w:autoSpaceDN w:val="0"/>
        <w:adjustRightInd w:val="0"/>
        <w:spacing w:line="240" w:lineRule="auto"/>
        <w:ind w:left="480" w:hanging="480"/>
        <w:rPr>
          <w:rFonts w:cs="Arial"/>
          <w:noProof/>
        </w:rPr>
      </w:pPr>
      <w:r w:rsidRPr="006D77D2">
        <w:rPr>
          <w:rFonts w:cs="Arial"/>
          <w:noProof/>
        </w:rPr>
        <w:t xml:space="preserve">Lukato, Simon, Gabriel N. Kasozi, Betty Naziriwo, and Emmanuel Tebandeke. 2021. “Glycerol Carbonylation with CO2 to Form Glycerol Carbonate: A Review of Recent Developments and Challenges.” </w:t>
      </w:r>
      <w:r w:rsidRPr="006D77D2">
        <w:rPr>
          <w:rFonts w:cs="Arial"/>
          <w:i/>
          <w:iCs/>
          <w:noProof/>
        </w:rPr>
        <w:t>Current Research in Green and Sustainable Chemistry</w:t>
      </w:r>
      <w:r w:rsidRPr="006D77D2">
        <w:rPr>
          <w:rFonts w:cs="Arial"/>
          <w:noProof/>
        </w:rPr>
        <w:t xml:space="preserve"> 4(May):100199. doi: 10.1016/j.crgsc.2021.100199.</w:t>
      </w:r>
    </w:p>
    <w:p w14:paraId="46893B42" w14:textId="77777777" w:rsidR="001A2584" w:rsidRPr="006D77D2" w:rsidRDefault="001A2584" w:rsidP="001A2584">
      <w:pPr>
        <w:widowControl w:val="0"/>
        <w:autoSpaceDE w:val="0"/>
        <w:autoSpaceDN w:val="0"/>
        <w:adjustRightInd w:val="0"/>
        <w:spacing w:line="240" w:lineRule="auto"/>
        <w:ind w:left="480" w:hanging="480"/>
        <w:rPr>
          <w:rFonts w:cs="Arial"/>
          <w:noProof/>
        </w:rPr>
      </w:pPr>
      <w:r w:rsidRPr="006D77D2">
        <w:rPr>
          <w:rFonts w:cs="Arial"/>
          <w:noProof/>
        </w:rPr>
        <w:t>MMR. 2024. “Glycerol Carbonate Market – Global Industry Analysis and Forecast (2024-2030).” Retrieved July 31, 2024 (https://www.maximizemarketresearch.com/market-report/global-glycerol-carbonate-market/119135/).</w:t>
      </w:r>
    </w:p>
    <w:p w14:paraId="19B335E2" w14:textId="77777777" w:rsidR="001A2584" w:rsidRPr="006D77D2" w:rsidRDefault="001A2584" w:rsidP="001A2584">
      <w:pPr>
        <w:widowControl w:val="0"/>
        <w:autoSpaceDE w:val="0"/>
        <w:autoSpaceDN w:val="0"/>
        <w:adjustRightInd w:val="0"/>
        <w:spacing w:line="240" w:lineRule="auto"/>
        <w:ind w:left="480" w:hanging="480"/>
        <w:rPr>
          <w:rFonts w:cs="Arial"/>
          <w:noProof/>
        </w:rPr>
      </w:pPr>
      <w:r w:rsidRPr="00B00040">
        <w:rPr>
          <w:rFonts w:cs="Arial"/>
          <w:noProof/>
          <w:lang w:val="es-MX"/>
        </w:rPr>
        <w:t xml:space="preserve">Ochoa-Gómez, José R., Olga Gómez-Jiménez-Aberasturi, Belén Maestro-Madurga, Amaia Pesquera-Rodríguez, Camilo Ramírez-López, Leire Lorenzo-Ibarreta, Jesús Torrecilla-Soria, and María C. Villarán-Velasco. </w:t>
      </w:r>
      <w:r w:rsidRPr="006D77D2">
        <w:rPr>
          <w:rFonts w:cs="Arial"/>
          <w:noProof/>
        </w:rPr>
        <w:t xml:space="preserve">2009. “Synthesis of Glycerol Carbonate from Glycerol and Dimethyl Carbonate by Transesterification: Catalyst Screening and Reaction Optimization.” </w:t>
      </w:r>
      <w:r w:rsidRPr="006D77D2">
        <w:rPr>
          <w:rFonts w:cs="Arial"/>
          <w:i/>
          <w:iCs/>
          <w:noProof/>
        </w:rPr>
        <w:t>Applied Catalysis A: General</w:t>
      </w:r>
      <w:r w:rsidRPr="006D77D2">
        <w:rPr>
          <w:rFonts w:cs="Arial"/>
          <w:noProof/>
        </w:rPr>
        <w:t xml:space="preserve"> 366(2):315–24. doi: 10.1016/j.apcata.2009.07.020.</w:t>
      </w:r>
    </w:p>
    <w:p w14:paraId="0B26EFF4" w14:textId="77777777" w:rsidR="001A2584" w:rsidRPr="006D77D2" w:rsidRDefault="001A2584" w:rsidP="001A2584">
      <w:pPr>
        <w:widowControl w:val="0"/>
        <w:autoSpaceDE w:val="0"/>
        <w:autoSpaceDN w:val="0"/>
        <w:adjustRightInd w:val="0"/>
        <w:spacing w:line="240" w:lineRule="auto"/>
        <w:ind w:left="480" w:hanging="480"/>
        <w:rPr>
          <w:rFonts w:cs="Arial"/>
          <w:noProof/>
        </w:rPr>
      </w:pPr>
      <w:r w:rsidRPr="006D77D2">
        <w:rPr>
          <w:rFonts w:cs="Arial"/>
          <w:noProof/>
        </w:rPr>
        <w:t>Praikaew, Wanichaya, Worapon Kiatkittipong, Farid Aiouache, Vesna Najdanovic</w:t>
      </w:r>
      <w:r w:rsidRPr="006D77D2">
        <w:rPr>
          <w:rFonts w:ascii="Cambria Math" w:hAnsi="Cambria Math" w:cs="Cambria Math"/>
          <w:noProof/>
        </w:rPr>
        <w:t>‐</w:t>
      </w:r>
      <w:r w:rsidRPr="006D77D2">
        <w:rPr>
          <w:rFonts w:cs="Arial"/>
          <w:noProof/>
        </w:rPr>
        <w:t xml:space="preserve">Visak, Mutsee Termtanun, Jun Wei Lim, Su Shiung Lam, Kunlanan Kiatkittipong, Navadol Laosiripojana, Sunya Boonyasuwat, and Suttichai Assabumrungrat. 2022. “Mechanism of CaO Catalyst Deactivation with Unconventional Monitoring Method for Glycerol Carbonate Production via Transesterification of Glycerol with Dimethyl Carbonate.” </w:t>
      </w:r>
      <w:r w:rsidRPr="006D77D2">
        <w:rPr>
          <w:rFonts w:cs="Arial"/>
          <w:i/>
          <w:iCs/>
          <w:noProof/>
        </w:rPr>
        <w:t>International Journal of Energy Research</w:t>
      </w:r>
      <w:r w:rsidRPr="006D77D2">
        <w:rPr>
          <w:rFonts w:cs="Arial"/>
          <w:noProof/>
        </w:rPr>
        <w:t xml:space="preserve"> 46(2):1646–58. doi: 10.1002/er.7281.</w:t>
      </w:r>
    </w:p>
    <w:p w14:paraId="7EE50F9F" w14:textId="34953A74" w:rsidR="0097042C" w:rsidRPr="009F1B6F" w:rsidRDefault="001A2584" w:rsidP="0097042C">
      <w:pPr>
        <w:widowControl w:val="0"/>
        <w:autoSpaceDE w:val="0"/>
        <w:autoSpaceDN w:val="0"/>
        <w:adjustRightInd w:val="0"/>
        <w:spacing w:line="240" w:lineRule="auto"/>
        <w:ind w:left="480" w:hanging="480"/>
        <w:rPr>
          <w:rFonts w:cs="Arial"/>
          <w:szCs w:val="18"/>
        </w:rPr>
      </w:pPr>
      <w:r w:rsidRPr="006D77D2">
        <w:rPr>
          <w:rFonts w:cs="Arial"/>
          <w:noProof/>
        </w:rPr>
        <w:t xml:space="preserve">Wang, Jianye, Zhu Wang, Haifeng Liu, Song Wang, and Yifeng Sun. 2021. “Synthesis of Glycerol Carbonate from Glycerol and Dimethyl Carbonate Catalyzed by Solid Base Catalyst Derived from Waste Carbide Slag” edited by V. H. Perez. </w:t>
      </w:r>
      <w:r w:rsidRPr="006D77D2">
        <w:rPr>
          <w:rFonts w:cs="Arial"/>
          <w:i/>
          <w:iCs/>
          <w:noProof/>
        </w:rPr>
        <w:t>International Journal of Polymer Science</w:t>
      </w:r>
      <w:r w:rsidRPr="006D77D2">
        <w:rPr>
          <w:rFonts w:cs="Arial"/>
          <w:noProof/>
        </w:rPr>
        <w:t xml:space="preserve"> 2021(i):1–14. doi: 10.1155/2021/9300442.</w:t>
      </w:r>
      <w:r w:rsidR="009F1B6F" w:rsidRPr="006D77D2">
        <w:rPr>
          <w:rFonts w:cs="Arial"/>
          <w:szCs w:val="18"/>
        </w:rPr>
        <w:fldChar w:fldCharType="end"/>
      </w:r>
    </w:p>
    <w:sectPr w:rsidR="0097042C" w:rsidRPr="009F1B6F"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5B206" w14:textId="77777777" w:rsidR="00403371" w:rsidRDefault="00403371" w:rsidP="004F5E36">
      <w:r>
        <w:separator/>
      </w:r>
    </w:p>
  </w:endnote>
  <w:endnote w:type="continuationSeparator" w:id="0">
    <w:p w14:paraId="48A14552" w14:textId="77777777" w:rsidR="00403371" w:rsidRDefault="0040337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1A7D" w14:textId="77777777" w:rsidR="00403371" w:rsidRDefault="00403371" w:rsidP="004F5E36">
      <w:r>
        <w:separator/>
      </w:r>
    </w:p>
  </w:footnote>
  <w:footnote w:type="continuationSeparator" w:id="0">
    <w:p w14:paraId="7076927F" w14:textId="77777777" w:rsidR="00403371" w:rsidRDefault="0040337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33602B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7247505"/>
    <w:multiLevelType w:val="hybridMultilevel"/>
    <w:tmpl w:val="326CD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3"/>
  </w:num>
  <w:num w:numId="14" w16cid:durableId="145903400">
    <w:abstractNumId w:val="20"/>
  </w:num>
  <w:num w:numId="15" w16cid:durableId="19162326">
    <w:abstractNumId w:val="22"/>
  </w:num>
  <w:num w:numId="16" w16cid:durableId="1977102699">
    <w:abstractNumId w:val="21"/>
  </w:num>
  <w:num w:numId="17" w16cid:durableId="860774865">
    <w:abstractNumId w:val="12"/>
  </w:num>
  <w:num w:numId="18" w16cid:durableId="313221457">
    <w:abstractNumId w:val="13"/>
    <w:lvlOverride w:ilvl="0">
      <w:startOverride w:val="1"/>
    </w:lvlOverride>
  </w:num>
  <w:num w:numId="19" w16cid:durableId="534971577">
    <w:abstractNumId w:val="18"/>
  </w:num>
  <w:num w:numId="20" w16cid:durableId="1150947773">
    <w:abstractNumId w:val="17"/>
  </w:num>
  <w:num w:numId="21" w16cid:durableId="124660497">
    <w:abstractNumId w:val="15"/>
  </w:num>
  <w:num w:numId="22" w16cid:durableId="2099861471">
    <w:abstractNumId w:val="14"/>
  </w:num>
  <w:num w:numId="23" w16cid:durableId="84351335">
    <w:abstractNumId w:val="10"/>
  </w:num>
  <w:num w:numId="24" w16cid:durableId="1936591930">
    <w:abstractNumId w:val="16"/>
  </w:num>
  <w:num w:numId="25" w16cid:durableId="1004744939">
    <w:abstractNumId w:val="11"/>
  </w:num>
  <w:num w:numId="26" w16cid:durableId="1564028404">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15B"/>
    <w:rsid w:val="000002DA"/>
    <w:rsid w:val="000027C0"/>
    <w:rsid w:val="000052FB"/>
    <w:rsid w:val="00005A19"/>
    <w:rsid w:val="000117CB"/>
    <w:rsid w:val="00020CA8"/>
    <w:rsid w:val="00022CFF"/>
    <w:rsid w:val="00030BF3"/>
    <w:rsid w:val="0003148D"/>
    <w:rsid w:val="00031EEC"/>
    <w:rsid w:val="00042690"/>
    <w:rsid w:val="00046FB9"/>
    <w:rsid w:val="00051566"/>
    <w:rsid w:val="00052BB9"/>
    <w:rsid w:val="00055503"/>
    <w:rsid w:val="000562A9"/>
    <w:rsid w:val="00062A9A"/>
    <w:rsid w:val="00065058"/>
    <w:rsid w:val="000720C5"/>
    <w:rsid w:val="000724CE"/>
    <w:rsid w:val="0007281A"/>
    <w:rsid w:val="000739D8"/>
    <w:rsid w:val="000739F7"/>
    <w:rsid w:val="0007654E"/>
    <w:rsid w:val="00086C39"/>
    <w:rsid w:val="000968DF"/>
    <w:rsid w:val="000A03B2"/>
    <w:rsid w:val="000A21A1"/>
    <w:rsid w:val="000B2539"/>
    <w:rsid w:val="000C530C"/>
    <w:rsid w:val="000C5BC8"/>
    <w:rsid w:val="000D0268"/>
    <w:rsid w:val="000D04E9"/>
    <w:rsid w:val="000D34BE"/>
    <w:rsid w:val="000E0B3C"/>
    <w:rsid w:val="000E102F"/>
    <w:rsid w:val="000E36F1"/>
    <w:rsid w:val="000E3A73"/>
    <w:rsid w:val="000E414A"/>
    <w:rsid w:val="000E4DD0"/>
    <w:rsid w:val="000E75FD"/>
    <w:rsid w:val="000F093C"/>
    <w:rsid w:val="000F3A2D"/>
    <w:rsid w:val="000F787B"/>
    <w:rsid w:val="00107196"/>
    <w:rsid w:val="00114CC8"/>
    <w:rsid w:val="001161E0"/>
    <w:rsid w:val="00116287"/>
    <w:rsid w:val="0012091F"/>
    <w:rsid w:val="00121FB1"/>
    <w:rsid w:val="00124BB7"/>
    <w:rsid w:val="00126BC2"/>
    <w:rsid w:val="00127D19"/>
    <w:rsid w:val="001308B6"/>
    <w:rsid w:val="0013121F"/>
    <w:rsid w:val="00131FE6"/>
    <w:rsid w:val="0013263F"/>
    <w:rsid w:val="001331DF"/>
    <w:rsid w:val="00134DE4"/>
    <w:rsid w:val="0014034D"/>
    <w:rsid w:val="00140FE3"/>
    <w:rsid w:val="00142997"/>
    <w:rsid w:val="00144D16"/>
    <w:rsid w:val="001505B4"/>
    <w:rsid w:val="00150E59"/>
    <w:rsid w:val="00152DE3"/>
    <w:rsid w:val="00162AF1"/>
    <w:rsid w:val="00164CF9"/>
    <w:rsid w:val="0016668E"/>
    <w:rsid w:val="001667A6"/>
    <w:rsid w:val="001762F2"/>
    <w:rsid w:val="0018171E"/>
    <w:rsid w:val="00181A1F"/>
    <w:rsid w:val="00184AD6"/>
    <w:rsid w:val="001917A5"/>
    <w:rsid w:val="00197869"/>
    <w:rsid w:val="001A04BE"/>
    <w:rsid w:val="001A2584"/>
    <w:rsid w:val="001A408C"/>
    <w:rsid w:val="001A4AF7"/>
    <w:rsid w:val="001A652B"/>
    <w:rsid w:val="001A6925"/>
    <w:rsid w:val="001B0349"/>
    <w:rsid w:val="001B1E93"/>
    <w:rsid w:val="001B4D7D"/>
    <w:rsid w:val="001B65C1"/>
    <w:rsid w:val="001C0981"/>
    <w:rsid w:val="001C260F"/>
    <w:rsid w:val="001C5C3A"/>
    <w:rsid w:val="001C684B"/>
    <w:rsid w:val="001D0CA2"/>
    <w:rsid w:val="001D0CFB"/>
    <w:rsid w:val="001D21AF"/>
    <w:rsid w:val="001D3D32"/>
    <w:rsid w:val="001D53FC"/>
    <w:rsid w:val="001E2E5A"/>
    <w:rsid w:val="001E6A56"/>
    <w:rsid w:val="001F42A5"/>
    <w:rsid w:val="001F529E"/>
    <w:rsid w:val="001F7B9D"/>
    <w:rsid w:val="00200A39"/>
    <w:rsid w:val="00201C93"/>
    <w:rsid w:val="00206F73"/>
    <w:rsid w:val="00214E6F"/>
    <w:rsid w:val="002224B4"/>
    <w:rsid w:val="002363A0"/>
    <w:rsid w:val="002447EF"/>
    <w:rsid w:val="00251550"/>
    <w:rsid w:val="00251C95"/>
    <w:rsid w:val="00263B05"/>
    <w:rsid w:val="00266EFF"/>
    <w:rsid w:val="0027221A"/>
    <w:rsid w:val="00275B61"/>
    <w:rsid w:val="00280FAF"/>
    <w:rsid w:val="00282656"/>
    <w:rsid w:val="00293931"/>
    <w:rsid w:val="00296B83"/>
    <w:rsid w:val="002A619F"/>
    <w:rsid w:val="002B0812"/>
    <w:rsid w:val="002B4015"/>
    <w:rsid w:val="002B4532"/>
    <w:rsid w:val="002B506A"/>
    <w:rsid w:val="002B78CE"/>
    <w:rsid w:val="002C160C"/>
    <w:rsid w:val="002C2FB6"/>
    <w:rsid w:val="002E19E0"/>
    <w:rsid w:val="002E2B5C"/>
    <w:rsid w:val="002E4FC5"/>
    <w:rsid w:val="002E5FA7"/>
    <w:rsid w:val="002F3309"/>
    <w:rsid w:val="003008CE"/>
    <w:rsid w:val="003009B7"/>
    <w:rsid w:val="00300E56"/>
    <w:rsid w:val="003010BD"/>
    <w:rsid w:val="0030152C"/>
    <w:rsid w:val="0030469C"/>
    <w:rsid w:val="003047A3"/>
    <w:rsid w:val="00304CE8"/>
    <w:rsid w:val="003063F4"/>
    <w:rsid w:val="00306837"/>
    <w:rsid w:val="0032174D"/>
    <w:rsid w:val="00321CA6"/>
    <w:rsid w:val="00322B2C"/>
    <w:rsid w:val="00323763"/>
    <w:rsid w:val="00323C5F"/>
    <w:rsid w:val="0032733B"/>
    <w:rsid w:val="00334C09"/>
    <w:rsid w:val="00340DF3"/>
    <w:rsid w:val="00342AFD"/>
    <w:rsid w:val="0036189F"/>
    <w:rsid w:val="00366256"/>
    <w:rsid w:val="003723D4"/>
    <w:rsid w:val="00381905"/>
    <w:rsid w:val="00383313"/>
    <w:rsid w:val="00384CC8"/>
    <w:rsid w:val="003871FD"/>
    <w:rsid w:val="00387A17"/>
    <w:rsid w:val="00387AF8"/>
    <w:rsid w:val="0039079A"/>
    <w:rsid w:val="00393EEF"/>
    <w:rsid w:val="00394F64"/>
    <w:rsid w:val="003A1E30"/>
    <w:rsid w:val="003A2829"/>
    <w:rsid w:val="003A4357"/>
    <w:rsid w:val="003A5DA4"/>
    <w:rsid w:val="003A7D1C"/>
    <w:rsid w:val="003B1B0A"/>
    <w:rsid w:val="003B304B"/>
    <w:rsid w:val="003B3146"/>
    <w:rsid w:val="003B49CD"/>
    <w:rsid w:val="003C02BE"/>
    <w:rsid w:val="003C0FBF"/>
    <w:rsid w:val="003C789E"/>
    <w:rsid w:val="003D1E02"/>
    <w:rsid w:val="003F015E"/>
    <w:rsid w:val="003F5D28"/>
    <w:rsid w:val="00400414"/>
    <w:rsid w:val="00403371"/>
    <w:rsid w:val="0041446B"/>
    <w:rsid w:val="0041515C"/>
    <w:rsid w:val="00415631"/>
    <w:rsid w:val="004164B0"/>
    <w:rsid w:val="00416C8D"/>
    <w:rsid w:val="00424886"/>
    <w:rsid w:val="00424DC7"/>
    <w:rsid w:val="00425DBE"/>
    <w:rsid w:val="004334BA"/>
    <w:rsid w:val="0044071E"/>
    <w:rsid w:val="0044329C"/>
    <w:rsid w:val="004441A3"/>
    <w:rsid w:val="004450E9"/>
    <w:rsid w:val="004519A5"/>
    <w:rsid w:val="004531A8"/>
    <w:rsid w:val="00453E24"/>
    <w:rsid w:val="00457456"/>
    <w:rsid w:val="004577FE"/>
    <w:rsid w:val="00457B9C"/>
    <w:rsid w:val="0046164A"/>
    <w:rsid w:val="004628D2"/>
    <w:rsid w:val="00462DCD"/>
    <w:rsid w:val="004648AD"/>
    <w:rsid w:val="00464DC2"/>
    <w:rsid w:val="004703A9"/>
    <w:rsid w:val="004760DE"/>
    <w:rsid w:val="004763D7"/>
    <w:rsid w:val="004820A7"/>
    <w:rsid w:val="004920C3"/>
    <w:rsid w:val="00494167"/>
    <w:rsid w:val="00497F03"/>
    <w:rsid w:val="004A004E"/>
    <w:rsid w:val="004A096B"/>
    <w:rsid w:val="004A24CF"/>
    <w:rsid w:val="004A5168"/>
    <w:rsid w:val="004A7B19"/>
    <w:rsid w:val="004A7E73"/>
    <w:rsid w:val="004B41B4"/>
    <w:rsid w:val="004B7D7A"/>
    <w:rsid w:val="004C3480"/>
    <w:rsid w:val="004C3D1D"/>
    <w:rsid w:val="004C3D84"/>
    <w:rsid w:val="004C7913"/>
    <w:rsid w:val="004D5A46"/>
    <w:rsid w:val="004D67C9"/>
    <w:rsid w:val="004D6901"/>
    <w:rsid w:val="004E2533"/>
    <w:rsid w:val="004E4DD6"/>
    <w:rsid w:val="004E6FAB"/>
    <w:rsid w:val="004F4757"/>
    <w:rsid w:val="004F5E36"/>
    <w:rsid w:val="005018F1"/>
    <w:rsid w:val="0050205B"/>
    <w:rsid w:val="005020B9"/>
    <w:rsid w:val="00503502"/>
    <w:rsid w:val="0050406A"/>
    <w:rsid w:val="00505998"/>
    <w:rsid w:val="00507B47"/>
    <w:rsid w:val="00507BEF"/>
    <w:rsid w:val="00507CC9"/>
    <w:rsid w:val="005119A5"/>
    <w:rsid w:val="00513E14"/>
    <w:rsid w:val="0051673A"/>
    <w:rsid w:val="00523686"/>
    <w:rsid w:val="005278B7"/>
    <w:rsid w:val="00532016"/>
    <w:rsid w:val="005346C8"/>
    <w:rsid w:val="00543E7D"/>
    <w:rsid w:val="00544457"/>
    <w:rsid w:val="00547109"/>
    <w:rsid w:val="00547A68"/>
    <w:rsid w:val="005531C9"/>
    <w:rsid w:val="00554879"/>
    <w:rsid w:val="00555AA8"/>
    <w:rsid w:val="00557409"/>
    <w:rsid w:val="005605BF"/>
    <w:rsid w:val="00564E47"/>
    <w:rsid w:val="00570C43"/>
    <w:rsid w:val="005820E7"/>
    <w:rsid w:val="00584C57"/>
    <w:rsid w:val="00584E06"/>
    <w:rsid w:val="00592274"/>
    <w:rsid w:val="00592A05"/>
    <w:rsid w:val="005A2258"/>
    <w:rsid w:val="005B2110"/>
    <w:rsid w:val="005B350B"/>
    <w:rsid w:val="005B61E6"/>
    <w:rsid w:val="005C77E1"/>
    <w:rsid w:val="005D44D8"/>
    <w:rsid w:val="005D668A"/>
    <w:rsid w:val="005D6A2F"/>
    <w:rsid w:val="005E0285"/>
    <w:rsid w:val="005E0592"/>
    <w:rsid w:val="005E1A82"/>
    <w:rsid w:val="005E794C"/>
    <w:rsid w:val="005F0438"/>
    <w:rsid w:val="005F0A28"/>
    <w:rsid w:val="005F0E5E"/>
    <w:rsid w:val="00600535"/>
    <w:rsid w:val="00605C29"/>
    <w:rsid w:val="00610CD6"/>
    <w:rsid w:val="00614420"/>
    <w:rsid w:val="006152C4"/>
    <w:rsid w:val="006158CC"/>
    <w:rsid w:val="00620DEE"/>
    <w:rsid w:val="00621E72"/>
    <w:rsid w:val="00621F92"/>
    <w:rsid w:val="0062280A"/>
    <w:rsid w:val="006231E1"/>
    <w:rsid w:val="00625639"/>
    <w:rsid w:val="00625AAD"/>
    <w:rsid w:val="00626342"/>
    <w:rsid w:val="00631B33"/>
    <w:rsid w:val="006320BA"/>
    <w:rsid w:val="0064184D"/>
    <w:rsid w:val="006422CC"/>
    <w:rsid w:val="00642BB2"/>
    <w:rsid w:val="00647B29"/>
    <w:rsid w:val="00651D18"/>
    <w:rsid w:val="00656768"/>
    <w:rsid w:val="00660E3E"/>
    <w:rsid w:val="00662E74"/>
    <w:rsid w:val="0067249E"/>
    <w:rsid w:val="00680C23"/>
    <w:rsid w:val="00683E23"/>
    <w:rsid w:val="0068444F"/>
    <w:rsid w:val="006848A6"/>
    <w:rsid w:val="00693766"/>
    <w:rsid w:val="006A2253"/>
    <w:rsid w:val="006A3281"/>
    <w:rsid w:val="006A35FC"/>
    <w:rsid w:val="006A69CE"/>
    <w:rsid w:val="006A6DE5"/>
    <w:rsid w:val="006B4888"/>
    <w:rsid w:val="006C2E45"/>
    <w:rsid w:val="006C3001"/>
    <w:rsid w:val="006C359C"/>
    <w:rsid w:val="006C5579"/>
    <w:rsid w:val="006D6E8B"/>
    <w:rsid w:val="006D7209"/>
    <w:rsid w:val="006D77D2"/>
    <w:rsid w:val="006E2852"/>
    <w:rsid w:val="006E3744"/>
    <w:rsid w:val="006E737D"/>
    <w:rsid w:val="00707DD1"/>
    <w:rsid w:val="00710294"/>
    <w:rsid w:val="00713973"/>
    <w:rsid w:val="00720A24"/>
    <w:rsid w:val="00720EE2"/>
    <w:rsid w:val="00725D01"/>
    <w:rsid w:val="0072721B"/>
    <w:rsid w:val="00732072"/>
    <w:rsid w:val="00732386"/>
    <w:rsid w:val="0073514D"/>
    <w:rsid w:val="007416DC"/>
    <w:rsid w:val="007447F3"/>
    <w:rsid w:val="0075499F"/>
    <w:rsid w:val="00757053"/>
    <w:rsid w:val="00765723"/>
    <w:rsid w:val="007661C8"/>
    <w:rsid w:val="0077098D"/>
    <w:rsid w:val="00781929"/>
    <w:rsid w:val="00785BF9"/>
    <w:rsid w:val="007931FA"/>
    <w:rsid w:val="007A0AE9"/>
    <w:rsid w:val="007A4861"/>
    <w:rsid w:val="007A7BBA"/>
    <w:rsid w:val="007B0C50"/>
    <w:rsid w:val="007B48F9"/>
    <w:rsid w:val="007B569D"/>
    <w:rsid w:val="007B5D4E"/>
    <w:rsid w:val="007B6B21"/>
    <w:rsid w:val="007B7E07"/>
    <w:rsid w:val="007C1A43"/>
    <w:rsid w:val="007D0951"/>
    <w:rsid w:val="007D525B"/>
    <w:rsid w:val="007D610D"/>
    <w:rsid w:val="007E02D2"/>
    <w:rsid w:val="007E0BEE"/>
    <w:rsid w:val="007F49BF"/>
    <w:rsid w:val="00800004"/>
    <w:rsid w:val="0080013E"/>
    <w:rsid w:val="00801759"/>
    <w:rsid w:val="00813288"/>
    <w:rsid w:val="00813C77"/>
    <w:rsid w:val="00815774"/>
    <w:rsid w:val="008168FC"/>
    <w:rsid w:val="008241AF"/>
    <w:rsid w:val="00830996"/>
    <w:rsid w:val="008345F1"/>
    <w:rsid w:val="008426D7"/>
    <w:rsid w:val="00845C81"/>
    <w:rsid w:val="00856B2A"/>
    <w:rsid w:val="008611B7"/>
    <w:rsid w:val="00865B07"/>
    <w:rsid w:val="008667EA"/>
    <w:rsid w:val="00870B2F"/>
    <w:rsid w:val="00871F8C"/>
    <w:rsid w:val="00874FDB"/>
    <w:rsid w:val="0087637F"/>
    <w:rsid w:val="00880212"/>
    <w:rsid w:val="00890846"/>
    <w:rsid w:val="00892AD5"/>
    <w:rsid w:val="008A1512"/>
    <w:rsid w:val="008B7388"/>
    <w:rsid w:val="008C6D99"/>
    <w:rsid w:val="008D228E"/>
    <w:rsid w:val="008D32B9"/>
    <w:rsid w:val="008D433B"/>
    <w:rsid w:val="008D4A16"/>
    <w:rsid w:val="008E381B"/>
    <w:rsid w:val="008E5401"/>
    <w:rsid w:val="008E566E"/>
    <w:rsid w:val="008F30BD"/>
    <w:rsid w:val="0090161A"/>
    <w:rsid w:val="00901EB6"/>
    <w:rsid w:val="009041F8"/>
    <w:rsid w:val="00904C62"/>
    <w:rsid w:val="0091263E"/>
    <w:rsid w:val="009154B6"/>
    <w:rsid w:val="00916CE3"/>
    <w:rsid w:val="00921F25"/>
    <w:rsid w:val="00922BA8"/>
    <w:rsid w:val="00924DAC"/>
    <w:rsid w:val="00927058"/>
    <w:rsid w:val="009332DF"/>
    <w:rsid w:val="00940A3C"/>
    <w:rsid w:val="009425D3"/>
    <w:rsid w:val="00942750"/>
    <w:rsid w:val="009450CE"/>
    <w:rsid w:val="009459BB"/>
    <w:rsid w:val="00947179"/>
    <w:rsid w:val="0095164B"/>
    <w:rsid w:val="00954090"/>
    <w:rsid w:val="00956906"/>
    <w:rsid w:val="009573E7"/>
    <w:rsid w:val="00962885"/>
    <w:rsid w:val="00963E05"/>
    <w:rsid w:val="00964A45"/>
    <w:rsid w:val="00967843"/>
    <w:rsid w:val="00967D54"/>
    <w:rsid w:val="0097038F"/>
    <w:rsid w:val="0097042C"/>
    <w:rsid w:val="00971028"/>
    <w:rsid w:val="00982FB6"/>
    <w:rsid w:val="00985690"/>
    <w:rsid w:val="00993B84"/>
    <w:rsid w:val="00994C6A"/>
    <w:rsid w:val="00996483"/>
    <w:rsid w:val="00996F5A"/>
    <w:rsid w:val="009A1796"/>
    <w:rsid w:val="009B041A"/>
    <w:rsid w:val="009B6E57"/>
    <w:rsid w:val="009C37C3"/>
    <w:rsid w:val="009C72A1"/>
    <w:rsid w:val="009C7C86"/>
    <w:rsid w:val="009D2FF7"/>
    <w:rsid w:val="009D6966"/>
    <w:rsid w:val="009E04AF"/>
    <w:rsid w:val="009E275C"/>
    <w:rsid w:val="009E7443"/>
    <w:rsid w:val="009E7884"/>
    <w:rsid w:val="009E788A"/>
    <w:rsid w:val="009F0E08"/>
    <w:rsid w:val="009F1B6F"/>
    <w:rsid w:val="009F6AA7"/>
    <w:rsid w:val="00A04DE0"/>
    <w:rsid w:val="00A06E9A"/>
    <w:rsid w:val="00A079AE"/>
    <w:rsid w:val="00A11DF6"/>
    <w:rsid w:val="00A129B7"/>
    <w:rsid w:val="00A1763D"/>
    <w:rsid w:val="00A17CEC"/>
    <w:rsid w:val="00A27EF0"/>
    <w:rsid w:val="00A358C9"/>
    <w:rsid w:val="00A366DD"/>
    <w:rsid w:val="00A36F54"/>
    <w:rsid w:val="00A376D7"/>
    <w:rsid w:val="00A42361"/>
    <w:rsid w:val="00A43EDE"/>
    <w:rsid w:val="00A446AE"/>
    <w:rsid w:val="00A50B20"/>
    <w:rsid w:val="00A51390"/>
    <w:rsid w:val="00A60D13"/>
    <w:rsid w:val="00A719D2"/>
    <w:rsid w:val="00A7223D"/>
    <w:rsid w:val="00A72745"/>
    <w:rsid w:val="00A76EFC"/>
    <w:rsid w:val="00A87D50"/>
    <w:rsid w:val="00A91010"/>
    <w:rsid w:val="00A929FB"/>
    <w:rsid w:val="00A94382"/>
    <w:rsid w:val="00A94EA3"/>
    <w:rsid w:val="00A97F29"/>
    <w:rsid w:val="00AA6CFF"/>
    <w:rsid w:val="00AA702E"/>
    <w:rsid w:val="00AA7D26"/>
    <w:rsid w:val="00AB0964"/>
    <w:rsid w:val="00AB217E"/>
    <w:rsid w:val="00AB2AB5"/>
    <w:rsid w:val="00AB463F"/>
    <w:rsid w:val="00AB5011"/>
    <w:rsid w:val="00AC21AC"/>
    <w:rsid w:val="00AC7368"/>
    <w:rsid w:val="00AD0DFA"/>
    <w:rsid w:val="00AD15CA"/>
    <w:rsid w:val="00AD16B9"/>
    <w:rsid w:val="00AE377D"/>
    <w:rsid w:val="00AE44AC"/>
    <w:rsid w:val="00AE6F81"/>
    <w:rsid w:val="00AE7DCE"/>
    <w:rsid w:val="00AF0EBA"/>
    <w:rsid w:val="00AF2463"/>
    <w:rsid w:val="00AF385B"/>
    <w:rsid w:val="00AF4634"/>
    <w:rsid w:val="00B00040"/>
    <w:rsid w:val="00B02C8A"/>
    <w:rsid w:val="00B114BD"/>
    <w:rsid w:val="00B16C3F"/>
    <w:rsid w:val="00B170B9"/>
    <w:rsid w:val="00B17E1F"/>
    <w:rsid w:val="00B17FBD"/>
    <w:rsid w:val="00B315A6"/>
    <w:rsid w:val="00B31813"/>
    <w:rsid w:val="00B33365"/>
    <w:rsid w:val="00B35B20"/>
    <w:rsid w:val="00B45C96"/>
    <w:rsid w:val="00B53527"/>
    <w:rsid w:val="00B57B36"/>
    <w:rsid w:val="00B57E6F"/>
    <w:rsid w:val="00B6142B"/>
    <w:rsid w:val="00B64EA5"/>
    <w:rsid w:val="00B86355"/>
    <w:rsid w:val="00B8686D"/>
    <w:rsid w:val="00B86A17"/>
    <w:rsid w:val="00B93F69"/>
    <w:rsid w:val="00B95008"/>
    <w:rsid w:val="00BA2DCD"/>
    <w:rsid w:val="00BB1DDC"/>
    <w:rsid w:val="00BB395E"/>
    <w:rsid w:val="00BC2CB5"/>
    <w:rsid w:val="00BC30C9"/>
    <w:rsid w:val="00BC5335"/>
    <w:rsid w:val="00BC7EE3"/>
    <w:rsid w:val="00BD077D"/>
    <w:rsid w:val="00BE2829"/>
    <w:rsid w:val="00BE3E58"/>
    <w:rsid w:val="00BF13CE"/>
    <w:rsid w:val="00C01616"/>
    <w:rsid w:val="00C0162B"/>
    <w:rsid w:val="00C068ED"/>
    <w:rsid w:val="00C150DA"/>
    <w:rsid w:val="00C2071C"/>
    <w:rsid w:val="00C22E0C"/>
    <w:rsid w:val="00C33A8C"/>
    <w:rsid w:val="00C345B1"/>
    <w:rsid w:val="00C3468C"/>
    <w:rsid w:val="00C40142"/>
    <w:rsid w:val="00C428AF"/>
    <w:rsid w:val="00C52C3C"/>
    <w:rsid w:val="00C57182"/>
    <w:rsid w:val="00C57863"/>
    <w:rsid w:val="00C6080E"/>
    <w:rsid w:val="00C640AF"/>
    <w:rsid w:val="00C655FD"/>
    <w:rsid w:val="00C65CA3"/>
    <w:rsid w:val="00C71F85"/>
    <w:rsid w:val="00C75407"/>
    <w:rsid w:val="00C82B41"/>
    <w:rsid w:val="00C841C6"/>
    <w:rsid w:val="00C870A8"/>
    <w:rsid w:val="00C916EC"/>
    <w:rsid w:val="00C94434"/>
    <w:rsid w:val="00CA0D75"/>
    <w:rsid w:val="00CA1C95"/>
    <w:rsid w:val="00CA5A9C"/>
    <w:rsid w:val="00CB2D86"/>
    <w:rsid w:val="00CB383A"/>
    <w:rsid w:val="00CB6FEA"/>
    <w:rsid w:val="00CC4C20"/>
    <w:rsid w:val="00CC7843"/>
    <w:rsid w:val="00CD3517"/>
    <w:rsid w:val="00CD5FE2"/>
    <w:rsid w:val="00CE7C68"/>
    <w:rsid w:val="00CF4630"/>
    <w:rsid w:val="00CF65C8"/>
    <w:rsid w:val="00D02B4C"/>
    <w:rsid w:val="00D040C4"/>
    <w:rsid w:val="00D0417D"/>
    <w:rsid w:val="00D204BA"/>
    <w:rsid w:val="00D20AD1"/>
    <w:rsid w:val="00D241AF"/>
    <w:rsid w:val="00D2582C"/>
    <w:rsid w:val="00D33C91"/>
    <w:rsid w:val="00D35D37"/>
    <w:rsid w:val="00D4580A"/>
    <w:rsid w:val="00D45ADD"/>
    <w:rsid w:val="00D46B7E"/>
    <w:rsid w:val="00D51CEB"/>
    <w:rsid w:val="00D53C0B"/>
    <w:rsid w:val="00D55D89"/>
    <w:rsid w:val="00D57C84"/>
    <w:rsid w:val="00D6057D"/>
    <w:rsid w:val="00D60AEF"/>
    <w:rsid w:val="00D61350"/>
    <w:rsid w:val="00D62068"/>
    <w:rsid w:val="00D62B4A"/>
    <w:rsid w:val="00D705EB"/>
    <w:rsid w:val="00D711BA"/>
    <w:rsid w:val="00D71640"/>
    <w:rsid w:val="00D7298F"/>
    <w:rsid w:val="00D836C5"/>
    <w:rsid w:val="00D84576"/>
    <w:rsid w:val="00D87E4D"/>
    <w:rsid w:val="00DA1399"/>
    <w:rsid w:val="00DA24C6"/>
    <w:rsid w:val="00DA3F99"/>
    <w:rsid w:val="00DA4D7B"/>
    <w:rsid w:val="00DA67AA"/>
    <w:rsid w:val="00DA7F80"/>
    <w:rsid w:val="00DB5D3A"/>
    <w:rsid w:val="00DC0A12"/>
    <w:rsid w:val="00DC2840"/>
    <w:rsid w:val="00DC73EE"/>
    <w:rsid w:val="00DC774C"/>
    <w:rsid w:val="00DD0EAE"/>
    <w:rsid w:val="00DD271C"/>
    <w:rsid w:val="00DE0714"/>
    <w:rsid w:val="00DE264A"/>
    <w:rsid w:val="00DF2FAA"/>
    <w:rsid w:val="00DF5072"/>
    <w:rsid w:val="00E02B68"/>
    <w:rsid w:val="00E02D18"/>
    <w:rsid w:val="00E041E7"/>
    <w:rsid w:val="00E23CA1"/>
    <w:rsid w:val="00E30733"/>
    <w:rsid w:val="00E32643"/>
    <w:rsid w:val="00E37DFA"/>
    <w:rsid w:val="00E409A8"/>
    <w:rsid w:val="00E41C85"/>
    <w:rsid w:val="00E47C82"/>
    <w:rsid w:val="00E50C12"/>
    <w:rsid w:val="00E5315F"/>
    <w:rsid w:val="00E64C2F"/>
    <w:rsid w:val="00E6555D"/>
    <w:rsid w:val="00E65B91"/>
    <w:rsid w:val="00E7209D"/>
    <w:rsid w:val="00E72EAD"/>
    <w:rsid w:val="00E7312C"/>
    <w:rsid w:val="00E77223"/>
    <w:rsid w:val="00E8528B"/>
    <w:rsid w:val="00E85B94"/>
    <w:rsid w:val="00E93EC7"/>
    <w:rsid w:val="00E94894"/>
    <w:rsid w:val="00E978D0"/>
    <w:rsid w:val="00EA4613"/>
    <w:rsid w:val="00EA5F8A"/>
    <w:rsid w:val="00EA7973"/>
    <w:rsid w:val="00EA7F91"/>
    <w:rsid w:val="00EB1523"/>
    <w:rsid w:val="00EB1703"/>
    <w:rsid w:val="00EC0E49"/>
    <w:rsid w:val="00EC101F"/>
    <w:rsid w:val="00EC1D9F"/>
    <w:rsid w:val="00EC7D65"/>
    <w:rsid w:val="00EE0131"/>
    <w:rsid w:val="00EE17B0"/>
    <w:rsid w:val="00EE2277"/>
    <w:rsid w:val="00EE39BD"/>
    <w:rsid w:val="00EF06D9"/>
    <w:rsid w:val="00EF3882"/>
    <w:rsid w:val="00EF39BE"/>
    <w:rsid w:val="00F02A3D"/>
    <w:rsid w:val="00F071B1"/>
    <w:rsid w:val="00F074BE"/>
    <w:rsid w:val="00F13BE6"/>
    <w:rsid w:val="00F14019"/>
    <w:rsid w:val="00F3049E"/>
    <w:rsid w:val="00F30C64"/>
    <w:rsid w:val="00F32BA2"/>
    <w:rsid w:val="00F32CDB"/>
    <w:rsid w:val="00F41EE4"/>
    <w:rsid w:val="00F432AB"/>
    <w:rsid w:val="00F451DD"/>
    <w:rsid w:val="00F455BC"/>
    <w:rsid w:val="00F469C1"/>
    <w:rsid w:val="00F539F5"/>
    <w:rsid w:val="00F565FE"/>
    <w:rsid w:val="00F63A70"/>
    <w:rsid w:val="00F63D8C"/>
    <w:rsid w:val="00F64F12"/>
    <w:rsid w:val="00F7534E"/>
    <w:rsid w:val="00F76635"/>
    <w:rsid w:val="00F82F4C"/>
    <w:rsid w:val="00F9212D"/>
    <w:rsid w:val="00F93EDF"/>
    <w:rsid w:val="00FA1802"/>
    <w:rsid w:val="00FA21D0"/>
    <w:rsid w:val="00FA3F75"/>
    <w:rsid w:val="00FA5F5F"/>
    <w:rsid w:val="00FB6773"/>
    <w:rsid w:val="00FB730C"/>
    <w:rsid w:val="00FC2695"/>
    <w:rsid w:val="00FC3E03"/>
    <w:rsid w:val="00FC3FC1"/>
    <w:rsid w:val="00FC5A9E"/>
    <w:rsid w:val="00FD43F9"/>
    <w:rsid w:val="00FD51A3"/>
    <w:rsid w:val="00FE3D52"/>
    <w:rsid w:val="00FE5E49"/>
    <w:rsid w:val="00FF47D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25"/>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25"/>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25"/>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99"/>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table" w:customStyle="1" w:styleId="Tabladelista21">
    <w:name w:val="Tabla de lista 21"/>
    <w:basedOn w:val="TableNormal"/>
    <w:uiPriority w:val="47"/>
    <w:rsid w:val="000724CE"/>
    <w:pPr>
      <w:spacing w:after="0" w:line="240" w:lineRule="auto"/>
    </w:pPr>
    <w:rPr>
      <w:rFonts w:ascii="Century Schoolbook" w:hAnsi="Century Schoolbook"/>
      <w:lang w:val="es-CO"/>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24013">
      <w:bodyDiv w:val="1"/>
      <w:marLeft w:val="0"/>
      <w:marRight w:val="0"/>
      <w:marTop w:val="0"/>
      <w:marBottom w:val="0"/>
      <w:divBdr>
        <w:top w:val="none" w:sz="0" w:space="0" w:color="auto"/>
        <w:left w:val="none" w:sz="0" w:space="0" w:color="auto"/>
        <w:bottom w:val="none" w:sz="0" w:space="0" w:color="auto"/>
        <w:right w:val="none" w:sz="0" w:space="0" w:color="auto"/>
      </w:divBdr>
    </w:div>
    <w:div w:id="58191689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2855">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94431615">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9.png"/><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image" Target="media/image33.wmf"/><Relationship Id="rId16" Type="http://schemas.openxmlformats.org/officeDocument/2006/relationships/image" Target="media/image6.wmf"/><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image" Target="media/image31.emf"/><Relationship Id="rId74" Type="http://schemas.openxmlformats.org/officeDocument/2006/relationships/oleObject" Target="embeddings/oleObject32.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29.emf"/><Relationship Id="rId69" Type="http://schemas.openxmlformats.org/officeDocument/2006/relationships/oleObject" Target="embeddings/oleObject29.bin"/><Relationship Id="rId77" Type="http://schemas.openxmlformats.org/officeDocument/2006/relationships/oleObject" Target="embeddings/oleObject34.bin"/><Relationship Id="rId8" Type="http://schemas.openxmlformats.org/officeDocument/2006/relationships/image" Target="media/image1.jpeg"/><Relationship Id="rId51" Type="http://schemas.openxmlformats.org/officeDocument/2006/relationships/image" Target="media/image23.wmf"/><Relationship Id="rId72" Type="http://schemas.openxmlformats.org/officeDocument/2006/relationships/oleObject" Target="embeddings/oleObject31.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image" Target="media/image32.emf"/><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28.wmf"/><Relationship Id="rId70" Type="http://schemas.openxmlformats.org/officeDocument/2006/relationships/oleObject" Target="embeddings/oleObject30.bin"/><Relationship Id="rId75"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image" Target="media/image30.emf"/><Relationship Id="rId73" Type="http://schemas.openxmlformats.org/officeDocument/2006/relationships/image" Target="media/image35.wmf"/><Relationship Id="rId78" Type="http://schemas.openxmlformats.org/officeDocument/2006/relationships/oleObject" Target="embeddings/oleObject35.bin"/><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14017</Words>
  <Characters>79903</Characters>
  <Application>Microsoft Office Word</Application>
  <DocSecurity>0</DocSecurity>
  <Lines>665</Lines>
  <Paragraphs>187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93733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Office</cp:lastModifiedBy>
  <cp:revision>5</cp:revision>
  <cp:lastPrinted>2015-05-12T18:31:00Z</cp:lastPrinted>
  <dcterms:created xsi:type="dcterms:W3CDTF">2025-04-20T17:19:00Z</dcterms:created>
  <dcterms:modified xsi:type="dcterms:W3CDTF">2025-04-20T17:34:00Z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7th edition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 6th edition</vt:lpwstr>
  </property>
  <property fmtid="{D5CDD505-2E9C-101B-9397-08002B2CF9AE}" pid="8" name="Mendeley Recent Style Id 2_1">
    <vt:lpwstr>http://www.zotero.org/styles/brazilian-journal-of-science-and-technology</vt:lpwstr>
  </property>
  <property fmtid="{D5CDD505-2E9C-101B-9397-08002B2CF9AE}" pid="9" name="Mendeley Recent Style Name 2_1">
    <vt:lpwstr>Brazilian Journal of Science and Technology</vt:lpwstr>
  </property>
  <property fmtid="{D5CDD505-2E9C-101B-9397-08002B2CF9AE}" pid="10" name="Mendeley Recent Style Id 3_1">
    <vt:lpwstr>http://www.zotero.org/styles/chemical-engineering-science</vt:lpwstr>
  </property>
  <property fmtid="{D5CDD505-2E9C-101B-9397-08002B2CF9AE}" pid="11" name="Mendeley Recent Style Name 3_1">
    <vt:lpwstr>Chemical Engineering Science</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http://www.zotero.org/styles/education-for-chemical-engineers</vt:lpwstr>
  </property>
  <property fmtid="{D5CDD505-2E9C-101B-9397-08002B2CF9AE}" pid="17" name="Mendeley Recent Style Name 6_1">
    <vt:lpwstr>Education for Chemical Engineers</vt:lpwstr>
  </property>
  <property fmtid="{D5CDD505-2E9C-101B-9397-08002B2CF9AE}" pid="18" name="Mendeley Recent Style Id 7_1">
    <vt:lpwstr>http://www.zotero.org/styles/journal-of-the-taiwan-institute-of-chemical-engineers</vt:lpwstr>
  </property>
  <property fmtid="{D5CDD505-2E9C-101B-9397-08002B2CF9AE}" pid="19" name="Mendeley Recent Style Name 7_1">
    <vt:lpwstr>Journal of the Taiwan Institute of Chemical Engineers</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y fmtid="{D5CDD505-2E9C-101B-9397-08002B2CF9AE}" pid="24" name="Mendeley Document_1">
    <vt:lpwstr>True</vt:lpwstr>
  </property>
  <property fmtid="{D5CDD505-2E9C-101B-9397-08002B2CF9AE}" pid="25" name="Mendeley Unique User Id_1">
    <vt:lpwstr>c6123754-6d8d-3fd3-b07b-c1242642c14c</vt:lpwstr>
  </property>
  <property fmtid="{D5CDD505-2E9C-101B-9397-08002B2CF9AE}" pid="26" name="Mendeley Citation Style_1">
    <vt:lpwstr>http://www.zotero.org/styles/american-sociological-association</vt:lpwstr>
  </property>
</Properties>
</file>