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6940"/>
        <w:gridCol w:w="1842"/>
      </w:tblGrid>
      <w:tr w:rsidR="000A03B2" w:rsidRPr="00B57B36" w14:paraId="2A131A54" w14:textId="77777777" w:rsidTr="00A36A47">
        <w:trPr>
          <w:trHeight w:val="852"/>
          <w:jc w:val="center"/>
        </w:trPr>
        <w:tc>
          <w:tcPr>
            <w:tcW w:w="6940" w:type="dxa"/>
            <w:vMerge w:val="restart"/>
            <w:tcBorders>
              <w:right w:val="single" w:sz="4" w:space="0" w:color="auto"/>
            </w:tcBorders>
          </w:tcPr>
          <w:p w14:paraId="38C3D2BA" w14:textId="77777777" w:rsidR="000A03B2" w:rsidRPr="00B57B36" w:rsidRDefault="000A03B2" w:rsidP="00DE264A">
            <w:pPr>
              <w:tabs>
                <w:tab w:val="left" w:pos="-108"/>
              </w:tabs>
              <w:ind w:left="-108"/>
              <w:jc w:val="left"/>
              <w:rPr>
                <w:rFonts w:cs="Arial"/>
                <w:b/>
                <w:bCs/>
                <w:i/>
                <w:iCs/>
                <w:color w:val="000066"/>
                <w:sz w:val="12"/>
                <w:szCs w:val="12"/>
                <w:lang w:eastAsia="it-IT"/>
              </w:rPr>
            </w:pPr>
            <w:bookmarkStart w:id="0" w:name="_Hlk145068772"/>
            <w:r w:rsidRPr="00B57B36">
              <w:rPr>
                <w:rFonts w:ascii="AdvP6960" w:hAnsi="AdvP6960" w:cs="AdvP6960"/>
                <w:noProof/>
                <w:color w:val="241F20"/>
                <w:szCs w:val="18"/>
                <w:lang w:val="it-IT" w:eastAsia="it-IT"/>
              </w:rPr>
              <w:drawing>
                <wp:inline distT="0" distB="0" distL="0" distR="0" wp14:anchorId="02B7C3D3" wp14:editId="5EE03112">
                  <wp:extent cx="640080" cy="373380"/>
                  <wp:effectExtent l="0" t="0" r="7620" b="7620"/>
                  <wp:docPr id="5" name="Immagine 5" descr="cet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et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B36">
              <w:rPr>
                <w:rFonts w:ascii="AdvP6960" w:hAnsi="AdvP6960" w:cs="AdvP6960"/>
                <w:color w:val="241F20"/>
                <w:szCs w:val="18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000066"/>
                <w:sz w:val="24"/>
                <w:szCs w:val="24"/>
                <w:lang w:eastAsia="it-IT"/>
              </w:rPr>
              <w:t>CHEMICAL ENGINEERING</w:t>
            </w:r>
            <w:r w:rsidRPr="00B57B36">
              <w:rPr>
                <w:rFonts w:cs="Arial"/>
                <w:b/>
                <w:bCs/>
                <w:i/>
                <w:iCs/>
                <w:color w:val="0033FF"/>
                <w:sz w:val="24"/>
                <w:szCs w:val="24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666666"/>
                <w:sz w:val="24"/>
                <w:szCs w:val="24"/>
                <w:lang w:eastAsia="it-IT"/>
              </w:rPr>
              <w:t>TRANSACTIONS</w:t>
            </w:r>
            <w:r w:rsidRPr="00B57B36">
              <w:rPr>
                <w:color w:val="333333"/>
                <w:sz w:val="24"/>
                <w:szCs w:val="24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000066"/>
                <w:sz w:val="27"/>
                <w:szCs w:val="27"/>
                <w:lang w:eastAsia="it-IT"/>
              </w:rPr>
              <w:br/>
            </w:r>
          </w:p>
          <w:p w14:paraId="4B780582" w14:textId="47EF826C" w:rsidR="000A03B2" w:rsidRPr="00B57B36" w:rsidRDefault="00A76EFC" w:rsidP="001D21AF">
            <w:pPr>
              <w:tabs>
                <w:tab w:val="left" w:pos="-108"/>
              </w:tabs>
              <w:ind w:left="-108"/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</w:pPr>
            <w:r w:rsidRPr="00B57B36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VOL.</w:t>
            </w:r>
            <w:r w:rsidR="00785BF9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 xml:space="preserve"> </w:t>
            </w:r>
            <w:r w:rsidR="00994C6A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xxx</w:t>
            </w:r>
            <w:r w:rsidR="007B48F9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,</w:t>
            </w:r>
            <w:r w:rsidR="00FA5F5F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 xml:space="preserve"> </w:t>
            </w:r>
            <w:r w:rsidR="0030152C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202</w:t>
            </w:r>
            <w:r w:rsidR="00994C6A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5</w:t>
            </w:r>
          </w:p>
        </w:tc>
        <w:tc>
          <w:tcPr>
            <w:tcW w:w="184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56782132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A publication of</w:t>
            </w:r>
          </w:p>
          <w:p w14:paraId="599E5441" w14:textId="77777777" w:rsidR="000A03B2" w:rsidRPr="00B57B36" w:rsidRDefault="000A03B2" w:rsidP="00CD5FE2">
            <w:pPr>
              <w:jc w:val="right"/>
            </w:pPr>
            <w:r w:rsidRPr="00B57B36">
              <w:rPr>
                <w:noProof/>
                <w:lang w:val="it-IT" w:eastAsia="it-IT"/>
              </w:rPr>
              <w:drawing>
                <wp:inline distT="0" distB="0" distL="0" distR="0" wp14:anchorId="59C75AF4" wp14:editId="4FF92432">
                  <wp:extent cx="670560" cy="358140"/>
                  <wp:effectExtent l="0" t="0" r="0" b="3810"/>
                  <wp:docPr id="6" name="Immagine 6" descr="aidiclogo_gra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idiclogo_gra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3B2" w:rsidRPr="00B57B36" w14:paraId="380FA3CD" w14:textId="77777777" w:rsidTr="00A36A47">
        <w:trPr>
          <w:trHeight w:val="567"/>
          <w:jc w:val="center"/>
        </w:trPr>
        <w:tc>
          <w:tcPr>
            <w:tcW w:w="6940" w:type="dxa"/>
            <w:vMerge/>
            <w:tcBorders>
              <w:right w:val="single" w:sz="4" w:space="0" w:color="auto"/>
            </w:tcBorders>
          </w:tcPr>
          <w:p w14:paraId="39E5E4C1" w14:textId="77777777" w:rsidR="000A03B2" w:rsidRPr="00B57B36" w:rsidRDefault="000A03B2" w:rsidP="00CD5FE2">
            <w:pPr>
              <w:tabs>
                <w:tab w:val="left" w:pos="-108"/>
              </w:tabs>
            </w:pPr>
          </w:p>
        </w:tc>
        <w:tc>
          <w:tcPr>
            <w:tcW w:w="184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3858A98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The Italian Association</w:t>
            </w:r>
          </w:p>
          <w:p w14:paraId="7522B1D2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of Chemical Engineering</w:t>
            </w:r>
          </w:p>
          <w:p w14:paraId="4F0CC5DE" w14:textId="47FDB2FC" w:rsidR="000A03B2" w:rsidRPr="000D0268" w:rsidRDefault="000D0268" w:rsidP="00CD5FE2">
            <w:pPr>
              <w:spacing w:line="140" w:lineRule="atLeast"/>
              <w:jc w:val="right"/>
              <w:rPr>
                <w:rFonts w:cs="Arial"/>
                <w:sz w:val="13"/>
                <w:szCs w:val="13"/>
              </w:rPr>
            </w:pPr>
            <w:r w:rsidRPr="000D0268">
              <w:rPr>
                <w:rFonts w:cs="Arial"/>
                <w:sz w:val="13"/>
                <w:szCs w:val="13"/>
              </w:rPr>
              <w:t>Online at www.cetjournal.it</w:t>
            </w:r>
          </w:p>
        </w:tc>
      </w:tr>
      <w:tr w:rsidR="000A03B2" w:rsidRPr="00B57B36" w14:paraId="2D1B7169" w14:textId="77777777" w:rsidTr="00A36A47">
        <w:trPr>
          <w:trHeight w:val="68"/>
          <w:jc w:val="center"/>
        </w:trPr>
        <w:tc>
          <w:tcPr>
            <w:tcW w:w="8782" w:type="dxa"/>
            <w:gridSpan w:val="2"/>
          </w:tcPr>
          <w:p w14:paraId="1D8DD3C9" w14:textId="025D7B18" w:rsidR="00AA7D26" w:rsidRPr="007D610D" w:rsidRDefault="00AA7D26" w:rsidP="007D610D">
            <w:pPr>
              <w:ind w:left="-107"/>
              <w:outlineLvl w:val="2"/>
              <w:rPr>
                <w:rFonts w:ascii="Tahoma" w:hAnsi="Tahoma" w:cs="Tahoma"/>
                <w:color w:val="000000"/>
                <w:sz w:val="14"/>
                <w:szCs w:val="14"/>
                <w:shd w:val="clear" w:color="auto" w:fill="FFFFFF"/>
                <w:lang w:val="it-IT"/>
              </w:rPr>
            </w:pPr>
            <w:r w:rsidRPr="007D610D">
              <w:rPr>
                <w:rFonts w:ascii="Tahoma" w:hAnsi="Tahoma" w:cs="Tahoma"/>
                <w:iCs/>
                <w:color w:val="333333"/>
                <w:sz w:val="14"/>
                <w:szCs w:val="14"/>
                <w:lang w:val="it-IT" w:eastAsia="it-IT"/>
              </w:rPr>
              <w:t>Guest Editors:</w:t>
            </w:r>
            <w:r w:rsidR="007D610D" w:rsidRPr="007D610D">
              <w:rPr>
                <w:rFonts w:ascii="Aptos" w:eastAsiaTheme="minorHAnsi" w:hAnsi="Aptos" w:cs="Aptos"/>
                <w:sz w:val="22"/>
                <w:szCs w:val="22"/>
                <w:lang w:val="it-IT"/>
                <w14:ligatures w14:val="standardContextual"/>
              </w:rPr>
              <w:t xml:space="preserve"> </w:t>
            </w:r>
            <w:r w:rsidR="007D610D" w:rsidRPr="007D610D">
              <w:rPr>
                <w:rFonts w:ascii="Tahoma" w:hAnsi="Tahoma" w:cs="Tahoma"/>
                <w:color w:val="000000"/>
                <w:sz w:val="14"/>
                <w:szCs w:val="14"/>
                <w:shd w:val="clear" w:color="auto" w:fill="FFFFFF"/>
                <w:lang w:val="it-IT"/>
              </w:rPr>
              <w:t xml:space="preserve">Fabrizio Bezzo, </w:t>
            </w:r>
            <w:r w:rsidR="001D3D32">
              <w:rPr>
                <w:rFonts w:ascii="Tahoma" w:hAnsi="Tahoma" w:cs="Tahoma"/>
                <w:color w:val="000000"/>
                <w:sz w:val="14"/>
                <w:szCs w:val="14"/>
                <w:shd w:val="clear" w:color="auto" w:fill="FFFFFF"/>
                <w:lang w:val="it-IT"/>
              </w:rPr>
              <w:t>Flavio Manenti</w:t>
            </w:r>
            <w:r w:rsidR="00304CE8">
              <w:rPr>
                <w:rFonts w:ascii="Tahoma" w:hAnsi="Tahoma" w:cs="Tahoma"/>
                <w:color w:val="000000"/>
                <w:sz w:val="14"/>
                <w:szCs w:val="14"/>
                <w:shd w:val="clear" w:color="auto" w:fill="FFFFFF"/>
                <w:lang w:val="it-IT"/>
              </w:rPr>
              <w:t>,</w:t>
            </w:r>
            <w:r w:rsidR="001D3D32">
              <w:rPr>
                <w:rFonts w:ascii="Tahoma" w:hAnsi="Tahoma" w:cs="Tahoma"/>
                <w:color w:val="000000"/>
                <w:sz w:val="14"/>
                <w:szCs w:val="14"/>
                <w:shd w:val="clear" w:color="auto" w:fill="FFFFFF"/>
                <w:lang w:val="it-IT"/>
              </w:rPr>
              <w:t xml:space="preserve"> </w:t>
            </w:r>
            <w:r w:rsidR="007D610D" w:rsidRPr="007D610D">
              <w:rPr>
                <w:rFonts w:ascii="Tahoma" w:hAnsi="Tahoma" w:cs="Tahoma"/>
                <w:color w:val="000000"/>
                <w:sz w:val="14"/>
                <w:szCs w:val="14"/>
                <w:shd w:val="clear" w:color="auto" w:fill="FFFFFF"/>
                <w:lang w:val="it-IT"/>
              </w:rPr>
              <w:t>Gabriele Pannocchia, Almerinda di Benedetto</w:t>
            </w:r>
          </w:p>
          <w:p w14:paraId="1B0F1814" w14:textId="7C54DC3A" w:rsidR="000A03B2" w:rsidRPr="00B57B36" w:rsidRDefault="00AA7D26" w:rsidP="00AA7D26">
            <w:pPr>
              <w:tabs>
                <w:tab w:val="left" w:pos="-108"/>
              </w:tabs>
              <w:spacing w:line="140" w:lineRule="atLeast"/>
              <w:ind w:left="-107"/>
              <w:jc w:val="left"/>
            </w:pPr>
            <w:r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Copyright © 202</w:t>
            </w:r>
            <w:r w:rsidR="00994C6A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5</w:t>
            </w:r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, AIDIC </w:t>
            </w:r>
            <w:proofErr w:type="spellStart"/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Servizi</w:t>
            </w:r>
            <w:proofErr w:type="spellEnd"/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</w:t>
            </w:r>
            <w:proofErr w:type="spellStart"/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S.r.l</w:t>
            </w:r>
            <w:proofErr w:type="spellEnd"/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.</w:t>
            </w:r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br/>
            </w:r>
            <w:r w:rsidRPr="00B57B36">
              <w:rPr>
                <w:rFonts w:ascii="Tahoma" w:hAnsi="Tahoma" w:cs="Tahoma"/>
                <w:b/>
                <w:iCs/>
                <w:color w:val="000000"/>
                <w:sz w:val="14"/>
                <w:szCs w:val="14"/>
                <w:lang w:eastAsia="it-IT"/>
              </w:rPr>
              <w:t>ISBN</w:t>
            </w:r>
            <w:r w:rsidRPr="00B57B36">
              <w:rPr>
                <w:rFonts w:ascii="Tahoma" w:hAnsi="Tahoma" w:cs="Tahoma"/>
                <w:iCs/>
                <w:color w:val="000000"/>
                <w:sz w:val="14"/>
                <w:szCs w:val="14"/>
                <w:lang w:eastAsia="it-IT"/>
              </w:rPr>
              <w:t xml:space="preserve"> </w:t>
            </w:r>
            <w:r w:rsidR="003B49CD" w:rsidRPr="000562A9">
              <w:rPr>
                <w:rFonts w:ascii="Tahoma" w:hAnsi="Tahoma" w:cs="Tahoma"/>
                <w:sz w:val="14"/>
                <w:szCs w:val="14"/>
              </w:rPr>
              <w:t>97</w:t>
            </w:r>
            <w:r w:rsidR="003B49CD">
              <w:rPr>
                <w:rFonts w:ascii="Tahoma" w:hAnsi="Tahoma" w:cs="Tahoma"/>
                <w:sz w:val="14"/>
                <w:szCs w:val="14"/>
              </w:rPr>
              <w:t>9</w:t>
            </w:r>
            <w:r w:rsidR="003B49CD" w:rsidRPr="000562A9">
              <w:rPr>
                <w:rFonts w:ascii="Tahoma" w:hAnsi="Tahoma" w:cs="Tahoma"/>
                <w:sz w:val="14"/>
                <w:szCs w:val="14"/>
              </w:rPr>
              <w:t>-</w:t>
            </w:r>
            <w:r w:rsidR="003B49CD">
              <w:rPr>
                <w:rFonts w:ascii="Tahoma" w:hAnsi="Tahoma" w:cs="Tahoma"/>
                <w:sz w:val="14"/>
                <w:szCs w:val="14"/>
              </w:rPr>
              <w:t>12</w:t>
            </w:r>
            <w:r w:rsidR="003B49CD" w:rsidRPr="000562A9">
              <w:rPr>
                <w:rFonts w:ascii="Tahoma" w:hAnsi="Tahoma" w:cs="Tahoma"/>
                <w:sz w:val="14"/>
                <w:szCs w:val="14"/>
              </w:rPr>
              <w:t>-</w:t>
            </w:r>
            <w:r w:rsidR="003B49CD">
              <w:rPr>
                <w:rFonts w:ascii="Tahoma" w:hAnsi="Tahoma" w:cs="Tahoma"/>
                <w:sz w:val="14"/>
                <w:szCs w:val="14"/>
              </w:rPr>
              <w:t>81206-1</w:t>
            </w:r>
            <w:r w:rsidR="00994C6A">
              <w:rPr>
                <w:rFonts w:ascii="Tahoma" w:hAnsi="Tahoma" w:cs="Tahoma"/>
                <w:sz w:val="14"/>
                <w:szCs w:val="14"/>
              </w:rPr>
              <w:t>7</w:t>
            </w:r>
            <w:r w:rsidR="003B49CD">
              <w:rPr>
                <w:rFonts w:ascii="Tahoma" w:hAnsi="Tahoma" w:cs="Tahoma"/>
                <w:sz w:val="14"/>
                <w:szCs w:val="14"/>
              </w:rPr>
              <w:t>-</w:t>
            </w:r>
            <w:r w:rsidR="00994C6A">
              <w:rPr>
                <w:rFonts w:ascii="Tahoma" w:hAnsi="Tahoma" w:cs="Tahoma"/>
                <w:sz w:val="14"/>
                <w:szCs w:val="14"/>
              </w:rPr>
              <w:t>5</w:t>
            </w:r>
            <w:r w:rsidRPr="00EF06D9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;</w:t>
            </w:r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</w:t>
            </w:r>
            <w:r w:rsidRPr="00B57B36">
              <w:rPr>
                <w:rFonts w:ascii="Tahoma" w:hAnsi="Tahoma" w:cs="Tahoma"/>
                <w:b/>
                <w:iCs/>
                <w:color w:val="333333"/>
                <w:sz w:val="14"/>
                <w:szCs w:val="14"/>
                <w:lang w:eastAsia="it-IT"/>
              </w:rPr>
              <w:t>ISSN</w:t>
            </w:r>
            <w:r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2283-9216</w:t>
            </w:r>
          </w:p>
        </w:tc>
      </w:tr>
    </w:tbl>
    <w:bookmarkEnd w:id="0"/>
    <w:p w14:paraId="2E667253" w14:textId="6FCD4788" w:rsidR="00E978D0" w:rsidRPr="00F63C41" w:rsidRDefault="006F3FE5" w:rsidP="00F63C41">
      <w:pPr>
        <w:pStyle w:val="CETTitle"/>
      </w:pPr>
      <w:r w:rsidRPr="00F63C41">
        <w:t xml:space="preserve">A </w:t>
      </w:r>
      <w:r w:rsidR="00F63C41">
        <w:t>T</w:t>
      </w:r>
      <w:r w:rsidRPr="00F63C41">
        <w:t xml:space="preserve">hermochemical </w:t>
      </w:r>
      <w:r w:rsidR="00F63C41">
        <w:t>R</w:t>
      </w:r>
      <w:r w:rsidRPr="00F63C41">
        <w:t xml:space="preserve">oute to the </w:t>
      </w:r>
      <w:r w:rsidR="00F63C41">
        <w:t>S</w:t>
      </w:r>
      <w:r w:rsidRPr="00F63C41">
        <w:t xml:space="preserve">ustainable </w:t>
      </w:r>
      <w:r w:rsidR="00F63C41">
        <w:t>U</w:t>
      </w:r>
      <w:r w:rsidRPr="00F63C41">
        <w:t xml:space="preserve">pgrade of </w:t>
      </w:r>
      <w:r w:rsidR="00F63C41">
        <w:t>P</w:t>
      </w:r>
      <w:r w:rsidRPr="00F63C41">
        <w:t xml:space="preserve">lastic </w:t>
      </w:r>
      <w:r w:rsidR="00F63C41">
        <w:t>S</w:t>
      </w:r>
      <w:r w:rsidRPr="00F63C41">
        <w:t xml:space="preserve">olid </w:t>
      </w:r>
      <w:r w:rsidR="00F63C41">
        <w:t>W</w:t>
      </w:r>
      <w:r w:rsidRPr="00F63C41">
        <w:t xml:space="preserve">aste </w:t>
      </w:r>
      <w:r w:rsidR="00F63C41">
        <w:t>U</w:t>
      </w:r>
      <w:r w:rsidRPr="00F63C41">
        <w:t xml:space="preserve">sing </w:t>
      </w:r>
      <w:r w:rsidR="00F63C41">
        <w:t>I</w:t>
      </w:r>
      <w:r w:rsidRPr="00F63C41">
        <w:t xml:space="preserve">ron </w:t>
      </w:r>
      <w:r w:rsidR="00F63C41">
        <w:t>a</w:t>
      </w:r>
      <w:r w:rsidRPr="00F63C41">
        <w:t xml:space="preserve">s a </w:t>
      </w:r>
      <w:r w:rsidR="00F63C41">
        <w:t>C</w:t>
      </w:r>
      <w:r w:rsidRPr="00F63C41">
        <w:t xml:space="preserve">atalyst </w:t>
      </w:r>
      <w:r w:rsidR="00F63C41">
        <w:t>P</w:t>
      </w:r>
      <w:r w:rsidRPr="00F63C41">
        <w:t>recursor</w:t>
      </w:r>
    </w:p>
    <w:p w14:paraId="0488FED2" w14:textId="5BC024D0" w:rsidR="00B57E6F" w:rsidRPr="006F3FE5" w:rsidRDefault="00A36A47" w:rsidP="00B57E6F">
      <w:pPr>
        <w:pStyle w:val="CETAuthors"/>
        <w:rPr>
          <w:lang w:val="it-IT"/>
        </w:rPr>
      </w:pPr>
      <w:r w:rsidRPr="006F3FE5">
        <w:rPr>
          <w:lang w:val="it-IT"/>
        </w:rPr>
        <w:t>Letizia Marchetti</w:t>
      </w:r>
      <w:r w:rsidR="006F3FE5">
        <w:rPr>
          <w:vertAlign w:val="superscript"/>
          <w:lang w:val="it-IT"/>
        </w:rPr>
        <w:t>a</w:t>
      </w:r>
      <w:r w:rsidR="006F3FE5" w:rsidRPr="006F3FE5">
        <w:rPr>
          <w:vertAlign w:val="superscript"/>
          <w:lang w:val="it-IT"/>
        </w:rPr>
        <w:t>,</w:t>
      </w:r>
      <w:r w:rsidR="006F3FE5" w:rsidRPr="006F3FE5">
        <w:rPr>
          <w:lang w:val="it-IT"/>
        </w:rPr>
        <w:t>*</w:t>
      </w:r>
      <w:r w:rsidR="00B57E6F" w:rsidRPr="006F3FE5">
        <w:rPr>
          <w:lang w:val="it-IT"/>
        </w:rPr>
        <w:t xml:space="preserve">, </w:t>
      </w:r>
      <w:r w:rsidRPr="006F3FE5">
        <w:rPr>
          <w:lang w:val="it-IT"/>
        </w:rPr>
        <w:t>Cristiano Nicolella</w:t>
      </w:r>
      <w:r w:rsidRPr="006F3FE5">
        <w:rPr>
          <w:vertAlign w:val="superscript"/>
          <w:lang w:val="it-IT"/>
        </w:rPr>
        <w:t>a</w:t>
      </w:r>
      <w:r w:rsidR="00B57E6F" w:rsidRPr="006F3FE5">
        <w:rPr>
          <w:lang w:val="it-IT"/>
        </w:rPr>
        <w:t xml:space="preserve">, </w:t>
      </w:r>
      <w:r w:rsidRPr="006F3FE5">
        <w:rPr>
          <w:lang w:val="it-IT"/>
        </w:rPr>
        <w:t>Leonardo Tognotti</w:t>
      </w:r>
      <w:r w:rsidRPr="006F3FE5">
        <w:rPr>
          <w:vertAlign w:val="superscript"/>
          <w:lang w:val="it-IT"/>
        </w:rPr>
        <w:t>a</w:t>
      </w:r>
      <w:r w:rsidRPr="006F3FE5">
        <w:rPr>
          <w:lang w:val="it-IT"/>
        </w:rPr>
        <w:t xml:space="preserve">, </w:t>
      </w:r>
      <w:r w:rsidR="00421EF7" w:rsidRPr="006F3FE5">
        <w:rPr>
          <w:lang w:val="it-IT"/>
        </w:rPr>
        <w:t>Szymon Doszczeczko</w:t>
      </w:r>
      <w:r w:rsidR="00421EF7" w:rsidRPr="006F3FE5">
        <w:rPr>
          <w:vertAlign w:val="superscript"/>
          <w:lang w:val="it-IT"/>
        </w:rPr>
        <w:t>b</w:t>
      </w:r>
      <w:r w:rsidR="00421EF7" w:rsidRPr="006F3FE5">
        <w:rPr>
          <w:lang w:val="it-IT"/>
        </w:rPr>
        <w:t xml:space="preserve">, </w:t>
      </w:r>
      <w:r w:rsidRPr="006F3FE5">
        <w:rPr>
          <w:lang w:val="it-IT"/>
        </w:rPr>
        <w:t>Roberto Volpe</w:t>
      </w:r>
      <w:r w:rsidR="00076350" w:rsidRPr="006F3FE5">
        <w:rPr>
          <w:vertAlign w:val="superscript"/>
          <w:lang w:val="it-IT"/>
        </w:rPr>
        <w:t>b</w:t>
      </w:r>
      <w:r w:rsidR="00B57E6F" w:rsidRPr="006F3FE5">
        <w:rPr>
          <w:lang w:val="it-IT"/>
        </w:rPr>
        <w:t xml:space="preserve"> </w:t>
      </w:r>
    </w:p>
    <w:p w14:paraId="6B2D21B3" w14:textId="170391E4" w:rsidR="00B57E6F" w:rsidRPr="00A36A47" w:rsidRDefault="00B57E6F" w:rsidP="00B57E6F">
      <w:pPr>
        <w:pStyle w:val="CETAddress"/>
        <w:rPr>
          <w:lang w:val="it-IT"/>
        </w:rPr>
      </w:pPr>
      <w:r w:rsidRPr="00A36A47">
        <w:rPr>
          <w:vertAlign w:val="superscript"/>
          <w:lang w:val="it-IT"/>
        </w:rPr>
        <w:t>a</w:t>
      </w:r>
      <w:r w:rsidR="00A36A47" w:rsidRPr="00A36A47">
        <w:rPr>
          <w:lang w:val="it-IT"/>
        </w:rPr>
        <w:t>Dipartimento di Ingegneria Civile e Industriale, Università di Pisa, Largo Lucio Lazzarino 2, 56122, Pisa (PI), Italy</w:t>
      </w:r>
      <w:r w:rsidRPr="00A36A47">
        <w:rPr>
          <w:lang w:val="it-IT"/>
        </w:rPr>
        <w:t xml:space="preserve"> </w:t>
      </w:r>
    </w:p>
    <w:p w14:paraId="188ED9BD" w14:textId="384CCA55" w:rsidR="00A36A47" w:rsidRPr="00A36A47" w:rsidRDefault="00076350" w:rsidP="00B57E6F">
      <w:pPr>
        <w:pStyle w:val="CETAddress"/>
      </w:pPr>
      <w:r>
        <w:rPr>
          <w:vertAlign w:val="superscript"/>
        </w:rPr>
        <w:t>b</w:t>
      </w:r>
      <w:r w:rsidR="00A36A47" w:rsidRPr="00A36A47">
        <w:t>School of Engineering and Material Science, Queen Mary University of London, Mile End Road, London, E1 4NS, U</w:t>
      </w:r>
      <w:r w:rsidR="00A36A47">
        <w:t>K</w:t>
      </w:r>
    </w:p>
    <w:p w14:paraId="73F1267A" w14:textId="64D5E05D" w:rsidR="00B57E6F" w:rsidRPr="00B57B36" w:rsidRDefault="00B57E6F" w:rsidP="00B57E6F">
      <w:pPr>
        <w:pStyle w:val="CETemail"/>
      </w:pPr>
      <w:r w:rsidRPr="00A36A47">
        <w:t xml:space="preserve"> </w:t>
      </w:r>
      <w:r w:rsidR="00A36A47">
        <w:t>letizia.marchettihd.unipi.it</w:t>
      </w:r>
    </w:p>
    <w:p w14:paraId="6ACB3FDE" w14:textId="58B9AC92" w:rsidR="007C4BC0" w:rsidRDefault="00043523" w:rsidP="00600535">
      <w:pPr>
        <w:pStyle w:val="CETBodytext"/>
        <w:rPr>
          <w:lang w:val="en-GB"/>
        </w:rPr>
      </w:pPr>
      <w:r>
        <w:rPr>
          <w:lang w:val="en-GB"/>
        </w:rPr>
        <w:t>The management of plastic solid waste</w:t>
      </w:r>
      <w:r w:rsidRPr="00043523">
        <w:rPr>
          <w:lang w:val="en-GB"/>
        </w:rPr>
        <w:t xml:space="preserve"> represents a significant </w:t>
      </w:r>
      <w:r>
        <w:rPr>
          <w:lang w:val="en-GB"/>
        </w:rPr>
        <w:t>challenge</w:t>
      </w:r>
      <w:r w:rsidRPr="00043523">
        <w:rPr>
          <w:lang w:val="en-GB"/>
        </w:rPr>
        <w:t xml:space="preserve"> due to </w:t>
      </w:r>
      <w:r w:rsidR="00542E90">
        <w:rPr>
          <w:lang w:val="en-GB"/>
        </w:rPr>
        <w:t xml:space="preserve">the </w:t>
      </w:r>
      <w:r w:rsidRPr="00043523">
        <w:rPr>
          <w:lang w:val="en-GB"/>
        </w:rPr>
        <w:t xml:space="preserve">rapid growth in plastic production and its inherent </w:t>
      </w:r>
      <w:r>
        <w:rPr>
          <w:lang w:val="en-GB"/>
        </w:rPr>
        <w:t>non-biodegradable nature</w:t>
      </w:r>
      <w:r w:rsidRPr="00043523">
        <w:rPr>
          <w:lang w:val="en-GB"/>
        </w:rPr>
        <w:t xml:space="preserve">. Pyrolysis appears as a promising alternative to landfilling and incineration, </w:t>
      </w:r>
      <w:r w:rsidR="00E90C8E">
        <w:rPr>
          <w:lang w:val="en-GB"/>
        </w:rPr>
        <w:t>consisting of</w:t>
      </w:r>
      <w:r w:rsidR="00E90C8E" w:rsidRPr="00043523">
        <w:rPr>
          <w:lang w:val="en-GB"/>
        </w:rPr>
        <w:t xml:space="preserve"> </w:t>
      </w:r>
      <w:r w:rsidRPr="00043523">
        <w:rPr>
          <w:lang w:val="en-GB"/>
        </w:rPr>
        <w:t xml:space="preserve">a thermal decomposition of </w:t>
      </w:r>
      <w:r w:rsidR="00A149B0">
        <w:rPr>
          <w:lang w:val="en-GB"/>
        </w:rPr>
        <w:t>feedstock</w:t>
      </w:r>
      <w:r w:rsidR="00A149B0" w:rsidRPr="00043523">
        <w:rPr>
          <w:lang w:val="en-GB"/>
        </w:rPr>
        <w:t xml:space="preserve"> </w:t>
      </w:r>
      <w:r w:rsidRPr="00043523">
        <w:rPr>
          <w:lang w:val="en-GB"/>
        </w:rPr>
        <w:t>in</w:t>
      </w:r>
      <w:r>
        <w:rPr>
          <w:lang w:val="en-GB"/>
        </w:rPr>
        <w:t xml:space="preserve"> </w:t>
      </w:r>
      <w:r w:rsidR="00A149B0">
        <w:rPr>
          <w:lang w:val="en-GB"/>
        </w:rPr>
        <w:t xml:space="preserve">a </w:t>
      </w:r>
      <w:r w:rsidR="00390F48">
        <w:rPr>
          <w:lang w:val="en-GB"/>
        </w:rPr>
        <w:t>sub</w:t>
      </w:r>
      <w:r w:rsidR="000C56F6">
        <w:rPr>
          <w:lang w:val="en-GB"/>
        </w:rPr>
        <w:t>-</w:t>
      </w:r>
      <w:r w:rsidR="00390F48">
        <w:rPr>
          <w:lang w:val="en-GB"/>
        </w:rPr>
        <w:t>stoichiometric</w:t>
      </w:r>
      <w:r>
        <w:rPr>
          <w:lang w:val="en-GB"/>
        </w:rPr>
        <w:t>-oxygen</w:t>
      </w:r>
      <w:r w:rsidRPr="00043523">
        <w:rPr>
          <w:lang w:val="en-GB"/>
        </w:rPr>
        <w:t xml:space="preserve"> environment, thus giving rise to three phases: a solid one (pyro-char), liquid, and gas. Although most works focus on optimizing </w:t>
      </w:r>
      <w:r w:rsidR="00D444AA">
        <w:rPr>
          <w:lang w:val="en-GB"/>
        </w:rPr>
        <w:t>(e.g. maximizing the yield</w:t>
      </w:r>
      <w:r w:rsidR="00011689">
        <w:rPr>
          <w:lang w:val="en-GB"/>
        </w:rPr>
        <w:t xml:space="preserve"> </w:t>
      </w:r>
      <w:r w:rsidR="006A4D93">
        <w:rPr>
          <w:lang w:val="en-GB"/>
        </w:rPr>
        <w:t xml:space="preserve">or improving the quality </w:t>
      </w:r>
      <w:r w:rsidR="00011689">
        <w:rPr>
          <w:lang w:val="en-GB"/>
        </w:rPr>
        <w:t>of</w:t>
      </w:r>
      <w:r w:rsidR="00D444AA">
        <w:rPr>
          <w:lang w:val="en-GB"/>
        </w:rPr>
        <w:t xml:space="preserve">) </w:t>
      </w:r>
      <w:r w:rsidRPr="00043523">
        <w:rPr>
          <w:lang w:val="en-GB"/>
        </w:rPr>
        <w:t>the liquid and gaseous fractions, the pyro-char</w:t>
      </w:r>
      <w:r>
        <w:rPr>
          <w:lang w:val="en-GB"/>
        </w:rPr>
        <w:t xml:space="preserve"> </w:t>
      </w:r>
      <w:r w:rsidRPr="00043523">
        <w:rPr>
          <w:lang w:val="en-GB"/>
        </w:rPr>
        <w:t xml:space="preserve">has not been given sufficient attention, despite </w:t>
      </w:r>
      <w:r w:rsidR="00011689">
        <w:rPr>
          <w:lang w:val="en-GB"/>
        </w:rPr>
        <w:t>its</w:t>
      </w:r>
      <w:r w:rsidR="00011689" w:rsidRPr="00043523">
        <w:rPr>
          <w:lang w:val="en-GB"/>
        </w:rPr>
        <w:t xml:space="preserve"> </w:t>
      </w:r>
      <w:r w:rsidR="00011689">
        <w:rPr>
          <w:lang w:val="en-GB"/>
        </w:rPr>
        <w:t>potential</w:t>
      </w:r>
      <w:r w:rsidR="00011689" w:rsidRPr="00043523">
        <w:rPr>
          <w:lang w:val="en-GB"/>
        </w:rPr>
        <w:t xml:space="preserve"> </w:t>
      </w:r>
      <w:r w:rsidRPr="00043523">
        <w:rPr>
          <w:lang w:val="en-GB"/>
        </w:rPr>
        <w:t>application</w:t>
      </w:r>
      <w:r w:rsidR="00011689">
        <w:rPr>
          <w:lang w:val="en-GB"/>
        </w:rPr>
        <w:t xml:space="preserve"> in </w:t>
      </w:r>
      <w:r w:rsidR="00807D09">
        <w:rPr>
          <w:lang w:val="en-GB"/>
        </w:rPr>
        <w:t xml:space="preserve">numerous desirable </w:t>
      </w:r>
      <w:r w:rsidR="000C56F6">
        <w:rPr>
          <w:lang w:val="en-GB"/>
        </w:rPr>
        <w:t>field</w:t>
      </w:r>
      <w:r w:rsidR="00807D09">
        <w:rPr>
          <w:lang w:val="en-GB"/>
        </w:rPr>
        <w:t>s</w:t>
      </w:r>
      <w:r w:rsidRPr="00043523">
        <w:rPr>
          <w:lang w:val="en-GB"/>
        </w:rPr>
        <w:t xml:space="preserve">. </w:t>
      </w:r>
      <w:r w:rsidR="00D2046D">
        <w:rPr>
          <w:lang w:val="en-GB"/>
        </w:rPr>
        <w:t xml:space="preserve">The addition of transition metals such as Fe </w:t>
      </w:r>
      <w:r w:rsidR="00373F41">
        <w:rPr>
          <w:lang w:val="en-GB"/>
        </w:rPr>
        <w:t xml:space="preserve">to feedstock prior to pyrolysis is interesting as it </w:t>
      </w:r>
      <w:r w:rsidR="00D2046D">
        <w:rPr>
          <w:lang w:val="en-GB"/>
        </w:rPr>
        <w:t xml:space="preserve">may </w:t>
      </w:r>
      <w:r w:rsidR="00213635">
        <w:rPr>
          <w:lang w:val="en-GB"/>
        </w:rPr>
        <w:t xml:space="preserve">contribute to </w:t>
      </w:r>
      <w:r w:rsidR="006A4D93">
        <w:rPr>
          <w:lang w:val="en-GB"/>
        </w:rPr>
        <w:t xml:space="preserve">an </w:t>
      </w:r>
      <w:r w:rsidR="00213635">
        <w:rPr>
          <w:lang w:val="en-GB"/>
        </w:rPr>
        <w:t>increase in yi</w:t>
      </w:r>
      <w:r w:rsidR="00550FDA">
        <w:rPr>
          <w:lang w:val="en-GB"/>
        </w:rPr>
        <w:t>eld and quality of the derived liquid and gaseous product</w:t>
      </w:r>
      <w:r w:rsidR="00A808E0">
        <w:rPr>
          <w:lang w:val="en-GB"/>
        </w:rPr>
        <w:t>s</w:t>
      </w:r>
      <w:r w:rsidR="00550FDA">
        <w:rPr>
          <w:lang w:val="en-GB"/>
        </w:rPr>
        <w:t xml:space="preserve"> while also</w:t>
      </w:r>
      <w:r w:rsidR="00A808E0">
        <w:rPr>
          <w:lang w:val="en-GB"/>
        </w:rPr>
        <w:t xml:space="preserve"> improving the chemical characteristics of pyro-char towards higher </w:t>
      </w:r>
      <w:r w:rsidR="00116E2A">
        <w:rPr>
          <w:lang w:val="en-GB"/>
        </w:rPr>
        <w:t>added value applications such as heterogeneous catalysis.</w:t>
      </w:r>
      <w:r w:rsidR="00550FDA">
        <w:rPr>
          <w:lang w:val="en-GB"/>
        </w:rPr>
        <w:t xml:space="preserve"> </w:t>
      </w:r>
      <w:r w:rsidRPr="00043523">
        <w:rPr>
          <w:lang w:val="en-GB"/>
        </w:rPr>
        <w:t xml:space="preserve">This experimental work investigates the effects of </w:t>
      </w:r>
      <w:r w:rsidR="00542E90">
        <w:rPr>
          <w:lang w:val="en-GB"/>
        </w:rPr>
        <w:t>adding</w:t>
      </w:r>
      <w:r w:rsidR="00116E2A">
        <w:rPr>
          <w:lang w:val="en-GB"/>
        </w:rPr>
        <w:t xml:space="preserve"> </w:t>
      </w:r>
      <w:r w:rsidRPr="00043523">
        <w:rPr>
          <w:lang w:val="en-GB"/>
        </w:rPr>
        <w:t xml:space="preserve">iron acetate </w:t>
      </w:r>
      <w:r w:rsidR="00D73C6A">
        <w:rPr>
          <w:lang w:val="en-GB"/>
        </w:rPr>
        <w:t xml:space="preserve">to plastic solid waste </w:t>
      </w:r>
      <w:r w:rsidR="00686D3A">
        <w:rPr>
          <w:lang w:val="en-GB"/>
        </w:rPr>
        <w:t>prior to their pyrolysis and its role i</w:t>
      </w:r>
      <w:r w:rsidR="00686D3A" w:rsidRPr="00043523">
        <w:rPr>
          <w:lang w:val="en-GB"/>
        </w:rPr>
        <w:t xml:space="preserve">n </w:t>
      </w:r>
      <w:r w:rsidRPr="00043523">
        <w:rPr>
          <w:lang w:val="en-GB"/>
        </w:rPr>
        <w:t xml:space="preserve">the </w:t>
      </w:r>
      <w:r w:rsidR="005819C6">
        <w:rPr>
          <w:lang w:val="en-GB"/>
        </w:rPr>
        <w:t xml:space="preserve">final </w:t>
      </w:r>
      <w:r w:rsidRPr="00043523">
        <w:rPr>
          <w:lang w:val="en-GB"/>
        </w:rPr>
        <w:t xml:space="preserve">properties of </w:t>
      </w:r>
      <w:r w:rsidR="005819C6">
        <w:rPr>
          <w:lang w:val="en-GB"/>
        </w:rPr>
        <w:t xml:space="preserve">the produced </w:t>
      </w:r>
      <w:r w:rsidRPr="00043523">
        <w:rPr>
          <w:lang w:val="en-GB"/>
        </w:rPr>
        <w:t>pyro-char. Pyrolysis of f</w:t>
      </w:r>
      <w:r w:rsidR="005E0BFB">
        <w:rPr>
          <w:lang w:val="en-GB"/>
        </w:rPr>
        <w:t>our</w:t>
      </w:r>
      <w:r w:rsidRPr="00043523">
        <w:rPr>
          <w:lang w:val="en-GB"/>
        </w:rPr>
        <w:t xml:space="preserve"> samples with</w:t>
      </w:r>
      <w:r>
        <w:rPr>
          <w:lang w:val="en-GB"/>
        </w:rPr>
        <w:t xml:space="preserve"> different </w:t>
      </w:r>
      <w:r w:rsidR="009C10E3">
        <w:rPr>
          <w:lang w:val="en-GB"/>
        </w:rPr>
        <w:t xml:space="preserve">concentrations of </w:t>
      </w:r>
      <w:r w:rsidRPr="00043523">
        <w:rPr>
          <w:lang w:val="en-GB"/>
        </w:rPr>
        <w:t xml:space="preserve">iron acetate </w:t>
      </w:r>
      <w:r>
        <w:rPr>
          <w:lang w:val="en-GB"/>
        </w:rPr>
        <w:t>(</w:t>
      </w:r>
      <w:r w:rsidRPr="00043523">
        <w:rPr>
          <w:lang w:val="en-GB"/>
        </w:rPr>
        <w:t>0, 5, 10, and 20</w:t>
      </w:r>
      <w:r>
        <w:rPr>
          <w:lang w:val="en-GB"/>
        </w:rPr>
        <w:t xml:space="preserve"> </w:t>
      </w:r>
      <w:r w:rsidRPr="00043523">
        <w:rPr>
          <w:lang w:val="en-GB"/>
        </w:rPr>
        <w:t>%</w:t>
      </w:r>
      <w:r w:rsidR="009C10E3">
        <w:rPr>
          <w:lang w:val="en-GB"/>
        </w:rPr>
        <w:t xml:space="preserve"> w/w dry basis</w:t>
      </w:r>
      <w:r>
        <w:rPr>
          <w:lang w:val="en-GB"/>
        </w:rPr>
        <w:t>)</w:t>
      </w:r>
      <w:r w:rsidRPr="00043523">
        <w:rPr>
          <w:lang w:val="en-GB"/>
        </w:rPr>
        <w:t xml:space="preserve"> was </w:t>
      </w:r>
      <w:r w:rsidR="00835F81">
        <w:rPr>
          <w:lang w:val="en-GB"/>
        </w:rPr>
        <w:t>carried</w:t>
      </w:r>
      <w:r w:rsidR="00835F81" w:rsidRPr="00043523">
        <w:rPr>
          <w:lang w:val="en-GB"/>
        </w:rPr>
        <w:t xml:space="preserve"> </w:t>
      </w:r>
      <w:r w:rsidRPr="00043523">
        <w:rPr>
          <w:lang w:val="en-GB"/>
        </w:rPr>
        <w:t xml:space="preserve">at </w:t>
      </w:r>
      <w:r w:rsidR="0026751A">
        <w:rPr>
          <w:lang w:val="en-GB"/>
        </w:rPr>
        <w:t>2</w:t>
      </w:r>
      <w:r w:rsidR="000C56F6">
        <w:rPr>
          <w:lang w:val="en-GB"/>
        </w:rPr>
        <w:t>5</w:t>
      </w:r>
      <w:r w:rsidR="0026751A">
        <w:rPr>
          <w:lang w:val="en-GB"/>
        </w:rPr>
        <w:t xml:space="preserve"> </w:t>
      </w:r>
      <w:r w:rsidR="0026751A" w:rsidRPr="00043523">
        <w:rPr>
          <w:lang w:val="en-GB"/>
        </w:rPr>
        <w:t xml:space="preserve">°C </w:t>
      </w:r>
      <w:r w:rsidR="0026751A">
        <w:rPr>
          <w:lang w:val="en-GB"/>
        </w:rPr>
        <w:t>min</w:t>
      </w:r>
      <w:r w:rsidR="0026751A" w:rsidRPr="000C56F6">
        <w:rPr>
          <w:vertAlign w:val="superscript"/>
          <w:lang w:val="en-GB"/>
        </w:rPr>
        <w:t>-1</w:t>
      </w:r>
      <w:r w:rsidR="0026751A">
        <w:rPr>
          <w:lang w:val="en-GB"/>
        </w:rPr>
        <w:t xml:space="preserve"> heating rate to </w:t>
      </w:r>
      <w:r w:rsidRPr="00043523">
        <w:rPr>
          <w:lang w:val="en-GB"/>
        </w:rPr>
        <w:t>600</w:t>
      </w:r>
      <w:r w:rsidR="00835F81">
        <w:rPr>
          <w:lang w:val="en-GB"/>
        </w:rPr>
        <w:t xml:space="preserve"> </w:t>
      </w:r>
      <w:r w:rsidRPr="00043523">
        <w:rPr>
          <w:lang w:val="en-GB"/>
        </w:rPr>
        <w:t>°C</w:t>
      </w:r>
      <w:r w:rsidR="00835F81">
        <w:rPr>
          <w:lang w:val="en-GB"/>
        </w:rPr>
        <w:t xml:space="preserve"> holding temperature</w:t>
      </w:r>
      <w:r w:rsidR="0026751A">
        <w:rPr>
          <w:lang w:val="en-GB"/>
        </w:rPr>
        <w:t xml:space="preserve"> for </w:t>
      </w:r>
      <w:r w:rsidR="000C56F6">
        <w:rPr>
          <w:lang w:val="en-GB"/>
        </w:rPr>
        <w:t>2</w:t>
      </w:r>
      <w:r w:rsidR="0026751A">
        <w:rPr>
          <w:lang w:val="en-GB"/>
        </w:rPr>
        <w:t xml:space="preserve"> hour</w:t>
      </w:r>
      <w:r w:rsidR="000C56F6">
        <w:rPr>
          <w:lang w:val="en-GB"/>
        </w:rPr>
        <w:t>s</w:t>
      </w:r>
      <w:r w:rsidR="00C24DB8">
        <w:rPr>
          <w:lang w:val="en-GB"/>
        </w:rPr>
        <w:t>.</w:t>
      </w:r>
      <w:r w:rsidR="000C56F6">
        <w:rPr>
          <w:lang w:val="en-GB"/>
        </w:rPr>
        <w:t xml:space="preserve"> </w:t>
      </w:r>
      <w:r w:rsidR="00C24DB8">
        <w:rPr>
          <w:lang w:val="en-GB"/>
        </w:rPr>
        <w:t>A</w:t>
      </w:r>
      <w:r w:rsidRPr="00043523">
        <w:rPr>
          <w:lang w:val="en-GB"/>
        </w:rPr>
        <w:t>nalys</w:t>
      </w:r>
      <w:r w:rsidR="00C24DB8">
        <w:rPr>
          <w:lang w:val="en-GB"/>
        </w:rPr>
        <w:t>e</w:t>
      </w:r>
      <w:r w:rsidRPr="00043523">
        <w:rPr>
          <w:lang w:val="en-GB"/>
        </w:rPr>
        <w:t xml:space="preserve">s of the resulting pyro-char have </w:t>
      </w:r>
      <w:r w:rsidR="00542E90" w:rsidRPr="00542E90">
        <w:rPr>
          <w:lang w:val="en-GB"/>
        </w:rPr>
        <w:t xml:space="preserve">shown that adding iron acetate considerably increases pyro-char yield, </w:t>
      </w:r>
      <w:r w:rsidRPr="00043523">
        <w:rPr>
          <w:lang w:val="en-GB"/>
        </w:rPr>
        <w:t>especially at 20</w:t>
      </w:r>
      <w:r w:rsidR="006F3FE5">
        <w:rPr>
          <w:lang w:val="en-GB"/>
        </w:rPr>
        <w:t xml:space="preserve"> </w:t>
      </w:r>
      <w:r w:rsidRPr="00043523">
        <w:rPr>
          <w:lang w:val="en-GB"/>
        </w:rPr>
        <w:t>% concentration</w:t>
      </w:r>
      <w:r>
        <w:rPr>
          <w:lang w:val="en-GB"/>
        </w:rPr>
        <w:t xml:space="preserve"> (</w:t>
      </w:r>
      <w:r w:rsidR="00374665">
        <w:rPr>
          <w:lang w:val="en-GB"/>
        </w:rPr>
        <w:t xml:space="preserve">yielding </w:t>
      </w:r>
      <w:r>
        <w:rPr>
          <w:lang w:val="en-GB"/>
        </w:rPr>
        <w:t>14 %</w:t>
      </w:r>
      <w:r w:rsidR="006A1DE8">
        <w:rPr>
          <w:lang w:val="en-GB"/>
        </w:rPr>
        <w:t xml:space="preserve"> weight of pyro</w:t>
      </w:r>
      <w:r w:rsidR="000C56F6">
        <w:rPr>
          <w:lang w:val="en-GB"/>
        </w:rPr>
        <w:t>-</w:t>
      </w:r>
      <w:r w:rsidR="006A1DE8">
        <w:rPr>
          <w:lang w:val="en-GB"/>
        </w:rPr>
        <w:t>char/weight of original feedstock</w:t>
      </w:r>
      <w:r>
        <w:rPr>
          <w:lang w:val="en-GB"/>
        </w:rPr>
        <w:t>)</w:t>
      </w:r>
      <w:r w:rsidRPr="00043523">
        <w:rPr>
          <w:lang w:val="en-GB"/>
        </w:rPr>
        <w:t xml:space="preserve">. </w:t>
      </w:r>
      <w:r w:rsidR="00D12B3D">
        <w:rPr>
          <w:lang w:val="en-GB"/>
        </w:rPr>
        <w:t xml:space="preserve">Iron becomes more concentrated </w:t>
      </w:r>
      <w:r w:rsidR="001F64A9">
        <w:rPr>
          <w:lang w:val="en-GB"/>
        </w:rPr>
        <w:t xml:space="preserve">in the </w:t>
      </w:r>
      <w:r w:rsidR="001C4F28">
        <w:rPr>
          <w:lang w:val="en-GB"/>
        </w:rPr>
        <w:t>resulting</w:t>
      </w:r>
      <w:r w:rsidR="001F64A9">
        <w:rPr>
          <w:lang w:val="en-GB"/>
        </w:rPr>
        <w:t xml:space="preserve"> solid </w:t>
      </w:r>
      <w:r w:rsidR="00DA2F72">
        <w:rPr>
          <w:lang w:val="en-GB"/>
        </w:rPr>
        <w:t>and its</w:t>
      </w:r>
      <w:r w:rsidR="00D12B3D">
        <w:rPr>
          <w:lang w:val="en-GB"/>
        </w:rPr>
        <w:t xml:space="preserve"> presence</w:t>
      </w:r>
      <w:r w:rsidR="00D12B3D" w:rsidRPr="00043523">
        <w:rPr>
          <w:lang w:val="en-GB"/>
        </w:rPr>
        <w:t xml:space="preserve"> </w:t>
      </w:r>
      <w:r w:rsidR="001C4F28">
        <w:rPr>
          <w:lang w:val="en-GB"/>
        </w:rPr>
        <w:t>opens possibilities to potential</w:t>
      </w:r>
      <w:r w:rsidR="00350508">
        <w:rPr>
          <w:lang w:val="en-GB"/>
        </w:rPr>
        <w:t xml:space="preserve"> use of pyro-chars as </w:t>
      </w:r>
      <w:r w:rsidR="00DA2F72">
        <w:rPr>
          <w:lang w:val="en-GB"/>
        </w:rPr>
        <w:t>inexpensive</w:t>
      </w:r>
      <w:r w:rsidR="00350508">
        <w:rPr>
          <w:lang w:val="en-GB"/>
        </w:rPr>
        <w:t xml:space="preserve"> catalys</w:t>
      </w:r>
      <w:r w:rsidR="003912E1">
        <w:rPr>
          <w:lang w:val="en-GB"/>
        </w:rPr>
        <w:t xml:space="preserve">ts for </w:t>
      </w:r>
      <w:r w:rsidR="00DA2F72">
        <w:rPr>
          <w:lang w:val="en-GB"/>
        </w:rPr>
        <w:t xml:space="preserve">gas phase </w:t>
      </w:r>
      <w:r w:rsidR="003912E1">
        <w:rPr>
          <w:lang w:val="en-GB"/>
        </w:rPr>
        <w:t>reactions such as (for example) the Reverse water-gas shift reaction.</w:t>
      </w:r>
      <w:r w:rsidR="00350508">
        <w:rPr>
          <w:lang w:val="en-GB"/>
        </w:rPr>
        <w:t xml:space="preserve"> </w:t>
      </w:r>
    </w:p>
    <w:p w14:paraId="476B2F2E" w14:textId="52B36035" w:rsidR="00600535" w:rsidRDefault="00600535" w:rsidP="00600535">
      <w:pPr>
        <w:pStyle w:val="CETHeading1"/>
        <w:rPr>
          <w:lang w:val="en-GB"/>
        </w:rPr>
      </w:pPr>
      <w:r w:rsidRPr="00B57B36">
        <w:rPr>
          <w:lang w:val="en-GB"/>
        </w:rPr>
        <w:t>Introduction</w:t>
      </w:r>
    </w:p>
    <w:p w14:paraId="4C931C0E" w14:textId="4A3F853F" w:rsidR="002F13D2" w:rsidRDefault="002F13D2" w:rsidP="00993321">
      <w:pPr>
        <w:pStyle w:val="CETBodytext"/>
      </w:pPr>
      <w:r>
        <w:t xml:space="preserve">The management of plastic solid waste (PSW) has become a significant challenge </w:t>
      </w:r>
      <w:proofErr w:type="gramStart"/>
      <w:r>
        <w:t>as a result of</w:t>
      </w:r>
      <w:proofErr w:type="gramEnd"/>
      <w:r>
        <w:t xml:space="preserve"> the ongoing rise in plastic production and its inherent non-biodegradable nature (Taghavi et al., 2021). Among the various available methods, pyrolysis has been identified as a viable and effective </w:t>
      </w:r>
      <w:r w:rsidR="00287776">
        <w:t xml:space="preserve">route to upgrade PSW by </w:t>
      </w:r>
      <w:r w:rsidR="0089193A">
        <w:t xml:space="preserve">producing solid, liquid and gaseous hydrocarbons. Such </w:t>
      </w:r>
      <w:proofErr w:type="gramStart"/>
      <w:r w:rsidR="0089193A">
        <w:t>approach</w:t>
      </w:r>
      <w:proofErr w:type="gramEnd"/>
      <w:r>
        <w:t xml:space="preserve"> provid</w:t>
      </w:r>
      <w:r w:rsidR="0089193A">
        <w:t>es</w:t>
      </w:r>
      <w:r>
        <w:t xml:space="preserve"> an alternative to landfill disposal </w:t>
      </w:r>
      <w:r w:rsidR="00155F8F">
        <w:t xml:space="preserve">thereby </w:t>
      </w:r>
      <w:r w:rsidR="00542E90">
        <w:t>reducing</w:t>
      </w:r>
      <w:r>
        <w:t xml:space="preserve"> environmental pollution. The </w:t>
      </w:r>
      <w:proofErr w:type="gramStart"/>
      <w:r w:rsidR="00155F8F">
        <w:t>aforementioned hydrocarbons</w:t>
      </w:r>
      <w:proofErr w:type="gramEnd"/>
      <w:r w:rsidR="00155F8F">
        <w:t xml:space="preserve"> </w:t>
      </w:r>
      <w:r w:rsidR="00F2359F">
        <w:t xml:space="preserve">resulting from the </w:t>
      </w:r>
      <w:r>
        <w:t xml:space="preserve">thermochemical process may serve as chemical </w:t>
      </w:r>
      <w:r w:rsidR="00246F44">
        <w:t xml:space="preserve">scaffolds for further upgrade </w:t>
      </w:r>
      <w:r>
        <w:t xml:space="preserve">or </w:t>
      </w:r>
      <w:r w:rsidR="00246F44">
        <w:t xml:space="preserve">as </w:t>
      </w:r>
      <w:r>
        <w:t>energy vectors, thereby contributing to the principles of a circular economy</w:t>
      </w:r>
      <w:r w:rsidR="00F43544">
        <w:t xml:space="preserve"> in the production and use of plastics</w:t>
      </w:r>
      <w:r>
        <w:t xml:space="preserve">. Pyrolysis has some environmental advantages over other processes for the treatment of </w:t>
      </w:r>
      <w:r w:rsidR="00BD641E">
        <w:t>PSW</w:t>
      </w:r>
      <w:r>
        <w:t xml:space="preserve">, </w:t>
      </w:r>
      <w:r w:rsidR="00BD641E">
        <w:t xml:space="preserve">primarily </w:t>
      </w:r>
      <w:r>
        <w:t xml:space="preserve">because it takes place in </w:t>
      </w:r>
      <w:r w:rsidR="000164C1">
        <w:t xml:space="preserve">an </w:t>
      </w:r>
      <w:r>
        <w:t>environment</w:t>
      </w:r>
      <w:r w:rsidR="000164C1">
        <w:t xml:space="preserve"> </w:t>
      </w:r>
      <w:r w:rsidR="005F2CC0">
        <w:t>which is poor in oxygen</w:t>
      </w:r>
      <w:r>
        <w:t xml:space="preserve">, </w:t>
      </w:r>
      <w:r w:rsidR="00CA469E">
        <w:t xml:space="preserve">thereby </w:t>
      </w:r>
      <w:r w:rsidR="00703E13">
        <w:t xml:space="preserve">limiting </w:t>
      </w:r>
      <w:r>
        <w:t>the formation of dioxins and significantly reduc</w:t>
      </w:r>
      <w:r w:rsidR="00CA469E">
        <w:t>ing</w:t>
      </w:r>
      <w:r>
        <w:t xml:space="preserve"> carbon monoxide and carbon dioxide </w:t>
      </w:r>
      <w:r w:rsidR="00CA469E">
        <w:t xml:space="preserve">emissions </w:t>
      </w:r>
      <w:r w:rsidR="003B0920">
        <w:t xml:space="preserve">in the atmosphere </w:t>
      </w:r>
      <w:r>
        <w:t xml:space="preserve">(Al-Salem et al., 2017). While </w:t>
      </w:r>
      <w:r w:rsidR="009D13EB">
        <w:t>the r</w:t>
      </w:r>
      <w:r w:rsidR="00EB5E9C">
        <w:t xml:space="preserve">esults of </w:t>
      </w:r>
      <w:r>
        <w:t>experimental studies on the pyrolysis of plastics</w:t>
      </w:r>
      <w:r w:rsidR="00EB5E9C">
        <w:t xml:space="preserve"> have been widely reported</w:t>
      </w:r>
      <w:r>
        <w:t>, most of th</w:t>
      </w:r>
      <w:r w:rsidR="00EB5E9C">
        <w:t>ose</w:t>
      </w:r>
      <w:r>
        <w:t xml:space="preserve"> works focus on improving the yield and quality of the </w:t>
      </w:r>
      <w:r w:rsidR="00EB5E9C">
        <w:t xml:space="preserve">produced </w:t>
      </w:r>
      <w:r>
        <w:t>liquid</w:t>
      </w:r>
      <w:r w:rsidR="006400BD">
        <w:t>s</w:t>
      </w:r>
      <w:r>
        <w:t xml:space="preserve"> and gases (Akhtar </w:t>
      </w:r>
      <w:r w:rsidR="00BD0DE4">
        <w:t xml:space="preserve">and </w:t>
      </w:r>
      <w:r w:rsidR="00EE6D19" w:rsidRPr="004836B4">
        <w:t>Saidina Amin</w:t>
      </w:r>
      <w:r w:rsidR="008738C8">
        <w:t>,</w:t>
      </w:r>
      <w:r>
        <w:t xml:space="preserve"> 2012; Marchetti et al., 2024)</w:t>
      </w:r>
      <w:r w:rsidR="006400BD">
        <w:t>, while</w:t>
      </w:r>
      <w:r>
        <w:t xml:space="preserve"> pyro-char, has often </w:t>
      </w:r>
      <w:r w:rsidR="006400BD">
        <w:t xml:space="preserve">been </w:t>
      </w:r>
      <w:r>
        <w:t xml:space="preserve">overlooked. </w:t>
      </w:r>
      <w:r w:rsidR="00571D5B">
        <w:t>By</w:t>
      </w:r>
      <w:r>
        <w:t xml:space="preserve"> contrast, studies </w:t>
      </w:r>
      <w:r w:rsidR="00571D5B">
        <w:t xml:space="preserve">on </w:t>
      </w:r>
      <w:r>
        <w:t xml:space="preserve">pyro-char produced from biomass pyrolysis </w:t>
      </w:r>
      <w:r w:rsidR="00571D5B">
        <w:t>(bio</w:t>
      </w:r>
      <w:r w:rsidR="00703E13">
        <w:t>-</w:t>
      </w:r>
      <w:r w:rsidR="00571D5B">
        <w:t xml:space="preserve">chars) </w:t>
      </w:r>
      <w:r>
        <w:t>are much more frequent</w:t>
      </w:r>
      <w:r w:rsidR="009E0D41">
        <w:t xml:space="preserve"> and</w:t>
      </w:r>
      <w:r w:rsidR="00542E90">
        <w:t xml:space="preserve"> the</w:t>
      </w:r>
      <w:r w:rsidR="009E0D41">
        <w:t xml:space="preserve"> results of such studies may inspire routes to the pyrolysis upgrade of PSW</w:t>
      </w:r>
      <w:r w:rsidR="00703E13">
        <w:t xml:space="preserve">. </w:t>
      </w:r>
      <w:r>
        <w:t xml:space="preserve">For example, </w:t>
      </w:r>
      <w:proofErr w:type="spellStart"/>
      <w:r>
        <w:t>Monlau</w:t>
      </w:r>
      <w:proofErr w:type="spellEnd"/>
      <w:r>
        <w:t xml:space="preserve"> et al. (2016) investigated the </w:t>
      </w:r>
      <w:r w:rsidR="009E0D41">
        <w:t>use</w:t>
      </w:r>
      <w:r w:rsidR="00533128">
        <w:t xml:space="preserve"> of</w:t>
      </w:r>
      <w:r w:rsidR="009E0D41">
        <w:t xml:space="preserve"> </w:t>
      </w:r>
      <w:r w:rsidR="00571D5B">
        <w:t>bio</w:t>
      </w:r>
      <w:r w:rsidR="00703E13">
        <w:t>-</w:t>
      </w:r>
      <w:r w:rsidR="00571D5B">
        <w:t>chars</w:t>
      </w:r>
      <w:r>
        <w:t xml:space="preserve">, </w:t>
      </w:r>
      <w:r w:rsidR="00533128">
        <w:t xml:space="preserve">derived </w:t>
      </w:r>
      <w:r>
        <w:t xml:space="preserve">from a mix of groats, olive oil cake, triticale silage, and chicken manure, </w:t>
      </w:r>
      <w:r w:rsidR="00BD5D69">
        <w:t xml:space="preserve">feedstock </w:t>
      </w:r>
      <w:r>
        <w:t xml:space="preserve">as </w:t>
      </w:r>
      <w:r w:rsidR="00BD5D69">
        <w:t xml:space="preserve">a </w:t>
      </w:r>
      <w:r w:rsidR="008D7C7D">
        <w:t>soil</w:t>
      </w:r>
      <w:r w:rsidR="00BD5D69">
        <w:t xml:space="preserve"> </w:t>
      </w:r>
      <w:r>
        <w:t xml:space="preserve">amendment. Similarly, Malik et al. (2023) have </w:t>
      </w:r>
      <w:r w:rsidR="007F7B53">
        <w:t>proposed</w:t>
      </w:r>
      <w:r>
        <w:t xml:space="preserve"> a </w:t>
      </w:r>
      <w:r w:rsidR="007F7B53">
        <w:t xml:space="preserve">method </w:t>
      </w:r>
      <w:r>
        <w:t>for the synthesis of carbon-encapsulated iron nanoparticles via the</w:t>
      </w:r>
      <w:r w:rsidR="007F7B53">
        <w:t xml:space="preserve"> </w:t>
      </w:r>
      <w:r>
        <w:t>pyrolysis of sporopollenin exine capsules</w:t>
      </w:r>
      <w:r w:rsidR="00533128">
        <w:t xml:space="preserve"> of </w:t>
      </w:r>
      <w:r w:rsidR="00533128" w:rsidRPr="000C56F6">
        <w:rPr>
          <w:i/>
          <w:iCs/>
        </w:rPr>
        <w:lastRenderedPageBreak/>
        <w:t xml:space="preserve">Lycopodium </w:t>
      </w:r>
      <w:proofErr w:type="spellStart"/>
      <w:r w:rsidR="00533128" w:rsidRPr="000C56F6">
        <w:rPr>
          <w:i/>
          <w:iCs/>
        </w:rPr>
        <w:t>clavatum</w:t>
      </w:r>
      <w:proofErr w:type="spellEnd"/>
      <w:r>
        <w:t xml:space="preserve">. </w:t>
      </w:r>
      <w:r w:rsidR="00731CBA">
        <w:t xml:space="preserve">However, similarly to </w:t>
      </w:r>
      <w:r w:rsidR="009E35EA">
        <w:t xml:space="preserve">biomass, </w:t>
      </w:r>
      <w:r w:rsidR="00A219CC">
        <w:t xml:space="preserve">the intrinsically high </w:t>
      </w:r>
      <w:r w:rsidR="008161A0">
        <w:t xml:space="preserve">physical and chemical heterogeneity of </w:t>
      </w:r>
      <w:r>
        <w:t xml:space="preserve">PSW </w:t>
      </w:r>
      <w:r w:rsidR="008161A0">
        <w:t>poses non</w:t>
      </w:r>
      <w:r w:rsidR="00D66F92">
        <w:t xml:space="preserve">-trivial challenges when reproducibility and homogeneity of the </w:t>
      </w:r>
      <w:r w:rsidR="0012460C">
        <w:t xml:space="preserve">resulting products </w:t>
      </w:r>
      <w:r w:rsidR="006F3FE5">
        <w:t>are</w:t>
      </w:r>
      <w:r w:rsidR="0012460C">
        <w:t xml:space="preserve"> desired</w:t>
      </w:r>
      <w:r>
        <w:t>.</w:t>
      </w:r>
      <w:r w:rsidR="00173E7A">
        <w:t xml:space="preserve"> The PSW, indeed, is usually characterized by the presence of different polymers and metals. The metals can play different roles during</w:t>
      </w:r>
      <w:r w:rsidR="00542E90">
        <w:t xml:space="preserve"> the</w:t>
      </w:r>
      <w:r w:rsidR="00173E7A">
        <w:t xml:space="preserve"> pyrolysis process. </w:t>
      </w:r>
      <w:r w:rsidR="00173E7A" w:rsidRPr="000D2B58">
        <w:rPr>
          <w:rFonts w:cs="Arial"/>
          <w:szCs w:val="18"/>
          <w:lang w:eastAsia="it-IT"/>
        </w:rPr>
        <w:t>Among them, iron emerge</w:t>
      </w:r>
      <w:r w:rsidR="00173E7A">
        <w:rPr>
          <w:rFonts w:cs="Arial"/>
          <w:szCs w:val="18"/>
          <w:lang w:eastAsia="it-IT"/>
        </w:rPr>
        <w:t>s as it plays a significant role in enhancing</w:t>
      </w:r>
      <w:r w:rsidR="00173E7A" w:rsidRPr="000D2B58">
        <w:rPr>
          <w:rFonts w:cs="Arial"/>
          <w:szCs w:val="18"/>
          <w:lang w:eastAsia="it-IT"/>
        </w:rPr>
        <w:t xml:space="preserve"> the cracking of biomass </w:t>
      </w:r>
      <w:r w:rsidR="00173E7A">
        <w:rPr>
          <w:rFonts w:cs="Arial"/>
          <w:szCs w:val="18"/>
          <w:lang w:eastAsia="it-IT"/>
        </w:rPr>
        <w:t xml:space="preserve">pyrolysis vapors, thereby </w:t>
      </w:r>
      <w:r w:rsidR="00173E7A" w:rsidRPr="000D2B58">
        <w:rPr>
          <w:rFonts w:cs="Arial"/>
          <w:szCs w:val="18"/>
          <w:lang w:eastAsia="it-IT"/>
        </w:rPr>
        <w:t>increas</w:t>
      </w:r>
      <w:r w:rsidR="00173E7A">
        <w:rPr>
          <w:rFonts w:cs="Arial"/>
          <w:szCs w:val="18"/>
          <w:lang w:eastAsia="it-IT"/>
        </w:rPr>
        <w:t>ing</w:t>
      </w:r>
      <w:r w:rsidR="00173E7A" w:rsidRPr="000D2B58">
        <w:rPr>
          <w:rFonts w:cs="Arial"/>
          <w:szCs w:val="18"/>
          <w:lang w:eastAsia="it-IT"/>
        </w:rPr>
        <w:t xml:space="preserve"> the </w:t>
      </w:r>
      <w:r w:rsidR="00173E7A">
        <w:rPr>
          <w:rFonts w:cs="Arial"/>
          <w:szCs w:val="18"/>
          <w:lang w:eastAsia="it-IT"/>
        </w:rPr>
        <w:t>yield and quality</w:t>
      </w:r>
      <w:r w:rsidR="00173E7A" w:rsidRPr="000D2B58">
        <w:rPr>
          <w:rFonts w:cs="Arial"/>
          <w:szCs w:val="18"/>
          <w:lang w:eastAsia="it-IT"/>
        </w:rPr>
        <w:t xml:space="preserve"> </w:t>
      </w:r>
      <w:r w:rsidR="00173E7A">
        <w:rPr>
          <w:rFonts w:cs="Arial"/>
          <w:szCs w:val="18"/>
          <w:lang w:eastAsia="it-IT"/>
        </w:rPr>
        <w:t xml:space="preserve">of </w:t>
      </w:r>
      <w:r w:rsidR="00173E7A" w:rsidRPr="000D2B58">
        <w:rPr>
          <w:rFonts w:cs="Arial"/>
          <w:szCs w:val="18"/>
          <w:lang w:eastAsia="it-IT"/>
        </w:rPr>
        <w:t>char</w:t>
      </w:r>
      <w:r w:rsidR="00173E7A">
        <w:rPr>
          <w:rFonts w:cs="Arial"/>
          <w:szCs w:val="18"/>
          <w:lang w:eastAsia="it-IT"/>
        </w:rPr>
        <w:t>s</w:t>
      </w:r>
      <w:r w:rsidR="00173E7A" w:rsidRPr="000D2B58">
        <w:rPr>
          <w:rFonts w:cs="Arial"/>
          <w:szCs w:val="18"/>
          <w:lang w:eastAsia="it-IT"/>
        </w:rPr>
        <w:t xml:space="preserve"> and </w:t>
      </w:r>
      <w:r w:rsidR="00173E7A">
        <w:rPr>
          <w:rFonts w:cs="Arial"/>
          <w:szCs w:val="18"/>
          <w:lang w:eastAsia="it-IT"/>
        </w:rPr>
        <w:t xml:space="preserve">concentration of </w:t>
      </w:r>
      <w:r w:rsidR="00173E7A" w:rsidRPr="000D2B58">
        <w:rPr>
          <w:rFonts w:cs="Arial"/>
          <w:szCs w:val="18"/>
          <w:lang w:eastAsia="it-IT"/>
        </w:rPr>
        <w:t xml:space="preserve">hydrogen </w:t>
      </w:r>
      <w:r w:rsidR="00173E7A">
        <w:rPr>
          <w:rFonts w:cs="Arial"/>
          <w:szCs w:val="18"/>
          <w:lang w:eastAsia="it-IT"/>
        </w:rPr>
        <w:t xml:space="preserve">in the produced gases </w:t>
      </w:r>
      <w:r w:rsidR="00173E7A" w:rsidRPr="004206BF">
        <w:rPr>
          <w:rFonts w:cs="Arial"/>
          <w:szCs w:val="18"/>
          <w:lang w:eastAsia="it-IT"/>
        </w:rPr>
        <w:t>(Xia et al., 202</w:t>
      </w:r>
      <w:r w:rsidR="00173E7A">
        <w:rPr>
          <w:rFonts w:cs="Arial"/>
          <w:szCs w:val="18"/>
          <w:lang w:eastAsia="it-IT"/>
        </w:rPr>
        <w:t>3</w:t>
      </w:r>
      <w:r w:rsidR="00173E7A" w:rsidRPr="004206BF">
        <w:rPr>
          <w:rFonts w:cs="Arial"/>
          <w:szCs w:val="18"/>
          <w:lang w:eastAsia="it-IT"/>
        </w:rPr>
        <w:t>)</w:t>
      </w:r>
      <w:r w:rsidR="00173E7A" w:rsidRPr="00E75FD4">
        <w:rPr>
          <w:rFonts w:cs="Arial"/>
          <w:szCs w:val="18"/>
          <w:lang w:eastAsia="it-IT"/>
        </w:rPr>
        <w:t>.</w:t>
      </w:r>
      <w:r w:rsidR="00173E7A">
        <w:rPr>
          <w:rFonts w:cs="Arial"/>
          <w:szCs w:val="18"/>
          <w:lang w:eastAsia="it-IT"/>
        </w:rPr>
        <w:t xml:space="preserve"> Moreover, i</w:t>
      </w:r>
      <w:r w:rsidR="00173E7A" w:rsidRPr="000D2B58">
        <w:rPr>
          <w:rFonts w:cs="Arial"/>
          <w:szCs w:val="18"/>
          <w:lang w:eastAsia="it-IT"/>
        </w:rPr>
        <w:t>ron</w:t>
      </w:r>
      <w:r w:rsidR="00173E7A">
        <w:rPr>
          <w:rFonts w:cs="Arial"/>
          <w:szCs w:val="18"/>
          <w:lang w:eastAsia="it-IT"/>
        </w:rPr>
        <w:t xml:space="preserve"> is one of the most promising owing to its abundance and cost-effectiveness</w:t>
      </w:r>
      <w:r w:rsidR="00173E7A" w:rsidRPr="000D2B58">
        <w:rPr>
          <w:rFonts w:cs="Arial"/>
          <w:szCs w:val="18"/>
          <w:lang w:eastAsia="it-IT"/>
        </w:rPr>
        <w:t xml:space="preserve"> </w:t>
      </w:r>
      <w:r w:rsidR="00173E7A" w:rsidRPr="00E75FD4">
        <w:rPr>
          <w:rFonts w:cs="Arial"/>
          <w:szCs w:val="18"/>
          <w:lang w:eastAsia="it-IT"/>
        </w:rPr>
        <w:t>(</w:t>
      </w:r>
      <w:r w:rsidR="00173E7A" w:rsidRPr="00E75FD4">
        <w:t>Kylar</w:t>
      </w:r>
      <w:r w:rsidR="00BD0DE4">
        <w:t xml:space="preserve"> </w:t>
      </w:r>
      <w:proofErr w:type="spellStart"/>
      <w:r w:rsidR="00BD0DE4">
        <w:t>m</w:t>
      </w:r>
      <w:r w:rsidR="00173E7A" w:rsidRPr="00E75FD4">
        <w:t>ack</w:t>
      </w:r>
      <w:proofErr w:type="spellEnd"/>
      <w:r w:rsidR="00173E7A">
        <w:t>, 202</w:t>
      </w:r>
      <w:r w:rsidR="00BD0DE4">
        <w:t>3</w:t>
      </w:r>
      <w:r w:rsidR="00173E7A" w:rsidRPr="00E75FD4">
        <w:rPr>
          <w:rFonts w:cs="Arial"/>
          <w:szCs w:val="18"/>
          <w:lang w:eastAsia="it-IT"/>
        </w:rPr>
        <w:t>)</w:t>
      </w:r>
      <w:r w:rsidR="00173E7A">
        <w:rPr>
          <w:rFonts w:cs="Arial"/>
          <w:szCs w:val="18"/>
          <w:lang w:eastAsia="it-IT"/>
        </w:rPr>
        <w:t xml:space="preserve">. </w:t>
      </w:r>
      <w:r w:rsidR="005B1587">
        <w:t xml:space="preserve">In this study we </w:t>
      </w:r>
      <w:r w:rsidR="00172792">
        <w:t xml:space="preserve">concentrate on a </w:t>
      </w:r>
      <w:r>
        <w:t xml:space="preserve">characterization of the pyro-char </w:t>
      </w:r>
      <w:r w:rsidR="008D178D">
        <w:t>to help</w:t>
      </w:r>
      <w:r w:rsidR="00A178E7">
        <w:t xml:space="preserve"> </w:t>
      </w:r>
      <w:proofErr w:type="gramStart"/>
      <w:r w:rsidR="00A178E7">
        <w:t>identifying</w:t>
      </w:r>
      <w:proofErr w:type="gramEnd"/>
      <w:r w:rsidR="00172792">
        <w:t xml:space="preserve"> correlation</w:t>
      </w:r>
      <w:r w:rsidR="00A178E7">
        <w:t>s</w:t>
      </w:r>
      <w:r w:rsidR="00172792">
        <w:t xml:space="preserve"> </w:t>
      </w:r>
      <w:r w:rsidR="008D178D">
        <w:t>between</w:t>
      </w:r>
      <w:r w:rsidR="00F254A8">
        <w:t xml:space="preserve"> the</w:t>
      </w:r>
      <w:r w:rsidR="00470E8B">
        <w:t xml:space="preserve"> pre-impregnation</w:t>
      </w:r>
      <w:r>
        <w:t xml:space="preserve"> </w:t>
      </w:r>
      <w:r w:rsidR="00470E8B">
        <w:t xml:space="preserve">of PSW with </w:t>
      </w:r>
      <w:r w:rsidR="00F254A8">
        <w:t xml:space="preserve">different amounts of </w:t>
      </w:r>
      <w:r>
        <w:t>iron (II) acetate (</w:t>
      </w:r>
      <w:proofErr w:type="gramStart"/>
      <w:r>
        <w:t>Fe(</w:t>
      </w:r>
      <w:proofErr w:type="spellStart"/>
      <w:proofErr w:type="gramEnd"/>
      <w:r>
        <w:t>OAc</w:t>
      </w:r>
      <w:proofErr w:type="spellEnd"/>
      <w:r>
        <w:t>)</w:t>
      </w:r>
      <w:r w:rsidRPr="002F13D2">
        <w:rPr>
          <w:vertAlign w:val="subscript"/>
        </w:rPr>
        <w:t>2</w:t>
      </w:r>
      <w:r>
        <w:t xml:space="preserve">) </w:t>
      </w:r>
      <w:r w:rsidR="00534687">
        <w:t>and</w:t>
      </w:r>
      <w:r w:rsidR="00322BD3">
        <w:t xml:space="preserve"> the yield and surface properties of its </w:t>
      </w:r>
      <w:r w:rsidR="00534687">
        <w:t>derived</w:t>
      </w:r>
      <w:r w:rsidR="00322BD3">
        <w:t xml:space="preserve"> </w:t>
      </w:r>
      <w:r w:rsidR="00703E13">
        <w:t>pyrolyzed</w:t>
      </w:r>
      <w:r w:rsidR="00322BD3">
        <w:t xml:space="preserve"> solid</w:t>
      </w:r>
      <w:r w:rsidR="00703E13">
        <w:t>.</w:t>
      </w:r>
      <w:r>
        <w:t xml:space="preserve"> The morphology of the pyro-char </w:t>
      </w:r>
      <w:r w:rsidR="00BB449F">
        <w:t xml:space="preserve">was also investigated </w:t>
      </w:r>
      <w:r w:rsidR="00BB449F">
        <w:rPr>
          <w:i/>
          <w:iCs/>
        </w:rPr>
        <w:t xml:space="preserve">via </w:t>
      </w:r>
      <w:r>
        <w:t>Scanning Electron Microscopy (SEM)</w:t>
      </w:r>
      <w:r w:rsidR="00BB449F">
        <w:t xml:space="preserve"> and</w:t>
      </w:r>
      <w:r>
        <w:t xml:space="preserve"> Energy Dispersive Spectroscopy (EDS)</w:t>
      </w:r>
      <w:r w:rsidR="00BB449F">
        <w:t>.</w:t>
      </w:r>
    </w:p>
    <w:p w14:paraId="5741900F" w14:textId="217701D2" w:rsidR="00453E24" w:rsidRDefault="001233E3" w:rsidP="00453E24">
      <w:pPr>
        <w:pStyle w:val="CETHeading1"/>
      </w:pPr>
      <w:r>
        <w:t>Materials and Methods</w:t>
      </w:r>
    </w:p>
    <w:p w14:paraId="10638050" w14:textId="3C183536" w:rsidR="00D55BC5" w:rsidRPr="000C56F6" w:rsidRDefault="00D55BC5" w:rsidP="00D55BC5">
      <w:pPr>
        <w:pStyle w:val="CETBodytext"/>
        <w:rPr>
          <w:lang w:val="en-GB"/>
        </w:rPr>
      </w:pPr>
      <w:r>
        <w:t xml:space="preserve">The raw material </w:t>
      </w:r>
      <w:r w:rsidR="00926E39">
        <w:t>used</w:t>
      </w:r>
      <w:r>
        <w:t xml:space="preserve"> in this research is PSW classified under the EWC150106 code according to the European Waste Catalogue. This </w:t>
      </w:r>
      <w:r w:rsidR="00CE31D8">
        <w:t>is a waste from</w:t>
      </w:r>
      <w:r>
        <w:t xml:space="preserve"> the industrial production of </w:t>
      </w:r>
      <w:r w:rsidR="00926E39">
        <w:t xml:space="preserve">densified </w:t>
      </w:r>
      <w:r>
        <w:t xml:space="preserve">polyolefins. </w:t>
      </w:r>
      <w:r w:rsidR="008672B0">
        <w:t xml:space="preserve">The quantification of metal present in the raw feedstock </w:t>
      </w:r>
      <w:r w:rsidR="00BE02C1">
        <w:t xml:space="preserve">were quantified </w:t>
      </w:r>
      <w:r w:rsidR="00BE02C1">
        <w:rPr>
          <w:i/>
          <w:iCs/>
        </w:rPr>
        <w:t xml:space="preserve">via </w:t>
      </w:r>
      <w:r w:rsidR="00BE02C1" w:rsidRPr="00BE02C1">
        <w:rPr>
          <w:lang w:val="en-GB"/>
        </w:rPr>
        <w:t>inductively coupled plasma optical emission spectromet</w:t>
      </w:r>
      <w:r w:rsidR="00BE02C1">
        <w:rPr>
          <w:lang w:val="en-GB"/>
        </w:rPr>
        <w:t xml:space="preserve">ry (ICP-OES) </w:t>
      </w:r>
      <w:r w:rsidR="005360F3">
        <w:t>following</w:t>
      </w:r>
      <w:r>
        <w:t xml:space="preserve"> standards UNI EN 13657:2004 and UNI EN ISO 11885:2009</w:t>
      </w:r>
      <w:r w:rsidR="00703E13">
        <w:t>.</w:t>
      </w:r>
      <w:r w:rsidR="0036142A">
        <w:t xml:space="preserve"> </w:t>
      </w:r>
      <w:r w:rsidR="00703E13">
        <w:t>P</w:t>
      </w:r>
      <w:r w:rsidR="0036142A">
        <w:t>rior to pyrolysis</w:t>
      </w:r>
      <w:r w:rsidR="001E5D13">
        <w:t>, the dried</w:t>
      </w:r>
      <w:r w:rsidR="0036142A">
        <w:t xml:space="preserve"> </w:t>
      </w:r>
      <w:r>
        <w:t xml:space="preserve">PSW was impregnated with </w:t>
      </w:r>
      <w:proofErr w:type="gramStart"/>
      <w:r>
        <w:t>Fe(</w:t>
      </w:r>
      <w:proofErr w:type="spellStart"/>
      <w:proofErr w:type="gramEnd"/>
      <w:r>
        <w:t>OAc</w:t>
      </w:r>
      <w:proofErr w:type="spellEnd"/>
      <w:r>
        <w:t>)</w:t>
      </w:r>
      <w:r>
        <w:rPr>
          <w:vertAlign w:val="subscript"/>
        </w:rPr>
        <w:t>2</w:t>
      </w:r>
      <w:r>
        <w:t xml:space="preserve"> using 0, 5, 10, and 20</w:t>
      </w:r>
      <w:r w:rsidR="006F3FE5">
        <w:t xml:space="preserve"> </w:t>
      </w:r>
      <w:r>
        <w:t>%</w:t>
      </w:r>
      <w:r w:rsidR="001E5D13">
        <w:t xml:space="preserve">, where the concentration is evaluated as the </w:t>
      </w:r>
      <w:r w:rsidR="004B2802">
        <w:t xml:space="preserve">weight of </w:t>
      </w:r>
      <w:r>
        <w:t>Fe(</w:t>
      </w:r>
      <w:proofErr w:type="spellStart"/>
      <w:r>
        <w:t>OAc</w:t>
      </w:r>
      <w:proofErr w:type="spellEnd"/>
      <w:r>
        <w:t>)</w:t>
      </w:r>
      <w:r w:rsidRPr="001E5D13">
        <w:rPr>
          <w:vertAlign w:val="subscript"/>
        </w:rPr>
        <w:t>2</w:t>
      </w:r>
      <w:r w:rsidR="00703E13">
        <w:t xml:space="preserve"> on</w:t>
      </w:r>
      <w:r w:rsidR="004B2802">
        <w:t xml:space="preserve"> </w:t>
      </w:r>
      <w:r w:rsidR="001E5D13">
        <w:t xml:space="preserve">the </w:t>
      </w:r>
      <w:r w:rsidR="004B2802">
        <w:t xml:space="preserve">weight of </w:t>
      </w:r>
      <w:proofErr w:type="spellStart"/>
      <w:r>
        <w:t>PSW+Fe</w:t>
      </w:r>
      <w:proofErr w:type="spellEnd"/>
      <w:r>
        <w:t>(</w:t>
      </w:r>
      <w:proofErr w:type="spellStart"/>
      <w:r>
        <w:t>OAc</w:t>
      </w:r>
      <w:proofErr w:type="spellEnd"/>
      <w:r>
        <w:t>)</w:t>
      </w:r>
      <w:r>
        <w:rPr>
          <w:rFonts w:ascii="Cambria Math" w:hAnsi="Cambria Math" w:cs="Cambria Math"/>
        </w:rPr>
        <w:t>₂</w:t>
      </w:r>
      <w:r>
        <w:t xml:space="preserve">. </w:t>
      </w:r>
      <w:r w:rsidR="004962A1">
        <w:t xml:space="preserve">Approximately </w:t>
      </w:r>
      <w:r w:rsidR="00703E13">
        <w:t xml:space="preserve">0, </w:t>
      </w:r>
      <w:r w:rsidR="001E5D13">
        <w:t>0.1,</w:t>
      </w:r>
      <w:r w:rsidR="00B960DF">
        <w:t xml:space="preserve"> 0.2, and 0.5</w:t>
      </w:r>
      <w:r w:rsidR="004962A1">
        <w:t xml:space="preserve"> g of </w:t>
      </w:r>
      <w:proofErr w:type="gramStart"/>
      <w:r>
        <w:t>Fe(</w:t>
      </w:r>
      <w:proofErr w:type="spellStart"/>
      <w:proofErr w:type="gramEnd"/>
      <w:r>
        <w:t>OAc</w:t>
      </w:r>
      <w:proofErr w:type="spellEnd"/>
      <w:r>
        <w:t>)</w:t>
      </w:r>
      <w:r w:rsidRPr="000C56F6">
        <w:rPr>
          <w:vertAlign w:val="subscript"/>
        </w:rPr>
        <w:t>2</w:t>
      </w:r>
      <w:r>
        <w:t xml:space="preserve"> </w:t>
      </w:r>
      <w:r w:rsidR="004962A1">
        <w:t xml:space="preserve">were </w:t>
      </w:r>
      <w:r w:rsidR="001E5D13">
        <w:t>dissolved</w:t>
      </w:r>
      <w:r w:rsidR="004962A1">
        <w:t xml:space="preserve"> </w:t>
      </w:r>
      <w:r>
        <w:t xml:space="preserve">in 40 mL of methanol, </w:t>
      </w:r>
      <w:r w:rsidR="001E5D13">
        <w:t>and</w:t>
      </w:r>
      <w:r>
        <w:t xml:space="preserve"> </w:t>
      </w:r>
      <w:r w:rsidR="00384A01">
        <w:t>a</w:t>
      </w:r>
      <w:r w:rsidR="004962A1">
        <w:t xml:space="preserve"> weighted amount of</w:t>
      </w:r>
      <w:r>
        <w:t xml:space="preserve"> PSW</w:t>
      </w:r>
      <w:r w:rsidR="00B960DF">
        <w:t xml:space="preserve"> (2 g)</w:t>
      </w:r>
      <w:r w:rsidR="004962A1">
        <w:t xml:space="preserve"> </w:t>
      </w:r>
      <w:r w:rsidR="00384A01">
        <w:t xml:space="preserve">was added </w:t>
      </w:r>
      <w:r w:rsidR="004962A1">
        <w:t>to give the desired concentrations</w:t>
      </w:r>
      <w:r>
        <w:t xml:space="preserve">. The </w:t>
      </w:r>
      <w:r w:rsidR="003503C1">
        <w:t xml:space="preserve">mix </w:t>
      </w:r>
      <w:r>
        <w:t xml:space="preserve">was </w:t>
      </w:r>
      <w:r w:rsidR="00ED4EA9">
        <w:t xml:space="preserve">then </w:t>
      </w:r>
      <w:r>
        <w:t xml:space="preserve">stirred at 300 rpm for </w:t>
      </w:r>
      <w:r w:rsidR="00ED4EA9">
        <w:t xml:space="preserve">2 </w:t>
      </w:r>
      <w:r>
        <w:t>hours at room temperature, then dried in air at 60</w:t>
      </w:r>
      <w:r w:rsidR="00ED4EA9">
        <w:t xml:space="preserve"> </w:t>
      </w:r>
      <w:r>
        <w:rPr>
          <w:rFonts w:cs="Arial"/>
        </w:rPr>
        <w:t>°</w:t>
      </w:r>
      <w:r>
        <w:t>C for 24 hours.</w:t>
      </w:r>
    </w:p>
    <w:p w14:paraId="72D9C2F1" w14:textId="21CFD95C" w:rsidR="008B1886" w:rsidRDefault="00FF51BD" w:rsidP="00D55BC5">
      <w:pPr>
        <w:pStyle w:val="CETBodytext"/>
      </w:pPr>
      <w:r>
        <w:t>The prepared samples were p</w:t>
      </w:r>
      <w:r w:rsidR="00D55BC5">
        <w:t>yroly</w:t>
      </w:r>
      <w:r>
        <w:t>zed</w:t>
      </w:r>
      <w:r w:rsidR="00542E90">
        <w:t>, as shown in Figure 1,</w:t>
      </w:r>
      <w:r w:rsidR="00D55BC5">
        <w:t xml:space="preserve"> </w:t>
      </w:r>
      <w:r w:rsidR="0048764A">
        <w:t xml:space="preserve">in a </w:t>
      </w:r>
      <w:r w:rsidR="00693BF1">
        <w:t xml:space="preserve">single zone </w:t>
      </w:r>
      <w:proofErr w:type="spellStart"/>
      <w:r w:rsidR="0048764A">
        <w:t>Saf</w:t>
      </w:r>
      <w:r w:rsidR="00693BF1">
        <w:t>T</w:t>
      </w:r>
      <w:r w:rsidR="0048764A">
        <w:t>herm</w:t>
      </w:r>
      <w:proofErr w:type="spellEnd"/>
      <w:r w:rsidR="00E445F5" w:rsidRPr="000C56F6">
        <w:rPr>
          <w:vertAlign w:val="superscript"/>
        </w:rPr>
        <w:t>®</w:t>
      </w:r>
      <w:r w:rsidR="0048764A">
        <w:t xml:space="preserve"> </w:t>
      </w:r>
      <w:r w:rsidR="00C54274">
        <w:t xml:space="preserve">electric </w:t>
      </w:r>
      <w:r w:rsidR="00E445F5">
        <w:t>t</w:t>
      </w:r>
      <w:r w:rsidR="00E445F5" w:rsidRPr="00E445F5">
        <w:t xml:space="preserve">ube </w:t>
      </w:r>
      <w:r w:rsidR="00E445F5">
        <w:t>f</w:t>
      </w:r>
      <w:r w:rsidR="00E445F5" w:rsidRPr="00E445F5">
        <w:t>urna</w:t>
      </w:r>
      <w:r>
        <w:t>ce</w:t>
      </w:r>
      <w:r w:rsidR="00307B7A">
        <w:t xml:space="preserve"> (</w:t>
      </w:r>
      <w:r w:rsidR="00E445F5" w:rsidRPr="000C56F6">
        <w:t xml:space="preserve">model </w:t>
      </w:r>
      <w:r w:rsidR="00693BF1">
        <w:t>STF1200-1Z</w:t>
      </w:r>
      <w:r w:rsidR="00307B7A" w:rsidRPr="000C56F6">
        <w:t xml:space="preserve">) </w:t>
      </w:r>
      <w:r>
        <w:t>to</w:t>
      </w:r>
      <w:r w:rsidR="00D55BC5">
        <w:t xml:space="preserve"> 600°C </w:t>
      </w:r>
      <w:r>
        <w:t>peak temperature</w:t>
      </w:r>
      <w:r w:rsidR="00AE6690">
        <w:t xml:space="preserve">, </w:t>
      </w:r>
      <w:r w:rsidR="00693BF1">
        <w:t>2</w:t>
      </w:r>
      <w:r w:rsidR="0001419E">
        <w:t>5</w:t>
      </w:r>
      <w:r w:rsidR="00693BF1">
        <w:t>°C/min</w:t>
      </w:r>
      <w:r w:rsidR="00AE6690">
        <w:t xml:space="preserve"> heating rate</w:t>
      </w:r>
      <w:r>
        <w:t xml:space="preserve"> </w:t>
      </w:r>
      <w:r w:rsidR="00AE6690">
        <w:t xml:space="preserve">in </w:t>
      </w:r>
      <w:r w:rsidR="00D55BC5">
        <w:t>a 1 L/min</w:t>
      </w:r>
      <w:r w:rsidR="00AE6690">
        <w:t xml:space="preserve"> nitrogen flow rate</w:t>
      </w:r>
      <w:r w:rsidR="00C54274">
        <w:t xml:space="preserve"> </w:t>
      </w:r>
      <w:r w:rsidR="0001419E">
        <w:t xml:space="preserve">and </w:t>
      </w:r>
      <w:r w:rsidR="001F4D6F">
        <w:t>2 hours</w:t>
      </w:r>
      <w:r w:rsidR="0001419E">
        <w:t xml:space="preserve"> holding time at peak temperature</w:t>
      </w:r>
      <w:r w:rsidR="00D55BC5">
        <w:t>. For each test, approximately 500 mg of sample w</w:t>
      </w:r>
      <w:r w:rsidR="00AE6690">
        <w:t>ere</w:t>
      </w:r>
      <w:r w:rsidR="00D55BC5">
        <w:t xml:space="preserve"> </w:t>
      </w:r>
      <w:r w:rsidR="00EA2DB6">
        <w:t xml:space="preserve">loaded </w:t>
      </w:r>
      <w:r w:rsidR="00D55BC5">
        <w:t xml:space="preserve">in a </w:t>
      </w:r>
      <w:r w:rsidR="0047374A">
        <w:t xml:space="preserve">covered </w:t>
      </w:r>
      <w:r w:rsidR="00D55BC5">
        <w:t xml:space="preserve">ceramic crucible (5 mL) </w:t>
      </w:r>
      <w:r w:rsidR="00EA2DB6">
        <w:t>placed in a</w:t>
      </w:r>
      <w:r w:rsidR="00D55BC5">
        <w:t xml:space="preserve"> 6 cm</w:t>
      </w:r>
      <w:r w:rsidR="00EA2DB6">
        <w:t xml:space="preserve"> diameter</w:t>
      </w:r>
      <w:r w:rsidR="00D55BC5">
        <w:t>, 80 cm</w:t>
      </w:r>
      <w:r w:rsidR="00EA2DB6">
        <w:t xml:space="preserve"> long quartz tube. </w:t>
      </w:r>
      <w:r w:rsidR="0001419E">
        <w:t>Prior to the pyrolysis ramp</w:t>
      </w:r>
      <w:r w:rsidR="001E5D13">
        <w:t>,</w:t>
      </w:r>
      <w:r w:rsidR="0001419E">
        <w:t xml:space="preserve"> samples were purged in the nitrogen flow for 10 minutes and then kept at</w:t>
      </w:r>
      <w:r w:rsidR="00D55BC5">
        <w:t xml:space="preserve"> 105°C </w:t>
      </w:r>
      <w:r w:rsidR="0001419E">
        <w:t xml:space="preserve">for an additional 10 minutes </w:t>
      </w:r>
      <w:r w:rsidR="001F4D6F">
        <w:t>to ensure removal of any residual moisture</w:t>
      </w:r>
      <w:r w:rsidR="00D55BC5">
        <w:t xml:space="preserve">. </w:t>
      </w:r>
      <w:r w:rsidR="001E5D13">
        <w:t>After</w:t>
      </w:r>
      <w:r w:rsidR="001F4D6F">
        <w:t xml:space="preserve"> pyrolysis</w:t>
      </w:r>
      <w:r w:rsidR="001E5D13">
        <w:t>,</w:t>
      </w:r>
      <w:r w:rsidR="001F4D6F">
        <w:t xml:space="preserve"> </w:t>
      </w:r>
      <w:r w:rsidR="00926901">
        <w:t xml:space="preserve">pyro-chars were </w:t>
      </w:r>
      <w:r w:rsidR="00D55BC5">
        <w:t xml:space="preserve">collected, weighted, and stored </w:t>
      </w:r>
      <w:r w:rsidR="00926901">
        <w:t xml:space="preserve">in a desiccator </w:t>
      </w:r>
      <w:r w:rsidR="00D55BC5">
        <w:t>for further analysis.</w:t>
      </w:r>
    </w:p>
    <w:p w14:paraId="297A199A" w14:textId="29C9CED9" w:rsidR="005A1390" w:rsidRDefault="007C4BC0" w:rsidP="005A1390">
      <w:pPr>
        <w:pStyle w:val="CETBodytext"/>
        <w:keepNext/>
        <w:jc w:val="center"/>
      </w:pPr>
      <w:r>
        <w:rPr>
          <w:noProof/>
        </w:rPr>
        <w:drawing>
          <wp:inline distT="0" distB="0" distL="0" distR="0" wp14:anchorId="27600DBC" wp14:editId="1BA1AB48">
            <wp:extent cx="5110747" cy="3240000"/>
            <wp:effectExtent l="0" t="0" r="0" b="0"/>
            <wp:docPr id="149113235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747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E95EF7" w14:textId="396CF821" w:rsidR="008B1886" w:rsidRDefault="005A1390" w:rsidP="008B1886">
      <w:pPr>
        <w:pStyle w:val="Didascalia"/>
        <w:jc w:val="center"/>
        <w:rPr>
          <w:rStyle w:val="CETCaptionCarattere"/>
          <w:b w:val="0"/>
          <w:bCs w:val="0"/>
          <w:color w:val="auto"/>
        </w:rPr>
      </w:pPr>
      <w:r w:rsidRPr="005A1390">
        <w:rPr>
          <w:rStyle w:val="CETCaptionCarattere"/>
          <w:b w:val="0"/>
          <w:bCs w:val="0"/>
          <w:color w:val="auto"/>
        </w:rPr>
        <w:t xml:space="preserve">Figure 1: </w:t>
      </w:r>
      <w:r w:rsidR="00332B2C">
        <w:rPr>
          <w:rStyle w:val="CETCaptionCarattere"/>
          <w:b w:val="0"/>
          <w:bCs w:val="0"/>
          <w:color w:val="auto"/>
        </w:rPr>
        <w:t>Schem</w:t>
      </w:r>
      <w:r w:rsidR="00E51D21">
        <w:rPr>
          <w:rStyle w:val="CETCaptionCarattere"/>
          <w:b w:val="0"/>
          <w:bCs w:val="0"/>
          <w:color w:val="auto"/>
        </w:rPr>
        <w:t xml:space="preserve">e </w:t>
      </w:r>
      <w:r w:rsidR="00332B2C">
        <w:rPr>
          <w:rStyle w:val="CETCaptionCarattere"/>
          <w:b w:val="0"/>
          <w:bCs w:val="0"/>
          <w:color w:val="auto"/>
        </w:rPr>
        <w:t>of the experimental</w:t>
      </w:r>
      <w:r w:rsidR="00E51D21">
        <w:rPr>
          <w:rStyle w:val="CETCaptionCarattere"/>
          <w:b w:val="0"/>
          <w:bCs w:val="0"/>
          <w:color w:val="auto"/>
        </w:rPr>
        <w:t xml:space="preserve"> batch lab-scale</w:t>
      </w:r>
      <w:r w:rsidR="00332B2C">
        <w:rPr>
          <w:rStyle w:val="CETCaptionCarattere"/>
          <w:b w:val="0"/>
          <w:bCs w:val="0"/>
          <w:color w:val="auto"/>
        </w:rPr>
        <w:t xml:space="preserve"> setup</w:t>
      </w:r>
      <w:r w:rsidR="00E51D21">
        <w:rPr>
          <w:rStyle w:val="CETCaptionCarattere"/>
          <w:b w:val="0"/>
          <w:bCs w:val="0"/>
          <w:color w:val="auto"/>
        </w:rPr>
        <w:t>.</w:t>
      </w:r>
    </w:p>
    <w:p w14:paraId="571E0873" w14:textId="77777777" w:rsidR="001E5D13" w:rsidRDefault="001E5D13" w:rsidP="008B1886"/>
    <w:p w14:paraId="23417229" w14:textId="3E2BEF22" w:rsidR="008B1886" w:rsidRPr="008B1886" w:rsidRDefault="001E5D13" w:rsidP="00173E7A">
      <w:pPr>
        <w:pStyle w:val="CETBodytext"/>
      </w:pPr>
      <w:r>
        <w:t xml:space="preserve">Pyro-chars surface morphology was studied in a field emission SEM (FE-SEM, FEI Inspect F50) at an acceleration voltage of 10 kV and a spot size of 3. The Elemental composition of the pyro-char obtained from a 20 % iron acetate impregnated sample, was obtained </w:t>
      </w:r>
      <w:r w:rsidRPr="000C56F6">
        <w:rPr>
          <w:i/>
          <w:iCs/>
        </w:rPr>
        <w:t xml:space="preserve">via </w:t>
      </w:r>
      <w:r>
        <w:t>EDS in the same instrument.</w:t>
      </w:r>
    </w:p>
    <w:p w14:paraId="0D10DA9B" w14:textId="2969DBFE" w:rsidR="00567DC8" w:rsidRPr="00173E7A" w:rsidRDefault="001E5D13" w:rsidP="00173E7A">
      <w:pPr>
        <w:pStyle w:val="CETHeading1"/>
        <w:tabs>
          <w:tab w:val="clear" w:pos="360"/>
          <w:tab w:val="right" w:pos="7100"/>
        </w:tabs>
        <w:jc w:val="both"/>
        <w:rPr>
          <w:lang w:val="en-GB"/>
        </w:rPr>
      </w:pPr>
      <w:r>
        <w:rPr>
          <w:lang w:val="en-GB"/>
        </w:rPr>
        <w:lastRenderedPageBreak/>
        <w:t>Results and Discussion</w:t>
      </w:r>
    </w:p>
    <w:p w14:paraId="0CAD86DB" w14:textId="7D4C4CDA" w:rsidR="00567DC8" w:rsidRPr="00567DC8" w:rsidRDefault="00567DC8" w:rsidP="00567DC8">
      <w:pPr>
        <w:pStyle w:val="CETBodytext"/>
        <w:rPr>
          <w:rFonts w:cs="Arial"/>
          <w:szCs w:val="18"/>
          <w:lang w:val="en-GB" w:eastAsia="it-IT"/>
        </w:rPr>
      </w:pPr>
      <w:r w:rsidRPr="00567DC8">
        <w:rPr>
          <w:rFonts w:cs="Arial"/>
          <w:szCs w:val="18"/>
          <w:lang w:eastAsia="it-IT"/>
        </w:rPr>
        <w:t xml:space="preserve">The metals present in the sample and their respective concentrations are </w:t>
      </w:r>
      <w:r w:rsidR="00FC3E12">
        <w:rPr>
          <w:rFonts w:cs="Arial"/>
          <w:szCs w:val="18"/>
          <w:lang w:eastAsia="it-IT"/>
        </w:rPr>
        <w:t>reported</w:t>
      </w:r>
      <w:r w:rsidR="00FC3E12" w:rsidRPr="00567DC8">
        <w:rPr>
          <w:rFonts w:cs="Arial"/>
          <w:szCs w:val="18"/>
          <w:lang w:eastAsia="it-IT"/>
        </w:rPr>
        <w:t xml:space="preserve"> </w:t>
      </w:r>
      <w:r w:rsidRPr="00567DC8">
        <w:rPr>
          <w:rFonts w:cs="Arial"/>
          <w:szCs w:val="18"/>
          <w:lang w:eastAsia="it-IT"/>
        </w:rPr>
        <w:t>in Table 1.</w:t>
      </w:r>
    </w:p>
    <w:p w14:paraId="732E2A3D" w14:textId="391D81EF" w:rsidR="001211B5" w:rsidRPr="00B57B36" w:rsidRDefault="001211B5" w:rsidP="001211B5">
      <w:pPr>
        <w:pStyle w:val="CETTabletitle"/>
      </w:pPr>
      <w:r w:rsidRPr="00B57B36">
        <w:t xml:space="preserve">Table 1: </w:t>
      </w:r>
      <w:r>
        <w:t xml:space="preserve">Metallic composition </w:t>
      </w:r>
      <w:r w:rsidR="00BD4674">
        <w:t>o</w:t>
      </w:r>
      <w:r>
        <w:t>f the raw PSW</w:t>
      </w:r>
      <w:r w:rsidR="00BD4674">
        <w:t>.</w:t>
      </w:r>
    </w:p>
    <w:tbl>
      <w:tblPr>
        <w:tblW w:w="0" w:type="auto"/>
        <w:tblBorders>
          <w:top w:val="single" w:sz="12" w:space="0" w:color="008000"/>
          <w:bottom w:val="single" w:sz="12" w:space="0" w:color="008000"/>
        </w:tblBorders>
        <w:shd w:val="clear" w:color="auto" w:fill="FFFFFF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51"/>
        <w:gridCol w:w="1134"/>
        <w:gridCol w:w="1134"/>
      </w:tblGrid>
      <w:tr w:rsidR="00271FBA" w:rsidRPr="00B57B36" w14:paraId="1D832859" w14:textId="77777777" w:rsidTr="001211B5">
        <w:tc>
          <w:tcPr>
            <w:tcW w:w="1451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4D175940" w14:textId="5FD6E967" w:rsidR="00271FBA" w:rsidRPr="00B57B36" w:rsidRDefault="00271FBA" w:rsidP="00DA6020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Metal</w:t>
            </w:r>
          </w:p>
        </w:tc>
        <w:tc>
          <w:tcPr>
            <w:tcW w:w="1134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13C7C618" w14:textId="14C04EAD" w:rsidR="00271FBA" w:rsidRPr="00B57B36" w:rsidRDefault="00271FBA" w:rsidP="00DA6020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Unit</w:t>
            </w:r>
          </w:p>
        </w:tc>
        <w:tc>
          <w:tcPr>
            <w:tcW w:w="1134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72073206" w14:textId="0EA67BB5" w:rsidR="00271FBA" w:rsidRPr="00B57B36" w:rsidRDefault="00271FBA" w:rsidP="00DA6020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Value</w:t>
            </w:r>
          </w:p>
        </w:tc>
      </w:tr>
      <w:tr w:rsidR="00271FBA" w:rsidRPr="00B57B36" w14:paraId="74530C31" w14:textId="77777777" w:rsidTr="001211B5">
        <w:tc>
          <w:tcPr>
            <w:tcW w:w="1451" w:type="dxa"/>
            <w:shd w:val="clear" w:color="auto" w:fill="FFFFFF"/>
          </w:tcPr>
          <w:p w14:paraId="4BAFA630" w14:textId="01E4F8BA" w:rsidR="00271FBA" w:rsidRPr="00B57B36" w:rsidRDefault="00271FBA" w:rsidP="00DA6020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Chlorine (Cl)</w:t>
            </w:r>
          </w:p>
        </w:tc>
        <w:tc>
          <w:tcPr>
            <w:tcW w:w="1134" w:type="dxa"/>
            <w:shd w:val="clear" w:color="auto" w:fill="FFFFFF"/>
          </w:tcPr>
          <w:p w14:paraId="2C8760B2" w14:textId="62EF6CBE" w:rsidR="00271FBA" w:rsidRPr="00B57B36" w:rsidRDefault="00271FBA" w:rsidP="00DA6020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%</w:t>
            </w:r>
            <w:r w:rsidR="00626637">
              <w:rPr>
                <w:lang w:val="en-GB"/>
              </w:rPr>
              <w:t xml:space="preserve"> w/w</w:t>
            </w:r>
          </w:p>
        </w:tc>
        <w:tc>
          <w:tcPr>
            <w:tcW w:w="1134" w:type="dxa"/>
            <w:shd w:val="clear" w:color="auto" w:fill="FFFFFF"/>
          </w:tcPr>
          <w:p w14:paraId="60955DA9" w14:textId="301AE77F" w:rsidR="00271FBA" w:rsidRPr="00B57B36" w:rsidRDefault="00271FBA" w:rsidP="00DA6020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2.1</w:t>
            </w:r>
          </w:p>
        </w:tc>
      </w:tr>
      <w:tr w:rsidR="00271FBA" w:rsidRPr="00B57B36" w14:paraId="22018763" w14:textId="77777777" w:rsidTr="001211B5">
        <w:tc>
          <w:tcPr>
            <w:tcW w:w="1451" w:type="dxa"/>
            <w:shd w:val="clear" w:color="auto" w:fill="FFFFFF"/>
          </w:tcPr>
          <w:p w14:paraId="05E8016C" w14:textId="20E8AE0E" w:rsidR="00271FBA" w:rsidRPr="00B57B36" w:rsidRDefault="00271FBA" w:rsidP="00DA6020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Sulphur (S)</w:t>
            </w:r>
          </w:p>
        </w:tc>
        <w:tc>
          <w:tcPr>
            <w:tcW w:w="1134" w:type="dxa"/>
            <w:shd w:val="clear" w:color="auto" w:fill="FFFFFF"/>
          </w:tcPr>
          <w:p w14:paraId="308B2E41" w14:textId="56148BD9" w:rsidR="00271FBA" w:rsidRPr="00B57B36" w:rsidRDefault="00271FBA" w:rsidP="00DA6020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 xml:space="preserve">% </w:t>
            </w:r>
            <w:r w:rsidR="00626637">
              <w:rPr>
                <w:lang w:val="en-GB"/>
              </w:rPr>
              <w:t>w/w</w:t>
            </w:r>
          </w:p>
        </w:tc>
        <w:tc>
          <w:tcPr>
            <w:tcW w:w="1134" w:type="dxa"/>
            <w:shd w:val="clear" w:color="auto" w:fill="FFFFFF"/>
          </w:tcPr>
          <w:p w14:paraId="667A38EC" w14:textId="3BC5155A" w:rsidR="00271FBA" w:rsidRPr="00B57B36" w:rsidRDefault="00271FBA" w:rsidP="00DA6020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&lt;0.1</w:t>
            </w:r>
          </w:p>
        </w:tc>
      </w:tr>
      <w:tr w:rsidR="00271FBA" w:rsidRPr="00B57B36" w14:paraId="4065C6AC" w14:textId="77777777" w:rsidTr="001211B5">
        <w:tc>
          <w:tcPr>
            <w:tcW w:w="1451" w:type="dxa"/>
            <w:shd w:val="clear" w:color="auto" w:fill="FFFFFF"/>
          </w:tcPr>
          <w:p w14:paraId="2EA2F7C0" w14:textId="110251F0" w:rsidR="00271FBA" w:rsidRPr="00B57B36" w:rsidRDefault="00271FBA" w:rsidP="00DA6020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Iron (Fe)</w:t>
            </w:r>
          </w:p>
        </w:tc>
        <w:tc>
          <w:tcPr>
            <w:tcW w:w="1134" w:type="dxa"/>
            <w:shd w:val="clear" w:color="auto" w:fill="FFFFFF"/>
          </w:tcPr>
          <w:p w14:paraId="3D0740BD" w14:textId="268521ED" w:rsidR="00271FBA" w:rsidRPr="00B57B36" w:rsidRDefault="00271FBA" w:rsidP="00DA6020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mg/kg</w:t>
            </w:r>
          </w:p>
        </w:tc>
        <w:tc>
          <w:tcPr>
            <w:tcW w:w="1134" w:type="dxa"/>
            <w:shd w:val="clear" w:color="auto" w:fill="FFFFFF"/>
          </w:tcPr>
          <w:p w14:paraId="5A4B7125" w14:textId="71F7DF81" w:rsidR="00271FBA" w:rsidRPr="00B57B36" w:rsidRDefault="00271FBA" w:rsidP="00DA6020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55</w:t>
            </w:r>
          </w:p>
        </w:tc>
      </w:tr>
      <w:tr w:rsidR="00271FBA" w:rsidRPr="00B57B36" w14:paraId="0925A049" w14:textId="77777777" w:rsidTr="001211B5">
        <w:tc>
          <w:tcPr>
            <w:tcW w:w="1451" w:type="dxa"/>
            <w:shd w:val="clear" w:color="auto" w:fill="FFFFFF"/>
          </w:tcPr>
          <w:p w14:paraId="461F9478" w14:textId="32A3A049" w:rsidR="00271FBA" w:rsidRPr="00B57B36" w:rsidRDefault="00271FBA" w:rsidP="00DA6020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Aluminium (Al)</w:t>
            </w:r>
          </w:p>
        </w:tc>
        <w:tc>
          <w:tcPr>
            <w:tcW w:w="1134" w:type="dxa"/>
            <w:shd w:val="clear" w:color="auto" w:fill="FFFFFF"/>
          </w:tcPr>
          <w:p w14:paraId="448F8D72" w14:textId="4EC54E42" w:rsidR="00271FBA" w:rsidRPr="00B57B36" w:rsidRDefault="00271FBA" w:rsidP="00DA6020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mg/kg</w:t>
            </w:r>
          </w:p>
        </w:tc>
        <w:tc>
          <w:tcPr>
            <w:tcW w:w="1134" w:type="dxa"/>
            <w:shd w:val="clear" w:color="auto" w:fill="FFFFFF"/>
          </w:tcPr>
          <w:p w14:paraId="52321DB0" w14:textId="7396B31E" w:rsidR="00271FBA" w:rsidRPr="00B57B36" w:rsidRDefault="00271FBA" w:rsidP="00DA6020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50 300</w:t>
            </w:r>
          </w:p>
        </w:tc>
      </w:tr>
      <w:tr w:rsidR="00271FBA" w:rsidRPr="00B57B36" w14:paraId="1C96FD33" w14:textId="77777777" w:rsidTr="001211B5">
        <w:tc>
          <w:tcPr>
            <w:tcW w:w="1451" w:type="dxa"/>
            <w:shd w:val="clear" w:color="auto" w:fill="FFFFFF"/>
          </w:tcPr>
          <w:p w14:paraId="0644C47F" w14:textId="192F5446" w:rsidR="00271FBA" w:rsidRPr="00B57B36" w:rsidRDefault="00271FBA" w:rsidP="00DA6020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Barium (Ba)</w:t>
            </w:r>
          </w:p>
        </w:tc>
        <w:tc>
          <w:tcPr>
            <w:tcW w:w="1134" w:type="dxa"/>
            <w:shd w:val="clear" w:color="auto" w:fill="FFFFFF"/>
          </w:tcPr>
          <w:p w14:paraId="1732FE4D" w14:textId="025817B7" w:rsidR="00271FBA" w:rsidRPr="00B57B36" w:rsidRDefault="00271FBA" w:rsidP="00DA6020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mg/kg</w:t>
            </w:r>
          </w:p>
        </w:tc>
        <w:tc>
          <w:tcPr>
            <w:tcW w:w="1134" w:type="dxa"/>
            <w:shd w:val="clear" w:color="auto" w:fill="FFFFFF"/>
          </w:tcPr>
          <w:p w14:paraId="1A52925D" w14:textId="6080CD4C" w:rsidR="00271FBA" w:rsidRPr="00B57B36" w:rsidRDefault="00271FBA" w:rsidP="00DA6020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440</w:t>
            </w:r>
          </w:p>
        </w:tc>
      </w:tr>
      <w:tr w:rsidR="00271FBA" w:rsidRPr="00B57B36" w14:paraId="0268820D" w14:textId="77777777" w:rsidTr="001211B5">
        <w:tc>
          <w:tcPr>
            <w:tcW w:w="1451" w:type="dxa"/>
            <w:shd w:val="clear" w:color="auto" w:fill="FFFFFF"/>
          </w:tcPr>
          <w:p w14:paraId="0564384B" w14:textId="57B4C8EA" w:rsidR="00271FBA" w:rsidRPr="00B57B36" w:rsidRDefault="00271FBA" w:rsidP="00DA6020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Calcium (Ca)</w:t>
            </w:r>
          </w:p>
        </w:tc>
        <w:tc>
          <w:tcPr>
            <w:tcW w:w="1134" w:type="dxa"/>
            <w:shd w:val="clear" w:color="auto" w:fill="FFFFFF"/>
          </w:tcPr>
          <w:p w14:paraId="70D03AC8" w14:textId="089283E0" w:rsidR="00271FBA" w:rsidRPr="00B57B36" w:rsidRDefault="00271FBA" w:rsidP="00DA6020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mg/kg</w:t>
            </w:r>
          </w:p>
        </w:tc>
        <w:tc>
          <w:tcPr>
            <w:tcW w:w="1134" w:type="dxa"/>
            <w:shd w:val="clear" w:color="auto" w:fill="FFFFFF"/>
          </w:tcPr>
          <w:p w14:paraId="7F6C0AEE" w14:textId="1C65C894" w:rsidR="00271FBA" w:rsidRPr="00B57B36" w:rsidRDefault="00271FBA" w:rsidP="00DA6020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42 300</w:t>
            </w:r>
          </w:p>
        </w:tc>
      </w:tr>
      <w:tr w:rsidR="00271FBA" w:rsidRPr="00B57B36" w14:paraId="4EFD3D15" w14:textId="77777777" w:rsidTr="001211B5">
        <w:tc>
          <w:tcPr>
            <w:tcW w:w="1451" w:type="dxa"/>
            <w:shd w:val="clear" w:color="auto" w:fill="FFFFFF"/>
          </w:tcPr>
          <w:p w14:paraId="7E51D182" w14:textId="58D98A58" w:rsidR="00271FBA" w:rsidRPr="00B57B36" w:rsidRDefault="00271FBA" w:rsidP="00DA6020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Chromium (Cr)</w:t>
            </w:r>
          </w:p>
        </w:tc>
        <w:tc>
          <w:tcPr>
            <w:tcW w:w="1134" w:type="dxa"/>
            <w:shd w:val="clear" w:color="auto" w:fill="FFFFFF"/>
          </w:tcPr>
          <w:p w14:paraId="23DF6F8D" w14:textId="77D9EB49" w:rsidR="00271FBA" w:rsidRPr="00B57B36" w:rsidRDefault="00271FBA" w:rsidP="00DA6020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mg/kg</w:t>
            </w:r>
          </w:p>
        </w:tc>
        <w:tc>
          <w:tcPr>
            <w:tcW w:w="1134" w:type="dxa"/>
            <w:shd w:val="clear" w:color="auto" w:fill="FFFFFF"/>
          </w:tcPr>
          <w:p w14:paraId="4DC7406D" w14:textId="2836686B" w:rsidR="00271FBA" w:rsidRPr="00B57B36" w:rsidRDefault="00271FBA" w:rsidP="00DA6020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23</w:t>
            </w:r>
          </w:p>
        </w:tc>
      </w:tr>
      <w:tr w:rsidR="00271FBA" w:rsidRPr="00B57B36" w14:paraId="6335C6E9" w14:textId="77777777" w:rsidTr="001211B5">
        <w:tc>
          <w:tcPr>
            <w:tcW w:w="1451" w:type="dxa"/>
            <w:shd w:val="clear" w:color="auto" w:fill="FFFFFF"/>
          </w:tcPr>
          <w:p w14:paraId="724A5444" w14:textId="0C3E3863" w:rsidR="00271FBA" w:rsidRPr="00B57B36" w:rsidRDefault="00271FBA" w:rsidP="00DA6020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Magnesium (Mg)</w:t>
            </w:r>
          </w:p>
        </w:tc>
        <w:tc>
          <w:tcPr>
            <w:tcW w:w="1134" w:type="dxa"/>
            <w:shd w:val="clear" w:color="auto" w:fill="FFFFFF"/>
          </w:tcPr>
          <w:p w14:paraId="288FA4F3" w14:textId="7E244837" w:rsidR="00271FBA" w:rsidRPr="00B57B36" w:rsidRDefault="00271FBA" w:rsidP="00DA6020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mg/kg</w:t>
            </w:r>
          </w:p>
        </w:tc>
        <w:tc>
          <w:tcPr>
            <w:tcW w:w="1134" w:type="dxa"/>
            <w:shd w:val="clear" w:color="auto" w:fill="FFFFFF"/>
          </w:tcPr>
          <w:p w14:paraId="29B7B5A7" w14:textId="4370F9C0" w:rsidR="00271FBA" w:rsidRPr="00B57B36" w:rsidRDefault="00271FBA" w:rsidP="00DA6020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1 300</w:t>
            </w:r>
          </w:p>
        </w:tc>
      </w:tr>
      <w:tr w:rsidR="00271FBA" w:rsidRPr="00B57B36" w14:paraId="5C4EFA4F" w14:textId="77777777" w:rsidTr="001211B5">
        <w:tc>
          <w:tcPr>
            <w:tcW w:w="1451" w:type="dxa"/>
            <w:shd w:val="clear" w:color="auto" w:fill="FFFFFF"/>
          </w:tcPr>
          <w:p w14:paraId="54512499" w14:textId="2FF8B936" w:rsidR="00271FBA" w:rsidRPr="00B57B36" w:rsidRDefault="00271FBA" w:rsidP="00DA6020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Manganese (Mn)</w:t>
            </w:r>
          </w:p>
        </w:tc>
        <w:tc>
          <w:tcPr>
            <w:tcW w:w="1134" w:type="dxa"/>
            <w:shd w:val="clear" w:color="auto" w:fill="FFFFFF"/>
          </w:tcPr>
          <w:p w14:paraId="47F5DDBE" w14:textId="50F36EE0" w:rsidR="00271FBA" w:rsidRPr="00B57B36" w:rsidRDefault="00271FBA" w:rsidP="00DA6020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mg/kg</w:t>
            </w:r>
          </w:p>
        </w:tc>
        <w:tc>
          <w:tcPr>
            <w:tcW w:w="1134" w:type="dxa"/>
            <w:shd w:val="clear" w:color="auto" w:fill="FFFFFF"/>
          </w:tcPr>
          <w:p w14:paraId="3E48ABE6" w14:textId="04D2AB7E" w:rsidR="00271FBA" w:rsidRPr="00B57B36" w:rsidRDefault="00271FBA" w:rsidP="00DA6020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260</w:t>
            </w:r>
          </w:p>
        </w:tc>
      </w:tr>
      <w:tr w:rsidR="00271FBA" w:rsidRPr="00B57B36" w14:paraId="540B40B6" w14:textId="77777777" w:rsidTr="001211B5">
        <w:tc>
          <w:tcPr>
            <w:tcW w:w="1451" w:type="dxa"/>
            <w:shd w:val="clear" w:color="auto" w:fill="FFFFFF"/>
          </w:tcPr>
          <w:p w14:paraId="211CD374" w14:textId="79580207" w:rsidR="00271FBA" w:rsidRPr="00B57B36" w:rsidRDefault="00271FBA" w:rsidP="00DA6020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Nickel (Ni)</w:t>
            </w:r>
          </w:p>
        </w:tc>
        <w:tc>
          <w:tcPr>
            <w:tcW w:w="1134" w:type="dxa"/>
            <w:shd w:val="clear" w:color="auto" w:fill="FFFFFF"/>
          </w:tcPr>
          <w:p w14:paraId="69E8D7D0" w14:textId="25F15BD2" w:rsidR="00271FBA" w:rsidRPr="00B57B36" w:rsidRDefault="00271FBA" w:rsidP="00DA6020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mg/kg</w:t>
            </w:r>
          </w:p>
        </w:tc>
        <w:tc>
          <w:tcPr>
            <w:tcW w:w="1134" w:type="dxa"/>
            <w:shd w:val="clear" w:color="auto" w:fill="FFFFFF"/>
          </w:tcPr>
          <w:p w14:paraId="24AC3C21" w14:textId="02C12366" w:rsidR="00271FBA" w:rsidRPr="00B57B36" w:rsidRDefault="00271FBA" w:rsidP="00DA6020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&lt;20</w:t>
            </w:r>
          </w:p>
        </w:tc>
      </w:tr>
      <w:tr w:rsidR="00271FBA" w:rsidRPr="00B57B36" w14:paraId="38D976E6" w14:textId="77777777" w:rsidTr="001211B5">
        <w:tc>
          <w:tcPr>
            <w:tcW w:w="1451" w:type="dxa"/>
            <w:shd w:val="clear" w:color="auto" w:fill="FFFFFF"/>
          </w:tcPr>
          <w:p w14:paraId="4EBE5A30" w14:textId="53CAE2B3" w:rsidR="00271FBA" w:rsidRPr="00B57B36" w:rsidRDefault="00271FBA" w:rsidP="00DA6020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Lead (Pb)</w:t>
            </w:r>
          </w:p>
        </w:tc>
        <w:tc>
          <w:tcPr>
            <w:tcW w:w="1134" w:type="dxa"/>
            <w:shd w:val="clear" w:color="auto" w:fill="FFFFFF"/>
          </w:tcPr>
          <w:p w14:paraId="7796B5A1" w14:textId="375C55F7" w:rsidR="00271FBA" w:rsidRPr="00B57B36" w:rsidRDefault="00271FBA" w:rsidP="00DA6020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mg/kg</w:t>
            </w:r>
          </w:p>
        </w:tc>
        <w:tc>
          <w:tcPr>
            <w:tcW w:w="1134" w:type="dxa"/>
            <w:shd w:val="clear" w:color="auto" w:fill="FFFFFF"/>
          </w:tcPr>
          <w:p w14:paraId="6BC2EBA7" w14:textId="02C42DEF" w:rsidR="00271FBA" w:rsidRPr="00B57B36" w:rsidRDefault="00271FBA" w:rsidP="00DA6020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200</w:t>
            </w:r>
          </w:p>
        </w:tc>
      </w:tr>
      <w:tr w:rsidR="00271FBA" w:rsidRPr="00B57B36" w14:paraId="5FB00E11" w14:textId="77777777" w:rsidTr="001211B5">
        <w:tc>
          <w:tcPr>
            <w:tcW w:w="1451" w:type="dxa"/>
            <w:shd w:val="clear" w:color="auto" w:fill="FFFFFF"/>
          </w:tcPr>
          <w:p w14:paraId="09B31553" w14:textId="53219776" w:rsidR="00271FBA" w:rsidRPr="00B57B36" w:rsidRDefault="00271FBA" w:rsidP="00DA6020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Copper (Cu)</w:t>
            </w:r>
          </w:p>
        </w:tc>
        <w:tc>
          <w:tcPr>
            <w:tcW w:w="1134" w:type="dxa"/>
            <w:shd w:val="clear" w:color="auto" w:fill="FFFFFF"/>
          </w:tcPr>
          <w:p w14:paraId="3645B45F" w14:textId="6C5AB3ED" w:rsidR="00271FBA" w:rsidRPr="00B57B36" w:rsidRDefault="00271FBA" w:rsidP="00DA6020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mg/kg</w:t>
            </w:r>
          </w:p>
        </w:tc>
        <w:tc>
          <w:tcPr>
            <w:tcW w:w="1134" w:type="dxa"/>
            <w:shd w:val="clear" w:color="auto" w:fill="FFFFFF"/>
          </w:tcPr>
          <w:p w14:paraId="2B25623A" w14:textId="454590FD" w:rsidR="00271FBA" w:rsidRPr="00B57B36" w:rsidRDefault="00271FBA" w:rsidP="00DA6020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65</w:t>
            </w:r>
          </w:p>
        </w:tc>
      </w:tr>
      <w:tr w:rsidR="00271FBA" w:rsidRPr="00B57B36" w14:paraId="5B0699A3" w14:textId="77777777" w:rsidTr="001211B5">
        <w:tc>
          <w:tcPr>
            <w:tcW w:w="1451" w:type="dxa"/>
            <w:shd w:val="clear" w:color="auto" w:fill="FFFFFF"/>
          </w:tcPr>
          <w:p w14:paraId="0018835D" w14:textId="343B1A36" w:rsidR="00271FBA" w:rsidRPr="00B57B36" w:rsidRDefault="00271FBA" w:rsidP="00DA6020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Tin (Sn)</w:t>
            </w:r>
          </w:p>
        </w:tc>
        <w:tc>
          <w:tcPr>
            <w:tcW w:w="1134" w:type="dxa"/>
            <w:shd w:val="clear" w:color="auto" w:fill="FFFFFF"/>
          </w:tcPr>
          <w:p w14:paraId="47742A73" w14:textId="6EB58B13" w:rsidR="00271FBA" w:rsidRPr="00B57B36" w:rsidRDefault="00271FBA" w:rsidP="00DA6020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mg/kg</w:t>
            </w:r>
          </w:p>
        </w:tc>
        <w:tc>
          <w:tcPr>
            <w:tcW w:w="1134" w:type="dxa"/>
            <w:shd w:val="clear" w:color="auto" w:fill="FFFFFF"/>
          </w:tcPr>
          <w:p w14:paraId="4E8D694D" w14:textId="1FB94952" w:rsidR="00271FBA" w:rsidRPr="00B57B36" w:rsidRDefault="00271FBA" w:rsidP="00DA6020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&lt;100</w:t>
            </w:r>
          </w:p>
        </w:tc>
      </w:tr>
      <w:tr w:rsidR="00271FBA" w:rsidRPr="00B57B36" w14:paraId="125CCA57" w14:textId="77777777" w:rsidTr="001211B5">
        <w:tc>
          <w:tcPr>
            <w:tcW w:w="1451" w:type="dxa"/>
            <w:shd w:val="clear" w:color="auto" w:fill="FFFFFF"/>
          </w:tcPr>
          <w:p w14:paraId="2740F8D4" w14:textId="2CA5D238" w:rsidR="00271FBA" w:rsidRPr="00B57B36" w:rsidRDefault="00271FBA" w:rsidP="00DA6020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Zinc (Zn)</w:t>
            </w:r>
          </w:p>
        </w:tc>
        <w:tc>
          <w:tcPr>
            <w:tcW w:w="1134" w:type="dxa"/>
            <w:shd w:val="clear" w:color="auto" w:fill="FFFFFF"/>
          </w:tcPr>
          <w:p w14:paraId="0296A51A" w14:textId="45A53B08" w:rsidR="00271FBA" w:rsidRPr="00B57B36" w:rsidRDefault="00271FBA" w:rsidP="00DA6020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mg/kg</w:t>
            </w:r>
          </w:p>
        </w:tc>
        <w:tc>
          <w:tcPr>
            <w:tcW w:w="1134" w:type="dxa"/>
            <w:shd w:val="clear" w:color="auto" w:fill="FFFFFF"/>
          </w:tcPr>
          <w:p w14:paraId="68487FE1" w14:textId="30E6E2EE" w:rsidR="00271FBA" w:rsidRPr="00B57B36" w:rsidRDefault="00271FBA" w:rsidP="00DA6020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&lt;350</w:t>
            </w:r>
          </w:p>
        </w:tc>
      </w:tr>
    </w:tbl>
    <w:p w14:paraId="16BD4CE7" w14:textId="77777777" w:rsidR="00993321" w:rsidRDefault="00993321" w:rsidP="00993321">
      <w:pPr>
        <w:pStyle w:val="CETBodytext"/>
        <w:rPr>
          <w:lang w:eastAsia="it-IT"/>
        </w:rPr>
      </w:pPr>
    </w:p>
    <w:p w14:paraId="18A54BFA" w14:textId="2E31C1B1" w:rsidR="00631A79" w:rsidRPr="000D2B58" w:rsidRDefault="00C51492" w:rsidP="00993321">
      <w:pPr>
        <w:pStyle w:val="CETBodytext"/>
        <w:rPr>
          <w:lang w:eastAsia="it-IT"/>
        </w:rPr>
      </w:pPr>
      <w:r>
        <w:rPr>
          <w:lang w:eastAsia="it-IT"/>
        </w:rPr>
        <w:t>The presen</w:t>
      </w:r>
      <w:r w:rsidR="005B1A38">
        <w:rPr>
          <w:lang w:eastAsia="it-IT"/>
        </w:rPr>
        <w:t>ce</w:t>
      </w:r>
      <w:r>
        <w:rPr>
          <w:lang w:eastAsia="it-IT"/>
        </w:rPr>
        <w:t xml:space="preserve"> of m</w:t>
      </w:r>
      <w:r w:rsidR="000D2B58" w:rsidRPr="000D2B58">
        <w:rPr>
          <w:lang w:eastAsia="it-IT"/>
        </w:rPr>
        <w:t>etal</w:t>
      </w:r>
      <w:r w:rsidR="005B1A38">
        <w:rPr>
          <w:lang w:eastAsia="it-IT"/>
        </w:rPr>
        <w:t>,</w:t>
      </w:r>
      <w:r w:rsidR="000D2B58" w:rsidRPr="000D2B58">
        <w:rPr>
          <w:lang w:eastAsia="it-IT"/>
        </w:rPr>
        <w:t xml:space="preserve"> </w:t>
      </w:r>
      <w:r>
        <w:rPr>
          <w:lang w:eastAsia="it-IT"/>
        </w:rPr>
        <w:t>even in traces</w:t>
      </w:r>
      <w:r w:rsidR="005B1A38">
        <w:rPr>
          <w:lang w:eastAsia="it-IT"/>
        </w:rPr>
        <w:t>,</w:t>
      </w:r>
      <w:r>
        <w:rPr>
          <w:lang w:eastAsia="it-IT"/>
        </w:rPr>
        <w:t xml:space="preserve"> </w:t>
      </w:r>
      <w:r w:rsidR="000D2B58" w:rsidRPr="000D2B58">
        <w:rPr>
          <w:lang w:eastAsia="it-IT"/>
        </w:rPr>
        <w:t xml:space="preserve">is </w:t>
      </w:r>
      <w:r w:rsidR="00CE31D8">
        <w:rPr>
          <w:lang w:eastAsia="it-IT"/>
        </w:rPr>
        <w:t>important</w:t>
      </w:r>
      <w:r w:rsidR="000D2B58" w:rsidRPr="000D2B58">
        <w:rPr>
          <w:lang w:eastAsia="it-IT"/>
        </w:rPr>
        <w:t xml:space="preserve"> for </w:t>
      </w:r>
      <w:r w:rsidR="003D3E1C">
        <w:rPr>
          <w:lang w:eastAsia="it-IT"/>
        </w:rPr>
        <w:t xml:space="preserve">the </w:t>
      </w:r>
      <w:r w:rsidR="002C2AA9">
        <w:rPr>
          <w:lang w:eastAsia="it-IT"/>
        </w:rPr>
        <w:t>complex thermochemical pathways occurring</w:t>
      </w:r>
      <w:r w:rsidR="000D2B58" w:rsidRPr="000D2B58">
        <w:rPr>
          <w:lang w:eastAsia="it-IT"/>
        </w:rPr>
        <w:t xml:space="preserve"> during pyrolysis, </w:t>
      </w:r>
      <w:r w:rsidR="002C2AA9">
        <w:rPr>
          <w:lang w:eastAsia="it-IT"/>
        </w:rPr>
        <w:t>ultimately</w:t>
      </w:r>
      <w:r w:rsidR="00B34F3A">
        <w:rPr>
          <w:lang w:eastAsia="it-IT"/>
        </w:rPr>
        <w:t xml:space="preserve"> affect</w:t>
      </w:r>
      <w:r w:rsidR="002C2AA9">
        <w:rPr>
          <w:lang w:eastAsia="it-IT"/>
        </w:rPr>
        <w:t>ing</w:t>
      </w:r>
      <w:r w:rsidR="000D2B58" w:rsidRPr="000D2B58">
        <w:rPr>
          <w:lang w:eastAsia="it-IT"/>
        </w:rPr>
        <w:t xml:space="preserve"> </w:t>
      </w:r>
      <w:r w:rsidR="002C2AA9">
        <w:rPr>
          <w:lang w:eastAsia="it-IT"/>
        </w:rPr>
        <w:t xml:space="preserve">the </w:t>
      </w:r>
      <w:r w:rsidR="000D2B58" w:rsidRPr="000D2B58">
        <w:rPr>
          <w:lang w:eastAsia="it-IT"/>
        </w:rPr>
        <w:t xml:space="preserve">properties of </w:t>
      </w:r>
      <w:r w:rsidR="002C2AA9">
        <w:rPr>
          <w:lang w:eastAsia="it-IT"/>
        </w:rPr>
        <w:t xml:space="preserve">derived </w:t>
      </w:r>
      <w:r w:rsidR="00CE31D8">
        <w:rPr>
          <w:lang w:eastAsia="it-IT"/>
        </w:rPr>
        <w:t>pyro-char</w:t>
      </w:r>
      <w:r w:rsidR="002C2AA9">
        <w:rPr>
          <w:lang w:eastAsia="it-IT"/>
        </w:rPr>
        <w:t>s</w:t>
      </w:r>
      <w:r w:rsidR="000D2B58" w:rsidRPr="004855AC">
        <w:rPr>
          <w:lang w:eastAsia="it-IT"/>
        </w:rPr>
        <w:t xml:space="preserve"> (Collard et al.</w:t>
      </w:r>
      <w:r w:rsidR="004855AC" w:rsidRPr="004855AC">
        <w:rPr>
          <w:lang w:eastAsia="it-IT"/>
        </w:rPr>
        <w:t>,</w:t>
      </w:r>
      <w:r w:rsidR="000D2B58" w:rsidRPr="004855AC">
        <w:rPr>
          <w:lang w:eastAsia="it-IT"/>
        </w:rPr>
        <w:t xml:space="preserve"> 2012).</w:t>
      </w:r>
      <w:r w:rsidR="000D2B58" w:rsidRPr="000D2B58">
        <w:rPr>
          <w:lang w:eastAsia="it-IT"/>
        </w:rPr>
        <w:t xml:space="preserve"> </w:t>
      </w:r>
      <w:r w:rsidR="002C2AA9">
        <w:rPr>
          <w:lang w:eastAsia="it-IT"/>
        </w:rPr>
        <w:t>Our</w:t>
      </w:r>
      <w:r w:rsidR="002C2AA9" w:rsidRPr="000D2B58">
        <w:rPr>
          <w:lang w:eastAsia="it-IT"/>
        </w:rPr>
        <w:t xml:space="preserve"> </w:t>
      </w:r>
      <w:r w:rsidR="000D2B58" w:rsidRPr="000D2B58">
        <w:rPr>
          <w:lang w:eastAsia="it-IT"/>
        </w:rPr>
        <w:t>analys</w:t>
      </w:r>
      <w:r w:rsidR="002C2AA9">
        <w:rPr>
          <w:lang w:eastAsia="it-IT"/>
        </w:rPr>
        <w:t>e</w:t>
      </w:r>
      <w:r w:rsidR="000D2B58" w:rsidRPr="000D2B58">
        <w:rPr>
          <w:lang w:eastAsia="it-IT"/>
        </w:rPr>
        <w:t xml:space="preserve">s </w:t>
      </w:r>
      <w:r w:rsidR="00B34F3A">
        <w:rPr>
          <w:lang w:eastAsia="it-IT"/>
        </w:rPr>
        <w:t>revealed</w:t>
      </w:r>
      <w:r w:rsidR="000D2B58" w:rsidRPr="000D2B58">
        <w:rPr>
          <w:lang w:eastAsia="it-IT"/>
        </w:rPr>
        <w:t xml:space="preserve"> </w:t>
      </w:r>
      <w:r w:rsidR="00663254">
        <w:rPr>
          <w:lang w:eastAsia="it-IT"/>
        </w:rPr>
        <w:t>significant</w:t>
      </w:r>
      <w:r w:rsidR="00663254" w:rsidRPr="000D2B58">
        <w:rPr>
          <w:lang w:eastAsia="it-IT"/>
        </w:rPr>
        <w:t xml:space="preserve"> </w:t>
      </w:r>
      <w:r w:rsidR="000D2B58" w:rsidRPr="000D2B58">
        <w:rPr>
          <w:lang w:eastAsia="it-IT"/>
        </w:rPr>
        <w:t xml:space="preserve">concentrations of iron, chlorine, </w:t>
      </w:r>
      <w:r w:rsidR="005B1A38" w:rsidRPr="005B1A38">
        <w:rPr>
          <w:lang w:val="en-GB" w:eastAsia="it-IT"/>
        </w:rPr>
        <w:t>aluminium,</w:t>
      </w:r>
      <w:r w:rsidR="000D2B58" w:rsidRPr="000D2B58">
        <w:rPr>
          <w:lang w:eastAsia="it-IT"/>
        </w:rPr>
        <w:t xml:space="preserve"> barium, calcium, magnesium, manganese and lead</w:t>
      </w:r>
      <w:r w:rsidR="00B34F3A">
        <w:rPr>
          <w:lang w:eastAsia="it-IT"/>
        </w:rPr>
        <w:t>.</w:t>
      </w:r>
      <w:r w:rsidR="000D2B58" w:rsidRPr="000D2B58">
        <w:rPr>
          <w:lang w:eastAsia="it-IT"/>
        </w:rPr>
        <w:t xml:space="preserve"> Chlorine, typically from PVC, </w:t>
      </w:r>
      <w:r w:rsidR="00574E41">
        <w:rPr>
          <w:lang w:eastAsia="it-IT"/>
        </w:rPr>
        <w:t xml:space="preserve">is a key element as it is responsible for the </w:t>
      </w:r>
      <w:r w:rsidR="000D2B58" w:rsidRPr="000D2B58">
        <w:rPr>
          <w:lang w:eastAsia="it-IT"/>
        </w:rPr>
        <w:t xml:space="preserve">release </w:t>
      </w:r>
      <w:r w:rsidR="00574E41">
        <w:rPr>
          <w:lang w:eastAsia="it-IT"/>
        </w:rPr>
        <w:t xml:space="preserve">of </w:t>
      </w:r>
      <w:r w:rsidR="000D2B58" w:rsidRPr="000D2B58">
        <w:rPr>
          <w:lang w:eastAsia="it-IT"/>
        </w:rPr>
        <w:t xml:space="preserve">hydrochloric acid (HCl) during pyrolysis, which can damage </w:t>
      </w:r>
      <w:r w:rsidR="00173E7A" w:rsidRPr="00B34F3A">
        <w:rPr>
          <w:lang w:eastAsia="it-IT"/>
        </w:rPr>
        <w:t>pyroliz</w:t>
      </w:r>
      <w:r w:rsidR="00173E7A">
        <w:rPr>
          <w:lang w:eastAsia="it-IT"/>
        </w:rPr>
        <w:t>ers</w:t>
      </w:r>
      <w:r w:rsidR="00B34F3A" w:rsidRPr="00B34F3A">
        <w:rPr>
          <w:lang w:eastAsia="it-IT"/>
        </w:rPr>
        <w:t xml:space="preserve"> </w:t>
      </w:r>
      <w:r w:rsidR="004779B9">
        <w:rPr>
          <w:lang w:eastAsia="it-IT"/>
        </w:rPr>
        <w:t>or</w:t>
      </w:r>
      <w:r w:rsidR="004779B9" w:rsidRPr="00B34F3A">
        <w:rPr>
          <w:lang w:eastAsia="it-IT"/>
        </w:rPr>
        <w:t xml:space="preserve"> </w:t>
      </w:r>
      <w:r w:rsidR="00B34F3A" w:rsidRPr="00B34F3A">
        <w:rPr>
          <w:lang w:eastAsia="it-IT"/>
        </w:rPr>
        <w:t xml:space="preserve">processes </w:t>
      </w:r>
      <w:r w:rsidR="004779B9">
        <w:rPr>
          <w:lang w:eastAsia="it-IT"/>
        </w:rPr>
        <w:t xml:space="preserve">downstream the pyrolysis </w:t>
      </w:r>
      <w:r w:rsidR="000D2B58" w:rsidRPr="00534CF5">
        <w:rPr>
          <w:lang w:eastAsia="it-IT"/>
        </w:rPr>
        <w:t>(Alanazi et al.</w:t>
      </w:r>
      <w:r w:rsidR="00534CF5">
        <w:rPr>
          <w:lang w:eastAsia="it-IT"/>
        </w:rPr>
        <w:t>,</w:t>
      </w:r>
      <w:r w:rsidR="000D2B58" w:rsidRPr="00534CF5">
        <w:rPr>
          <w:lang w:eastAsia="it-IT"/>
        </w:rPr>
        <w:t xml:space="preserve"> 2017).</w:t>
      </w:r>
      <w:r w:rsidR="000D2B58" w:rsidRPr="000D2B58">
        <w:rPr>
          <w:lang w:eastAsia="it-IT"/>
        </w:rPr>
        <w:t xml:space="preserve"> </w:t>
      </w:r>
      <w:r w:rsidR="00375814" w:rsidRPr="00375814">
        <w:rPr>
          <w:lang w:eastAsia="it-IT"/>
        </w:rPr>
        <w:t>Conversely</w:t>
      </w:r>
      <w:r w:rsidR="000D2B58" w:rsidRPr="000D2B58">
        <w:rPr>
          <w:lang w:eastAsia="it-IT"/>
        </w:rPr>
        <w:t xml:space="preserve">, </w:t>
      </w:r>
      <w:r w:rsidR="005D6F65">
        <w:rPr>
          <w:lang w:eastAsia="it-IT"/>
        </w:rPr>
        <w:t xml:space="preserve">the presence of </w:t>
      </w:r>
      <w:r w:rsidR="00375814" w:rsidRPr="00375814">
        <w:rPr>
          <w:lang w:eastAsia="it-IT"/>
        </w:rPr>
        <w:t>elements like iron</w:t>
      </w:r>
      <w:r w:rsidR="00173E7A">
        <w:rPr>
          <w:lang w:eastAsia="it-IT"/>
        </w:rPr>
        <w:t xml:space="preserve"> </w:t>
      </w:r>
      <w:r w:rsidR="005B1A38" w:rsidRPr="00375814">
        <w:rPr>
          <w:lang w:eastAsia="it-IT"/>
        </w:rPr>
        <w:t>is often</w:t>
      </w:r>
      <w:r w:rsidR="00375814" w:rsidRPr="00375814">
        <w:rPr>
          <w:lang w:eastAsia="it-IT"/>
        </w:rPr>
        <w:t xml:space="preserve"> used </w:t>
      </w:r>
      <w:r w:rsidR="0085702B">
        <w:rPr>
          <w:lang w:eastAsia="it-IT"/>
        </w:rPr>
        <w:t xml:space="preserve">as </w:t>
      </w:r>
      <w:r w:rsidR="000D2B58" w:rsidRPr="000D2B58">
        <w:rPr>
          <w:lang w:eastAsia="it-IT"/>
        </w:rPr>
        <w:t xml:space="preserve">flame retardants and smoke suppressants </w:t>
      </w:r>
      <w:r w:rsidR="0085702B">
        <w:rPr>
          <w:lang w:eastAsia="it-IT"/>
        </w:rPr>
        <w:t xml:space="preserve">during </w:t>
      </w:r>
      <w:r w:rsidR="005B1A38">
        <w:rPr>
          <w:lang w:eastAsia="it-IT"/>
        </w:rPr>
        <w:t xml:space="preserve">the </w:t>
      </w:r>
      <w:r w:rsidR="0085702B">
        <w:rPr>
          <w:lang w:eastAsia="it-IT"/>
        </w:rPr>
        <w:t xml:space="preserve">combustion of </w:t>
      </w:r>
      <w:r w:rsidR="000D2B58" w:rsidRPr="000D2B58">
        <w:rPr>
          <w:lang w:eastAsia="it-IT"/>
        </w:rPr>
        <w:t xml:space="preserve">PVC </w:t>
      </w:r>
      <w:r w:rsidR="000D2B58" w:rsidRPr="004B32F0">
        <w:rPr>
          <w:lang w:eastAsia="it-IT"/>
        </w:rPr>
        <w:t>(Ji et al.</w:t>
      </w:r>
      <w:r w:rsidR="004B32F0" w:rsidRPr="004B32F0">
        <w:rPr>
          <w:lang w:eastAsia="it-IT"/>
        </w:rPr>
        <w:t>,</w:t>
      </w:r>
      <w:r w:rsidR="000D2B58" w:rsidRPr="004B32F0">
        <w:rPr>
          <w:lang w:eastAsia="it-IT"/>
        </w:rPr>
        <w:t xml:space="preserve"> 2020).</w:t>
      </w:r>
      <w:r w:rsidR="000D2B58" w:rsidRPr="000D2B58">
        <w:rPr>
          <w:lang w:eastAsia="it-IT"/>
        </w:rPr>
        <w:t xml:space="preserve"> </w:t>
      </w:r>
      <w:r w:rsidR="00BE3D93">
        <w:rPr>
          <w:lang w:eastAsia="it-IT"/>
        </w:rPr>
        <w:t xml:space="preserve">The </w:t>
      </w:r>
      <w:r w:rsidR="00422D03">
        <w:rPr>
          <w:lang w:eastAsia="it-IT"/>
        </w:rPr>
        <w:t>studies</w:t>
      </w:r>
      <w:r w:rsidR="00A53FE6" w:rsidRPr="0019337E">
        <w:t xml:space="preserve"> concentrations </w:t>
      </w:r>
      <w:r w:rsidR="00422D03">
        <w:t xml:space="preserve">in </w:t>
      </w:r>
      <w:r w:rsidR="009A34A1">
        <w:t xml:space="preserve">iron acetate </w:t>
      </w:r>
      <w:r w:rsidR="00A53FE6" w:rsidRPr="0019337E">
        <w:t xml:space="preserve">yielded the results presented in Figure </w:t>
      </w:r>
      <w:r w:rsidR="000D2B58">
        <w:t>2</w:t>
      </w:r>
      <w:r w:rsidR="00A53FE6" w:rsidRPr="0019337E">
        <w:t>.</w:t>
      </w:r>
    </w:p>
    <w:p w14:paraId="088A134E" w14:textId="0967D093" w:rsidR="00600535" w:rsidRPr="00B57B36" w:rsidRDefault="005A5F78" w:rsidP="00BD4674">
      <w:pPr>
        <w:pStyle w:val="CETCaption"/>
        <w:jc w:val="left"/>
      </w:pPr>
      <w:r>
        <w:rPr>
          <w:noProof/>
          <w:szCs w:val="18"/>
        </w:rPr>
        <w:drawing>
          <wp:inline distT="0" distB="0" distL="0" distR="0" wp14:anchorId="6EB950DF" wp14:editId="0EE9CCB1">
            <wp:extent cx="3535002" cy="2484000"/>
            <wp:effectExtent l="0" t="0" r="0" b="0"/>
            <wp:docPr id="1134683822" name="Immagine 2" descr="Immagine che contiene testo, linea, schermata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683822" name="Immagine 2" descr="Immagine che contiene testo, linea, schermata, diagramm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02" cy="24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B2946F" w14:textId="2D8F3310" w:rsidR="009136CE" w:rsidRDefault="00600535" w:rsidP="00BD4674">
      <w:pPr>
        <w:pStyle w:val="CETCaption"/>
        <w:jc w:val="left"/>
        <w:rPr>
          <w:rStyle w:val="CETCaptionCarattere"/>
          <w:i/>
        </w:rPr>
      </w:pPr>
      <w:r w:rsidRPr="00BD077D">
        <w:rPr>
          <w:rStyle w:val="CETCaptionCarattere"/>
          <w:i/>
        </w:rPr>
        <w:t xml:space="preserve">Figure </w:t>
      </w:r>
      <w:r w:rsidR="000D2B58">
        <w:rPr>
          <w:rStyle w:val="CETCaptionCarattere"/>
          <w:i/>
        </w:rPr>
        <w:t>2</w:t>
      </w:r>
      <w:r w:rsidRPr="00BD077D">
        <w:rPr>
          <w:rStyle w:val="CETCaptionCarattere"/>
          <w:i/>
        </w:rPr>
        <w:t xml:space="preserve">: </w:t>
      </w:r>
      <w:r w:rsidR="009136CE">
        <w:rPr>
          <w:rStyle w:val="CETCaptionCarattere"/>
          <w:i/>
        </w:rPr>
        <w:t>Pyro-</w:t>
      </w:r>
      <w:r w:rsidR="00CE31D8">
        <w:rPr>
          <w:rStyle w:val="CETCaptionCarattere"/>
          <w:i/>
        </w:rPr>
        <w:t>c</w:t>
      </w:r>
      <w:r w:rsidR="009136CE">
        <w:rPr>
          <w:rStyle w:val="CETCaptionCarattere"/>
          <w:i/>
        </w:rPr>
        <w:t>har yield</w:t>
      </w:r>
      <w:r w:rsidR="00E51D21">
        <w:rPr>
          <w:rStyle w:val="CETCaptionCarattere"/>
          <w:i/>
        </w:rPr>
        <w:t>s</w:t>
      </w:r>
      <w:r w:rsidR="009136CE">
        <w:rPr>
          <w:rStyle w:val="CETCaptionCarattere"/>
          <w:i/>
        </w:rPr>
        <w:t xml:space="preserve"> at different </w:t>
      </w:r>
      <w:proofErr w:type="gramStart"/>
      <w:r w:rsidR="009136CE">
        <w:rPr>
          <w:rStyle w:val="CETCaptionCarattere"/>
          <w:i/>
        </w:rPr>
        <w:t>Fe(</w:t>
      </w:r>
      <w:proofErr w:type="spellStart"/>
      <w:proofErr w:type="gramEnd"/>
      <w:r w:rsidR="009136CE">
        <w:rPr>
          <w:rStyle w:val="CETCaptionCarattere"/>
          <w:i/>
        </w:rPr>
        <w:t>OAc</w:t>
      </w:r>
      <w:proofErr w:type="spellEnd"/>
      <w:r w:rsidR="009136CE">
        <w:rPr>
          <w:rStyle w:val="CETCaptionCarattere"/>
          <w:i/>
        </w:rPr>
        <w:t>)</w:t>
      </w:r>
      <w:r w:rsidR="009136CE" w:rsidRPr="00E51D21">
        <w:rPr>
          <w:rStyle w:val="CETCaptionCarattere"/>
          <w:i/>
          <w:vertAlign w:val="subscript"/>
        </w:rPr>
        <w:t>2</w:t>
      </w:r>
      <w:r w:rsidR="009136CE">
        <w:rPr>
          <w:rStyle w:val="CETCaptionCarattere"/>
          <w:i/>
        </w:rPr>
        <w:t xml:space="preserve"> concentration</w:t>
      </w:r>
      <w:r w:rsidR="00E51D21">
        <w:rPr>
          <w:rStyle w:val="CETCaptionCarattere"/>
          <w:i/>
        </w:rPr>
        <w:t>s</w:t>
      </w:r>
      <w:r w:rsidR="005A5F78">
        <w:rPr>
          <w:rStyle w:val="CETCaptionCarattere"/>
          <w:i/>
        </w:rPr>
        <w:t xml:space="preserve"> obtained from two ideal trend (Indifferent and Pure </w:t>
      </w:r>
      <w:r w:rsidR="00626637">
        <w:rPr>
          <w:rStyle w:val="CETCaptionCarattere"/>
          <w:i/>
        </w:rPr>
        <w:t>A</w:t>
      </w:r>
      <w:r w:rsidR="005A5F78">
        <w:rPr>
          <w:rStyle w:val="CETCaptionCarattere"/>
          <w:i/>
        </w:rPr>
        <w:t>dditive) and from experimental results (Experimental).</w:t>
      </w:r>
    </w:p>
    <w:p w14:paraId="0ED1ACFD" w14:textId="3EAABB6C" w:rsidR="0019337E" w:rsidRDefault="00567DC8" w:rsidP="00993321">
      <w:pPr>
        <w:pStyle w:val="CETBodytext"/>
        <w:rPr>
          <w:i/>
        </w:rPr>
      </w:pPr>
      <w:r w:rsidRPr="00567DC8">
        <w:t xml:space="preserve">Figure 2 </w:t>
      </w:r>
      <w:r w:rsidR="00D30014">
        <w:t>shows</w:t>
      </w:r>
      <w:r w:rsidRPr="00567DC8">
        <w:t xml:space="preserve"> three linear trends that illustrate the relationship between the concentration of </w:t>
      </w:r>
      <w:proofErr w:type="gramStart"/>
      <w:r w:rsidR="00CE31D8">
        <w:t>Fe(</w:t>
      </w:r>
      <w:proofErr w:type="spellStart"/>
      <w:proofErr w:type="gramEnd"/>
      <w:r w:rsidR="00CE31D8">
        <w:t>OAc</w:t>
      </w:r>
      <w:proofErr w:type="spellEnd"/>
      <w:r w:rsidR="00CE31D8">
        <w:t>)</w:t>
      </w:r>
      <w:r w:rsidR="00CE31D8">
        <w:rPr>
          <w:vertAlign w:val="subscript"/>
        </w:rPr>
        <w:t>2</w:t>
      </w:r>
      <w:r w:rsidRPr="00567DC8">
        <w:t xml:space="preserve"> added to the feedstock and the resulting solid residue yield after pyrolysis. The blue line represents the experimental results obtained from pyrolyzing the material at f</w:t>
      </w:r>
      <w:r w:rsidR="00270243">
        <w:t>our</w:t>
      </w:r>
      <w:r w:rsidRPr="00567DC8">
        <w:t xml:space="preserve"> different concentrations of iron acetate</w:t>
      </w:r>
      <w:r>
        <w:t xml:space="preserve">. </w:t>
      </w:r>
      <w:r w:rsidRPr="00567DC8">
        <w:t xml:space="preserve">The </w:t>
      </w:r>
      <w:r w:rsidR="005A5F78">
        <w:t>black</w:t>
      </w:r>
      <w:r w:rsidRPr="00567DC8">
        <w:t xml:space="preserve"> line</w:t>
      </w:r>
      <w:r w:rsidR="005A5F78">
        <w:t xml:space="preserve"> (</w:t>
      </w:r>
      <w:r w:rsidR="007B4C18">
        <w:t>I</w:t>
      </w:r>
      <w:r w:rsidR="005A5F78" w:rsidRPr="007B4C18">
        <w:t>ndifferent</w:t>
      </w:r>
      <w:r w:rsidR="005A5F78">
        <w:t>)</w:t>
      </w:r>
      <w:r w:rsidRPr="00567DC8">
        <w:t xml:space="preserve"> </w:t>
      </w:r>
      <w:r w:rsidR="00F86405">
        <w:t>shows</w:t>
      </w:r>
      <w:r w:rsidR="006F43D6" w:rsidRPr="00567DC8">
        <w:t xml:space="preserve"> </w:t>
      </w:r>
      <w:r w:rsidR="00F86405">
        <w:t xml:space="preserve">the </w:t>
      </w:r>
      <w:r w:rsidR="00EC147E">
        <w:t xml:space="preserve">ideal </w:t>
      </w:r>
      <w:r w:rsidR="00F86405">
        <w:t>trend</w:t>
      </w:r>
      <w:r w:rsidRPr="00567DC8">
        <w:t xml:space="preserve"> based on the assumption</w:t>
      </w:r>
      <w:r w:rsidR="00D30014">
        <w:t>s</w:t>
      </w:r>
      <w:r w:rsidRPr="00567DC8">
        <w:t xml:space="preserve"> that 100</w:t>
      </w:r>
      <w:r w:rsidR="004E3146">
        <w:rPr>
          <w:i/>
        </w:rPr>
        <w:t xml:space="preserve"> </w:t>
      </w:r>
      <w:r w:rsidRPr="00567DC8">
        <w:t>% of the iron acetate added to the feedstock remain</w:t>
      </w:r>
      <w:r w:rsidR="00EC147E">
        <w:t>ed</w:t>
      </w:r>
      <w:r w:rsidRPr="00567DC8">
        <w:t xml:space="preserve"> in the </w:t>
      </w:r>
      <w:r w:rsidR="00D30014">
        <w:t xml:space="preserve">pyro-char after </w:t>
      </w:r>
      <w:r w:rsidR="00EC147E">
        <w:t>pyrolysis</w:t>
      </w:r>
      <w:r w:rsidR="00D30014">
        <w:t xml:space="preserve"> and that </w:t>
      </w:r>
      <w:r w:rsidR="006917E6">
        <w:t xml:space="preserve">PSW and Iron acetate </w:t>
      </w:r>
      <w:r w:rsidR="005A5F78">
        <w:t>pyrolyze</w:t>
      </w:r>
      <w:r w:rsidR="00B24EB8">
        <w:t xml:space="preserve"> </w:t>
      </w:r>
      <w:r w:rsidR="00765D5A">
        <w:t xml:space="preserve">purely additively (i.e. as there was no synergy between them) </w:t>
      </w:r>
      <w:r w:rsidR="00D30014">
        <w:t>during pyrolysis</w:t>
      </w:r>
      <w:r w:rsidRPr="00567DC8">
        <w:t>. Th</w:t>
      </w:r>
      <w:r w:rsidR="00D30014">
        <w:t>e</w:t>
      </w:r>
      <w:r w:rsidRPr="00567DC8">
        <w:t xml:space="preserve"> </w:t>
      </w:r>
      <w:r w:rsidR="00205E62">
        <w:t>values</w:t>
      </w:r>
      <w:r w:rsidR="00205E62" w:rsidRPr="00567DC8">
        <w:t xml:space="preserve"> </w:t>
      </w:r>
      <w:r w:rsidR="00205E62">
        <w:t>are</w:t>
      </w:r>
      <w:r w:rsidR="00205E62" w:rsidRPr="00567DC8">
        <w:t xml:space="preserve"> </w:t>
      </w:r>
      <w:r w:rsidRPr="00567DC8">
        <w:t xml:space="preserve">calculated using </w:t>
      </w:r>
      <w:proofErr w:type="gramStart"/>
      <w:r w:rsidRPr="00567DC8">
        <w:t>Eq(</w:t>
      </w:r>
      <w:proofErr w:type="gramEnd"/>
      <w:r w:rsidRPr="00567DC8">
        <w:t>1), where</w:t>
      </w:r>
      <w:r w:rsidR="00D30014">
        <w:t xml:space="preserve"> </w:t>
      </w:r>
      <w:r w:rsidR="004A622F">
        <w:t>y</w:t>
      </w:r>
      <w:r w:rsidR="004A622F">
        <w:rPr>
          <w:vertAlign w:val="subscript"/>
        </w:rPr>
        <w:t xml:space="preserve">100% </w:t>
      </w:r>
      <w:r w:rsidR="004A622F">
        <w:t xml:space="preserve">represents </w:t>
      </w:r>
      <w:r w:rsidRPr="00567DC8">
        <w:t xml:space="preserve">the </w:t>
      </w:r>
      <w:r w:rsidR="00D30014">
        <w:t>total pyro-char yield</w:t>
      </w:r>
      <w:r w:rsidR="00156A70">
        <w:t>,</w:t>
      </w:r>
      <w:r w:rsidR="00D30014">
        <w:t xml:space="preserve"> </w:t>
      </w:r>
      <w:r w:rsidR="00156A70">
        <w:t>calculated</w:t>
      </w:r>
      <w:r w:rsidR="00D30014">
        <w:t xml:space="preserve"> as the weighted sum of the </w:t>
      </w:r>
      <w:r w:rsidR="00156A70">
        <w:t xml:space="preserve">solid </w:t>
      </w:r>
      <w:r w:rsidR="00D30014">
        <w:t>Fe(</w:t>
      </w:r>
      <w:proofErr w:type="spellStart"/>
      <w:r w:rsidR="00D30014">
        <w:t>OAc</w:t>
      </w:r>
      <w:proofErr w:type="spellEnd"/>
      <w:r w:rsidR="00D30014">
        <w:t>)</w:t>
      </w:r>
      <w:r w:rsidR="00D30014">
        <w:rPr>
          <w:vertAlign w:val="subscript"/>
        </w:rPr>
        <w:t>2</w:t>
      </w:r>
      <w:r w:rsidR="00D30014">
        <w:t xml:space="preserve"> </w:t>
      </w:r>
      <w:r w:rsidR="00156A70">
        <w:t xml:space="preserve">alone </w:t>
      </w:r>
      <w:r w:rsidR="00D30014">
        <w:t xml:space="preserve">multiplied </w:t>
      </w:r>
      <w:r w:rsidR="00D30014" w:rsidRPr="00993321">
        <w:rPr>
          <w:rStyle w:val="CETBodytextCarattere"/>
        </w:rPr>
        <w:lastRenderedPageBreak/>
        <w:t xml:space="preserve">by </w:t>
      </w:r>
      <w:r w:rsidR="00156A70" w:rsidRPr="00993321">
        <w:rPr>
          <w:rStyle w:val="CETBodytextCarattere"/>
        </w:rPr>
        <w:t>its</w:t>
      </w:r>
      <w:r w:rsidR="00D30014" w:rsidRPr="00993321">
        <w:rPr>
          <w:rStyle w:val="CETBodytextCarattere"/>
        </w:rPr>
        <w:t xml:space="preserve"> concentration (x) and </w:t>
      </w:r>
      <w:proofErr w:type="spellStart"/>
      <w:r w:rsidR="00F41835" w:rsidRPr="00993321">
        <w:rPr>
          <w:rStyle w:val="CETBodytextCarattere"/>
        </w:rPr>
        <w:t>yPSW</w:t>
      </w:r>
      <w:proofErr w:type="spellEnd"/>
      <w:r w:rsidR="00F41835" w:rsidRPr="00993321">
        <w:rPr>
          <w:rStyle w:val="CETBodytextCarattere"/>
        </w:rPr>
        <w:t xml:space="preserve"> represents</w:t>
      </w:r>
      <w:r w:rsidR="00D30014" w:rsidRPr="00993321">
        <w:rPr>
          <w:rStyle w:val="CETBodytextCarattere"/>
        </w:rPr>
        <w:t xml:space="preserve"> </w:t>
      </w:r>
      <w:r w:rsidR="00F41835" w:rsidRPr="00993321">
        <w:rPr>
          <w:rStyle w:val="CETBodytextCarattere"/>
        </w:rPr>
        <w:t xml:space="preserve">the </w:t>
      </w:r>
      <w:r w:rsidR="00FE7DF0" w:rsidRPr="00993321">
        <w:rPr>
          <w:rStyle w:val="CETBodytextCarattere"/>
        </w:rPr>
        <w:t xml:space="preserve">yield in pyro-char from </w:t>
      </w:r>
      <w:r w:rsidR="00D30014" w:rsidRPr="00993321">
        <w:rPr>
          <w:rStyle w:val="CETBodytextCarattere"/>
        </w:rPr>
        <w:t xml:space="preserve">non-impregnated </w:t>
      </w:r>
      <w:r w:rsidR="00F55AC0" w:rsidRPr="00993321">
        <w:rPr>
          <w:rStyle w:val="CETBodytextCarattere"/>
        </w:rPr>
        <w:t>PS</w:t>
      </w:r>
      <w:r w:rsidR="00FE7DF0" w:rsidRPr="00993321">
        <w:rPr>
          <w:rStyle w:val="CETBodytextCarattere"/>
        </w:rPr>
        <w:t>W</w:t>
      </w:r>
      <w:r w:rsidR="00D30014" w:rsidRPr="00993321">
        <w:rPr>
          <w:rStyle w:val="CETBodytextCarattere"/>
        </w:rPr>
        <w:t xml:space="preserve"> multiplied </w:t>
      </w:r>
      <w:r w:rsidR="00FE7DF0" w:rsidRPr="00993321">
        <w:rPr>
          <w:rStyle w:val="CETBodytextCarattere"/>
        </w:rPr>
        <w:t>by the</w:t>
      </w:r>
      <w:r w:rsidR="00D30014" w:rsidRPr="00993321">
        <w:rPr>
          <w:rStyle w:val="CETBodytextCarattere"/>
        </w:rPr>
        <w:t xml:space="preserve"> </w:t>
      </w:r>
      <w:r w:rsidR="001B3744" w:rsidRPr="00993321">
        <w:rPr>
          <w:rStyle w:val="CETBodytextCarattere"/>
        </w:rPr>
        <w:t xml:space="preserve">complementing </w:t>
      </w:r>
      <w:r w:rsidR="00D30014" w:rsidRPr="00993321">
        <w:rPr>
          <w:rStyle w:val="CETBodytextCarattere"/>
        </w:rPr>
        <w:t xml:space="preserve">fraction. </w:t>
      </w:r>
      <w:r w:rsidR="0098465C" w:rsidRPr="00993321">
        <w:rPr>
          <w:rStyle w:val="CETBodytextCarattere"/>
        </w:rPr>
        <w:t>T</w:t>
      </w:r>
      <w:r w:rsidRPr="00993321">
        <w:rPr>
          <w:rStyle w:val="CETBodytextCarattere"/>
        </w:rPr>
        <w:t xml:space="preserve">he </w:t>
      </w:r>
      <w:r w:rsidR="005A5F78" w:rsidRPr="00993321">
        <w:rPr>
          <w:rStyle w:val="CETBodytextCarattere"/>
        </w:rPr>
        <w:t>red</w:t>
      </w:r>
      <w:r w:rsidRPr="00993321">
        <w:rPr>
          <w:rStyle w:val="CETBodytextCarattere"/>
        </w:rPr>
        <w:t xml:space="preserve"> line</w:t>
      </w:r>
      <w:r w:rsidR="007B4C18" w:rsidRPr="00993321">
        <w:rPr>
          <w:rStyle w:val="CETBodytextCarattere"/>
        </w:rPr>
        <w:t xml:space="preserve"> (Pure Additive)</w:t>
      </w:r>
      <w:r w:rsidR="001B3744" w:rsidRPr="00993321">
        <w:rPr>
          <w:rStyle w:val="CETBodytextCarattere"/>
        </w:rPr>
        <w:t xml:space="preserve"> plotted </w:t>
      </w:r>
      <w:r w:rsidR="00E55901" w:rsidRPr="00993321">
        <w:rPr>
          <w:rStyle w:val="CETBodytextCarattere"/>
        </w:rPr>
        <w:t>fr</w:t>
      </w:r>
      <w:r w:rsidR="000C3FC9" w:rsidRPr="00993321">
        <w:rPr>
          <w:rStyle w:val="CETBodytextCarattere"/>
        </w:rPr>
        <w:t>om</w:t>
      </w:r>
      <w:r w:rsidR="00E55901" w:rsidRPr="00993321">
        <w:rPr>
          <w:rStyle w:val="CETBodytextCarattere"/>
        </w:rPr>
        <w:t xml:space="preserve"> values obtained </w:t>
      </w:r>
      <w:r w:rsidR="005A5F78" w:rsidRPr="00993321">
        <w:rPr>
          <w:rStyle w:val="CETBodytextCarattere"/>
        </w:rPr>
        <w:t>with</w:t>
      </w:r>
      <w:r w:rsidR="00E55901" w:rsidRPr="00993321">
        <w:rPr>
          <w:rStyle w:val="CETBodytextCarattere"/>
        </w:rPr>
        <w:t xml:space="preserve"> </w:t>
      </w:r>
      <w:proofErr w:type="gramStart"/>
      <w:r w:rsidR="0098465C" w:rsidRPr="00993321">
        <w:rPr>
          <w:rStyle w:val="CETBodytextCarattere"/>
        </w:rPr>
        <w:t>Eq(</w:t>
      </w:r>
      <w:proofErr w:type="gramEnd"/>
      <w:r w:rsidR="0098465C" w:rsidRPr="00993321">
        <w:rPr>
          <w:rStyle w:val="CETBodytextCarattere"/>
        </w:rPr>
        <w:t>2)</w:t>
      </w:r>
      <w:r w:rsidR="00CA37CA" w:rsidRPr="00993321">
        <w:rPr>
          <w:rStyle w:val="CETBodytextCarattere"/>
        </w:rPr>
        <w:t>,</w:t>
      </w:r>
      <w:r w:rsidRPr="00993321">
        <w:rPr>
          <w:rStyle w:val="CETBodytextCarattere"/>
        </w:rPr>
        <w:t xml:space="preserve"> </w:t>
      </w:r>
      <w:r w:rsidR="00E55901" w:rsidRPr="00993321">
        <w:rPr>
          <w:rStyle w:val="CETBodytextCarattere"/>
        </w:rPr>
        <w:t>again assumes</w:t>
      </w:r>
      <w:r w:rsidR="0098465C" w:rsidRPr="00993321">
        <w:rPr>
          <w:rStyle w:val="CETBodytextCarattere"/>
        </w:rPr>
        <w:t xml:space="preserve"> </w:t>
      </w:r>
      <w:r w:rsidR="0010685C" w:rsidRPr="00993321">
        <w:rPr>
          <w:rStyle w:val="CETBodytextCarattere"/>
        </w:rPr>
        <w:t xml:space="preserve">additive </w:t>
      </w:r>
      <w:r w:rsidR="005B1A38" w:rsidRPr="00993321">
        <w:rPr>
          <w:rStyle w:val="CETBodytextCarattere"/>
        </w:rPr>
        <w:t>behavior</w:t>
      </w:r>
      <w:r w:rsidR="0010685C" w:rsidRPr="00993321">
        <w:rPr>
          <w:rStyle w:val="CETBodytextCarattere"/>
        </w:rPr>
        <w:t xml:space="preserve">, </w:t>
      </w:r>
      <w:r w:rsidR="00E55901" w:rsidRPr="00993321">
        <w:rPr>
          <w:rStyle w:val="CETBodytextCarattere"/>
        </w:rPr>
        <w:t>however this time</w:t>
      </w:r>
      <w:r w:rsidR="00CA37CA" w:rsidRPr="00993321">
        <w:rPr>
          <w:rStyle w:val="CETBodytextCarattere"/>
        </w:rPr>
        <w:t xml:space="preserve"> the </w:t>
      </w:r>
      <w:r w:rsidR="00E55901" w:rsidRPr="00993321">
        <w:rPr>
          <w:rStyle w:val="CETBodytextCarattere"/>
        </w:rPr>
        <w:t>solid</w:t>
      </w:r>
      <w:r w:rsidR="00CA37CA" w:rsidRPr="00993321">
        <w:rPr>
          <w:rStyle w:val="CETBodytextCarattere"/>
        </w:rPr>
        <w:t xml:space="preserve"> yield from Fe(</w:t>
      </w:r>
      <w:proofErr w:type="spellStart"/>
      <w:r w:rsidR="00CA37CA" w:rsidRPr="00993321">
        <w:rPr>
          <w:rStyle w:val="CETBodytextCarattere"/>
        </w:rPr>
        <w:t>OAc</w:t>
      </w:r>
      <w:proofErr w:type="spellEnd"/>
      <w:r w:rsidR="00CA37CA" w:rsidRPr="00993321">
        <w:rPr>
          <w:rStyle w:val="CETBodytextCarattere"/>
        </w:rPr>
        <w:t>)</w:t>
      </w:r>
      <w:r w:rsidR="00CA37CA" w:rsidRPr="00993321">
        <w:rPr>
          <w:rStyle w:val="CETBodytextCarattere"/>
          <w:rFonts w:ascii="Cambria Math" w:hAnsi="Cambria Math" w:cs="Cambria Math"/>
        </w:rPr>
        <w:t>₂</w:t>
      </w:r>
      <w:r w:rsidR="00CA37CA" w:rsidRPr="00993321">
        <w:rPr>
          <w:rStyle w:val="CETBodytextCarattere"/>
        </w:rPr>
        <w:t xml:space="preserve"> </w:t>
      </w:r>
      <w:r w:rsidR="00E55901" w:rsidRPr="00993321">
        <w:rPr>
          <w:rStyle w:val="CETBodytextCarattere"/>
        </w:rPr>
        <w:t xml:space="preserve">is set </w:t>
      </w:r>
      <w:r w:rsidR="00CA37CA" w:rsidRPr="00993321">
        <w:rPr>
          <w:rStyle w:val="CETBodytextCarattere"/>
        </w:rPr>
        <w:t>to 38 %</w:t>
      </w:r>
      <w:r w:rsidR="00E55901" w:rsidRPr="00993321">
        <w:rPr>
          <w:rStyle w:val="CETBodytextCarattere"/>
        </w:rPr>
        <w:t xml:space="preserve">,a </w:t>
      </w:r>
      <w:r w:rsidR="0010685C" w:rsidRPr="00993321">
        <w:rPr>
          <w:rStyle w:val="CETBodytextCarattere"/>
        </w:rPr>
        <w:t xml:space="preserve">value </w:t>
      </w:r>
      <w:r w:rsidRPr="00993321">
        <w:rPr>
          <w:rStyle w:val="CETBodytextCarattere"/>
        </w:rPr>
        <w:t xml:space="preserve">derived from </w:t>
      </w:r>
      <w:r w:rsidR="00E55901" w:rsidRPr="00993321">
        <w:rPr>
          <w:rStyle w:val="CETBodytextCarattere"/>
        </w:rPr>
        <w:t>pyrolysis of iron acetate alone</w:t>
      </w:r>
      <w:r w:rsidR="0098465C" w:rsidRPr="00993321">
        <w:rPr>
          <w:rStyle w:val="CETBodytextCarattere"/>
        </w:rPr>
        <w:t xml:space="preserve"> </w:t>
      </w:r>
      <w:r w:rsidR="00E55901" w:rsidRPr="00993321">
        <w:rPr>
          <w:rStyle w:val="CETBodytextCarattere"/>
        </w:rPr>
        <w:t>under the same con</w:t>
      </w:r>
      <w:r w:rsidR="000C2A5C" w:rsidRPr="00993321">
        <w:rPr>
          <w:rStyle w:val="CETBodytextCarattere"/>
        </w:rPr>
        <w:t>d</w:t>
      </w:r>
      <w:r w:rsidR="00E55901" w:rsidRPr="00993321">
        <w:rPr>
          <w:rStyle w:val="CETBodytextCarattere"/>
        </w:rPr>
        <w:t xml:space="preserve">itions described </w:t>
      </w:r>
      <w:r w:rsidR="000C2A5C" w:rsidRPr="00993321">
        <w:rPr>
          <w:rStyle w:val="CETBodytextCarattere"/>
        </w:rPr>
        <w:t>in the methods section</w:t>
      </w:r>
      <w:r w:rsidR="0098465C" w:rsidRPr="00993321">
        <w:rPr>
          <w:rStyle w:val="CETBodytextCarattere"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983"/>
        <w:gridCol w:w="804"/>
      </w:tblGrid>
      <w:tr w:rsidR="00603FE8" w:rsidRPr="00B57B36" w14:paraId="690B2E2C" w14:textId="77777777" w:rsidTr="00567DC8">
        <w:tc>
          <w:tcPr>
            <w:tcW w:w="7983" w:type="dxa"/>
            <w:shd w:val="clear" w:color="auto" w:fill="auto"/>
            <w:vAlign w:val="center"/>
          </w:tcPr>
          <w:p w14:paraId="5456B087" w14:textId="7D201062" w:rsidR="00603FE8" w:rsidRPr="00B57B36" w:rsidRDefault="00000000" w:rsidP="00782D15">
            <w:pPr>
              <w:pStyle w:val="CETEquation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100%</m:t>
                    </m:r>
                  </m:sub>
                </m:sSub>
                <m:r>
                  <w:rPr>
                    <w:rFonts w:ascii="Cambria Math" w:hAnsi="Cambria Math"/>
                  </w:rPr>
                  <m:t>=100%∙x+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PSW</m:t>
                    </m:r>
                  </m:sub>
                </m:sSub>
                <m:r>
                  <w:rPr>
                    <w:rFonts w:ascii="Cambria Math" w:hAnsi="Cambria Math"/>
                  </w:rPr>
                  <m:t>∙(1-x)</m:t>
                </m:r>
              </m:oMath>
            </m:oMathPara>
          </w:p>
        </w:tc>
        <w:tc>
          <w:tcPr>
            <w:tcW w:w="804" w:type="dxa"/>
            <w:shd w:val="clear" w:color="auto" w:fill="auto"/>
            <w:vAlign w:val="center"/>
          </w:tcPr>
          <w:p w14:paraId="1CBF1166" w14:textId="77777777" w:rsidR="00603FE8" w:rsidRPr="00B57B36" w:rsidRDefault="00603FE8" w:rsidP="00782D15">
            <w:pPr>
              <w:pStyle w:val="CETEquation"/>
              <w:jc w:val="right"/>
            </w:pPr>
            <w:r w:rsidRPr="00B57B36">
              <w:t>(1)</w:t>
            </w:r>
          </w:p>
        </w:tc>
      </w:tr>
      <w:tr w:rsidR="00603FE8" w:rsidRPr="00B57B36" w14:paraId="70602EF5" w14:textId="77777777" w:rsidTr="00567DC8">
        <w:tc>
          <w:tcPr>
            <w:tcW w:w="7983" w:type="dxa"/>
            <w:shd w:val="clear" w:color="auto" w:fill="auto"/>
            <w:vAlign w:val="center"/>
          </w:tcPr>
          <w:p w14:paraId="171A451B" w14:textId="7018BF8C" w:rsidR="00603FE8" w:rsidRPr="00B57B36" w:rsidRDefault="00000000" w:rsidP="00782D15">
            <w:pPr>
              <w:pStyle w:val="CETEquation"/>
              <w:rPr>
                <w:noProof/>
                <w:lang w:val="it-IT" w:eastAsia="it-I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38%</m:t>
                    </m:r>
                  </m:sub>
                </m:sSub>
                <m:r>
                  <w:rPr>
                    <w:rFonts w:ascii="Cambria Math" w:hAnsi="Cambria Math"/>
                  </w:rPr>
                  <m:t>=38%∙x+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PSW</m:t>
                    </m:r>
                  </m:sub>
                </m:sSub>
                <m:r>
                  <w:rPr>
                    <w:rFonts w:ascii="Cambria Math" w:hAnsi="Cambria Math"/>
                  </w:rPr>
                  <m:t>∙(1-x)</m:t>
                </m:r>
              </m:oMath>
            </m:oMathPara>
          </w:p>
        </w:tc>
        <w:tc>
          <w:tcPr>
            <w:tcW w:w="804" w:type="dxa"/>
            <w:shd w:val="clear" w:color="auto" w:fill="auto"/>
            <w:vAlign w:val="center"/>
          </w:tcPr>
          <w:p w14:paraId="65D9D228" w14:textId="154F8144" w:rsidR="00603FE8" w:rsidRPr="00B57B36" w:rsidRDefault="00603FE8" w:rsidP="00782D15">
            <w:pPr>
              <w:pStyle w:val="CETEquation"/>
              <w:jc w:val="right"/>
            </w:pPr>
            <w:r>
              <w:t>(2)</w:t>
            </w:r>
          </w:p>
        </w:tc>
      </w:tr>
    </w:tbl>
    <w:p w14:paraId="5583AD41" w14:textId="0A49F45A" w:rsidR="00175DF2" w:rsidRDefault="00175DF2" w:rsidP="00993321">
      <w:pPr>
        <w:pStyle w:val="CETBodytext"/>
        <w:rPr>
          <w:i/>
        </w:rPr>
      </w:pPr>
      <w:r w:rsidRPr="00175DF2">
        <w:t>All three lines have the same</w:t>
      </w:r>
      <w:r>
        <w:t xml:space="preserve"> origin</w:t>
      </w:r>
      <w:r w:rsidRPr="00175DF2">
        <w:t xml:space="preserve"> as it is the yield from the non-impregnated PSW (</w:t>
      </w:r>
      <w:proofErr w:type="spellStart"/>
      <w:r w:rsidRPr="00175DF2">
        <w:t>y</w:t>
      </w:r>
      <w:r w:rsidRPr="00175DF2">
        <w:rPr>
          <w:vertAlign w:val="subscript"/>
        </w:rPr>
        <w:t>PSW</w:t>
      </w:r>
      <w:proofErr w:type="spellEnd"/>
      <w:r w:rsidRPr="00175DF2">
        <w:t>)</w:t>
      </w:r>
      <w:r>
        <w:t>, and all of them</w:t>
      </w:r>
      <w:r w:rsidRPr="00175DF2">
        <w:t xml:space="preserve"> are showing an upward trend. However, the slope of the </w:t>
      </w:r>
      <w:r w:rsidR="007B4C18" w:rsidRPr="007B4C18">
        <w:t>Indifferent</w:t>
      </w:r>
      <w:r w:rsidR="007B4C18">
        <w:t xml:space="preserve"> line</w:t>
      </w:r>
      <w:r w:rsidRPr="00175DF2">
        <w:t xml:space="preserve"> </w:t>
      </w:r>
      <w:r w:rsidR="00473E83">
        <w:t>indicates</w:t>
      </w:r>
      <w:r w:rsidRPr="00175DF2">
        <w:t xml:space="preserve"> </w:t>
      </w:r>
      <w:r w:rsidR="00473E83">
        <w:t xml:space="preserve">the </w:t>
      </w:r>
      <w:r w:rsidRPr="00175DF2">
        <w:t>highest yield</w:t>
      </w:r>
      <w:r w:rsidR="00473E83">
        <w:t>s</w:t>
      </w:r>
      <w:r w:rsidR="007B4C18">
        <w:t xml:space="preserve"> </w:t>
      </w:r>
      <w:r w:rsidR="007B4C18" w:rsidRPr="007B4C18">
        <w:t xml:space="preserve">This is based on the assumption that full retention of </w:t>
      </w:r>
      <w:proofErr w:type="gramStart"/>
      <w:r w:rsidR="007B4C18" w:rsidRPr="007B4C18">
        <w:t>Fe(</w:t>
      </w:r>
      <w:proofErr w:type="spellStart"/>
      <w:proofErr w:type="gramEnd"/>
      <w:r w:rsidR="007B4C18" w:rsidRPr="007B4C18">
        <w:t>OAc</w:t>
      </w:r>
      <w:proofErr w:type="spellEnd"/>
      <w:r w:rsidR="007B4C18" w:rsidRPr="007B4C18">
        <w:t>)</w:t>
      </w:r>
      <w:r w:rsidR="007B4C18">
        <w:rPr>
          <w:vertAlign w:val="subscript"/>
        </w:rPr>
        <w:t>2</w:t>
      </w:r>
      <w:r w:rsidR="007B4C18" w:rsidRPr="007B4C18">
        <w:t xml:space="preserve"> in the pyro-char (100</w:t>
      </w:r>
      <w:r w:rsidR="004B1613">
        <w:t xml:space="preserve"> </w:t>
      </w:r>
      <w:r w:rsidR="007B4C18" w:rsidRPr="007B4C18">
        <w:t xml:space="preserve">%) occurs, meaning that all the iron acetate initially added to the feedstock remains entirely in the solid residue after pyrolysis. This, combined with the assumption of additive behavior between PSW and </w:t>
      </w:r>
      <w:proofErr w:type="gramStart"/>
      <w:r w:rsidR="007B4C18" w:rsidRPr="007B4C18">
        <w:t>Fe(</w:t>
      </w:r>
      <w:proofErr w:type="spellStart"/>
      <w:proofErr w:type="gramEnd"/>
      <w:r w:rsidR="007B4C18" w:rsidRPr="007B4C18">
        <w:t>OAc</w:t>
      </w:r>
      <w:proofErr w:type="spellEnd"/>
      <w:r w:rsidR="007B4C18" w:rsidRPr="007B4C18">
        <w:t>)</w:t>
      </w:r>
      <w:r w:rsidR="007B4C18">
        <w:rPr>
          <w:vertAlign w:val="subscript"/>
        </w:rPr>
        <w:t>2</w:t>
      </w:r>
      <w:r w:rsidR="007B4C18" w:rsidRPr="007B4C18">
        <w:t xml:space="preserve"> leads to the highest calculated yields.</w:t>
      </w:r>
      <w:r w:rsidRPr="00175DF2">
        <w:t xml:space="preserve"> </w:t>
      </w:r>
      <w:r w:rsidR="00AE3999" w:rsidRPr="00AE3999">
        <w:t xml:space="preserve">In contrast, the </w:t>
      </w:r>
      <w:r w:rsidR="004B1613" w:rsidRPr="004B1613">
        <w:t>Pure Additive</w:t>
      </w:r>
      <w:r w:rsidR="00AE3999" w:rsidRPr="00AE3999">
        <w:t xml:space="preserve"> line assumes partial retention, where only 38</w:t>
      </w:r>
      <w:r w:rsidR="004B1613">
        <w:t xml:space="preserve"> </w:t>
      </w:r>
      <w:r w:rsidR="00AE3999" w:rsidRPr="00AE3999">
        <w:t xml:space="preserve">% of the initial </w:t>
      </w:r>
      <w:proofErr w:type="gramStart"/>
      <w:r w:rsidR="00AE3999" w:rsidRPr="00AE3999">
        <w:t>Fe(</w:t>
      </w:r>
      <w:proofErr w:type="spellStart"/>
      <w:proofErr w:type="gramEnd"/>
      <w:r w:rsidR="00AE3999" w:rsidRPr="00AE3999">
        <w:t>OAc</w:t>
      </w:r>
      <w:proofErr w:type="spellEnd"/>
      <w:r w:rsidR="00AE3999">
        <w:t>)</w:t>
      </w:r>
      <w:r w:rsidR="00AE3999">
        <w:rPr>
          <w:vertAlign w:val="subscript"/>
        </w:rPr>
        <w:t>2</w:t>
      </w:r>
      <w:r w:rsidR="00AE3999" w:rsidRPr="00AE3999">
        <w:t xml:space="preserve"> is retained in the pyro-char, while the remai</w:t>
      </w:r>
      <w:r w:rsidR="00AE3999" w:rsidRPr="00E42B72">
        <w:t>n</w:t>
      </w:r>
      <w:r w:rsidR="00626637" w:rsidRPr="00E42B72">
        <w:t>ing</w:t>
      </w:r>
      <w:r w:rsidR="00AE3999" w:rsidRPr="00E42B72">
        <w:t xml:space="preserve"> </w:t>
      </w:r>
      <w:r w:rsidR="00AE3999" w:rsidRPr="00AE3999">
        <w:t xml:space="preserve">is presumed to volatilize or decompose into non-solid products during pyrolysis. This results in intermediate yields compared to the </w:t>
      </w:r>
      <w:r w:rsidR="00AE3999" w:rsidRPr="004B1613">
        <w:t>Indifferent</w:t>
      </w:r>
      <w:r w:rsidR="00AE3999" w:rsidRPr="00AE3999">
        <w:t xml:space="preserve"> line.</w:t>
      </w:r>
      <w:r w:rsidR="00AE3999">
        <w:t xml:space="preserve"> </w:t>
      </w:r>
      <w:proofErr w:type="gramStart"/>
      <w:r w:rsidR="00E21698">
        <w:t>In reality</w:t>
      </w:r>
      <w:r w:rsidR="00626637">
        <w:rPr>
          <w:i/>
        </w:rPr>
        <w:t>,</w:t>
      </w:r>
      <w:r w:rsidRPr="00175DF2">
        <w:t xml:space="preserve"> the</w:t>
      </w:r>
      <w:proofErr w:type="gramEnd"/>
      <w:r w:rsidRPr="00175DF2">
        <w:t xml:space="preserve"> </w:t>
      </w:r>
      <w:r w:rsidR="00E21698">
        <w:t>role</w:t>
      </w:r>
      <w:r w:rsidRPr="00175DF2">
        <w:t xml:space="preserve"> </w:t>
      </w:r>
      <w:r w:rsidR="00E21698">
        <w:t xml:space="preserve">of </w:t>
      </w:r>
      <w:r w:rsidRPr="00175DF2">
        <w:t xml:space="preserve">iron </w:t>
      </w:r>
      <w:r w:rsidR="00E21698">
        <w:t>during</w:t>
      </w:r>
      <w:r w:rsidR="00E21698" w:rsidRPr="00175DF2">
        <w:t xml:space="preserve"> </w:t>
      </w:r>
      <w:r w:rsidRPr="00175DF2">
        <w:t xml:space="preserve">pyrolysis is very difficult to understand, </w:t>
      </w:r>
      <w:r w:rsidR="00E21698">
        <w:t xml:space="preserve">since Iron is expected to react with </w:t>
      </w:r>
      <w:r w:rsidR="004B1613">
        <w:t>c</w:t>
      </w:r>
      <w:r w:rsidR="002A724C">
        <w:t xml:space="preserve">arbon, oxygen and other metals </w:t>
      </w:r>
      <w:r w:rsidR="00CE6E38">
        <w:t xml:space="preserve">to form </w:t>
      </w:r>
      <w:r w:rsidR="004B1613">
        <w:t>oxides</w:t>
      </w:r>
      <w:r w:rsidR="00CE6E38">
        <w:t>, carbides and alloys</w:t>
      </w:r>
      <w:r w:rsidR="0025703C">
        <w:t xml:space="preserve"> that are difficult to resolve in the typically complex heterogeneous chemical environment </w:t>
      </w:r>
      <w:r w:rsidR="003F6400">
        <w:t>during pyrolysis.</w:t>
      </w:r>
      <w:r w:rsidRPr="00175DF2">
        <w:t xml:space="preserve"> </w:t>
      </w:r>
      <w:r w:rsidR="00BD19BE">
        <w:t xml:space="preserve">Notwithstanding such challenges, we know that </w:t>
      </w:r>
      <w:r w:rsidRPr="00175DF2">
        <w:t xml:space="preserve">Iron can </w:t>
      </w:r>
      <w:r w:rsidR="004B1613" w:rsidRPr="00175DF2">
        <w:t>cataly</w:t>
      </w:r>
      <w:r w:rsidR="005B1A38">
        <w:t>z</w:t>
      </w:r>
      <w:r w:rsidR="004B1613" w:rsidRPr="00175DF2">
        <w:t>e</w:t>
      </w:r>
      <w:r w:rsidRPr="00175DF2">
        <w:t xml:space="preserve"> </w:t>
      </w:r>
      <w:r w:rsidR="00BD19BE">
        <w:t xml:space="preserve">the </w:t>
      </w:r>
      <w:r w:rsidRPr="00175DF2">
        <w:t xml:space="preserve">cracking </w:t>
      </w:r>
      <w:r w:rsidR="00BD19BE">
        <w:t>o</w:t>
      </w:r>
      <w:r w:rsidR="0086474A">
        <w:t>f</w:t>
      </w:r>
      <w:r w:rsidR="00BD19BE">
        <w:t xml:space="preserve"> some </w:t>
      </w:r>
      <w:r w:rsidR="0086474A">
        <w:t>precursors in the heterogeneous vapor/solid phase</w:t>
      </w:r>
      <w:r w:rsidRPr="00175DF2">
        <w:t xml:space="preserve">, </w:t>
      </w:r>
      <w:r w:rsidR="00656A02">
        <w:t>leading to lower</w:t>
      </w:r>
      <w:r w:rsidRPr="00175DF2">
        <w:t xml:space="preserve"> pyro-char </w:t>
      </w:r>
      <w:r w:rsidR="00656A02">
        <w:t>yields</w:t>
      </w:r>
      <w:r w:rsidRPr="00175DF2">
        <w:t xml:space="preserve">. </w:t>
      </w:r>
      <w:proofErr w:type="gramStart"/>
      <w:r w:rsidR="00094554">
        <w:t>at</w:t>
      </w:r>
      <w:proofErr w:type="gramEnd"/>
      <w:r w:rsidR="00094554">
        <w:t xml:space="preserve"> the same time the formation of </w:t>
      </w:r>
      <w:r w:rsidRPr="00175DF2">
        <w:t xml:space="preserve">stable compounds, such as </w:t>
      </w:r>
      <w:r w:rsidR="00094554">
        <w:t xml:space="preserve">the </w:t>
      </w:r>
      <w:proofErr w:type="gramStart"/>
      <w:r w:rsidR="00094554">
        <w:t xml:space="preserve">aforementioned </w:t>
      </w:r>
      <w:r w:rsidRPr="00175DF2">
        <w:t>carbides</w:t>
      </w:r>
      <w:proofErr w:type="gramEnd"/>
      <w:r w:rsidRPr="00175DF2">
        <w:t xml:space="preserve"> or oxides</w:t>
      </w:r>
      <w:r w:rsidR="00094554">
        <w:t xml:space="preserve"> </w:t>
      </w:r>
      <w:r w:rsidR="00747605">
        <w:t>would lead to an increase in</w:t>
      </w:r>
      <w:r w:rsidRPr="00175DF2">
        <w:t xml:space="preserve"> the pyro-char yield. </w:t>
      </w:r>
      <w:r w:rsidR="005200AE">
        <w:t>Accordingly, our</w:t>
      </w:r>
      <w:r w:rsidR="00B11F59">
        <w:t xml:space="preserve"> </w:t>
      </w:r>
      <w:r w:rsidR="005200AE">
        <w:t xml:space="preserve">results show an </w:t>
      </w:r>
      <w:r w:rsidRPr="00175DF2">
        <w:t xml:space="preserve">increase in solid yield with increasing concentration of iron acetate </w:t>
      </w:r>
      <w:r w:rsidR="003A3859">
        <w:t>albeit</w:t>
      </w:r>
      <w:r w:rsidR="003A3859" w:rsidRPr="00175DF2">
        <w:t xml:space="preserve"> </w:t>
      </w:r>
      <w:proofErr w:type="gramStart"/>
      <w:r w:rsidRPr="00175DF2">
        <w:t xml:space="preserve">with </w:t>
      </w:r>
      <w:r w:rsidR="003A3859">
        <w:t>in</w:t>
      </w:r>
      <w:proofErr w:type="gramEnd"/>
      <w:r w:rsidR="003A3859">
        <w:t xml:space="preserve"> </w:t>
      </w:r>
      <w:r w:rsidR="00252F35">
        <w:t>lower</w:t>
      </w:r>
      <w:r w:rsidRPr="00175DF2">
        <w:t xml:space="preserve"> </w:t>
      </w:r>
      <w:r w:rsidR="00252F35">
        <w:t>values</w:t>
      </w:r>
      <w:r w:rsidR="00252F35" w:rsidRPr="00175DF2">
        <w:t xml:space="preserve"> </w:t>
      </w:r>
      <w:r w:rsidR="00252F35">
        <w:t xml:space="preserve">compared to </w:t>
      </w:r>
      <w:r w:rsidRPr="00175DF2">
        <w:t xml:space="preserve">the theoretical </w:t>
      </w:r>
      <w:r w:rsidR="004B1613" w:rsidRPr="004B1613">
        <w:t>Pure Additive</w:t>
      </w:r>
      <w:r w:rsidR="004B1613">
        <w:t xml:space="preserve"> behavior</w:t>
      </w:r>
      <w:r w:rsidRPr="00175DF2">
        <w:t xml:space="preserve">. SEM </w:t>
      </w:r>
      <w:r w:rsidR="007A7EDC">
        <w:t xml:space="preserve">micrographs </w:t>
      </w:r>
      <w:r w:rsidR="00E923DB">
        <w:t xml:space="preserve">(Figure 3) </w:t>
      </w:r>
      <w:r w:rsidR="007A7EDC">
        <w:t xml:space="preserve">help to shed light on the </w:t>
      </w:r>
      <w:r w:rsidR="00E923DB">
        <w:t xml:space="preserve">thermochemical pathways involving </w:t>
      </w:r>
      <w:r w:rsidR="004B1613">
        <w:t>iron</w:t>
      </w:r>
      <w:r w:rsidR="004B1613" w:rsidRPr="00175DF2">
        <w:t>.</w:t>
      </w:r>
    </w:p>
    <w:p w14:paraId="2C244E0A" w14:textId="6B73D372" w:rsidR="00FF2E0A" w:rsidRDefault="00091FD2" w:rsidP="00BD4674">
      <w:pPr>
        <w:pStyle w:val="CETCaption"/>
        <w:jc w:val="left"/>
        <w:rPr>
          <w:rStyle w:val="CETCaptionCarattere"/>
          <w:iCs/>
          <w:szCs w:val="18"/>
        </w:rPr>
      </w:pPr>
      <w:r>
        <w:rPr>
          <w:rStyle w:val="CETCaptionCarattere"/>
          <w:iCs/>
          <w:noProof/>
          <w:szCs w:val="18"/>
        </w:rPr>
        <w:drawing>
          <wp:inline distT="0" distB="0" distL="0" distR="0" wp14:anchorId="7A7DC17D" wp14:editId="19CE0EA6">
            <wp:extent cx="5077363" cy="4248000"/>
            <wp:effectExtent l="0" t="0" r="0" b="635"/>
            <wp:docPr id="102055334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363" cy="42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197F3B" w14:textId="27E36E68" w:rsidR="005E7FCF" w:rsidRDefault="005E7FCF" w:rsidP="0019337E">
      <w:pPr>
        <w:pStyle w:val="CETCaption"/>
        <w:rPr>
          <w:rStyle w:val="CETCaptionCarattere"/>
          <w:i/>
        </w:rPr>
      </w:pPr>
      <w:r w:rsidRPr="00BD077D">
        <w:rPr>
          <w:rStyle w:val="CETCaptionCarattere"/>
          <w:i/>
        </w:rPr>
        <w:t xml:space="preserve">Figure </w:t>
      </w:r>
      <w:r>
        <w:rPr>
          <w:rStyle w:val="CETCaptionCarattere"/>
          <w:i/>
        </w:rPr>
        <w:t>3</w:t>
      </w:r>
      <w:r w:rsidRPr="00BD077D">
        <w:rPr>
          <w:rStyle w:val="CETCaptionCarattere"/>
          <w:i/>
        </w:rPr>
        <w:t xml:space="preserve">: </w:t>
      </w:r>
      <w:r>
        <w:rPr>
          <w:rStyle w:val="CETCaptionCarattere"/>
          <w:i/>
        </w:rPr>
        <w:t xml:space="preserve">SEM </w:t>
      </w:r>
      <w:r w:rsidR="00E923DB">
        <w:rPr>
          <w:rStyle w:val="CETCaptionCarattere"/>
          <w:i/>
        </w:rPr>
        <w:t xml:space="preserve">micrographs </w:t>
      </w:r>
      <w:r>
        <w:rPr>
          <w:rStyle w:val="CETCaptionCarattere"/>
          <w:i/>
        </w:rPr>
        <w:t xml:space="preserve">of </w:t>
      </w:r>
      <w:r w:rsidR="005463F6">
        <w:rPr>
          <w:rStyle w:val="CETCaptionCarattere"/>
          <w:i/>
        </w:rPr>
        <w:t>p</w:t>
      </w:r>
      <w:r>
        <w:rPr>
          <w:rStyle w:val="CETCaptionCarattere"/>
          <w:i/>
        </w:rPr>
        <w:t>yro-</w:t>
      </w:r>
      <w:r w:rsidR="005463F6">
        <w:rPr>
          <w:rStyle w:val="CETCaptionCarattere"/>
          <w:i/>
        </w:rPr>
        <w:t>c</w:t>
      </w:r>
      <w:r>
        <w:rPr>
          <w:rStyle w:val="CETCaptionCarattere"/>
          <w:i/>
        </w:rPr>
        <w:t xml:space="preserve">har at different </w:t>
      </w:r>
      <w:proofErr w:type="gramStart"/>
      <w:r>
        <w:rPr>
          <w:rStyle w:val="CETCaptionCarattere"/>
          <w:i/>
        </w:rPr>
        <w:t>Fe(</w:t>
      </w:r>
      <w:proofErr w:type="spellStart"/>
      <w:proofErr w:type="gramEnd"/>
      <w:r>
        <w:rPr>
          <w:rStyle w:val="CETCaptionCarattere"/>
          <w:i/>
        </w:rPr>
        <w:t>OAc</w:t>
      </w:r>
      <w:proofErr w:type="spellEnd"/>
      <w:r>
        <w:rPr>
          <w:rStyle w:val="CETCaptionCarattere"/>
          <w:i/>
        </w:rPr>
        <w:t>)</w:t>
      </w:r>
      <w:r w:rsidRPr="00E51D21">
        <w:rPr>
          <w:rStyle w:val="CETCaptionCarattere"/>
          <w:i/>
          <w:vertAlign w:val="subscript"/>
        </w:rPr>
        <w:t>2</w:t>
      </w:r>
      <w:r>
        <w:rPr>
          <w:rStyle w:val="CETCaptionCarattere"/>
          <w:i/>
        </w:rPr>
        <w:t xml:space="preserve"> concentrations.</w:t>
      </w:r>
    </w:p>
    <w:p w14:paraId="2D6CC3A1" w14:textId="1EACE01F" w:rsidR="00D5495F" w:rsidRPr="00993321" w:rsidRDefault="00942A84" w:rsidP="00993321">
      <w:pPr>
        <w:pStyle w:val="CETBodytext"/>
        <w:rPr>
          <w:rStyle w:val="CETCaptionCarattere"/>
          <w:i w:val="0"/>
          <w:lang w:val="en-US"/>
        </w:rPr>
      </w:pPr>
      <w:r w:rsidRPr="00993321">
        <w:rPr>
          <w:rStyle w:val="CETCaptionCarattere"/>
          <w:i w:val="0"/>
          <w:lang w:val="en-US"/>
        </w:rPr>
        <w:lastRenderedPageBreak/>
        <w:t xml:space="preserve">Figure 3 collects images taken at different magnifications and concentrations of </w:t>
      </w:r>
      <w:proofErr w:type="gramStart"/>
      <w:r w:rsidRPr="00993321">
        <w:rPr>
          <w:rStyle w:val="CETCaptionCarattere"/>
          <w:i w:val="0"/>
          <w:lang w:val="en-US"/>
        </w:rPr>
        <w:t>Fe(</w:t>
      </w:r>
      <w:proofErr w:type="spellStart"/>
      <w:proofErr w:type="gramEnd"/>
      <w:r w:rsidRPr="00993321">
        <w:rPr>
          <w:rStyle w:val="CETCaptionCarattere"/>
          <w:i w:val="0"/>
          <w:lang w:val="en-US"/>
        </w:rPr>
        <w:t>OAc</w:t>
      </w:r>
      <w:proofErr w:type="spellEnd"/>
      <w:r w:rsidRPr="00993321">
        <w:rPr>
          <w:rStyle w:val="CETCaptionCarattere"/>
          <w:i w:val="0"/>
          <w:lang w:val="en-US"/>
        </w:rPr>
        <w:t>)</w:t>
      </w:r>
      <w:r w:rsidRPr="00993321">
        <w:rPr>
          <w:rStyle w:val="CETCaptionCarattere"/>
          <w:rFonts w:ascii="Cambria Math" w:hAnsi="Cambria Math" w:cs="Cambria Math"/>
          <w:i w:val="0"/>
          <w:lang w:val="en-US"/>
        </w:rPr>
        <w:t>₂</w:t>
      </w:r>
      <w:r w:rsidRPr="00993321">
        <w:rPr>
          <w:rStyle w:val="CETCaptionCarattere"/>
          <w:i w:val="0"/>
          <w:lang w:val="en-US"/>
        </w:rPr>
        <w:t xml:space="preserve">. In detail, the images are captured at an increase in magnification from left to right, while the salt concentration increases from top to bottom. The material appears heterogeneous in each image; however, the formation of white </w:t>
      </w:r>
      <w:r w:rsidR="008F026E" w:rsidRPr="00993321">
        <w:rPr>
          <w:rStyle w:val="CETCaptionCarattere"/>
          <w:i w:val="0"/>
          <w:lang w:val="en-US"/>
        </w:rPr>
        <w:t xml:space="preserve">agglomerates </w:t>
      </w:r>
      <w:r w:rsidRPr="00993321">
        <w:rPr>
          <w:rStyle w:val="CETCaptionCarattere"/>
          <w:i w:val="0"/>
          <w:lang w:val="en-US"/>
        </w:rPr>
        <w:t xml:space="preserve">was observed </w:t>
      </w:r>
      <w:r w:rsidR="008F026E" w:rsidRPr="00993321">
        <w:rPr>
          <w:rStyle w:val="CETCaptionCarattere"/>
          <w:i w:val="0"/>
          <w:lang w:val="en-US"/>
        </w:rPr>
        <w:t>when</w:t>
      </w:r>
      <w:r w:rsidRPr="00993321">
        <w:rPr>
          <w:rStyle w:val="CETCaptionCarattere"/>
          <w:i w:val="0"/>
          <w:lang w:val="en-US"/>
        </w:rPr>
        <w:t xml:space="preserve"> pyro-char </w:t>
      </w:r>
      <w:r w:rsidR="008F026E" w:rsidRPr="00993321">
        <w:rPr>
          <w:rStyle w:val="CETCaptionCarattere"/>
          <w:i w:val="0"/>
          <w:lang w:val="en-US"/>
        </w:rPr>
        <w:t>derived from an</w:t>
      </w:r>
      <w:r w:rsidRPr="00993321">
        <w:rPr>
          <w:rStyle w:val="CETCaptionCarattere"/>
          <w:i w:val="0"/>
          <w:lang w:val="en-US"/>
        </w:rPr>
        <w:t xml:space="preserve"> impregnated </w:t>
      </w:r>
      <w:r w:rsidR="008F026E" w:rsidRPr="00993321">
        <w:rPr>
          <w:rStyle w:val="CETCaptionCarattere"/>
          <w:i w:val="0"/>
          <w:lang w:val="en-US"/>
        </w:rPr>
        <w:t>feedstock</w:t>
      </w:r>
      <w:r w:rsidRPr="00993321">
        <w:rPr>
          <w:rStyle w:val="CETCaptionCarattere"/>
          <w:i w:val="0"/>
          <w:lang w:val="en-US"/>
        </w:rPr>
        <w:t xml:space="preserve">, while </w:t>
      </w:r>
      <w:r w:rsidR="00347B88" w:rsidRPr="00993321">
        <w:rPr>
          <w:rStyle w:val="CETCaptionCarattere"/>
          <w:i w:val="0"/>
          <w:lang w:val="en-US"/>
        </w:rPr>
        <w:t>such agglomerations are not present</w:t>
      </w:r>
      <w:r w:rsidRPr="00993321">
        <w:rPr>
          <w:rStyle w:val="CETCaptionCarattere"/>
          <w:i w:val="0"/>
          <w:lang w:val="en-US"/>
        </w:rPr>
        <w:t xml:space="preserve"> in non-impregnat</w:t>
      </w:r>
      <w:r w:rsidR="00347B88" w:rsidRPr="00993321">
        <w:rPr>
          <w:rStyle w:val="CETCaptionCarattere"/>
          <w:i w:val="0"/>
          <w:lang w:val="en-US"/>
        </w:rPr>
        <w:t>ed PSW</w:t>
      </w:r>
      <w:r w:rsidRPr="00993321">
        <w:rPr>
          <w:rStyle w:val="CETCaptionCarattere"/>
          <w:i w:val="0"/>
          <w:lang w:val="en-US"/>
        </w:rPr>
        <w:t xml:space="preserve"> (0</w:t>
      </w:r>
      <w:r w:rsidR="004E3146" w:rsidRPr="00993321">
        <w:rPr>
          <w:rStyle w:val="CETCaptionCarattere"/>
          <w:i w:val="0"/>
          <w:lang w:val="en-US"/>
        </w:rPr>
        <w:t xml:space="preserve"> </w:t>
      </w:r>
      <w:r w:rsidRPr="00993321">
        <w:rPr>
          <w:rStyle w:val="CETCaptionCarattere"/>
          <w:i w:val="0"/>
          <w:lang w:val="en-US"/>
        </w:rPr>
        <w:t>%</w:t>
      </w:r>
      <w:r w:rsidR="004E3146" w:rsidRPr="00993321">
        <w:rPr>
          <w:rStyle w:val="CETCaptionCarattere"/>
          <w:i w:val="0"/>
          <w:lang w:val="en-US"/>
        </w:rPr>
        <w:t xml:space="preserve"> w/w</w:t>
      </w:r>
      <w:r w:rsidRPr="00993321">
        <w:rPr>
          <w:rStyle w:val="CETCaptionCarattere"/>
          <w:i w:val="0"/>
          <w:lang w:val="en-US"/>
        </w:rPr>
        <w:t xml:space="preserve"> </w:t>
      </w:r>
      <w:proofErr w:type="gramStart"/>
      <w:r w:rsidRPr="00993321">
        <w:rPr>
          <w:rStyle w:val="CETCaptionCarattere"/>
          <w:i w:val="0"/>
          <w:lang w:val="en-US"/>
        </w:rPr>
        <w:t>Fe(</w:t>
      </w:r>
      <w:proofErr w:type="spellStart"/>
      <w:proofErr w:type="gramEnd"/>
      <w:r w:rsidRPr="00993321">
        <w:rPr>
          <w:rStyle w:val="CETCaptionCarattere"/>
          <w:i w:val="0"/>
          <w:lang w:val="en-US"/>
        </w:rPr>
        <w:t>OAc</w:t>
      </w:r>
      <w:proofErr w:type="spellEnd"/>
      <w:r w:rsidRPr="00993321">
        <w:rPr>
          <w:rStyle w:val="CETCaptionCarattere"/>
          <w:i w:val="0"/>
          <w:lang w:val="en-US"/>
        </w:rPr>
        <w:t xml:space="preserve">)2). </w:t>
      </w:r>
      <w:r w:rsidR="003650D4" w:rsidRPr="00993321">
        <w:rPr>
          <w:rStyle w:val="CETCaptionCarattere"/>
          <w:i w:val="0"/>
          <w:lang w:val="en-US"/>
        </w:rPr>
        <w:t xml:space="preserve">While more in depth </w:t>
      </w:r>
      <w:r w:rsidR="00072444" w:rsidRPr="00993321">
        <w:rPr>
          <w:rStyle w:val="CETCaptionCarattere"/>
          <w:i w:val="0"/>
          <w:lang w:val="en-US"/>
        </w:rPr>
        <w:t xml:space="preserve">observations such as through transmission </w:t>
      </w:r>
      <w:r w:rsidR="003650D4" w:rsidRPr="00993321">
        <w:rPr>
          <w:rStyle w:val="CETCaptionCarattere"/>
          <w:i w:val="0"/>
          <w:lang w:val="en-US"/>
        </w:rPr>
        <w:t xml:space="preserve">electron microscopy </w:t>
      </w:r>
      <w:r w:rsidR="00072444" w:rsidRPr="00993321">
        <w:rPr>
          <w:rStyle w:val="CETCaptionCarattere"/>
          <w:i w:val="0"/>
          <w:lang w:val="en-US"/>
        </w:rPr>
        <w:t xml:space="preserve">or x-ray diffraction </w:t>
      </w:r>
      <w:proofErr w:type="gramStart"/>
      <w:r w:rsidR="00072444" w:rsidRPr="00993321">
        <w:rPr>
          <w:rStyle w:val="CETCaptionCarattere"/>
          <w:i w:val="0"/>
          <w:lang w:val="en-US"/>
        </w:rPr>
        <w:t>is</w:t>
      </w:r>
      <w:proofErr w:type="gramEnd"/>
      <w:r w:rsidR="00072444" w:rsidRPr="00993321">
        <w:rPr>
          <w:rStyle w:val="CETCaptionCarattere"/>
          <w:i w:val="0"/>
          <w:lang w:val="en-US"/>
        </w:rPr>
        <w:t xml:space="preserve"> currently planned to gather more insights, the present images appear to show that such agglomerates derive by an interaction between</w:t>
      </w:r>
      <w:r w:rsidRPr="00993321">
        <w:rPr>
          <w:rStyle w:val="CETCaptionCarattere"/>
          <w:i w:val="0"/>
          <w:lang w:val="en-US"/>
        </w:rPr>
        <w:t xml:space="preserve"> iron </w:t>
      </w:r>
      <w:r w:rsidR="00072444" w:rsidRPr="00993321">
        <w:rPr>
          <w:rStyle w:val="CETCaptionCarattere"/>
          <w:i w:val="0"/>
          <w:lang w:val="en-US"/>
        </w:rPr>
        <w:t xml:space="preserve">and </w:t>
      </w:r>
      <w:r w:rsidR="005D1324" w:rsidRPr="00993321">
        <w:rPr>
          <w:rStyle w:val="CETCaptionCarattere"/>
          <w:i w:val="0"/>
          <w:lang w:val="en-US"/>
        </w:rPr>
        <w:t>PSW</w:t>
      </w:r>
      <w:r w:rsidRPr="00993321">
        <w:rPr>
          <w:rStyle w:val="CETCaptionCarattere"/>
          <w:i w:val="0"/>
          <w:lang w:val="en-US"/>
        </w:rPr>
        <w:t xml:space="preserve"> during pyrolysis. </w:t>
      </w:r>
      <w:r w:rsidR="005D1324" w:rsidRPr="00993321">
        <w:rPr>
          <w:rStyle w:val="CETCaptionCarattere"/>
          <w:i w:val="0"/>
          <w:lang w:val="en-US"/>
        </w:rPr>
        <w:t>T</w:t>
      </w:r>
      <w:r w:rsidRPr="00993321">
        <w:rPr>
          <w:rStyle w:val="CETCaptionCarattere"/>
          <w:i w:val="0"/>
          <w:lang w:val="en-US"/>
        </w:rPr>
        <w:t>he dimensions of these particles range between 20 and 20</w:t>
      </w:r>
      <w:r w:rsidR="005D1324" w:rsidRPr="00993321">
        <w:rPr>
          <w:rStyle w:val="CETCaptionCarattere"/>
          <w:i w:val="0"/>
          <w:lang w:val="en-US"/>
        </w:rPr>
        <w:t>0</w:t>
      </w:r>
      <w:r w:rsidRPr="00993321">
        <w:rPr>
          <w:rStyle w:val="CETCaptionCarattere"/>
          <w:i w:val="0"/>
          <w:lang w:val="en-US"/>
        </w:rPr>
        <w:t xml:space="preserve"> nm</w:t>
      </w:r>
      <w:r w:rsidR="009D6D02" w:rsidRPr="00993321">
        <w:rPr>
          <w:rStyle w:val="CETCaptionCarattere"/>
          <w:i w:val="0"/>
          <w:lang w:val="en-US"/>
        </w:rPr>
        <w:t xml:space="preserve"> suggesting potential sintering during the thermal process</w:t>
      </w:r>
      <w:r w:rsidR="000128F9" w:rsidRPr="00993321">
        <w:rPr>
          <w:rStyle w:val="CETCaptionCarattere"/>
          <w:i w:val="0"/>
          <w:lang w:val="en-US"/>
        </w:rPr>
        <w:t xml:space="preserve"> that we are currently further investigating through the preparation of samples under different (lower and higher) pyrolysis temperatures. </w:t>
      </w:r>
      <w:r w:rsidR="00442104" w:rsidRPr="00993321">
        <w:rPr>
          <w:rStyle w:val="CETCaptionCarattere"/>
          <w:i w:val="0"/>
          <w:lang w:val="en-US"/>
        </w:rPr>
        <w:t>Meanwhile</w:t>
      </w:r>
      <w:r w:rsidRPr="00993321">
        <w:rPr>
          <w:rStyle w:val="CETCaptionCarattere"/>
          <w:i w:val="0"/>
          <w:lang w:val="en-US"/>
        </w:rPr>
        <w:t xml:space="preserve">, </w:t>
      </w:r>
      <w:r w:rsidR="00442104" w:rsidRPr="00993321">
        <w:rPr>
          <w:rStyle w:val="CETCaptionCarattere"/>
          <w:i w:val="0"/>
          <w:lang w:val="en-US"/>
        </w:rPr>
        <w:t xml:space="preserve">EDS on </w:t>
      </w:r>
      <w:r w:rsidR="00875BD6" w:rsidRPr="00993321">
        <w:rPr>
          <w:rStyle w:val="CETCaptionCarattere"/>
          <w:i w:val="0"/>
          <w:lang w:val="en-US"/>
        </w:rPr>
        <w:t>the pyro-char produced from the sample impregnated with 20 %</w:t>
      </w:r>
      <w:r w:rsidR="004E3146" w:rsidRPr="00993321">
        <w:rPr>
          <w:rStyle w:val="CETCaptionCarattere"/>
          <w:i w:val="0"/>
          <w:lang w:val="en-US"/>
        </w:rPr>
        <w:t xml:space="preserve"> w/w</w:t>
      </w:r>
      <w:r w:rsidR="00875BD6" w:rsidRPr="00993321">
        <w:rPr>
          <w:rStyle w:val="CETCaptionCarattere"/>
          <w:i w:val="0"/>
          <w:lang w:val="en-US"/>
        </w:rPr>
        <w:t xml:space="preserve"> of </w:t>
      </w:r>
      <w:proofErr w:type="gramStart"/>
      <w:r w:rsidR="00875BD6" w:rsidRPr="00993321">
        <w:rPr>
          <w:rStyle w:val="CETCaptionCarattere"/>
          <w:i w:val="0"/>
          <w:lang w:val="en-US"/>
        </w:rPr>
        <w:t>Fe(</w:t>
      </w:r>
      <w:proofErr w:type="spellStart"/>
      <w:proofErr w:type="gramEnd"/>
      <w:r w:rsidR="00875BD6" w:rsidRPr="00993321">
        <w:rPr>
          <w:rStyle w:val="CETCaptionCarattere"/>
          <w:i w:val="0"/>
          <w:lang w:val="en-US"/>
        </w:rPr>
        <w:t>OAc</w:t>
      </w:r>
      <w:proofErr w:type="spellEnd"/>
      <w:r w:rsidR="00875BD6" w:rsidRPr="00993321">
        <w:rPr>
          <w:rStyle w:val="CETCaptionCarattere"/>
          <w:i w:val="0"/>
          <w:lang w:val="en-US"/>
        </w:rPr>
        <w:t xml:space="preserve">)2 (Figure 4) </w:t>
      </w:r>
      <w:r w:rsidR="00E27AE9" w:rsidRPr="00993321">
        <w:rPr>
          <w:rStyle w:val="CETCaptionCarattere"/>
          <w:i w:val="0"/>
          <w:lang w:val="en-US"/>
        </w:rPr>
        <w:t xml:space="preserve">are useful to </w:t>
      </w:r>
      <w:r w:rsidR="00BF366C" w:rsidRPr="00993321">
        <w:rPr>
          <w:rStyle w:val="CETCaptionCarattere"/>
          <w:i w:val="0"/>
          <w:lang w:val="en-US"/>
        </w:rPr>
        <w:t xml:space="preserve">observe </w:t>
      </w:r>
      <w:r w:rsidR="00875BD6" w:rsidRPr="00993321">
        <w:rPr>
          <w:rStyle w:val="CETCaptionCarattere"/>
          <w:i w:val="0"/>
          <w:lang w:val="en-US"/>
        </w:rPr>
        <w:t xml:space="preserve">the distribution of carbon, oxygen and iron </w:t>
      </w:r>
      <w:r w:rsidR="008B6C1B" w:rsidRPr="00993321">
        <w:rPr>
          <w:rStyle w:val="CETCaptionCarattere"/>
          <w:i w:val="0"/>
          <w:lang w:val="en-US"/>
        </w:rPr>
        <w:t xml:space="preserve">to gather further insights </w:t>
      </w:r>
      <w:r w:rsidR="00875BD6" w:rsidRPr="00993321">
        <w:rPr>
          <w:rStyle w:val="CETCaptionCarattere"/>
          <w:i w:val="0"/>
          <w:lang w:val="en-US"/>
        </w:rPr>
        <w:t xml:space="preserve">(Figure </w:t>
      </w:r>
      <w:r w:rsidR="004E3146" w:rsidRPr="00993321">
        <w:rPr>
          <w:rStyle w:val="CETCaptionCarattere"/>
          <w:i w:val="0"/>
          <w:lang w:val="en-US"/>
        </w:rPr>
        <w:t>5</w:t>
      </w:r>
      <w:r w:rsidR="00875BD6" w:rsidRPr="00993321">
        <w:rPr>
          <w:rStyle w:val="CETCaptionCarattere"/>
          <w:i w:val="0"/>
          <w:lang w:val="en-US"/>
        </w:rPr>
        <w:t>).</w:t>
      </w:r>
    </w:p>
    <w:p w14:paraId="1ABE3FB8" w14:textId="452AE5F1" w:rsidR="00942A84" w:rsidRDefault="00E42B72" w:rsidP="0019337E">
      <w:pPr>
        <w:pStyle w:val="CETCaption"/>
        <w:rPr>
          <w:rStyle w:val="CETCaptionCarattere"/>
          <w:iCs/>
          <w:szCs w:val="18"/>
        </w:rPr>
      </w:pPr>
      <w:r>
        <w:rPr>
          <w:rStyle w:val="CETCaptionCarattere"/>
          <w:iCs/>
          <w:noProof/>
          <w:szCs w:val="18"/>
        </w:rPr>
        <w:drawing>
          <wp:inline distT="0" distB="0" distL="0" distR="0" wp14:anchorId="5ECEBABA" wp14:editId="1723B487">
            <wp:extent cx="5325266" cy="3060000"/>
            <wp:effectExtent l="0" t="0" r="0" b="7620"/>
            <wp:docPr id="31081150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266" cy="30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82601E" w14:textId="41BF2DFC" w:rsidR="00932F23" w:rsidRDefault="00932F23" w:rsidP="00932F23">
      <w:pPr>
        <w:pStyle w:val="CETCaption"/>
        <w:rPr>
          <w:rStyle w:val="CETCaptionCarattere"/>
          <w:i/>
        </w:rPr>
      </w:pPr>
      <w:r w:rsidRPr="00BD077D">
        <w:rPr>
          <w:rStyle w:val="CETCaptionCarattere"/>
          <w:i/>
        </w:rPr>
        <w:t xml:space="preserve">Figure </w:t>
      </w:r>
      <w:r>
        <w:rPr>
          <w:rStyle w:val="CETCaptionCarattere"/>
          <w:i/>
        </w:rPr>
        <w:t>4</w:t>
      </w:r>
      <w:r w:rsidRPr="00BD077D">
        <w:rPr>
          <w:rStyle w:val="CETCaptionCarattere"/>
          <w:i/>
        </w:rPr>
        <w:t xml:space="preserve">: </w:t>
      </w:r>
      <w:r>
        <w:rPr>
          <w:rStyle w:val="CETCaptionCarattere"/>
          <w:i/>
        </w:rPr>
        <w:t>EDS</w:t>
      </w:r>
      <w:r w:rsidR="00BB4CEE">
        <w:rPr>
          <w:rStyle w:val="CETCaptionCarattere"/>
          <w:i/>
        </w:rPr>
        <w:t xml:space="preserve"> point</w:t>
      </w:r>
      <w:r>
        <w:rPr>
          <w:rStyle w:val="CETCaptionCarattere"/>
          <w:i/>
        </w:rPr>
        <w:t xml:space="preserve"> analysis of </w:t>
      </w:r>
      <w:r w:rsidR="00BB4CEE">
        <w:rPr>
          <w:rStyle w:val="CETCaptionCarattere"/>
          <w:i/>
        </w:rPr>
        <w:t>p</w:t>
      </w:r>
      <w:r>
        <w:rPr>
          <w:rStyle w:val="CETCaptionCarattere"/>
          <w:i/>
        </w:rPr>
        <w:t>yro-</w:t>
      </w:r>
      <w:r w:rsidR="00BB4CEE">
        <w:rPr>
          <w:rStyle w:val="CETCaptionCarattere"/>
          <w:i/>
        </w:rPr>
        <w:t>c</w:t>
      </w:r>
      <w:r>
        <w:rPr>
          <w:rStyle w:val="CETCaptionCarattere"/>
          <w:i/>
        </w:rPr>
        <w:t>har produced from PSW and Iron Acetate at 20 %</w:t>
      </w:r>
      <w:r w:rsidR="004E3146">
        <w:rPr>
          <w:rStyle w:val="CETCaptionCarattere"/>
          <w:i/>
        </w:rPr>
        <w:t xml:space="preserve"> w/w</w:t>
      </w:r>
      <w:r>
        <w:rPr>
          <w:rStyle w:val="CETCaptionCarattere"/>
          <w:i/>
        </w:rPr>
        <w:t>.</w:t>
      </w:r>
    </w:p>
    <w:p w14:paraId="0C4FF7AA" w14:textId="4662EFBB" w:rsidR="00EE4787" w:rsidRPr="00993321" w:rsidRDefault="001C1544" w:rsidP="00993321">
      <w:pPr>
        <w:pStyle w:val="CETBodytext"/>
      </w:pPr>
      <w:r w:rsidRPr="00993321">
        <w:rPr>
          <w:rStyle w:val="CETCaptionCarattere"/>
          <w:i w:val="0"/>
          <w:lang w:val="en-US"/>
        </w:rPr>
        <w:t>S</w:t>
      </w:r>
      <w:r w:rsidR="00875BD6" w:rsidRPr="00993321">
        <w:rPr>
          <w:rStyle w:val="CETCaptionCarattere"/>
          <w:i w:val="0"/>
          <w:lang w:val="en-US"/>
        </w:rPr>
        <w:t xml:space="preserve">pectra </w:t>
      </w:r>
      <w:r w:rsidRPr="00993321">
        <w:rPr>
          <w:rStyle w:val="CETCaptionCarattere"/>
          <w:i w:val="0"/>
          <w:lang w:val="en-US"/>
        </w:rPr>
        <w:t>obtained from single points (</w:t>
      </w:r>
      <w:r w:rsidR="004B1613" w:rsidRPr="00993321">
        <w:rPr>
          <w:rStyle w:val="CETCaptionCarattere"/>
          <w:i w:val="0"/>
          <w:lang w:val="en-US"/>
        </w:rPr>
        <w:t>a</w:t>
      </w:r>
      <w:r w:rsidR="00875BD6" w:rsidRPr="00993321">
        <w:rPr>
          <w:rStyle w:val="CETCaptionCarattere"/>
          <w:i w:val="0"/>
          <w:lang w:val="en-US"/>
        </w:rPr>
        <w:t xml:space="preserve"> and </w:t>
      </w:r>
      <w:r w:rsidR="004B1613" w:rsidRPr="00993321">
        <w:rPr>
          <w:rStyle w:val="CETCaptionCarattere"/>
          <w:i w:val="0"/>
          <w:lang w:val="en-US"/>
        </w:rPr>
        <w:t>e</w:t>
      </w:r>
      <w:r w:rsidRPr="00993321">
        <w:rPr>
          <w:rStyle w:val="CETCaptionCarattere"/>
          <w:i w:val="0"/>
          <w:lang w:val="en-US"/>
        </w:rPr>
        <w:t>)</w:t>
      </w:r>
      <w:r w:rsidR="00875BD6" w:rsidRPr="00993321">
        <w:rPr>
          <w:rStyle w:val="CETCaptionCarattere"/>
          <w:i w:val="0"/>
          <w:lang w:val="en-US"/>
        </w:rPr>
        <w:t xml:space="preserve"> </w:t>
      </w:r>
      <w:r w:rsidRPr="00993321">
        <w:rPr>
          <w:rStyle w:val="CETCaptionCarattere"/>
          <w:i w:val="0"/>
          <w:lang w:val="en-US"/>
        </w:rPr>
        <w:t xml:space="preserve">and </w:t>
      </w:r>
      <w:r w:rsidR="002E1C79" w:rsidRPr="00993321">
        <w:rPr>
          <w:rStyle w:val="CETCaptionCarattere"/>
          <w:i w:val="0"/>
          <w:lang w:val="en-US"/>
        </w:rPr>
        <w:t>from</w:t>
      </w:r>
      <w:r w:rsidRPr="00993321">
        <w:rPr>
          <w:rStyle w:val="CETCaptionCarattere"/>
          <w:i w:val="0"/>
          <w:lang w:val="en-US"/>
        </w:rPr>
        <w:t xml:space="preserve"> rectangular regions</w:t>
      </w:r>
      <w:r w:rsidR="00875BD6" w:rsidRPr="00993321">
        <w:rPr>
          <w:rStyle w:val="CETCaptionCarattere"/>
          <w:i w:val="0"/>
          <w:lang w:val="en-US"/>
        </w:rPr>
        <w:t xml:space="preserve"> </w:t>
      </w:r>
      <w:r w:rsidRPr="00993321">
        <w:rPr>
          <w:rStyle w:val="CETCaptionCarattere"/>
          <w:i w:val="0"/>
          <w:lang w:val="en-US"/>
        </w:rPr>
        <w:t>(</w:t>
      </w:r>
      <w:r w:rsidR="004B1613" w:rsidRPr="00993321">
        <w:rPr>
          <w:rStyle w:val="CETCaptionCarattere"/>
          <w:i w:val="0"/>
          <w:lang w:val="en-US"/>
        </w:rPr>
        <w:t>b</w:t>
      </w:r>
      <w:r w:rsidR="00875BD6" w:rsidRPr="00993321">
        <w:rPr>
          <w:rStyle w:val="CETCaptionCarattere"/>
          <w:i w:val="0"/>
          <w:lang w:val="en-US"/>
        </w:rPr>
        <w:t xml:space="preserve">, </w:t>
      </w:r>
      <w:r w:rsidR="004B1613" w:rsidRPr="00993321">
        <w:rPr>
          <w:rStyle w:val="CETCaptionCarattere"/>
          <w:i w:val="0"/>
          <w:lang w:val="en-US"/>
        </w:rPr>
        <w:t>c</w:t>
      </w:r>
      <w:r w:rsidR="00875BD6" w:rsidRPr="00993321">
        <w:rPr>
          <w:rStyle w:val="CETCaptionCarattere"/>
          <w:i w:val="0"/>
          <w:lang w:val="en-US"/>
        </w:rPr>
        <w:t xml:space="preserve"> and </w:t>
      </w:r>
      <w:r w:rsidR="004B1613" w:rsidRPr="00993321">
        <w:rPr>
          <w:rStyle w:val="CETCaptionCarattere"/>
          <w:i w:val="0"/>
          <w:lang w:val="en-US"/>
        </w:rPr>
        <w:t>d</w:t>
      </w:r>
      <w:r w:rsidRPr="00993321">
        <w:rPr>
          <w:rStyle w:val="CETCaptionCarattere"/>
          <w:i w:val="0"/>
          <w:lang w:val="en-US"/>
        </w:rPr>
        <w:t>)</w:t>
      </w:r>
      <w:r w:rsidR="00875BD6" w:rsidRPr="00993321">
        <w:rPr>
          <w:rStyle w:val="CETCaptionCarattere"/>
          <w:i w:val="0"/>
          <w:lang w:val="en-US"/>
        </w:rPr>
        <w:t xml:space="preserve"> </w:t>
      </w:r>
      <w:r w:rsidR="0085678B" w:rsidRPr="00993321">
        <w:rPr>
          <w:rStyle w:val="CETCaptionCarattere"/>
          <w:i w:val="0"/>
          <w:lang w:val="en-US"/>
        </w:rPr>
        <w:t>all</w:t>
      </w:r>
      <w:r w:rsidR="00EE4787" w:rsidRPr="00993321">
        <w:rPr>
          <w:rStyle w:val="CETCaptionCarattere"/>
          <w:i w:val="0"/>
          <w:lang w:val="en-US"/>
        </w:rPr>
        <w:t xml:space="preserve"> collected</w:t>
      </w:r>
      <w:r w:rsidR="00875BD6" w:rsidRPr="00993321">
        <w:rPr>
          <w:rStyle w:val="CETCaptionCarattere"/>
          <w:i w:val="0"/>
          <w:lang w:val="en-US"/>
        </w:rPr>
        <w:t xml:space="preserve"> in correspondence of </w:t>
      </w:r>
      <w:r w:rsidR="0085678B" w:rsidRPr="00993321">
        <w:rPr>
          <w:rStyle w:val="CETCaptionCarattere"/>
          <w:i w:val="0"/>
          <w:lang w:val="en-US"/>
        </w:rPr>
        <w:t>randomly selected agglomerations</w:t>
      </w:r>
      <w:r w:rsidR="00875BD6" w:rsidRPr="00993321">
        <w:rPr>
          <w:rStyle w:val="CETCaptionCarattere"/>
          <w:i w:val="0"/>
          <w:lang w:val="en-US"/>
        </w:rPr>
        <w:t xml:space="preserve"> </w:t>
      </w:r>
      <w:r w:rsidR="0085678B" w:rsidRPr="00993321">
        <w:rPr>
          <w:rStyle w:val="CETCaptionCarattere"/>
          <w:i w:val="0"/>
          <w:lang w:val="en-US"/>
        </w:rPr>
        <w:t>confirmed the presence of</w:t>
      </w:r>
      <w:r w:rsidR="001D7709" w:rsidRPr="00993321">
        <w:rPr>
          <w:rStyle w:val="CETCaptionCarattere"/>
          <w:i w:val="0"/>
          <w:lang w:val="en-US"/>
        </w:rPr>
        <w:t xml:space="preserve"> carbon, iron and oxygen, with traces of calcium and </w:t>
      </w:r>
      <w:r w:rsidR="00EE4787" w:rsidRPr="00993321">
        <w:rPr>
          <w:rStyle w:val="CETCaptionCarattere"/>
          <w:i w:val="0"/>
          <w:lang w:val="en-US"/>
        </w:rPr>
        <w:t>chlorine</w:t>
      </w:r>
      <w:r w:rsidR="00056A08" w:rsidRPr="00993321">
        <w:t>.</w:t>
      </w:r>
    </w:p>
    <w:p w14:paraId="40205BEA" w14:textId="3D5686E1" w:rsidR="00BB4CEE" w:rsidRDefault="001B14DD" w:rsidP="00932F23">
      <w:pPr>
        <w:pStyle w:val="CETCaption"/>
        <w:rPr>
          <w:rStyle w:val="CETCaptionCarattere"/>
          <w:i/>
        </w:rPr>
      </w:pPr>
      <w:r>
        <w:rPr>
          <w:rStyle w:val="CETCaptionCarattere"/>
          <w:i/>
          <w:noProof/>
        </w:rPr>
        <w:drawing>
          <wp:inline distT="0" distB="0" distL="0" distR="0" wp14:anchorId="100E8E95" wp14:editId="157B4DEC">
            <wp:extent cx="5084009" cy="1512000"/>
            <wp:effectExtent l="0" t="0" r="0" b="0"/>
            <wp:docPr id="115918310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009" cy="15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EDE1EC" w14:textId="0D3DF586" w:rsidR="00BB4CEE" w:rsidRDefault="00BB4CEE" w:rsidP="00932F23">
      <w:pPr>
        <w:pStyle w:val="CETCaption"/>
        <w:rPr>
          <w:rStyle w:val="CETCaptionCarattere"/>
          <w:i/>
        </w:rPr>
      </w:pPr>
      <w:r w:rsidRPr="00BD077D">
        <w:rPr>
          <w:rStyle w:val="CETCaptionCarattere"/>
          <w:i/>
        </w:rPr>
        <w:t xml:space="preserve">Figure </w:t>
      </w:r>
      <w:r>
        <w:rPr>
          <w:rStyle w:val="CETCaptionCarattere"/>
          <w:i/>
        </w:rPr>
        <w:t>5</w:t>
      </w:r>
      <w:r w:rsidRPr="00BD077D">
        <w:rPr>
          <w:rStyle w:val="CETCaptionCarattere"/>
          <w:i/>
        </w:rPr>
        <w:t xml:space="preserve">: </w:t>
      </w:r>
      <w:r>
        <w:rPr>
          <w:rStyle w:val="CETCaptionCarattere"/>
          <w:i/>
        </w:rPr>
        <w:t>EDS map analysis of pyro-char produced from PSW and Iron Acetate at 20 %</w:t>
      </w:r>
      <w:r w:rsidR="004E3146">
        <w:rPr>
          <w:rStyle w:val="CETCaptionCarattere"/>
          <w:i/>
        </w:rPr>
        <w:t xml:space="preserve"> w/w</w:t>
      </w:r>
      <w:r>
        <w:rPr>
          <w:rStyle w:val="CETCaptionCarattere"/>
          <w:i/>
        </w:rPr>
        <w:t>.</w:t>
      </w:r>
    </w:p>
    <w:p w14:paraId="39BD9177" w14:textId="615E524D" w:rsidR="00932F23" w:rsidRDefault="007C45F5" w:rsidP="00993321">
      <w:pPr>
        <w:pStyle w:val="CETBodytext"/>
        <w:rPr>
          <w:i/>
          <w:iCs/>
        </w:rPr>
      </w:pPr>
      <w:r w:rsidRPr="00993321">
        <w:rPr>
          <w:rStyle w:val="CETBodytextCarattere"/>
        </w:rPr>
        <w:t xml:space="preserve">On the other hand, </w:t>
      </w:r>
      <w:r w:rsidR="0093207E" w:rsidRPr="00993321">
        <w:rPr>
          <w:rStyle w:val="CETBodytextCarattere"/>
        </w:rPr>
        <w:t>a map of those elements on the</w:t>
      </w:r>
      <w:r w:rsidR="000F31D4" w:rsidRPr="00993321">
        <w:rPr>
          <w:rStyle w:val="CETBodytextCarattere"/>
        </w:rPr>
        <w:t xml:space="preserve"> entire</w:t>
      </w:r>
      <w:r w:rsidR="0093207E" w:rsidRPr="00993321">
        <w:rPr>
          <w:rStyle w:val="CETBodytextCarattere"/>
        </w:rPr>
        <w:t xml:space="preserve"> region observed </w:t>
      </w:r>
      <w:r w:rsidR="000F31D4" w:rsidRPr="00993321">
        <w:rPr>
          <w:rStyle w:val="CETBodytextCarattere"/>
        </w:rPr>
        <w:t>(</w:t>
      </w:r>
      <w:r w:rsidRPr="00993321">
        <w:rPr>
          <w:rStyle w:val="CETBodytextCarattere"/>
        </w:rPr>
        <w:t xml:space="preserve">Figure </w:t>
      </w:r>
      <w:r w:rsidR="000F31D4" w:rsidRPr="00993321">
        <w:rPr>
          <w:rStyle w:val="CETBodytextCarattere"/>
        </w:rPr>
        <w:t>5)</w:t>
      </w:r>
      <w:r w:rsidRPr="00993321">
        <w:rPr>
          <w:rStyle w:val="CETBodytextCarattere"/>
        </w:rPr>
        <w:t xml:space="preserve">, </w:t>
      </w:r>
      <w:r w:rsidR="005B1A38" w:rsidRPr="00993321">
        <w:rPr>
          <w:rStyle w:val="CETBodytextCarattere"/>
        </w:rPr>
        <w:t>shows</w:t>
      </w:r>
      <w:r w:rsidR="00546DD2" w:rsidRPr="00993321">
        <w:rPr>
          <w:rStyle w:val="CETBodytextCarattere"/>
        </w:rPr>
        <w:t xml:space="preserve"> </w:t>
      </w:r>
      <w:r w:rsidR="004A7D46" w:rsidRPr="00993321">
        <w:rPr>
          <w:rStyle w:val="CETBodytextCarattere"/>
        </w:rPr>
        <w:t>a</w:t>
      </w:r>
      <w:r w:rsidRPr="00993321">
        <w:rPr>
          <w:rStyle w:val="CETBodytextCarattere"/>
        </w:rPr>
        <w:t xml:space="preserve"> </w:t>
      </w:r>
      <w:r w:rsidR="000F31D4" w:rsidRPr="00993321">
        <w:rPr>
          <w:rStyle w:val="CETBodytextCarattere"/>
        </w:rPr>
        <w:t xml:space="preserve">rather </w:t>
      </w:r>
      <w:r w:rsidR="00546DD2" w:rsidRPr="00993321">
        <w:rPr>
          <w:rStyle w:val="CETBodytextCarattere"/>
        </w:rPr>
        <w:t>homogeneous distribution of th</w:t>
      </w:r>
      <w:r w:rsidR="005D7B5D" w:rsidRPr="00993321">
        <w:rPr>
          <w:rStyle w:val="CETBodytextCarattere"/>
        </w:rPr>
        <w:t>ose</w:t>
      </w:r>
      <w:r w:rsidR="00546DD2" w:rsidRPr="00993321">
        <w:rPr>
          <w:rStyle w:val="CETBodytextCarattere"/>
        </w:rPr>
        <w:t xml:space="preserve"> elements </w:t>
      </w:r>
      <w:r w:rsidRPr="00993321">
        <w:rPr>
          <w:rStyle w:val="CETBodytextCarattere"/>
        </w:rPr>
        <w:t>w</w:t>
      </w:r>
      <w:r w:rsidR="005D7B5D" w:rsidRPr="00993321">
        <w:rPr>
          <w:rStyle w:val="CETBodytextCarattere"/>
        </w:rPr>
        <w:t>here</w:t>
      </w:r>
      <w:r w:rsidRPr="00993321">
        <w:rPr>
          <w:rStyle w:val="CETBodytextCarattere"/>
        </w:rPr>
        <w:t xml:space="preserve"> iron </w:t>
      </w:r>
      <w:r w:rsidR="005D7B5D" w:rsidRPr="00993321">
        <w:rPr>
          <w:rStyle w:val="CETBodytextCarattere"/>
        </w:rPr>
        <w:t xml:space="preserve">appears at </w:t>
      </w:r>
      <w:r w:rsidRPr="00993321">
        <w:rPr>
          <w:rStyle w:val="CETBodytextCarattere"/>
        </w:rPr>
        <w:t xml:space="preserve">higher concentrations </w:t>
      </w:r>
      <w:r w:rsidR="005D7B5D" w:rsidRPr="00993321">
        <w:rPr>
          <w:rStyle w:val="CETBodytextCarattere"/>
        </w:rPr>
        <w:t>(brig</w:t>
      </w:r>
      <w:r w:rsidR="004C6E30" w:rsidRPr="00993321">
        <w:rPr>
          <w:rStyle w:val="CETBodytextCarattere"/>
        </w:rPr>
        <w:t xml:space="preserve">hter </w:t>
      </w:r>
      <w:r w:rsidR="002120CB" w:rsidRPr="00993321">
        <w:rPr>
          <w:rStyle w:val="CETBodytextCarattere"/>
        </w:rPr>
        <w:t>color</w:t>
      </w:r>
      <w:r w:rsidR="004C6E30" w:rsidRPr="00993321">
        <w:rPr>
          <w:rStyle w:val="CETBodytextCarattere"/>
        </w:rPr>
        <w:t xml:space="preserve">) </w:t>
      </w:r>
      <w:r w:rsidRPr="00993321">
        <w:rPr>
          <w:rStyle w:val="CETBodytextCarattere"/>
        </w:rPr>
        <w:t xml:space="preserve">in </w:t>
      </w:r>
      <w:r w:rsidR="004C6E30" w:rsidRPr="00993321">
        <w:rPr>
          <w:rStyle w:val="CETBodytextCarattere"/>
        </w:rPr>
        <w:t xml:space="preserve">small areas </w:t>
      </w:r>
      <w:r w:rsidRPr="00993321">
        <w:rPr>
          <w:rStyle w:val="CETBodytextCarattere"/>
        </w:rPr>
        <w:t xml:space="preserve">corresponding to the </w:t>
      </w:r>
      <w:proofErr w:type="gramStart"/>
      <w:r w:rsidRPr="00993321">
        <w:rPr>
          <w:rStyle w:val="CETBodytextCarattere"/>
        </w:rPr>
        <w:t>a</w:t>
      </w:r>
      <w:r w:rsidR="004C6E30" w:rsidRPr="00993321">
        <w:rPr>
          <w:rStyle w:val="CETBodytextCarattere"/>
        </w:rPr>
        <w:t xml:space="preserve">forementioned </w:t>
      </w:r>
      <w:r w:rsidR="004B1613" w:rsidRPr="00993321">
        <w:rPr>
          <w:rStyle w:val="CETBodytextCarattere"/>
        </w:rPr>
        <w:t>agglomerates</w:t>
      </w:r>
      <w:proofErr w:type="gramEnd"/>
      <w:r w:rsidR="004B1613">
        <w:rPr>
          <w:iCs/>
        </w:rPr>
        <w:t>.</w:t>
      </w:r>
    </w:p>
    <w:p w14:paraId="2CCFDE5E" w14:textId="1904BC13" w:rsidR="00263704" w:rsidRPr="00AF04E8" w:rsidRDefault="005463F6" w:rsidP="00263704">
      <w:pPr>
        <w:pStyle w:val="CETHeading1"/>
        <w:rPr>
          <w:lang w:val="en-GB"/>
        </w:rPr>
      </w:pPr>
      <w:r w:rsidRPr="00B57B36">
        <w:rPr>
          <w:lang w:val="en-GB"/>
        </w:rPr>
        <w:lastRenderedPageBreak/>
        <w:t>Conclusions</w:t>
      </w:r>
    </w:p>
    <w:p w14:paraId="333A0124" w14:textId="1D52E1F2" w:rsidR="00C35807" w:rsidRDefault="0056683A" w:rsidP="004E3146">
      <w:pPr>
        <w:pStyle w:val="CETBodytext"/>
        <w:rPr>
          <w:b/>
        </w:rPr>
      </w:pPr>
      <w:r w:rsidRPr="0056683A">
        <w:t xml:space="preserve">The management of </w:t>
      </w:r>
      <w:r w:rsidR="00520C51">
        <w:t>PSW</w:t>
      </w:r>
      <w:r w:rsidRPr="0056683A">
        <w:t xml:space="preserve"> is one of the ever-increasing environmental concerns, </w:t>
      </w:r>
      <w:r w:rsidR="00520C51">
        <w:t xml:space="preserve">urging </w:t>
      </w:r>
      <w:r w:rsidR="004B69C9">
        <w:t>the</w:t>
      </w:r>
      <w:r w:rsidRPr="0056683A">
        <w:t xml:space="preserve"> need </w:t>
      </w:r>
      <w:r w:rsidR="004B69C9">
        <w:t>for</w:t>
      </w:r>
      <w:r w:rsidRPr="0056683A">
        <w:t xml:space="preserve"> sustainable solutions</w:t>
      </w:r>
      <w:r w:rsidR="004B69C9">
        <w:t xml:space="preserve"> to its production use and disposal.</w:t>
      </w:r>
      <w:r w:rsidRPr="0056683A">
        <w:t xml:space="preserve"> </w:t>
      </w:r>
      <w:r w:rsidR="007912DA">
        <w:t>The production of potentially valuable compounds</w:t>
      </w:r>
      <w:r w:rsidR="007912DA" w:rsidRPr="0056683A">
        <w:t xml:space="preserve"> </w:t>
      </w:r>
      <w:r w:rsidR="007912DA" w:rsidRPr="000C56F6">
        <w:rPr>
          <w:i/>
          <w:iCs/>
        </w:rPr>
        <w:t>via</w:t>
      </w:r>
      <w:r w:rsidR="007912DA">
        <w:t xml:space="preserve"> pyrolysis of plastic, </w:t>
      </w:r>
      <w:r w:rsidRPr="0056683A">
        <w:t xml:space="preserve">opens a promising avenue. </w:t>
      </w:r>
      <w:r w:rsidR="00E55931">
        <w:t xml:space="preserve">Importantly, transition metals, such as widely available and inexpensive iron </w:t>
      </w:r>
      <w:r w:rsidR="00196D22">
        <w:t>can improve the yield and quality of pyrolysis products.</w:t>
      </w:r>
      <w:r w:rsidR="00E55931">
        <w:t xml:space="preserve"> </w:t>
      </w:r>
      <w:r w:rsidRPr="0056683A">
        <w:t xml:space="preserve">This study focused on the effects of </w:t>
      </w:r>
      <w:r w:rsidR="00196D22">
        <w:t xml:space="preserve">adding </w:t>
      </w:r>
      <w:r w:rsidRPr="0056683A">
        <w:t>iron acetate on the properties of</w:t>
      </w:r>
      <w:r w:rsidR="00037B59">
        <w:t xml:space="preserve"> </w:t>
      </w:r>
      <w:r w:rsidRPr="0056683A">
        <w:t>pyro-char</w:t>
      </w:r>
      <w:r w:rsidR="00037B59">
        <w:t xml:space="preserve"> derived from PSW</w:t>
      </w:r>
      <w:r w:rsidRPr="0056683A">
        <w:t xml:space="preserve">, showing </w:t>
      </w:r>
      <w:r w:rsidR="00037B59">
        <w:t>an increase in yield of</w:t>
      </w:r>
      <w:r w:rsidRPr="0056683A">
        <w:t xml:space="preserve"> pyro-char</w:t>
      </w:r>
      <w:r w:rsidR="00037B59">
        <w:t xml:space="preserve"> with increased</w:t>
      </w:r>
      <w:r w:rsidRPr="0056683A">
        <w:t xml:space="preserve"> concentration</w:t>
      </w:r>
      <w:r w:rsidR="00037B59">
        <w:t xml:space="preserve"> of iron acetate</w:t>
      </w:r>
      <w:r w:rsidR="006534A6">
        <w:t>,</w:t>
      </w:r>
      <w:r w:rsidR="00037B59">
        <w:t xml:space="preserve"> yet also </w:t>
      </w:r>
      <w:r w:rsidR="00760EA4">
        <w:t>showing the</w:t>
      </w:r>
      <w:r w:rsidRPr="0056683A">
        <w:t xml:space="preserve"> complex</w:t>
      </w:r>
      <w:r w:rsidR="00760EA4">
        <w:t xml:space="preserve">ity of some of the chemical </w:t>
      </w:r>
      <w:r w:rsidR="002120CB">
        <w:t>transformations</w:t>
      </w:r>
      <w:r w:rsidR="00760EA4">
        <w:t xml:space="preserve"> resulting from the process.</w:t>
      </w:r>
      <w:r w:rsidR="004B1613">
        <w:t xml:space="preserve"> </w:t>
      </w:r>
      <w:r w:rsidR="006534A6">
        <w:t>T</w:t>
      </w:r>
      <w:r w:rsidRPr="0056683A">
        <w:t xml:space="preserve">he heterogeneity of waste </w:t>
      </w:r>
      <w:r w:rsidR="006534A6">
        <w:t xml:space="preserve">feedstock </w:t>
      </w:r>
      <w:r w:rsidR="00BA31EC">
        <w:t xml:space="preserve">and the many possible thermochemical pathways involving iron and the solid hydrocarbon </w:t>
      </w:r>
      <w:r w:rsidR="00B60C93">
        <w:t xml:space="preserve">can be </w:t>
      </w:r>
      <w:r w:rsidR="00AA52B7">
        <w:t>observed</w:t>
      </w:r>
      <w:r w:rsidR="00B60C93">
        <w:t xml:space="preserve"> by combined </w:t>
      </w:r>
      <w:r w:rsidRPr="0056683A">
        <w:t xml:space="preserve">SEM and EDS analyses </w:t>
      </w:r>
      <w:r w:rsidR="00AA52B7">
        <w:t xml:space="preserve">as a quick route to show the </w:t>
      </w:r>
      <w:r w:rsidR="005B29BC">
        <w:t xml:space="preserve">pathways to formation of </w:t>
      </w:r>
      <w:r w:rsidRPr="0056683A">
        <w:t xml:space="preserve">iron-carbon-oxygen </w:t>
      </w:r>
      <w:r w:rsidR="005B29BC">
        <w:t>compounds</w:t>
      </w:r>
      <w:r w:rsidRPr="0056683A">
        <w:t xml:space="preserve">. </w:t>
      </w:r>
      <w:r w:rsidR="00D261E4">
        <w:t xml:space="preserve">While more analysis is currently underway in our group, </w:t>
      </w:r>
      <w:r w:rsidR="002128FD">
        <w:t>the present</w:t>
      </w:r>
      <w:r w:rsidR="00ED174D">
        <w:t xml:space="preserve"> results show </w:t>
      </w:r>
      <w:r w:rsidR="002128FD">
        <w:t xml:space="preserve">promising leads towards a facile </w:t>
      </w:r>
      <w:r w:rsidR="007F4EA7">
        <w:t>upgrade of PSW in synergy with Iron</w:t>
      </w:r>
      <w:r w:rsidR="002270DB">
        <w:t xml:space="preserve">, a route with significant potential to resolve </w:t>
      </w:r>
      <w:r w:rsidR="002A762A">
        <w:t xml:space="preserve">the environmental hurdles </w:t>
      </w:r>
      <w:r w:rsidR="00965FB2">
        <w:t>currently affecting the conversion and disposal of plastic waste.</w:t>
      </w:r>
    </w:p>
    <w:p w14:paraId="56EDF022" w14:textId="1A366128" w:rsidR="00207CBD" w:rsidRDefault="00207CBD" w:rsidP="00C35807">
      <w:pPr>
        <w:pStyle w:val="CETReference"/>
      </w:pPr>
      <w:r w:rsidRPr="00B57B36">
        <w:t>References</w:t>
      </w:r>
    </w:p>
    <w:p w14:paraId="513A045B" w14:textId="513C7DEF" w:rsidR="00CC667C" w:rsidRDefault="00CC667C" w:rsidP="00600535">
      <w:pPr>
        <w:pStyle w:val="CETReferencetext"/>
      </w:pPr>
      <w:r w:rsidRPr="00CC667C">
        <w:t xml:space="preserve">Alanazi N.M., Adam F.M., </w:t>
      </w:r>
      <w:proofErr w:type="spellStart"/>
      <w:r w:rsidRPr="00CC667C">
        <w:t>Nagu</w:t>
      </w:r>
      <w:proofErr w:type="spellEnd"/>
      <w:r w:rsidRPr="00CC667C">
        <w:t xml:space="preserve"> M., 2017, Organochloride contamination in a refinery naphtha hydrotreater unit, Materials Performance, 56(10)</w:t>
      </w:r>
      <w:r w:rsidR="00362F50">
        <w:t>, 1-5</w:t>
      </w:r>
      <w:r w:rsidRPr="00CC667C">
        <w:t>.</w:t>
      </w:r>
    </w:p>
    <w:p w14:paraId="5BB5D5D2" w14:textId="7461BC85" w:rsidR="004413D4" w:rsidRDefault="004413D4" w:rsidP="00600535">
      <w:pPr>
        <w:pStyle w:val="CETReferencetext"/>
      </w:pPr>
      <w:r w:rsidRPr="004413D4">
        <w:t>Al-Salem S</w:t>
      </w:r>
      <w:r w:rsidR="00094627">
        <w:t>.</w:t>
      </w:r>
      <w:r w:rsidRPr="004413D4">
        <w:t>M</w:t>
      </w:r>
      <w:r w:rsidR="00094627">
        <w:t>.</w:t>
      </w:r>
      <w:r w:rsidRPr="004413D4">
        <w:t xml:space="preserve">, </w:t>
      </w:r>
      <w:proofErr w:type="spellStart"/>
      <w:r w:rsidRPr="004413D4">
        <w:t>Antelava</w:t>
      </w:r>
      <w:proofErr w:type="spellEnd"/>
      <w:r w:rsidRPr="004413D4">
        <w:t xml:space="preserve"> A</w:t>
      </w:r>
      <w:r w:rsidR="00094627">
        <w:t>.</w:t>
      </w:r>
      <w:r w:rsidRPr="004413D4">
        <w:t>, Constantinou A</w:t>
      </w:r>
      <w:r w:rsidR="00094627">
        <w:t>.</w:t>
      </w:r>
      <w:r w:rsidRPr="004413D4">
        <w:t>, Manos G</w:t>
      </w:r>
      <w:r w:rsidR="00094627">
        <w:t>.</w:t>
      </w:r>
      <w:r w:rsidRPr="004413D4">
        <w:t>, Dutta A.</w:t>
      </w:r>
      <w:r w:rsidR="00094627">
        <w:t>,</w:t>
      </w:r>
      <w:r w:rsidR="00CC667C">
        <w:t xml:space="preserve"> </w:t>
      </w:r>
      <w:r w:rsidR="00094627">
        <w:t>2017,</w:t>
      </w:r>
      <w:r w:rsidRPr="004413D4">
        <w:t xml:space="preserve"> A review on thermal and catalytic pyrolysis of plastic solid waste (PSW)</w:t>
      </w:r>
      <w:r w:rsidR="00094627">
        <w:t>,</w:t>
      </w:r>
      <w:r w:rsidRPr="004413D4">
        <w:t xml:space="preserve"> J</w:t>
      </w:r>
      <w:r w:rsidR="00094627">
        <w:t>ournal of</w:t>
      </w:r>
      <w:r w:rsidRPr="004413D4">
        <w:t xml:space="preserve"> Environ</w:t>
      </w:r>
      <w:r w:rsidR="00094627">
        <w:t>mental</w:t>
      </w:r>
      <w:r w:rsidRPr="004413D4">
        <w:t xml:space="preserve"> Manage</w:t>
      </w:r>
      <w:r w:rsidR="00094627">
        <w:t xml:space="preserve">ment, </w:t>
      </w:r>
      <w:r w:rsidRPr="004413D4">
        <w:t>197</w:t>
      </w:r>
      <w:r w:rsidR="00094627">
        <w:t xml:space="preserve">, </w:t>
      </w:r>
      <w:r w:rsidRPr="004413D4">
        <w:t>177-198</w:t>
      </w:r>
      <w:r w:rsidR="00362B20">
        <w:t>.</w:t>
      </w:r>
    </w:p>
    <w:p w14:paraId="4F7D4C76" w14:textId="07139246" w:rsidR="00CC667C" w:rsidRDefault="004836B4" w:rsidP="004855AC">
      <w:pPr>
        <w:pStyle w:val="CETReferencetext"/>
      </w:pPr>
      <w:r w:rsidRPr="004836B4">
        <w:t>Akhtar J., Saidina Amin N., 2012, A review on operating parameters for optimum liquid oil yield in biomass pyrolysis, Renewable and Sustainable Energy Reviews, 16(7), 5101-5109.</w:t>
      </w:r>
    </w:p>
    <w:p w14:paraId="7C14DEF7" w14:textId="7B5D55C2" w:rsidR="0082595A" w:rsidRDefault="0082595A" w:rsidP="0082595A">
      <w:pPr>
        <w:pStyle w:val="CETReferencetext"/>
      </w:pPr>
      <w:r w:rsidRPr="0082595A">
        <w:t xml:space="preserve">Collard F.-X., Blin J., </w:t>
      </w:r>
      <w:proofErr w:type="spellStart"/>
      <w:r w:rsidRPr="0082595A">
        <w:t>Bensakhria</w:t>
      </w:r>
      <w:proofErr w:type="spellEnd"/>
      <w:r w:rsidRPr="0082595A">
        <w:t xml:space="preserve"> A., Valette J., 2012, Influence of impregnated metal on the pyrolysis conversion of biomass constituents, Journal of Analytical and Applied Pyrolysis, 95, 213-226.</w:t>
      </w:r>
    </w:p>
    <w:p w14:paraId="64E23B06" w14:textId="1806F31F" w:rsidR="004B32F0" w:rsidRDefault="004B32F0" w:rsidP="004B32F0">
      <w:pPr>
        <w:pStyle w:val="CETReferencetext"/>
      </w:pPr>
      <w:r>
        <w:t>Ji M., Chen L., Que J., Zheng L., Chen Z., Wu Z., 2020, Effects of transition metal oxides on pyrolysis properties of PVC, Process Safety and Environmental Protection, 140, 211-220</w:t>
      </w:r>
      <w:r w:rsidR="00362B20">
        <w:t>.</w:t>
      </w:r>
    </w:p>
    <w:p w14:paraId="33A71312" w14:textId="477C89B6" w:rsidR="00E75FD4" w:rsidRDefault="0082595A" w:rsidP="004B32F0">
      <w:pPr>
        <w:pStyle w:val="CETReferencetext"/>
      </w:pPr>
      <w:r w:rsidRPr="0082595A">
        <w:t>Kylar</w:t>
      </w:r>
      <w:r w:rsidR="00BD0DE4">
        <w:t xml:space="preserve"> </w:t>
      </w:r>
      <w:r w:rsidRPr="0082595A">
        <w:t>mack, 2023, 65 Metals and Alloys Ranked by Cost Per Ounce</w:t>
      </w:r>
      <w:r w:rsidR="00FB6A37">
        <w:t xml:space="preserve"> </w:t>
      </w:r>
      <w:r w:rsidR="002A58BB" w:rsidRPr="002A58BB">
        <w:t>&lt;</w:t>
      </w:r>
      <w:r w:rsidR="00EE6D19" w:rsidRPr="00EE6D19">
        <w:t>kylarmack.com/blogs/news/65-metals-and-alloys-ranked-by-cost-per-ounce</w:t>
      </w:r>
      <w:r w:rsidR="00EE6D19">
        <w:t>&gt;</w:t>
      </w:r>
      <w:r w:rsidR="002A58BB" w:rsidRPr="002A58BB">
        <w:t xml:space="preserve"> accessed </w:t>
      </w:r>
      <w:r w:rsidR="002A58BB">
        <w:t>10</w:t>
      </w:r>
      <w:r w:rsidR="002A58BB" w:rsidRPr="002A58BB">
        <w:t>.1</w:t>
      </w:r>
      <w:r w:rsidR="002A58BB">
        <w:t>2</w:t>
      </w:r>
      <w:r w:rsidR="002A58BB" w:rsidRPr="002A58BB">
        <w:t>.2024</w:t>
      </w:r>
      <w:r w:rsidR="00362B20">
        <w:t>.</w:t>
      </w:r>
    </w:p>
    <w:p w14:paraId="6C832D2E" w14:textId="0DF190DF" w:rsidR="00A04D8D" w:rsidRDefault="00A04D8D" w:rsidP="00A04D8D">
      <w:pPr>
        <w:pStyle w:val="CETReferencetext"/>
      </w:pPr>
      <w:r w:rsidRPr="00A04D8D">
        <w:t xml:space="preserve">Malik W., Tafoya J.P.V., Doszczeczko S., </w:t>
      </w:r>
      <w:proofErr w:type="spellStart"/>
      <w:r w:rsidRPr="00A04D8D">
        <w:t>Sobrido</w:t>
      </w:r>
      <w:proofErr w:type="spellEnd"/>
      <w:r w:rsidRPr="00A04D8D">
        <w:t xml:space="preserve"> J., </w:t>
      </w:r>
      <w:proofErr w:type="spellStart"/>
      <w:r w:rsidRPr="00A04D8D">
        <w:t>Skoulou</w:t>
      </w:r>
      <w:proofErr w:type="spellEnd"/>
      <w:r w:rsidRPr="00A04D8D">
        <w:t xml:space="preserve"> V.K., Boa A.N., Zhang Q., Ramirez Reina T., Volpe R., 2023, Synthesis of a graphene-encapsulated Fe3C/Fe catalyst supported on sporopollenin exine capsules and its use for the reverse water–gas shift reaction, ACS Sustainable Chemistry &amp; Engineering, 11(44), 15795-15807.</w:t>
      </w:r>
    </w:p>
    <w:p w14:paraId="0D2924C4" w14:textId="0B528F5A" w:rsidR="00A04D8D" w:rsidRDefault="00A04D8D" w:rsidP="00094627">
      <w:pPr>
        <w:pStyle w:val="CETReferencetext"/>
      </w:pPr>
      <w:r w:rsidRPr="00A04D8D">
        <w:t xml:space="preserve">Marchetti L., Guastaferro M., </w:t>
      </w:r>
      <w:proofErr w:type="spellStart"/>
      <w:r w:rsidRPr="00A04D8D">
        <w:t>Annunzi</w:t>
      </w:r>
      <w:proofErr w:type="spellEnd"/>
      <w:r w:rsidRPr="00A04D8D">
        <w:t xml:space="preserve"> F., Tognotti L., Nicolella C., Vaccari M., 2024, Two-stage thermal pyrolysis of plastic solid waste: Set-up and operative conditions investigation for gaseous fuel production, Waste Management, 179, 77-86.</w:t>
      </w:r>
    </w:p>
    <w:p w14:paraId="0EF2FC06" w14:textId="3EA59EAE" w:rsidR="00C33B5C" w:rsidRDefault="00C33B5C" w:rsidP="00C33B5C">
      <w:pPr>
        <w:pStyle w:val="CETReferencetext"/>
      </w:pPr>
      <w:proofErr w:type="spellStart"/>
      <w:r w:rsidRPr="00C33B5C">
        <w:t>Monlau</w:t>
      </w:r>
      <w:proofErr w:type="spellEnd"/>
      <w:r w:rsidRPr="00C33B5C">
        <w:t xml:space="preserve"> F., Francavilla M., </w:t>
      </w:r>
      <w:proofErr w:type="spellStart"/>
      <w:r w:rsidRPr="00C33B5C">
        <w:t>Sambusiti</w:t>
      </w:r>
      <w:proofErr w:type="spellEnd"/>
      <w:r w:rsidRPr="00C33B5C">
        <w:t xml:space="preserve"> C., Antoniou N., </w:t>
      </w:r>
      <w:proofErr w:type="spellStart"/>
      <w:r w:rsidRPr="00C33B5C">
        <w:t>Solhy</w:t>
      </w:r>
      <w:proofErr w:type="spellEnd"/>
      <w:r w:rsidRPr="00C33B5C">
        <w:t xml:space="preserve"> A., Libutti A., </w:t>
      </w:r>
      <w:proofErr w:type="spellStart"/>
      <w:r w:rsidRPr="00C33B5C">
        <w:t>Zabaniotou</w:t>
      </w:r>
      <w:proofErr w:type="spellEnd"/>
      <w:r w:rsidRPr="00C33B5C">
        <w:t xml:space="preserve"> A., Barakat A., Monteleone M., 2016, </w:t>
      </w:r>
      <w:r>
        <w:t xml:space="preserve">Toward a functional integration of anaerobic digestion and pyrolysis for a sustainable resource management. Comparison between solid-digestate and its derived </w:t>
      </w:r>
      <w:proofErr w:type="spellStart"/>
      <w:r>
        <w:t>pyrochar</w:t>
      </w:r>
      <w:proofErr w:type="spellEnd"/>
      <w:r>
        <w:t xml:space="preserve"> as soil amendment, Applied Energy, 169, 652-662</w:t>
      </w:r>
      <w:r w:rsidR="00362B20">
        <w:t>.</w:t>
      </w:r>
    </w:p>
    <w:p w14:paraId="77C9E34D" w14:textId="2EFB4B2D" w:rsidR="00A04D8D" w:rsidRDefault="00A04D8D" w:rsidP="00600535">
      <w:pPr>
        <w:pStyle w:val="CETReferencetext"/>
      </w:pPr>
      <w:r w:rsidRPr="00A04D8D">
        <w:t xml:space="preserve">Taghavi N., Abeykoon </w:t>
      </w:r>
      <w:proofErr w:type="spellStart"/>
      <w:r w:rsidRPr="00A04D8D">
        <w:t>Udugama</w:t>
      </w:r>
      <w:proofErr w:type="spellEnd"/>
      <w:r w:rsidRPr="00A04D8D">
        <w:t xml:space="preserve"> I., Zhuang W.-Q., </w:t>
      </w:r>
      <w:proofErr w:type="spellStart"/>
      <w:r w:rsidRPr="00A04D8D">
        <w:t>Baroutian</w:t>
      </w:r>
      <w:proofErr w:type="spellEnd"/>
      <w:r w:rsidRPr="00A04D8D">
        <w:t xml:space="preserve"> S., 2021, Challenges in biodegradation of non-degradable thermoplastic waste: </w:t>
      </w:r>
      <w:r>
        <w:t>f</w:t>
      </w:r>
      <w:r w:rsidRPr="00A04D8D">
        <w:t>rom environmental impact to operational readiness, Biotechnology Advances, 49, 107731.</w:t>
      </w:r>
    </w:p>
    <w:p w14:paraId="241430A0" w14:textId="77B463DB" w:rsidR="00A04D8D" w:rsidRDefault="00A04D8D" w:rsidP="00BD0DE4">
      <w:pPr>
        <w:pStyle w:val="CETReferencetext"/>
      </w:pPr>
      <w:r w:rsidRPr="00A04D8D">
        <w:t>Xia S., Yang H., Lei S., Lu W., Cai N., Xiao H., Chen Y., Chen H., 2023, Iron salt catalytic pyrolysis of biomass: Influence of iron salt type, Energy, 262, 125415.</w:t>
      </w:r>
    </w:p>
    <w:sectPr w:rsidR="00A04D8D" w:rsidSect="00DC73EE">
      <w:type w:val="continuous"/>
      <w:pgSz w:w="11906" w:h="16838" w:code="9"/>
      <w:pgMar w:top="1701" w:right="1418" w:bottom="1701" w:left="1701" w:header="1701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97C638" w14:textId="77777777" w:rsidR="00016595" w:rsidRDefault="00016595" w:rsidP="004F5E36">
      <w:r>
        <w:separator/>
      </w:r>
    </w:p>
  </w:endnote>
  <w:endnote w:type="continuationSeparator" w:id="0">
    <w:p w14:paraId="179947BC" w14:textId="77777777" w:rsidR="00016595" w:rsidRDefault="00016595" w:rsidP="004F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dvP6960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679CE4" w14:textId="77777777" w:rsidR="00016595" w:rsidRDefault="00016595" w:rsidP="004F5E36">
      <w:r>
        <w:separator/>
      </w:r>
    </w:p>
  </w:footnote>
  <w:footnote w:type="continuationSeparator" w:id="0">
    <w:p w14:paraId="45BC4F3A" w14:textId="77777777" w:rsidR="00016595" w:rsidRDefault="00016595" w:rsidP="004F5E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58AF15E"/>
    <w:lvl w:ilvl="0">
      <w:start w:val="1"/>
      <w:numFmt w:val="decimal"/>
      <w:pStyle w:val="Numeroelenc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5EC884E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8CBE96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C0B388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34EB48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5C6BD6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7A9968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D27934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F4206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6ACE1A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266B64"/>
    <w:multiLevelType w:val="hybridMultilevel"/>
    <w:tmpl w:val="059214A0"/>
    <w:lvl w:ilvl="0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438217E"/>
    <w:multiLevelType w:val="multilevel"/>
    <w:tmpl w:val="F17228D6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ellasemplice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330B7370"/>
    <w:multiLevelType w:val="hybridMultilevel"/>
    <w:tmpl w:val="12E2AD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1E0394"/>
    <w:multiLevelType w:val="hybridMultilevel"/>
    <w:tmpl w:val="806658E2"/>
    <w:lvl w:ilvl="0" w:tplc="14B0F7A8">
      <w:start w:val="1"/>
      <w:numFmt w:val="bullet"/>
      <w:pStyle w:val="CETnumberingbullets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C329B9"/>
    <w:multiLevelType w:val="hybridMultilevel"/>
    <w:tmpl w:val="A2E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B100E8"/>
    <w:multiLevelType w:val="hybridMultilevel"/>
    <w:tmpl w:val="6F34C070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A87BA7"/>
    <w:multiLevelType w:val="hybridMultilevel"/>
    <w:tmpl w:val="1F6A8AD4"/>
    <w:lvl w:ilvl="0" w:tplc="14B0F7A8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217387"/>
    <w:multiLevelType w:val="hybridMultilevel"/>
    <w:tmpl w:val="C2AE185A"/>
    <w:lvl w:ilvl="0" w:tplc="14090011">
      <w:start w:val="1"/>
      <w:numFmt w:val="decimal"/>
      <w:lvlText w:val="%1)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2015B5"/>
    <w:multiLevelType w:val="hybridMultilevel"/>
    <w:tmpl w:val="CCDE09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65266D"/>
    <w:multiLevelType w:val="hybridMultilevel"/>
    <w:tmpl w:val="F5BE3C4A"/>
    <w:lvl w:ilvl="0" w:tplc="9FC4D28C">
      <w:start w:val="1"/>
      <w:numFmt w:val="lowerLetter"/>
      <w:pStyle w:val="CETnumberinga"/>
      <w:lvlText w:val="%1.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6882765">
    <w:abstractNumId w:val="11"/>
  </w:num>
  <w:num w:numId="2" w16cid:durableId="1954094313">
    <w:abstractNumId w:val="8"/>
  </w:num>
  <w:num w:numId="3" w16cid:durableId="2001083081">
    <w:abstractNumId w:val="3"/>
  </w:num>
  <w:num w:numId="4" w16cid:durableId="665287687">
    <w:abstractNumId w:val="2"/>
  </w:num>
  <w:num w:numId="5" w16cid:durableId="1763211618">
    <w:abstractNumId w:val="1"/>
  </w:num>
  <w:num w:numId="6" w16cid:durableId="733351894">
    <w:abstractNumId w:val="0"/>
  </w:num>
  <w:num w:numId="7" w16cid:durableId="1265187038">
    <w:abstractNumId w:val="9"/>
  </w:num>
  <w:num w:numId="8" w16cid:durableId="458382672">
    <w:abstractNumId w:val="7"/>
  </w:num>
  <w:num w:numId="9" w16cid:durableId="652636510">
    <w:abstractNumId w:val="6"/>
  </w:num>
  <w:num w:numId="10" w16cid:durableId="1972591888">
    <w:abstractNumId w:val="5"/>
  </w:num>
  <w:num w:numId="11" w16cid:durableId="1179278139">
    <w:abstractNumId w:val="4"/>
  </w:num>
  <w:num w:numId="12" w16cid:durableId="1575509198">
    <w:abstractNumId w:val="18"/>
  </w:num>
  <w:num w:numId="13" w16cid:durableId="695733619">
    <w:abstractNumId w:val="13"/>
  </w:num>
  <w:num w:numId="14" w16cid:durableId="145903400">
    <w:abstractNumId w:val="19"/>
  </w:num>
  <w:num w:numId="15" w16cid:durableId="19162326">
    <w:abstractNumId w:val="21"/>
  </w:num>
  <w:num w:numId="16" w16cid:durableId="1977102699">
    <w:abstractNumId w:val="20"/>
  </w:num>
  <w:num w:numId="17" w16cid:durableId="860774865">
    <w:abstractNumId w:val="12"/>
  </w:num>
  <w:num w:numId="18" w16cid:durableId="313221457">
    <w:abstractNumId w:val="13"/>
    <w:lvlOverride w:ilvl="0">
      <w:startOverride w:val="1"/>
    </w:lvlOverride>
  </w:num>
  <w:num w:numId="19" w16cid:durableId="534971577">
    <w:abstractNumId w:val="17"/>
  </w:num>
  <w:num w:numId="20" w16cid:durableId="1150947773">
    <w:abstractNumId w:val="16"/>
  </w:num>
  <w:num w:numId="21" w16cid:durableId="124660497">
    <w:abstractNumId w:val="15"/>
  </w:num>
  <w:num w:numId="22" w16cid:durableId="2099861471">
    <w:abstractNumId w:val="14"/>
  </w:num>
  <w:num w:numId="23" w16cid:durableId="843513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autoFormatOverride/>
  <w:styleLockTheme/>
  <w:styleLockQFSet/>
  <w:defaultTabStop w:val="708"/>
  <w:hyphenationZone w:val="283"/>
  <w:clickAndTypeStyle w:val="CETBodytext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I0NzezsDA3M7MwMTJW0lEKTi0uzszPAymwrAUAugS3IywAAAA="/>
  </w:docVars>
  <w:rsids>
    <w:rsidRoot w:val="000E414A"/>
    <w:rsid w:val="000027C0"/>
    <w:rsid w:val="000052FB"/>
    <w:rsid w:val="00005A19"/>
    <w:rsid w:val="00011689"/>
    <w:rsid w:val="000117CB"/>
    <w:rsid w:val="000128F9"/>
    <w:rsid w:val="0001419E"/>
    <w:rsid w:val="00015530"/>
    <w:rsid w:val="000164C1"/>
    <w:rsid w:val="00016595"/>
    <w:rsid w:val="000245CD"/>
    <w:rsid w:val="0003148D"/>
    <w:rsid w:val="00031EEC"/>
    <w:rsid w:val="00036C8B"/>
    <w:rsid w:val="00037B59"/>
    <w:rsid w:val="00037B83"/>
    <w:rsid w:val="00043523"/>
    <w:rsid w:val="00044487"/>
    <w:rsid w:val="00051566"/>
    <w:rsid w:val="00053FA8"/>
    <w:rsid w:val="000562A9"/>
    <w:rsid w:val="00056A08"/>
    <w:rsid w:val="00061735"/>
    <w:rsid w:val="00062A9A"/>
    <w:rsid w:val="00065058"/>
    <w:rsid w:val="00072444"/>
    <w:rsid w:val="00076350"/>
    <w:rsid w:val="00086C39"/>
    <w:rsid w:val="00091FD2"/>
    <w:rsid w:val="00094554"/>
    <w:rsid w:val="00094627"/>
    <w:rsid w:val="000A03B2"/>
    <w:rsid w:val="000A7ABB"/>
    <w:rsid w:val="000B4AE0"/>
    <w:rsid w:val="000C2A5C"/>
    <w:rsid w:val="000C3FC9"/>
    <w:rsid w:val="000C4475"/>
    <w:rsid w:val="000C56F6"/>
    <w:rsid w:val="000C5B4A"/>
    <w:rsid w:val="000D0268"/>
    <w:rsid w:val="000D2B58"/>
    <w:rsid w:val="000D3201"/>
    <w:rsid w:val="000D34BE"/>
    <w:rsid w:val="000E0B3C"/>
    <w:rsid w:val="000E102F"/>
    <w:rsid w:val="000E2459"/>
    <w:rsid w:val="000E36F1"/>
    <w:rsid w:val="000E3A73"/>
    <w:rsid w:val="000E414A"/>
    <w:rsid w:val="000E585A"/>
    <w:rsid w:val="000E75FD"/>
    <w:rsid w:val="000F093C"/>
    <w:rsid w:val="000F31D4"/>
    <w:rsid w:val="000F7585"/>
    <w:rsid w:val="000F787B"/>
    <w:rsid w:val="00105789"/>
    <w:rsid w:val="0010685C"/>
    <w:rsid w:val="001134DF"/>
    <w:rsid w:val="00113649"/>
    <w:rsid w:val="00116E2A"/>
    <w:rsid w:val="0012091F"/>
    <w:rsid w:val="00120E37"/>
    <w:rsid w:val="001211B5"/>
    <w:rsid w:val="001233E3"/>
    <w:rsid w:val="0012460C"/>
    <w:rsid w:val="00124BF1"/>
    <w:rsid w:val="00126BC2"/>
    <w:rsid w:val="0013067A"/>
    <w:rsid w:val="001308B6"/>
    <w:rsid w:val="0013121F"/>
    <w:rsid w:val="00131F53"/>
    <w:rsid w:val="00131FE6"/>
    <w:rsid w:val="0013263F"/>
    <w:rsid w:val="001331DF"/>
    <w:rsid w:val="00133940"/>
    <w:rsid w:val="00134DE4"/>
    <w:rsid w:val="0014034D"/>
    <w:rsid w:val="00140FE3"/>
    <w:rsid w:val="00144D16"/>
    <w:rsid w:val="00150E59"/>
    <w:rsid w:val="00152DE3"/>
    <w:rsid w:val="00155F8F"/>
    <w:rsid w:val="00156A70"/>
    <w:rsid w:val="00164CF9"/>
    <w:rsid w:val="0016668E"/>
    <w:rsid w:val="001667A6"/>
    <w:rsid w:val="00172792"/>
    <w:rsid w:val="00172B2F"/>
    <w:rsid w:val="00173E7A"/>
    <w:rsid w:val="00175DF2"/>
    <w:rsid w:val="00177C82"/>
    <w:rsid w:val="0018171E"/>
    <w:rsid w:val="00184AD6"/>
    <w:rsid w:val="0019337E"/>
    <w:rsid w:val="00196D22"/>
    <w:rsid w:val="001A4AF7"/>
    <w:rsid w:val="001B0349"/>
    <w:rsid w:val="001B14DD"/>
    <w:rsid w:val="001B1E93"/>
    <w:rsid w:val="001B3744"/>
    <w:rsid w:val="001B65C1"/>
    <w:rsid w:val="001C1544"/>
    <w:rsid w:val="001C260F"/>
    <w:rsid w:val="001C3FA3"/>
    <w:rsid w:val="001C4F28"/>
    <w:rsid w:val="001C5C3A"/>
    <w:rsid w:val="001C684B"/>
    <w:rsid w:val="001D0CFB"/>
    <w:rsid w:val="001D21AF"/>
    <w:rsid w:val="001D3D32"/>
    <w:rsid w:val="001D53FC"/>
    <w:rsid w:val="001D7709"/>
    <w:rsid w:val="001E28AB"/>
    <w:rsid w:val="001E5D13"/>
    <w:rsid w:val="001E72DF"/>
    <w:rsid w:val="001F42A5"/>
    <w:rsid w:val="001F4D6F"/>
    <w:rsid w:val="001F64A9"/>
    <w:rsid w:val="001F7B9D"/>
    <w:rsid w:val="00201C93"/>
    <w:rsid w:val="002044FA"/>
    <w:rsid w:val="00205E62"/>
    <w:rsid w:val="00207CBD"/>
    <w:rsid w:val="002120CB"/>
    <w:rsid w:val="002128FD"/>
    <w:rsid w:val="00213635"/>
    <w:rsid w:val="002224B4"/>
    <w:rsid w:val="002270DB"/>
    <w:rsid w:val="00241B8F"/>
    <w:rsid w:val="00242E83"/>
    <w:rsid w:val="002447EF"/>
    <w:rsid w:val="00245AE0"/>
    <w:rsid w:val="00246F44"/>
    <w:rsid w:val="00251550"/>
    <w:rsid w:val="00252F35"/>
    <w:rsid w:val="00254BCD"/>
    <w:rsid w:val="0025703C"/>
    <w:rsid w:val="00262CE4"/>
    <w:rsid w:val="00263704"/>
    <w:rsid w:val="00263B05"/>
    <w:rsid w:val="0026751A"/>
    <w:rsid w:val="00270243"/>
    <w:rsid w:val="00271FBA"/>
    <w:rsid w:val="0027221A"/>
    <w:rsid w:val="00275B61"/>
    <w:rsid w:val="00280FAF"/>
    <w:rsid w:val="00282656"/>
    <w:rsid w:val="00287776"/>
    <w:rsid w:val="00293408"/>
    <w:rsid w:val="00296B83"/>
    <w:rsid w:val="002A58BB"/>
    <w:rsid w:val="002A724C"/>
    <w:rsid w:val="002A762A"/>
    <w:rsid w:val="002B4015"/>
    <w:rsid w:val="002B78CE"/>
    <w:rsid w:val="002C1CA6"/>
    <w:rsid w:val="002C2AA9"/>
    <w:rsid w:val="002C2FB6"/>
    <w:rsid w:val="002D62C3"/>
    <w:rsid w:val="002D68DE"/>
    <w:rsid w:val="002E1C79"/>
    <w:rsid w:val="002E5FA7"/>
    <w:rsid w:val="002E67A8"/>
    <w:rsid w:val="002F13D2"/>
    <w:rsid w:val="002F3309"/>
    <w:rsid w:val="003008CE"/>
    <w:rsid w:val="003009B7"/>
    <w:rsid w:val="00300E56"/>
    <w:rsid w:val="0030152C"/>
    <w:rsid w:val="0030469C"/>
    <w:rsid w:val="00304CE8"/>
    <w:rsid w:val="003068F7"/>
    <w:rsid w:val="00307B7A"/>
    <w:rsid w:val="00321CA6"/>
    <w:rsid w:val="00322BD3"/>
    <w:rsid w:val="00323763"/>
    <w:rsid w:val="00323C5F"/>
    <w:rsid w:val="00332B2C"/>
    <w:rsid w:val="00334C09"/>
    <w:rsid w:val="003421BE"/>
    <w:rsid w:val="00346105"/>
    <w:rsid w:val="00347B88"/>
    <w:rsid w:val="003503C1"/>
    <w:rsid w:val="00350508"/>
    <w:rsid w:val="00354416"/>
    <w:rsid w:val="0036049F"/>
    <w:rsid w:val="0036142A"/>
    <w:rsid w:val="00362B20"/>
    <w:rsid w:val="00362F50"/>
    <w:rsid w:val="003650D4"/>
    <w:rsid w:val="003723D4"/>
    <w:rsid w:val="00373F41"/>
    <w:rsid w:val="00374665"/>
    <w:rsid w:val="00375814"/>
    <w:rsid w:val="0038063A"/>
    <w:rsid w:val="00381905"/>
    <w:rsid w:val="00384A01"/>
    <w:rsid w:val="00384CC8"/>
    <w:rsid w:val="003871FD"/>
    <w:rsid w:val="00390F48"/>
    <w:rsid w:val="003912E1"/>
    <w:rsid w:val="003A1E30"/>
    <w:rsid w:val="003A2829"/>
    <w:rsid w:val="003A3859"/>
    <w:rsid w:val="003A39BC"/>
    <w:rsid w:val="003A7D1C"/>
    <w:rsid w:val="003B04F0"/>
    <w:rsid w:val="003B0920"/>
    <w:rsid w:val="003B304B"/>
    <w:rsid w:val="003B3146"/>
    <w:rsid w:val="003B49CD"/>
    <w:rsid w:val="003C32AB"/>
    <w:rsid w:val="003C4067"/>
    <w:rsid w:val="003D1E02"/>
    <w:rsid w:val="003D3E1C"/>
    <w:rsid w:val="003D625C"/>
    <w:rsid w:val="003F015E"/>
    <w:rsid w:val="003F6400"/>
    <w:rsid w:val="00400414"/>
    <w:rsid w:val="00401100"/>
    <w:rsid w:val="00404494"/>
    <w:rsid w:val="00406E81"/>
    <w:rsid w:val="0041446B"/>
    <w:rsid w:val="00415416"/>
    <w:rsid w:val="004163EB"/>
    <w:rsid w:val="004206BF"/>
    <w:rsid w:val="00421EF7"/>
    <w:rsid w:val="00422D03"/>
    <w:rsid w:val="00436AC7"/>
    <w:rsid w:val="0044071E"/>
    <w:rsid w:val="00440FEB"/>
    <w:rsid w:val="004413D4"/>
    <w:rsid w:val="00442104"/>
    <w:rsid w:val="0044329C"/>
    <w:rsid w:val="00447FAD"/>
    <w:rsid w:val="00453E24"/>
    <w:rsid w:val="00456C35"/>
    <w:rsid w:val="00457456"/>
    <w:rsid w:val="004577FE"/>
    <w:rsid w:val="00457B9C"/>
    <w:rsid w:val="0046164A"/>
    <w:rsid w:val="004628D2"/>
    <w:rsid w:val="00462DCD"/>
    <w:rsid w:val="004648AD"/>
    <w:rsid w:val="004703A9"/>
    <w:rsid w:val="00470E8B"/>
    <w:rsid w:val="0047374A"/>
    <w:rsid w:val="00473E83"/>
    <w:rsid w:val="004760DE"/>
    <w:rsid w:val="004763D7"/>
    <w:rsid w:val="004779B9"/>
    <w:rsid w:val="004836B4"/>
    <w:rsid w:val="004855AC"/>
    <w:rsid w:val="004870A7"/>
    <w:rsid w:val="0048764A"/>
    <w:rsid w:val="00495D0F"/>
    <w:rsid w:val="004962A1"/>
    <w:rsid w:val="004A004E"/>
    <w:rsid w:val="004A24CF"/>
    <w:rsid w:val="004A5037"/>
    <w:rsid w:val="004A622F"/>
    <w:rsid w:val="004A7D46"/>
    <w:rsid w:val="004B1613"/>
    <w:rsid w:val="004B2802"/>
    <w:rsid w:val="004B32F0"/>
    <w:rsid w:val="004B69C9"/>
    <w:rsid w:val="004C3D1D"/>
    <w:rsid w:val="004C3D84"/>
    <w:rsid w:val="004C6E30"/>
    <w:rsid w:val="004C7913"/>
    <w:rsid w:val="004E0FED"/>
    <w:rsid w:val="004E3146"/>
    <w:rsid w:val="004E4DD6"/>
    <w:rsid w:val="004F5E36"/>
    <w:rsid w:val="005021D9"/>
    <w:rsid w:val="00507B47"/>
    <w:rsid w:val="00507BEF"/>
    <w:rsid w:val="00507CC9"/>
    <w:rsid w:val="005119A5"/>
    <w:rsid w:val="005200AE"/>
    <w:rsid w:val="00520C51"/>
    <w:rsid w:val="005278B7"/>
    <w:rsid w:val="00532016"/>
    <w:rsid w:val="00533128"/>
    <w:rsid w:val="00534687"/>
    <w:rsid w:val="005346C8"/>
    <w:rsid w:val="00534CF5"/>
    <w:rsid w:val="005360F3"/>
    <w:rsid w:val="00542E90"/>
    <w:rsid w:val="00543E7D"/>
    <w:rsid w:val="005463F6"/>
    <w:rsid w:val="00546DD2"/>
    <w:rsid w:val="00547A68"/>
    <w:rsid w:val="00550FDA"/>
    <w:rsid w:val="005531C9"/>
    <w:rsid w:val="00554879"/>
    <w:rsid w:val="00557AC8"/>
    <w:rsid w:val="00562B3F"/>
    <w:rsid w:val="005649B7"/>
    <w:rsid w:val="0056683A"/>
    <w:rsid w:val="00567DC8"/>
    <w:rsid w:val="00570C43"/>
    <w:rsid w:val="00571D5B"/>
    <w:rsid w:val="00574E41"/>
    <w:rsid w:val="005819C6"/>
    <w:rsid w:val="00583AC7"/>
    <w:rsid w:val="00587D97"/>
    <w:rsid w:val="00592274"/>
    <w:rsid w:val="00595011"/>
    <w:rsid w:val="00595E5C"/>
    <w:rsid w:val="005A1390"/>
    <w:rsid w:val="005A5F78"/>
    <w:rsid w:val="005B1587"/>
    <w:rsid w:val="005B1A38"/>
    <w:rsid w:val="005B2110"/>
    <w:rsid w:val="005B214B"/>
    <w:rsid w:val="005B29BC"/>
    <w:rsid w:val="005B350B"/>
    <w:rsid w:val="005B4AEB"/>
    <w:rsid w:val="005B61E6"/>
    <w:rsid w:val="005C2197"/>
    <w:rsid w:val="005C77E1"/>
    <w:rsid w:val="005D1324"/>
    <w:rsid w:val="005D668A"/>
    <w:rsid w:val="005D6A2F"/>
    <w:rsid w:val="005D6F65"/>
    <w:rsid w:val="005D7B5D"/>
    <w:rsid w:val="005E0592"/>
    <w:rsid w:val="005E0BFB"/>
    <w:rsid w:val="005E1A82"/>
    <w:rsid w:val="005E23AD"/>
    <w:rsid w:val="005E4229"/>
    <w:rsid w:val="005E5281"/>
    <w:rsid w:val="005E794C"/>
    <w:rsid w:val="005E7FCF"/>
    <w:rsid w:val="005F0A28"/>
    <w:rsid w:val="005F0E5E"/>
    <w:rsid w:val="005F11C0"/>
    <w:rsid w:val="005F2CC0"/>
    <w:rsid w:val="005F3010"/>
    <w:rsid w:val="00600535"/>
    <w:rsid w:val="00602F6D"/>
    <w:rsid w:val="00603FE8"/>
    <w:rsid w:val="00610CD6"/>
    <w:rsid w:val="006112B3"/>
    <w:rsid w:val="00620DEE"/>
    <w:rsid w:val="00621F92"/>
    <w:rsid w:val="0062280A"/>
    <w:rsid w:val="006231E1"/>
    <w:rsid w:val="00625639"/>
    <w:rsid w:val="00626342"/>
    <w:rsid w:val="00626637"/>
    <w:rsid w:val="00631449"/>
    <w:rsid w:val="00631A79"/>
    <w:rsid w:val="00631B33"/>
    <w:rsid w:val="00636112"/>
    <w:rsid w:val="006375A4"/>
    <w:rsid w:val="006400BD"/>
    <w:rsid w:val="00641399"/>
    <w:rsid w:val="0064184D"/>
    <w:rsid w:val="006422CC"/>
    <w:rsid w:val="006437A8"/>
    <w:rsid w:val="00651A6D"/>
    <w:rsid w:val="00651D18"/>
    <w:rsid w:val="006534A6"/>
    <w:rsid w:val="00656A02"/>
    <w:rsid w:val="00660E3E"/>
    <w:rsid w:val="00662E74"/>
    <w:rsid w:val="00663254"/>
    <w:rsid w:val="00665596"/>
    <w:rsid w:val="00673C3F"/>
    <w:rsid w:val="00680C23"/>
    <w:rsid w:val="00683E23"/>
    <w:rsid w:val="00683E9B"/>
    <w:rsid w:val="00686D3A"/>
    <w:rsid w:val="006917E6"/>
    <w:rsid w:val="00693766"/>
    <w:rsid w:val="00693BF1"/>
    <w:rsid w:val="006A1DE8"/>
    <w:rsid w:val="006A3281"/>
    <w:rsid w:val="006A4D93"/>
    <w:rsid w:val="006A6DE5"/>
    <w:rsid w:val="006B4888"/>
    <w:rsid w:val="006C2E45"/>
    <w:rsid w:val="006C359C"/>
    <w:rsid w:val="006C5579"/>
    <w:rsid w:val="006C7F7D"/>
    <w:rsid w:val="006D6E8B"/>
    <w:rsid w:val="006D7209"/>
    <w:rsid w:val="006E737D"/>
    <w:rsid w:val="006F2C2C"/>
    <w:rsid w:val="006F3FE5"/>
    <w:rsid w:val="006F43D6"/>
    <w:rsid w:val="00701BAB"/>
    <w:rsid w:val="00703E13"/>
    <w:rsid w:val="007055BD"/>
    <w:rsid w:val="00705E76"/>
    <w:rsid w:val="00707DD1"/>
    <w:rsid w:val="007138A1"/>
    <w:rsid w:val="00713973"/>
    <w:rsid w:val="00720A24"/>
    <w:rsid w:val="00731CBA"/>
    <w:rsid w:val="00732386"/>
    <w:rsid w:val="0073514D"/>
    <w:rsid w:val="007412BF"/>
    <w:rsid w:val="007447F3"/>
    <w:rsid w:val="00747605"/>
    <w:rsid w:val="007534C4"/>
    <w:rsid w:val="0075499F"/>
    <w:rsid w:val="00756809"/>
    <w:rsid w:val="00757C49"/>
    <w:rsid w:val="007601F8"/>
    <w:rsid w:val="00760EA4"/>
    <w:rsid w:val="00765D5A"/>
    <w:rsid w:val="00765EA5"/>
    <w:rsid w:val="007661C8"/>
    <w:rsid w:val="0077098D"/>
    <w:rsid w:val="00770F69"/>
    <w:rsid w:val="00775FC6"/>
    <w:rsid w:val="00780179"/>
    <w:rsid w:val="00785BF9"/>
    <w:rsid w:val="007912DA"/>
    <w:rsid w:val="007931FA"/>
    <w:rsid w:val="00793479"/>
    <w:rsid w:val="0079422F"/>
    <w:rsid w:val="00797C95"/>
    <w:rsid w:val="007A4861"/>
    <w:rsid w:val="007A7270"/>
    <w:rsid w:val="007A7BBA"/>
    <w:rsid w:val="007A7EDC"/>
    <w:rsid w:val="007B0C50"/>
    <w:rsid w:val="007B48F9"/>
    <w:rsid w:val="007B4C18"/>
    <w:rsid w:val="007C1546"/>
    <w:rsid w:val="007C1A43"/>
    <w:rsid w:val="007C45F5"/>
    <w:rsid w:val="007C4BC0"/>
    <w:rsid w:val="007D0951"/>
    <w:rsid w:val="007D38DA"/>
    <w:rsid w:val="007D610D"/>
    <w:rsid w:val="007E0A97"/>
    <w:rsid w:val="007E6B00"/>
    <w:rsid w:val="007F0631"/>
    <w:rsid w:val="007F1155"/>
    <w:rsid w:val="007F4EA7"/>
    <w:rsid w:val="007F7B53"/>
    <w:rsid w:val="0080013E"/>
    <w:rsid w:val="00801759"/>
    <w:rsid w:val="00807B71"/>
    <w:rsid w:val="00807D09"/>
    <w:rsid w:val="00813288"/>
    <w:rsid w:val="008161A0"/>
    <w:rsid w:val="008168FC"/>
    <w:rsid w:val="00820134"/>
    <w:rsid w:val="0082595A"/>
    <w:rsid w:val="00830996"/>
    <w:rsid w:val="0083268A"/>
    <w:rsid w:val="008345F1"/>
    <w:rsid w:val="00835F81"/>
    <w:rsid w:val="00840EB1"/>
    <w:rsid w:val="0085335F"/>
    <w:rsid w:val="0085678B"/>
    <w:rsid w:val="0085702B"/>
    <w:rsid w:val="0085759C"/>
    <w:rsid w:val="0086474A"/>
    <w:rsid w:val="00865B07"/>
    <w:rsid w:val="008667EA"/>
    <w:rsid w:val="008672B0"/>
    <w:rsid w:val="008738C8"/>
    <w:rsid w:val="00875BD6"/>
    <w:rsid w:val="0087637F"/>
    <w:rsid w:val="008851E9"/>
    <w:rsid w:val="0089193A"/>
    <w:rsid w:val="00892AD5"/>
    <w:rsid w:val="00894E36"/>
    <w:rsid w:val="00896253"/>
    <w:rsid w:val="008A1512"/>
    <w:rsid w:val="008B1886"/>
    <w:rsid w:val="008B6C1B"/>
    <w:rsid w:val="008C020A"/>
    <w:rsid w:val="008D178D"/>
    <w:rsid w:val="008D32B9"/>
    <w:rsid w:val="008D433B"/>
    <w:rsid w:val="008D4A16"/>
    <w:rsid w:val="008D7C7D"/>
    <w:rsid w:val="008E3E15"/>
    <w:rsid w:val="008E51F6"/>
    <w:rsid w:val="008E5401"/>
    <w:rsid w:val="008E566E"/>
    <w:rsid w:val="008F026E"/>
    <w:rsid w:val="0090085B"/>
    <w:rsid w:val="0090161A"/>
    <w:rsid w:val="00901EB6"/>
    <w:rsid w:val="009041F8"/>
    <w:rsid w:val="00904C62"/>
    <w:rsid w:val="009136CE"/>
    <w:rsid w:val="00922BA8"/>
    <w:rsid w:val="00924DAC"/>
    <w:rsid w:val="00926901"/>
    <w:rsid w:val="00926985"/>
    <w:rsid w:val="00926E39"/>
    <w:rsid w:val="00927058"/>
    <w:rsid w:val="0093207E"/>
    <w:rsid w:val="00932F23"/>
    <w:rsid w:val="00942750"/>
    <w:rsid w:val="00942A84"/>
    <w:rsid w:val="009450CE"/>
    <w:rsid w:val="009459BB"/>
    <w:rsid w:val="00947179"/>
    <w:rsid w:val="0095164B"/>
    <w:rsid w:val="00954090"/>
    <w:rsid w:val="009573E7"/>
    <w:rsid w:val="0096096E"/>
    <w:rsid w:val="00963E05"/>
    <w:rsid w:val="0096403E"/>
    <w:rsid w:val="00964A45"/>
    <w:rsid w:val="00965FB2"/>
    <w:rsid w:val="00967843"/>
    <w:rsid w:val="00967D54"/>
    <w:rsid w:val="00971028"/>
    <w:rsid w:val="009814B3"/>
    <w:rsid w:val="0098465C"/>
    <w:rsid w:val="00993321"/>
    <w:rsid w:val="00993B84"/>
    <w:rsid w:val="00994C6A"/>
    <w:rsid w:val="00996483"/>
    <w:rsid w:val="00996F5A"/>
    <w:rsid w:val="009A34A1"/>
    <w:rsid w:val="009A4AA5"/>
    <w:rsid w:val="009B041A"/>
    <w:rsid w:val="009B6E57"/>
    <w:rsid w:val="009C10E3"/>
    <w:rsid w:val="009C37C3"/>
    <w:rsid w:val="009C7C86"/>
    <w:rsid w:val="009D13EB"/>
    <w:rsid w:val="009D1ED5"/>
    <w:rsid w:val="009D2FF7"/>
    <w:rsid w:val="009D6D02"/>
    <w:rsid w:val="009E0D41"/>
    <w:rsid w:val="009E35EA"/>
    <w:rsid w:val="009E6825"/>
    <w:rsid w:val="009E7884"/>
    <w:rsid w:val="009E788A"/>
    <w:rsid w:val="009F0E08"/>
    <w:rsid w:val="00A04D8D"/>
    <w:rsid w:val="00A053CB"/>
    <w:rsid w:val="00A079AE"/>
    <w:rsid w:val="00A07B1A"/>
    <w:rsid w:val="00A149B0"/>
    <w:rsid w:val="00A1763D"/>
    <w:rsid w:val="00A178E7"/>
    <w:rsid w:val="00A17CEC"/>
    <w:rsid w:val="00A219CC"/>
    <w:rsid w:val="00A27EF0"/>
    <w:rsid w:val="00A36A47"/>
    <w:rsid w:val="00A42361"/>
    <w:rsid w:val="00A50B20"/>
    <w:rsid w:val="00A51390"/>
    <w:rsid w:val="00A528E1"/>
    <w:rsid w:val="00A53FE6"/>
    <w:rsid w:val="00A60D13"/>
    <w:rsid w:val="00A7223D"/>
    <w:rsid w:val="00A72745"/>
    <w:rsid w:val="00A76EFC"/>
    <w:rsid w:val="00A808E0"/>
    <w:rsid w:val="00A84C97"/>
    <w:rsid w:val="00A87D50"/>
    <w:rsid w:val="00A91010"/>
    <w:rsid w:val="00A97F29"/>
    <w:rsid w:val="00AA4337"/>
    <w:rsid w:val="00AA52B7"/>
    <w:rsid w:val="00AA702E"/>
    <w:rsid w:val="00AA7D26"/>
    <w:rsid w:val="00AB0964"/>
    <w:rsid w:val="00AB5011"/>
    <w:rsid w:val="00AB6369"/>
    <w:rsid w:val="00AB71D7"/>
    <w:rsid w:val="00AC3F83"/>
    <w:rsid w:val="00AC7368"/>
    <w:rsid w:val="00AD16B9"/>
    <w:rsid w:val="00AE377D"/>
    <w:rsid w:val="00AE3999"/>
    <w:rsid w:val="00AE6690"/>
    <w:rsid w:val="00AE7130"/>
    <w:rsid w:val="00AF04E8"/>
    <w:rsid w:val="00AF0EBA"/>
    <w:rsid w:val="00AF2463"/>
    <w:rsid w:val="00AF7A71"/>
    <w:rsid w:val="00B02C8A"/>
    <w:rsid w:val="00B11F59"/>
    <w:rsid w:val="00B15196"/>
    <w:rsid w:val="00B17F7A"/>
    <w:rsid w:val="00B17FBD"/>
    <w:rsid w:val="00B20E6E"/>
    <w:rsid w:val="00B24EB8"/>
    <w:rsid w:val="00B315A6"/>
    <w:rsid w:val="00B31813"/>
    <w:rsid w:val="00B33365"/>
    <w:rsid w:val="00B34F3A"/>
    <w:rsid w:val="00B37080"/>
    <w:rsid w:val="00B45ED1"/>
    <w:rsid w:val="00B539A7"/>
    <w:rsid w:val="00B56153"/>
    <w:rsid w:val="00B57B36"/>
    <w:rsid w:val="00B57E6F"/>
    <w:rsid w:val="00B60C93"/>
    <w:rsid w:val="00B70665"/>
    <w:rsid w:val="00B74667"/>
    <w:rsid w:val="00B8686D"/>
    <w:rsid w:val="00B93F69"/>
    <w:rsid w:val="00B960DF"/>
    <w:rsid w:val="00BA31EC"/>
    <w:rsid w:val="00BB1DDC"/>
    <w:rsid w:val="00BB449F"/>
    <w:rsid w:val="00BB4CEE"/>
    <w:rsid w:val="00BC30C9"/>
    <w:rsid w:val="00BD077D"/>
    <w:rsid w:val="00BD081B"/>
    <w:rsid w:val="00BD0DE4"/>
    <w:rsid w:val="00BD19BE"/>
    <w:rsid w:val="00BD4674"/>
    <w:rsid w:val="00BD5D69"/>
    <w:rsid w:val="00BD641E"/>
    <w:rsid w:val="00BE02C1"/>
    <w:rsid w:val="00BE09D7"/>
    <w:rsid w:val="00BE1638"/>
    <w:rsid w:val="00BE3D93"/>
    <w:rsid w:val="00BE3E58"/>
    <w:rsid w:val="00BF13CE"/>
    <w:rsid w:val="00BF366C"/>
    <w:rsid w:val="00C01616"/>
    <w:rsid w:val="00C0162B"/>
    <w:rsid w:val="00C0196E"/>
    <w:rsid w:val="00C02518"/>
    <w:rsid w:val="00C068ED"/>
    <w:rsid w:val="00C10672"/>
    <w:rsid w:val="00C21FD5"/>
    <w:rsid w:val="00C22E0C"/>
    <w:rsid w:val="00C24DB8"/>
    <w:rsid w:val="00C33B5C"/>
    <w:rsid w:val="00C345B1"/>
    <w:rsid w:val="00C35807"/>
    <w:rsid w:val="00C40142"/>
    <w:rsid w:val="00C4399D"/>
    <w:rsid w:val="00C51492"/>
    <w:rsid w:val="00C52C3C"/>
    <w:rsid w:val="00C54274"/>
    <w:rsid w:val="00C57182"/>
    <w:rsid w:val="00C57863"/>
    <w:rsid w:val="00C640AF"/>
    <w:rsid w:val="00C655FD"/>
    <w:rsid w:val="00C75407"/>
    <w:rsid w:val="00C841C6"/>
    <w:rsid w:val="00C870A8"/>
    <w:rsid w:val="00C94434"/>
    <w:rsid w:val="00CA0D75"/>
    <w:rsid w:val="00CA1C95"/>
    <w:rsid w:val="00CA37CA"/>
    <w:rsid w:val="00CA469E"/>
    <w:rsid w:val="00CA5A9C"/>
    <w:rsid w:val="00CC4C20"/>
    <w:rsid w:val="00CC667C"/>
    <w:rsid w:val="00CD07DC"/>
    <w:rsid w:val="00CD3517"/>
    <w:rsid w:val="00CD5FE2"/>
    <w:rsid w:val="00CE31D8"/>
    <w:rsid w:val="00CE6E38"/>
    <w:rsid w:val="00CE7C68"/>
    <w:rsid w:val="00CF4B01"/>
    <w:rsid w:val="00D02B4C"/>
    <w:rsid w:val="00D040C4"/>
    <w:rsid w:val="00D12B3D"/>
    <w:rsid w:val="00D20389"/>
    <w:rsid w:val="00D2046D"/>
    <w:rsid w:val="00D20AD1"/>
    <w:rsid w:val="00D2582C"/>
    <w:rsid w:val="00D261E4"/>
    <w:rsid w:val="00D30014"/>
    <w:rsid w:val="00D3725D"/>
    <w:rsid w:val="00D444AA"/>
    <w:rsid w:val="00D46B7E"/>
    <w:rsid w:val="00D5495F"/>
    <w:rsid w:val="00D55BC5"/>
    <w:rsid w:val="00D57C84"/>
    <w:rsid w:val="00D6057D"/>
    <w:rsid w:val="00D64A5D"/>
    <w:rsid w:val="00D66F92"/>
    <w:rsid w:val="00D71640"/>
    <w:rsid w:val="00D73C6A"/>
    <w:rsid w:val="00D806E4"/>
    <w:rsid w:val="00D836C5"/>
    <w:rsid w:val="00D84576"/>
    <w:rsid w:val="00DA1399"/>
    <w:rsid w:val="00DA24C6"/>
    <w:rsid w:val="00DA2F72"/>
    <w:rsid w:val="00DA4D7B"/>
    <w:rsid w:val="00DB17EC"/>
    <w:rsid w:val="00DB3257"/>
    <w:rsid w:val="00DB70D5"/>
    <w:rsid w:val="00DC0C79"/>
    <w:rsid w:val="00DC2840"/>
    <w:rsid w:val="00DC73EE"/>
    <w:rsid w:val="00DD271C"/>
    <w:rsid w:val="00DD28C1"/>
    <w:rsid w:val="00DD6A9B"/>
    <w:rsid w:val="00DE264A"/>
    <w:rsid w:val="00DF5072"/>
    <w:rsid w:val="00E01751"/>
    <w:rsid w:val="00E02D18"/>
    <w:rsid w:val="00E041E7"/>
    <w:rsid w:val="00E1628D"/>
    <w:rsid w:val="00E21698"/>
    <w:rsid w:val="00E23CA1"/>
    <w:rsid w:val="00E27AE9"/>
    <w:rsid w:val="00E409A8"/>
    <w:rsid w:val="00E42B72"/>
    <w:rsid w:val="00E445F5"/>
    <w:rsid w:val="00E50C12"/>
    <w:rsid w:val="00E51D21"/>
    <w:rsid w:val="00E55901"/>
    <w:rsid w:val="00E55931"/>
    <w:rsid w:val="00E65B91"/>
    <w:rsid w:val="00E67B11"/>
    <w:rsid w:val="00E71B3D"/>
    <w:rsid w:val="00E7209D"/>
    <w:rsid w:val="00E72EAD"/>
    <w:rsid w:val="00E75FD4"/>
    <w:rsid w:val="00E77223"/>
    <w:rsid w:val="00E80F3F"/>
    <w:rsid w:val="00E8528B"/>
    <w:rsid w:val="00E85B94"/>
    <w:rsid w:val="00E90C8E"/>
    <w:rsid w:val="00E923DB"/>
    <w:rsid w:val="00E970A7"/>
    <w:rsid w:val="00E978D0"/>
    <w:rsid w:val="00EA2DB6"/>
    <w:rsid w:val="00EA4613"/>
    <w:rsid w:val="00EA7F91"/>
    <w:rsid w:val="00EB122A"/>
    <w:rsid w:val="00EB1523"/>
    <w:rsid w:val="00EB26A3"/>
    <w:rsid w:val="00EB44A9"/>
    <w:rsid w:val="00EB5E9C"/>
    <w:rsid w:val="00EB7FB2"/>
    <w:rsid w:val="00EC0E49"/>
    <w:rsid w:val="00EC101F"/>
    <w:rsid w:val="00EC147E"/>
    <w:rsid w:val="00EC1D9F"/>
    <w:rsid w:val="00ED174D"/>
    <w:rsid w:val="00ED38BC"/>
    <w:rsid w:val="00ED4EA9"/>
    <w:rsid w:val="00EE0131"/>
    <w:rsid w:val="00EE17B0"/>
    <w:rsid w:val="00EE4787"/>
    <w:rsid w:val="00EE4C25"/>
    <w:rsid w:val="00EE6D19"/>
    <w:rsid w:val="00EF0157"/>
    <w:rsid w:val="00EF06D9"/>
    <w:rsid w:val="00F0334E"/>
    <w:rsid w:val="00F11E29"/>
    <w:rsid w:val="00F140CB"/>
    <w:rsid w:val="00F2359F"/>
    <w:rsid w:val="00F254A8"/>
    <w:rsid w:val="00F3049E"/>
    <w:rsid w:val="00F30C64"/>
    <w:rsid w:val="00F32BA2"/>
    <w:rsid w:val="00F32CDB"/>
    <w:rsid w:val="00F41835"/>
    <w:rsid w:val="00F41EE4"/>
    <w:rsid w:val="00F43544"/>
    <w:rsid w:val="00F44784"/>
    <w:rsid w:val="00F523FC"/>
    <w:rsid w:val="00F559C1"/>
    <w:rsid w:val="00F55AC0"/>
    <w:rsid w:val="00F565FE"/>
    <w:rsid w:val="00F63A70"/>
    <w:rsid w:val="00F63C41"/>
    <w:rsid w:val="00F63D8C"/>
    <w:rsid w:val="00F7534E"/>
    <w:rsid w:val="00F86405"/>
    <w:rsid w:val="00F93EDF"/>
    <w:rsid w:val="00FA1802"/>
    <w:rsid w:val="00FA21D0"/>
    <w:rsid w:val="00FA36CA"/>
    <w:rsid w:val="00FA5F5F"/>
    <w:rsid w:val="00FB6A37"/>
    <w:rsid w:val="00FB730C"/>
    <w:rsid w:val="00FC2695"/>
    <w:rsid w:val="00FC3E03"/>
    <w:rsid w:val="00FC3E12"/>
    <w:rsid w:val="00FC3FC1"/>
    <w:rsid w:val="00FD57B7"/>
    <w:rsid w:val="00FE7DF0"/>
    <w:rsid w:val="00FF1257"/>
    <w:rsid w:val="00FF2E0A"/>
    <w:rsid w:val="00FF51BD"/>
    <w:rsid w:val="00FF6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E0CC22"/>
  <w14:defaultImageDpi w14:val="330"/>
  <w15:docId w15:val="{0B95FB59-9D38-42B5-B090-D2348EE1E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Titolo1">
    <w:name w:val="heading 1"/>
    <w:basedOn w:val="CETHeading1"/>
    <w:next w:val="Normale"/>
    <w:link w:val="Titolo1Carattere"/>
    <w:uiPriority w:val="9"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qFormat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qFormat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qFormat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autoRedefine/>
    <w:qFormat/>
    <w:rsid w:val="00FA5F5F"/>
    <w:pPr>
      <w:keepNext/>
      <w:numPr>
        <w:ilvl w:val="2"/>
        <w:numId w:val="1"/>
      </w:numPr>
      <w:suppressAutoHyphens/>
      <w:spacing w:before="120" w:after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qFormat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ellasemplice1">
    <w:name w:val="Table Simple 1"/>
    <w:basedOn w:val="Tabellanormale"/>
    <w:semiHidden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qFormat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Caption">
    <w:name w:val="CET Caption"/>
    <w:link w:val="CETCaptionCarattere"/>
    <w:qFormat/>
    <w:rsid w:val="00F7534E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character" w:customStyle="1" w:styleId="CETheadingxCarattere">
    <w:name w:val="CET headingx Carattere"/>
    <w:link w:val="CETheadingx"/>
    <w:rsid w:val="00FA5F5F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F7534E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character" w:styleId="Rimandocommento">
    <w:name w:val="annotation reference"/>
    <w:basedOn w:val="Carpredefinitoparagrafo"/>
    <w:uiPriority w:val="99"/>
    <w:semiHidden/>
    <w:unhideWhenUsed/>
    <w:rsid w:val="004577FE"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fia">
    <w:name w:val="Bibliography"/>
    <w:basedOn w:val="CETReferencetext"/>
    <w:uiPriority w:val="37"/>
    <w:unhideWhenUsed/>
    <w:rsid w:val="00631B33"/>
    <w:pPr>
      <w:spacing w:line="240" w:lineRule="auto"/>
      <w:ind w:left="720" w:hanging="720"/>
    </w:p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314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3148D"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03148D"/>
    <w:rPr>
      <w:sz w:val="16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0314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03148D"/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03148D"/>
  </w:style>
  <w:style w:type="character" w:customStyle="1" w:styleId="DataCarattere">
    <w:name w:val="Data Carattere"/>
    <w:basedOn w:val="Carpredefinitoparagrafo"/>
    <w:link w:val="Data"/>
    <w:uiPriority w:val="99"/>
    <w:semiHidden/>
    <w:rsid w:val="0003148D"/>
  </w:style>
  <w:style w:type="paragraph" w:styleId="Didascalia">
    <w:name w:val="caption"/>
    <w:basedOn w:val="Normale"/>
    <w:next w:val="Normale"/>
    <w:uiPriority w:val="35"/>
    <w:unhideWhenUsed/>
    <w:qFormat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Elenco">
    <w:name w:val="List"/>
    <w:basedOn w:val="Normale"/>
    <w:uiPriority w:val="99"/>
    <w:semiHidden/>
    <w:unhideWhenUsed/>
    <w:rsid w:val="0003148D"/>
    <w:pPr>
      <w:ind w:left="283" w:hanging="283"/>
      <w:contextualSpacing/>
    </w:pPr>
  </w:style>
  <w:style w:type="paragraph" w:styleId="Elenco2">
    <w:name w:val="List 2"/>
    <w:basedOn w:val="Normale"/>
    <w:uiPriority w:val="99"/>
    <w:semiHidden/>
    <w:unhideWhenUsed/>
    <w:rsid w:val="0003148D"/>
    <w:pPr>
      <w:ind w:left="566" w:hanging="283"/>
      <w:contextualSpacing/>
    </w:pPr>
  </w:style>
  <w:style w:type="paragraph" w:styleId="Elenco3">
    <w:name w:val="List 3"/>
    <w:basedOn w:val="Normale"/>
    <w:uiPriority w:val="99"/>
    <w:semiHidden/>
    <w:unhideWhenUsed/>
    <w:rsid w:val="0003148D"/>
    <w:pPr>
      <w:ind w:left="849" w:hanging="283"/>
      <w:contextualSpacing/>
    </w:pPr>
  </w:style>
  <w:style w:type="paragraph" w:styleId="Elenco4">
    <w:name w:val="List 4"/>
    <w:basedOn w:val="Normale"/>
    <w:uiPriority w:val="99"/>
    <w:semiHidden/>
    <w:unhideWhenUsed/>
    <w:rsid w:val="0003148D"/>
    <w:pPr>
      <w:ind w:left="1132" w:hanging="283"/>
      <w:contextualSpacing/>
    </w:pPr>
  </w:style>
  <w:style w:type="paragraph" w:styleId="Elenco5">
    <w:name w:val="List 5"/>
    <w:basedOn w:val="Normale"/>
    <w:uiPriority w:val="99"/>
    <w:semiHidden/>
    <w:unhideWhenUsed/>
    <w:rsid w:val="0003148D"/>
    <w:pPr>
      <w:ind w:left="1415" w:hanging="283"/>
      <w:contextualSpacing/>
    </w:pPr>
  </w:style>
  <w:style w:type="paragraph" w:styleId="Elencocontinua">
    <w:name w:val="List Continue"/>
    <w:basedOn w:val="Normale"/>
    <w:uiPriority w:val="99"/>
    <w:semiHidden/>
    <w:unhideWhenUsed/>
    <w:rsid w:val="0003148D"/>
    <w:pPr>
      <w:spacing w:after="120"/>
      <w:ind w:left="283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03148D"/>
    <w:pPr>
      <w:spacing w:after="120"/>
      <w:ind w:left="566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03148D"/>
    <w:pPr>
      <w:spacing w:after="120"/>
      <w:ind w:left="849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03148D"/>
    <w:pPr>
      <w:spacing w:after="120"/>
      <w:ind w:left="1132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03148D"/>
    <w:pPr>
      <w:spacing w:after="120"/>
      <w:ind w:left="1415"/>
      <w:contextualSpacing/>
    </w:pPr>
  </w:style>
  <w:style w:type="paragraph" w:styleId="Firma">
    <w:name w:val="Signature"/>
    <w:basedOn w:val="Normale"/>
    <w:link w:val="FirmaCarattere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03148D"/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03148D"/>
    <w:pPr>
      <w:spacing w:line="240" w:lineRule="auto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03148D"/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03148D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03148D"/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03148D"/>
  </w:style>
  <w:style w:type="paragraph" w:styleId="Indice1">
    <w:name w:val="index 1"/>
    <w:basedOn w:val="Normale"/>
    <w:next w:val="Normale"/>
    <w:autoRedefine/>
    <w:uiPriority w:val="99"/>
    <w:semiHidden/>
    <w:unhideWhenUsed/>
    <w:rsid w:val="0003148D"/>
    <w:pPr>
      <w:spacing w:line="240" w:lineRule="auto"/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03148D"/>
    <w:pPr>
      <w:spacing w:line="240" w:lineRule="auto"/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03148D"/>
    <w:pPr>
      <w:spacing w:line="240" w:lineRule="auto"/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03148D"/>
    <w:pPr>
      <w:spacing w:line="240" w:lineRule="auto"/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03148D"/>
    <w:pPr>
      <w:spacing w:line="240" w:lineRule="auto"/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03148D"/>
    <w:pPr>
      <w:spacing w:line="240" w:lineRule="auto"/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03148D"/>
    <w:pPr>
      <w:spacing w:line="240" w:lineRule="auto"/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03148D"/>
    <w:pPr>
      <w:spacing w:line="240" w:lineRule="auto"/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03148D"/>
    <w:pPr>
      <w:spacing w:line="240" w:lineRule="auto"/>
      <w:ind w:left="1980" w:hanging="220"/>
    </w:pPr>
  </w:style>
  <w:style w:type="paragraph" w:styleId="Indicedellefigure">
    <w:name w:val="table of figures"/>
    <w:basedOn w:val="Normale"/>
    <w:next w:val="Normale"/>
    <w:uiPriority w:val="99"/>
    <w:semiHidden/>
    <w:unhideWhenUsed/>
    <w:rsid w:val="0003148D"/>
  </w:style>
  <w:style w:type="paragraph" w:styleId="Indicefonti">
    <w:name w:val="table of authorities"/>
    <w:basedOn w:val="Normale"/>
    <w:next w:val="Normale"/>
    <w:uiPriority w:val="99"/>
    <w:semiHidden/>
    <w:unhideWhenUsed/>
    <w:rsid w:val="0003148D"/>
    <w:pPr>
      <w:ind w:left="220" w:hanging="220"/>
    </w:pPr>
  </w:style>
  <w:style w:type="paragraph" w:styleId="Indirizzodestinatario">
    <w:name w:val="envelope address"/>
    <w:basedOn w:val="Normale"/>
    <w:uiPriority w:val="99"/>
    <w:semiHidden/>
    <w:unhideWhenUs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03148D"/>
    <w:pPr>
      <w:spacing w:line="240" w:lineRule="auto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03148D"/>
    <w:rPr>
      <w:i/>
      <w:iCs/>
    </w:rPr>
  </w:style>
  <w:style w:type="paragraph" w:styleId="Indirizzomittente">
    <w:name w:val="envelope return"/>
    <w:basedOn w:val="Normale"/>
    <w:uiPriority w:val="99"/>
    <w:semiHidden/>
    <w:unhideWhenUs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03148D"/>
    <w:pPr>
      <w:spacing w:line="240" w:lineRule="auto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03148D"/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03148D"/>
    <w:rPr>
      <w:sz w:val="24"/>
      <w:szCs w:val="24"/>
    </w:rPr>
  </w:style>
  <w:style w:type="paragraph" w:styleId="Numeroelenco">
    <w:name w:val="List Number"/>
    <w:basedOn w:val="Normale"/>
    <w:uiPriority w:val="99"/>
    <w:semiHidden/>
    <w:unhideWhenUsed/>
    <w:rsid w:val="0003148D"/>
    <w:pPr>
      <w:numPr>
        <w:numId w:val="2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03148D"/>
    <w:pPr>
      <w:numPr>
        <w:numId w:val="3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03148D"/>
    <w:pPr>
      <w:numPr>
        <w:numId w:val="4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03148D"/>
    <w:pPr>
      <w:numPr>
        <w:numId w:val="5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03148D"/>
    <w:pPr>
      <w:numPr>
        <w:numId w:val="6"/>
      </w:numPr>
      <w:contextualSpacing/>
    </w:p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03148D"/>
    <w:pPr>
      <w:spacing w:after="20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03148D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03148D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03148D"/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03148D"/>
    <w:pPr>
      <w:spacing w:after="200"/>
      <w:ind w:left="360"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03148D"/>
  </w:style>
  <w:style w:type="paragraph" w:styleId="Puntoelenco">
    <w:name w:val="List Bullet"/>
    <w:basedOn w:val="Normale"/>
    <w:uiPriority w:val="99"/>
    <w:semiHidden/>
    <w:unhideWhenUsed/>
    <w:rsid w:val="0003148D"/>
    <w:pPr>
      <w:numPr>
        <w:numId w:val="7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03148D"/>
    <w:pPr>
      <w:numPr>
        <w:numId w:val="8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03148D"/>
    <w:pPr>
      <w:numPr>
        <w:numId w:val="9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03148D"/>
    <w:pPr>
      <w:numPr>
        <w:numId w:val="10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03148D"/>
    <w:pPr>
      <w:numPr>
        <w:numId w:val="11"/>
      </w:numPr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03148D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3148D"/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03148D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03148D"/>
    <w:rPr>
      <w:sz w:val="16"/>
      <w:szCs w:val="16"/>
    </w:rPr>
  </w:style>
  <w:style w:type="paragraph" w:styleId="Rientronormale">
    <w:name w:val="Normal Indent"/>
    <w:basedOn w:val="Normale"/>
    <w:uiPriority w:val="99"/>
    <w:semiHidden/>
    <w:unhideWhenUsed/>
    <w:rsid w:val="0003148D"/>
    <w:pPr>
      <w:ind w:left="720"/>
    </w:pPr>
  </w:style>
  <w:style w:type="paragraph" w:styleId="Testocommento">
    <w:name w:val="annotation text"/>
    <w:basedOn w:val="Normale"/>
    <w:link w:val="TestocommentoCarattere"/>
    <w:uiPriority w:val="99"/>
    <w:unhideWhenUsed/>
    <w:rsid w:val="0003148D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3148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3148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3148D"/>
    <w:rPr>
      <w:b/>
      <w:bCs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03148D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03148D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03148D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03148D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03148D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03148D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03148D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03148D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03148D"/>
    <w:pPr>
      <w:spacing w:after="100"/>
      <w:ind w:left="1760"/>
    </w:pPr>
  </w:style>
  <w:style w:type="paragraph" w:styleId="Testodelblocco">
    <w:name w:val="Block Text"/>
    <w:basedOn w:val="Normale"/>
    <w:uiPriority w:val="99"/>
    <w:semiHidden/>
    <w:unhideWhenUs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Testomacro">
    <w:name w:val="macro"/>
    <w:link w:val="TestomacroCarattere"/>
    <w:uiPriority w:val="99"/>
    <w:semiHidden/>
    <w:unhideWhenUs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3148D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3148D"/>
    <w:rPr>
      <w:sz w:val="20"/>
      <w:szCs w:val="20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03148D"/>
    <w:pPr>
      <w:spacing w:line="240" w:lineRule="auto"/>
    </w:p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03148D"/>
    <w:rPr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oloindice">
    <w:name w:val="index heading"/>
    <w:basedOn w:val="Normale"/>
    <w:next w:val="Indice1"/>
    <w:uiPriority w:val="99"/>
    <w:semiHidden/>
    <w:unhideWhenUsed/>
    <w:rsid w:val="0003148D"/>
    <w:rPr>
      <w:rFonts w:asciiTheme="majorHAnsi" w:eastAsiaTheme="majorEastAsia" w:hAnsiTheme="majorHAnsi" w:cstheme="majorBidi"/>
      <w:b/>
      <w:bCs/>
    </w:rPr>
  </w:style>
  <w:style w:type="paragraph" w:styleId="Titoloindicefonti">
    <w:name w:val="toa heading"/>
    <w:basedOn w:val="Normale"/>
    <w:next w:val="Normale"/>
    <w:uiPriority w:val="99"/>
    <w:semiHidden/>
    <w:unhideWhenUs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Carpredefinitoparagrafo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rsid w:val="00901EB6"/>
    <w:rPr>
      <w:b/>
    </w:rPr>
  </w:style>
  <w:style w:type="paragraph" w:customStyle="1" w:styleId="CETnumberingbullets">
    <w:name w:val="CET numbering (bullets)"/>
    <w:rsid w:val="008D433B"/>
    <w:pPr>
      <w:numPr>
        <w:numId w:val="13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B57B36"/>
    <w:pPr>
      <w:numPr>
        <w:numId w:val="14"/>
      </w:numPr>
      <w:spacing w:after="0" w:line="264" w:lineRule="auto"/>
      <w:ind w:left="340" w:hanging="22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B57B36"/>
    <w:pPr>
      <w:numPr>
        <w:numId w:val="15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Intestazione">
    <w:name w:val="header"/>
    <w:basedOn w:val="Normale"/>
    <w:link w:val="IntestazioneCarattere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Pidipagina">
    <w:name w:val="footer"/>
    <w:basedOn w:val="Normale"/>
    <w:link w:val="PidipaginaCarattere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Grigliatabella">
    <w:name w:val="Table Grid"/>
    <w:basedOn w:val="Tabellanormale"/>
    <w:uiPriority w:val="59"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904C62"/>
    <w:rPr>
      <w:color w:val="0000FF" w:themeColor="hyperlink"/>
      <w:u w:val="single"/>
    </w:rPr>
  </w:style>
  <w:style w:type="character" w:customStyle="1" w:styleId="eudoraheader">
    <w:name w:val="eudoraheader"/>
    <w:basedOn w:val="Carpredefinitoparagrafo"/>
    <w:rsid w:val="00904C62"/>
  </w:style>
  <w:style w:type="paragraph" w:customStyle="1" w:styleId="CETListbullets">
    <w:name w:val="CET List bullets"/>
    <w:qFormat/>
    <w:rsid w:val="004577FE"/>
    <w:pPr>
      <w:spacing w:after="0" w:line="264" w:lineRule="auto"/>
      <w:ind w:left="340" w:hanging="227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Referencetext">
    <w:name w:val="CET Reference text"/>
    <w:qFormat/>
    <w:rsid w:val="00600535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Tabletitle">
    <w:name w:val="CET Table title"/>
    <w:qFormat/>
    <w:rsid w:val="00600535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Acknowledgementstitle">
    <w:name w:val="CET Acknowledgements title"/>
    <w:next w:val="CETBodytext"/>
    <w:qFormat/>
    <w:rsid w:val="0060053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Equation">
    <w:name w:val="CET Equation"/>
    <w:basedOn w:val="CETBodytext"/>
    <w:next w:val="CETBodytext"/>
    <w:qFormat/>
    <w:rsid w:val="00600535"/>
    <w:pPr>
      <w:spacing w:before="120" w:after="120"/>
      <w:jc w:val="left"/>
    </w:pPr>
    <w:rPr>
      <w:lang w:val="en-GB"/>
    </w:rPr>
  </w:style>
  <w:style w:type="paragraph" w:customStyle="1" w:styleId="CETHeadingxx">
    <w:name w:val="CET Headingxx"/>
    <w:basedOn w:val="CETheadingx"/>
    <w:link w:val="CETHeadingxxChar"/>
    <w:qFormat/>
    <w:rsid w:val="000F787B"/>
    <w:pPr>
      <w:numPr>
        <w:ilvl w:val="0"/>
        <w:numId w:val="0"/>
      </w:numPr>
    </w:pPr>
  </w:style>
  <w:style w:type="character" w:customStyle="1" w:styleId="CETHeadingxxChar">
    <w:name w:val="CET Headingxx Char"/>
    <w:basedOn w:val="CETheadingxCarattere"/>
    <w:link w:val="CETHeadingxx"/>
    <w:rsid w:val="000F787B"/>
    <w:rPr>
      <w:rFonts w:ascii="Arial" w:eastAsia="Times New Roman" w:hAnsi="Arial" w:cs="Times New Roman"/>
      <w:b/>
      <w:sz w:val="18"/>
      <w:szCs w:val="20"/>
      <w:lang w:val="en-US"/>
    </w:rPr>
  </w:style>
  <w:style w:type="paragraph" w:styleId="Paragrafoelenco">
    <w:name w:val="List Paragraph"/>
    <w:basedOn w:val="Normale"/>
    <w:uiPriority w:val="34"/>
    <w:rsid w:val="00280FAF"/>
    <w:pPr>
      <w:ind w:left="720"/>
      <w:contextualSpacing/>
    </w:pPr>
  </w:style>
  <w:style w:type="character" w:customStyle="1" w:styleId="gmail-apple-converted-space">
    <w:name w:val="gmail-apple-converted-space"/>
    <w:basedOn w:val="Carpredefinitoparagrafo"/>
    <w:rsid w:val="00005A19"/>
  </w:style>
  <w:style w:type="character" w:styleId="Testosegnaposto">
    <w:name w:val="Placeholder Text"/>
    <w:basedOn w:val="Carpredefinitoparagrafo"/>
    <w:uiPriority w:val="99"/>
    <w:semiHidden/>
    <w:rsid w:val="00603FE8"/>
    <w:rPr>
      <w:color w:val="666666"/>
    </w:rPr>
  </w:style>
  <w:style w:type="character" w:styleId="Menzionenonrisolta">
    <w:name w:val="Unresolved Mention"/>
    <w:basedOn w:val="Carpredefinitoparagrafo"/>
    <w:uiPriority w:val="99"/>
    <w:semiHidden/>
    <w:unhideWhenUsed/>
    <w:rsid w:val="00415416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75FD4"/>
    <w:rPr>
      <w:color w:val="800080" w:themeColor="followedHyperlink"/>
      <w:u w:val="single"/>
    </w:rPr>
  </w:style>
  <w:style w:type="paragraph" w:styleId="Revisione">
    <w:name w:val="Revision"/>
    <w:hidden/>
    <w:uiPriority w:val="99"/>
    <w:semiHidden/>
    <w:rsid w:val="000D3201"/>
    <w:pPr>
      <w:spacing w:after="0" w:line="240" w:lineRule="auto"/>
    </w:pPr>
    <w:rPr>
      <w:rFonts w:ascii="Arial" w:eastAsia="Times New Roman" w:hAnsi="Arial" w:cs="Times New Roman"/>
      <w:sz w:val="18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4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2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504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0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46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7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8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4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97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E206039-54AE-4F57-BF45-00E9D71FC0E5}">
  <we:reference id="wa104382081" version="1.55.1.0" store="it-IT" storeType="OMEX"/>
  <we:alternateReferences>
    <we:reference id="wa104382081" version="1.55.1.0" store="" storeType="OMEX"/>
  </we:alternateReferences>
  <we:properties>
    <we:property name="MENDELEY_CITATIONS" value="[{&quot;citationID&quot;:&quot;MENDELEY_CITATION_a113bc62-1ece-4c36-9aa1-28abf6fda3f5&quot;,&quot;properties&quot;:{&quot;noteIndex&quot;:0},&quot;isEdited&quot;:false,&quot;manualOverride&quot;:{&quot;isManuallyOverridden&quot;:false,&quot;citeprocText&quot;:&quot;[1]&quot;,&quot;manualOverrideText&quot;:&quot;&quot;},&quot;citationTag&quot;:&quot;MENDELEY_CITATION_v3_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&quot;,&quot;citationItems&quot;:[{&quot;id&quot;:&quot;4112ee4a-ac92-34e8-ae71-fa6f4a999768&quot;,&quot;itemData&quot;:{&quot;type&quot;:&quot;article-journal&quot;,&quot;id&quot;:&quot;4112ee4a-ac92-34e8-ae71-fa6f4a999768&quot;,&quot;title&quot;:&quot;Challenges in biodegradation of non-degradable thermoplastic waste: From environmental impact to operational readiness&quot;,&quot;groupId&quot;:&quot;286e7661-de34-315f-a1a7-4ae9349accb8&quot;,&quot;author&quot;:[{&quot;family&quot;:&quot;Taghavi&quot;,&quot;given&quot;:&quot;Navid&quot;,&quot;parse-names&quot;:false,&quot;dropping-particle&quot;:&quot;&quot;,&quot;non-dropping-particle&quot;:&quot;&quot;},{&quot;family&quot;:&quot;Udugama&quot;,&quot;given&quot;:&quot;Isuru Abeykoon&quot;,&quot;parse-names&quot;:false,&quot;dropping-particle&quot;:&quot;&quot;,&quot;non-dropping-particle&quot;:&quot;&quot;},{&quot;family&quot;:&quot;Zhuang&quot;,&quot;given&quot;:&quot;Wei-Qin&quot;,&quot;parse-names&quot;:false,&quot;dropping-particle&quot;:&quot;&quot;,&quot;non-dropping-particle&quot;:&quot;&quot;},{&quot;family&quot;:&quot;Baroutian&quot;,&quot;given&quot;:&quot;Saeid&quot;,&quot;parse-names&quot;:false,&quot;dropping-particle&quot;:&quot;&quot;,&quot;non-dropping-particle&quot;:&quot;&quot;}],&quot;container-title&quot;:&quot;Biotechnology Advances&quot;,&quot;container-title-short&quot;:&quot;Biotechnol Adv&quot;,&quot;DOI&quot;:&quot;10.1016/j.biotechadv.2021.107731&quot;,&quot;ISSN&quot;:&quot;07349750&quot;,&quot;issued&quot;:{&quot;date-parts&quot;:[[2021,7]]},&quot;page&quot;:&quot;107731&quot;,&quot;volume&quot;:&quot;49&quot;},&quot;isTemporary&quot;:false}]}]"/>
    <we:property name="MENDELEY_CITATIONS_LOCALE_CODE" value="&quot;en-US&quot;"/>
    <we:property name="MENDELEY_CITATIONS_STYLE" value="{&quot;id&quot;:&quot;https://www.zotero.org/styles/chemical-engineering-journal&quot;,&quot;title&quot;:&quot;Chemical Engineering Journal&quot;,&quot;format&quot;:&quot;numeric&quot;,&quot;defaultLocale&quot;:&quot;en-US&quot;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3983C9-6D0A-480C-BF79-A63BD3D99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6</Pages>
  <Words>2631</Words>
  <Characters>14997</Characters>
  <Application>Microsoft Office Word</Application>
  <DocSecurity>0</DocSecurity>
  <Lines>124</Lines>
  <Paragraphs>35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Dipartimento CMIC - Politecnico di Milano</Company>
  <LinksUpToDate>false</LinksUpToDate>
  <CharactersWithSpaces>17593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</dc:creator>
  <cp:lastModifiedBy>Letizia Marchetti</cp:lastModifiedBy>
  <cp:revision>238</cp:revision>
  <cp:lastPrinted>2015-05-12T18:31:00Z</cp:lastPrinted>
  <dcterms:created xsi:type="dcterms:W3CDTF">2024-12-12T21:05:00Z</dcterms:created>
  <dcterms:modified xsi:type="dcterms:W3CDTF">2025-02-17T12:51:00Z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zotero-version="4.0.29.17"&gt;&lt;session id="s8VwuD2U"/&gt;&lt;style id="http://www.zotero.org/styles/chemical-engineering-transactions" hasBibliography="1" bibliographyStyleHasBeenSet="1"/&gt;&lt;prefs&gt;&lt;pref name="fieldType" value="Field"/&gt;&lt;pref na</vt:lpwstr>
  </property>
  <property fmtid="{D5CDD505-2E9C-101B-9397-08002B2CF9AE}" pid="3" name="ZOTERO_PREF_2">
    <vt:lpwstr>me="storeReferences" value="true"/&gt;&lt;pref name="automaticJournalAbbreviations" value=""/&gt;&lt;pref name="noteType" value=""/&gt;&lt;/prefs&gt;&lt;/data&gt;</vt:lpwstr>
  </property>
</Properties>
</file>