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42A3301A" w14:textId="77777777" w:rsidTr="008E68F5">
        <w:trPr>
          <w:trHeight w:val="852"/>
          <w:jc w:val="center"/>
        </w:trPr>
        <w:tc>
          <w:tcPr>
            <w:tcW w:w="6940" w:type="dxa"/>
            <w:vMerge w:val="restart"/>
            <w:tcBorders>
              <w:right w:val="single" w:sz="4" w:space="0" w:color="auto"/>
            </w:tcBorders>
          </w:tcPr>
          <w:p w14:paraId="33DFB051"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7F18E713" wp14:editId="7965CB98">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277BDC55" w14:textId="77777777"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442961">
              <w:rPr>
                <w:rFonts w:cs="Arial"/>
                <w:b/>
                <w:bCs/>
                <w:i/>
                <w:iCs/>
                <w:color w:val="000066"/>
                <w:sz w:val="22"/>
                <w:szCs w:val="22"/>
                <w:lang w:eastAsia="it-IT"/>
              </w:rPr>
              <w:t xml:space="preserve"> </w:t>
            </w:r>
            <w:proofErr w:type="gramStart"/>
            <w:r w:rsidR="00442961">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5C0789A"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3DF8FF9" w14:textId="77777777" w:rsidR="000A03B2" w:rsidRPr="00B57B36" w:rsidRDefault="000A03B2" w:rsidP="00CD5FE2">
            <w:pPr>
              <w:jc w:val="right"/>
            </w:pPr>
            <w:r w:rsidRPr="00B57B36">
              <w:rPr>
                <w:noProof/>
                <w:lang w:val="it-IT" w:eastAsia="it-IT"/>
              </w:rPr>
              <w:drawing>
                <wp:inline distT="0" distB="0" distL="0" distR="0" wp14:anchorId="5140849F" wp14:editId="332CB216">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09CD7DE2" w14:textId="77777777" w:rsidTr="008E68F5">
        <w:trPr>
          <w:trHeight w:val="567"/>
          <w:jc w:val="center"/>
        </w:trPr>
        <w:tc>
          <w:tcPr>
            <w:tcW w:w="6940" w:type="dxa"/>
            <w:vMerge/>
            <w:tcBorders>
              <w:right w:val="single" w:sz="4" w:space="0" w:color="auto"/>
            </w:tcBorders>
          </w:tcPr>
          <w:p w14:paraId="09793DD3"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0B457C1B"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03B6D0FC"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177BF75E" w14:textId="77777777"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3DD9A07A" w14:textId="77777777" w:rsidTr="008E68F5">
        <w:trPr>
          <w:trHeight w:val="68"/>
          <w:jc w:val="center"/>
        </w:trPr>
        <w:tc>
          <w:tcPr>
            <w:tcW w:w="8782" w:type="dxa"/>
            <w:gridSpan w:val="2"/>
          </w:tcPr>
          <w:p w14:paraId="2B630B70" w14:textId="77777777"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1BA9458" w14:textId="77777777"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bookmarkEnd w:id="0"/>
    </w:tbl>
    <w:p w14:paraId="60EE3E1D" w14:textId="77777777" w:rsidR="00CF7A96" w:rsidRDefault="00CF7A96" w:rsidP="008E68F5">
      <w:pPr>
        <w:pStyle w:val="CETAddress"/>
        <w:jc w:val="center"/>
        <w:rPr>
          <w:noProof w:val="0"/>
          <w:sz w:val="32"/>
        </w:rPr>
      </w:pPr>
    </w:p>
    <w:p w14:paraId="2ED1B78D" w14:textId="77777777" w:rsidR="009363BF" w:rsidRPr="00CF7A96" w:rsidRDefault="008E68F5" w:rsidP="00CF7A96">
      <w:pPr>
        <w:pStyle w:val="CETAddress"/>
        <w:spacing w:after="240"/>
        <w:jc w:val="center"/>
        <w:rPr>
          <w:noProof w:val="0"/>
          <w:sz w:val="32"/>
        </w:rPr>
      </w:pPr>
      <w:r w:rsidRPr="008E68F5">
        <w:rPr>
          <w:noProof w:val="0"/>
          <w:sz w:val="32"/>
        </w:rPr>
        <w:t>Characterization and Analysis of Ecological Tiles with</w:t>
      </w:r>
      <w:r>
        <w:rPr>
          <w:noProof w:val="0"/>
          <w:sz w:val="32"/>
        </w:rPr>
        <w:t xml:space="preserve"> </w:t>
      </w:r>
      <w:r w:rsidRPr="008E68F5">
        <w:rPr>
          <w:noProof w:val="0"/>
          <w:sz w:val="32"/>
        </w:rPr>
        <w:t>Bacterial</w:t>
      </w:r>
      <w:r>
        <w:rPr>
          <w:noProof w:val="0"/>
          <w:sz w:val="32"/>
        </w:rPr>
        <w:t xml:space="preserve"> </w:t>
      </w:r>
      <w:r w:rsidRPr="008E68F5">
        <w:rPr>
          <w:noProof w:val="0"/>
          <w:sz w:val="32"/>
        </w:rPr>
        <w:t>Cellulose and Industrial Waste</w:t>
      </w:r>
    </w:p>
    <w:p w14:paraId="3E7B6DF8" w14:textId="77777777" w:rsidR="00A42C2B" w:rsidRPr="00F772C7" w:rsidRDefault="390FD57E" w:rsidP="390FD57E">
      <w:pPr>
        <w:pStyle w:val="CETAddress"/>
        <w:spacing w:before="240"/>
        <w:rPr>
          <w:sz w:val="24"/>
          <w:szCs w:val="24"/>
          <w:vertAlign w:val="superscript"/>
          <w:lang w:val="pt-BR"/>
        </w:rPr>
      </w:pPr>
      <w:r w:rsidRPr="00F772C7">
        <w:rPr>
          <w:sz w:val="24"/>
          <w:szCs w:val="24"/>
          <w:lang w:val="pt-BR"/>
        </w:rPr>
        <w:t>Yasmim F. Cavalcanti</w:t>
      </w:r>
      <w:r w:rsidRPr="00F772C7">
        <w:rPr>
          <w:sz w:val="24"/>
          <w:szCs w:val="24"/>
          <w:vertAlign w:val="superscript"/>
          <w:lang w:val="pt-BR"/>
        </w:rPr>
        <w:t>a,b</w:t>
      </w:r>
      <w:r w:rsidRPr="00F772C7">
        <w:rPr>
          <w:sz w:val="24"/>
          <w:szCs w:val="24"/>
          <w:lang w:val="pt-BR"/>
        </w:rPr>
        <w:t>, Helen R. da Fonseca</w:t>
      </w:r>
      <w:r w:rsidRPr="00F772C7">
        <w:rPr>
          <w:sz w:val="24"/>
          <w:szCs w:val="24"/>
          <w:vertAlign w:val="superscript"/>
          <w:lang w:val="pt-BR"/>
        </w:rPr>
        <w:t>a,b</w:t>
      </w:r>
      <w:r w:rsidRPr="00F772C7">
        <w:rPr>
          <w:sz w:val="24"/>
          <w:szCs w:val="24"/>
          <w:lang w:val="pt-BR"/>
        </w:rPr>
        <w:t>, Alexandre D. Medeiros</w:t>
      </w:r>
      <w:r w:rsidRPr="00F772C7">
        <w:rPr>
          <w:sz w:val="24"/>
          <w:szCs w:val="24"/>
          <w:vertAlign w:val="superscript"/>
          <w:lang w:val="pt-BR"/>
        </w:rPr>
        <w:t>b</w:t>
      </w:r>
      <w:r w:rsidRPr="00F772C7">
        <w:rPr>
          <w:sz w:val="24"/>
          <w:szCs w:val="24"/>
          <w:lang w:val="pt-BR"/>
        </w:rPr>
        <w:t>, Italo J. Durval</w:t>
      </w:r>
      <w:r w:rsidRPr="00F772C7">
        <w:rPr>
          <w:sz w:val="24"/>
          <w:szCs w:val="24"/>
          <w:vertAlign w:val="superscript"/>
          <w:lang w:val="pt-BR"/>
        </w:rPr>
        <w:t>b</w:t>
      </w:r>
      <w:r w:rsidRPr="00F772C7">
        <w:rPr>
          <w:sz w:val="24"/>
          <w:szCs w:val="24"/>
          <w:lang w:val="pt-BR"/>
        </w:rPr>
        <w:t xml:space="preserve"> , Andrea F. Costa</w:t>
      </w:r>
      <w:r w:rsidRPr="00F772C7">
        <w:rPr>
          <w:sz w:val="24"/>
          <w:szCs w:val="24"/>
          <w:vertAlign w:val="superscript"/>
          <w:lang w:val="pt-BR"/>
        </w:rPr>
        <w:t>b,c</w:t>
      </w:r>
      <w:r w:rsidRPr="00F772C7">
        <w:rPr>
          <w:sz w:val="24"/>
          <w:szCs w:val="24"/>
          <w:lang w:val="pt-BR"/>
        </w:rPr>
        <w:t>, Cláudio J. G. da Silva Junior</w:t>
      </w:r>
      <w:r w:rsidRPr="00F772C7">
        <w:rPr>
          <w:sz w:val="24"/>
          <w:szCs w:val="24"/>
          <w:vertAlign w:val="superscript"/>
          <w:lang w:val="pt-BR"/>
        </w:rPr>
        <w:t>b</w:t>
      </w:r>
      <w:r w:rsidRPr="00F772C7">
        <w:rPr>
          <w:sz w:val="24"/>
          <w:szCs w:val="24"/>
          <w:lang w:val="pt-BR"/>
        </w:rPr>
        <w:t>, Leonie A. Sarubbo</w:t>
      </w:r>
      <w:r w:rsidRPr="00F772C7">
        <w:rPr>
          <w:sz w:val="24"/>
          <w:szCs w:val="24"/>
          <w:vertAlign w:val="superscript"/>
          <w:lang w:val="pt-BR"/>
        </w:rPr>
        <w:t>a,b*</w:t>
      </w:r>
    </w:p>
    <w:p w14:paraId="2036A374" w14:textId="77777777" w:rsidR="00A42C2B" w:rsidRPr="00F772C7" w:rsidRDefault="00A42C2B" w:rsidP="00A42C2B">
      <w:pPr>
        <w:pStyle w:val="CETemail"/>
        <w:spacing w:after="0" w:line="240" w:lineRule="auto"/>
        <w:rPr>
          <w:lang w:val="pt-BR"/>
        </w:rPr>
      </w:pPr>
      <w:r w:rsidRPr="00F772C7">
        <w:rPr>
          <w:vertAlign w:val="superscript"/>
          <w:lang w:val="pt-BR"/>
        </w:rPr>
        <w:t>a</w:t>
      </w:r>
      <w:r w:rsidRPr="00F772C7">
        <w:rPr>
          <w:lang w:val="pt-BR"/>
        </w:rPr>
        <w:t xml:space="preserve"> Escola Icam Tech, Universidade Católica de Pernambuco (UNICAP), Rua do Príncipe, n. 526, Boa Vista, Recife, Pernambuco 50050-900, Brasil; </w:t>
      </w:r>
    </w:p>
    <w:p w14:paraId="6B29633E" w14:textId="77777777" w:rsidR="00A42C2B" w:rsidRPr="00F772C7" w:rsidRDefault="00A42C2B" w:rsidP="00A42C2B">
      <w:pPr>
        <w:pStyle w:val="CETemail"/>
        <w:spacing w:after="0" w:line="240" w:lineRule="auto"/>
        <w:rPr>
          <w:lang w:val="pt-BR"/>
        </w:rPr>
      </w:pPr>
      <w:r w:rsidRPr="00F772C7">
        <w:rPr>
          <w:vertAlign w:val="superscript"/>
          <w:lang w:val="pt-BR"/>
        </w:rPr>
        <w:t>b</w:t>
      </w:r>
      <w:r w:rsidRPr="00F772C7">
        <w:rPr>
          <w:lang w:val="pt-BR"/>
        </w:rPr>
        <w:t xml:space="preserve"> Instituto Avançado de Tecnologia e Inovação (IATI), Rua Potyra, n. 31, Prado, Recife, Pernambuco 50751-310, Brazil;</w:t>
      </w:r>
    </w:p>
    <w:p w14:paraId="2DD13404" w14:textId="77777777" w:rsidR="00A42C2B" w:rsidRPr="00F772C7" w:rsidRDefault="00A42C2B" w:rsidP="00A42C2B">
      <w:pPr>
        <w:pStyle w:val="CETemail"/>
        <w:spacing w:after="0" w:line="240" w:lineRule="auto"/>
        <w:rPr>
          <w:lang w:val="pt-BR"/>
        </w:rPr>
      </w:pPr>
      <w:r w:rsidRPr="00F772C7">
        <w:rPr>
          <w:vertAlign w:val="superscript"/>
          <w:lang w:val="pt-BR"/>
        </w:rPr>
        <w:t>c</w:t>
      </w:r>
      <w:r w:rsidRPr="00F772C7">
        <w:rPr>
          <w:lang w:val="pt-BR"/>
        </w:rPr>
        <w:t xml:space="preserve"> Design and Communication Center, Academic Center of the Agreste Region, Federal University of Pernambuco, Avenida Marielle Franco, s/n, Km 59, Nova Caruaru, Zip Code: 55014-900, Caruaru, Pernambuco, Brazil.</w:t>
      </w:r>
      <w:r w:rsidR="00B57E6F" w:rsidRPr="00F772C7">
        <w:rPr>
          <w:lang w:val="pt-BR"/>
        </w:rPr>
        <w:t xml:space="preserve"> </w:t>
      </w:r>
    </w:p>
    <w:p w14:paraId="4DC545E9" w14:textId="77777777" w:rsidR="00B57E6F" w:rsidRPr="00B57B36" w:rsidRDefault="00D96C43" w:rsidP="00A42C2B">
      <w:pPr>
        <w:pStyle w:val="CETemail"/>
      </w:pPr>
      <w:r w:rsidRPr="00D96C43">
        <w:t>*leonie.sarubbo@unicap.br</w:t>
      </w:r>
    </w:p>
    <w:p w14:paraId="2417C7EC" w14:textId="77777777" w:rsidR="00E60859" w:rsidRDefault="390FD57E" w:rsidP="00956595">
      <w:pPr>
        <w:pStyle w:val="CETnumberingbullets"/>
        <w:numPr>
          <w:ilvl w:val="0"/>
          <w:numId w:val="0"/>
        </w:numPr>
        <w:jc w:val="both"/>
      </w:pPr>
      <w:r>
        <w:t xml:space="preserve">The environmental issues arising from waste generation and extraction of natural resources, and cementitious materials in the construction sector are seeking to address these problems by substituting their main components with sustainable materials. Fibrocement, widely used in the production of roofing tiles, is composed of cement, and calcium silicate binders, and is reinforced with organic (vegetable cellulose), mineral, or synthetic </w:t>
      </w:r>
      <w:proofErr w:type="spellStart"/>
      <w:r>
        <w:t>fibers</w:t>
      </w:r>
      <w:proofErr w:type="spellEnd"/>
      <w:r>
        <w:t xml:space="preserve">. However, the production of vegetable cellulose and its derivatives leads to increased wood consumption, causing environmental problems. Therefore, the aim of this project is to characterize and </w:t>
      </w:r>
      <w:proofErr w:type="spellStart"/>
      <w:r>
        <w:t>analyze</w:t>
      </w:r>
      <w:proofErr w:type="spellEnd"/>
      <w:r>
        <w:t xml:space="preserve"> sustainable tiles produced with bacterial cellulose (BC), combined with limestone filler (LF), textile industry waste (polyamide, PA), and sugarcane industry waste (sugarcane bagasse, SCB), comparing them with commercial tiles. The NBR 15310/2009 standard -Ceramic Components – Tiles was adopted as a comparative reference in the absorption tests and in the rupture and flexural load tests. The commercial tiles met the regulatory requirements, while the </w:t>
      </w:r>
      <w:r w:rsidR="00496F6C">
        <w:t>A6</w:t>
      </w:r>
      <w:r>
        <w:t xml:space="preserve"> samples (BC, LF, PA) showed an absorption index of 15%, within the stipulated limit. On the other hand, the </w:t>
      </w:r>
      <w:r w:rsidR="00A058D0">
        <w:t>A</w:t>
      </w:r>
      <w:r w:rsidR="00262C29">
        <w:t>7</w:t>
      </w:r>
      <w:r>
        <w:t xml:space="preserve"> samples (BC, LF, SCB) exhibited an index of 20%, exceeding the maximum allowed value by 4%. In the rupture and flexural load tests, tile </w:t>
      </w:r>
      <w:r w:rsidR="00A41D7F">
        <w:t>A</w:t>
      </w:r>
      <w:r w:rsidR="009A6C4F">
        <w:t>6</w:t>
      </w:r>
      <w:r>
        <w:t xml:space="preserve"> surpassed the rupture load required by the standard by 5.4%, while tile </w:t>
      </w:r>
      <w:r w:rsidR="002E758A">
        <w:t>A7</w:t>
      </w:r>
      <w:r>
        <w:t xml:space="preserve"> did not reach the minimum load of 1000 N required for simple bending. These results demonstrate the potential of sustainable and low-cost tiles for application in the construction industry, especially as building cladding.</w:t>
      </w:r>
    </w:p>
    <w:p w14:paraId="3F5D7F21" w14:textId="77777777" w:rsidR="00600535" w:rsidRPr="00B57B36" w:rsidRDefault="00600535" w:rsidP="00600535">
      <w:pPr>
        <w:pStyle w:val="CETHeading1"/>
        <w:rPr>
          <w:lang w:val="en-GB"/>
        </w:rPr>
      </w:pPr>
      <w:r w:rsidRPr="00B57B36">
        <w:rPr>
          <w:lang w:val="en-GB"/>
        </w:rPr>
        <w:t>Introduction</w:t>
      </w:r>
    </w:p>
    <w:p w14:paraId="19AC9253" w14:textId="78447EDC" w:rsidR="00A73E12" w:rsidRPr="00A73E12" w:rsidRDefault="00A73E12" w:rsidP="00584479">
      <w:pPr>
        <w:pStyle w:val="CETBodytext"/>
        <w:spacing w:line="240" w:lineRule="auto"/>
        <w:rPr>
          <w:lang w:val="en-GB"/>
        </w:rPr>
      </w:pPr>
      <w:r w:rsidRPr="00A73E12">
        <w:rPr>
          <w:lang w:val="en-GB"/>
        </w:rPr>
        <w:t>The growing population, combined with economic progress and urbanization, has led to significant changes in production and consumption patterns, with direct implications for the quantity and diversity of waste generated, particularly in metropolitan areas. The rapid expansion of cities and the increase in industrial activity result in increasing pressure on natural resources and waste disposal processes, which, in many cases, occur inadequately. This scenario is further complicated by the lack of effective sustainable management, which is essential for dealing with the large volume of solid and agroindustrial waste, whose negative environmental impacts are becoming increasingly evident. Among the various sources of waste, the construction industry, agroindustry, and textile production stand out, all of which have great potential for reuse in new production chains, provided that a more conscious and innovative approach to the management of these materials is implemented (Amaral, 2023).</w:t>
      </w:r>
      <w:r w:rsidR="00093371">
        <w:rPr>
          <w:lang w:val="en-GB"/>
        </w:rPr>
        <w:t xml:space="preserve"> </w:t>
      </w:r>
      <w:r w:rsidRPr="00A73E12">
        <w:rPr>
          <w:lang w:val="en-GB"/>
        </w:rPr>
        <w:t xml:space="preserve">In this context, the construction sector has been searching for alternatives to reduce the environmental impact of the materials it produces. One solution found was the substitution of traditional components by recyclable elements, resulting in the development of fibrocement. This material, widely used in the production of roofing tiles, tanks, and other construction items, is made from a mixture of cement, calcium silicate binders, and </w:t>
      </w:r>
      <w:proofErr w:type="spellStart"/>
      <w:r w:rsidRPr="00A73E12">
        <w:rPr>
          <w:lang w:val="en-GB"/>
        </w:rPr>
        <w:t>fibers</w:t>
      </w:r>
      <w:proofErr w:type="spellEnd"/>
      <w:r w:rsidRPr="00A73E12">
        <w:rPr>
          <w:lang w:val="en-GB"/>
        </w:rPr>
        <w:t xml:space="preserve">, which may come from different sources, such as </w:t>
      </w:r>
      <w:r w:rsidR="00E727FB">
        <w:rPr>
          <w:lang w:val="en-GB"/>
        </w:rPr>
        <w:t>vegetable</w:t>
      </w:r>
      <w:r w:rsidRPr="00A73E12">
        <w:rPr>
          <w:lang w:val="en-GB"/>
        </w:rPr>
        <w:t xml:space="preserve"> cellulose </w:t>
      </w:r>
      <w:proofErr w:type="spellStart"/>
      <w:r w:rsidRPr="00A73E12">
        <w:rPr>
          <w:lang w:val="en-GB"/>
        </w:rPr>
        <w:t>fibers</w:t>
      </w:r>
      <w:proofErr w:type="spellEnd"/>
      <w:r w:rsidRPr="00A73E12">
        <w:rPr>
          <w:lang w:val="en-GB"/>
        </w:rPr>
        <w:t xml:space="preserve">, mineral </w:t>
      </w:r>
      <w:proofErr w:type="spellStart"/>
      <w:r w:rsidRPr="00A73E12">
        <w:rPr>
          <w:lang w:val="en-GB"/>
        </w:rPr>
        <w:t>fibers</w:t>
      </w:r>
      <w:proofErr w:type="spellEnd"/>
      <w:r w:rsidRPr="00A73E12">
        <w:rPr>
          <w:lang w:val="en-GB"/>
        </w:rPr>
        <w:t xml:space="preserve">, or synthetic </w:t>
      </w:r>
      <w:proofErr w:type="spellStart"/>
      <w:r w:rsidRPr="00A73E12">
        <w:rPr>
          <w:lang w:val="en-GB"/>
        </w:rPr>
        <w:t>fibers</w:t>
      </w:r>
      <w:proofErr w:type="spellEnd"/>
      <w:r w:rsidRPr="00A73E12">
        <w:rPr>
          <w:lang w:val="en-GB"/>
        </w:rPr>
        <w:t xml:space="preserve">, such as glass </w:t>
      </w:r>
      <w:proofErr w:type="spellStart"/>
      <w:r w:rsidRPr="00A73E12">
        <w:rPr>
          <w:lang w:val="en-GB"/>
        </w:rPr>
        <w:t>fibers</w:t>
      </w:r>
      <w:proofErr w:type="spellEnd"/>
      <w:r w:rsidRPr="00A73E12">
        <w:rPr>
          <w:lang w:val="en-GB"/>
        </w:rPr>
        <w:t>. The addition of</w:t>
      </w:r>
      <w:r w:rsidR="00E727FB">
        <w:rPr>
          <w:lang w:val="en-GB"/>
        </w:rPr>
        <w:t xml:space="preserve"> vegetable</w:t>
      </w:r>
      <w:r w:rsidRPr="00A73E12">
        <w:rPr>
          <w:lang w:val="en-GB"/>
        </w:rPr>
        <w:t xml:space="preserve"> </w:t>
      </w:r>
      <w:proofErr w:type="spellStart"/>
      <w:r w:rsidRPr="00A73E12">
        <w:rPr>
          <w:lang w:val="en-GB"/>
        </w:rPr>
        <w:t>fibers</w:t>
      </w:r>
      <w:proofErr w:type="spellEnd"/>
      <w:r w:rsidRPr="00A73E12">
        <w:rPr>
          <w:lang w:val="en-GB"/>
        </w:rPr>
        <w:t xml:space="preserve"> to fibrocement, for example, has shown significant benefits, not only in increasing impact resistance but also in improving thermal and acoustic insulation, providing the material with an additional advantage in terms of sustainability and performance (</w:t>
      </w:r>
      <w:proofErr w:type="spellStart"/>
      <w:r w:rsidRPr="00A73E12">
        <w:rPr>
          <w:lang w:val="en-GB"/>
        </w:rPr>
        <w:t>Brasilit</w:t>
      </w:r>
      <w:proofErr w:type="spellEnd"/>
      <w:r w:rsidRPr="00A73E12">
        <w:rPr>
          <w:lang w:val="en-GB"/>
        </w:rPr>
        <w:t>, 2021).</w:t>
      </w:r>
    </w:p>
    <w:p w14:paraId="21193BBF" w14:textId="62F94085" w:rsidR="00F772C7" w:rsidRDefault="00A73E12" w:rsidP="00093371">
      <w:pPr>
        <w:pStyle w:val="CETBodytext"/>
        <w:spacing w:line="240" w:lineRule="auto"/>
        <w:rPr>
          <w:lang w:val="en-GB"/>
        </w:rPr>
      </w:pPr>
      <w:r w:rsidRPr="00A73E12">
        <w:rPr>
          <w:lang w:val="en-GB"/>
        </w:rPr>
        <w:lastRenderedPageBreak/>
        <w:t xml:space="preserve">However, the production of </w:t>
      </w:r>
      <w:r w:rsidR="00FE57AC">
        <w:rPr>
          <w:lang w:val="en-GB"/>
        </w:rPr>
        <w:t>vegeta</w:t>
      </w:r>
      <w:r w:rsidR="006D460F">
        <w:rPr>
          <w:lang w:val="en-GB"/>
        </w:rPr>
        <w:t xml:space="preserve">ble </w:t>
      </w:r>
      <w:r w:rsidRPr="00A73E12">
        <w:rPr>
          <w:lang w:val="en-GB"/>
        </w:rPr>
        <w:t>cellulose (</w:t>
      </w:r>
      <w:r w:rsidR="00A14E68">
        <w:rPr>
          <w:lang w:val="en-GB"/>
        </w:rPr>
        <w:t>V</w:t>
      </w:r>
      <w:r w:rsidRPr="00A73E12">
        <w:rPr>
          <w:lang w:val="en-GB"/>
        </w:rPr>
        <w:t xml:space="preserve">C), the main raw material for these </w:t>
      </w:r>
      <w:proofErr w:type="spellStart"/>
      <w:r w:rsidRPr="00A73E12">
        <w:rPr>
          <w:lang w:val="en-GB"/>
        </w:rPr>
        <w:t>fibers</w:t>
      </w:r>
      <w:proofErr w:type="spellEnd"/>
      <w:r w:rsidRPr="00A73E12">
        <w:rPr>
          <w:lang w:val="en-GB"/>
        </w:rPr>
        <w:t xml:space="preserve">, has raised several environmental concerns, mainly due to the high consumption of wood, which in turn contributes to deforestation and ecosystem degradation. Therefore, more ecological alternatives for cellulose production have emerged, such as bacterial cellulose (BC), which is obtained through the fermentation of organic substrates by specific microorganisms, including bacteria from the genera </w:t>
      </w:r>
      <w:proofErr w:type="spellStart"/>
      <w:r w:rsidRPr="00A73E12">
        <w:rPr>
          <w:i/>
          <w:iCs/>
          <w:lang w:val="en-GB"/>
        </w:rPr>
        <w:t>Komagataeibacter</w:t>
      </w:r>
      <w:proofErr w:type="spellEnd"/>
      <w:r w:rsidRPr="00A73E12">
        <w:rPr>
          <w:i/>
          <w:iCs/>
          <w:lang w:val="en-GB"/>
        </w:rPr>
        <w:t xml:space="preserve">, Acetobacter, Escherichia, </w:t>
      </w:r>
      <w:r w:rsidRPr="00A73E12">
        <w:rPr>
          <w:lang w:val="en-GB"/>
        </w:rPr>
        <w:t>and</w:t>
      </w:r>
      <w:r w:rsidRPr="00A73E12">
        <w:rPr>
          <w:i/>
          <w:iCs/>
          <w:lang w:val="en-GB"/>
        </w:rPr>
        <w:t xml:space="preserve"> </w:t>
      </w:r>
      <w:proofErr w:type="spellStart"/>
      <w:r w:rsidRPr="00A73E12">
        <w:rPr>
          <w:i/>
          <w:iCs/>
          <w:lang w:val="en-GB"/>
        </w:rPr>
        <w:t>Sarcina</w:t>
      </w:r>
      <w:proofErr w:type="spellEnd"/>
      <w:r w:rsidRPr="00A73E12">
        <w:rPr>
          <w:lang w:val="en-GB"/>
        </w:rPr>
        <w:t xml:space="preserve"> (Chen </w:t>
      </w:r>
      <w:r w:rsidRPr="00AC63C4">
        <w:rPr>
          <w:i/>
          <w:iCs/>
          <w:lang w:val="en-GB"/>
        </w:rPr>
        <w:t>et al</w:t>
      </w:r>
      <w:r w:rsidRPr="00A73E12">
        <w:rPr>
          <w:lang w:val="en-GB"/>
        </w:rPr>
        <w:t xml:space="preserve">., 2024). Unlike PC, BC is a pure polymer, free from lignin and hemicellulose, with a three-dimensional nanofibril structure that gives it exceptional properties, such as high tensile strength, excellent water absorption and retention capacity, and biodegradability and renewability. These characteristics make bacterial cellulose an excellent option for use as reinforcement in construction materials, offering a sustainable solution for the construction industry (Silva </w:t>
      </w:r>
      <w:r w:rsidRPr="00AC63C4">
        <w:rPr>
          <w:i/>
          <w:iCs/>
          <w:lang w:val="en-GB"/>
        </w:rPr>
        <w:t>et al</w:t>
      </w:r>
      <w:r w:rsidRPr="00A73E12">
        <w:rPr>
          <w:lang w:val="en-GB"/>
        </w:rPr>
        <w:t>., 2024).</w:t>
      </w:r>
      <w:r w:rsidR="00093371">
        <w:rPr>
          <w:lang w:val="en-GB"/>
        </w:rPr>
        <w:t xml:space="preserve"> </w:t>
      </w:r>
      <w:r w:rsidRPr="00A73E12">
        <w:rPr>
          <w:lang w:val="en-GB"/>
        </w:rPr>
        <w:t xml:space="preserve">The production of BC, however, faces challenges related to the high cost of traditional cultivation media, such as Hestrin-Schramm (HS), which is widely used in the fermentation process but presents a high cost (Hestrin &amp; Schramm, 1954). As an alternative, several studies have sought to explore alternative media for BC production, using agroindustrial by-products and food waste, such as fruit peels, corn residues, and other organic materials (Chen </w:t>
      </w:r>
      <w:r w:rsidRPr="00AC63C4">
        <w:rPr>
          <w:i/>
          <w:iCs/>
          <w:lang w:val="en-GB"/>
        </w:rPr>
        <w:t>et al</w:t>
      </w:r>
      <w:r w:rsidRPr="00A73E12">
        <w:rPr>
          <w:lang w:val="en-GB"/>
        </w:rPr>
        <w:t xml:space="preserve">., 2010; Cavalcanti </w:t>
      </w:r>
      <w:r w:rsidRPr="00AC63C4">
        <w:rPr>
          <w:i/>
          <w:iCs/>
          <w:lang w:val="en-GB"/>
        </w:rPr>
        <w:t>et al</w:t>
      </w:r>
      <w:r w:rsidRPr="00A73E12">
        <w:rPr>
          <w:lang w:val="en-GB"/>
        </w:rPr>
        <w:t xml:space="preserve">., 2023; Galdino </w:t>
      </w:r>
      <w:r w:rsidRPr="00AC63C4">
        <w:rPr>
          <w:i/>
          <w:iCs/>
          <w:lang w:val="en-GB"/>
        </w:rPr>
        <w:t>et al.,</w:t>
      </w:r>
      <w:r w:rsidRPr="00A73E12">
        <w:rPr>
          <w:lang w:val="en-GB"/>
        </w:rPr>
        <w:t xml:space="preserve"> 2020). These residues offer an opportunity for the reuse of materials that would otherwise be discarded, contributing not only to the reduction of environmental impacts but also to the increased economic viability of large-scale BC production. The use of these alternative materials can also improve fermentation yield, optimizing BC production while promoting a circular economy and more efficient resource utilization (Costa </w:t>
      </w:r>
      <w:r w:rsidRPr="00AC63C4">
        <w:rPr>
          <w:i/>
          <w:iCs/>
          <w:lang w:val="en-GB"/>
        </w:rPr>
        <w:t>et al.,</w:t>
      </w:r>
      <w:r w:rsidRPr="00A73E12">
        <w:rPr>
          <w:lang w:val="en-GB"/>
        </w:rPr>
        <w:t xml:space="preserve"> 2017).</w:t>
      </w:r>
      <w:r w:rsidR="00093371">
        <w:rPr>
          <w:lang w:val="en-GB"/>
        </w:rPr>
        <w:t xml:space="preserve"> </w:t>
      </w:r>
      <w:r w:rsidRPr="00A73E12">
        <w:rPr>
          <w:lang w:val="en-GB"/>
        </w:rPr>
        <w:t xml:space="preserve">Furthermore, solid waste management has become a global environmental concern, with the textile industry playing a significant role in this scenario. The textile sector generates large volumes of fibrous waste during various stages of the production process, such as </w:t>
      </w:r>
      <w:proofErr w:type="spellStart"/>
      <w:r w:rsidRPr="00A73E12">
        <w:rPr>
          <w:lang w:val="en-GB"/>
        </w:rPr>
        <w:t>fiber</w:t>
      </w:r>
      <w:proofErr w:type="spellEnd"/>
      <w:r w:rsidRPr="00A73E12">
        <w:rPr>
          <w:lang w:val="en-GB"/>
        </w:rPr>
        <w:t xml:space="preserve"> harvesting, spinning, dyeing, and finishing, many of which are discarded improperly. The reuse of textile waste, especially that from beachwear and composed of polyamide </w:t>
      </w:r>
      <w:proofErr w:type="spellStart"/>
      <w:r w:rsidRPr="00A73E12">
        <w:rPr>
          <w:lang w:val="en-GB"/>
        </w:rPr>
        <w:t>fibers</w:t>
      </w:r>
      <w:proofErr w:type="spellEnd"/>
      <w:r w:rsidRPr="00A73E12">
        <w:rPr>
          <w:lang w:val="en-GB"/>
        </w:rPr>
        <w:t xml:space="preserve">, has become an area of growing interest. Incorporating these textile </w:t>
      </w:r>
      <w:proofErr w:type="spellStart"/>
      <w:r w:rsidRPr="00A73E12">
        <w:rPr>
          <w:lang w:val="en-GB"/>
        </w:rPr>
        <w:t>fibers</w:t>
      </w:r>
      <w:proofErr w:type="spellEnd"/>
      <w:r w:rsidRPr="00A73E12">
        <w:rPr>
          <w:lang w:val="en-GB"/>
        </w:rPr>
        <w:t xml:space="preserve"> into new materials can provide a solution to reduce the waste of natural resources, as well as minimize the environmental impacts of the textile industry. The use of these residues in fibrocement production, for example, can add value to the final material by providing additional characteristics of strength and durability, while promoting better waste management in the sector (Yalcin-</w:t>
      </w:r>
      <w:proofErr w:type="spellStart"/>
      <w:r w:rsidRPr="00A73E12">
        <w:rPr>
          <w:lang w:val="en-GB"/>
        </w:rPr>
        <w:t>enis</w:t>
      </w:r>
      <w:proofErr w:type="spellEnd"/>
      <w:r w:rsidRPr="00A73E12">
        <w:rPr>
          <w:lang w:val="en-GB"/>
        </w:rPr>
        <w:t xml:space="preserve"> </w:t>
      </w:r>
      <w:r w:rsidRPr="00AC63C4">
        <w:rPr>
          <w:i/>
          <w:iCs/>
          <w:lang w:val="en-GB"/>
        </w:rPr>
        <w:t>et al.,</w:t>
      </w:r>
      <w:r w:rsidRPr="00A73E12">
        <w:rPr>
          <w:lang w:val="en-GB"/>
        </w:rPr>
        <w:t xml:space="preserve"> 2019).</w:t>
      </w:r>
      <w:r w:rsidR="00093371">
        <w:rPr>
          <w:lang w:val="en-GB"/>
        </w:rPr>
        <w:t xml:space="preserve"> </w:t>
      </w:r>
      <w:r w:rsidRPr="00A73E12">
        <w:rPr>
          <w:lang w:val="en-GB"/>
        </w:rPr>
        <w:t>Considering the disparities between</w:t>
      </w:r>
      <w:r w:rsidR="003C6436">
        <w:rPr>
          <w:lang w:val="en-GB"/>
        </w:rPr>
        <w:t xml:space="preserve"> vegetable</w:t>
      </w:r>
      <w:r w:rsidRPr="00A73E12">
        <w:rPr>
          <w:lang w:val="en-GB"/>
        </w:rPr>
        <w:t xml:space="preserve">, microbial, and synthetic </w:t>
      </w:r>
      <w:proofErr w:type="spellStart"/>
      <w:r w:rsidRPr="00A73E12">
        <w:rPr>
          <w:lang w:val="en-GB"/>
        </w:rPr>
        <w:t>fibers</w:t>
      </w:r>
      <w:proofErr w:type="spellEnd"/>
      <w:r w:rsidRPr="00A73E12">
        <w:rPr>
          <w:lang w:val="en-GB"/>
        </w:rPr>
        <w:t xml:space="preserve">, it is crucial to conduct a detailed analysis of their compatibility with fibrocement components, evaluating aspects such as water retention and absorption, as well as the thermal and acoustic properties of the resulting composite. Research on the compatibility of these different types of </w:t>
      </w:r>
      <w:proofErr w:type="spellStart"/>
      <w:r w:rsidRPr="00A73E12">
        <w:rPr>
          <w:lang w:val="en-GB"/>
        </w:rPr>
        <w:t>fibers</w:t>
      </w:r>
      <w:proofErr w:type="spellEnd"/>
      <w:r w:rsidRPr="00A73E12">
        <w:rPr>
          <w:lang w:val="en-GB"/>
        </w:rPr>
        <w:t xml:space="preserve"> is essential to ensure that the final material is impermeable, flexible, resistant to warping, and, at the same time, </w:t>
      </w:r>
      <w:proofErr w:type="spellStart"/>
      <w:r w:rsidRPr="00A73E12">
        <w:rPr>
          <w:lang w:val="en-GB"/>
        </w:rPr>
        <w:t>moldable</w:t>
      </w:r>
      <w:proofErr w:type="spellEnd"/>
      <w:r w:rsidRPr="00A73E12">
        <w:rPr>
          <w:lang w:val="en-GB"/>
        </w:rPr>
        <w:t xml:space="preserve"> to meet the needs of the construction sector (</w:t>
      </w:r>
      <w:proofErr w:type="spellStart"/>
      <w:r w:rsidRPr="00A73E12">
        <w:rPr>
          <w:lang w:val="en-GB"/>
        </w:rPr>
        <w:t>Baumi</w:t>
      </w:r>
      <w:proofErr w:type="spellEnd"/>
      <w:r w:rsidRPr="00A73E12">
        <w:rPr>
          <w:lang w:val="en-GB"/>
        </w:rPr>
        <w:t xml:space="preserve"> </w:t>
      </w:r>
      <w:r w:rsidRPr="00AC63C4">
        <w:rPr>
          <w:i/>
          <w:iCs/>
          <w:lang w:val="en-GB"/>
        </w:rPr>
        <w:t>et al</w:t>
      </w:r>
      <w:r w:rsidRPr="00A73E12">
        <w:rPr>
          <w:lang w:val="en-GB"/>
        </w:rPr>
        <w:t>., 2017; Henriques</w:t>
      </w:r>
      <w:r w:rsidR="00581A22" w:rsidRPr="00581A22">
        <w:rPr>
          <w:i/>
          <w:iCs/>
          <w:lang w:val="en-GB"/>
        </w:rPr>
        <w:t xml:space="preserve"> </w:t>
      </w:r>
      <w:r w:rsidR="00581A22" w:rsidRPr="0020210A">
        <w:rPr>
          <w:i/>
          <w:iCs/>
          <w:lang w:val="en-GB"/>
        </w:rPr>
        <w:t>et al</w:t>
      </w:r>
      <w:r w:rsidR="00581A22" w:rsidRPr="00922682">
        <w:rPr>
          <w:lang w:val="en-GB"/>
        </w:rPr>
        <w:t xml:space="preserve">., </w:t>
      </w:r>
      <w:r w:rsidRPr="00A73E12">
        <w:rPr>
          <w:lang w:val="en-GB"/>
        </w:rPr>
        <w:t xml:space="preserve">2014). Thus, combining bacterial cellulose with textile waste, such as polyamide </w:t>
      </w:r>
      <w:proofErr w:type="spellStart"/>
      <w:r w:rsidRPr="00A73E12">
        <w:rPr>
          <w:lang w:val="en-GB"/>
        </w:rPr>
        <w:t>fibers</w:t>
      </w:r>
      <w:proofErr w:type="spellEnd"/>
      <w:r w:rsidRPr="00A73E12">
        <w:rPr>
          <w:lang w:val="en-GB"/>
        </w:rPr>
        <w:t>, in the development of new sustainable materials, presents a promising opportunity to produce eco-friendly tiles and other construction components.</w:t>
      </w:r>
      <w:r w:rsidR="00093371">
        <w:rPr>
          <w:lang w:val="en-GB"/>
        </w:rPr>
        <w:t xml:space="preserve"> </w:t>
      </w:r>
      <w:r w:rsidR="00F772C7" w:rsidRPr="00F772C7">
        <w:rPr>
          <w:lang w:val="en-GB"/>
        </w:rPr>
        <w:t xml:space="preserve">The objective of this study is to investigate the feasibility of replacing vegetable cellulose (VC) with bacterial cellulose (BC) in the production of sustainable tiles, utilizing agroindustrial and textile waste as raw materials. Specifically, this research hypothesizes that the incorporation of BC and polyamide </w:t>
      </w:r>
      <w:proofErr w:type="spellStart"/>
      <w:r w:rsidR="00F772C7" w:rsidRPr="00F772C7">
        <w:rPr>
          <w:lang w:val="en-GB"/>
        </w:rPr>
        <w:t>fibers</w:t>
      </w:r>
      <w:proofErr w:type="spellEnd"/>
      <w:r w:rsidR="00F772C7" w:rsidRPr="00F772C7">
        <w:rPr>
          <w:lang w:val="en-GB"/>
        </w:rPr>
        <w:t xml:space="preserve"> from textile waste enhances the mechanical properties (e.g., tensile and impact strength) and sustainability profile of the final composite material. The study aims to evaluate the performance of these eco-friendly composites through comparative analyses, offering a viable alternative to conventional materials. The expected contributions include not only the development of a more sustainable route for tile manufacturing but also scientific insight into the synergy between microbial biopolymers and synthetic textile </w:t>
      </w:r>
      <w:proofErr w:type="spellStart"/>
      <w:r w:rsidR="00F772C7" w:rsidRPr="00F772C7">
        <w:rPr>
          <w:lang w:val="en-GB"/>
        </w:rPr>
        <w:t>fibers</w:t>
      </w:r>
      <w:proofErr w:type="spellEnd"/>
      <w:r w:rsidR="00F772C7" w:rsidRPr="00F772C7">
        <w:rPr>
          <w:lang w:val="en-GB"/>
        </w:rPr>
        <w:t>, advancing the field of green construction materials.</w:t>
      </w:r>
    </w:p>
    <w:p w14:paraId="78E2333F" w14:textId="77777777" w:rsidR="001710A3" w:rsidRPr="00B57B36" w:rsidRDefault="00535C1B" w:rsidP="001710A3">
      <w:pPr>
        <w:pStyle w:val="CETHeading1"/>
        <w:rPr>
          <w:lang w:val="en-GB"/>
        </w:rPr>
      </w:pPr>
      <w:r w:rsidRPr="00535C1B">
        <w:rPr>
          <w:lang w:val="en-GB"/>
        </w:rPr>
        <w:t>Material and methods</w:t>
      </w:r>
    </w:p>
    <w:p w14:paraId="18D4F3BF" w14:textId="77777777" w:rsidR="003803C9" w:rsidRDefault="003803C9" w:rsidP="003803C9">
      <w:pPr>
        <w:pStyle w:val="CETheadingx"/>
      </w:pPr>
      <w:r w:rsidRPr="003803C9">
        <w:t xml:space="preserve">Bacterial cellulose (BC) </w:t>
      </w:r>
      <w:proofErr w:type="gramStart"/>
      <w:r w:rsidRPr="003803C9">
        <w:t>producing</w:t>
      </w:r>
      <w:proofErr w:type="gramEnd"/>
      <w:r w:rsidRPr="003803C9">
        <w:t xml:space="preserve"> microorganism and maintenance media </w:t>
      </w:r>
    </w:p>
    <w:p w14:paraId="3C97A39B" w14:textId="77777777" w:rsidR="00ED4F44" w:rsidRPr="00ED4F44" w:rsidRDefault="00ED4F44" w:rsidP="00A70928">
      <w:pPr>
        <w:pStyle w:val="CETBodytext"/>
        <w:spacing w:after="240"/>
        <w:rPr>
          <w:lang w:val="en-GB"/>
        </w:rPr>
      </w:pPr>
      <w:r w:rsidRPr="00ED4F44">
        <w:rPr>
          <w:lang w:val="en-GB"/>
        </w:rPr>
        <w:t xml:space="preserve">The bacterium </w:t>
      </w:r>
      <w:proofErr w:type="spellStart"/>
      <w:r w:rsidRPr="00505840">
        <w:rPr>
          <w:i/>
          <w:iCs/>
          <w:lang w:val="en-GB"/>
        </w:rPr>
        <w:t>Komagataeibacter</w:t>
      </w:r>
      <w:proofErr w:type="spellEnd"/>
      <w:r w:rsidRPr="00505840">
        <w:rPr>
          <w:i/>
          <w:iCs/>
          <w:lang w:val="en-GB"/>
        </w:rPr>
        <w:t xml:space="preserve"> </w:t>
      </w:r>
      <w:proofErr w:type="spellStart"/>
      <w:r w:rsidRPr="00505840">
        <w:rPr>
          <w:i/>
          <w:iCs/>
          <w:lang w:val="en-GB"/>
        </w:rPr>
        <w:t>hansenii</w:t>
      </w:r>
      <w:proofErr w:type="spellEnd"/>
      <w:r w:rsidRPr="00ED4F44">
        <w:rPr>
          <w:lang w:val="en-GB"/>
        </w:rPr>
        <w:t xml:space="preserve"> UCP1619, sourced from the Bank of Cultures of the </w:t>
      </w:r>
      <w:proofErr w:type="spellStart"/>
      <w:r w:rsidRPr="00ED4F44">
        <w:rPr>
          <w:lang w:val="en-GB"/>
        </w:rPr>
        <w:t>Center</w:t>
      </w:r>
      <w:proofErr w:type="spellEnd"/>
      <w:r w:rsidRPr="00ED4F44">
        <w:rPr>
          <w:lang w:val="en-GB"/>
        </w:rPr>
        <w:t xml:space="preserve"> for Research in Environmental Sciences (NPCIAMB) at the Catholic University of Pernambuco, was employed for bacterial cellulose (BC) production. This strain was maintained on solid HS medium composed of 20.00 g/L agar, 20.00 g/L glucose, 5.00 g/L peptone, 5.00 g/L yeast extract, 1.15 g/L citric acid, and 2.70 g/L disodium phosphate, adjusted to pH 6, and stored under refrigeration at 4°C (Hestrin and Schramm, 1954).</w:t>
      </w:r>
    </w:p>
    <w:p w14:paraId="206C3426" w14:textId="77777777" w:rsidR="00BD06CF" w:rsidRDefault="00FC7DD6" w:rsidP="00BD66EB">
      <w:pPr>
        <w:pStyle w:val="CETheadingx"/>
      </w:pPr>
      <w:r w:rsidRPr="00FC7DD6">
        <w:t>Production of Bacterial Cellulose (BC) Using Alternative Culture Media</w:t>
      </w:r>
    </w:p>
    <w:p w14:paraId="020C1E03" w14:textId="51BC95FD" w:rsidR="005C3AB2" w:rsidRPr="005C3AB2" w:rsidRDefault="005C3AB2" w:rsidP="005C3AB2">
      <w:pPr>
        <w:pStyle w:val="CETBodytext"/>
        <w:rPr>
          <w:lang w:val="en-GB"/>
        </w:rPr>
      </w:pPr>
      <w:r w:rsidRPr="005C3AB2">
        <w:rPr>
          <w:lang w:val="en-GB"/>
        </w:rPr>
        <w:t xml:space="preserve">To develop an alternative culture medium, ripe tomatoes (Solanum </w:t>
      </w:r>
      <w:proofErr w:type="spellStart"/>
      <w:r w:rsidRPr="005C3AB2">
        <w:rPr>
          <w:lang w:val="en-GB"/>
        </w:rPr>
        <w:t>lycopersicum</w:t>
      </w:r>
      <w:proofErr w:type="spellEnd"/>
      <w:r w:rsidRPr="005C3AB2">
        <w:rPr>
          <w:lang w:val="en-GB"/>
        </w:rPr>
        <w:t xml:space="preserve">) were utilized due to their high discard rate in the Recife region of Pernambuco, Brazil, despite being rich in nutrients essential for cellulose production. Tomatoes contain approximately 46% carbohydrates and 9% citric acid, making them a suitable substrate (Beckles, 2012). Ripe tomatoes, weighing approximately 150 g per unit, were blended with </w:t>
      </w:r>
      <w:r>
        <w:rPr>
          <w:lang w:val="en-GB"/>
        </w:rPr>
        <w:t>10</w:t>
      </w:r>
      <w:r w:rsidRPr="005C3AB2">
        <w:rPr>
          <w:lang w:val="en-GB"/>
        </w:rPr>
        <w:t>0 mL of distilled water at a 1:100 ratio using an industrial blender at 18,000 rpm for 2 minutes, producing a homogeneous pulp. From this mixture, 100 mL of the resulting juice was then filtered to remove excess solids and autoclaved at 120°C for 20 minutes to ensure sterility. As a control, a standard HS medium was prepared using the same procedure but without tomato pulp.</w:t>
      </w:r>
    </w:p>
    <w:p w14:paraId="743F30DD" w14:textId="25E80407" w:rsidR="005C3AB2" w:rsidRPr="00A70928" w:rsidRDefault="005C3AB2" w:rsidP="005C3AB2">
      <w:pPr>
        <w:pStyle w:val="CETBodytext"/>
        <w:spacing w:after="240"/>
        <w:rPr>
          <w:lang w:val="en-GB"/>
        </w:rPr>
      </w:pPr>
      <w:r w:rsidRPr="005C3AB2">
        <w:rPr>
          <w:lang w:val="en-GB"/>
        </w:rPr>
        <w:lastRenderedPageBreak/>
        <w:t xml:space="preserve">The pre-inoculum was prepared by cultivating K. </w:t>
      </w:r>
      <w:proofErr w:type="spellStart"/>
      <w:r w:rsidRPr="005C3AB2">
        <w:rPr>
          <w:lang w:val="en-GB"/>
        </w:rPr>
        <w:t>hansenii</w:t>
      </w:r>
      <w:proofErr w:type="spellEnd"/>
      <w:r w:rsidRPr="005C3AB2">
        <w:rPr>
          <w:lang w:val="en-GB"/>
        </w:rPr>
        <w:t xml:space="preserve"> at 30°C for 48 hours under static conditions in 100 mL of liquid HS medium without agar. Subsequently, 3% (v/v) of this pre-inoculum was transferred to 500 mL Scott flasks containing 100 mL of the sterilized tomato-based medium. The cultures were incubated statically at 30°C for 14 days to facilitate BC production. The experiment was conducted in triplicate, and the yield was evaluated in both wet and dry mass to determine the total cellulose production (g/L). Statistical analyses, including ANOVA, will be used to assess the significance of the results between the treatments (tomato-based medium vs. control).</w:t>
      </w:r>
    </w:p>
    <w:p w14:paraId="56CE353E" w14:textId="77777777" w:rsidR="003C6436" w:rsidRDefault="00E00520" w:rsidP="003C6436">
      <w:pPr>
        <w:pStyle w:val="CETheadingx"/>
      </w:pPr>
      <w:r w:rsidRPr="00E00520">
        <w:t>Determination of the composition and the ideal proportion of materials to be used in the production of the tile.</w:t>
      </w:r>
    </w:p>
    <w:p w14:paraId="3FDD6C2E" w14:textId="77777777" w:rsidR="008134DF" w:rsidRDefault="00AD3646" w:rsidP="00F61942">
      <w:pPr>
        <w:pStyle w:val="CETBodytext"/>
        <w:rPr>
          <w:lang w:val="en-GB"/>
        </w:rPr>
      </w:pPr>
      <w:r w:rsidRPr="00AD3646">
        <w:rPr>
          <w:lang w:val="en-GB"/>
        </w:rPr>
        <w:t>The materials used to produce the tile were: Deionized Water (DW), CP V-ARI Cement (C), Limestone Filler (LF), which serves to reduce the permeability of the tile, BC, BCA, and PA from the fashion beachwear garment industries in Caruaru, Pernambuco, Brazil.</w:t>
      </w:r>
    </w:p>
    <w:p w14:paraId="2C8C06B1" w14:textId="77777777" w:rsidR="00ED7950" w:rsidRDefault="00AD3646" w:rsidP="00F61942">
      <w:pPr>
        <w:pStyle w:val="CETBodytext"/>
        <w:spacing w:after="240"/>
        <w:rPr>
          <w:lang w:val="en-GB"/>
        </w:rPr>
      </w:pPr>
      <w:r w:rsidRPr="00AD3646">
        <w:rPr>
          <w:lang w:val="en-GB"/>
        </w:rPr>
        <w:t>It is worth noting that the mass proportions of the materials were balanced equally, considering the inclusion or exclusion of all components. This approach allowed for the evaluation of the influence of the respective materials on the performance of the tiles.</w:t>
      </w:r>
    </w:p>
    <w:p w14:paraId="12E96FF2" w14:textId="77777777" w:rsidR="00F20283" w:rsidRDefault="00664B1C" w:rsidP="00F20283">
      <w:pPr>
        <w:pStyle w:val="CETheadingx"/>
      </w:pPr>
      <w:r w:rsidRPr="00664B1C">
        <w:t>Application of Reconstituted Cellulose and Preparation of Bagasse and Polyamide Fibers</w:t>
      </w:r>
    </w:p>
    <w:p w14:paraId="45290934" w14:textId="3DA5E288" w:rsidR="00922682" w:rsidRPr="00922682" w:rsidRDefault="00922682" w:rsidP="00AE0548">
      <w:pPr>
        <w:pStyle w:val="CETBodytext"/>
        <w:rPr>
          <w:lang w:val="en-GB"/>
        </w:rPr>
      </w:pPr>
      <w:r w:rsidRPr="00922682">
        <w:rPr>
          <w:lang w:val="en-GB"/>
        </w:rPr>
        <w:t xml:space="preserve">For this application, the bacterial cellulose (BC) membranes were ground using an industrial blender at 18,000 rpm for 2 minutes under humid conditions, forming a homogeneous mass (Galdino </w:t>
      </w:r>
      <w:r w:rsidRPr="0020210A">
        <w:rPr>
          <w:i/>
          <w:iCs/>
          <w:lang w:val="en-GB"/>
        </w:rPr>
        <w:t>et al</w:t>
      </w:r>
      <w:r w:rsidRPr="00922682">
        <w:rPr>
          <w:lang w:val="en-GB"/>
        </w:rPr>
        <w:t>., 2022). The tiles were produced in flat plate format (2 cm x 20 cm) with an approximate thickness of 5 mm and were air-dried at room temperature (25°C) for 10 days until the material was fully cured. All experiments were carried out in duplicates.</w:t>
      </w:r>
    </w:p>
    <w:p w14:paraId="507ECC62" w14:textId="1FF048F6" w:rsidR="00922682" w:rsidRPr="00922682" w:rsidRDefault="00922682" w:rsidP="00922682">
      <w:pPr>
        <w:pStyle w:val="CETBodytext"/>
        <w:rPr>
          <w:lang w:val="en-GB"/>
        </w:rPr>
      </w:pPr>
      <w:r w:rsidRPr="00922682">
        <w:rPr>
          <w:lang w:val="en-GB"/>
        </w:rPr>
        <w:t xml:space="preserve">For the use of bagasse </w:t>
      </w:r>
      <w:proofErr w:type="spellStart"/>
      <w:r w:rsidRPr="00922682">
        <w:rPr>
          <w:lang w:val="en-GB"/>
        </w:rPr>
        <w:t>fibers</w:t>
      </w:r>
      <w:proofErr w:type="spellEnd"/>
      <w:r w:rsidRPr="00922682">
        <w:rPr>
          <w:lang w:val="en-GB"/>
        </w:rPr>
        <w:t xml:space="preserve"> (BCA) as reinforcement, the material was triturated and sieved through a mesh with a </w:t>
      </w:r>
      <w:proofErr w:type="gramStart"/>
      <w:r w:rsidRPr="00922682">
        <w:rPr>
          <w:lang w:val="en-GB"/>
        </w:rPr>
        <w:t>48 mesh</w:t>
      </w:r>
      <w:proofErr w:type="gramEnd"/>
      <w:r w:rsidRPr="00922682">
        <w:rPr>
          <w:lang w:val="en-GB"/>
        </w:rPr>
        <w:t xml:space="preserve"> opening, resulting in </w:t>
      </w:r>
      <w:proofErr w:type="spellStart"/>
      <w:r w:rsidRPr="00922682">
        <w:rPr>
          <w:lang w:val="en-GB"/>
        </w:rPr>
        <w:t>fibers</w:t>
      </w:r>
      <w:proofErr w:type="spellEnd"/>
      <w:r w:rsidRPr="00922682">
        <w:rPr>
          <w:lang w:val="en-GB"/>
        </w:rPr>
        <w:t xml:space="preserve"> with an approximate thickness of 0.29 mm. The </w:t>
      </w:r>
      <w:proofErr w:type="spellStart"/>
      <w:r w:rsidRPr="00922682">
        <w:rPr>
          <w:lang w:val="en-GB"/>
        </w:rPr>
        <w:t>fibers</w:t>
      </w:r>
      <w:proofErr w:type="spellEnd"/>
      <w:r w:rsidRPr="00922682">
        <w:rPr>
          <w:lang w:val="en-GB"/>
        </w:rPr>
        <w:t>, after sieving, were immersed in water to provide a more efficient fixation and finish in the composite.</w:t>
      </w:r>
    </w:p>
    <w:p w14:paraId="2B73A90A" w14:textId="77777777" w:rsidR="00BD66EB" w:rsidRDefault="00922682" w:rsidP="00233204">
      <w:pPr>
        <w:pStyle w:val="CETBodytext"/>
        <w:spacing w:after="240"/>
        <w:rPr>
          <w:lang w:val="en-GB"/>
        </w:rPr>
      </w:pPr>
      <w:r w:rsidRPr="00922682">
        <w:rPr>
          <w:lang w:val="en-GB"/>
        </w:rPr>
        <w:t xml:space="preserve">The methodology used for preparing polyamide (PA) involved heating </w:t>
      </w:r>
      <w:proofErr w:type="spellStart"/>
      <w:r w:rsidRPr="00922682">
        <w:rPr>
          <w:lang w:val="en-GB"/>
        </w:rPr>
        <w:t>glycerin</w:t>
      </w:r>
      <w:proofErr w:type="spellEnd"/>
      <w:r w:rsidRPr="00922682">
        <w:rPr>
          <w:lang w:val="en-GB"/>
        </w:rPr>
        <w:t xml:space="preserve"> to 190°C. Gradual additions of Polyamide/Elastane fabric pieces were made, with mechanical stirring, until the fabric was completely dissolved, maintaining the temperature above 180°C. The resulting mixture was processed in a blender with the addition of water for 5 minutes. Finally, the material was dried and sieved through a 48 mesh, resulting in </w:t>
      </w:r>
      <w:proofErr w:type="spellStart"/>
      <w:r w:rsidRPr="00922682">
        <w:rPr>
          <w:lang w:val="en-GB"/>
        </w:rPr>
        <w:t>fibers</w:t>
      </w:r>
      <w:proofErr w:type="spellEnd"/>
      <w:r w:rsidRPr="00922682">
        <w:rPr>
          <w:lang w:val="en-GB"/>
        </w:rPr>
        <w:t xml:space="preserve"> with an approximate thickness of 0.29 mm (</w:t>
      </w:r>
      <w:proofErr w:type="spellStart"/>
      <w:r w:rsidRPr="00922682">
        <w:rPr>
          <w:lang w:val="en-GB"/>
        </w:rPr>
        <w:t>Baumi</w:t>
      </w:r>
      <w:proofErr w:type="spellEnd"/>
      <w:r w:rsidRPr="00922682">
        <w:rPr>
          <w:lang w:val="en-GB"/>
        </w:rPr>
        <w:t xml:space="preserve"> </w:t>
      </w:r>
      <w:r w:rsidRPr="005800E3">
        <w:rPr>
          <w:i/>
          <w:lang w:val="en-GB"/>
        </w:rPr>
        <w:t>et al</w:t>
      </w:r>
      <w:r w:rsidRPr="00922682">
        <w:rPr>
          <w:lang w:val="en-GB"/>
        </w:rPr>
        <w:t>., 2017).</w:t>
      </w:r>
    </w:p>
    <w:p w14:paraId="0F28AB85" w14:textId="77777777" w:rsidR="00233204" w:rsidRPr="00233204" w:rsidRDefault="00C30616" w:rsidP="0072758B">
      <w:pPr>
        <w:pStyle w:val="CETheadingx"/>
        <w:rPr>
          <w:lang w:val="en-GB"/>
        </w:rPr>
      </w:pPr>
      <w:r w:rsidRPr="00C30616">
        <w:t xml:space="preserve">Water </w:t>
      </w:r>
      <w:r w:rsidR="00E55B9F">
        <w:t>absorption</w:t>
      </w:r>
      <w:r w:rsidRPr="00C30616">
        <w:t xml:space="preserve"> capacity (W</w:t>
      </w:r>
      <w:r w:rsidR="001516C1">
        <w:t>A</w:t>
      </w:r>
      <w:r w:rsidRPr="00C30616">
        <w:t>C)</w:t>
      </w:r>
    </w:p>
    <w:p w14:paraId="2648BA5A" w14:textId="77777777" w:rsidR="00922682" w:rsidRDefault="00A41056" w:rsidP="00D02480">
      <w:pPr>
        <w:pStyle w:val="CETBodytext"/>
        <w:spacing w:after="240"/>
        <w:rPr>
          <w:lang w:val="en-GB"/>
        </w:rPr>
      </w:pPr>
      <w:r w:rsidRPr="00A41056">
        <w:rPr>
          <w:lang w:val="en-GB"/>
        </w:rPr>
        <w:t xml:space="preserve">The water </w:t>
      </w:r>
      <w:r w:rsidR="00C92735" w:rsidRPr="00C92735">
        <w:rPr>
          <w:lang w:val="en-GB"/>
        </w:rPr>
        <w:t xml:space="preserve">holding </w:t>
      </w:r>
      <w:r w:rsidRPr="00A41056">
        <w:rPr>
          <w:lang w:val="en-GB"/>
        </w:rPr>
        <w:t>capacity (</w:t>
      </w:r>
      <w:r w:rsidR="009610BE">
        <w:rPr>
          <w:lang w:val="en-GB"/>
        </w:rPr>
        <w:t>W</w:t>
      </w:r>
      <w:r w:rsidR="00E55B9F">
        <w:rPr>
          <w:lang w:val="en-GB"/>
        </w:rPr>
        <w:t>A</w:t>
      </w:r>
      <w:r w:rsidR="009610BE">
        <w:rPr>
          <w:lang w:val="en-GB"/>
        </w:rPr>
        <w:t>C</w:t>
      </w:r>
      <w:r w:rsidRPr="00A41056">
        <w:rPr>
          <w:lang w:val="en-GB"/>
        </w:rPr>
        <w:t xml:space="preserve">) is related to the amount of moisture the tile can absorb. </w:t>
      </w:r>
      <w:r w:rsidR="00F82896" w:rsidRPr="00F82896">
        <w:rPr>
          <w:lang w:val="en-GB"/>
        </w:rPr>
        <w:t>The tiles were submerged in water for 24 hours at room temperature. Then, the wet mass and dry mass (after drying in an oven at 105±5°C for 24 hours) were measured.</w:t>
      </w:r>
      <w:r w:rsidR="00551FFA">
        <w:rPr>
          <w:lang w:val="en-GB"/>
        </w:rPr>
        <w:t xml:space="preserve"> </w:t>
      </w:r>
      <w:r w:rsidRPr="00A41056">
        <w:rPr>
          <w:lang w:val="en-GB"/>
        </w:rPr>
        <w:t xml:space="preserve">All experiments were carried out in duplicates. The </w:t>
      </w:r>
      <w:r w:rsidR="00566308">
        <w:rPr>
          <w:lang w:val="en-GB"/>
        </w:rPr>
        <w:t>W</w:t>
      </w:r>
      <w:r w:rsidRPr="00A41056">
        <w:rPr>
          <w:lang w:val="en-GB"/>
        </w:rPr>
        <w:t>A</w:t>
      </w:r>
      <w:r w:rsidR="00566308">
        <w:rPr>
          <w:lang w:val="en-GB"/>
        </w:rPr>
        <w:t>C</w:t>
      </w:r>
      <w:r w:rsidRPr="00A41056">
        <w:rPr>
          <w:lang w:val="en-GB"/>
        </w:rPr>
        <w:t xml:space="preserve"> (%) will then be calculated using Equation 1:</w:t>
      </w:r>
    </w:p>
    <w:p w14:paraId="4F21C88A" w14:textId="52FD086A" w:rsidR="00C92735" w:rsidRDefault="00621F95" w:rsidP="00922682">
      <w:pPr>
        <w:pStyle w:val="CETBodytext"/>
        <w:rPr>
          <w:lang w:val="en-GB"/>
        </w:rPr>
      </w:pPr>
      <m:oMathPara>
        <m:oMath>
          <m:r>
            <w:rPr>
              <w:rFonts w:ascii="Cambria Math" w:hAnsi="Cambria Math"/>
              <w:lang w:val="en-GB"/>
            </w:rPr>
            <m:t>WAC%=</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BC wet mass - BC dry mass</m:t>
                  </m:r>
                </m:num>
                <m:den>
                  <m:r>
                    <w:rPr>
                      <w:rFonts w:ascii="Cambria Math" w:hAnsi="Cambria Math"/>
                      <w:lang w:val="en-GB"/>
                    </w:rPr>
                    <m:t xml:space="preserve">BC wet mass </m:t>
                  </m:r>
                </m:den>
              </m:f>
            </m:e>
          </m:d>
          <m:r>
            <w:rPr>
              <w:rFonts w:ascii="Cambria Math" w:hAnsi="Cambria Math"/>
              <w:lang w:val="en-GB"/>
            </w:rPr>
            <m:t>.100%</m:t>
          </m:r>
        </m:oMath>
      </m:oMathPara>
    </w:p>
    <w:p w14:paraId="5E1738A9" w14:textId="77777777" w:rsidR="00067DED" w:rsidRPr="00233204" w:rsidRDefault="00AA6B43" w:rsidP="00067DED">
      <w:pPr>
        <w:pStyle w:val="CETheadingx"/>
        <w:rPr>
          <w:lang w:val="en-GB"/>
        </w:rPr>
      </w:pPr>
      <w:r w:rsidRPr="00AA6B43">
        <w:rPr>
          <w:lang w:val="en-GB"/>
        </w:rPr>
        <w:t>Mechanical Tests – Flexion</w:t>
      </w:r>
    </w:p>
    <w:p w14:paraId="3BE5A621" w14:textId="77777777" w:rsidR="00F20283" w:rsidRDefault="002444DB" w:rsidP="00B63246">
      <w:pPr>
        <w:pStyle w:val="CETBodytext"/>
        <w:spacing w:after="240"/>
        <w:rPr>
          <w:lang w:val="en-GB"/>
        </w:rPr>
      </w:pPr>
      <w:r w:rsidRPr="002444DB">
        <w:rPr>
          <w:lang w:val="en-GB"/>
        </w:rPr>
        <w:t xml:space="preserve">The </w:t>
      </w:r>
      <w:r w:rsidR="00047695">
        <w:rPr>
          <w:lang w:val="en-GB"/>
        </w:rPr>
        <w:t xml:space="preserve">flexural </w:t>
      </w:r>
      <w:r w:rsidRPr="002444DB">
        <w:rPr>
          <w:lang w:val="en-GB"/>
        </w:rPr>
        <w:t xml:space="preserve">analyses were performed using a universal testing machine from the brand Emic, model DL500 MF. The data analysis will use the software from the </w:t>
      </w:r>
      <w:proofErr w:type="spellStart"/>
      <w:r w:rsidRPr="002444DB">
        <w:rPr>
          <w:lang w:val="en-GB"/>
        </w:rPr>
        <w:t>MTest</w:t>
      </w:r>
      <w:proofErr w:type="spellEnd"/>
      <w:r w:rsidRPr="002444DB">
        <w:rPr>
          <w:lang w:val="en-GB"/>
        </w:rPr>
        <w:t xml:space="preserve"> machine, Version 3.00. The warping and bending of the tiles followed the methodology of (Henriques </w:t>
      </w:r>
      <w:r w:rsidRPr="005800E3">
        <w:rPr>
          <w:i/>
          <w:lang w:val="en-GB"/>
        </w:rPr>
        <w:t>et al.,</w:t>
      </w:r>
      <w:r w:rsidRPr="002444DB">
        <w:rPr>
          <w:lang w:val="en-GB"/>
        </w:rPr>
        <w:t xml:space="preserve"> 2014).</w:t>
      </w:r>
    </w:p>
    <w:p w14:paraId="742307B1" w14:textId="77777777" w:rsidR="001F5760" w:rsidRPr="00A939E3" w:rsidRDefault="001F5760" w:rsidP="0072758B">
      <w:pPr>
        <w:pStyle w:val="CETheadingx"/>
        <w:rPr>
          <w:lang w:val="en-GB"/>
        </w:rPr>
      </w:pPr>
      <w:r w:rsidRPr="00C97AD6">
        <w:t xml:space="preserve"> </w:t>
      </w:r>
      <w:r w:rsidR="00A939E3" w:rsidRPr="00A939E3">
        <w:t>Determination of Water Permeability</w:t>
      </w:r>
    </w:p>
    <w:p w14:paraId="7EEB0AFB" w14:textId="77777777" w:rsidR="00F24020" w:rsidRDefault="009C3563" w:rsidP="00600535">
      <w:pPr>
        <w:pStyle w:val="CETBodytext"/>
        <w:rPr>
          <w:lang w:val="en-GB"/>
        </w:rPr>
      </w:pPr>
      <w:r w:rsidRPr="009C3563">
        <w:rPr>
          <w:lang w:val="en-GB"/>
        </w:rPr>
        <w:t xml:space="preserve">For this test, a straight circular-section PVC tube was used, open at one end with a faucet, with an internal diameter of 24.5 mm, sufficient to form a water column, as suggested by </w:t>
      </w:r>
      <w:r w:rsidR="0020210A" w:rsidRPr="00A73E12">
        <w:rPr>
          <w:lang w:val="en-GB"/>
        </w:rPr>
        <w:t>Henriques</w:t>
      </w:r>
      <w:r w:rsidR="0020210A" w:rsidRPr="00922682">
        <w:rPr>
          <w:lang w:val="en-GB"/>
        </w:rPr>
        <w:t xml:space="preserve">, </w:t>
      </w:r>
      <w:r w:rsidR="0020210A" w:rsidRPr="00A73E12">
        <w:rPr>
          <w:lang w:val="en-GB"/>
        </w:rPr>
        <w:t>2014</w:t>
      </w:r>
      <w:r w:rsidRPr="009C3563">
        <w:rPr>
          <w:lang w:val="en-GB"/>
        </w:rPr>
        <w:t>. The setup was maintained for 24 hours in a covered environment. After this period, the lower surface of the tile was inspected to verify the occurrence of leakage or droplet formation. To pass the test, no leakage or droplet formation on the lower surface of the specimen is acceptable after the test is completed.</w:t>
      </w:r>
    </w:p>
    <w:p w14:paraId="1A113ECA" w14:textId="77777777" w:rsidR="00600535" w:rsidRDefault="000052FB" w:rsidP="00600535">
      <w:pPr>
        <w:pStyle w:val="CETBodytext"/>
        <w:rPr>
          <w:lang w:val="en-GB"/>
        </w:rPr>
      </w:pPr>
      <w:r w:rsidRPr="00FA5F5F">
        <w:rPr>
          <w:lang w:val="en-GB"/>
        </w:rPr>
        <w:t>Instructions</w:t>
      </w:r>
      <w:r w:rsidR="00600535" w:rsidRPr="00FA5F5F">
        <w:rPr>
          <w:lang w:val="en-GB"/>
        </w:rPr>
        <w:t xml:space="preserve">: </w:t>
      </w:r>
    </w:p>
    <w:p w14:paraId="22A28BC0" w14:textId="77777777" w:rsidR="009C3563" w:rsidRDefault="009C3563" w:rsidP="00600535">
      <w:pPr>
        <w:pStyle w:val="CETBodytext"/>
        <w:rPr>
          <w:lang w:val="en-GB"/>
        </w:rPr>
      </w:pPr>
    </w:p>
    <w:p w14:paraId="0885B8CE" w14:textId="77777777" w:rsidR="00453E24" w:rsidRDefault="00BF4211" w:rsidP="00453E24">
      <w:pPr>
        <w:pStyle w:val="CETHeading1"/>
      </w:pPr>
      <w:r w:rsidRPr="00BF4211">
        <w:rPr>
          <w:lang w:val="en-GB"/>
        </w:rPr>
        <w:lastRenderedPageBreak/>
        <w:t>Results and discussion</w:t>
      </w:r>
    </w:p>
    <w:p w14:paraId="0D0F78C7" w14:textId="77777777" w:rsidR="00944A09" w:rsidRDefault="00944A09" w:rsidP="00453E24">
      <w:pPr>
        <w:pStyle w:val="CETBodytext"/>
        <w:rPr>
          <w:lang w:val="en-GB"/>
        </w:rPr>
      </w:pPr>
      <w:r w:rsidRPr="00944A09">
        <w:rPr>
          <w:lang w:val="en-GB"/>
        </w:rPr>
        <w:t xml:space="preserve">The formulations of the prepared composites, detailed in Table 1, are illustrated in Figure 1. Each combination was assessed for the presence or absence of reinforcing materials such as PA and SCR to evaluate their effect on the bonding with the CB </w:t>
      </w:r>
      <w:proofErr w:type="spellStart"/>
      <w:r w:rsidRPr="00944A09">
        <w:rPr>
          <w:lang w:val="en-GB"/>
        </w:rPr>
        <w:t>fibers</w:t>
      </w:r>
      <w:proofErr w:type="spellEnd"/>
      <w:r w:rsidRPr="00944A09">
        <w:rPr>
          <w:lang w:val="en-GB"/>
        </w:rPr>
        <w:t>, adhesion to the cement, and the overall properties of the material.</w:t>
      </w:r>
    </w:p>
    <w:p w14:paraId="259917C7" w14:textId="77777777" w:rsidR="00905C99" w:rsidRPr="00B57B36" w:rsidRDefault="00905C99" w:rsidP="00BE1338">
      <w:pPr>
        <w:pStyle w:val="CETTabletitle"/>
        <w:jc w:val="center"/>
      </w:pPr>
      <w:r w:rsidRPr="00B57B36">
        <w:t xml:space="preserve">Table 1: </w:t>
      </w:r>
      <w:r w:rsidR="00BE1338" w:rsidRPr="00BE1338">
        <w:t>Sample composition</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26"/>
        <w:gridCol w:w="724"/>
        <w:gridCol w:w="723"/>
        <w:gridCol w:w="692"/>
        <w:gridCol w:w="692"/>
        <w:gridCol w:w="689"/>
        <w:gridCol w:w="689"/>
        <w:gridCol w:w="689"/>
        <w:gridCol w:w="673"/>
        <w:gridCol w:w="624"/>
        <w:gridCol w:w="598"/>
        <w:gridCol w:w="534"/>
        <w:gridCol w:w="534"/>
      </w:tblGrid>
      <w:tr w:rsidR="002A1D9E" w:rsidRPr="00B57B36" w14:paraId="7F01464B" w14:textId="77777777" w:rsidTr="390FD57E">
        <w:tc>
          <w:tcPr>
            <w:tcW w:w="8787" w:type="dxa"/>
            <w:gridSpan w:val="13"/>
            <w:tcBorders>
              <w:top w:val="single" w:sz="12" w:space="0" w:color="008000"/>
              <w:bottom w:val="single" w:sz="6" w:space="0" w:color="008000"/>
            </w:tcBorders>
            <w:shd w:val="clear" w:color="auto" w:fill="FFFFFF" w:themeFill="background1"/>
            <w:vAlign w:val="center"/>
          </w:tcPr>
          <w:p w14:paraId="7D31EA95" w14:textId="77777777" w:rsidR="002A1D9E" w:rsidRPr="002A1D9E" w:rsidRDefault="390FD57E" w:rsidP="390FD57E">
            <w:pPr>
              <w:pStyle w:val="CETBodytext"/>
              <w:ind w:right="-1"/>
              <w:jc w:val="center"/>
            </w:pPr>
            <w:r w:rsidRPr="390FD57E">
              <w:rPr>
                <w:b/>
                <w:bCs/>
              </w:rPr>
              <w:t>Samples</w:t>
            </w:r>
          </w:p>
        </w:tc>
      </w:tr>
      <w:tr w:rsidR="00695540" w:rsidRPr="00B57B36" w14:paraId="328462F6" w14:textId="77777777" w:rsidTr="390FD57E">
        <w:tc>
          <w:tcPr>
            <w:tcW w:w="926" w:type="dxa"/>
            <w:shd w:val="clear" w:color="auto" w:fill="FFFFFF" w:themeFill="background1"/>
          </w:tcPr>
          <w:p w14:paraId="6EF2A84D" w14:textId="1DEC2C7D" w:rsidR="00695540" w:rsidRPr="002A1D9E" w:rsidRDefault="00AE0548" w:rsidP="00695540">
            <w:pPr>
              <w:pStyle w:val="CETBodytext"/>
              <w:rPr>
                <w:b/>
                <w:bCs/>
                <w:lang w:val="en-GB"/>
              </w:rPr>
            </w:pPr>
            <w:r w:rsidRPr="002A1D9E">
              <w:rPr>
                <w:b/>
                <w:bCs/>
              </w:rPr>
              <w:t>Materials</w:t>
            </w:r>
          </w:p>
        </w:tc>
        <w:tc>
          <w:tcPr>
            <w:tcW w:w="724" w:type="dxa"/>
            <w:shd w:val="clear" w:color="auto" w:fill="FFFFFF" w:themeFill="background1"/>
          </w:tcPr>
          <w:p w14:paraId="6E2F71F4" w14:textId="77777777" w:rsidR="00695540" w:rsidRPr="002A1D9E" w:rsidRDefault="00695540" w:rsidP="00695540">
            <w:pPr>
              <w:pStyle w:val="CETBodytext"/>
              <w:rPr>
                <w:b/>
                <w:bCs/>
                <w:lang w:val="en-GB"/>
              </w:rPr>
            </w:pPr>
            <w:r w:rsidRPr="002A1D9E">
              <w:rPr>
                <w:b/>
                <w:bCs/>
                <w:lang w:val="en-GB"/>
              </w:rPr>
              <w:t>A1</w:t>
            </w:r>
          </w:p>
        </w:tc>
        <w:tc>
          <w:tcPr>
            <w:tcW w:w="723" w:type="dxa"/>
            <w:shd w:val="clear" w:color="auto" w:fill="FFFFFF" w:themeFill="background1"/>
          </w:tcPr>
          <w:p w14:paraId="2D3391B5" w14:textId="77777777" w:rsidR="00695540" w:rsidRPr="002A1D9E" w:rsidRDefault="00695540" w:rsidP="00695540">
            <w:pPr>
              <w:pStyle w:val="CETBodytext"/>
              <w:rPr>
                <w:b/>
                <w:bCs/>
                <w:lang w:val="en-GB"/>
              </w:rPr>
            </w:pPr>
            <w:r w:rsidRPr="002A1D9E">
              <w:rPr>
                <w:b/>
                <w:bCs/>
                <w:lang w:val="en-GB"/>
              </w:rPr>
              <w:t>A2</w:t>
            </w:r>
          </w:p>
        </w:tc>
        <w:tc>
          <w:tcPr>
            <w:tcW w:w="692" w:type="dxa"/>
            <w:shd w:val="clear" w:color="auto" w:fill="FFFFFF" w:themeFill="background1"/>
          </w:tcPr>
          <w:p w14:paraId="2E698E2B"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A3</w:t>
            </w:r>
          </w:p>
        </w:tc>
        <w:tc>
          <w:tcPr>
            <w:tcW w:w="692" w:type="dxa"/>
            <w:shd w:val="clear" w:color="auto" w:fill="FFFFFF" w:themeFill="background1"/>
          </w:tcPr>
          <w:p w14:paraId="227FD10E"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A4</w:t>
            </w:r>
          </w:p>
        </w:tc>
        <w:tc>
          <w:tcPr>
            <w:tcW w:w="689" w:type="dxa"/>
            <w:shd w:val="clear" w:color="auto" w:fill="FFFFFF" w:themeFill="background1"/>
          </w:tcPr>
          <w:p w14:paraId="1C83B9DD"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A5</w:t>
            </w:r>
          </w:p>
        </w:tc>
        <w:tc>
          <w:tcPr>
            <w:tcW w:w="689" w:type="dxa"/>
            <w:shd w:val="clear" w:color="auto" w:fill="FFFFFF" w:themeFill="background1"/>
          </w:tcPr>
          <w:p w14:paraId="047E1A79"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A6</w:t>
            </w:r>
          </w:p>
        </w:tc>
        <w:tc>
          <w:tcPr>
            <w:tcW w:w="689" w:type="dxa"/>
            <w:shd w:val="clear" w:color="auto" w:fill="FFFFFF" w:themeFill="background1"/>
          </w:tcPr>
          <w:p w14:paraId="74CA367F"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A7</w:t>
            </w:r>
          </w:p>
        </w:tc>
        <w:tc>
          <w:tcPr>
            <w:tcW w:w="673" w:type="dxa"/>
            <w:shd w:val="clear" w:color="auto" w:fill="FFFFFF" w:themeFill="background1"/>
          </w:tcPr>
          <w:p w14:paraId="0C999C3A"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A8</w:t>
            </w:r>
          </w:p>
        </w:tc>
        <w:tc>
          <w:tcPr>
            <w:tcW w:w="624" w:type="dxa"/>
            <w:shd w:val="clear" w:color="auto" w:fill="FFFFFF" w:themeFill="background1"/>
          </w:tcPr>
          <w:p w14:paraId="7C0B1ABC"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A10</w:t>
            </w:r>
          </w:p>
        </w:tc>
        <w:tc>
          <w:tcPr>
            <w:tcW w:w="598" w:type="dxa"/>
            <w:shd w:val="clear" w:color="auto" w:fill="FFFFFF" w:themeFill="background1"/>
          </w:tcPr>
          <w:p w14:paraId="510D8AF1"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A11</w:t>
            </w:r>
          </w:p>
        </w:tc>
        <w:tc>
          <w:tcPr>
            <w:tcW w:w="534" w:type="dxa"/>
            <w:shd w:val="clear" w:color="auto" w:fill="FFFFFF" w:themeFill="background1"/>
          </w:tcPr>
          <w:p w14:paraId="0F982814"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A12</w:t>
            </w:r>
          </w:p>
        </w:tc>
        <w:tc>
          <w:tcPr>
            <w:tcW w:w="534" w:type="dxa"/>
            <w:shd w:val="clear" w:color="auto" w:fill="FFFFFF" w:themeFill="background1"/>
          </w:tcPr>
          <w:p w14:paraId="5B4649A7"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A13</w:t>
            </w:r>
          </w:p>
        </w:tc>
      </w:tr>
      <w:tr w:rsidR="00695540" w:rsidRPr="00B57B36" w14:paraId="568F9355" w14:textId="77777777" w:rsidTr="390FD57E">
        <w:tc>
          <w:tcPr>
            <w:tcW w:w="926" w:type="dxa"/>
            <w:shd w:val="clear" w:color="auto" w:fill="FFFFFF" w:themeFill="background1"/>
          </w:tcPr>
          <w:p w14:paraId="1BD5424C"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BC (g)</w:t>
            </w:r>
          </w:p>
        </w:tc>
        <w:tc>
          <w:tcPr>
            <w:tcW w:w="724" w:type="dxa"/>
            <w:shd w:val="clear" w:color="auto" w:fill="FFFFFF" w:themeFill="background1"/>
          </w:tcPr>
          <w:p w14:paraId="5F5D29A9" w14:textId="77777777" w:rsidR="00695540" w:rsidRPr="00B57B36" w:rsidRDefault="00695540" w:rsidP="00695540">
            <w:pPr>
              <w:pStyle w:val="CETBodytext"/>
              <w:ind w:right="-1"/>
              <w:rPr>
                <w:rFonts w:cs="Arial"/>
                <w:szCs w:val="18"/>
                <w:lang w:val="en-GB"/>
              </w:rPr>
            </w:pPr>
            <w:r w:rsidRPr="000342FD">
              <w:t>60,00</w:t>
            </w:r>
          </w:p>
        </w:tc>
        <w:tc>
          <w:tcPr>
            <w:tcW w:w="723" w:type="dxa"/>
            <w:shd w:val="clear" w:color="auto" w:fill="FFFFFF" w:themeFill="background1"/>
          </w:tcPr>
          <w:p w14:paraId="14142040" w14:textId="77777777" w:rsidR="00695540" w:rsidRPr="00B57B36" w:rsidRDefault="00695540" w:rsidP="00695540">
            <w:pPr>
              <w:pStyle w:val="CETBodytext"/>
              <w:ind w:right="-1"/>
              <w:rPr>
                <w:rFonts w:cs="Arial"/>
                <w:szCs w:val="18"/>
                <w:lang w:val="en-GB"/>
              </w:rPr>
            </w:pPr>
            <w:r w:rsidRPr="000342FD">
              <w:t>61,50</w:t>
            </w:r>
          </w:p>
        </w:tc>
        <w:tc>
          <w:tcPr>
            <w:tcW w:w="692" w:type="dxa"/>
            <w:shd w:val="clear" w:color="auto" w:fill="FFFFFF" w:themeFill="background1"/>
          </w:tcPr>
          <w:p w14:paraId="6325E148" w14:textId="77777777" w:rsidR="00695540" w:rsidRPr="00B57B36" w:rsidRDefault="00695540" w:rsidP="00695540">
            <w:pPr>
              <w:pStyle w:val="CETBodytext"/>
              <w:ind w:right="-1"/>
              <w:rPr>
                <w:rFonts w:cs="Arial"/>
                <w:szCs w:val="18"/>
                <w:lang w:val="en-GB"/>
              </w:rPr>
            </w:pPr>
            <w:r w:rsidRPr="000342FD">
              <w:t>61,50</w:t>
            </w:r>
          </w:p>
        </w:tc>
        <w:tc>
          <w:tcPr>
            <w:tcW w:w="692" w:type="dxa"/>
            <w:shd w:val="clear" w:color="auto" w:fill="FFFFFF" w:themeFill="background1"/>
          </w:tcPr>
          <w:p w14:paraId="3F40838A" w14:textId="77777777" w:rsidR="00695540" w:rsidRPr="00B57B36" w:rsidRDefault="00695540" w:rsidP="00695540">
            <w:pPr>
              <w:pStyle w:val="CETBodytext"/>
              <w:ind w:right="-1"/>
              <w:rPr>
                <w:rFonts w:cs="Arial"/>
                <w:szCs w:val="18"/>
                <w:lang w:val="en-GB"/>
              </w:rPr>
            </w:pPr>
            <w:r w:rsidRPr="000342FD">
              <w:t>67,50</w:t>
            </w:r>
          </w:p>
        </w:tc>
        <w:tc>
          <w:tcPr>
            <w:tcW w:w="689" w:type="dxa"/>
            <w:shd w:val="clear" w:color="auto" w:fill="FFFFFF" w:themeFill="background1"/>
          </w:tcPr>
          <w:p w14:paraId="29030CB1" w14:textId="77777777" w:rsidR="00695540" w:rsidRPr="00B57B36" w:rsidRDefault="00695540" w:rsidP="00695540">
            <w:pPr>
              <w:pStyle w:val="CETBodytext"/>
              <w:ind w:right="-1"/>
              <w:rPr>
                <w:rFonts w:cs="Arial"/>
                <w:szCs w:val="18"/>
                <w:lang w:val="en-GB"/>
              </w:rPr>
            </w:pPr>
            <w:r w:rsidRPr="000342FD">
              <w:t>75,00</w:t>
            </w:r>
          </w:p>
        </w:tc>
        <w:tc>
          <w:tcPr>
            <w:tcW w:w="689" w:type="dxa"/>
            <w:shd w:val="clear" w:color="auto" w:fill="FFFFFF" w:themeFill="background1"/>
          </w:tcPr>
          <w:p w14:paraId="750AA7AE" w14:textId="77777777" w:rsidR="00695540" w:rsidRPr="00B57B36" w:rsidRDefault="00695540" w:rsidP="00695540">
            <w:pPr>
              <w:pStyle w:val="CETBodytext"/>
              <w:ind w:right="-1"/>
              <w:rPr>
                <w:rFonts w:cs="Arial"/>
                <w:szCs w:val="18"/>
                <w:lang w:val="en-GB"/>
              </w:rPr>
            </w:pPr>
            <w:r w:rsidRPr="000342FD">
              <w:t>86,25</w:t>
            </w:r>
          </w:p>
        </w:tc>
        <w:tc>
          <w:tcPr>
            <w:tcW w:w="689" w:type="dxa"/>
            <w:shd w:val="clear" w:color="auto" w:fill="FFFFFF" w:themeFill="background1"/>
          </w:tcPr>
          <w:p w14:paraId="34CFC60F" w14:textId="77777777" w:rsidR="00695540" w:rsidRPr="00B57B36" w:rsidRDefault="00695540" w:rsidP="00695540">
            <w:pPr>
              <w:pStyle w:val="CETBodytext"/>
              <w:ind w:right="-1"/>
              <w:rPr>
                <w:rFonts w:cs="Arial"/>
                <w:szCs w:val="18"/>
                <w:lang w:val="en-GB"/>
              </w:rPr>
            </w:pPr>
            <w:r w:rsidRPr="000342FD">
              <w:t>86,25</w:t>
            </w:r>
          </w:p>
        </w:tc>
        <w:tc>
          <w:tcPr>
            <w:tcW w:w="673" w:type="dxa"/>
            <w:shd w:val="clear" w:color="auto" w:fill="FFFFFF" w:themeFill="background1"/>
          </w:tcPr>
          <w:p w14:paraId="21EDED11" w14:textId="77777777" w:rsidR="00695540" w:rsidRPr="00B57B36" w:rsidRDefault="00695540" w:rsidP="00695540">
            <w:pPr>
              <w:pStyle w:val="CETBodytext"/>
              <w:ind w:right="-1"/>
              <w:rPr>
                <w:rFonts w:cs="Arial"/>
                <w:szCs w:val="18"/>
                <w:lang w:val="en-GB"/>
              </w:rPr>
            </w:pPr>
            <w:r w:rsidRPr="000342FD">
              <w:t>67,50</w:t>
            </w:r>
          </w:p>
        </w:tc>
        <w:tc>
          <w:tcPr>
            <w:tcW w:w="624" w:type="dxa"/>
            <w:shd w:val="clear" w:color="auto" w:fill="FFFFFF" w:themeFill="background1"/>
          </w:tcPr>
          <w:p w14:paraId="3FAC60D2" w14:textId="77777777" w:rsidR="00695540" w:rsidRPr="000342FD" w:rsidRDefault="00695540" w:rsidP="00695540">
            <w:pPr>
              <w:pStyle w:val="CETBodytext"/>
              <w:ind w:right="-1"/>
            </w:pPr>
            <w:r w:rsidRPr="000342FD">
              <w:t>75,00</w:t>
            </w:r>
          </w:p>
        </w:tc>
        <w:tc>
          <w:tcPr>
            <w:tcW w:w="598" w:type="dxa"/>
            <w:shd w:val="clear" w:color="auto" w:fill="FFFFFF" w:themeFill="background1"/>
          </w:tcPr>
          <w:p w14:paraId="530B223E" w14:textId="77777777" w:rsidR="00695540" w:rsidRPr="000342FD" w:rsidRDefault="00695540" w:rsidP="00695540">
            <w:pPr>
              <w:pStyle w:val="CETBodytext"/>
              <w:ind w:right="-1"/>
            </w:pPr>
            <w:r w:rsidRPr="000342FD">
              <w:t>75,00</w:t>
            </w:r>
          </w:p>
        </w:tc>
        <w:tc>
          <w:tcPr>
            <w:tcW w:w="534" w:type="dxa"/>
            <w:shd w:val="clear" w:color="auto" w:fill="FFFFFF" w:themeFill="background1"/>
          </w:tcPr>
          <w:p w14:paraId="6D2D8913" w14:textId="77777777" w:rsidR="00695540" w:rsidRPr="000342FD" w:rsidRDefault="00695540" w:rsidP="00695540">
            <w:pPr>
              <w:pStyle w:val="CETBodytext"/>
              <w:ind w:right="-1"/>
            </w:pPr>
            <w:r>
              <w:t>-</w:t>
            </w:r>
          </w:p>
        </w:tc>
        <w:tc>
          <w:tcPr>
            <w:tcW w:w="534" w:type="dxa"/>
            <w:shd w:val="clear" w:color="auto" w:fill="FFFFFF" w:themeFill="background1"/>
          </w:tcPr>
          <w:p w14:paraId="06F094F8" w14:textId="77777777" w:rsidR="00695540" w:rsidRPr="000342FD" w:rsidRDefault="00695540" w:rsidP="00695540">
            <w:pPr>
              <w:pStyle w:val="CETBodytext"/>
              <w:ind w:right="-1"/>
            </w:pPr>
            <w:r>
              <w:t>-</w:t>
            </w:r>
          </w:p>
        </w:tc>
      </w:tr>
      <w:tr w:rsidR="00695540" w:rsidRPr="00B57B36" w14:paraId="270CF482" w14:textId="77777777" w:rsidTr="390FD57E">
        <w:tc>
          <w:tcPr>
            <w:tcW w:w="926" w:type="dxa"/>
            <w:shd w:val="clear" w:color="auto" w:fill="FFFFFF" w:themeFill="background1"/>
          </w:tcPr>
          <w:p w14:paraId="5D140848"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W (g)</w:t>
            </w:r>
          </w:p>
        </w:tc>
        <w:tc>
          <w:tcPr>
            <w:tcW w:w="724" w:type="dxa"/>
            <w:shd w:val="clear" w:color="auto" w:fill="FFFFFF" w:themeFill="background1"/>
          </w:tcPr>
          <w:p w14:paraId="648E9B47" w14:textId="77777777" w:rsidR="00695540" w:rsidRPr="00B57B36" w:rsidRDefault="00695540" w:rsidP="00695540">
            <w:pPr>
              <w:pStyle w:val="CETBodytext"/>
              <w:ind w:right="-1"/>
              <w:rPr>
                <w:rFonts w:cs="Arial"/>
                <w:szCs w:val="18"/>
                <w:lang w:val="en-GB"/>
              </w:rPr>
            </w:pPr>
            <w:r w:rsidRPr="000342FD">
              <w:t>25,71</w:t>
            </w:r>
          </w:p>
        </w:tc>
        <w:tc>
          <w:tcPr>
            <w:tcW w:w="723" w:type="dxa"/>
            <w:shd w:val="clear" w:color="auto" w:fill="FFFFFF" w:themeFill="background1"/>
          </w:tcPr>
          <w:p w14:paraId="4DE7ECED" w14:textId="77777777" w:rsidR="00695540" w:rsidRPr="00B57B36" w:rsidRDefault="00695540" w:rsidP="00695540">
            <w:pPr>
              <w:pStyle w:val="CETBodytext"/>
              <w:ind w:right="-1"/>
              <w:rPr>
                <w:rFonts w:cs="Arial"/>
                <w:szCs w:val="18"/>
                <w:lang w:val="en-GB"/>
              </w:rPr>
            </w:pPr>
            <w:r w:rsidRPr="000342FD">
              <w:t>26,57</w:t>
            </w:r>
          </w:p>
        </w:tc>
        <w:tc>
          <w:tcPr>
            <w:tcW w:w="692" w:type="dxa"/>
            <w:shd w:val="clear" w:color="auto" w:fill="FFFFFF" w:themeFill="background1"/>
          </w:tcPr>
          <w:p w14:paraId="55791CC8" w14:textId="77777777" w:rsidR="00695540" w:rsidRPr="00B57B36" w:rsidRDefault="00695540" w:rsidP="00695540">
            <w:pPr>
              <w:pStyle w:val="CETBodytext"/>
              <w:ind w:right="-1"/>
              <w:rPr>
                <w:rFonts w:cs="Arial"/>
                <w:szCs w:val="18"/>
                <w:lang w:val="en-GB"/>
              </w:rPr>
            </w:pPr>
            <w:r w:rsidRPr="000342FD">
              <w:t>26,57</w:t>
            </w:r>
          </w:p>
        </w:tc>
        <w:tc>
          <w:tcPr>
            <w:tcW w:w="692" w:type="dxa"/>
            <w:shd w:val="clear" w:color="auto" w:fill="FFFFFF" w:themeFill="background1"/>
          </w:tcPr>
          <w:p w14:paraId="225218F2" w14:textId="77777777" w:rsidR="00695540" w:rsidRPr="00B57B36" w:rsidRDefault="00695540" w:rsidP="00695540">
            <w:pPr>
              <w:pStyle w:val="CETBodytext"/>
              <w:ind w:right="-1"/>
              <w:rPr>
                <w:rFonts w:cs="Arial"/>
                <w:szCs w:val="18"/>
                <w:lang w:val="en-GB"/>
              </w:rPr>
            </w:pPr>
            <w:r w:rsidRPr="000342FD">
              <w:t>27,85</w:t>
            </w:r>
          </w:p>
        </w:tc>
        <w:tc>
          <w:tcPr>
            <w:tcW w:w="689" w:type="dxa"/>
            <w:shd w:val="clear" w:color="auto" w:fill="FFFFFF" w:themeFill="background1"/>
          </w:tcPr>
          <w:p w14:paraId="4293D228" w14:textId="77777777" w:rsidR="00695540" w:rsidRPr="00B57B36" w:rsidRDefault="00695540" w:rsidP="00695540">
            <w:pPr>
              <w:pStyle w:val="CETBodytext"/>
              <w:ind w:right="-1"/>
              <w:rPr>
                <w:rFonts w:cs="Arial"/>
                <w:szCs w:val="18"/>
                <w:lang w:val="en-GB"/>
              </w:rPr>
            </w:pPr>
            <w:r w:rsidRPr="000342FD">
              <w:t>24,00</w:t>
            </w:r>
          </w:p>
        </w:tc>
        <w:tc>
          <w:tcPr>
            <w:tcW w:w="689" w:type="dxa"/>
            <w:shd w:val="clear" w:color="auto" w:fill="FFFFFF" w:themeFill="background1"/>
          </w:tcPr>
          <w:p w14:paraId="3BF224FE" w14:textId="77777777" w:rsidR="00695540" w:rsidRPr="00B57B36" w:rsidRDefault="00695540" w:rsidP="00695540">
            <w:pPr>
              <w:pStyle w:val="CETBodytext"/>
              <w:ind w:right="-1"/>
              <w:rPr>
                <w:rFonts w:cs="Arial"/>
                <w:szCs w:val="18"/>
                <w:lang w:val="en-GB"/>
              </w:rPr>
            </w:pPr>
            <w:r w:rsidRPr="000342FD">
              <w:t>28,12</w:t>
            </w:r>
          </w:p>
        </w:tc>
        <w:tc>
          <w:tcPr>
            <w:tcW w:w="689" w:type="dxa"/>
            <w:shd w:val="clear" w:color="auto" w:fill="FFFFFF" w:themeFill="background1"/>
          </w:tcPr>
          <w:p w14:paraId="538203A8" w14:textId="77777777" w:rsidR="00695540" w:rsidRPr="00B57B36" w:rsidRDefault="00695540" w:rsidP="00695540">
            <w:pPr>
              <w:pStyle w:val="CETBodytext"/>
              <w:ind w:right="-1"/>
              <w:rPr>
                <w:rFonts w:cs="Arial"/>
                <w:szCs w:val="18"/>
                <w:lang w:val="en-GB"/>
              </w:rPr>
            </w:pPr>
            <w:r w:rsidRPr="000342FD">
              <w:t>28,12</w:t>
            </w:r>
          </w:p>
        </w:tc>
        <w:tc>
          <w:tcPr>
            <w:tcW w:w="673" w:type="dxa"/>
            <w:shd w:val="clear" w:color="auto" w:fill="FFFFFF" w:themeFill="background1"/>
          </w:tcPr>
          <w:p w14:paraId="3DD326A3" w14:textId="77777777" w:rsidR="00695540" w:rsidRPr="00B57B36" w:rsidRDefault="00695540" w:rsidP="00695540">
            <w:pPr>
              <w:pStyle w:val="CETBodytext"/>
              <w:ind w:right="-1"/>
              <w:rPr>
                <w:rFonts w:cs="Arial"/>
                <w:szCs w:val="18"/>
                <w:lang w:val="en-GB"/>
              </w:rPr>
            </w:pPr>
            <w:r w:rsidRPr="000342FD">
              <w:t>-</w:t>
            </w:r>
          </w:p>
        </w:tc>
        <w:tc>
          <w:tcPr>
            <w:tcW w:w="624" w:type="dxa"/>
            <w:shd w:val="clear" w:color="auto" w:fill="FFFFFF" w:themeFill="background1"/>
          </w:tcPr>
          <w:p w14:paraId="687E168D" w14:textId="77777777" w:rsidR="00695540" w:rsidRPr="000342FD" w:rsidRDefault="00695540" w:rsidP="00695540">
            <w:pPr>
              <w:pStyle w:val="CETBodytext"/>
              <w:ind w:right="-1"/>
            </w:pPr>
            <w:r w:rsidRPr="000342FD">
              <w:t>-</w:t>
            </w:r>
          </w:p>
        </w:tc>
        <w:tc>
          <w:tcPr>
            <w:tcW w:w="598" w:type="dxa"/>
            <w:shd w:val="clear" w:color="auto" w:fill="FFFFFF" w:themeFill="background1"/>
          </w:tcPr>
          <w:p w14:paraId="4834092C" w14:textId="77777777" w:rsidR="00695540" w:rsidRPr="000342FD" w:rsidRDefault="00695540" w:rsidP="00695540">
            <w:pPr>
              <w:pStyle w:val="CETBodytext"/>
              <w:ind w:right="-1"/>
            </w:pPr>
            <w:r w:rsidRPr="000342FD">
              <w:t>-</w:t>
            </w:r>
          </w:p>
        </w:tc>
        <w:tc>
          <w:tcPr>
            <w:tcW w:w="534" w:type="dxa"/>
            <w:shd w:val="clear" w:color="auto" w:fill="FFFFFF" w:themeFill="background1"/>
          </w:tcPr>
          <w:p w14:paraId="0F50B0AF" w14:textId="77777777" w:rsidR="00695540" w:rsidRPr="000342FD" w:rsidRDefault="00C075CA" w:rsidP="00695540">
            <w:pPr>
              <w:pStyle w:val="CETBodytext"/>
              <w:ind w:right="-1"/>
            </w:pPr>
            <w:r>
              <w:t>42,45</w:t>
            </w:r>
          </w:p>
        </w:tc>
        <w:tc>
          <w:tcPr>
            <w:tcW w:w="534" w:type="dxa"/>
            <w:shd w:val="clear" w:color="auto" w:fill="FFFFFF" w:themeFill="background1"/>
          </w:tcPr>
          <w:p w14:paraId="2596D8EE" w14:textId="77777777" w:rsidR="00695540" w:rsidRPr="000342FD" w:rsidRDefault="00C075CA" w:rsidP="00695540">
            <w:pPr>
              <w:pStyle w:val="CETBodytext"/>
              <w:ind w:right="-1"/>
            </w:pPr>
            <w:r>
              <w:t>42,45</w:t>
            </w:r>
          </w:p>
        </w:tc>
      </w:tr>
      <w:tr w:rsidR="00695540" w:rsidRPr="00B57B36" w14:paraId="49AB63A7" w14:textId="77777777" w:rsidTr="390FD57E">
        <w:tc>
          <w:tcPr>
            <w:tcW w:w="926" w:type="dxa"/>
            <w:shd w:val="clear" w:color="auto" w:fill="FFFFFF" w:themeFill="background1"/>
          </w:tcPr>
          <w:p w14:paraId="370CF518"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C (g)</w:t>
            </w:r>
          </w:p>
        </w:tc>
        <w:tc>
          <w:tcPr>
            <w:tcW w:w="724" w:type="dxa"/>
            <w:shd w:val="clear" w:color="auto" w:fill="FFFFFF" w:themeFill="background1"/>
          </w:tcPr>
          <w:p w14:paraId="072379B5" w14:textId="77777777" w:rsidR="00695540" w:rsidRPr="00B57B36" w:rsidRDefault="00695540" w:rsidP="00695540">
            <w:pPr>
              <w:pStyle w:val="CETBodytext"/>
              <w:ind w:right="-1"/>
              <w:rPr>
                <w:rFonts w:cs="Arial"/>
                <w:szCs w:val="18"/>
                <w:lang w:val="en-GB"/>
              </w:rPr>
            </w:pPr>
            <w:r w:rsidRPr="000342FD">
              <w:t>45,00</w:t>
            </w:r>
          </w:p>
        </w:tc>
        <w:tc>
          <w:tcPr>
            <w:tcW w:w="723" w:type="dxa"/>
            <w:shd w:val="clear" w:color="auto" w:fill="FFFFFF" w:themeFill="background1"/>
          </w:tcPr>
          <w:p w14:paraId="7700BC03" w14:textId="77777777" w:rsidR="00695540" w:rsidRPr="00B57B36" w:rsidRDefault="00695540" w:rsidP="00695540">
            <w:pPr>
              <w:pStyle w:val="CETBodytext"/>
              <w:ind w:right="-1"/>
              <w:rPr>
                <w:rFonts w:cs="Arial"/>
                <w:szCs w:val="18"/>
                <w:lang w:val="en-GB"/>
              </w:rPr>
            </w:pPr>
            <w:r w:rsidRPr="000342FD">
              <w:t>46,50</w:t>
            </w:r>
          </w:p>
        </w:tc>
        <w:tc>
          <w:tcPr>
            <w:tcW w:w="692" w:type="dxa"/>
            <w:shd w:val="clear" w:color="auto" w:fill="FFFFFF" w:themeFill="background1"/>
          </w:tcPr>
          <w:p w14:paraId="7239C62F" w14:textId="77777777" w:rsidR="00695540" w:rsidRPr="00B57B36" w:rsidRDefault="00695540" w:rsidP="00695540">
            <w:pPr>
              <w:pStyle w:val="CETBodytext"/>
              <w:ind w:right="-1"/>
              <w:rPr>
                <w:rFonts w:cs="Arial"/>
                <w:szCs w:val="18"/>
                <w:lang w:val="en-GB"/>
              </w:rPr>
            </w:pPr>
            <w:r w:rsidRPr="000342FD">
              <w:t>46,50</w:t>
            </w:r>
          </w:p>
        </w:tc>
        <w:tc>
          <w:tcPr>
            <w:tcW w:w="692" w:type="dxa"/>
            <w:shd w:val="clear" w:color="auto" w:fill="FFFFFF" w:themeFill="background1"/>
          </w:tcPr>
          <w:p w14:paraId="2D74E619" w14:textId="77777777" w:rsidR="00695540" w:rsidRPr="00B57B36" w:rsidRDefault="00695540" w:rsidP="00695540">
            <w:pPr>
              <w:pStyle w:val="CETBodytext"/>
              <w:ind w:right="-1"/>
              <w:rPr>
                <w:rFonts w:cs="Arial"/>
                <w:szCs w:val="18"/>
                <w:lang w:val="en-GB"/>
              </w:rPr>
            </w:pPr>
            <w:r w:rsidRPr="000342FD">
              <w:t>48,75</w:t>
            </w:r>
          </w:p>
        </w:tc>
        <w:tc>
          <w:tcPr>
            <w:tcW w:w="689" w:type="dxa"/>
            <w:shd w:val="clear" w:color="auto" w:fill="FFFFFF" w:themeFill="background1"/>
          </w:tcPr>
          <w:p w14:paraId="78AC0BA5" w14:textId="77777777" w:rsidR="00695540" w:rsidRPr="00B57B36" w:rsidRDefault="00695540" w:rsidP="00695540">
            <w:pPr>
              <w:pStyle w:val="CETBodytext"/>
              <w:ind w:right="-1"/>
              <w:rPr>
                <w:rFonts w:cs="Arial"/>
                <w:szCs w:val="18"/>
                <w:lang w:val="en-GB"/>
              </w:rPr>
            </w:pPr>
            <w:r w:rsidRPr="000342FD">
              <w:t>-</w:t>
            </w:r>
          </w:p>
        </w:tc>
        <w:tc>
          <w:tcPr>
            <w:tcW w:w="689" w:type="dxa"/>
            <w:shd w:val="clear" w:color="auto" w:fill="FFFFFF" w:themeFill="background1"/>
          </w:tcPr>
          <w:p w14:paraId="7B47AC7A" w14:textId="77777777" w:rsidR="00695540" w:rsidRPr="00B57B36" w:rsidRDefault="00695540" w:rsidP="00695540">
            <w:pPr>
              <w:pStyle w:val="CETBodytext"/>
              <w:ind w:right="-1"/>
              <w:rPr>
                <w:rFonts w:cs="Arial"/>
                <w:szCs w:val="18"/>
                <w:lang w:val="en-GB"/>
              </w:rPr>
            </w:pPr>
            <w:r w:rsidRPr="000342FD">
              <w:t>-</w:t>
            </w:r>
          </w:p>
        </w:tc>
        <w:tc>
          <w:tcPr>
            <w:tcW w:w="689" w:type="dxa"/>
            <w:shd w:val="clear" w:color="auto" w:fill="FFFFFF" w:themeFill="background1"/>
          </w:tcPr>
          <w:p w14:paraId="07B0C81F" w14:textId="77777777" w:rsidR="00695540" w:rsidRPr="00B57B36" w:rsidRDefault="00695540" w:rsidP="00695540">
            <w:pPr>
              <w:pStyle w:val="CETBodytext"/>
              <w:ind w:right="-1"/>
              <w:rPr>
                <w:rFonts w:cs="Arial"/>
                <w:szCs w:val="18"/>
                <w:lang w:val="en-GB"/>
              </w:rPr>
            </w:pPr>
            <w:r w:rsidRPr="000342FD">
              <w:t>-</w:t>
            </w:r>
          </w:p>
        </w:tc>
        <w:tc>
          <w:tcPr>
            <w:tcW w:w="673" w:type="dxa"/>
            <w:shd w:val="clear" w:color="auto" w:fill="FFFFFF" w:themeFill="background1"/>
          </w:tcPr>
          <w:p w14:paraId="23FA1439" w14:textId="77777777" w:rsidR="00695540" w:rsidRPr="00B57B36" w:rsidRDefault="00695540" w:rsidP="00695540">
            <w:pPr>
              <w:pStyle w:val="CETBodytext"/>
              <w:ind w:right="-1"/>
              <w:rPr>
                <w:rFonts w:cs="Arial"/>
                <w:szCs w:val="18"/>
                <w:lang w:val="en-GB"/>
              </w:rPr>
            </w:pPr>
            <w:r w:rsidRPr="000342FD">
              <w:t>48,00</w:t>
            </w:r>
          </w:p>
        </w:tc>
        <w:tc>
          <w:tcPr>
            <w:tcW w:w="624" w:type="dxa"/>
            <w:shd w:val="clear" w:color="auto" w:fill="FFFFFF" w:themeFill="background1"/>
          </w:tcPr>
          <w:p w14:paraId="4BE682B5" w14:textId="77777777" w:rsidR="00695540" w:rsidRPr="000342FD" w:rsidRDefault="00695540" w:rsidP="00695540">
            <w:pPr>
              <w:pStyle w:val="CETBodytext"/>
              <w:ind w:right="-1"/>
            </w:pPr>
            <w:r w:rsidRPr="000342FD">
              <w:t>52,50</w:t>
            </w:r>
          </w:p>
        </w:tc>
        <w:tc>
          <w:tcPr>
            <w:tcW w:w="598" w:type="dxa"/>
            <w:shd w:val="clear" w:color="auto" w:fill="FFFFFF" w:themeFill="background1"/>
          </w:tcPr>
          <w:p w14:paraId="653135D7" w14:textId="77777777" w:rsidR="00695540" w:rsidRPr="000342FD" w:rsidRDefault="00695540" w:rsidP="00695540">
            <w:pPr>
              <w:pStyle w:val="CETBodytext"/>
              <w:ind w:right="-1"/>
            </w:pPr>
            <w:r w:rsidRPr="000342FD">
              <w:t>52,50</w:t>
            </w:r>
          </w:p>
        </w:tc>
        <w:tc>
          <w:tcPr>
            <w:tcW w:w="534" w:type="dxa"/>
            <w:shd w:val="clear" w:color="auto" w:fill="FFFFFF" w:themeFill="background1"/>
          </w:tcPr>
          <w:p w14:paraId="2BEB5C03" w14:textId="77777777" w:rsidR="00695540" w:rsidRPr="000342FD" w:rsidRDefault="00C075CA" w:rsidP="00695540">
            <w:pPr>
              <w:pStyle w:val="CETBodytext"/>
              <w:ind w:right="-1"/>
            </w:pPr>
            <w:r>
              <w:t>72,45</w:t>
            </w:r>
          </w:p>
        </w:tc>
        <w:tc>
          <w:tcPr>
            <w:tcW w:w="534" w:type="dxa"/>
            <w:shd w:val="clear" w:color="auto" w:fill="FFFFFF" w:themeFill="background1"/>
          </w:tcPr>
          <w:p w14:paraId="7F35AFEF" w14:textId="77777777" w:rsidR="00695540" w:rsidRPr="000342FD" w:rsidRDefault="00C075CA" w:rsidP="00695540">
            <w:pPr>
              <w:pStyle w:val="CETBodytext"/>
              <w:ind w:right="-1"/>
            </w:pPr>
            <w:r>
              <w:t>72,45</w:t>
            </w:r>
          </w:p>
        </w:tc>
      </w:tr>
      <w:tr w:rsidR="00695540" w:rsidRPr="00B57B36" w14:paraId="66B4F203" w14:textId="77777777" w:rsidTr="390FD57E">
        <w:tc>
          <w:tcPr>
            <w:tcW w:w="926" w:type="dxa"/>
            <w:shd w:val="clear" w:color="auto" w:fill="FFFFFF" w:themeFill="background1"/>
          </w:tcPr>
          <w:p w14:paraId="4F1AD303"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LF (g)</w:t>
            </w:r>
          </w:p>
        </w:tc>
        <w:tc>
          <w:tcPr>
            <w:tcW w:w="724" w:type="dxa"/>
            <w:shd w:val="clear" w:color="auto" w:fill="FFFFFF" w:themeFill="background1"/>
          </w:tcPr>
          <w:p w14:paraId="531DEFA8" w14:textId="77777777" w:rsidR="00695540" w:rsidRPr="00B57B36" w:rsidRDefault="00695540" w:rsidP="00695540">
            <w:pPr>
              <w:pStyle w:val="CETBodytext"/>
              <w:ind w:right="-1"/>
              <w:rPr>
                <w:rFonts w:cs="Arial"/>
                <w:szCs w:val="18"/>
                <w:lang w:val="en-GB"/>
              </w:rPr>
            </w:pPr>
            <w:r w:rsidRPr="000342FD">
              <w:t>6,00</w:t>
            </w:r>
          </w:p>
        </w:tc>
        <w:tc>
          <w:tcPr>
            <w:tcW w:w="723" w:type="dxa"/>
            <w:shd w:val="clear" w:color="auto" w:fill="FFFFFF" w:themeFill="background1"/>
          </w:tcPr>
          <w:p w14:paraId="3E7FEA81" w14:textId="77777777" w:rsidR="00695540" w:rsidRPr="00B57B36" w:rsidRDefault="00695540" w:rsidP="00695540">
            <w:pPr>
              <w:pStyle w:val="CETBodytext"/>
              <w:ind w:right="-1"/>
              <w:rPr>
                <w:rFonts w:cs="Arial"/>
                <w:szCs w:val="18"/>
                <w:lang w:val="en-GB"/>
              </w:rPr>
            </w:pPr>
            <w:r w:rsidRPr="000342FD">
              <w:t>6,75</w:t>
            </w:r>
          </w:p>
        </w:tc>
        <w:tc>
          <w:tcPr>
            <w:tcW w:w="692" w:type="dxa"/>
            <w:shd w:val="clear" w:color="auto" w:fill="FFFFFF" w:themeFill="background1"/>
          </w:tcPr>
          <w:p w14:paraId="4C5434F9" w14:textId="77777777" w:rsidR="00695540" w:rsidRPr="00B57B36" w:rsidRDefault="00695540" w:rsidP="00695540">
            <w:pPr>
              <w:pStyle w:val="CETBodytext"/>
              <w:ind w:right="-1"/>
              <w:rPr>
                <w:rFonts w:cs="Arial"/>
                <w:szCs w:val="18"/>
                <w:lang w:val="en-GB"/>
              </w:rPr>
            </w:pPr>
            <w:r w:rsidRPr="000342FD">
              <w:t>6,75</w:t>
            </w:r>
          </w:p>
        </w:tc>
        <w:tc>
          <w:tcPr>
            <w:tcW w:w="692" w:type="dxa"/>
            <w:shd w:val="clear" w:color="auto" w:fill="FFFFFF" w:themeFill="background1"/>
          </w:tcPr>
          <w:p w14:paraId="558113B1" w14:textId="77777777" w:rsidR="00695540" w:rsidRPr="00B57B36" w:rsidRDefault="00695540" w:rsidP="00695540">
            <w:pPr>
              <w:pStyle w:val="CETBodytext"/>
              <w:ind w:right="-1"/>
              <w:rPr>
                <w:rFonts w:cs="Arial"/>
                <w:szCs w:val="18"/>
                <w:lang w:val="en-GB"/>
              </w:rPr>
            </w:pPr>
            <w:r w:rsidRPr="000342FD">
              <w:t>6,00</w:t>
            </w:r>
          </w:p>
        </w:tc>
        <w:tc>
          <w:tcPr>
            <w:tcW w:w="689" w:type="dxa"/>
            <w:shd w:val="clear" w:color="auto" w:fill="FFFFFF" w:themeFill="background1"/>
          </w:tcPr>
          <w:p w14:paraId="53DD41F8" w14:textId="77777777" w:rsidR="00695540" w:rsidRPr="00B57B36" w:rsidRDefault="00695540" w:rsidP="00695540">
            <w:pPr>
              <w:pStyle w:val="CETBodytext"/>
              <w:ind w:right="-1"/>
              <w:rPr>
                <w:rFonts w:cs="Arial"/>
                <w:szCs w:val="18"/>
                <w:lang w:val="en-GB"/>
              </w:rPr>
            </w:pPr>
            <w:r w:rsidRPr="000342FD">
              <w:t>6,00</w:t>
            </w:r>
          </w:p>
        </w:tc>
        <w:tc>
          <w:tcPr>
            <w:tcW w:w="689" w:type="dxa"/>
            <w:shd w:val="clear" w:color="auto" w:fill="FFFFFF" w:themeFill="background1"/>
          </w:tcPr>
          <w:p w14:paraId="6A38AAAC" w14:textId="77777777" w:rsidR="00695540" w:rsidRPr="00B57B36" w:rsidRDefault="00695540" w:rsidP="00695540">
            <w:pPr>
              <w:pStyle w:val="CETBodytext"/>
              <w:ind w:right="-1"/>
              <w:rPr>
                <w:rFonts w:cs="Arial"/>
                <w:szCs w:val="18"/>
                <w:lang w:val="en-GB"/>
              </w:rPr>
            </w:pPr>
            <w:r w:rsidRPr="000342FD">
              <w:t>6,00</w:t>
            </w:r>
          </w:p>
        </w:tc>
        <w:tc>
          <w:tcPr>
            <w:tcW w:w="689" w:type="dxa"/>
            <w:shd w:val="clear" w:color="auto" w:fill="FFFFFF" w:themeFill="background1"/>
          </w:tcPr>
          <w:p w14:paraId="1AF871B0" w14:textId="77777777" w:rsidR="00695540" w:rsidRPr="00B57B36" w:rsidRDefault="00695540" w:rsidP="00695540">
            <w:pPr>
              <w:pStyle w:val="CETBodytext"/>
              <w:ind w:right="-1"/>
              <w:rPr>
                <w:rFonts w:cs="Arial"/>
                <w:szCs w:val="18"/>
                <w:lang w:val="en-GB"/>
              </w:rPr>
            </w:pPr>
            <w:r w:rsidRPr="000342FD">
              <w:t>6,00</w:t>
            </w:r>
          </w:p>
        </w:tc>
        <w:tc>
          <w:tcPr>
            <w:tcW w:w="673" w:type="dxa"/>
            <w:shd w:val="clear" w:color="auto" w:fill="FFFFFF" w:themeFill="background1"/>
          </w:tcPr>
          <w:p w14:paraId="482E2150" w14:textId="77777777" w:rsidR="00695540" w:rsidRPr="00B57B36" w:rsidRDefault="00695540" w:rsidP="00695540">
            <w:pPr>
              <w:pStyle w:val="CETBodytext"/>
              <w:ind w:right="-1"/>
              <w:rPr>
                <w:rFonts w:cs="Arial"/>
                <w:szCs w:val="18"/>
                <w:lang w:val="en-GB"/>
              </w:rPr>
            </w:pPr>
            <w:r w:rsidRPr="000342FD">
              <w:t>6,00</w:t>
            </w:r>
          </w:p>
        </w:tc>
        <w:tc>
          <w:tcPr>
            <w:tcW w:w="624" w:type="dxa"/>
            <w:shd w:val="clear" w:color="auto" w:fill="FFFFFF" w:themeFill="background1"/>
          </w:tcPr>
          <w:p w14:paraId="2CC0D2A1" w14:textId="77777777" w:rsidR="00695540" w:rsidRPr="000342FD" w:rsidRDefault="00695540" w:rsidP="00695540">
            <w:pPr>
              <w:pStyle w:val="CETBodytext"/>
              <w:ind w:right="-1"/>
            </w:pPr>
            <w:r w:rsidRPr="000342FD">
              <w:t>6,00</w:t>
            </w:r>
          </w:p>
        </w:tc>
        <w:tc>
          <w:tcPr>
            <w:tcW w:w="598" w:type="dxa"/>
            <w:shd w:val="clear" w:color="auto" w:fill="FFFFFF" w:themeFill="background1"/>
          </w:tcPr>
          <w:p w14:paraId="7C5D38C9" w14:textId="77777777" w:rsidR="00695540" w:rsidRPr="000342FD" w:rsidRDefault="00695540" w:rsidP="00695540">
            <w:pPr>
              <w:pStyle w:val="CETBodytext"/>
              <w:ind w:right="-1"/>
            </w:pPr>
            <w:r w:rsidRPr="000342FD">
              <w:t>6,00</w:t>
            </w:r>
          </w:p>
        </w:tc>
        <w:tc>
          <w:tcPr>
            <w:tcW w:w="534" w:type="dxa"/>
            <w:shd w:val="clear" w:color="auto" w:fill="FFFFFF" w:themeFill="background1"/>
          </w:tcPr>
          <w:p w14:paraId="1F58701B" w14:textId="77777777" w:rsidR="00695540" w:rsidRPr="000342FD" w:rsidRDefault="00C075CA" w:rsidP="00695540">
            <w:pPr>
              <w:pStyle w:val="CETBodytext"/>
              <w:ind w:right="-1"/>
            </w:pPr>
            <w:r>
              <w:t>-</w:t>
            </w:r>
          </w:p>
        </w:tc>
        <w:tc>
          <w:tcPr>
            <w:tcW w:w="534" w:type="dxa"/>
            <w:shd w:val="clear" w:color="auto" w:fill="FFFFFF" w:themeFill="background1"/>
          </w:tcPr>
          <w:p w14:paraId="1ED183AB" w14:textId="77777777" w:rsidR="00695540" w:rsidRPr="000342FD" w:rsidRDefault="00C075CA" w:rsidP="00695540">
            <w:pPr>
              <w:pStyle w:val="CETBodytext"/>
              <w:ind w:right="-1"/>
            </w:pPr>
            <w:r>
              <w:t>-</w:t>
            </w:r>
          </w:p>
        </w:tc>
      </w:tr>
      <w:tr w:rsidR="00695540" w:rsidRPr="00B57B36" w14:paraId="6E11B21C" w14:textId="77777777" w:rsidTr="390FD57E">
        <w:tc>
          <w:tcPr>
            <w:tcW w:w="926" w:type="dxa"/>
            <w:shd w:val="clear" w:color="auto" w:fill="FFFFFF" w:themeFill="background1"/>
          </w:tcPr>
          <w:p w14:paraId="46B55473"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PA (g)</w:t>
            </w:r>
          </w:p>
        </w:tc>
        <w:tc>
          <w:tcPr>
            <w:tcW w:w="724" w:type="dxa"/>
            <w:shd w:val="clear" w:color="auto" w:fill="FFFFFF" w:themeFill="background1"/>
          </w:tcPr>
          <w:p w14:paraId="3575A72E" w14:textId="77777777" w:rsidR="00695540" w:rsidRPr="00B57B36" w:rsidRDefault="00695540" w:rsidP="00695540">
            <w:pPr>
              <w:pStyle w:val="CETBodytext"/>
              <w:ind w:right="-1"/>
              <w:rPr>
                <w:rFonts w:cs="Arial"/>
                <w:szCs w:val="18"/>
                <w:lang w:val="en-GB"/>
              </w:rPr>
            </w:pPr>
            <w:r w:rsidRPr="000342FD">
              <w:t>7,50</w:t>
            </w:r>
          </w:p>
        </w:tc>
        <w:tc>
          <w:tcPr>
            <w:tcW w:w="723" w:type="dxa"/>
            <w:shd w:val="clear" w:color="auto" w:fill="FFFFFF" w:themeFill="background1"/>
          </w:tcPr>
          <w:p w14:paraId="7D9B5CA9" w14:textId="77777777" w:rsidR="00695540" w:rsidRPr="00B57B36" w:rsidRDefault="00695540" w:rsidP="00695540">
            <w:pPr>
              <w:pStyle w:val="CETBodytext"/>
              <w:ind w:right="-1"/>
              <w:rPr>
                <w:rFonts w:cs="Arial"/>
                <w:szCs w:val="18"/>
                <w:lang w:val="en-GB"/>
              </w:rPr>
            </w:pPr>
            <w:r w:rsidRPr="000342FD">
              <w:t>9,00</w:t>
            </w:r>
          </w:p>
        </w:tc>
        <w:tc>
          <w:tcPr>
            <w:tcW w:w="692" w:type="dxa"/>
            <w:shd w:val="clear" w:color="auto" w:fill="FFFFFF" w:themeFill="background1"/>
          </w:tcPr>
          <w:p w14:paraId="4C3EAE23" w14:textId="77777777" w:rsidR="00695540" w:rsidRPr="00B57B36" w:rsidRDefault="00695540" w:rsidP="00695540">
            <w:pPr>
              <w:pStyle w:val="CETBodytext"/>
              <w:ind w:right="-1"/>
              <w:rPr>
                <w:rFonts w:cs="Arial"/>
                <w:szCs w:val="18"/>
                <w:lang w:val="en-GB"/>
              </w:rPr>
            </w:pPr>
            <w:r w:rsidRPr="000342FD">
              <w:t>-</w:t>
            </w:r>
          </w:p>
        </w:tc>
        <w:tc>
          <w:tcPr>
            <w:tcW w:w="692" w:type="dxa"/>
            <w:shd w:val="clear" w:color="auto" w:fill="FFFFFF" w:themeFill="background1"/>
          </w:tcPr>
          <w:p w14:paraId="1BAB608A" w14:textId="77777777" w:rsidR="00695540" w:rsidRPr="00B57B36" w:rsidRDefault="00695540" w:rsidP="00695540">
            <w:pPr>
              <w:pStyle w:val="CETBodytext"/>
              <w:ind w:right="-1"/>
              <w:rPr>
                <w:rFonts w:cs="Arial"/>
                <w:szCs w:val="18"/>
                <w:lang w:val="en-GB"/>
              </w:rPr>
            </w:pPr>
            <w:r w:rsidRPr="000342FD">
              <w:t>-</w:t>
            </w:r>
          </w:p>
        </w:tc>
        <w:tc>
          <w:tcPr>
            <w:tcW w:w="689" w:type="dxa"/>
            <w:shd w:val="clear" w:color="auto" w:fill="FFFFFF" w:themeFill="background1"/>
          </w:tcPr>
          <w:p w14:paraId="18A35039" w14:textId="77777777" w:rsidR="00695540" w:rsidRPr="00B57B36" w:rsidRDefault="00695540" w:rsidP="00695540">
            <w:pPr>
              <w:pStyle w:val="CETBodytext"/>
              <w:ind w:right="-1"/>
              <w:rPr>
                <w:rFonts w:cs="Arial"/>
                <w:szCs w:val="18"/>
                <w:lang w:val="en-GB"/>
              </w:rPr>
            </w:pPr>
            <w:r w:rsidRPr="000342FD">
              <w:t>22,5</w:t>
            </w:r>
          </w:p>
        </w:tc>
        <w:tc>
          <w:tcPr>
            <w:tcW w:w="689" w:type="dxa"/>
            <w:shd w:val="clear" w:color="auto" w:fill="FFFFFF" w:themeFill="background1"/>
          </w:tcPr>
          <w:p w14:paraId="4C495620" w14:textId="77777777" w:rsidR="00695540" w:rsidRPr="00B57B36" w:rsidRDefault="00695540" w:rsidP="00695540">
            <w:pPr>
              <w:pStyle w:val="CETBodytext"/>
              <w:ind w:right="-1"/>
              <w:rPr>
                <w:rFonts w:cs="Arial"/>
                <w:szCs w:val="18"/>
                <w:lang w:val="en-GB"/>
              </w:rPr>
            </w:pPr>
            <w:r w:rsidRPr="000342FD">
              <w:t>30,00</w:t>
            </w:r>
          </w:p>
        </w:tc>
        <w:tc>
          <w:tcPr>
            <w:tcW w:w="689" w:type="dxa"/>
            <w:shd w:val="clear" w:color="auto" w:fill="FFFFFF" w:themeFill="background1"/>
          </w:tcPr>
          <w:p w14:paraId="3479E50A" w14:textId="77777777" w:rsidR="00695540" w:rsidRPr="00B57B36" w:rsidRDefault="00695540" w:rsidP="00695540">
            <w:pPr>
              <w:pStyle w:val="CETBodytext"/>
              <w:ind w:right="-1"/>
              <w:rPr>
                <w:rFonts w:cs="Arial"/>
                <w:szCs w:val="18"/>
                <w:lang w:val="en-GB"/>
              </w:rPr>
            </w:pPr>
            <w:r w:rsidRPr="000342FD">
              <w:t>-</w:t>
            </w:r>
          </w:p>
        </w:tc>
        <w:tc>
          <w:tcPr>
            <w:tcW w:w="673" w:type="dxa"/>
            <w:shd w:val="clear" w:color="auto" w:fill="FFFFFF" w:themeFill="background1"/>
          </w:tcPr>
          <w:p w14:paraId="43547B30" w14:textId="77777777" w:rsidR="00695540" w:rsidRPr="00B57B36" w:rsidRDefault="00695540" w:rsidP="00695540">
            <w:pPr>
              <w:pStyle w:val="CETBodytext"/>
              <w:ind w:right="-1"/>
              <w:rPr>
                <w:rFonts w:cs="Arial"/>
                <w:szCs w:val="18"/>
                <w:lang w:val="en-GB"/>
              </w:rPr>
            </w:pPr>
            <w:r w:rsidRPr="000342FD">
              <w:t>15,00</w:t>
            </w:r>
          </w:p>
        </w:tc>
        <w:tc>
          <w:tcPr>
            <w:tcW w:w="624" w:type="dxa"/>
            <w:shd w:val="clear" w:color="auto" w:fill="FFFFFF" w:themeFill="background1"/>
          </w:tcPr>
          <w:p w14:paraId="1B06B004" w14:textId="77777777" w:rsidR="00695540" w:rsidRPr="000342FD" w:rsidRDefault="00695540" w:rsidP="00695540">
            <w:pPr>
              <w:pStyle w:val="CETBodytext"/>
              <w:ind w:right="-1"/>
            </w:pPr>
            <w:r w:rsidRPr="000342FD">
              <w:t>15,00</w:t>
            </w:r>
          </w:p>
        </w:tc>
        <w:tc>
          <w:tcPr>
            <w:tcW w:w="598" w:type="dxa"/>
            <w:shd w:val="clear" w:color="auto" w:fill="FFFFFF" w:themeFill="background1"/>
          </w:tcPr>
          <w:p w14:paraId="6A9B392E" w14:textId="77777777" w:rsidR="00695540" w:rsidRPr="000342FD" w:rsidRDefault="00695540" w:rsidP="00695540">
            <w:pPr>
              <w:pStyle w:val="CETBodytext"/>
              <w:ind w:right="-1"/>
            </w:pPr>
            <w:r w:rsidRPr="000342FD">
              <w:t>-</w:t>
            </w:r>
          </w:p>
        </w:tc>
        <w:tc>
          <w:tcPr>
            <w:tcW w:w="534" w:type="dxa"/>
            <w:shd w:val="clear" w:color="auto" w:fill="FFFFFF" w:themeFill="background1"/>
          </w:tcPr>
          <w:p w14:paraId="5FED8E99" w14:textId="77777777" w:rsidR="00695540" w:rsidRPr="000342FD" w:rsidRDefault="00C075CA" w:rsidP="00695540">
            <w:pPr>
              <w:pStyle w:val="CETBodytext"/>
              <w:ind w:right="-1"/>
            </w:pPr>
            <w:r>
              <w:t>35,10</w:t>
            </w:r>
          </w:p>
        </w:tc>
        <w:tc>
          <w:tcPr>
            <w:tcW w:w="534" w:type="dxa"/>
            <w:shd w:val="clear" w:color="auto" w:fill="FFFFFF" w:themeFill="background1"/>
          </w:tcPr>
          <w:p w14:paraId="37846B35" w14:textId="77777777" w:rsidR="00695540" w:rsidRPr="000342FD" w:rsidRDefault="00C075CA" w:rsidP="00695540">
            <w:pPr>
              <w:pStyle w:val="CETBodytext"/>
              <w:ind w:right="-1"/>
            </w:pPr>
            <w:r>
              <w:t>-</w:t>
            </w:r>
          </w:p>
        </w:tc>
      </w:tr>
      <w:tr w:rsidR="00695540" w:rsidRPr="00B57B36" w14:paraId="27522C87" w14:textId="77777777" w:rsidTr="390FD57E">
        <w:tc>
          <w:tcPr>
            <w:tcW w:w="926" w:type="dxa"/>
            <w:shd w:val="clear" w:color="auto" w:fill="FFFFFF" w:themeFill="background1"/>
          </w:tcPr>
          <w:p w14:paraId="37EABE8E"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SCR (g)</w:t>
            </w:r>
          </w:p>
        </w:tc>
        <w:tc>
          <w:tcPr>
            <w:tcW w:w="724" w:type="dxa"/>
            <w:shd w:val="clear" w:color="auto" w:fill="FFFFFF" w:themeFill="background1"/>
          </w:tcPr>
          <w:p w14:paraId="439D1418" w14:textId="77777777" w:rsidR="00695540" w:rsidRPr="00B57B36" w:rsidRDefault="00695540" w:rsidP="00695540">
            <w:pPr>
              <w:pStyle w:val="CETBodytext"/>
              <w:ind w:right="-1"/>
              <w:rPr>
                <w:rFonts w:cs="Arial"/>
                <w:szCs w:val="18"/>
                <w:lang w:val="en-GB"/>
              </w:rPr>
            </w:pPr>
            <w:r w:rsidRPr="000342FD">
              <w:t>7,50</w:t>
            </w:r>
          </w:p>
        </w:tc>
        <w:tc>
          <w:tcPr>
            <w:tcW w:w="723" w:type="dxa"/>
            <w:shd w:val="clear" w:color="auto" w:fill="FFFFFF" w:themeFill="background1"/>
          </w:tcPr>
          <w:p w14:paraId="7C18B3A2" w14:textId="77777777" w:rsidR="00695540" w:rsidRPr="00B57B36" w:rsidRDefault="00695540" w:rsidP="00695540">
            <w:pPr>
              <w:pStyle w:val="CETBodytext"/>
              <w:ind w:right="-1"/>
              <w:rPr>
                <w:rFonts w:cs="Arial"/>
                <w:szCs w:val="18"/>
                <w:lang w:val="en-GB"/>
              </w:rPr>
            </w:pPr>
            <w:r w:rsidRPr="000342FD">
              <w:t>-</w:t>
            </w:r>
          </w:p>
        </w:tc>
        <w:tc>
          <w:tcPr>
            <w:tcW w:w="692" w:type="dxa"/>
            <w:shd w:val="clear" w:color="auto" w:fill="FFFFFF" w:themeFill="background1"/>
          </w:tcPr>
          <w:p w14:paraId="5AB042AA" w14:textId="77777777" w:rsidR="00695540" w:rsidRPr="00B57B36" w:rsidRDefault="00695540" w:rsidP="00695540">
            <w:pPr>
              <w:pStyle w:val="CETBodytext"/>
              <w:ind w:right="-1"/>
              <w:rPr>
                <w:rFonts w:cs="Arial"/>
                <w:szCs w:val="18"/>
                <w:lang w:val="en-GB"/>
              </w:rPr>
            </w:pPr>
            <w:r w:rsidRPr="000342FD">
              <w:t>9,00</w:t>
            </w:r>
          </w:p>
        </w:tc>
        <w:tc>
          <w:tcPr>
            <w:tcW w:w="692" w:type="dxa"/>
            <w:shd w:val="clear" w:color="auto" w:fill="FFFFFF" w:themeFill="background1"/>
          </w:tcPr>
          <w:p w14:paraId="36FA547E" w14:textId="77777777" w:rsidR="00695540" w:rsidRPr="00B57B36" w:rsidRDefault="00695540" w:rsidP="00695540">
            <w:pPr>
              <w:pStyle w:val="CETBodytext"/>
              <w:ind w:right="-1"/>
              <w:rPr>
                <w:rFonts w:cs="Arial"/>
                <w:szCs w:val="18"/>
                <w:lang w:val="en-GB"/>
              </w:rPr>
            </w:pPr>
            <w:r w:rsidRPr="000342FD">
              <w:t>-</w:t>
            </w:r>
          </w:p>
        </w:tc>
        <w:tc>
          <w:tcPr>
            <w:tcW w:w="689" w:type="dxa"/>
            <w:shd w:val="clear" w:color="auto" w:fill="FFFFFF" w:themeFill="background1"/>
          </w:tcPr>
          <w:p w14:paraId="3C882C5B" w14:textId="77777777" w:rsidR="00695540" w:rsidRPr="00B57B36" w:rsidRDefault="00695540" w:rsidP="00695540">
            <w:pPr>
              <w:pStyle w:val="CETBodytext"/>
              <w:ind w:right="-1"/>
              <w:rPr>
                <w:rFonts w:cs="Arial"/>
                <w:szCs w:val="18"/>
                <w:lang w:val="en-GB"/>
              </w:rPr>
            </w:pPr>
            <w:r w:rsidRPr="000342FD">
              <w:t>22,5</w:t>
            </w:r>
          </w:p>
        </w:tc>
        <w:tc>
          <w:tcPr>
            <w:tcW w:w="689" w:type="dxa"/>
            <w:shd w:val="clear" w:color="auto" w:fill="FFFFFF" w:themeFill="background1"/>
          </w:tcPr>
          <w:p w14:paraId="4F1A7CF1" w14:textId="77777777" w:rsidR="00695540" w:rsidRPr="00B57B36" w:rsidRDefault="00695540" w:rsidP="00695540">
            <w:pPr>
              <w:pStyle w:val="CETBodytext"/>
              <w:ind w:right="-1"/>
              <w:rPr>
                <w:rFonts w:cs="Arial"/>
                <w:szCs w:val="18"/>
                <w:lang w:val="en-GB"/>
              </w:rPr>
            </w:pPr>
            <w:r w:rsidRPr="000342FD">
              <w:t>-</w:t>
            </w:r>
          </w:p>
        </w:tc>
        <w:tc>
          <w:tcPr>
            <w:tcW w:w="689" w:type="dxa"/>
            <w:shd w:val="clear" w:color="auto" w:fill="FFFFFF" w:themeFill="background1"/>
          </w:tcPr>
          <w:p w14:paraId="46381A3E" w14:textId="77777777" w:rsidR="00695540" w:rsidRPr="00B57B36" w:rsidRDefault="00695540" w:rsidP="00695540">
            <w:pPr>
              <w:pStyle w:val="CETBodytext"/>
              <w:ind w:right="-1"/>
              <w:rPr>
                <w:rFonts w:cs="Arial"/>
                <w:szCs w:val="18"/>
                <w:lang w:val="en-GB"/>
              </w:rPr>
            </w:pPr>
            <w:r w:rsidRPr="000342FD">
              <w:t>30,00</w:t>
            </w:r>
          </w:p>
        </w:tc>
        <w:tc>
          <w:tcPr>
            <w:tcW w:w="673" w:type="dxa"/>
            <w:shd w:val="clear" w:color="auto" w:fill="FFFFFF" w:themeFill="background1"/>
          </w:tcPr>
          <w:p w14:paraId="71539D8E" w14:textId="77777777" w:rsidR="00695540" w:rsidRPr="00B57B36" w:rsidRDefault="00695540" w:rsidP="00695540">
            <w:pPr>
              <w:pStyle w:val="CETBodytext"/>
              <w:ind w:right="-1"/>
              <w:rPr>
                <w:rFonts w:cs="Arial"/>
                <w:szCs w:val="18"/>
                <w:lang w:val="en-GB"/>
              </w:rPr>
            </w:pPr>
            <w:r w:rsidRPr="000342FD">
              <w:t>15,00</w:t>
            </w:r>
          </w:p>
        </w:tc>
        <w:tc>
          <w:tcPr>
            <w:tcW w:w="624" w:type="dxa"/>
            <w:shd w:val="clear" w:color="auto" w:fill="FFFFFF" w:themeFill="background1"/>
          </w:tcPr>
          <w:p w14:paraId="2FD0330B" w14:textId="77777777" w:rsidR="00695540" w:rsidRPr="000342FD" w:rsidRDefault="00695540" w:rsidP="00695540">
            <w:pPr>
              <w:pStyle w:val="CETBodytext"/>
              <w:ind w:right="-1"/>
            </w:pPr>
            <w:r w:rsidRPr="000342FD">
              <w:t>-</w:t>
            </w:r>
          </w:p>
        </w:tc>
        <w:tc>
          <w:tcPr>
            <w:tcW w:w="598" w:type="dxa"/>
            <w:shd w:val="clear" w:color="auto" w:fill="FFFFFF" w:themeFill="background1"/>
          </w:tcPr>
          <w:p w14:paraId="6142FA8C" w14:textId="77777777" w:rsidR="00695540" w:rsidRPr="000342FD" w:rsidRDefault="00695540" w:rsidP="00695540">
            <w:pPr>
              <w:pStyle w:val="CETBodytext"/>
              <w:ind w:right="-1"/>
            </w:pPr>
            <w:r w:rsidRPr="000342FD">
              <w:t>15,00</w:t>
            </w:r>
          </w:p>
        </w:tc>
        <w:tc>
          <w:tcPr>
            <w:tcW w:w="534" w:type="dxa"/>
            <w:shd w:val="clear" w:color="auto" w:fill="FFFFFF" w:themeFill="background1"/>
          </w:tcPr>
          <w:p w14:paraId="6192A69F" w14:textId="77777777" w:rsidR="00695540" w:rsidRPr="000342FD" w:rsidRDefault="00C075CA" w:rsidP="00695540">
            <w:pPr>
              <w:pStyle w:val="CETBodytext"/>
              <w:ind w:right="-1"/>
            </w:pPr>
            <w:r>
              <w:t>-</w:t>
            </w:r>
          </w:p>
        </w:tc>
        <w:tc>
          <w:tcPr>
            <w:tcW w:w="534" w:type="dxa"/>
            <w:shd w:val="clear" w:color="auto" w:fill="FFFFFF" w:themeFill="background1"/>
          </w:tcPr>
          <w:p w14:paraId="520F12D4" w14:textId="77777777" w:rsidR="00695540" w:rsidRPr="000342FD" w:rsidRDefault="00C075CA" w:rsidP="00695540">
            <w:pPr>
              <w:pStyle w:val="CETBodytext"/>
              <w:ind w:right="-1"/>
            </w:pPr>
            <w:r>
              <w:t>35,10</w:t>
            </w:r>
          </w:p>
        </w:tc>
      </w:tr>
      <w:tr w:rsidR="00695540" w:rsidRPr="00B57B36" w14:paraId="2C38C182" w14:textId="77777777" w:rsidTr="390FD57E">
        <w:tc>
          <w:tcPr>
            <w:tcW w:w="926" w:type="dxa"/>
            <w:shd w:val="clear" w:color="auto" w:fill="FFFFFF" w:themeFill="background1"/>
          </w:tcPr>
          <w:p w14:paraId="168304E5" w14:textId="77777777" w:rsidR="00695540" w:rsidRPr="002A1D9E" w:rsidRDefault="00695540" w:rsidP="00695540">
            <w:pPr>
              <w:pStyle w:val="CETBodytext"/>
              <w:ind w:right="-1"/>
              <w:rPr>
                <w:rFonts w:cs="Arial"/>
                <w:b/>
                <w:bCs/>
                <w:szCs w:val="18"/>
                <w:lang w:val="en-GB"/>
              </w:rPr>
            </w:pPr>
            <w:r w:rsidRPr="002A1D9E">
              <w:rPr>
                <w:rFonts w:cs="Arial"/>
                <w:b/>
                <w:bCs/>
                <w:szCs w:val="18"/>
                <w:lang w:val="en-GB"/>
              </w:rPr>
              <w:t>WT (g)</w:t>
            </w:r>
          </w:p>
        </w:tc>
        <w:tc>
          <w:tcPr>
            <w:tcW w:w="724" w:type="dxa"/>
            <w:shd w:val="clear" w:color="auto" w:fill="FFFFFF" w:themeFill="background1"/>
          </w:tcPr>
          <w:p w14:paraId="3B5F9477" w14:textId="77777777" w:rsidR="00695540" w:rsidRPr="00B57B36" w:rsidRDefault="00695540" w:rsidP="00695540">
            <w:pPr>
              <w:pStyle w:val="CETBodytext"/>
              <w:ind w:right="-1"/>
              <w:rPr>
                <w:rFonts w:cs="Arial"/>
                <w:szCs w:val="18"/>
                <w:lang w:val="en-GB"/>
              </w:rPr>
            </w:pPr>
            <w:r w:rsidRPr="000342FD">
              <w:t>27,74g</w:t>
            </w:r>
          </w:p>
        </w:tc>
        <w:tc>
          <w:tcPr>
            <w:tcW w:w="723" w:type="dxa"/>
            <w:shd w:val="clear" w:color="auto" w:fill="FFFFFF" w:themeFill="background1"/>
          </w:tcPr>
          <w:p w14:paraId="5CCF79D0" w14:textId="77777777" w:rsidR="00695540" w:rsidRPr="00B57B36" w:rsidRDefault="00695540" w:rsidP="00695540">
            <w:pPr>
              <w:pStyle w:val="CETBodytext"/>
              <w:ind w:right="-1"/>
              <w:rPr>
                <w:rFonts w:cs="Arial"/>
                <w:szCs w:val="18"/>
                <w:lang w:val="en-GB"/>
              </w:rPr>
            </w:pPr>
            <w:r w:rsidRPr="000342FD">
              <w:t>24,23g</w:t>
            </w:r>
          </w:p>
        </w:tc>
        <w:tc>
          <w:tcPr>
            <w:tcW w:w="692" w:type="dxa"/>
            <w:shd w:val="clear" w:color="auto" w:fill="FFFFFF" w:themeFill="background1"/>
          </w:tcPr>
          <w:p w14:paraId="1E80FF93" w14:textId="77777777" w:rsidR="00695540" w:rsidRPr="00B57B36" w:rsidRDefault="00695540" w:rsidP="00695540">
            <w:pPr>
              <w:pStyle w:val="CETBodytext"/>
              <w:ind w:right="-1"/>
              <w:rPr>
                <w:rFonts w:cs="Arial"/>
                <w:szCs w:val="18"/>
                <w:lang w:val="en-GB"/>
              </w:rPr>
            </w:pPr>
            <w:r w:rsidRPr="000342FD">
              <w:t>23,05</w:t>
            </w:r>
          </w:p>
        </w:tc>
        <w:tc>
          <w:tcPr>
            <w:tcW w:w="692" w:type="dxa"/>
            <w:shd w:val="clear" w:color="auto" w:fill="FFFFFF" w:themeFill="background1"/>
          </w:tcPr>
          <w:p w14:paraId="55D96A2A" w14:textId="77777777" w:rsidR="00695540" w:rsidRPr="00B57B36" w:rsidRDefault="00695540" w:rsidP="00695540">
            <w:pPr>
              <w:pStyle w:val="CETBodytext"/>
              <w:ind w:right="-1"/>
              <w:rPr>
                <w:rFonts w:cs="Arial"/>
                <w:szCs w:val="18"/>
                <w:lang w:val="en-GB"/>
              </w:rPr>
            </w:pPr>
            <w:r w:rsidRPr="000342FD">
              <w:t>22,15</w:t>
            </w:r>
          </w:p>
        </w:tc>
        <w:tc>
          <w:tcPr>
            <w:tcW w:w="689" w:type="dxa"/>
            <w:shd w:val="clear" w:color="auto" w:fill="FFFFFF" w:themeFill="background1"/>
          </w:tcPr>
          <w:p w14:paraId="10CABD34" w14:textId="77777777" w:rsidR="00695540" w:rsidRPr="00B57B36" w:rsidRDefault="00695540" w:rsidP="00695540">
            <w:pPr>
              <w:pStyle w:val="CETBodytext"/>
              <w:ind w:right="-1"/>
              <w:rPr>
                <w:rFonts w:cs="Arial"/>
                <w:szCs w:val="18"/>
                <w:lang w:val="en-GB"/>
              </w:rPr>
            </w:pPr>
            <w:r w:rsidRPr="000342FD">
              <w:t>20,76</w:t>
            </w:r>
          </w:p>
        </w:tc>
        <w:tc>
          <w:tcPr>
            <w:tcW w:w="689" w:type="dxa"/>
            <w:shd w:val="clear" w:color="auto" w:fill="FFFFFF" w:themeFill="background1"/>
          </w:tcPr>
          <w:p w14:paraId="4CC9359A" w14:textId="77777777" w:rsidR="00695540" w:rsidRPr="00B57B36" w:rsidRDefault="00695540" w:rsidP="00695540">
            <w:pPr>
              <w:pStyle w:val="CETBodytext"/>
              <w:ind w:right="-1"/>
              <w:rPr>
                <w:rFonts w:cs="Arial"/>
                <w:szCs w:val="18"/>
                <w:lang w:val="en-GB"/>
              </w:rPr>
            </w:pPr>
            <w:r w:rsidRPr="000342FD">
              <w:t>20,55</w:t>
            </w:r>
          </w:p>
        </w:tc>
        <w:tc>
          <w:tcPr>
            <w:tcW w:w="689" w:type="dxa"/>
            <w:shd w:val="clear" w:color="auto" w:fill="FFFFFF" w:themeFill="background1"/>
          </w:tcPr>
          <w:p w14:paraId="5E1A3A3F" w14:textId="77777777" w:rsidR="00695540" w:rsidRPr="00B57B36" w:rsidRDefault="00695540" w:rsidP="00695540">
            <w:pPr>
              <w:pStyle w:val="CETBodytext"/>
              <w:ind w:right="-1"/>
              <w:rPr>
                <w:rFonts w:cs="Arial"/>
                <w:szCs w:val="18"/>
                <w:lang w:val="en-GB"/>
              </w:rPr>
            </w:pPr>
            <w:r w:rsidRPr="000342FD">
              <w:t>20,15</w:t>
            </w:r>
          </w:p>
        </w:tc>
        <w:tc>
          <w:tcPr>
            <w:tcW w:w="673" w:type="dxa"/>
            <w:shd w:val="clear" w:color="auto" w:fill="FFFFFF" w:themeFill="background1"/>
          </w:tcPr>
          <w:p w14:paraId="2F3972E8" w14:textId="77777777" w:rsidR="00695540" w:rsidRPr="00B57B36" w:rsidRDefault="00695540" w:rsidP="00695540">
            <w:pPr>
              <w:pStyle w:val="CETBodytext"/>
              <w:ind w:right="-1"/>
              <w:rPr>
                <w:rFonts w:cs="Arial"/>
                <w:szCs w:val="18"/>
                <w:lang w:val="en-GB"/>
              </w:rPr>
            </w:pPr>
            <w:r w:rsidRPr="000342FD">
              <w:t>22,31</w:t>
            </w:r>
          </w:p>
        </w:tc>
        <w:tc>
          <w:tcPr>
            <w:tcW w:w="624" w:type="dxa"/>
            <w:shd w:val="clear" w:color="auto" w:fill="FFFFFF" w:themeFill="background1"/>
          </w:tcPr>
          <w:p w14:paraId="49F9F6F6" w14:textId="77777777" w:rsidR="00695540" w:rsidRPr="000342FD" w:rsidRDefault="00695540" w:rsidP="00695540">
            <w:pPr>
              <w:pStyle w:val="CETBodytext"/>
              <w:ind w:right="-1"/>
            </w:pPr>
            <w:r w:rsidRPr="000342FD">
              <w:t>21,98</w:t>
            </w:r>
          </w:p>
        </w:tc>
        <w:tc>
          <w:tcPr>
            <w:tcW w:w="598" w:type="dxa"/>
            <w:shd w:val="clear" w:color="auto" w:fill="FFFFFF" w:themeFill="background1"/>
          </w:tcPr>
          <w:p w14:paraId="15841C8D" w14:textId="77777777" w:rsidR="00695540" w:rsidRPr="000342FD" w:rsidRDefault="00695540" w:rsidP="00695540">
            <w:pPr>
              <w:pStyle w:val="CETBodytext"/>
              <w:ind w:right="-1"/>
            </w:pPr>
            <w:r w:rsidRPr="000342FD">
              <w:t>22,05</w:t>
            </w:r>
          </w:p>
        </w:tc>
        <w:tc>
          <w:tcPr>
            <w:tcW w:w="534" w:type="dxa"/>
            <w:shd w:val="clear" w:color="auto" w:fill="FFFFFF" w:themeFill="background1"/>
          </w:tcPr>
          <w:p w14:paraId="08481741" w14:textId="77777777" w:rsidR="00695540" w:rsidRPr="000342FD" w:rsidRDefault="002A1D9E" w:rsidP="00695540">
            <w:pPr>
              <w:pStyle w:val="CETBodytext"/>
              <w:ind w:right="-1"/>
            </w:pPr>
            <w:r>
              <w:t>22,73</w:t>
            </w:r>
          </w:p>
        </w:tc>
        <w:tc>
          <w:tcPr>
            <w:tcW w:w="534" w:type="dxa"/>
            <w:shd w:val="clear" w:color="auto" w:fill="FFFFFF" w:themeFill="background1"/>
          </w:tcPr>
          <w:p w14:paraId="50B0DDC5" w14:textId="77777777" w:rsidR="00695540" w:rsidRPr="000342FD" w:rsidRDefault="002A1D9E" w:rsidP="00695540">
            <w:pPr>
              <w:pStyle w:val="CETBodytext"/>
              <w:ind w:right="-1"/>
            </w:pPr>
            <w:r>
              <w:t>22,56</w:t>
            </w:r>
          </w:p>
        </w:tc>
      </w:tr>
    </w:tbl>
    <w:p w14:paraId="18646422" w14:textId="77777777" w:rsidR="00944A09" w:rsidRDefault="00944A09" w:rsidP="00453E24">
      <w:pPr>
        <w:pStyle w:val="CETBodytext"/>
      </w:pPr>
    </w:p>
    <w:p w14:paraId="5E621FE7" w14:textId="77777777" w:rsidR="00BE1338" w:rsidRDefault="00802D09" w:rsidP="00802D09">
      <w:pPr>
        <w:pStyle w:val="CETBodytext"/>
        <w:jc w:val="center"/>
      </w:pPr>
      <w:r>
        <w:rPr>
          <w:noProof/>
        </w:rPr>
        <w:drawing>
          <wp:inline distT="0" distB="0" distL="0" distR="0" wp14:anchorId="54B8C62A" wp14:editId="4F9720BC">
            <wp:extent cx="4249420" cy="1908175"/>
            <wp:effectExtent l="0" t="0" r="0" b="0"/>
            <wp:docPr id="1606568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9420" cy="1908175"/>
                    </a:xfrm>
                    <a:prstGeom prst="rect">
                      <a:avLst/>
                    </a:prstGeom>
                    <a:noFill/>
                  </pic:spPr>
                </pic:pic>
              </a:graphicData>
            </a:graphic>
          </wp:inline>
        </w:drawing>
      </w:r>
    </w:p>
    <w:p w14:paraId="756EB98E" w14:textId="77777777" w:rsidR="00802D09" w:rsidRPr="00BD077D" w:rsidRDefault="00802D09" w:rsidP="001335C7">
      <w:pPr>
        <w:pStyle w:val="CETCaption"/>
        <w:spacing w:before="0"/>
        <w:jc w:val="center"/>
      </w:pPr>
      <w:r w:rsidRPr="00BD077D">
        <w:rPr>
          <w:rStyle w:val="CETCaptionCarattere"/>
          <w:i/>
        </w:rPr>
        <w:t xml:space="preserve">Figure 1: </w:t>
      </w:r>
      <w:r w:rsidR="001335C7" w:rsidRPr="001335C7">
        <w:rPr>
          <w:rStyle w:val="CETCaptionCarattere"/>
          <w:i/>
        </w:rPr>
        <w:t>Prepared mortars</w:t>
      </w:r>
      <w:r w:rsidR="001335C7">
        <w:rPr>
          <w:rStyle w:val="CETCaptionCarattere"/>
          <w:i/>
        </w:rPr>
        <w:t>.</w:t>
      </w:r>
    </w:p>
    <w:p w14:paraId="33D17838" w14:textId="77777777" w:rsidR="00802D09" w:rsidRDefault="00C062F4" w:rsidP="001C01B3">
      <w:pPr>
        <w:pStyle w:val="CETBodytext"/>
        <w:spacing w:after="240"/>
        <w:rPr>
          <w:lang w:val="en-GB"/>
        </w:rPr>
      </w:pPr>
      <w:r w:rsidRPr="00C062F4">
        <w:rPr>
          <w:lang w:val="en-GB"/>
        </w:rPr>
        <w:t xml:space="preserve">The samples that exhibited the best formulation according to the research objective were A6, made with BC, W, LF, and PA, as well as A7, prepared with BC, W, LF, and SCR. Both were successfully formed without the need for cement and did not show any breakage points after </w:t>
      </w:r>
      <w:proofErr w:type="spellStart"/>
      <w:r w:rsidRPr="00C062F4">
        <w:rPr>
          <w:lang w:val="en-GB"/>
        </w:rPr>
        <w:t>demolding</w:t>
      </w:r>
      <w:proofErr w:type="spellEnd"/>
      <w:r w:rsidRPr="00C062F4">
        <w:rPr>
          <w:lang w:val="en-GB"/>
        </w:rPr>
        <w:t>. Each of them displayed relevant characteristics that will be further explored in the following characterizations.</w:t>
      </w:r>
    </w:p>
    <w:p w14:paraId="05FDCB19" w14:textId="77777777" w:rsidR="006F5B1F" w:rsidRPr="00233204" w:rsidRDefault="006F5B1F" w:rsidP="006F5B1F">
      <w:pPr>
        <w:pStyle w:val="CETheadingx"/>
        <w:rPr>
          <w:lang w:val="en-GB"/>
        </w:rPr>
      </w:pPr>
      <w:r w:rsidRPr="00C30616">
        <w:t xml:space="preserve">Water </w:t>
      </w:r>
      <w:r>
        <w:t>absorption</w:t>
      </w:r>
      <w:r w:rsidRPr="00C30616">
        <w:t xml:space="preserve"> capacity (W</w:t>
      </w:r>
      <w:r>
        <w:t>A</w:t>
      </w:r>
      <w:r w:rsidRPr="00C30616">
        <w:t>C)</w:t>
      </w:r>
    </w:p>
    <w:p w14:paraId="04A1E5EB" w14:textId="4E2FB22C" w:rsidR="00DB7E79" w:rsidRDefault="000D5105" w:rsidP="00093371">
      <w:pPr>
        <w:pStyle w:val="CETBodytext"/>
      </w:pPr>
      <w:r>
        <w:t>The water absorption capacity (WAC) results for samples A6 and A7 were evaluated based on the NBR 15210/2009 standard, which establishes that the wet weight of a 5 kg tile sample must not exceed 16% of its dry weight. Sample A6, which incorporated polyamide (PA) fibers, exhibited a water absorption of 15%, remaining within the acceptable limit and indicating a satisfactory formulation in terms of moisture resistance. Conversely, sample A7, produced with sugarcane residue (SCR), presented a 20% increase in weight due to water absorption, exceeding the standard’s limit.</w:t>
      </w:r>
      <w:r w:rsidR="00093371">
        <w:t xml:space="preserve"> </w:t>
      </w:r>
      <w:r>
        <w:t>To assess the statistical relevance of these differences, a one-way analysis of variance (ANOVA) was performed. The results showed a statistically significant difference between the water absorption values of A6 and A7 (p &lt; 0.05), confirming that replacing PA with SCR negatively affects the composite's moisture resistance. This finding reinforces the importance of fiber type selection to ensure the long-term durability and performance of the material.</w:t>
      </w:r>
    </w:p>
    <w:p w14:paraId="1815C496" w14:textId="77777777" w:rsidR="006F5B1F" w:rsidRPr="00233204" w:rsidRDefault="006F5B1F" w:rsidP="006F5B1F">
      <w:pPr>
        <w:pStyle w:val="CETheadingx"/>
        <w:rPr>
          <w:lang w:val="en-GB"/>
        </w:rPr>
      </w:pPr>
      <w:r w:rsidRPr="00AA6B43">
        <w:rPr>
          <w:lang w:val="en-GB"/>
        </w:rPr>
        <w:t>Mechanical Tests – Flexion</w:t>
      </w:r>
    </w:p>
    <w:p w14:paraId="64933358" w14:textId="154A84BA" w:rsidR="00093371" w:rsidRDefault="00274899" w:rsidP="00274899">
      <w:pPr>
        <w:pStyle w:val="CETBodytext"/>
      </w:pPr>
      <w:r>
        <w:t>Flexural strength is a critical property for tile composites, as they are subjected to bending forces during installation and use. Sample A6 withstood a tensile force of 1054 ± 3.78 N and exhibited a Young’s modulus of 5.27 ± 2.31 MPa. Sample A7 resisted 984 ± 2.6 N and showed a modulus of 3.42 ± 2.19 MPa.</w:t>
      </w:r>
      <w:r w:rsidR="00093371">
        <w:t xml:space="preserve"> </w:t>
      </w:r>
      <w:proofErr w:type="gramStart"/>
      <w:r>
        <w:t>An</w:t>
      </w:r>
      <w:proofErr w:type="gramEnd"/>
      <w:r>
        <w:t xml:space="preserve"> ANOVA was conducted to determine the statistical significance of these mechanical differences. The analysis revealed that both the tensile load and the Young’s modulus differed significantly between A6 and A7 (p &lt; 0.05).These results suggest that PA, due to its structural compatibility with the BC matrix, enhances the mechanical integrity of the </w:t>
      </w:r>
      <w:r>
        <w:lastRenderedPageBreak/>
        <w:t>composite. In contrast, the heterogeneity in SCR fiber distribution may reduce the material's cohesion, resulting</w:t>
      </w:r>
      <w:r w:rsidR="00093371">
        <w:t xml:space="preserve"> </w:t>
      </w:r>
      <w:r>
        <w:t>in inferior performance.</w:t>
      </w:r>
    </w:p>
    <w:p w14:paraId="1E10AC6F" w14:textId="77777777" w:rsidR="00093371" w:rsidRDefault="00093371" w:rsidP="00274899">
      <w:pPr>
        <w:pStyle w:val="CETBodytext"/>
      </w:pPr>
    </w:p>
    <w:p w14:paraId="68BF7E40" w14:textId="6B317CF2" w:rsidR="00770799" w:rsidRDefault="009E1999" w:rsidP="00274899">
      <w:pPr>
        <w:pStyle w:val="CETBodytext"/>
      </w:pPr>
      <w:r>
        <w:rPr>
          <w:noProof/>
        </w:rPr>
        <w:drawing>
          <wp:inline distT="0" distB="0" distL="0" distR="0" wp14:anchorId="73CFA037" wp14:editId="150C55F6">
            <wp:extent cx="5181600" cy="1638103"/>
            <wp:effectExtent l="0" t="0" r="0" b="635"/>
            <wp:docPr id="145316577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248019" cy="1659101"/>
                    </a:xfrm>
                    <a:prstGeom prst="rect">
                      <a:avLst/>
                    </a:prstGeom>
                    <a:noFill/>
                  </pic:spPr>
                </pic:pic>
              </a:graphicData>
            </a:graphic>
          </wp:inline>
        </w:drawing>
      </w:r>
    </w:p>
    <w:p w14:paraId="155B5C2E" w14:textId="1DEDCFAA" w:rsidR="00D8518E" w:rsidRDefault="00715255" w:rsidP="00220BBD">
      <w:pPr>
        <w:pStyle w:val="CETCaption"/>
        <w:spacing w:before="0"/>
        <w:jc w:val="center"/>
      </w:pPr>
      <w:r>
        <w:t>Figure 2: Mechanical strength (tensile load and Young’s modulus) of Samples A6 and A7 under standardized bending tests.</w:t>
      </w:r>
    </w:p>
    <w:p w14:paraId="6CEC1F02" w14:textId="77777777" w:rsidR="006F5B1F" w:rsidRDefault="00D8518E" w:rsidP="00220BBD">
      <w:pPr>
        <w:pStyle w:val="CETBodytext"/>
        <w:spacing w:after="240"/>
      </w:pPr>
      <w:r>
        <w:t>The elongation capacity and high mechanical strength of sample A6 can be explained by the PA structure within the BC nanofibers, resulting in high mechanical strength.</w:t>
      </w:r>
    </w:p>
    <w:p w14:paraId="396E88D0" w14:textId="77777777" w:rsidR="006F5B1F" w:rsidRPr="00A939E3" w:rsidRDefault="006F5B1F" w:rsidP="006F5B1F">
      <w:pPr>
        <w:pStyle w:val="CETheadingx"/>
        <w:rPr>
          <w:lang w:val="en-GB"/>
        </w:rPr>
      </w:pPr>
      <w:r w:rsidRPr="00A939E3">
        <w:t>Determination of Water Permeability</w:t>
      </w:r>
    </w:p>
    <w:p w14:paraId="60835B6B" w14:textId="77777777" w:rsidR="006F5B1F" w:rsidRDefault="00EE4968" w:rsidP="00C062F4">
      <w:pPr>
        <w:pStyle w:val="CETBodytext"/>
      </w:pPr>
      <w:r w:rsidRPr="00EE4968">
        <w:t>The results obtained after the duplicate analyses are presented in Table 2. As observed, the sample that showed the best performance was A6. This result may be attributed to the presence of PA in combination with LF, which may have acted as an impermeabilizing material, improving the overall resistance and performance of the sample. On the other hand, sample A7 showed lower performance. This behavior can be explained by the lack of homogenization of the SCR fibers with the other components of the formulation, resulting in a more spaced-out structure and, consequently, higher permeability. The heterogeneity in the fiber distribution may have compromised the resistance properties of the sample, explaining its lower efficiency compared to A6.</w:t>
      </w:r>
    </w:p>
    <w:p w14:paraId="2A56F921" w14:textId="77777777" w:rsidR="00EE4968" w:rsidRDefault="00EE4968" w:rsidP="00EE4968">
      <w:pPr>
        <w:pStyle w:val="CETTabletitle"/>
        <w:jc w:val="center"/>
      </w:pPr>
      <w:r>
        <w:t>Table 2: Visual evaluation of water permeability test (duplicate analysis). Stains or drops indicate sample failure under standard conditions.</w:t>
      </w:r>
    </w:p>
    <w:tbl>
      <w:tblPr>
        <w:tblW w:w="2433"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17"/>
        <w:gridCol w:w="9"/>
        <w:gridCol w:w="8"/>
        <w:gridCol w:w="7"/>
        <w:gridCol w:w="1108"/>
        <w:gridCol w:w="7"/>
        <w:gridCol w:w="7"/>
        <w:gridCol w:w="7"/>
        <w:gridCol w:w="2299"/>
        <w:gridCol w:w="7"/>
      </w:tblGrid>
      <w:tr w:rsidR="00ED51C4" w:rsidRPr="00B57B36" w14:paraId="4E90A5F3" w14:textId="77777777" w:rsidTr="000D3534">
        <w:trPr>
          <w:trHeight w:val="327"/>
          <w:jc w:val="center"/>
        </w:trPr>
        <w:tc>
          <w:tcPr>
            <w:tcW w:w="5000" w:type="pct"/>
            <w:gridSpan w:val="10"/>
            <w:tcBorders>
              <w:top w:val="single" w:sz="12" w:space="0" w:color="008000"/>
              <w:bottom w:val="single" w:sz="6" w:space="0" w:color="008000"/>
            </w:tcBorders>
            <w:shd w:val="clear" w:color="auto" w:fill="FFFFFF"/>
            <w:vAlign w:val="center"/>
          </w:tcPr>
          <w:p w14:paraId="65A037FC" w14:textId="77777777" w:rsidR="00ED51C4" w:rsidRPr="002A1D9E" w:rsidRDefault="00ED51C4" w:rsidP="0072758B">
            <w:pPr>
              <w:pStyle w:val="CETBodytext"/>
              <w:ind w:right="-1"/>
              <w:jc w:val="center"/>
              <w:rPr>
                <w:rFonts w:cs="Arial"/>
                <w:b/>
                <w:bCs/>
                <w:szCs w:val="18"/>
                <w:lang w:val="en-GB"/>
              </w:rPr>
            </w:pPr>
            <w:r>
              <w:rPr>
                <w:b/>
                <w:bCs/>
              </w:rPr>
              <w:t>Sa</w:t>
            </w:r>
            <w:r w:rsidRPr="00111DC9">
              <w:rPr>
                <w:b/>
                <w:bCs/>
              </w:rPr>
              <w:t>mple</w:t>
            </w:r>
          </w:p>
        </w:tc>
      </w:tr>
      <w:tr w:rsidR="000D3534" w:rsidRPr="00B57B36" w14:paraId="4DADB28E" w14:textId="77777777" w:rsidTr="000D3534">
        <w:trPr>
          <w:gridAfter w:val="1"/>
          <w:wAfter w:w="8" w:type="pct"/>
          <w:trHeight w:val="327"/>
          <w:jc w:val="center"/>
        </w:trPr>
        <w:tc>
          <w:tcPr>
            <w:tcW w:w="956" w:type="pct"/>
            <w:shd w:val="clear" w:color="auto" w:fill="FFFFFF"/>
          </w:tcPr>
          <w:p w14:paraId="1E3B283B" w14:textId="7E7C43FD" w:rsidR="00ED51C4" w:rsidRPr="00594644" w:rsidRDefault="00ED51C4" w:rsidP="0072758B">
            <w:pPr>
              <w:pStyle w:val="CETBodytext"/>
              <w:rPr>
                <w:lang w:val="en-GB"/>
              </w:rPr>
            </w:pPr>
            <w:r w:rsidRPr="00594644">
              <w:t>Test</w:t>
            </w:r>
          </w:p>
        </w:tc>
        <w:tc>
          <w:tcPr>
            <w:tcW w:w="11" w:type="pct"/>
            <w:shd w:val="clear" w:color="auto" w:fill="FFFFFF"/>
          </w:tcPr>
          <w:p w14:paraId="5E8327D0" w14:textId="77777777" w:rsidR="00ED51C4" w:rsidRPr="002A1D9E" w:rsidRDefault="00ED51C4" w:rsidP="0072758B">
            <w:pPr>
              <w:pStyle w:val="CETBodytext"/>
              <w:rPr>
                <w:b/>
                <w:bCs/>
                <w:lang w:val="en-GB"/>
              </w:rPr>
            </w:pPr>
          </w:p>
        </w:tc>
        <w:tc>
          <w:tcPr>
            <w:tcW w:w="9" w:type="pct"/>
            <w:shd w:val="clear" w:color="auto" w:fill="FFFFFF"/>
          </w:tcPr>
          <w:p w14:paraId="689B423B" w14:textId="77777777" w:rsidR="00ED51C4" w:rsidRPr="002A1D9E" w:rsidRDefault="00ED51C4" w:rsidP="0072758B">
            <w:pPr>
              <w:pStyle w:val="CETBodytext"/>
              <w:rPr>
                <w:b/>
                <w:bCs/>
                <w:lang w:val="en-GB"/>
              </w:rPr>
            </w:pPr>
          </w:p>
        </w:tc>
        <w:tc>
          <w:tcPr>
            <w:tcW w:w="8" w:type="pct"/>
            <w:shd w:val="clear" w:color="auto" w:fill="FFFFFF"/>
          </w:tcPr>
          <w:p w14:paraId="2748D250" w14:textId="77777777" w:rsidR="00ED51C4" w:rsidRPr="002A1D9E" w:rsidRDefault="00ED51C4" w:rsidP="0072758B">
            <w:pPr>
              <w:pStyle w:val="CETBodytext"/>
              <w:rPr>
                <w:b/>
                <w:bCs/>
                <w:lang w:val="en-GB"/>
              </w:rPr>
            </w:pPr>
          </w:p>
        </w:tc>
        <w:tc>
          <w:tcPr>
            <w:tcW w:w="1296" w:type="pct"/>
            <w:shd w:val="clear" w:color="auto" w:fill="FFFFFF"/>
          </w:tcPr>
          <w:p w14:paraId="2FB90AB9" w14:textId="77777777" w:rsidR="00ED51C4" w:rsidRPr="002A1D9E" w:rsidRDefault="00ED51C4" w:rsidP="00594644">
            <w:pPr>
              <w:pStyle w:val="CETBodytext"/>
              <w:jc w:val="center"/>
              <w:rPr>
                <w:b/>
                <w:bCs/>
                <w:lang w:val="en-GB"/>
              </w:rPr>
            </w:pPr>
            <w:r w:rsidRPr="002A1D9E">
              <w:rPr>
                <w:b/>
                <w:bCs/>
                <w:lang w:val="en-GB"/>
              </w:rPr>
              <w:t>A</w:t>
            </w:r>
            <w:r>
              <w:rPr>
                <w:b/>
                <w:bCs/>
                <w:lang w:val="en-GB"/>
              </w:rPr>
              <w:t>6</w:t>
            </w:r>
          </w:p>
        </w:tc>
        <w:tc>
          <w:tcPr>
            <w:tcW w:w="8" w:type="pct"/>
            <w:shd w:val="clear" w:color="auto" w:fill="FFFFFF"/>
          </w:tcPr>
          <w:p w14:paraId="68DD35DE" w14:textId="77777777" w:rsidR="00ED51C4" w:rsidRPr="002A1D9E" w:rsidRDefault="00ED51C4" w:rsidP="00594644">
            <w:pPr>
              <w:pStyle w:val="CETBodytext"/>
              <w:jc w:val="center"/>
              <w:rPr>
                <w:b/>
                <w:bCs/>
                <w:lang w:val="en-GB"/>
              </w:rPr>
            </w:pPr>
          </w:p>
        </w:tc>
        <w:tc>
          <w:tcPr>
            <w:tcW w:w="8" w:type="pct"/>
            <w:shd w:val="clear" w:color="auto" w:fill="FFFFFF"/>
          </w:tcPr>
          <w:p w14:paraId="09687D9D" w14:textId="77777777" w:rsidR="00ED51C4" w:rsidRPr="002A1D9E" w:rsidRDefault="00ED51C4" w:rsidP="00594644">
            <w:pPr>
              <w:pStyle w:val="CETBodytext"/>
              <w:jc w:val="center"/>
              <w:rPr>
                <w:b/>
                <w:bCs/>
                <w:lang w:val="en-GB"/>
              </w:rPr>
            </w:pPr>
          </w:p>
        </w:tc>
        <w:tc>
          <w:tcPr>
            <w:tcW w:w="8" w:type="pct"/>
            <w:shd w:val="clear" w:color="auto" w:fill="FFFFFF"/>
          </w:tcPr>
          <w:p w14:paraId="08A79C19" w14:textId="77777777" w:rsidR="00ED51C4" w:rsidRPr="002A1D9E" w:rsidRDefault="00ED51C4" w:rsidP="00594644">
            <w:pPr>
              <w:pStyle w:val="CETBodytext"/>
              <w:jc w:val="center"/>
              <w:rPr>
                <w:b/>
                <w:bCs/>
                <w:lang w:val="en-GB"/>
              </w:rPr>
            </w:pPr>
          </w:p>
        </w:tc>
        <w:tc>
          <w:tcPr>
            <w:tcW w:w="2688" w:type="pct"/>
            <w:shd w:val="clear" w:color="auto" w:fill="FFFFFF"/>
          </w:tcPr>
          <w:p w14:paraId="211C1711" w14:textId="77777777" w:rsidR="00ED51C4" w:rsidRPr="002A1D9E" w:rsidRDefault="00ED51C4" w:rsidP="00594644">
            <w:pPr>
              <w:pStyle w:val="CETBodytext"/>
              <w:jc w:val="center"/>
              <w:rPr>
                <w:b/>
                <w:bCs/>
                <w:lang w:val="en-GB"/>
              </w:rPr>
            </w:pPr>
            <w:r w:rsidRPr="002A1D9E">
              <w:rPr>
                <w:b/>
                <w:bCs/>
                <w:lang w:val="en-GB"/>
              </w:rPr>
              <w:t>A</w:t>
            </w:r>
            <w:r>
              <w:rPr>
                <w:b/>
                <w:bCs/>
                <w:lang w:val="en-GB"/>
              </w:rPr>
              <w:t>7</w:t>
            </w:r>
          </w:p>
        </w:tc>
      </w:tr>
      <w:tr w:rsidR="000D3534" w:rsidRPr="00B57B36" w14:paraId="35A2ECD0" w14:textId="77777777" w:rsidTr="000D3534">
        <w:trPr>
          <w:gridAfter w:val="1"/>
          <w:wAfter w:w="8" w:type="pct"/>
          <w:trHeight w:val="349"/>
          <w:jc w:val="center"/>
        </w:trPr>
        <w:tc>
          <w:tcPr>
            <w:tcW w:w="956" w:type="pct"/>
            <w:shd w:val="clear" w:color="auto" w:fill="FFFFFF"/>
            <w:vAlign w:val="center"/>
          </w:tcPr>
          <w:p w14:paraId="1BA7C116" w14:textId="77777777" w:rsidR="00ED51C4" w:rsidRPr="00594644" w:rsidRDefault="00ED51C4" w:rsidP="00FA67AC">
            <w:pPr>
              <w:pStyle w:val="CETBodytext"/>
              <w:ind w:right="-1"/>
              <w:jc w:val="left"/>
              <w:rPr>
                <w:rFonts w:cs="Arial"/>
                <w:szCs w:val="18"/>
                <w:lang w:val="en-GB"/>
              </w:rPr>
            </w:pPr>
            <w:r w:rsidRPr="00594644">
              <w:rPr>
                <w:rFonts w:cs="Arial"/>
                <w:szCs w:val="18"/>
                <w:lang w:val="en-GB"/>
              </w:rPr>
              <w:t>1°</w:t>
            </w:r>
          </w:p>
        </w:tc>
        <w:tc>
          <w:tcPr>
            <w:tcW w:w="11" w:type="pct"/>
            <w:shd w:val="clear" w:color="auto" w:fill="FFFFFF"/>
          </w:tcPr>
          <w:p w14:paraId="0DA7381F" w14:textId="77777777" w:rsidR="00ED51C4" w:rsidRPr="002A1D9E" w:rsidRDefault="00ED51C4" w:rsidP="0072758B">
            <w:pPr>
              <w:pStyle w:val="CETBodytext"/>
              <w:ind w:right="-1"/>
              <w:rPr>
                <w:rFonts w:cs="Arial"/>
                <w:b/>
                <w:bCs/>
                <w:szCs w:val="18"/>
                <w:lang w:val="en-GB"/>
              </w:rPr>
            </w:pPr>
          </w:p>
        </w:tc>
        <w:tc>
          <w:tcPr>
            <w:tcW w:w="9" w:type="pct"/>
            <w:shd w:val="clear" w:color="auto" w:fill="FFFFFF"/>
          </w:tcPr>
          <w:p w14:paraId="6320A98B" w14:textId="77777777" w:rsidR="00ED51C4" w:rsidRPr="002A1D9E" w:rsidRDefault="00ED51C4" w:rsidP="0072758B">
            <w:pPr>
              <w:pStyle w:val="CETBodytext"/>
              <w:ind w:right="-1"/>
              <w:rPr>
                <w:rFonts w:cs="Arial"/>
                <w:b/>
                <w:bCs/>
                <w:szCs w:val="18"/>
                <w:lang w:val="en-GB"/>
              </w:rPr>
            </w:pPr>
          </w:p>
        </w:tc>
        <w:tc>
          <w:tcPr>
            <w:tcW w:w="8" w:type="pct"/>
            <w:shd w:val="clear" w:color="auto" w:fill="FFFFFF"/>
          </w:tcPr>
          <w:p w14:paraId="771520BF" w14:textId="77777777" w:rsidR="00ED51C4" w:rsidRPr="002A1D9E" w:rsidRDefault="00ED51C4" w:rsidP="0072758B">
            <w:pPr>
              <w:pStyle w:val="CETBodytext"/>
              <w:ind w:right="-1"/>
              <w:rPr>
                <w:rFonts w:cs="Arial"/>
                <w:b/>
                <w:bCs/>
                <w:szCs w:val="18"/>
                <w:lang w:val="en-GB"/>
              </w:rPr>
            </w:pPr>
          </w:p>
        </w:tc>
        <w:tc>
          <w:tcPr>
            <w:tcW w:w="1296" w:type="pct"/>
            <w:shd w:val="clear" w:color="auto" w:fill="FFFFFF"/>
          </w:tcPr>
          <w:p w14:paraId="009624C5" w14:textId="77777777" w:rsidR="00ED51C4" w:rsidRPr="00B57B36" w:rsidRDefault="00ED51C4" w:rsidP="00594644">
            <w:pPr>
              <w:pStyle w:val="CETBodytext"/>
              <w:ind w:right="-1"/>
              <w:jc w:val="center"/>
              <w:rPr>
                <w:rFonts w:cs="Arial"/>
                <w:szCs w:val="18"/>
                <w:lang w:val="en-GB"/>
              </w:rPr>
            </w:pPr>
            <w:r>
              <w:rPr>
                <w:rFonts w:cs="Arial"/>
                <w:szCs w:val="18"/>
                <w:lang w:val="en-GB"/>
              </w:rPr>
              <w:t>-</w:t>
            </w:r>
          </w:p>
        </w:tc>
        <w:tc>
          <w:tcPr>
            <w:tcW w:w="8" w:type="pct"/>
            <w:shd w:val="clear" w:color="auto" w:fill="FFFFFF"/>
          </w:tcPr>
          <w:p w14:paraId="1B0D43E7" w14:textId="77777777" w:rsidR="00ED51C4" w:rsidRPr="00B57B36" w:rsidRDefault="00ED51C4" w:rsidP="00594644">
            <w:pPr>
              <w:pStyle w:val="CETBodytext"/>
              <w:ind w:right="-1"/>
              <w:jc w:val="center"/>
              <w:rPr>
                <w:rFonts w:cs="Arial"/>
                <w:szCs w:val="18"/>
                <w:lang w:val="en-GB"/>
              </w:rPr>
            </w:pPr>
          </w:p>
        </w:tc>
        <w:tc>
          <w:tcPr>
            <w:tcW w:w="8" w:type="pct"/>
            <w:shd w:val="clear" w:color="auto" w:fill="FFFFFF"/>
          </w:tcPr>
          <w:p w14:paraId="66F2C072" w14:textId="77777777" w:rsidR="00ED51C4" w:rsidRPr="00B57B36" w:rsidRDefault="00ED51C4" w:rsidP="00594644">
            <w:pPr>
              <w:pStyle w:val="CETBodytext"/>
              <w:ind w:right="-1"/>
              <w:jc w:val="center"/>
              <w:rPr>
                <w:rFonts w:cs="Arial"/>
                <w:szCs w:val="18"/>
                <w:lang w:val="en-GB"/>
              </w:rPr>
            </w:pPr>
          </w:p>
        </w:tc>
        <w:tc>
          <w:tcPr>
            <w:tcW w:w="8" w:type="pct"/>
            <w:shd w:val="clear" w:color="auto" w:fill="FFFFFF"/>
          </w:tcPr>
          <w:p w14:paraId="09CDBE5B" w14:textId="77777777" w:rsidR="00ED51C4" w:rsidRPr="00B57B36" w:rsidRDefault="00ED51C4" w:rsidP="00594644">
            <w:pPr>
              <w:pStyle w:val="CETBodytext"/>
              <w:ind w:right="-1"/>
              <w:jc w:val="center"/>
              <w:rPr>
                <w:rFonts w:cs="Arial"/>
                <w:szCs w:val="18"/>
                <w:lang w:val="en-GB"/>
              </w:rPr>
            </w:pPr>
          </w:p>
        </w:tc>
        <w:tc>
          <w:tcPr>
            <w:tcW w:w="2688" w:type="pct"/>
            <w:shd w:val="clear" w:color="auto" w:fill="FFFFFF"/>
          </w:tcPr>
          <w:p w14:paraId="350C5844" w14:textId="0C3BA11F" w:rsidR="00ED51C4" w:rsidRPr="00B57B36" w:rsidRDefault="00AE3214" w:rsidP="00594644">
            <w:pPr>
              <w:pStyle w:val="CETBodytext"/>
              <w:ind w:right="-1"/>
              <w:jc w:val="center"/>
              <w:rPr>
                <w:rFonts w:cs="Arial"/>
                <w:szCs w:val="18"/>
                <w:lang w:val="en-GB"/>
              </w:rPr>
            </w:pPr>
            <w:r>
              <w:rPr>
                <w:lang w:val="en-GB"/>
              </w:rPr>
              <w:t>W</w:t>
            </w:r>
            <w:r w:rsidRPr="00AE3214">
              <w:rPr>
                <w:lang w:val="en-GB"/>
              </w:rPr>
              <w:t>atermark</w:t>
            </w:r>
          </w:p>
        </w:tc>
      </w:tr>
      <w:tr w:rsidR="000D3534" w:rsidRPr="00B57B36" w14:paraId="056FF361" w14:textId="77777777" w:rsidTr="000D3534">
        <w:trPr>
          <w:gridAfter w:val="1"/>
          <w:wAfter w:w="8" w:type="pct"/>
          <w:trHeight w:val="327"/>
          <w:jc w:val="center"/>
        </w:trPr>
        <w:tc>
          <w:tcPr>
            <w:tcW w:w="956" w:type="pct"/>
            <w:shd w:val="clear" w:color="auto" w:fill="FFFFFF"/>
            <w:vAlign w:val="center"/>
          </w:tcPr>
          <w:p w14:paraId="4663C5AC" w14:textId="77777777" w:rsidR="00ED51C4" w:rsidRPr="00594644" w:rsidRDefault="00ED51C4" w:rsidP="00FA67AC">
            <w:pPr>
              <w:pStyle w:val="CETBodytext"/>
              <w:ind w:right="-1"/>
              <w:jc w:val="left"/>
              <w:rPr>
                <w:rFonts w:cs="Arial"/>
                <w:szCs w:val="18"/>
                <w:lang w:val="en-GB"/>
              </w:rPr>
            </w:pPr>
            <w:r w:rsidRPr="00594644">
              <w:rPr>
                <w:rFonts w:cs="Arial"/>
                <w:szCs w:val="18"/>
                <w:lang w:val="en-GB"/>
              </w:rPr>
              <w:t>2°</w:t>
            </w:r>
          </w:p>
        </w:tc>
        <w:tc>
          <w:tcPr>
            <w:tcW w:w="11" w:type="pct"/>
            <w:shd w:val="clear" w:color="auto" w:fill="FFFFFF"/>
          </w:tcPr>
          <w:p w14:paraId="7CA336B7" w14:textId="77777777" w:rsidR="00ED51C4" w:rsidRPr="002A1D9E" w:rsidRDefault="00ED51C4" w:rsidP="0072758B">
            <w:pPr>
              <w:pStyle w:val="CETBodytext"/>
              <w:ind w:right="-1"/>
              <w:rPr>
                <w:rFonts w:cs="Arial"/>
                <w:b/>
                <w:bCs/>
                <w:szCs w:val="18"/>
                <w:lang w:val="en-GB"/>
              </w:rPr>
            </w:pPr>
          </w:p>
        </w:tc>
        <w:tc>
          <w:tcPr>
            <w:tcW w:w="9" w:type="pct"/>
            <w:shd w:val="clear" w:color="auto" w:fill="FFFFFF"/>
          </w:tcPr>
          <w:p w14:paraId="1C770584" w14:textId="77777777" w:rsidR="00ED51C4" w:rsidRPr="002A1D9E" w:rsidRDefault="00ED51C4" w:rsidP="0072758B">
            <w:pPr>
              <w:pStyle w:val="CETBodytext"/>
              <w:ind w:right="-1"/>
              <w:rPr>
                <w:rFonts w:cs="Arial"/>
                <w:b/>
                <w:bCs/>
                <w:szCs w:val="18"/>
                <w:lang w:val="en-GB"/>
              </w:rPr>
            </w:pPr>
          </w:p>
        </w:tc>
        <w:tc>
          <w:tcPr>
            <w:tcW w:w="8" w:type="pct"/>
            <w:shd w:val="clear" w:color="auto" w:fill="FFFFFF"/>
          </w:tcPr>
          <w:p w14:paraId="1D1B5652" w14:textId="77777777" w:rsidR="00ED51C4" w:rsidRPr="002A1D9E" w:rsidRDefault="00ED51C4" w:rsidP="0072758B">
            <w:pPr>
              <w:pStyle w:val="CETBodytext"/>
              <w:ind w:right="-1"/>
              <w:rPr>
                <w:rFonts w:cs="Arial"/>
                <w:b/>
                <w:bCs/>
                <w:szCs w:val="18"/>
                <w:lang w:val="en-GB"/>
              </w:rPr>
            </w:pPr>
          </w:p>
        </w:tc>
        <w:tc>
          <w:tcPr>
            <w:tcW w:w="1296" w:type="pct"/>
            <w:shd w:val="clear" w:color="auto" w:fill="FFFFFF"/>
          </w:tcPr>
          <w:p w14:paraId="3CCB5890" w14:textId="4F51F691" w:rsidR="00ED51C4" w:rsidRPr="00B57B36" w:rsidRDefault="00AE3214" w:rsidP="00594644">
            <w:pPr>
              <w:pStyle w:val="CETBodytext"/>
              <w:ind w:right="-1"/>
              <w:jc w:val="center"/>
              <w:rPr>
                <w:rFonts w:cs="Arial"/>
                <w:szCs w:val="18"/>
                <w:lang w:val="en-GB"/>
              </w:rPr>
            </w:pPr>
            <w:r>
              <w:rPr>
                <w:lang w:val="en-GB"/>
              </w:rPr>
              <w:t>W</w:t>
            </w:r>
            <w:r w:rsidRPr="00AE3214">
              <w:rPr>
                <w:lang w:val="en-GB"/>
              </w:rPr>
              <w:t>atermark</w:t>
            </w:r>
          </w:p>
        </w:tc>
        <w:tc>
          <w:tcPr>
            <w:tcW w:w="8" w:type="pct"/>
            <w:shd w:val="clear" w:color="auto" w:fill="FFFFFF"/>
          </w:tcPr>
          <w:p w14:paraId="60115ECF" w14:textId="77777777" w:rsidR="00ED51C4" w:rsidRPr="00B57B36" w:rsidRDefault="00ED51C4" w:rsidP="00594644">
            <w:pPr>
              <w:pStyle w:val="CETBodytext"/>
              <w:ind w:right="-1"/>
              <w:jc w:val="center"/>
              <w:rPr>
                <w:rFonts w:cs="Arial"/>
                <w:szCs w:val="18"/>
                <w:lang w:val="en-GB"/>
              </w:rPr>
            </w:pPr>
          </w:p>
        </w:tc>
        <w:tc>
          <w:tcPr>
            <w:tcW w:w="8" w:type="pct"/>
            <w:shd w:val="clear" w:color="auto" w:fill="FFFFFF"/>
          </w:tcPr>
          <w:p w14:paraId="156F0484" w14:textId="77777777" w:rsidR="00ED51C4" w:rsidRPr="00B57B36" w:rsidRDefault="00ED51C4" w:rsidP="00594644">
            <w:pPr>
              <w:pStyle w:val="CETBodytext"/>
              <w:ind w:right="-1"/>
              <w:jc w:val="center"/>
              <w:rPr>
                <w:rFonts w:cs="Arial"/>
                <w:szCs w:val="18"/>
                <w:lang w:val="en-GB"/>
              </w:rPr>
            </w:pPr>
          </w:p>
        </w:tc>
        <w:tc>
          <w:tcPr>
            <w:tcW w:w="8" w:type="pct"/>
            <w:shd w:val="clear" w:color="auto" w:fill="FFFFFF"/>
          </w:tcPr>
          <w:p w14:paraId="5F0D0335" w14:textId="77777777" w:rsidR="00ED51C4" w:rsidRPr="00B57B36" w:rsidRDefault="00ED51C4" w:rsidP="00594644">
            <w:pPr>
              <w:pStyle w:val="CETBodytext"/>
              <w:ind w:right="-1"/>
              <w:jc w:val="center"/>
              <w:rPr>
                <w:rFonts w:cs="Arial"/>
                <w:szCs w:val="18"/>
                <w:lang w:val="en-GB"/>
              </w:rPr>
            </w:pPr>
          </w:p>
        </w:tc>
        <w:tc>
          <w:tcPr>
            <w:tcW w:w="2688" w:type="pct"/>
            <w:shd w:val="clear" w:color="auto" w:fill="FFFFFF"/>
          </w:tcPr>
          <w:p w14:paraId="1140FE7E" w14:textId="0D2924FA" w:rsidR="00ED51C4" w:rsidRPr="00B57B36" w:rsidRDefault="00AE0548" w:rsidP="00594644">
            <w:pPr>
              <w:pStyle w:val="CETBodytext"/>
              <w:ind w:right="-1"/>
              <w:jc w:val="center"/>
              <w:rPr>
                <w:rFonts w:cs="Arial"/>
                <w:szCs w:val="18"/>
                <w:lang w:val="en-GB"/>
              </w:rPr>
            </w:pPr>
            <w:r w:rsidRPr="00AE0548">
              <w:rPr>
                <w:lang w:val="en-GB"/>
              </w:rPr>
              <w:t xml:space="preserve">Drip </w:t>
            </w:r>
            <w:r>
              <w:rPr>
                <w:lang w:val="en-GB"/>
              </w:rPr>
              <w:t>/</w:t>
            </w:r>
            <w:r w:rsidRPr="00AE0548">
              <w:rPr>
                <w:lang w:val="en-GB"/>
              </w:rPr>
              <w:t xml:space="preserve"> </w:t>
            </w:r>
            <w:r>
              <w:rPr>
                <w:lang w:val="en-GB"/>
              </w:rPr>
              <w:t>L</w:t>
            </w:r>
            <w:r w:rsidRPr="00AE0548">
              <w:rPr>
                <w:lang w:val="en-GB"/>
              </w:rPr>
              <w:t>eakage</w:t>
            </w:r>
          </w:p>
        </w:tc>
      </w:tr>
    </w:tbl>
    <w:p w14:paraId="32D88E48" w14:textId="77777777" w:rsidR="004628D2" w:rsidRDefault="00944A09" w:rsidP="001965AD">
      <w:pPr>
        <w:pStyle w:val="CETHeading1"/>
        <w:rPr>
          <w:lang w:val="en-GB"/>
        </w:rPr>
      </w:pPr>
      <w:r w:rsidRPr="00B57B36">
        <w:rPr>
          <w:lang w:val="en-GB"/>
        </w:rPr>
        <w:t>Conclusions</w:t>
      </w:r>
    </w:p>
    <w:p w14:paraId="33ACEC3C" w14:textId="1D76F6B0" w:rsidR="0055645D" w:rsidRPr="00760F0B" w:rsidRDefault="0055645D" w:rsidP="00760F0B">
      <w:pPr>
        <w:pStyle w:val="CETBodytext"/>
        <w:rPr>
          <w:lang w:val="en-GB"/>
        </w:rPr>
      </w:pPr>
      <w:r w:rsidRPr="0055645D">
        <w:rPr>
          <w:lang w:val="en-GB"/>
        </w:rPr>
        <w:t xml:space="preserve">In this study, composites reinforced with bacterial cellulose (BC), polyamide (PA), and sugarcane residue (SCR) were evaluated as sustainable roofing tile alternatives. Replacing cement with limestone filler (F) enabled the production of 100% cement-free composites. Sample A6 (BC, PA, F) showed the best performance, with 15% water absorption (within the 16% limit per NBR 15210), tensile strength of 1054 ± 3.78 N, and Young’s modulus of 5.27 ± 2.31 MPa. In contrast, A7 (BC, SCR, F) exceeded the absorption threshold (20%) and had lower strength (984 ± 2.6 N; 3.42 ± 2.19 MPa), likely due to </w:t>
      </w:r>
      <w:proofErr w:type="spellStart"/>
      <w:r w:rsidRPr="0055645D">
        <w:rPr>
          <w:lang w:val="en-GB"/>
        </w:rPr>
        <w:t>fiber</w:t>
      </w:r>
      <w:proofErr w:type="spellEnd"/>
      <w:r w:rsidRPr="0055645D">
        <w:rPr>
          <w:lang w:val="en-GB"/>
        </w:rPr>
        <w:t xml:space="preserve"> heterogeneity and increased porosity. Though PA improved flexibility, its solubilization requires high energy input, which may affect scalability. However, the economic viability of these composites is promising: the use of agroindustrial and textile waste (e.g., tomatoes, SCR, PA) can reduce raw material costs by up to 30–40%. Moreover, the process is compatible with conventional manufacturing, supporting decentralized and low-cost production. Despite the small sample size, which limits statistical validation, the results support further studies at pilot scale to assess durability, optimize energy use, and confirm market readiness.</w:t>
      </w:r>
    </w:p>
    <w:p w14:paraId="702BF2C3" w14:textId="3B6233F7" w:rsidR="00C6609E" w:rsidRPr="009B6908" w:rsidRDefault="00C6609E" w:rsidP="00C6609E">
      <w:pPr>
        <w:pStyle w:val="CETHeading1"/>
        <w:numPr>
          <w:ilvl w:val="0"/>
          <w:numId w:val="0"/>
        </w:numPr>
        <w:rPr>
          <w:lang w:val="pt-BR"/>
        </w:rPr>
      </w:pPr>
      <w:r w:rsidRPr="009B6908">
        <w:rPr>
          <w:lang w:val="pt-BR"/>
        </w:rPr>
        <w:t>Acknowledgments</w:t>
      </w:r>
    </w:p>
    <w:p w14:paraId="610D1720" w14:textId="77777777" w:rsidR="001F7D2C" w:rsidRPr="009B6908" w:rsidRDefault="001F7D2C" w:rsidP="009B6908">
      <w:pPr>
        <w:pStyle w:val="CETBodytext"/>
        <w:rPr>
          <w:lang w:val="pt-BR"/>
        </w:rPr>
      </w:pPr>
      <w:r w:rsidRPr="009B6908">
        <w:rPr>
          <w:lang w:val="pt-BR"/>
        </w:rPr>
        <w:t>This study was funded by Programa de Pesquisa e Desenvolvimento da Agência Nacional de Energia Elétrica</w:t>
      </w:r>
    </w:p>
    <w:p w14:paraId="4E3D233B" w14:textId="77777777" w:rsidR="001F7D2C" w:rsidRPr="009B6908" w:rsidRDefault="001F7D2C" w:rsidP="00093371">
      <w:pPr>
        <w:pStyle w:val="CETBodytext"/>
        <w:rPr>
          <w:lang w:val="pt-BR"/>
        </w:rPr>
      </w:pPr>
      <w:r w:rsidRPr="009B6908">
        <w:rPr>
          <w:lang w:val="pt-BR"/>
        </w:rPr>
        <w:t>(ANEEL), Thermoelectric EPESA (Centrais Elétricas de Pernambuco S.A.), SUAPE Ambiental and by the</w:t>
      </w:r>
    </w:p>
    <w:p w14:paraId="1A7D6AE6" w14:textId="77777777" w:rsidR="001F7D2C" w:rsidRPr="009B6908" w:rsidRDefault="001F7D2C" w:rsidP="00093371">
      <w:pPr>
        <w:pStyle w:val="CETBodytext"/>
        <w:rPr>
          <w:lang w:val="pt-BR"/>
        </w:rPr>
      </w:pPr>
      <w:r w:rsidRPr="009B6908">
        <w:rPr>
          <w:lang w:val="pt-BR"/>
        </w:rPr>
        <w:t>Brazilian fostering agencies Fundação de Apoio à Ciência e Tecnologia do Estado de Pernambuco (FACEPE),</w:t>
      </w:r>
    </w:p>
    <w:p w14:paraId="76219401" w14:textId="72EBFD88" w:rsidR="001F7D2C" w:rsidRPr="009B6908" w:rsidRDefault="001F7D2C" w:rsidP="00093371">
      <w:pPr>
        <w:pStyle w:val="CETBodytext"/>
        <w:rPr>
          <w:lang w:val="pt-BR"/>
        </w:rPr>
      </w:pPr>
      <w:r w:rsidRPr="009B6908">
        <w:rPr>
          <w:lang w:val="pt-BR"/>
        </w:rPr>
        <w:lastRenderedPageBreak/>
        <w:t>Conselho Nacional de Desenvolvimento Científico e Tecnológico (CNPq), and Coordenação</w:t>
      </w:r>
      <w:r w:rsidR="00093371">
        <w:rPr>
          <w:lang w:val="pt-BR"/>
        </w:rPr>
        <w:t xml:space="preserve"> </w:t>
      </w:r>
      <w:r w:rsidRPr="009B6908">
        <w:rPr>
          <w:lang w:val="pt-BR"/>
        </w:rPr>
        <w:t>de</w:t>
      </w:r>
      <w:r w:rsidR="00093371">
        <w:rPr>
          <w:lang w:val="pt-BR"/>
        </w:rPr>
        <w:t xml:space="preserve"> </w:t>
      </w:r>
      <w:r w:rsidRPr="009B6908">
        <w:rPr>
          <w:lang w:val="pt-BR"/>
        </w:rPr>
        <w:t>Aperfeiçoamento de Pessoal de Nível Superior (CAPES) (Grant n. Finance Code 001), and performed with</w:t>
      </w:r>
    </w:p>
    <w:p w14:paraId="0137EC11" w14:textId="77777777" w:rsidR="001F7D2C" w:rsidRDefault="001F7D2C" w:rsidP="00093371">
      <w:pPr>
        <w:pStyle w:val="CETBodytext"/>
      </w:pPr>
      <w:r>
        <w:t>support from the Catholic University of Pernambuco (UNICAP) and the Advanced Institute of Technology and</w:t>
      </w:r>
    </w:p>
    <w:p w14:paraId="59680BD6" w14:textId="77777777" w:rsidR="00C6609E" w:rsidRPr="009B6908" w:rsidRDefault="001F7D2C" w:rsidP="00093371">
      <w:pPr>
        <w:pStyle w:val="CETBodytext"/>
        <w:rPr>
          <w:lang w:val="pt-BR"/>
        </w:rPr>
      </w:pPr>
      <w:r w:rsidRPr="009B6908">
        <w:rPr>
          <w:lang w:val="pt-BR"/>
        </w:rPr>
        <w:t>Innovation (IATI).</w:t>
      </w:r>
    </w:p>
    <w:p w14:paraId="079AEB69" w14:textId="77777777" w:rsidR="001F7D2C" w:rsidRPr="009B6908" w:rsidRDefault="00C6609E" w:rsidP="00F549D1">
      <w:pPr>
        <w:pStyle w:val="CETHeading1"/>
        <w:numPr>
          <w:ilvl w:val="0"/>
          <w:numId w:val="0"/>
        </w:numPr>
        <w:rPr>
          <w:lang w:val="pt-BR"/>
        </w:rPr>
      </w:pPr>
      <w:r w:rsidRPr="009B6908">
        <w:rPr>
          <w:lang w:val="pt-BR"/>
        </w:rPr>
        <w:t>References</w:t>
      </w:r>
    </w:p>
    <w:p w14:paraId="1C4469E8" w14:textId="579B1CC2" w:rsidR="00357A7A" w:rsidRPr="00357A7A" w:rsidRDefault="00357A7A" w:rsidP="00357A7A">
      <w:pPr>
        <w:pStyle w:val="CETBodytext"/>
        <w:rPr>
          <w:iCs/>
          <w:lang w:val="pt-BR"/>
        </w:rPr>
      </w:pPr>
      <w:r w:rsidRPr="00357A7A">
        <w:rPr>
          <w:iCs/>
          <w:lang w:val="pt-BR"/>
        </w:rPr>
        <w:t>Amaral T.B.P., 2023, Aproveitamento de resíduos do processamento de produtos de origem vegetal e animal, Trabalho de Conclusão de Curso (Bacharel em Engenharia de Alimentos), Universidade Federal de Uberlândia, Uberlândia, Brasil. doi:0000-0003-2819-8218.</w:t>
      </w:r>
    </w:p>
    <w:p w14:paraId="123F054A" w14:textId="62E0F508" w:rsidR="00357A7A" w:rsidRPr="00357A7A" w:rsidRDefault="00357A7A" w:rsidP="00357A7A">
      <w:pPr>
        <w:pStyle w:val="CETBodytext"/>
        <w:rPr>
          <w:iCs/>
          <w:lang w:val="pt-BR"/>
        </w:rPr>
      </w:pPr>
      <w:r w:rsidRPr="00357A7A">
        <w:rPr>
          <w:iCs/>
          <w:lang w:val="pt-BR"/>
        </w:rPr>
        <w:t>Amorim J.D.P., Costa A.F.S., Duarte C.R., Duarte I.S., Farias P.M.A., Ribeiro F.A.S., Souza K.C., Silva G.S., Stingl A., Vinhas G.M., 2020, Plant and bacterial nanocellulose: production, properties and applications in medicine, food, cosmetics, electronics and engineering, Environmental Chemistry Letters, 18(3), 851–869. doi:10.1016/j.ijbiomac.2018.10.066.</w:t>
      </w:r>
    </w:p>
    <w:p w14:paraId="0FB32C6D" w14:textId="2227471F" w:rsidR="00357A7A" w:rsidRPr="00357A7A" w:rsidRDefault="00357A7A" w:rsidP="00357A7A">
      <w:pPr>
        <w:pStyle w:val="CETBodytext"/>
        <w:rPr>
          <w:iCs/>
          <w:lang w:val="pt-BR"/>
        </w:rPr>
      </w:pPr>
      <w:r w:rsidRPr="00357A7A">
        <w:rPr>
          <w:iCs/>
          <w:lang w:val="pt-BR"/>
        </w:rPr>
        <w:t>Amorim J.D.P., Costa A.F.S., Galdino C.J.S., Santos E., Sarubbo L.A., Vinhas G.M., 2019, Bacterial cellulose production using industrial fruit residues as subtract to industrial application, Chemical Engineering Transactions, 74, 1165–1170. doi:10.3303/CET1974195.</w:t>
      </w:r>
    </w:p>
    <w:p w14:paraId="32A880C0" w14:textId="1C0C1D13" w:rsidR="00357A7A" w:rsidRPr="00357A7A" w:rsidRDefault="00357A7A" w:rsidP="00357A7A">
      <w:pPr>
        <w:pStyle w:val="CETBodytext"/>
        <w:rPr>
          <w:iCs/>
          <w:lang w:val="pt-BR"/>
        </w:rPr>
      </w:pPr>
      <w:r w:rsidRPr="00357A7A">
        <w:rPr>
          <w:iCs/>
          <w:lang w:val="pt-BR"/>
        </w:rPr>
        <w:t>Baumi C.A., Oliveira S.F., Petzhold C.L., 2017, Reutilização de resíduos têxteis na produção de compósitos cimentícios, Revista Matéria, 22(2), 1–11. doi:10.1590/S1517-707620170002.0272.</w:t>
      </w:r>
    </w:p>
    <w:p w14:paraId="4F8CA4DC" w14:textId="02A8E4FD" w:rsidR="00357A7A" w:rsidRPr="00357A7A" w:rsidRDefault="00357A7A" w:rsidP="00357A7A">
      <w:pPr>
        <w:pStyle w:val="CETBodytext"/>
        <w:rPr>
          <w:iCs/>
          <w:lang w:val="pt-BR"/>
        </w:rPr>
      </w:pPr>
      <w:r w:rsidRPr="00357A7A">
        <w:rPr>
          <w:iCs/>
          <w:lang w:val="pt-BR"/>
        </w:rPr>
        <w:t>Brasilit, 2021, Site institucional, São Paulo, Brasil. &lt;www.brasilit.com.br&gt; accessed 14.10.2024.</w:t>
      </w:r>
    </w:p>
    <w:p w14:paraId="70162756" w14:textId="7188063F" w:rsidR="00357A7A" w:rsidRPr="00357A7A" w:rsidRDefault="00357A7A" w:rsidP="00357A7A">
      <w:pPr>
        <w:pStyle w:val="CETBodytext"/>
        <w:rPr>
          <w:iCs/>
          <w:lang w:val="pt-BR"/>
        </w:rPr>
      </w:pPr>
      <w:r w:rsidRPr="00357A7A">
        <w:rPr>
          <w:iCs/>
          <w:lang w:val="pt-BR"/>
        </w:rPr>
        <w:t>Cavalcanti Y.F., Fonseca H.R., Medeiros A.D., Durval I.J., Costa A.F., Silva Junior C.J.G., Sarubbo L.A., 2023, Alternative tomato-based media for bacterial cellulose production, International Journal of Biological Macromolecules, 229, 1255–1264. doi:10.1016/j.ijbiomac.2023.07.119.</w:t>
      </w:r>
    </w:p>
    <w:p w14:paraId="3BFA701E" w14:textId="12EB9E53" w:rsidR="00357A7A" w:rsidRPr="00357A7A" w:rsidRDefault="00357A7A" w:rsidP="00357A7A">
      <w:pPr>
        <w:pStyle w:val="CETBodytext"/>
        <w:rPr>
          <w:iCs/>
          <w:lang w:val="pt-BR"/>
        </w:rPr>
      </w:pPr>
      <w:r w:rsidRPr="00357A7A">
        <w:rPr>
          <w:iCs/>
          <w:lang w:val="pt-BR"/>
        </w:rPr>
        <w:t>Chen P., Cho S.Y., Jin H.J., 2010, Modification and applications of bacterial celluloses in polymer science, Macromolecular Research, 18(4), 309–320. doi:10.1007/s13233-010-0404-5.</w:t>
      </w:r>
    </w:p>
    <w:p w14:paraId="0CEF8DD5" w14:textId="15980733" w:rsidR="00357A7A" w:rsidRPr="00357A7A" w:rsidRDefault="00357A7A" w:rsidP="00357A7A">
      <w:pPr>
        <w:pStyle w:val="CETBodytext"/>
        <w:rPr>
          <w:iCs/>
          <w:lang w:val="pt-BR"/>
        </w:rPr>
      </w:pPr>
      <w:r w:rsidRPr="00357A7A">
        <w:rPr>
          <w:iCs/>
          <w:lang w:val="pt-BR"/>
        </w:rPr>
        <w:t>Chen W., Li J., Lin C., Yan Y., 2024, Sustainable production of bacterial cellulose: recent advances in alternative substrates and process optimization, Carbohydrate Polymers, 320, 121029. doi:10.1016/j.carbpol.2024.121029.</w:t>
      </w:r>
    </w:p>
    <w:p w14:paraId="4EEEEAC6" w14:textId="024D6629" w:rsidR="00357A7A" w:rsidRPr="00357A7A" w:rsidRDefault="00357A7A" w:rsidP="00357A7A">
      <w:pPr>
        <w:pStyle w:val="CETBodytext"/>
        <w:rPr>
          <w:iCs/>
          <w:lang w:val="pt-BR"/>
        </w:rPr>
      </w:pPr>
      <w:r w:rsidRPr="00357A7A">
        <w:rPr>
          <w:iCs/>
          <w:lang w:val="pt-BR"/>
        </w:rPr>
        <w:t>Conceição M.E.J., Santos J.R.L., Magalhães C.F., Trindade B.C., 2022, Circular economy for fashion: transforming polyamide mesh waste into 3D printer filament, In: Advances in Fashion and Design Research, Springer, 268–280. doi:10.1007/978-3-031-16773-7_23.</w:t>
      </w:r>
    </w:p>
    <w:p w14:paraId="3E0B2736" w14:textId="370C94EB" w:rsidR="00357A7A" w:rsidRPr="00357A7A" w:rsidRDefault="00357A7A" w:rsidP="00357A7A">
      <w:pPr>
        <w:pStyle w:val="CETBodytext"/>
        <w:rPr>
          <w:iCs/>
          <w:lang w:val="pt-BR"/>
        </w:rPr>
      </w:pPr>
      <w:r w:rsidRPr="00357A7A">
        <w:rPr>
          <w:iCs/>
          <w:lang w:val="pt-BR"/>
        </w:rPr>
        <w:t>Costa A.F.S., Almeida F.C.G., Sarubbo L.A., Vinhas G.M., 2017, Production of bacterial cellulose by Gluconacetobacter hansenii using corn steep liquor as nutrient source, Frontiers in Microbiology, 8, 2027. doi:10.3389/fmicb.2017.02027.</w:t>
      </w:r>
    </w:p>
    <w:p w14:paraId="166344D4" w14:textId="501BC33C" w:rsidR="00357A7A" w:rsidRPr="00357A7A" w:rsidRDefault="00357A7A" w:rsidP="00357A7A">
      <w:pPr>
        <w:pStyle w:val="CETBodytext"/>
        <w:rPr>
          <w:iCs/>
          <w:lang w:val="pt-BR"/>
        </w:rPr>
      </w:pPr>
      <w:r w:rsidRPr="00357A7A">
        <w:rPr>
          <w:iCs/>
          <w:lang w:val="pt-BR"/>
        </w:rPr>
        <w:t>Galdino C.J.S., Medeiros A.D.M., Meira H.M., Souza T.C., Amorim J.D.P., Almeida F.C.G., Costa A.F.S., Sarubbo L.A., 2020, Use of a bacterial cellulose filter for the removal of oil from wastewater, Process Biochemistry, 91, 288–296. doi:10.1016/j.procbio.2019.12.020.</w:t>
      </w:r>
    </w:p>
    <w:p w14:paraId="2FCDF1D5" w14:textId="6CCFD917" w:rsidR="00357A7A" w:rsidRPr="00357A7A" w:rsidRDefault="00357A7A" w:rsidP="00357A7A">
      <w:pPr>
        <w:pStyle w:val="CETBodytext"/>
        <w:rPr>
          <w:iCs/>
          <w:lang w:val="pt-BR"/>
        </w:rPr>
      </w:pPr>
      <w:r w:rsidRPr="00357A7A">
        <w:rPr>
          <w:iCs/>
          <w:lang w:val="pt-BR"/>
        </w:rPr>
        <w:t>Galdino C.J.S., Costa A.F.S., Sarubbo L.A., 2022, Biocompósitos de celulose bacteriana e fibras naturais aplicados à construção civil, Revista Brasileira de Engenharia e Sustentabilidade, 9(2), 85–93.</w:t>
      </w:r>
    </w:p>
    <w:p w14:paraId="7EB5285D" w14:textId="4CD07E39" w:rsidR="00357A7A" w:rsidRPr="00357A7A" w:rsidRDefault="00357A7A" w:rsidP="00357A7A">
      <w:pPr>
        <w:pStyle w:val="CETBodytext"/>
        <w:rPr>
          <w:iCs/>
          <w:lang w:val="pt-BR"/>
        </w:rPr>
      </w:pPr>
      <w:r w:rsidRPr="00357A7A">
        <w:rPr>
          <w:iCs/>
          <w:lang w:val="pt-BR"/>
        </w:rPr>
        <w:t>Henriques J.D., Rambalducci R., Pin T., Fhechiani V., Puget F., 2014, Production of asbestos-free fiber-cement roofing tiles, Enciclopédia Biosfera, 10(19), 1–10. &lt;www.conhecer.org.br&gt; accessed 14.06.2023.</w:t>
      </w:r>
    </w:p>
    <w:p w14:paraId="035FD782" w14:textId="36A4774A" w:rsidR="00357A7A" w:rsidRPr="00357A7A" w:rsidRDefault="00357A7A" w:rsidP="00357A7A">
      <w:pPr>
        <w:pStyle w:val="CETBodytext"/>
        <w:rPr>
          <w:iCs/>
          <w:lang w:val="pt-BR"/>
        </w:rPr>
      </w:pPr>
      <w:r w:rsidRPr="00357A7A">
        <w:rPr>
          <w:iCs/>
          <w:lang w:val="pt-BR"/>
        </w:rPr>
        <w:t>Hestrin S., Schramm M., 1954, Synthesis of cellulose by Acetobacter xylinum: preparation of freeze-dried cells capable of polymerizing glucose to cellulose, Biochemical Journal, 58(2), 345–352. doi:10.10422/bj0670669.</w:t>
      </w:r>
    </w:p>
    <w:p w14:paraId="104511EF" w14:textId="226F5906" w:rsidR="00357A7A" w:rsidRPr="00357A7A" w:rsidRDefault="00357A7A" w:rsidP="00357A7A">
      <w:pPr>
        <w:pStyle w:val="CETBodytext"/>
        <w:rPr>
          <w:iCs/>
          <w:lang w:val="pt-BR"/>
        </w:rPr>
      </w:pPr>
      <w:r w:rsidRPr="00357A7A">
        <w:rPr>
          <w:iCs/>
          <w:lang w:val="pt-BR"/>
        </w:rPr>
        <w:t>Jagannath A., Raju P.S., Bawa A.S., 2010, Comparative evaluation of bacterial cellulose (nata) as a cryoprotectant and carrier support during the freeze drying process of probiotic lactic acid bacteria, LWT - Food Science and Technology, 43(8), 1197–1203. doi:10.1016/j.lwt.2010.03.009.</w:t>
      </w:r>
    </w:p>
    <w:p w14:paraId="21DB4B5D" w14:textId="49C24831" w:rsidR="00357A7A" w:rsidRPr="00357A7A" w:rsidRDefault="00357A7A" w:rsidP="00357A7A">
      <w:pPr>
        <w:pStyle w:val="CETBodytext"/>
        <w:rPr>
          <w:iCs/>
          <w:lang w:val="pt-BR"/>
        </w:rPr>
      </w:pPr>
      <w:r w:rsidRPr="00357A7A">
        <w:rPr>
          <w:iCs/>
          <w:lang w:val="pt-BR"/>
        </w:rPr>
        <w:t>Medeiros A.D.M., Silva Junior C.J.G., Amorim J.D.P., Nascimento H.A., Converti A., Costa A.F.S., Sarubbo L.A., 2021, Biocellulose for treatment of wastewaters generated by energy consuming industries: a review, Energies, 14(16), 5066. doi:10.3390/en14165066.</w:t>
      </w:r>
    </w:p>
    <w:p w14:paraId="59EA45D8" w14:textId="2412B4A2" w:rsidR="00357A7A" w:rsidRPr="00357A7A" w:rsidRDefault="00357A7A" w:rsidP="00357A7A">
      <w:pPr>
        <w:pStyle w:val="CETBodytext"/>
        <w:rPr>
          <w:iCs/>
          <w:lang w:val="pt-BR"/>
        </w:rPr>
      </w:pPr>
      <w:r w:rsidRPr="00357A7A">
        <w:rPr>
          <w:iCs/>
          <w:lang w:val="pt-BR"/>
        </w:rPr>
        <w:t>Morris J.P., Backeljau T., Chapelle G., 2019, Shells from aquaculture: a valuable biomaterial, not a nuisance waste product, Reviews in Aquaculture, 11(1), 42–57. doi:10.1111/raq.12225.</w:t>
      </w:r>
    </w:p>
    <w:p w14:paraId="0B865EE4" w14:textId="77777777" w:rsidR="00357A7A" w:rsidRPr="00357A7A" w:rsidRDefault="00357A7A" w:rsidP="00357A7A">
      <w:pPr>
        <w:pStyle w:val="CETBodytext"/>
        <w:rPr>
          <w:iCs/>
          <w:lang w:val="pt-BR"/>
        </w:rPr>
      </w:pPr>
      <w:r w:rsidRPr="00357A7A">
        <w:rPr>
          <w:iCs/>
          <w:lang w:val="pt-BR"/>
        </w:rPr>
        <w:t>Raissi K., 1994, Total site integration, PhD Thesis, University of Manchester Institute of Science and Technology, Manchester, UK.</w:t>
      </w:r>
    </w:p>
    <w:p w14:paraId="4F099C8A" w14:textId="5C8D35DC" w:rsidR="00357A7A" w:rsidRPr="00357A7A" w:rsidRDefault="00357A7A" w:rsidP="00357A7A">
      <w:pPr>
        <w:pStyle w:val="CETBodytext"/>
        <w:rPr>
          <w:iCs/>
          <w:lang w:val="pt-BR"/>
        </w:rPr>
      </w:pPr>
      <w:r w:rsidRPr="00357A7A">
        <w:rPr>
          <w:iCs/>
          <w:lang w:val="pt-BR"/>
        </w:rPr>
        <w:t>US DoE, 2016, Steam Turbines, US Department of Energy https://energy.gov/sites/prod/files/2016/09/f33/CHP-Steam%20Turbine.pdf accessed 24.07.2017.</w:t>
      </w:r>
    </w:p>
    <w:p w14:paraId="7C411C31" w14:textId="054269FA" w:rsidR="00357A7A" w:rsidRPr="00357A7A" w:rsidRDefault="00357A7A" w:rsidP="00357A7A">
      <w:pPr>
        <w:pStyle w:val="CETBodytext"/>
        <w:rPr>
          <w:iCs/>
          <w:lang w:val="pt-BR"/>
        </w:rPr>
      </w:pPr>
      <w:r w:rsidRPr="00357A7A">
        <w:rPr>
          <w:iCs/>
          <w:lang w:val="pt-BR"/>
        </w:rPr>
        <w:t>Wanderley R.G., Rodrigues L.H.G., Vasconcelos C.B., Costa A.F.C., Macêdo J.S., 2022, A requalificação funcional, estética e simbólica de retalhos de tecidos compostos por poliamida e elastano, Design e Tecnologia, 12(25), 28–37. doi:10.23972/det2022iss25pp28-37.</w:t>
      </w:r>
    </w:p>
    <w:p w14:paraId="7F7D259D" w14:textId="68E38D71" w:rsidR="008D3CED" w:rsidRPr="00AE0548" w:rsidRDefault="00357A7A" w:rsidP="00357A7A">
      <w:pPr>
        <w:pStyle w:val="CETBodytext"/>
        <w:rPr>
          <w:iCs/>
        </w:rPr>
      </w:pPr>
      <w:r w:rsidRPr="00357A7A">
        <w:rPr>
          <w:iCs/>
          <w:lang w:val="pt-BR"/>
        </w:rPr>
        <w:t>Yalcin-Enis I., Kucukali-Ozturk M., Sezgin H., 2019, Risks and management of textile waste, In: Nanoscience and Biotechnology for Environmental Applications, Springer, 29–53. doi:10.1007/978-3-319-97922-9_2.</w:t>
      </w:r>
    </w:p>
    <w:sectPr w:rsidR="008D3CED" w:rsidRPr="00AE0548"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79419" w14:textId="77777777" w:rsidR="00F75C04" w:rsidRDefault="00F75C04" w:rsidP="004F5E36">
      <w:r>
        <w:separator/>
      </w:r>
    </w:p>
  </w:endnote>
  <w:endnote w:type="continuationSeparator" w:id="0">
    <w:p w14:paraId="6DE252ED" w14:textId="77777777" w:rsidR="00F75C04" w:rsidRDefault="00F75C04" w:rsidP="004F5E36">
      <w:r>
        <w:continuationSeparator/>
      </w:r>
    </w:p>
  </w:endnote>
  <w:endnote w:type="continuationNotice" w:id="1">
    <w:p w14:paraId="36E67BD3" w14:textId="77777777" w:rsidR="00F75C04" w:rsidRDefault="00F75C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Calibri"/>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90709" w14:textId="77777777" w:rsidR="00F75C04" w:rsidRDefault="00F75C04" w:rsidP="004F5E36">
      <w:r>
        <w:separator/>
      </w:r>
    </w:p>
  </w:footnote>
  <w:footnote w:type="continuationSeparator" w:id="0">
    <w:p w14:paraId="42D3C87E" w14:textId="77777777" w:rsidR="00F75C04" w:rsidRDefault="00F75C04" w:rsidP="004F5E36">
      <w:r>
        <w:continuationSeparator/>
      </w:r>
    </w:p>
  </w:footnote>
  <w:footnote w:type="continuationNotice" w:id="1">
    <w:p w14:paraId="38EF9218" w14:textId="77777777" w:rsidR="00F75C04" w:rsidRDefault="00F75C0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9E93097"/>
    <w:multiLevelType w:val="hybridMultilevel"/>
    <w:tmpl w:val="755A7C1E"/>
    <w:lvl w:ilvl="0" w:tplc="0D889B80">
      <w:start w:val="1"/>
      <w:numFmt w:val="decimal"/>
      <w:lvlText w:val="%1."/>
      <w:lvlJc w:val="left"/>
      <w:pPr>
        <w:ind w:left="1181" w:hanging="361"/>
      </w:pPr>
      <w:rPr>
        <w:rFonts w:ascii="Arial MT" w:eastAsia="Arial MT" w:hAnsi="Arial MT" w:cs="Arial MT" w:hint="default"/>
        <w:spacing w:val="-2"/>
        <w:w w:val="100"/>
        <w:sz w:val="24"/>
        <w:szCs w:val="24"/>
        <w:lang w:val="pt-PT" w:eastAsia="en-US" w:bidi="ar-SA"/>
      </w:rPr>
    </w:lvl>
    <w:lvl w:ilvl="1" w:tplc="F2F09C4E">
      <w:numFmt w:val="bullet"/>
      <w:lvlText w:val="•"/>
      <w:lvlJc w:val="left"/>
      <w:pPr>
        <w:ind w:left="2026" w:hanging="361"/>
      </w:pPr>
      <w:rPr>
        <w:rFonts w:hint="default"/>
        <w:lang w:val="pt-PT" w:eastAsia="en-US" w:bidi="ar-SA"/>
      </w:rPr>
    </w:lvl>
    <w:lvl w:ilvl="2" w:tplc="03B6B172">
      <w:numFmt w:val="bullet"/>
      <w:lvlText w:val="•"/>
      <w:lvlJc w:val="left"/>
      <w:pPr>
        <w:ind w:left="2873" w:hanging="361"/>
      </w:pPr>
      <w:rPr>
        <w:rFonts w:hint="default"/>
        <w:lang w:val="pt-PT" w:eastAsia="en-US" w:bidi="ar-SA"/>
      </w:rPr>
    </w:lvl>
    <w:lvl w:ilvl="3" w:tplc="D0444BCA">
      <w:numFmt w:val="bullet"/>
      <w:lvlText w:val="•"/>
      <w:lvlJc w:val="left"/>
      <w:pPr>
        <w:ind w:left="3720" w:hanging="361"/>
      </w:pPr>
      <w:rPr>
        <w:rFonts w:hint="default"/>
        <w:lang w:val="pt-PT" w:eastAsia="en-US" w:bidi="ar-SA"/>
      </w:rPr>
    </w:lvl>
    <w:lvl w:ilvl="4" w:tplc="FACAD6BC">
      <w:numFmt w:val="bullet"/>
      <w:lvlText w:val="•"/>
      <w:lvlJc w:val="left"/>
      <w:pPr>
        <w:ind w:left="4567" w:hanging="361"/>
      </w:pPr>
      <w:rPr>
        <w:rFonts w:hint="default"/>
        <w:lang w:val="pt-PT" w:eastAsia="en-US" w:bidi="ar-SA"/>
      </w:rPr>
    </w:lvl>
    <w:lvl w:ilvl="5" w:tplc="92266666">
      <w:numFmt w:val="bullet"/>
      <w:lvlText w:val="•"/>
      <w:lvlJc w:val="left"/>
      <w:pPr>
        <w:ind w:left="5414" w:hanging="361"/>
      </w:pPr>
      <w:rPr>
        <w:rFonts w:hint="default"/>
        <w:lang w:val="pt-PT" w:eastAsia="en-US" w:bidi="ar-SA"/>
      </w:rPr>
    </w:lvl>
    <w:lvl w:ilvl="6" w:tplc="C6BE2378">
      <w:numFmt w:val="bullet"/>
      <w:lvlText w:val="•"/>
      <w:lvlJc w:val="left"/>
      <w:pPr>
        <w:ind w:left="6260" w:hanging="361"/>
      </w:pPr>
      <w:rPr>
        <w:rFonts w:hint="default"/>
        <w:lang w:val="pt-PT" w:eastAsia="en-US" w:bidi="ar-SA"/>
      </w:rPr>
    </w:lvl>
    <w:lvl w:ilvl="7" w:tplc="1AE2C124">
      <w:numFmt w:val="bullet"/>
      <w:lvlText w:val="•"/>
      <w:lvlJc w:val="left"/>
      <w:pPr>
        <w:ind w:left="7107" w:hanging="361"/>
      </w:pPr>
      <w:rPr>
        <w:rFonts w:hint="default"/>
        <w:lang w:val="pt-PT" w:eastAsia="en-US" w:bidi="ar-SA"/>
      </w:rPr>
    </w:lvl>
    <w:lvl w:ilvl="8" w:tplc="344E2392">
      <w:numFmt w:val="bullet"/>
      <w:lvlText w:val="•"/>
      <w:lvlJc w:val="left"/>
      <w:pPr>
        <w:ind w:left="7954" w:hanging="361"/>
      </w:pPr>
      <w:rPr>
        <w:rFonts w:hint="default"/>
        <w:lang w:val="pt-PT" w:eastAsia="en-US" w:bidi="ar-SA"/>
      </w:rPr>
    </w:lvl>
  </w:abstractNum>
  <w:abstractNum w:abstractNumId="17" w15:restartNumberingAfterBreak="0">
    <w:nsid w:val="4A027D7D"/>
    <w:multiLevelType w:val="hybridMultilevel"/>
    <w:tmpl w:val="CDF248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3"/>
  </w:num>
  <w:num w:numId="14" w16cid:durableId="145903400">
    <w:abstractNumId w:val="21"/>
  </w:num>
  <w:num w:numId="15" w16cid:durableId="19162326">
    <w:abstractNumId w:val="23"/>
  </w:num>
  <w:num w:numId="16" w16cid:durableId="1977102699">
    <w:abstractNumId w:val="22"/>
  </w:num>
  <w:num w:numId="17" w16cid:durableId="860774865">
    <w:abstractNumId w:val="12"/>
  </w:num>
  <w:num w:numId="18" w16cid:durableId="313221457">
    <w:abstractNumId w:val="13"/>
    <w:lvlOverride w:ilvl="0">
      <w:startOverride w:val="1"/>
    </w:lvlOverride>
  </w:num>
  <w:num w:numId="19" w16cid:durableId="534971577">
    <w:abstractNumId w:val="19"/>
  </w:num>
  <w:num w:numId="20" w16cid:durableId="1150947773">
    <w:abstractNumId w:val="18"/>
  </w:num>
  <w:num w:numId="21" w16cid:durableId="124660497">
    <w:abstractNumId w:val="15"/>
  </w:num>
  <w:num w:numId="22" w16cid:durableId="2099861471">
    <w:abstractNumId w:val="14"/>
  </w:num>
  <w:num w:numId="23" w16cid:durableId="84351335">
    <w:abstractNumId w:val="10"/>
  </w:num>
  <w:num w:numId="24" w16cid:durableId="624506364">
    <w:abstractNumId w:val="17"/>
  </w:num>
  <w:num w:numId="25" w16cid:durableId="9133145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792"/>
    <w:rsid w:val="000027C0"/>
    <w:rsid w:val="0000312B"/>
    <w:rsid w:val="000052FB"/>
    <w:rsid w:val="00005A19"/>
    <w:rsid w:val="000117CB"/>
    <w:rsid w:val="0003148D"/>
    <w:rsid w:val="00031EEC"/>
    <w:rsid w:val="00036A2B"/>
    <w:rsid w:val="00047695"/>
    <w:rsid w:val="00047F6B"/>
    <w:rsid w:val="00051566"/>
    <w:rsid w:val="000562A9"/>
    <w:rsid w:val="00062A9A"/>
    <w:rsid w:val="00064F28"/>
    <w:rsid w:val="00065058"/>
    <w:rsid w:val="0006699D"/>
    <w:rsid w:val="00067DED"/>
    <w:rsid w:val="00070FA3"/>
    <w:rsid w:val="000846B1"/>
    <w:rsid w:val="00086C39"/>
    <w:rsid w:val="00093371"/>
    <w:rsid w:val="000A03B2"/>
    <w:rsid w:val="000A7F36"/>
    <w:rsid w:val="000C1531"/>
    <w:rsid w:val="000D0268"/>
    <w:rsid w:val="000D34BE"/>
    <w:rsid w:val="000D3534"/>
    <w:rsid w:val="000D3D3E"/>
    <w:rsid w:val="000D5105"/>
    <w:rsid w:val="000E0B3C"/>
    <w:rsid w:val="000E102F"/>
    <w:rsid w:val="000E36F1"/>
    <w:rsid w:val="000E3A73"/>
    <w:rsid w:val="000E414A"/>
    <w:rsid w:val="000E75FD"/>
    <w:rsid w:val="000F093C"/>
    <w:rsid w:val="000F154C"/>
    <w:rsid w:val="000F53F3"/>
    <w:rsid w:val="000F7187"/>
    <w:rsid w:val="000F787B"/>
    <w:rsid w:val="00105E87"/>
    <w:rsid w:val="00106AD9"/>
    <w:rsid w:val="00111DC9"/>
    <w:rsid w:val="0012091F"/>
    <w:rsid w:val="00121692"/>
    <w:rsid w:val="00126015"/>
    <w:rsid w:val="00126BC2"/>
    <w:rsid w:val="001308B6"/>
    <w:rsid w:val="0013121F"/>
    <w:rsid w:val="00131FE6"/>
    <w:rsid w:val="0013263F"/>
    <w:rsid w:val="001331DF"/>
    <w:rsid w:val="001335C7"/>
    <w:rsid w:val="00134DE4"/>
    <w:rsid w:val="001400AC"/>
    <w:rsid w:val="0014034D"/>
    <w:rsid w:val="00140FE3"/>
    <w:rsid w:val="00144D16"/>
    <w:rsid w:val="00147A6F"/>
    <w:rsid w:val="00150E59"/>
    <w:rsid w:val="001516C1"/>
    <w:rsid w:val="0015293F"/>
    <w:rsid w:val="00152DE3"/>
    <w:rsid w:val="00164CF9"/>
    <w:rsid w:val="0016668E"/>
    <w:rsid w:val="001667A6"/>
    <w:rsid w:val="001710A3"/>
    <w:rsid w:val="00180AA1"/>
    <w:rsid w:val="0018171E"/>
    <w:rsid w:val="00183B22"/>
    <w:rsid w:val="00184AD6"/>
    <w:rsid w:val="001965AD"/>
    <w:rsid w:val="001A4AF7"/>
    <w:rsid w:val="001B0349"/>
    <w:rsid w:val="001B1E93"/>
    <w:rsid w:val="001B65C1"/>
    <w:rsid w:val="001C01B3"/>
    <w:rsid w:val="001C260F"/>
    <w:rsid w:val="001C3F78"/>
    <w:rsid w:val="001C5C3A"/>
    <w:rsid w:val="001C684B"/>
    <w:rsid w:val="001D0CFB"/>
    <w:rsid w:val="001D21AF"/>
    <w:rsid w:val="001D3D32"/>
    <w:rsid w:val="001D53FC"/>
    <w:rsid w:val="001F42A5"/>
    <w:rsid w:val="001F5760"/>
    <w:rsid w:val="001F7B9D"/>
    <w:rsid w:val="001F7D2C"/>
    <w:rsid w:val="00201C93"/>
    <w:rsid w:val="0020210A"/>
    <w:rsid w:val="0020603B"/>
    <w:rsid w:val="00206A9E"/>
    <w:rsid w:val="0021488C"/>
    <w:rsid w:val="00220BBD"/>
    <w:rsid w:val="002224B4"/>
    <w:rsid w:val="00233204"/>
    <w:rsid w:val="002444DB"/>
    <w:rsid w:val="002447EF"/>
    <w:rsid w:val="002477F0"/>
    <w:rsid w:val="00251550"/>
    <w:rsid w:val="002614DC"/>
    <w:rsid w:val="00262C29"/>
    <w:rsid w:val="00263B05"/>
    <w:rsid w:val="0027221A"/>
    <w:rsid w:val="00274899"/>
    <w:rsid w:val="00275B61"/>
    <w:rsid w:val="00280FAF"/>
    <w:rsid w:val="00282656"/>
    <w:rsid w:val="00291ECE"/>
    <w:rsid w:val="00294CAB"/>
    <w:rsid w:val="00296B83"/>
    <w:rsid w:val="002A1D9E"/>
    <w:rsid w:val="002A551C"/>
    <w:rsid w:val="002B4015"/>
    <w:rsid w:val="002B78CE"/>
    <w:rsid w:val="002C2FB6"/>
    <w:rsid w:val="002C40ED"/>
    <w:rsid w:val="002C6626"/>
    <w:rsid w:val="002E4810"/>
    <w:rsid w:val="002E5FA7"/>
    <w:rsid w:val="002E6335"/>
    <w:rsid w:val="002E758A"/>
    <w:rsid w:val="002F3309"/>
    <w:rsid w:val="002F5A6A"/>
    <w:rsid w:val="003008CE"/>
    <w:rsid w:val="003009B7"/>
    <w:rsid w:val="00300E56"/>
    <w:rsid w:val="0030152C"/>
    <w:rsid w:val="0030469C"/>
    <w:rsid w:val="00304CE8"/>
    <w:rsid w:val="00312BC0"/>
    <w:rsid w:val="00312C06"/>
    <w:rsid w:val="00321CA6"/>
    <w:rsid w:val="00323763"/>
    <w:rsid w:val="00323C5F"/>
    <w:rsid w:val="00325A05"/>
    <w:rsid w:val="00325CB5"/>
    <w:rsid w:val="00334C09"/>
    <w:rsid w:val="00357A7A"/>
    <w:rsid w:val="003612B7"/>
    <w:rsid w:val="003673D4"/>
    <w:rsid w:val="003723D4"/>
    <w:rsid w:val="003803C9"/>
    <w:rsid w:val="0038136F"/>
    <w:rsid w:val="00381905"/>
    <w:rsid w:val="00384CC8"/>
    <w:rsid w:val="003871FD"/>
    <w:rsid w:val="003A1E30"/>
    <w:rsid w:val="003A2829"/>
    <w:rsid w:val="003A7D1C"/>
    <w:rsid w:val="003B304B"/>
    <w:rsid w:val="003B3146"/>
    <w:rsid w:val="003B33D9"/>
    <w:rsid w:val="003B3F34"/>
    <w:rsid w:val="003B49CD"/>
    <w:rsid w:val="003C5A41"/>
    <w:rsid w:val="003C6436"/>
    <w:rsid w:val="003D1633"/>
    <w:rsid w:val="003D1E02"/>
    <w:rsid w:val="003D27A6"/>
    <w:rsid w:val="003D6717"/>
    <w:rsid w:val="003F015E"/>
    <w:rsid w:val="00400414"/>
    <w:rsid w:val="0040209E"/>
    <w:rsid w:val="0040365C"/>
    <w:rsid w:val="0041446B"/>
    <w:rsid w:val="00424473"/>
    <w:rsid w:val="0044071E"/>
    <w:rsid w:val="00442961"/>
    <w:rsid w:val="0044329C"/>
    <w:rsid w:val="004463CA"/>
    <w:rsid w:val="00453E24"/>
    <w:rsid w:val="00457456"/>
    <w:rsid w:val="004577FE"/>
    <w:rsid w:val="00457B9C"/>
    <w:rsid w:val="0046164A"/>
    <w:rsid w:val="004628D2"/>
    <w:rsid w:val="00462DCD"/>
    <w:rsid w:val="004648AD"/>
    <w:rsid w:val="004703A9"/>
    <w:rsid w:val="00473C90"/>
    <w:rsid w:val="004760DE"/>
    <w:rsid w:val="004763D7"/>
    <w:rsid w:val="004847FD"/>
    <w:rsid w:val="00486528"/>
    <w:rsid w:val="00492E12"/>
    <w:rsid w:val="00493D68"/>
    <w:rsid w:val="00496F6C"/>
    <w:rsid w:val="004A004E"/>
    <w:rsid w:val="004A1944"/>
    <w:rsid w:val="004A1DF7"/>
    <w:rsid w:val="004A24CF"/>
    <w:rsid w:val="004A28C9"/>
    <w:rsid w:val="004B7236"/>
    <w:rsid w:val="004C1261"/>
    <w:rsid w:val="004C3D1D"/>
    <w:rsid w:val="004C3D84"/>
    <w:rsid w:val="004C7913"/>
    <w:rsid w:val="004D47E4"/>
    <w:rsid w:val="004E4DD6"/>
    <w:rsid w:val="004E723A"/>
    <w:rsid w:val="004F5E36"/>
    <w:rsid w:val="00501CC4"/>
    <w:rsid w:val="00505840"/>
    <w:rsid w:val="00507B47"/>
    <w:rsid w:val="00507BEF"/>
    <w:rsid w:val="00507CC9"/>
    <w:rsid w:val="005119A5"/>
    <w:rsid w:val="0051764F"/>
    <w:rsid w:val="005278B7"/>
    <w:rsid w:val="00532016"/>
    <w:rsid w:val="005346C8"/>
    <w:rsid w:val="005348C5"/>
    <w:rsid w:val="00535C1B"/>
    <w:rsid w:val="00543E7D"/>
    <w:rsid w:val="00547A68"/>
    <w:rsid w:val="0055026B"/>
    <w:rsid w:val="00551FFA"/>
    <w:rsid w:val="005531C9"/>
    <w:rsid w:val="005535EC"/>
    <w:rsid w:val="00554879"/>
    <w:rsid w:val="0055645D"/>
    <w:rsid w:val="00566308"/>
    <w:rsid w:val="00570C43"/>
    <w:rsid w:val="00577514"/>
    <w:rsid w:val="005777EB"/>
    <w:rsid w:val="00577B7E"/>
    <w:rsid w:val="005800E3"/>
    <w:rsid w:val="00581A22"/>
    <w:rsid w:val="00582EA1"/>
    <w:rsid w:val="00584479"/>
    <w:rsid w:val="00592274"/>
    <w:rsid w:val="00594644"/>
    <w:rsid w:val="005B2110"/>
    <w:rsid w:val="005B350B"/>
    <w:rsid w:val="005B61E6"/>
    <w:rsid w:val="005B6965"/>
    <w:rsid w:val="005C2DD5"/>
    <w:rsid w:val="005C3AB2"/>
    <w:rsid w:val="005C6110"/>
    <w:rsid w:val="005C77E1"/>
    <w:rsid w:val="005D4D96"/>
    <w:rsid w:val="005D668A"/>
    <w:rsid w:val="005D67B8"/>
    <w:rsid w:val="005D6A2F"/>
    <w:rsid w:val="005E0592"/>
    <w:rsid w:val="005E1A82"/>
    <w:rsid w:val="005E794C"/>
    <w:rsid w:val="005F0A28"/>
    <w:rsid w:val="005F0E5E"/>
    <w:rsid w:val="005F366C"/>
    <w:rsid w:val="005F6AFC"/>
    <w:rsid w:val="00600535"/>
    <w:rsid w:val="006047C5"/>
    <w:rsid w:val="0060492A"/>
    <w:rsid w:val="006100DA"/>
    <w:rsid w:val="00610CD6"/>
    <w:rsid w:val="00620DEE"/>
    <w:rsid w:val="00621F92"/>
    <w:rsid w:val="00621F95"/>
    <w:rsid w:val="0062280A"/>
    <w:rsid w:val="006231E1"/>
    <w:rsid w:val="00625639"/>
    <w:rsid w:val="00626342"/>
    <w:rsid w:val="00630D04"/>
    <w:rsid w:val="00631B33"/>
    <w:rsid w:val="00632ED4"/>
    <w:rsid w:val="006378A6"/>
    <w:rsid w:val="0064184D"/>
    <w:rsid w:val="006422CC"/>
    <w:rsid w:val="00651D18"/>
    <w:rsid w:val="00656812"/>
    <w:rsid w:val="00660E3E"/>
    <w:rsid w:val="00662E74"/>
    <w:rsid w:val="00664B1C"/>
    <w:rsid w:val="00671CEE"/>
    <w:rsid w:val="00680C23"/>
    <w:rsid w:val="00683E23"/>
    <w:rsid w:val="00693766"/>
    <w:rsid w:val="00695540"/>
    <w:rsid w:val="006A3281"/>
    <w:rsid w:val="006A6DE5"/>
    <w:rsid w:val="006B2ABD"/>
    <w:rsid w:val="006B2D53"/>
    <w:rsid w:val="006B4888"/>
    <w:rsid w:val="006C2E45"/>
    <w:rsid w:val="006C3366"/>
    <w:rsid w:val="006C359C"/>
    <w:rsid w:val="006C5579"/>
    <w:rsid w:val="006D460F"/>
    <w:rsid w:val="006D6E8B"/>
    <w:rsid w:val="006D7209"/>
    <w:rsid w:val="006E5BAA"/>
    <w:rsid w:val="006E737D"/>
    <w:rsid w:val="006F0002"/>
    <w:rsid w:val="006F5B1F"/>
    <w:rsid w:val="006F79F4"/>
    <w:rsid w:val="007000E6"/>
    <w:rsid w:val="00707DD1"/>
    <w:rsid w:val="0071102D"/>
    <w:rsid w:val="00713973"/>
    <w:rsid w:val="00715255"/>
    <w:rsid w:val="007160C6"/>
    <w:rsid w:val="00720A24"/>
    <w:rsid w:val="0072758B"/>
    <w:rsid w:val="00732386"/>
    <w:rsid w:val="0073514D"/>
    <w:rsid w:val="00741437"/>
    <w:rsid w:val="007447F3"/>
    <w:rsid w:val="0075499F"/>
    <w:rsid w:val="00760F0B"/>
    <w:rsid w:val="007661C8"/>
    <w:rsid w:val="00770799"/>
    <w:rsid w:val="0077098D"/>
    <w:rsid w:val="00785BF9"/>
    <w:rsid w:val="00785E26"/>
    <w:rsid w:val="00787AC7"/>
    <w:rsid w:val="007931FA"/>
    <w:rsid w:val="007A1C61"/>
    <w:rsid w:val="007A4861"/>
    <w:rsid w:val="007A7BBA"/>
    <w:rsid w:val="007B0C50"/>
    <w:rsid w:val="007B48F9"/>
    <w:rsid w:val="007B5C85"/>
    <w:rsid w:val="007C1A43"/>
    <w:rsid w:val="007D0951"/>
    <w:rsid w:val="007D610D"/>
    <w:rsid w:val="007E188B"/>
    <w:rsid w:val="007E5C30"/>
    <w:rsid w:val="007E6F62"/>
    <w:rsid w:val="0080013E"/>
    <w:rsid w:val="00801759"/>
    <w:rsid w:val="00802D09"/>
    <w:rsid w:val="00803F05"/>
    <w:rsid w:val="00813288"/>
    <w:rsid w:val="00813401"/>
    <w:rsid w:val="008134DF"/>
    <w:rsid w:val="008168FC"/>
    <w:rsid w:val="00830996"/>
    <w:rsid w:val="00832134"/>
    <w:rsid w:val="0083232C"/>
    <w:rsid w:val="008345F1"/>
    <w:rsid w:val="00845FB9"/>
    <w:rsid w:val="00857404"/>
    <w:rsid w:val="00865B07"/>
    <w:rsid w:val="008667EA"/>
    <w:rsid w:val="0087637F"/>
    <w:rsid w:val="00892AD5"/>
    <w:rsid w:val="008A1512"/>
    <w:rsid w:val="008A5C12"/>
    <w:rsid w:val="008B0E9A"/>
    <w:rsid w:val="008B7D5F"/>
    <w:rsid w:val="008D32B9"/>
    <w:rsid w:val="008D3CED"/>
    <w:rsid w:val="008D433B"/>
    <w:rsid w:val="008D4A16"/>
    <w:rsid w:val="008E0186"/>
    <w:rsid w:val="008E5401"/>
    <w:rsid w:val="008E566E"/>
    <w:rsid w:val="008E68F5"/>
    <w:rsid w:val="008F1E3C"/>
    <w:rsid w:val="0090161A"/>
    <w:rsid w:val="00901B48"/>
    <w:rsid w:val="00901EB6"/>
    <w:rsid w:val="0090314C"/>
    <w:rsid w:val="00903E4F"/>
    <w:rsid w:val="009041F8"/>
    <w:rsid w:val="00904C62"/>
    <w:rsid w:val="00905C99"/>
    <w:rsid w:val="00914F36"/>
    <w:rsid w:val="009152CA"/>
    <w:rsid w:val="009167AD"/>
    <w:rsid w:val="00922682"/>
    <w:rsid w:val="00922BA8"/>
    <w:rsid w:val="00924DAC"/>
    <w:rsid w:val="00927058"/>
    <w:rsid w:val="009363BF"/>
    <w:rsid w:val="00942750"/>
    <w:rsid w:val="00944A09"/>
    <w:rsid w:val="009450CE"/>
    <w:rsid w:val="009456E4"/>
    <w:rsid w:val="009459BB"/>
    <w:rsid w:val="009465BD"/>
    <w:rsid w:val="00947179"/>
    <w:rsid w:val="0095164B"/>
    <w:rsid w:val="00954090"/>
    <w:rsid w:val="00956595"/>
    <w:rsid w:val="009573E7"/>
    <w:rsid w:val="009610BE"/>
    <w:rsid w:val="00963E05"/>
    <w:rsid w:val="00964A45"/>
    <w:rsid w:val="00967843"/>
    <w:rsid w:val="00967D54"/>
    <w:rsid w:val="00971028"/>
    <w:rsid w:val="009808FC"/>
    <w:rsid w:val="00991778"/>
    <w:rsid w:val="00993B84"/>
    <w:rsid w:val="00994C6A"/>
    <w:rsid w:val="00996483"/>
    <w:rsid w:val="00996F5A"/>
    <w:rsid w:val="009A1452"/>
    <w:rsid w:val="009A29B3"/>
    <w:rsid w:val="009A6C4F"/>
    <w:rsid w:val="009B041A"/>
    <w:rsid w:val="009B6908"/>
    <w:rsid w:val="009B6E57"/>
    <w:rsid w:val="009C3563"/>
    <w:rsid w:val="009C37C3"/>
    <w:rsid w:val="009C7B54"/>
    <w:rsid w:val="009C7C86"/>
    <w:rsid w:val="009D2FF7"/>
    <w:rsid w:val="009D7989"/>
    <w:rsid w:val="009E1999"/>
    <w:rsid w:val="009E2BB0"/>
    <w:rsid w:val="009E2D28"/>
    <w:rsid w:val="009E7884"/>
    <w:rsid w:val="009E788A"/>
    <w:rsid w:val="009F0E08"/>
    <w:rsid w:val="00A058D0"/>
    <w:rsid w:val="00A079AE"/>
    <w:rsid w:val="00A14E68"/>
    <w:rsid w:val="00A1763D"/>
    <w:rsid w:val="00A17CEC"/>
    <w:rsid w:val="00A218F3"/>
    <w:rsid w:val="00A27EF0"/>
    <w:rsid w:val="00A41056"/>
    <w:rsid w:val="00A41D7F"/>
    <w:rsid w:val="00A42361"/>
    <w:rsid w:val="00A4264E"/>
    <w:rsid w:val="00A42C2B"/>
    <w:rsid w:val="00A50B20"/>
    <w:rsid w:val="00A51390"/>
    <w:rsid w:val="00A60D13"/>
    <w:rsid w:val="00A70928"/>
    <w:rsid w:val="00A70C02"/>
    <w:rsid w:val="00A7223D"/>
    <w:rsid w:val="00A72745"/>
    <w:rsid w:val="00A73E12"/>
    <w:rsid w:val="00A76EFC"/>
    <w:rsid w:val="00A81830"/>
    <w:rsid w:val="00A87D50"/>
    <w:rsid w:val="00A902B6"/>
    <w:rsid w:val="00A91010"/>
    <w:rsid w:val="00A91E36"/>
    <w:rsid w:val="00A939E3"/>
    <w:rsid w:val="00A97F29"/>
    <w:rsid w:val="00AA2918"/>
    <w:rsid w:val="00AA6B43"/>
    <w:rsid w:val="00AA702E"/>
    <w:rsid w:val="00AA7134"/>
    <w:rsid w:val="00AA7D26"/>
    <w:rsid w:val="00AB0964"/>
    <w:rsid w:val="00AB5011"/>
    <w:rsid w:val="00AB5626"/>
    <w:rsid w:val="00AC63C4"/>
    <w:rsid w:val="00AC7368"/>
    <w:rsid w:val="00AD16B9"/>
    <w:rsid w:val="00AD3646"/>
    <w:rsid w:val="00AD3771"/>
    <w:rsid w:val="00AE0548"/>
    <w:rsid w:val="00AE3214"/>
    <w:rsid w:val="00AE377D"/>
    <w:rsid w:val="00AF0CDE"/>
    <w:rsid w:val="00AF0EBA"/>
    <w:rsid w:val="00AF2463"/>
    <w:rsid w:val="00B02C8A"/>
    <w:rsid w:val="00B17FBD"/>
    <w:rsid w:val="00B315A6"/>
    <w:rsid w:val="00B31813"/>
    <w:rsid w:val="00B33365"/>
    <w:rsid w:val="00B34DAB"/>
    <w:rsid w:val="00B43323"/>
    <w:rsid w:val="00B46EB6"/>
    <w:rsid w:val="00B57B36"/>
    <w:rsid w:val="00B57E6F"/>
    <w:rsid w:val="00B63246"/>
    <w:rsid w:val="00B67144"/>
    <w:rsid w:val="00B7137F"/>
    <w:rsid w:val="00B7542A"/>
    <w:rsid w:val="00B75CC5"/>
    <w:rsid w:val="00B8686D"/>
    <w:rsid w:val="00B93F69"/>
    <w:rsid w:val="00BA4E4C"/>
    <w:rsid w:val="00BB1DDC"/>
    <w:rsid w:val="00BC3002"/>
    <w:rsid w:val="00BC30C9"/>
    <w:rsid w:val="00BD06CF"/>
    <w:rsid w:val="00BD077D"/>
    <w:rsid w:val="00BD1727"/>
    <w:rsid w:val="00BD66EB"/>
    <w:rsid w:val="00BE1338"/>
    <w:rsid w:val="00BE22BE"/>
    <w:rsid w:val="00BE2E9B"/>
    <w:rsid w:val="00BE3E58"/>
    <w:rsid w:val="00BF13CE"/>
    <w:rsid w:val="00BF4211"/>
    <w:rsid w:val="00BF44C9"/>
    <w:rsid w:val="00C01616"/>
    <w:rsid w:val="00C0162B"/>
    <w:rsid w:val="00C062F4"/>
    <w:rsid w:val="00C068ED"/>
    <w:rsid w:val="00C075CA"/>
    <w:rsid w:val="00C12200"/>
    <w:rsid w:val="00C14DA6"/>
    <w:rsid w:val="00C21AAC"/>
    <w:rsid w:val="00C22E0C"/>
    <w:rsid w:val="00C30616"/>
    <w:rsid w:val="00C345B1"/>
    <w:rsid w:val="00C345D0"/>
    <w:rsid w:val="00C40142"/>
    <w:rsid w:val="00C41C7B"/>
    <w:rsid w:val="00C52C3C"/>
    <w:rsid w:val="00C57182"/>
    <w:rsid w:val="00C57863"/>
    <w:rsid w:val="00C57D19"/>
    <w:rsid w:val="00C640AF"/>
    <w:rsid w:val="00C655FD"/>
    <w:rsid w:val="00C6609E"/>
    <w:rsid w:val="00C75407"/>
    <w:rsid w:val="00C841C6"/>
    <w:rsid w:val="00C870A8"/>
    <w:rsid w:val="00C92735"/>
    <w:rsid w:val="00C92F64"/>
    <w:rsid w:val="00C930AF"/>
    <w:rsid w:val="00C94434"/>
    <w:rsid w:val="00C9672E"/>
    <w:rsid w:val="00C97AD6"/>
    <w:rsid w:val="00CA0D75"/>
    <w:rsid w:val="00CA1C95"/>
    <w:rsid w:val="00CA5A9C"/>
    <w:rsid w:val="00CA6A4C"/>
    <w:rsid w:val="00CC4C20"/>
    <w:rsid w:val="00CD1B28"/>
    <w:rsid w:val="00CD3517"/>
    <w:rsid w:val="00CD5FE2"/>
    <w:rsid w:val="00CE2303"/>
    <w:rsid w:val="00CE2D44"/>
    <w:rsid w:val="00CE7C68"/>
    <w:rsid w:val="00CF0A11"/>
    <w:rsid w:val="00CF37A4"/>
    <w:rsid w:val="00CF7A96"/>
    <w:rsid w:val="00D02480"/>
    <w:rsid w:val="00D02B4C"/>
    <w:rsid w:val="00D040C4"/>
    <w:rsid w:val="00D0746D"/>
    <w:rsid w:val="00D12079"/>
    <w:rsid w:val="00D12E7F"/>
    <w:rsid w:val="00D1712F"/>
    <w:rsid w:val="00D20AD1"/>
    <w:rsid w:val="00D2582C"/>
    <w:rsid w:val="00D31BFB"/>
    <w:rsid w:val="00D46B7E"/>
    <w:rsid w:val="00D57C84"/>
    <w:rsid w:val="00D6057D"/>
    <w:rsid w:val="00D605A9"/>
    <w:rsid w:val="00D71640"/>
    <w:rsid w:val="00D741D2"/>
    <w:rsid w:val="00D836C5"/>
    <w:rsid w:val="00D84576"/>
    <w:rsid w:val="00D8518E"/>
    <w:rsid w:val="00D94288"/>
    <w:rsid w:val="00D96C43"/>
    <w:rsid w:val="00DA1399"/>
    <w:rsid w:val="00DA24C6"/>
    <w:rsid w:val="00DA389E"/>
    <w:rsid w:val="00DA4D7B"/>
    <w:rsid w:val="00DB130C"/>
    <w:rsid w:val="00DB7E79"/>
    <w:rsid w:val="00DC2840"/>
    <w:rsid w:val="00DC73EE"/>
    <w:rsid w:val="00DC7BFA"/>
    <w:rsid w:val="00DD271C"/>
    <w:rsid w:val="00DE264A"/>
    <w:rsid w:val="00DE5A28"/>
    <w:rsid w:val="00DF5072"/>
    <w:rsid w:val="00E00520"/>
    <w:rsid w:val="00E02D18"/>
    <w:rsid w:val="00E041E7"/>
    <w:rsid w:val="00E107FA"/>
    <w:rsid w:val="00E23CA1"/>
    <w:rsid w:val="00E26E8E"/>
    <w:rsid w:val="00E2734B"/>
    <w:rsid w:val="00E409A8"/>
    <w:rsid w:val="00E50C12"/>
    <w:rsid w:val="00E55B9F"/>
    <w:rsid w:val="00E60859"/>
    <w:rsid w:val="00E65B91"/>
    <w:rsid w:val="00E7209D"/>
    <w:rsid w:val="00E727FB"/>
    <w:rsid w:val="00E72EAD"/>
    <w:rsid w:val="00E77223"/>
    <w:rsid w:val="00E82184"/>
    <w:rsid w:val="00E8528B"/>
    <w:rsid w:val="00E85B94"/>
    <w:rsid w:val="00E978D0"/>
    <w:rsid w:val="00EA4613"/>
    <w:rsid w:val="00EA6ADC"/>
    <w:rsid w:val="00EA7F91"/>
    <w:rsid w:val="00EB1523"/>
    <w:rsid w:val="00EC0E49"/>
    <w:rsid w:val="00EC101F"/>
    <w:rsid w:val="00EC1D9F"/>
    <w:rsid w:val="00EC46C4"/>
    <w:rsid w:val="00ED4F44"/>
    <w:rsid w:val="00ED51C4"/>
    <w:rsid w:val="00ED7950"/>
    <w:rsid w:val="00EE0131"/>
    <w:rsid w:val="00EE0641"/>
    <w:rsid w:val="00EE17B0"/>
    <w:rsid w:val="00EE4968"/>
    <w:rsid w:val="00EF06D9"/>
    <w:rsid w:val="00EF1AF5"/>
    <w:rsid w:val="00F02656"/>
    <w:rsid w:val="00F20283"/>
    <w:rsid w:val="00F24020"/>
    <w:rsid w:val="00F249C7"/>
    <w:rsid w:val="00F3049E"/>
    <w:rsid w:val="00F30C64"/>
    <w:rsid w:val="00F32BA2"/>
    <w:rsid w:val="00F32CDB"/>
    <w:rsid w:val="00F34A8F"/>
    <w:rsid w:val="00F41EE4"/>
    <w:rsid w:val="00F446F6"/>
    <w:rsid w:val="00F549D1"/>
    <w:rsid w:val="00F565FE"/>
    <w:rsid w:val="00F61942"/>
    <w:rsid w:val="00F63A70"/>
    <w:rsid w:val="00F63D8C"/>
    <w:rsid w:val="00F7534E"/>
    <w:rsid w:val="00F75C04"/>
    <w:rsid w:val="00F772C7"/>
    <w:rsid w:val="00F82896"/>
    <w:rsid w:val="00F84BFE"/>
    <w:rsid w:val="00F85C50"/>
    <w:rsid w:val="00F86185"/>
    <w:rsid w:val="00F93EDF"/>
    <w:rsid w:val="00FA1802"/>
    <w:rsid w:val="00FA21D0"/>
    <w:rsid w:val="00FA5F5F"/>
    <w:rsid w:val="00FA67AC"/>
    <w:rsid w:val="00FB730C"/>
    <w:rsid w:val="00FC2695"/>
    <w:rsid w:val="00FC3E03"/>
    <w:rsid w:val="00FC3FC1"/>
    <w:rsid w:val="00FC7DD6"/>
    <w:rsid w:val="00FE57AC"/>
    <w:rsid w:val="00FE624F"/>
    <w:rsid w:val="00FF090F"/>
    <w:rsid w:val="390FD57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19D32"/>
  <w14:defaultImageDpi w14:val="330"/>
  <w15:docId w15:val="{8A266A76-39DD-0E4C-91C8-FA842400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40209E"/>
    <w:rPr>
      <w:color w:val="605E5C"/>
      <w:shd w:val="clear" w:color="auto" w:fill="E1DFDD"/>
    </w:rPr>
  </w:style>
  <w:style w:type="character" w:styleId="Testosegnaposto">
    <w:name w:val="Placeholder Text"/>
    <w:basedOn w:val="Carpredefinitoparagrafo"/>
    <w:uiPriority w:val="99"/>
    <w:semiHidden/>
    <w:rsid w:val="00621F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28823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51162">
      <w:bodyDiv w:val="1"/>
      <w:marLeft w:val="0"/>
      <w:marRight w:val="0"/>
      <w:marTop w:val="0"/>
      <w:marBottom w:val="0"/>
      <w:divBdr>
        <w:top w:val="none" w:sz="0" w:space="0" w:color="auto"/>
        <w:left w:val="none" w:sz="0" w:space="0" w:color="auto"/>
        <w:bottom w:val="none" w:sz="0" w:space="0" w:color="auto"/>
        <w:right w:val="none" w:sz="0" w:space="0" w:color="auto"/>
      </w:divBdr>
    </w:div>
    <w:div w:id="1247223973">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3866</Words>
  <Characters>22041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25856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Gaia Alessandra</cp:lastModifiedBy>
  <cp:revision>2</cp:revision>
  <cp:lastPrinted>2015-05-12T18:31:00Z</cp:lastPrinted>
  <dcterms:created xsi:type="dcterms:W3CDTF">2025-05-10T12:35:00Z</dcterms:created>
  <dcterms:modified xsi:type="dcterms:W3CDTF">2025-05-10T12:35:00Z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