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4015187" w:rsidR="000A03B2" w:rsidRPr="00B57B36" w:rsidRDefault="00A76EFC" w:rsidP="005D668A">
            <w:pPr>
              <w:tabs>
                <w:tab w:val="left" w:pos="-108"/>
              </w:tabs>
              <w:ind w:left="-108"/>
              <w:rPr>
                <w:rFonts w:cs="Arial"/>
                <w:b/>
                <w:bCs/>
                <w:i/>
                <w:iCs/>
                <w:color w:val="000066"/>
                <w:sz w:val="22"/>
                <w:szCs w:val="22"/>
                <w:lang w:eastAsia="it-IT"/>
              </w:rPr>
            </w:pPr>
            <w:proofErr w:type="gramStart"/>
            <w:r w:rsidRPr="00B57B36">
              <w:rPr>
                <w:rFonts w:cs="Arial"/>
                <w:b/>
                <w:bCs/>
                <w:i/>
                <w:iCs/>
                <w:color w:val="000066"/>
                <w:sz w:val="22"/>
                <w:szCs w:val="22"/>
                <w:lang w:eastAsia="it-IT"/>
              </w:rPr>
              <w:t>VOL. ,</w:t>
            </w:r>
            <w:proofErr w:type="gramEnd"/>
            <w:r w:rsidRPr="00B57B36">
              <w:rPr>
                <w:rFonts w:cs="Arial"/>
                <w:b/>
                <w:bCs/>
                <w:i/>
                <w:iCs/>
                <w:color w:val="000066"/>
                <w:sz w:val="22"/>
                <w:szCs w:val="22"/>
                <w:lang w:eastAsia="it-IT"/>
              </w:rPr>
              <w:t xml:space="preserve"> </w:t>
            </w:r>
            <w:r w:rsidR="00FA5F5F">
              <w:rPr>
                <w:rFonts w:cs="Arial"/>
                <w:b/>
                <w:bCs/>
                <w:i/>
                <w:iCs/>
                <w:color w:val="000066"/>
                <w:sz w:val="22"/>
                <w:szCs w:val="22"/>
                <w:lang w:eastAsia="it-IT"/>
              </w:rPr>
              <w:t>202</w:t>
            </w:r>
            <w:r w:rsidR="00905B42">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Chemical Engineering</w:t>
            </w:r>
          </w:p>
          <w:p w14:paraId="4F0CC5DE" w14:textId="5F75D5CD"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F4C2F33" w14:textId="77777777" w:rsidR="00905B42" w:rsidRPr="00B764D8" w:rsidRDefault="00905B42" w:rsidP="00905B42">
            <w:pPr>
              <w:ind w:left="-107"/>
              <w:outlineLvl w:val="2"/>
              <w:rPr>
                <w:rFonts w:ascii="Tahoma" w:hAnsi="Tahoma" w:cs="Tahoma"/>
                <w:sz w:val="14"/>
                <w:szCs w:val="14"/>
                <w:lang w:val="it-IT"/>
              </w:rPr>
            </w:pPr>
            <w:r w:rsidRPr="00B764D8">
              <w:rPr>
                <w:rFonts w:ascii="Tahoma" w:hAnsi="Tahoma" w:cs="Tahoma"/>
                <w:iCs/>
                <w:sz w:val="14"/>
                <w:szCs w:val="14"/>
                <w:lang w:val="it-IT" w:eastAsia="it-IT"/>
              </w:rPr>
              <w:t>Guest Editors:</w:t>
            </w:r>
            <w:r w:rsidRPr="00B764D8">
              <w:rPr>
                <w:rFonts w:ascii="Aptos" w:eastAsiaTheme="minorHAnsi" w:hAnsi="Aptos" w:cs="Aptos"/>
                <w:sz w:val="22"/>
                <w:szCs w:val="22"/>
                <w:lang w:val="it-IT"/>
                <w14:ligatures w14:val="standardContextual"/>
              </w:rPr>
              <w:t xml:space="preserve"> </w:t>
            </w:r>
            <w:r w:rsidRPr="00B764D8">
              <w:rPr>
                <w:rFonts w:ascii="Tahoma" w:hAnsi="Tahoma" w:cs="Tahoma"/>
                <w:sz w:val="14"/>
                <w:szCs w:val="14"/>
                <w:lang w:val="it-IT"/>
              </w:rPr>
              <w:t>Fabrizio Bezzo, Flavio Manenti, Gabriele Pannocchia, Almerinda di Benedetto</w:t>
            </w:r>
          </w:p>
          <w:p w14:paraId="1B0F1814" w14:textId="38BB8754" w:rsidR="000A03B2" w:rsidRPr="00B57B36" w:rsidRDefault="00905B42" w:rsidP="00905B42">
            <w:pPr>
              <w:tabs>
                <w:tab w:val="left" w:pos="-108"/>
              </w:tabs>
              <w:spacing w:line="140" w:lineRule="atLeast"/>
              <w:ind w:left="-107"/>
              <w:jc w:val="left"/>
            </w:pPr>
            <w:r w:rsidRPr="00B764D8">
              <w:rPr>
                <w:rFonts w:ascii="Tahoma" w:hAnsi="Tahoma" w:cs="Tahoma"/>
                <w:iCs/>
                <w:sz w:val="14"/>
                <w:szCs w:val="14"/>
                <w:lang w:eastAsia="it-IT"/>
              </w:rPr>
              <w:t xml:space="preserve">Copyright © 2025, AIDIC </w:t>
            </w:r>
            <w:proofErr w:type="spellStart"/>
            <w:r w:rsidRPr="00B764D8">
              <w:rPr>
                <w:rFonts w:ascii="Tahoma" w:hAnsi="Tahoma" w:cs="Tahoma"/>
                <w:iCs/>
                <w:sz w:val="14"/>
                <w:szCs w:val="14"/>
                <w:lang w:eastAsia="it-IT"/>
              </w:rPr>
              <w:t>Servizi</w:t>
            </w:r>
            <w:proofErr w:type="spellEnd"/>
            <w:r w:rsidRPr="00B764D8">
              <w:rPr>
                <w:rFonts w:ascii="Tahoma" w:hAnsi="Tahoma" w:cs="Tahoma"/>
                <w:iCs/>
                <w:sz w:val="14"/>
                <w:szCs w:val="14"/>
                <w:lang w:eastAsia="it-IT"/>
              </w:rPr>
              <w:t xml:space="preserve"> </w:t>
            </w:r>
            <w:proofErr w:type="spellStart"/>
            <w:r w:rsidRPr="00B764D8">
              <w:rPr>
                <w:rFonts w:ascii="Tahoma" w:hAnsi="Tahoma" w:cs="Tahoma"/>
                <w:iCs/>
                <w:sz w:val="14"/>
                <w:szCs w:val="14"/>
                <w:lang w:eastAsia="it-IT"/>
              </w:rPr>
              <w:t>S.r.l</w:t>
            </w:r>
            <w:proofErr w:type="spellEnd"/>
            <w:r w:rsidRPr="00B764D8">
              <w:rPr>
                <w:rFonts w:ascii="Tahoma" w:hAnsi="Tahoma" w:cs="Tahoma"/>
                <w:iCs/>
                <w:sz w:val="14"/>
                <w:szCs w:val="14"/>
                <w:lang w:eastAsia="it-IT"/>
              </w:rPr>
              <w:t>.</w:t>
            </w:r>
            <w:r w:rsidRPr="00B764D8">
              <w:rPr>
                <w:rFonts w:ascii="Tahoma" w:hAnsi="Tahoma" w:cs="Tahoma"/>
                <w:iCs/>
                <w:sz w:val="14"/>
                <w:szCs w:val="14"/>
                <w:lang w:eastAsia="it-IT"/>
              </w:rPr>
              <w:br/>
            </w:r>
            <w:r w:rsidRPr="00B764D8">
              <w:rPr>
                <w:rFonts w:ascii="Tahoma" w:hAnsi="Tahoma" w:cs="Tahoma"/>
                <w:b/>
                <w:iCs/>
                <w:sz w:val="14"/>
                <w:szCs w:val="14"/>
                <w:lang w:eastAsia="it-IT"/>
              </w:rPr>
              <w:t>ISBN</w:t>
            </w:r>
            <w:r w:rsidRPr="00B764D8">
              <w:rPr>
                <w:rFonts w:ascii="Tahoma" w:hAnsi="Tahoma" w:cs="Tahoma"/>
                <w:iCs/>
                <w:sz w:val="14"/>
                <w:szCs w:val="14"/>
                <w:lang w:eastAsia="it-IT"/>
              </w:rPr>
              <w:t xml:space="preserve"> </w:t>
            </w:r>
            <w:r w:rsidRPr="00B764D8">
              <w:rPr>
                <w:rFonts w:ascii="Tahoma" w:hAnsi="Tahoma" w:cs="Tahoma"/>
                <w:sz w:val="14"/>
                <w:szCs w:val="14"/>
              </w:rPr>
              <w:t>979-12-81206-17-5</w:t>
            </w:r>
            <w:r w:rsidRPr="00B764D8">
              <w:rPr>
                <w:rFonts w:ascii="Tahoma" w:hAnsi="Tahoma" w:cs="Tahoma"/>
                <w:iCs/>
                <w:sz w:val="14"/>
                <w:szCs w:val="14"/>
                <w:lang w:eastAsia="it-IT"/>
              </w:rPr>
              <w:t xml:space="preserve">; </w:t>
            </w:r>
            <w:r w:rsidRPr="00B764D8">
              <w:rPr>
                <w:rFonts w:ascii="Tahoma" w:hAnsi="Tahoma" w:cs="Tahoma"/>
                <w:b/>
                <w:iCs/>
                <w:sz w:val="14"/>
                <w:szCs w:val="14"/>
                <w:lang w:eastAsia="it-IT"/>
              </w:rPr>
              <w:t>ISSN</w:t>
            </w:r>
            <w:r w:rsidRPr="00B764D8">
              <w:rPr>
                <w:rFonts w:ascii="Tahoma" w:hAnsi="Tahoma" w:cs="Tahoma"/>
                <w:iCs/>
                <w:sz w:val="14"/>
                <w:szCs w:val="14"/>
                <w:lang w:eastAsia="it-IT"/>
              </w:rPr>
              <w:t xml:space="preserve"> 2283-9216</w:t>
            </w:r>
          </w:p>
        </w:tc>
      </w:tr>
    </w:tbl>
    <w:p w14:paraId="2E667253" w14:textId="2ACF695E" w:rsidR="00E978D0" w:rsidRDefault="00284A91" w:rsidP="001D1943">
      <w:pPr>
        <w:pStyle w:val="CETTitle"/>
        <w:spacing w:line="240" w:lineRule="auto"/>
      </w:pPr>
      <w:r w:rsidRPr="00284A91">
        <w:t xml:space="preserve">Biochar </w:t>
      </w:r>
      <w:r w:rsidR="001A2E56">
        <w:t>F</w:t>
      </w:r>
      <w:r w:rsidRPr="00284A91">
        <w:t xml:space="preserve">rom </w:t>
      </w:r>
      <w:r w:rsidR="001A2E56">
        <w:t>W</w:t>
      </w:r>
      <w:r w:rsidRPr="00284A91">
        <w:t xml:space="preserve">astewater </w:t>
      </w:r>
      <w:r w:rsidR="001A2E56">
        <w:t>T</w:t>
      </w:r>
      <w:r w:rsidRPr="00284A91">
        <w:t xml:space="preserve">reatment </w:t>
      </w:r>
      <w:r w:rsidR="001A2E56">
        <w:t>P</w:t>
      </w:r>
      <w:r w:rsidRPr="00284A91">
        <w:t xml:space="preserve">lant </w:t>
      </w:r>
      <w:r w:rsidR="001A2E56">
        <w:t>S</w:t>
      </w:r>
      <w:r w:rsidRPr="00284A91">
        <w:t xml:space="preserve">ludge: Efficiency </w:t>
      </w:r>
      <w:r w:rsidR="005327AB">
        <w:t>in</w:t>
      </w:r>
      <w:r w:rsidRPr="00284A91">
        <w:t xml:space="preserve"> the </w:t>
      </w:r>
      <w:r w:rsidR="00F80C0B">
        <w:t>R</w:t>
      </w:r>
      <w:r w:rsidRPr="00284A91">
        <w:t xml:space="preserve">emoval </w:t>
      </w:r>
      <w:r w:rsidR="005327AB">
        <w:t>of</w:t>
      </w:r>
      <w:r w:rsidRPr="00284A91">
        <w:t xml:space="preserve"> </w:t>
      </w:r>
      <w:r w:rsidR="00D03275">
        <w:t>H</w:t>
      </w:r>
      <w:r w:rsidRPr="00284A91">
        <w:t xml:space="preserve">ydrocarbons </w:t>
      </w:r>
      <w:r w:rsidR="005327AB">
        <w:t>from</w:t>
      </w:r>
      <w:r w:rsidRPr="00284A91">
        <w:t xml:space="preserve"> </w:t>
      </w:r>
      <w:r w:rsidR="005327AB">
        <w:t>Contaminated</w:t>
      </w:r>
      <w:r w:rsidRPr="00284A91">
        <w:t xml:space="preserve"> </w:t>
      </w:r>
      <w:r w:rsidR="00D03275">
        <w:t>S</w:t>
      </w:r>
      <w:r w:rsidRPr="00284A91">
        <w:t>oil</w:t>
      </w:r>
    </w:p>
    <w:p w14:paraId="2B3CA35C" w14:textId="2073F38E" w:rsidR="00E978D0" w:rsidRPr="00B74715" w:rsidRDefault="00284495" w:rsidP="00AB5011">
      <w:pPr>
        <w:pStyle w:val="CETAuthors"/>
        <w:rPr>
          <w:lang w:val="es-PE"/>
        </w:rPr>
      </w:pPr>
      <w:r w:rsidRPr="00284495">
        <w:rPr>
          <w:lang w:val="es-PE"/>
        </w:rPr>
        <w:t>Julissa A. Diaz Agüero</w:t>
      </w:r>
      <w:r w:rsidR="00116503" w:rsidRPr="00116503">
        <w:rPr>
          <w:vertAlign w:val="superscript"/>
          <w:lang w:val="es-PE"/>
        </w:rPr>
        <w:t xml:space="preserve">a </w:t>
      </w:r>
      <w:r w:rsidRPr="00284495">
        <w:rPr>
          <w:lang w:val="es-PE"/>
        </w:rPr>
        <w:t>, María A. Pérez Pérez</w:t>
      </w:r>
      <w:r w:rsidR="00116503" w:rsidRPr="001A0768">
        <w:rPr>
          <w:vertAlign w:val="superscript"/>
          <w:lang w:val="es-PE"/>
        </w:rPr>
        <w:t xml:space="preserve">a </w:t>
      </w:r>
      <w:r w:rsidRPr="00284495">
        <w:rPr>
          <w:lang w:val="es-PE"/>
        </w:rPr>
        <w:t>, Danny Lizarzaburu-Aguinaga</w:t>
      </w:r>
      <w:r w:rsidR="00116503" w:rsidRPr="001A0768">
        <w:rPr>
          <w:vertAlign w:val="superscript"/>
          <w:lang w:val="es-PE"/>
        </w:rPr>
        <w:t>b</w:t>
      </w:r>
      <w:r w:rsidR="00A24EA0" w:rsidRPr="00A24EA0">
        <w:rPr>
          <w:lang w:val="es-PE"/>
        </w:rPr>
        <w:t>*</w:t>
      </w:r>
      <w:r w:rsidR="00FE70BB">
        <w:rPr>
          <w:lang w:val="es-PE"/>
        </w:rPr>
        <w:t>,</w:t>
      </w:r>
      <w:r w:rsidR="00A24EA0">
        <w:rPr>
          <w:lang w:val="es-PE"/>
        </w:rPr>
        <w:t xml:space="preserve"> </w:t>
      </w:r>
      <w:r w:rsidR="00FE70BB">
        <w:rPr>
          <w:lang w:val="es-PE"/>
        </w:rPr>
        <w:t>Elmer Benites-Alfaro</w:t>
      </w:r>
      <w:r w:rsidR="00116503" w:rsidRPr="001A0768">
        <w:rPr>
          <w:vertAlign w:val="superscript"/>
          <w:lang w:val="es-PE"/>
        </w:rPr>
        <w:t>a</w:t>
      </w:r>
      <w:r w:rsidR="00B74715">
        <w:rPr>
          <w:lang w:val="es-PE"/>
        </w:rPr>
        <w:t xml:space="preserve">, </w:t>
      </w:r>
      <w:r w:rsidR="00276FE6">
        <w:rPr>
          <w:lang w:val="es-PE"/>
        </w:rPr>
        <w:t>Carlos Cabrera Carranza</w:t>
      </w:r>
      <w:r w:rsidR="00276FE6" w:rsidRPr="00B65F93">
        <w:rPr>
          <w:vertAlign w:val="superscript"/>
          <w:lang w:val="es-PE"/>
        </w:rPr>
        <w:t>c</w:t>
      </w:r>
      <w:r w:rsidR="00276FE6">
        <w:rPr>
          <w:lang w:val="es-PE"/>
        </w:rPr>
        <w:t>, Jorge Jave Nakayo</w:t>
      </w:r>
      <w:r w:rsidR="00A41839" w:rsidRPr="00A41839">
        <w:rPr>
          <w:vertAlign w:val="superscript"/>
          <w:lang w:val="es-PE"/>
        </w:rPr>
        <w:t>c</w:t>
      </w:r>
      <w:r w:rsidR="00276FE6">
        <w:rPr>
          <w:lang w:val="es-PE"/>
        </w:rPr>
        <w:t xml:space="preserve">, </w:t>
      </w:r>
      <w:r w:rsidR="00716839">
        <w:rPr>
          <w:lang w:val="es-PE"/>
        </w:rPr>
        <w:t>Guido</w:t>
      </w:r>
      <w:r w:rsidR="00AC4A70">
        <w:rPr>
          <w:lang w:val="es-PE"/>
        </w:rPr>
        <w:t xml:space="preserve"> Rene</w:t>
      </w:r>
      <w:r w:rsidR="00716839">
        <w:rPr>
          <w:lang w:val="es-PE"/>
        </w:rPr>
        <w:t xml:space="preserve"> Suca</w:t>
      </w:r>
      <w:r w:rsidR="00AC4A70">
        <w:rPr>
          <w:lang w:val="es-PE"/>
        </w:rPr>
        <w:t>-</w:t>
      </w:r>
      <w:r w:rsidR="00716839">
        <w:rPr>
          <w:lang w:val="es-PE"/>
        </w:rPr>
        <w:t>Apaza</w:t>
      </w:r>
      <w:r w:rsidR="00A41839" w:rsidRPr="00A41839">
        <w:rPr>
          <w:vertAlign w:val="superscript"/>
          <w:lang w:val="es-PE"/>
        </w:rPr>
        <w:t>d</w:t>
      </w:r>
      <w:r w:rsidR="00EA4CA8">
        <w:rPr>
          <w:lang w:val="es-PE"/>
        </w:rPr>
        <w:t xml:space="preserve">, </w:t>
      </w:r>
      <w:r w:rsidR="001663C2" w:rsidRPr="001663C2">
        <w:rPr>
          <w:lang w:val="es-PE"/>
        </w:rPr>
        <w:t>Jose Freddy Atuncar Yrribari</w:t>
      </w:r>
      <w:r w:rsidR="00A41839" w:rsidRPr="00A41839">
        <w:rPr>
          <w:vertAlign w:val="superscript"/>
          <w:lang w:val="es-PE"/>
        </w:rPr>
        <w:t>c</w:t>
      </w:r>
    </w:p>
    <w:p w14:paraId="5053C5A8" w14:textId="071C946E" w:rsidR="00E978D0" w:rsidRPr="00265AD9" w:rsidRDefault="00E978D0" w:rsidP="00E978D0">
      <w:pPr>
        <w:pStyle w:val="CETAddress"/>
        <w:rPr>
          <w:lang w:val="es-PE"/>
        </w:rPr>
      </w:pPr>
      <w:r w:rsidRPr="00265AD9">
        <w:rPr>
          <w:vertAlign w:val="superscript"/>
          <w:lang w:val="es-PE"/>
        </w:rPr>
        <w:t xml:space="preserve">a </w:t>
      </w:r>
      <w:r w:rsidR="00DC5A09">
        <w:rPr>
          <w:lang w:val="es-PE"/>
        </w:rPr>
        <w:t>Universidad César Vallejo</w:t>
      </w:r>
      <w:r w:rsidR="00265AD9" w:rsidRPr="00265AD9">
        <w:rPr>
          <w:lang w:val="es-PE"/>
        </w:rPr>
        <w:t>, Av. Alfredo Mendiola 6232, Los Olivos, Lima – Per</w:t>
      </w:r>
      <w:r w:rsidR="00DC5A09">
        <w:rPr>
          <w:lang w:val="es-PE"/>
        </w:rPr>
        <w:t>ú</w:t>
      </w:r>
    </w:p>
    <w:p w14:paraId="38D29194" w14:textId="076797D0" w:rsidR="00E978D0" w:rsidRDefault="00E978D0" w:rsidP="00E978D0">
      <w:pPr>
        <w:pStyle w:val="CETAddress"/>
        <w:rPr>
          <w:lang w:val="es-PE"/>
        </w:rPr>
      </w:pPr>
      <w:r w:rsidRPr="001A30D0">
        <w:rPr>
          <w:vertAlign w:val="superscript"/>
          <w:lang w:val="es-PE"/>
        </w:rPr>
        <w:t xml:space="preserve">b </w:t>
      </w:r>
      <w:r w:rsidR="00DC5A09">
        <w:rPr>
          <w:lang w:val="es-PE"/>
        </w:rPr>
        <w:t>Universidad César Vallejo</w:t>
      </w:r>
      <w:r w:rsidR="001A30D0" w:rsidRPr="001A30D0">
        <w:rPr>
          <w:lang w:val="es-PE"/>
        </w:rPr>
        <w:t xml:space="preserve">, Av. </w:t>
      </w:r>
      <w:r w:rsidR="001A30D0" w:rsidRPr="00187EF8">
        <w:rPr>
          <w:lang w:val="es-PE"/>
        </w:rPr>
        <w:t>Argentina 1795, Callao – Per</w:t>
      </w:r>
      <w:r w:rsidR="00DC5A09">
        <w:rPr>
          <w:lang w:val="es-PE"/>
        </w:rPr>
        <w:t>ú</w:t>
      </w:r>
    </w:p>
    <w:p w14:paraId="4D3B422D" w14:textId="0683D47F" w:rsidR="00DC5A09" w:rsidRDefault="00DC5A09" w:rsidP="00E978D0">
      <w:pPr>
        <w:pStyle w:val="CETAddress"/>
        <w:rPr>
          <w:lang w:val="es-PE"/>
        </w:rPr>
      </w:pPr>
      <w:r w:rsidRPr="00B83C29">
        <w:rPr>
          <w:vertAlign w:val="superscript"/>
          <w:lang w:val="es-PE"/>
        </w:rPr>
        <w:t>c</w:t>
      </w:r>
      <w:r w:rsidR="00B83C29">
        <w:rPr>
          <w:lang w:val="es-PE"/>
        </w:rPr>
        <w:t xml:space="preserve"> Universidad Nacional Mayor de San Marcos, Lima </w:t>
      </w:r>
      <w:r w:rsidR="00A41839">
        <w:rPr>
          <w:lang w:val="es-PE"/>
        </w:rPr>
        <w:t>–</w:t>
      </w:r>
      <w:r w:rsidR="00B83C29">
        <w:rPr>
          <w:lang w:val="es-PE"/>
        </w:rPr>
        <w:t xml:space="preserve"> Perú</w:t>
      </w:r>
    </w:p>
    <w:p w14:paraId="64061263" w14:textId="444BD5C8" w:rsidR="00A41839" w:rsidRPr="00B83C29" w:rsidRDefault="00A41839" w:rsidP="00E978D0">
      <w:pPr>
        <w:pStyle w:val="CETAddress"/>
        <w:rPr>
          <w:lang w:val="es-PE"/>
        </w:rPr>
      </w:pPr>
      <w:r>
        <w:rPr>
          <w:vertAlign w:val="superscript"/>
          <w:lang w:val="es-PE"/>
        </w:rPr>
        <w:t>d</w:t>
      </w:r>
      <w:r w:rsidRPr="001A30D0">
        <w:rPr>
          <w:vertAlign w:val="superscript"/>
          <w:lang w:val="es-PE"/>
        </w:rPr>
        <w:t xml:space="preserve"> </w:t>
      </w:r>
      <w:r>
        <w:rPr>
          <w:lang w:val="es-PE"/>
        </w:rPr>
        <w:t>Universidad César Vallejo</w:t>
      </w:r>
      <w:r w:rsidRPr="001A30D0">
        <w:rPr>
          <w:lang w:val="es-PE"/>
        </w:rPr>
        <w:t xml:space="preserve">, </w:t>
      </w:r>
      <w:r>
        <w:rPr>
          <w:lang w:val="es-PE"/>
        </w:rPr>
        <w:t>Carretera Central Km 8.2</w:t>
      </w:r>
      <w:r w:rsidRPr="00187EF8">
        <w:rPr>
          <w:lang w:val="es-PE"/>
        </w:rPr>
        <w:t xml:space="preserve">, </w:t>
      </w:r>
      <w:r w:rsidR="006D6D0C">
        <w:rPr>
          <w:lang w:val="es-PE"/>
        </w:rPr>
        <w:t>Ate</w:t>
      </w:r>
      <w:r w:rsidRPr="00187EF8">
        <w:rPr>
          <w:lang w:val="es-PE"/>
        </w:rPr>
        <w:t xml:space="preserve"> – Per</w:t>
      </w:r>
      <w:r>
        <w:rPr>
          <w:lang w:val="es-PE"/>
        </w:rPr>
        <w:t>ú</w:t>
      </w:r>
    </w:p>
    <w:p w14:paraId="0127A28D" w14:textId="6438438B" w:rsidR="00E978D0" w:rsidRPr="00EF0A2C" w:rsidRDefault="00B23A23" w:rsidP="00E978D0">
      <w:pPr>
        <w:pStyle w:val="CETemail"/>
        <w:rPr>
          <w:lang w:val="en-US"/>
        </w:rPr>
      </w:pPr>
      <w:r w:rsidRPr="00B74715">
        <w:rPr>
          <w:lang w:val="en-US"/>
        </w:rPr>
        <w:t>*</w:t>
      </w:r>
      <w:r w:rsidR="00EF0A2C" w:rsidRPr="00B74715">
        <w:rPr>
          <w:lang w:val="en-US"/>
        </w:rPr>
        <w:t xml:space="preserve"> dlizarzaburu</w:t>
      </w:r>
      <w:r w:rsidRPr="00B74715">
        <w:rPr>
          <w:lang w:val="en-US"/>
        </w:rPr>
        <w:t>@ucv</w:t>
      </w:r>
      <w:r w:rsidR="00D60F44" w:rsidRPr="00B74715">
        <w:rPr>
          <w:lang w:val="en-US"/>
        </w:rPr>
        <w:t>.</w:t>
      </w:r>
      <w:r w:rsidRPr="00B74715">
        <w:rPr>
          <w:lang w:val="en-US"/>
        </w:rPr>
        <w:t>edu</w:t>
      </w:r>
      <w:r w:rsidR="00D60F44" w:rsidRPr="00B74715">
        <w:rPr>
          <w:lang w:val="en-US"/>
        </w:rPr>
        <w:t>.</w:t>
      </w:r>
      <w:r w:rsidRPr="00B74715">
        <w:rPr>
          <w:lang w:val="en-US"/>
        </w:rPr>
        <w:t>pe</w:t>
      </w:r>
    </w:p>
    <w:p w14:paraId="37A61FCE" w14:textId="7682E320" w:rsidR="00DA24C6" w:rsidRDefault="00FD1AFB" w:rsidP="003A6232">
      <w:pPr>
        <w:pStyle w:val="CETListbullets"/>
        <w:ind w:left="0" w:firstLine="0"/>
      </w:pPr>
      <w:r w:rsidRPr="00FD1AFB">
        <w:t xml:space="preserve">Biochar is a carbonaceous material produced by pyrolysis of organic matter, such as wood, agricultural waste, or, in this case, sewage sludge. Biochar is very porous and has a large surface area, making it very efficient at absorbing and retaining contaminants in soil, including hydrocarbons. </w:t>
      </w:r>
      <w:r w:rsidR="00FC516A">
        <w:t>Using</w:t>
      </w:r>
      <w:r w:rsidRPr="00FD1AFB">
        <w:t xml:space="preserve"> sewage sludge as </w:t>
      </w:r>
      <w:proofErr w:type="gramStart"/>
      <w:r w:rsidRPr="00FD1AFB">
        <w:t>biochar</w:t>
      </w:r>
      <w:proofErr w:type="gramEnd"/>
      <w:r w:rsidRPr="00FD1AFB">
        <w:t xml:space="preserve"> to remove hydrocarbons from the soil can be an </w:t>
      </w:r>
      <w:r w:rsidR="00D75F07">
        <w:t>exciting</w:t>
      </w:r>
      <w:r w:rsidRPr="00FD1AFB">
        <w:t xml:space="preserve"> practice in environmental management and the remediation of contaminated soils</w:t>
      </w:r>
      <w:r w:rsidR="00FC516A">
        <w:t>. At</w:t>
      </w:r>
      <w:r w:rsidRPr="00FD1AFB">
        <w:t xml:space="preserve"> the same time, it is a sustainable solution for </w:t>
      </w:r>
      <w:r w:rsidR="00FC516A">
        <w:t>managing</w:t>
      </w:r>
      <w:r w:rsidRPr="00FD1AFB">
        <w:t xml:space="preserve"> these wastes, contributing to reducing environmental pollution. The </w:t>
      </w:r>
      <w:r w:rsidR="00FC516A">
        <w:t>research objective</w:t>
      </w:r>
      <w:r w:rsidRPr="00FD1AFB">
        <w:t xml:space="preserve"> was to determine the efficiency of </w:t>
      </w:r>
      <w:r w:rsidR="00FC516A">
        <w:t>reducing</w:t>
      </w:r>
      <w:r w:rsidRPr="00FD1AFB">
        <w:t xml:space="preserve"> total petroleum hydrocarbons from contaminated soil using 5, 10, and 20% biochar from sewage sludge. The results of hydrocarbon removal from the light fraction were 99.99%, the medium fraction 54.59%, and the heavy fraction 54.92%</w:t>
      </w:r>
      <w:r w:rsidR="00FC516A">
        <w:t xml:space="preserve"> after 45 days.</w:t>
      </w:r>
      <w:r w:rsidRPr="00FD1AFB">
        <w:t xml:space="preserve"> In addition, the physicochemical properties of the soil improved. Therefore, </w:t>
      </w:r>
      <w:r w:rsidR="005B23D0">
        <w:t>using sewage sludge as biochar to remove</w:t>
      </w:r>
      <w:r w:rsidRPr="00FD1AFB">
        <w:t xml:space="preserve"> hydrocarbons from the soil is an effective strategy</w:t>
      </w:r>
      <w:r w:rsidR="005B23D0">
        <w:t>. Still, it</w:t>
      </w:r>
      <w:r w:rsidRPr="00FD1AFB">
        <w:t xml:space="preserve"> must be carried out </w:t>
      </w:r>
      <w:r w:rsidR="005B23D0">
        <w:t xml:space="preserve">cautiously, and appropriate practices must be followed </w:t>
      </w:r>
      <w:r w:rsidRPr="00FD1AFB">
        <w:t>to ensure environmental safety and the highest remediation efficiency.</w:t>
      </w:r>
    </w:p>
    <w:p w14:paraId="476B2F2E" w14:textId="77777777" w:rsidR="00600535" w:rsidRPr="00B57B36" w:rsidRDefault="00600535" w:rsidP="00600535">
      <w:pPr>
        <w:pStyle w:val="CETHeading1"/>
        <w:rPr>
          <w:lang w:val="en-GB"/>
        </w:rPr>
      </w:pPr>
      <w:r w:rsidRPr="00B57B36">
        <w:rPr>
          <w:lang w:val="en-GB"/>
        </w:rPr>
        <w:t>Introduction</w:t>
      </w:r>
    </w:p>
    <w:p w14:paraId="431E9B36" w14:textId="31EFD9D7" w:rsidR="00C403C9" w:rsidRPr="00B62D30" w:rsidRDefault="00A93406" w:rsidP="00A93406">
      <w:pPr>
        <w:pStyle w:val="CETBodytext"/>
        <w:rPr>
          <w:lang w:val="en-US"/>
        </w:rPr>
      </w:pPr>
      <w:r w:rsidRPr="00A93406">
        <w:rPr>
          <w:lang w:val="en-US"/>
        </w:rPr>
        <w:t xml:space="preserve">On 15 January 2022, environmental alarms were raised in Peru due to an oil spill off the coast of </w:t>
      </w:r>
      <w:proofErr w:type="spellStart"/>
      <w:r w:rsidRPr="00A93406">
        <w:rPr>
          <w:lang w:val="en-US"/>
        </w:rPr>
        <w:t>Ventanilla</w:t>
      </w:r>
      <w:proofErr w:type="spellEnd"/>
      <w:r w:rsidRPr="00A93406">
        <w:rPr>
          <w:lang w:val="en-US"/>
        </w:rPr>
        <w:t xml:space="preserve">; nearly twelve thousand barrels affected eleven thousand hectares in 97 sites, including 62 beaches and two protected natural areas </w:t>
      </w:r>
      <w:r w:rsidR="00FC0C84">
        <w:rPr>
          <w:lang w:val="en-US"/>
        </w:rPr>
        <w:fldChar w:fldCharType="begin" w:fldLock="1"/>
      </w:r>
      <w:r w:rsidR="00FC0C84">
        <w:rPr>
          <w:lang w:val="en-US"/>
        </w:rPr>
        <w:instrText>ADDIN CSL_CITATION {"citationItems":[{"id":"ITEM-1","itemData":{"ISBN":"0001972022","author":[{"dropping-particle":"","family":"Defensoría del Pueblo","given":"","non-dropping-particle":"","parse-names":false,"suffix":""}],"id":"ITEM-1","issued":{"date-parts":[["2023"]]},"number-of-pages":"1-35","publisher":"Defensoría del Pueblo","publisher-place":"Lima, Perú","title":"Derrame de petróleo en Ventanilla: Reporte a un año del desastre ambiental y social en nuestro litoral.","type":"book"},"uris":["http://www.mendeley.com/documents/?uuid=d32c8543-7520-4047-a90d-f3bb85af6684"]}],"mendeley":{"formattedCitation":"(Defensoría del Pueblo, 2023)","plainTextFormattedCitation":"(Defensoría del Pueblo, 2023)","previouslyFormattedCitation":"(Defensoría del Pueblo, 2023)"},"properties":{"noteIndex":0},"schema":"https://github.com/citation-style-language/schema/raw/master/csl-citation.json"}</w:instrText>
      </w:r>
      <w:r w:rsidR="00FC0C84">
        <w:rPr>
          <w:lang w:val="en-US"/>
        </w:rPr>
        <w:fldChar w:fldCharType="separate"/>
      </w:r>
      <w:r w:rsidR="00FC0C84" w:rsidRPr="00FC0C84">
        <w:rPr>
          <w:noProof/>
          <w:lang w:val="en-US"/>
        </w:rPr>
        <w:t>(Defensoría del Pueblo, 2023)</w:t>
      </w:r>
      <w:r w:rsidR="00FC0C84">
        <w:rPr>
          <w:lang w:val="en-US"/>
        </w:rPr>
        <w:fldChar w:fldCharType="end"/>
      </w:r>
      <w:r w:rsidRPr="00A93406">
        <w:rPr>
          <w:lang w:val="en-US"/>
        </w:rPr>
        <w:t>. This accident generates the need to know the impacts on the environment such as water, soil</w:t>
      </w:r>
      <w:r w:rsidR="002F18D6">
        <w:rPr>
          <w:lang w:val="en-US"/>
        </w:rPr>
        <w:t>,</w:t>
      </w:r>
      <w:r w:rsidRPr="00A93406">
        <w:rPr>
          <w:lang w:val="en-US"/>
        </w:rPr>
        <w:t xml:space="preserve"> and ecosystems affected by the interaction of crude oil, causing adverse processes, mainly due to the wind, sea currents</w:t>
      </w:r>
      <w:r w:rsidR="002F18D6">
        <w:rPr>
          <w:lang w:val="en-US"/>
        </w:rPr>
        <w:t>,</w:t>
      </w:r>
      <w:r w:rsidRPr="00A93406">
        <w:rPr>
          <w:lang w:val="en-US"/>
        </w:rPr>
        <w:t xml:space="preserve"> and waves that transport the crude oil at high speed (Pulido Capurro et al., 2022), all these impacts lead us to think about treatments to eliminate hydrocarbons in the environment</w:t>
      </w:r>
      <w:r w:rsidR="0002062B">
        <w:rPr>
          <w:lang w:val="en-US"/>
        </w:rPr>
        <w:t>. Hence,</w:t>
      </w:r>
      <w:r w:rsidRPr="00A93406">
        <w:rPr>
          <w:lang w:val="en-US"/>
        </w:rPr>
        <w:t xml:space="preserve"> the need arises to </w:t>
      </w:r>
      <w:r w:rsidR="00443309">
        <w:rPr>
          <w:lang w:val="en-US"/>
        </w:rPr>
        <w:t>recognize</w:t>
      </w:r>
      <w:r w:rsidRPr="00A93406">
        <w:rPr>
          <w:lang w:val="en-US"/>
        </w:rPr>
        <w:t xml:space="preserve"> different remediation mechanisms for soils impacted by these hydrocarbons, among them we have the use of native bacteria </w:t>
      </w:r>
      <w:r w:rsidR="009E65B1">
        <w:rPr>
          <w:lang w:val="en-US"/>
        </w:rPr>
        <w:fldChar w:fldCharType="begin" w:fldLock="1"/>
      </w:r>
      <w:r w:rsidR="007C5378">
        <w:rPr>
          <w:lang w:val="en-US"/>
        </w:rPr>
        <w:instrText>ADDIN CSL_CITATION {"citationItems":[{"id":"ITEM-1","itemData":{"DOI":"10.3303/CET1649086","ISBN":"9788895608402","ISSN":"22839216","abstract":"In this study, a hydrocarbon-degrading mixed inoculum which is able to use used oil as sole carbon source, was selected from 15 bacterial isolates obtained from automotive service station oil-contaminated soils. Degrading microorganisms were isolated using different oils as sole carbon source and identified by the amplification and sequencing of the 16s rRNA sequences. In addition, the presence of hydrocarbon-degrading genes such as catechol 2,3 dioxygenase (nahH), alkane monooxygenase (alkB), Gram-negative (GN-RHDá) and Gram-positive PAH-Ring Hydroxylating Dioxygenase alpha (GP-RHDá) was analyzed by PCR and the molecular diversity by LSSP-PCR methods. Four (4) out of fifteen (15) isolates corresponding to Stenotrophomonas maltophilia, Pseudomonas aeruginosa and Klebsiella pneumoniae showed significant differences regarding oil/grease removal in liquid culture after 72 hours. Subsequently, a degrading mixed inoculum composed of these isolates was constructed and its degrading potential tested in a two-liter bioreactor containing unsterile liquid oily wastes with 0.8 % (w/v) Total Petroleum Hydrocarbons (TPHs) concentration for 42 days. The use of the mixed inoculum led to a decrease of 98.4 % Biological Oxygen Demand (BOD), 97.5 % Chemical Oxygen Demand (COD) and 97.2 % TPHs after 40 days. Further scale-up of the process to five liters using 0.2 % (w/v) unsterile oily wastes produced similar results, with a reduction of 85 % BOD, 39 % COD and 87 % TPHs after 38 days. The degrading mixed microbial inoculum presented high potential for the treatment of impacted soils at automotive service stations and sites polluted with oily wastes due to its elevated growth at high hydrocarbon concentrations and its capacity to utilize oils as energy source.","author":[{"dropping-particle":"","family":"Zafra","given":"German","non-dropping-particle":"","parse-names":false,"suffix":""},{"dropping-particle":"","family":"Regino","given":"Ronald","non-dropping-particle":"","parse-names":false,"suffix":""},{"dropping-particle":"","family":"Agualimpia","given":"Bayron","non-dropping-particle":"","parse-names":false,"suffix":""},{"dropping-particle":"","family":"Aguilar","given":"Fabiola","non-dropping-particle":"","parse-names":false,"suffix":""}],"container-title":"Chemical Engineering Transactions","id":"ITEM-1","issued":{"date-parts":[["2016"]]},"page":"511-516","title":"Molecular characterization and evaluation of oil-degrading native bacteria isolated from automotive service station oilcontaminated soils","type":"article-journal","volume":"49"},"uris":["http://www.mendeley.com/documents/?uuid=0be7c17e-621b-4696-8535-00f697b3d61a"]}],"mendeley":{"formattedCitation":"(Zafra et al., 2016)","plainTextFormattedCitation":"(Zafra et al., 2016)","previouslyFormattedCitation":"(Zafra et al., 2016)"},"properties":{"noteIndex":0},"schema":"https://github.com/citation-style-language/schema/raw/master/csl-citation.json"}</w:instrText>
      </w:r>
      <w:r w:rsidR="009E65B1">
        <w:rPr>
          <w:lang w:val="en-US"/>
        </w:rPr>
        <w:fldChar w:fldCharType="separate"/>
      </w:r>
      <w:r w:rsidR="009E65B1" w:rsidRPr="009E65B1">
        <w:rPr>
          <w:noProof/>
          <w:lang w:val="en-US"/>
        </w:rPr>
        <w:t>(Zafra et al., 2016)</w:t>
      </w:r>
      <w:r w:rsidR="009E65B1">
        <w:rPr>
          <w:lang w:val="en-US"/>
        </w:rPr>
        <w:fldChar w:fldCharType="end"/>
      </w:r>
      <w:r w:rsidRPr="00A93406">
        <w:rPr>
          <w:lang w:val="en-US"/>
        </w:rPr>
        <w:t xml:space="preserve">, phytoremediation </w:t>
      </w:r>
      <w:r w:rsidR="007C5378">
        <w:rPr>
          <w:lang w:val="en-US"/>
        </w:rPr>
        <w:fldChar w:fldCharType="begin" w:fldLock="1"/>
      </w:r>
      <w:r w:rsidR="000A7D53">
        <w:rPr>
          <w:lang w:val="en-US"/>
        </w:rPr>
        <w:instrText>ADDIN CSL_CITATION {"citationItems":[{"id":"ITEM-1","itemData":{"DOI":"10.3303/CET2292093","ISBN":"9788895608907","ISSN":"22839216","abstract":"Phytoremediation is a technique that uses various types of plants to remove, treat, translate, or destroy pollutants from soil and water. We used Sorghum vulgare to remediate soils contaminated by hydrocarbons, Chrysopogon zizanioides to treat landfill leachates, and Lemna minor to remove nickel from mining water. The phytoremediation process was performed using hydroponic crops for water and planters for soils. The soil samples were contaminated with diesel (10%). Phytoremediation process using Sorghum vulgare was performed for 30 days in planters. Soil with the same concentration of diesel without plants was used as a control (natural attenuation). The efficiency of diesel removal was 92% while natural attenuation reached a removal rate of 49%. A sample of leachate from a landfill in Cartagena (Colombia) was submitted to the remediation process using hydroponic crops of Chrysopogon zizanioides for 10 days. The metal uptake of cadmium was up to 98.4% nickel 98.7% and lead 98%. Additionally, synthetic water prepared with nickel (10%) was remediated through a hydroponic crop of Lemna minor for 10 days. This plant reached a removal efficiency of nickel of 68%. All above suggests that phytoremediation is a suitable technique to clean waters and soils.","author":[{"dropping-particle":"","family":"Benítez","given":"Lesly Patricia Tejeda","non-dropping-particle":"","parse-names":false,"suffix":""},{"dropping-particle":"","family":"Miranda","given":"Liset Mallarino","non-dropping-particle":"","parse-names":false,"suffix":""},{"dropping-particle":"","family":"Castro","given":"Carlos Alfredo Castellon","non-dropping-particle":"","parse-names":false,"suffix":""}],"container-title":"Chemical Engineering Transactions","id":"ITEM-1","issue":"April","issued":{"date-parts":[["2022"]]},"page":"553-558","title":"Phytoremediation to Remove Pollutants from Water, Leachates and Soils","type":"article-journal","volume":"92"},"uris":["http://www.mendeley.com/documents/?uuid=c4121053-6c00-448a-b39d-5d120e275a2c"]}],"mendeley":{"formattedCitation":"(Benítez et al., 2022)","plainTextFormattedCitation":"(Benítez et al., 2022)","previouslyFormattedCitation":"(Benítez et al., 2022)"},"properties":{"noteIndex":0},"schema":"https://github.com/citation-style-language/schema/raw/master/csl-citation.json"}</w:instrText>
      </w:r>
      <w:r w:rsidR="007C5378">
        <w:rPr>
          <w:lang w:val="en-US"/>
        </w:rPr>
        <w:fldChar w:fldCharType="separate"/>
      </w:r>
      <w:r w:rsidR="007C5378" w:rsidRPr="007C5378">
        <w:rPr>
          <w:noProof/>
          <w:lang w:val="en-US"/>
        </w:rPr>
        <w:t>(Benítez et al., 2022)</w:t>
      </w:r>
      <w:r w:rsidR="007C5378">
        <w:rPr>
          <w:lang w:val="en-US"/>
        </w:rPr>
        <w:fldChar w:fldCharType="end"/>
      </w:r>
      <w:r w:rsidRPr="00A93406">
        <w:rPr>
          <w:lang w:val="en-US"/>
        </w:rPr>
        <w:t xml:space="preserve">, the use of </w:t>
      </w:r>
      <w:proofErr w:type="spellStart"/>
      <w:r w:rsidR="0076227B" w:rsidRPr="0076227B">
        <w:rPr>
          <w:lang w:val="en-US"/>
        </w:rPr>
        <w:t>biosludge</w:t>
      </w:r>
      <w:proofErr w:type="spellEnd"/>
      <w:r w:rsidR="005B627F">
        <w:rPr>
          <w:lang w:val="en-US"/>
        </w:rPr>
        <w:t xml:space="preserve"> </w:t>
      </w:r>
      <w:r w:rsidR="000A7D53">
        <w:rPr>
          <w:lang w:val="en-US"/>
        </w:rPr>
        <w:fldChar w:fldCharType="begin" w:fldLock="1"/>
      </w:r>
      <w:r w:rsidR="00C847AC">
        <w:rPr>
          <w:lang w:val="en-US"/>
        </w:rPr>
        <w:instrText>ADDIN CSL_CITATION {"citationItems":[{"id":"ITEM-1","itemData":{"DOI":"10.3303/CET2079066","ISBN":"9788895608778","ISSN":"22839216","abstract":"The biological treatment with bio-slurry reactors has been effectively considered as a remediation technology for the removal of organic pollutants from soils or sediments, characterized mainly by sandy and clayey fractions. In this context, the treatment of marine sediments contaminated by hydrocarbons, through a remediation technique, represent a topic of particular interest for the scientific community. In this work, bioslurry technology has been studied for the treatment of marine contaminated sediments with a Total Petroleum Hydrocarbons (TPH) content of 888.57 mg kg-1. The experimental campaign was divided into three phases, for a period of about 75 days. TPH removal efficiency was evaluated in two reactors, operating in parallel and in batch mode. In the first phase, reactors had the same characteristics and operating conditions while, in the second phase, the erythromycin antibiotic was added into one of the two reactors. Surprisingly, the addition of erythromycin improved the TPH removal efficiencies and reduced treatment times. Finally, the third phase was characterized by the substitution of the liquid phase, present in the reactors, with saline water, in order to deepen the study on the removal and transfer mechanisms typical of the bio-slurry systems.","author":[{"dropping-particle":"","family":"Lumia","given":"Lucia","non-dropping-particle":"","parse-names":false,"suffix":""},{"dropping-particle":"","family":"Rabbeni","given":"Graziella","non-dropping-particle":"","parse-names":false,"suffix":""},{"dropping-particle":"","family":"Giustra","given":"Maria G.","non-dropping-particle":"","parse-names":false,"suffix":""},{"dropping-particle":"","family":"Giumento","given":"Salvatore","non-dropping-particle":"","parse-names":false,"suffix":""},{"dropping-particle":"","family":"Gallo","given":"Giuseppe","non-dropping-particle":"","parse-names":false,"suffix":""},{"dropping-particle":"","family":"Bella","given":"Gaetano","non-dropping-particle":"Di","parse-names":false,"suffix":""}],"container-title":"Chemical Engineering Transactions","id":"ITEM-1","issue":"September 2019","issued":{"date-parts":[["2020"]]},"page":"391-396","title":"Treatment of contaminated sediments by bio-slurry reactors: Study on the effect of erythromycin antibiotic","type":"article-journal","volume":"79"},"uris":["http://www.mendeley.com/documents/?uuid=9465db85-b625-4180-8403-fb7c9ebf4daa"]}],"mendeley":{"formattedCitation":"(Lumia et al., 2020)","plainTextFormattedCitation":"(Lumia et al., 2020)","previouslyFormattedCitation":"(Lumia et al., 2020)"},"properties":{"noteIndex":0},"schema":"https://github.com/citation-style-language/schema/raw/master/csl-citation.json"}</w:instrText>
      </w:r>
      <w:r w:rsidR="000A7D53">
        <w:rPr>
          <w:lang w:val="en-US"/>
        </w:rPr>
        <w:fldChar w:fldCharType="separate"/>
      </w:r>
      <w:r w:rsidR="000A7D53" w:rsidRPr="000A7D53">
        <w:rPr>
          <w:noProof/>
          <w:lang w:val="en-US"/>
        </w:rPr>
        <w:t>(Lumia et al., 2020)</w:t>
      </w:r>
      <w:r w:rsidR="000A7D53">
        <w:rPr>
          <w:lang w:val="en-US"/>
        </w:rPr>
        <w:fldChar w:fldCharType="end"/>
      </w:r>
      <w:r w:rsidRPr="00A93406">
        <w:rPr>
          <w:lang w:val="en-US"/>
        </w:rPr>
        <w:t xml:space="preserve"> and the use of biochar </w:t>
      </w:r>
      <w:r w:rsidR="00C847AC">
        <w:rPr>
          <w:lang w:val="en-US"/>
        </w:rPr>
        <w:fldChar w:fldCharType="begin" w:fldLock="1"/>
      </w:r>
      <w:r w:rsidR="00AD79A8">
        <w:rPr>
          <w:lang w:val="en-US"/>
        </w:rPr>
        <w:instrText>ADDIN CSL_CITATION {"citationItems":[{"id":"ITEM-1","itemData":{"DOI":"10.1016/j.jes.2023.04.008","ISSN":"18787320","abstract":"Petroleum contamination is considered as a major risk to the health of humans and environment. Biochars as low-cost and eco-friendly carbon materials, have been widely used for the removal of petroleum hydrocarbon in the environment. The purpose of this paper is to review the performance, mechanisms, and potential environmental toxicity of biochar, modified biochar and its integration use with other materials in petroleum contaminated soil and water. Specifically, the use of biochar in oil-contaminated water and soil as well as the factors that could influence the removal ability of biochar were systematically evaluated. In addition, the modification and integrated use of biochar for improving the removal efficiency were summarized from the aspects of sorption, biodegradation, chemical degradation, and reusability. Moreover, the functional impacts and associated ecotoxicity of pristine and modified biochars in various environments were demonstrated. Finally, some shortcoming of current approaches, and future research needs were provided for the future direction and challenges of modified biochar research. Overall, this paper gain insight into biochar application in petroleum remediation from the perspectives of performance enhancement and environmental sustainability.","author":[{"dropping-particle":"","family":"Wei","given":"Zhuo","non-dropping-particle":"","parse-names":false,"suffix":""},{"dropping-particle":"","family":"Wei","given":"Yi","non-dropping-particle":"","parse-names":false,"suffix":""},{"dropping-particle":"","family":"Liu","given":"Yang","non-dropping-particle":"","parse-names":false,"suffix":""},{"dropping-particle":"","family":"Niu","given":"Shuai","non-dropping-particle":"","parse-names":false,"suffix":""},{"dropping-particle":"","family":"Xu","given":"Yaxi","non-dropping-particle":"","parse-names":false,"suffix":""},{"dropping-particle":"","family":"Park","given":"Jong Hwan","non-dropping-particle":"","parse-names":false,"suffix":""},{"dropping-particle":"","family":"Wang","given":"Jim J.","non-dropping-particle":"","parse-names":false,"suffix":""}],"container-title":"Journal of Environmental Sciences (China)","id":"ITEM-1","issued":{"date-parts":[["2024"]]},"page":"350-372","publisher":"Elsevier B.V.","title":"Biochar-based materials as remediation strategy in petroleum hydrocarbon-contaminated soil and water: Performances, mechanisms, and environmental impact","type":"article-journal","volume":"138"},"uris":["http://www.mendeley.com/documents/?uuid=8696171f-94a4-4bad-b9a4-31d6c14ad02b"]}],"mendeley":{"formattedCitation":"(Wei et al., 2024)","plainTextFormattedCitation":"(Wei et al., 2024)","previouslyFormattedCitation":"(Wei et al., 2024)"},"properties":{"noteIndex":0},"schema":"https://github.com/citation-style-language/schema/raw/master/csl-citation.json"}</w:instrText>
      </w:r>
      <w:r w:rsidR="00C847AC">
        <w:rPr>
          <w:lang w:val="en-US"/>
        </w:rPr>
        <w:fldChar w:fldCharType="separate"/>
      </w:r>
      <w:r w:rsidR="00C847AC" w:rsidRPr="00C847AC">
        <w:rPr>
          <w:noProof/>
          <w:lang w:val="en-US"/>
        </w:rPr>
        <w:t>(Wei et al., 2024)</w:t>
      </w:r>
      <w:r w:rsidR="00C847AC">
        <w:rPr>
          <w:lang w:val="en-US"/>
        </w:rPr>
        <w:fldChar w:fldCharType="end"/>
      </w:r>
      <w:r w:rsidRPr="00A93406">
        <w:rPr>
          <w:lang w:val="en-US"/>
        </w:rPr>
        <w:t>,</w:t>
      </w:r>
      <w:r w:rsidR="00C36455" w:rsidRPr="00C36455">
        <w:rPr>
          <w:lang w:val="en-US"/>
        </w:rPr>
        <w:t xml:space="preserve"> the latter has been continuously used for the removal of hydrocarbons in the environment, the biochar used was formed by slow pyrolysis and adjusting the operating conditions of temperature (&gt; 200 ºC) and residence time (+1 hour) improving the decomposition of volatile compounds and reducing the formation of tar </w:t>
      </w:r>
      <w:r w:rsidR="009F555D">
        <w:rPr>
          <w:lang w:val="en-US"/>
        </w:rPr>
        <w:fldChar w:fldCharType="begin" w:fldLock="1"/>
      </w:r>
      <w:r w:rsidR="004943D3">
        <w:rPr>
          <w:lang w:val="en-US"/>
        </w:rPr>
        <w:instrText>ADDIN CSL_CITATION {"citationItems":[{"id":"ITEM-1","itemData":{"DOI":"10.1016/j.biombioe.2016.07.004","ISSN":"18732909","abstract":"The aim of this paper is to study the influence of temperature and residence time in the quality of the charcoal obtained in the pyrolysis of biomass waste, in order to be used as a reducing agent in metallurgical applications. Woody biomass waste (pinus pinaster) coming from forest activities carried out in the north of Spain has been pyrolyzed in a laboratory scale screw continuous reactor connected to a second reactor where the pyrolysis vapors have been thermally treated to promote further cracking, with the aim of diminishing tars and improving the composition of the gas phase. Both the peak temperature and the exposition time at peak temperature have an impact in the pyrolysis fractions yields and composition, however it is at 1173 K where the bigger changes occur both in pyrolysis products yield and composition. In all cases the solids obtained (charcoal) fulfill the requirements to perform as metallurgical reducers. The higher the peak temperature the greater the charcoal quality but the lower the pyrolysis solid yield since secondary pyrolysis reactions consume charcoal. The pyrolysis gases obtained are valuable products rich in CO (22–35 vol%) and hydrogen (35–50 vol%); on the contrary, the pyrolysis liquids obtained are mainly worthless products composed of water and some aromatic compounds (e.g. naphthalene, fluorene &amp; antrhacene).","author":[{"dropping-particle":"","family":"Solar","given":"J.","non-dropping-particle":"","parse-names":false,"suffix":""},{"dropping-particle":"","family":"Marco","given":"I.","non-dropping-particle":"de","parse-names":false,"suffix":""},{"dropping-particle":"","family":"Caballero","given":"B. M.","non-dropping-particle":"","parse-names":false,"suffix":""},{"dropping-particle":"","family":"Lopez-Urionabarrenechea","given":"A.","non-dropping-particle":"","parse-names":false,"suffix":""},{"dropping-particle":"","family":"Rodriguez","given":"N.","non-dropping-particle":"","parse-names":false,"suffix":""},{"dropping-particle":"","family":"Agirre","given":"I.","non-dropping-particle":"","parse-names":false,"suffix":""},{"dropping-particle":"","family":"Adrados","given":"A.","non-dropping-particle":"","parse-names":false,"suffix":""}],"container-title":"Biomass and Bioenergy","id":"ITEM-1","issued":{"date-parts":[["2016"]]},"page":"416-423","publisher":"Elsevier Ltd","title":"Influence of temperature and residence time in the pyrolysis of woody biomass waste in a continuous screw reactor","type":"article-journal","volume":"95"},"uris":["http://www.mendeley.com/documents/?uuid=fdcd56f4-49e5-44dc-a8f0-9ca538a1e394"]}],"mendeley":{"formattedCitation":"(Solar et al., 2016)","plainTextFormattedCitation":"(Solar et al., 2016)","previouslyFormattedCitation":"(Solar et al., 2016)"},"properties":{"noteIndex":0},"schema":"https://github.com/citation-style-language/schema/raw/master/csl-citation.json"}</w:instrText>
      </w:r>
      <w:r w:rsidR="009F555D">
        <w:rPr>
          <w:lang w:val="en-US"/>
        </w:rPr>
        <w:fldChar w:fldCharType="separate"/>
      </w:r>
      <w:r w:rsidR="009F555D" w:rsidRPr="009F555D">
        <w:rPr>
          <w:noProof/>
          <w:lang w:val="en-US"/>
        </w:rPr>
        <w:t>(Solar et al., 2016)</w:t>
      </w:r>
      <w:r w:rsidR="009F555D">
        <w:rPr>
          <w:lang w:val="en-US"/>
        </w:rPr>
        <w:fldChar w:fldCharType="end"/>
      </w:r>
      <w:r w:rsidR="00C36455" w:rsidRPr="00C36455">
        <w:rPr>
          <w:lang w:val="en-US"/>
        </w:rPr>
        <w:t>.</w:t>
      </w:r>
      <w:r w:rsidRPr="00A93406">
        <w:rPr>
          <w:lang w:val="en-US"/>
        </w:rPr>
        <w:t xml:space="preserve"> </w:t>
      </w:r>
      <w:r w:rsidR="00F53FE3" w:rsidRPr="00F53FE3">
        <w:rPr>
          <w:lang w:val="en-US"/>
        </w:rPr>
        <w:t xml:space="preserve">Consequently, it becomes necessary to address the following question </w:t>
      </w:r>
      <w:r w:rsidR="0002062B" w:rsidRPr="00F53FE3">
        <w:rPr>
          <w:lang w:val="en-US"/>
        </w:rPr>
        <w:t>to</w:t>
      </w:r>
      <w:r w:rsidR="00F53FE3" w:rsidRPr="00F53FE3">
        <w:rPr>
          <w:lang w:val="en-US"/>
        </w:rPr>
        <w:t xml:space="preserve"> what extent can biochar reduce hydrocarbons in contaminated soils?</w:t>
      </w:r>
      <w:r w:rsidRPr="00A93406">
        <w:rPr>
          <w:lang w:val="en-US"/>
        </w:rPr>
        <w:t xml:space="preserve"> Subsequently, the objective is to determine the reduction efficiency of total petroleum hydrocarbons in contaminated soils using biochar at 5, 10 and 20% from sludge from a wastewater treatment plant (WWTP); for this it will be necessary to determine the initial and final concentration of light, medium and heavy hydrocarbon fractions </w:t>
      </w:r>
      <w:r w:rsidR="00AD79A8">
        <w:rPr>
          <w:lang w:val="en-US"/>
        </w:rPr>
        <w:fldChar w:fldCharType="begin" w:fldLock="1"/>
      </w:r>
      <w:r w:rsidR="005F28AD">
        <w:rPr>
          <w:lang w:val="en-US"/>
        </w:rPr>
        <w:instrText>ADDIN CSL_CITATION {"citationItems":[{"id":"ITEM-1","itemData":{"ISBN":"9780778576914","abstract":"\"February 2009.\" [Vol. 1] Main report -- [Vol. 2] Technical appendices / Axiom Environmental; prepared for Alberta Environment and Canadian Association of Petroleum Producers.","author":[{"dropping-particle":"","family":"MINAM","given":"","non-dropping-particle":"","parse-names":false,"suffix":""}],"container-title":"El Peruano","id":"ITEM-1","issued":{"date-parts":[["2017"]]},"page":"1-4","title":"Decreto Supremo Nº 011-2017-MINAM","type":"article-journal"},"uris":["http://www.mendeley.com/documents/?uuid=d9fa3747-089a-413e-88a2-34e8f95ffd48"]}],"mendeley":{"formattedCitation":"(MINAM, 2017)","plainTextFormattedCitation":"(MINAM, 2017)","previouslyFormattedCitation":"(MINAM, 2017)"},"properties":{"noteIndex":0},"schema":"https://github.com/citation-style-language/schema/raw/master/csl-citation.json"}</w:instrText>
      </w:r>
      <w:r w:rsidR="00AD79A8">
        <w:rPr>
          <w:lang w:val="en-US"/>
        </w:rPr>
        <w:fldChar w:fldCharType="separate"/>
      </w:r>
      <w:r w:rsidR="00AD79A8" w:rsidRPr="00AD79A8">
        <w:rPr>
          <w:noProof/>
          <w:lang w:val="en-US"/>
        </w:rPr>
        <w:t>(MINAM, 2017)</w:t>
      </w:r>
      <w:r w:rsidR="00AD79A8">
        <w:rPr>
          <w:lang w:val="en-US"/>
        </w:rPr>
        <w:fldChar w:fldCharType="end"/>
      </w:r>
      <w:r w:rsidRPr="00A93406">
        <w:rPr>
          <w:lang w:val="en-US"/>
        </w:rPr>
        <w:t xml:space="preserve"> and determine whether the physicochemical properties of the soil contaminated by hydrocarbons improved with biochar treatment. Among the mechanisms to </w:t>
      </w:r>
      <w:r w:rsidR="00E324EB" w:rsidRPr="00A93406">
        <w:rPr>
          <w:lang w:val="en-US"/>
        </w:rPr>
        <w:t>metabolize</w:t>
      </w:r>
      <w:r w:rsidRPr="00A93406">
        <w:rPr>
          <w:lang w:val="en-US"/>
        </w:rPr>
        <w:t xml:space="preserve"> hydrocarbons are those mediated by microorganisms (Pseudomonas spp., Mycobacterium spp.) </w:t>
      </w:r>
      <w:r w:rsidRPr="00A93406">
        <w:rPr>
          <w:lang w:val="en-US"/>
        </w:rPr>
        <w:lastRenderedPageBreak/>
        <w:t xml:space="preserve">and specific enzymes (monooxygenases or dioxygenases) that will be used to reduce the complexity of the </w:t>
      </w:r>
      <w:r w:rsidR="00E324EB" w:rsidRPr="00A93406">
        <w:rPr>
          <w:lang w:val="en-US"/>
        </w:rPr>
        <w:t>compound</w:t>
      </w:r>
      <w:r w:rsidR="001847D7">
        <w:rPr>
          <w:lang w:val="en-US"/>
        </w:rPr>
        <w:t xml:space="preserve"> </w:t>
      </w:r>
      <w:r w:rsidR="005F28AD">
        <w:rPr>
          <w:lang w:val="en-US"/>
        </w:rPr>
        <w:fldChar w:fldCharType="begin" w:fldLock="1"/>
      </w:r>
      <w:r w:rsidR="009F555D">
        <w:rPr>
          <w:lang w:val="en-US"/>
        </w:rPr>
        <w:instrText>ADDIN CSL_CITATION {"citationItems":[{"id":"ITEM-1","itemData":{"DOI":"https://doi.org/10.1016/j.biombioe.2011.01.048","ISSN":"0961-9534","abstract":"This paper provides an updated review on fast pyrolysis of biomass for production of a liquid usually referred to as bio-oil. The technology of fast pyrolysis is described including the major reaction systems. The primary liquid product is characterised by reference to the many properties that impact on its use. These properties have caused increasingly extensive research to be undertaken to address properties that need modification and this area is reviewed in terms of physical, catalytic and chemical upgrading. Of particular note is the increasing diversity of methods and catalysts and particularly the complexity and sophistication of multi-functional catalyst systems. It is also important to see more companies involved in this technology area and increased take-up of evolving upgrading processes.","author":[{"dropping-particle":"V","family":"Bridgwater","given":"A","non-dropping-particle":"","parse-names":false,"suffix":""}],"container-title":"Biomass and Bioenergy","id":"ITEM-1","issued":{"date-parts":[["2012"]]},"note":"Overcoming Barriers to Bioenergy: Outcomes of the Bioenergy Network of Excellence 2003 – 2009","page":"68-94","title":"Review of fast pyrolysis of biomass and product upgrading","type":"article-journal","volume":"38"},"uris":["http://www.mendeley.com/documents/?uuid=3c87831d-6839-4583-85f6-2102bdedece5"]}],"mendeley":{"formattedCitation":"(Bridgwater, 2012)","plainTextFormattedCitation":"(Bridgwater, 2012)","previouslyFormattedCitation":"(Bridgwater, 2012)"},"properties":{"noteIndex":0},"schema":"https://github.com/citation-style-language/schema/raw/master/csl-citation.json"}</w:instrText>
      </w:r>
      <w:r w:rsidR="005F28AD">
        <w:rPr>
          <w:lang w:val="en-US"/>
        </w:rPr>
        <w:fldChar w:fldCharType="separate"/>
      </w:r>
      <w:r w:rsidR="005F28AD" w:rsidRPr="005F28AD">
        <w:rPr>
          <w:noProof/>
          <w:lang w:val="en-US"/>
        </w:rPr>
        <w:t>(Bridgwater, 2012)</w:t>
      </w:r>
      <w:r w:rsidR="005F28AD">
        <w:rPr>
          <w:lang w:val="en-US"/>
        </w:rPr>
        <w:fldChar w:fldCharType="end"/>
      </w:r>
      <w:r w:rsidR="000F78FC">
        <w:rPr>
          <w:lang w:val="en-US"/>
        </w:rPr>
        <w:t>.</w:t>
      </w:r>
    </w:p>
    <w:p w14:paraId="4BAEE94F" w14:textId="3DB9F116" w:rsidR="003811BF" w:rsidRDefault="00BA04C7" w:rsidP="00600535">
      <w:pPr>
        <w:pStyle w:val="CETHeading1"/>
        <w:tabs>
          <w:tab w:val="right" w:pos="7100"/>
        </w:tabs>
        <w:jc w:val="both"/>
        <w:rPr>
          <w:lang w:val="en-GB"/>
        </w:rPr>
      </w:pPr>
      <w:r>
        <w:rPr>
          <w:lang w:val="en-GB"/>
        </w:rPr>
        <w:t>Methodology</w:t>
      </w:r>
    </w:p>
    <w:p w14:paraId="55ADC327" w14:textId="0334CCEC" w:rsidR="00DD62E5" w:rsidRDefault="00EA005B" w:rsidP="00757D86">
      <w:pPr>
        <w:pStyle w:val="CETBodytext"/>
        <w:rPr>
          <w:lang w:val="en-US"/>
        </w:rPr>
      </w:pPr>
      <w:r w:rsidRPr="00B62D30">
        <w:rPr>
          <w:lang w:val="en-US"/>
        </w:rPr>
        <w:t xml:space="preserve">The research proposes a methodology </w:t>
      </w:r>
      <w:r w:rsidR="00F02AC5">
        <w:rPr>
          <w:lang w:val="en-US"/>
        </w:rPr>
        <w:t>developed in five stages: production of biochar from waste sludge from a wastewater treatment plant, extraction of soil samples, remediation of samples contaminated by hydrocarbons, analysis, interpretation, and data processing of the soil samples (see Figure</w:t>
      </w:r>
      <w:r w:rsidR="00DE4657" w:rsidRPr="00B62D30">
        <w:rPr>
          <w:lang w:val="en-US"/>
        </w:rPr>
        <w:t xml:space="preserve"> 1).</w:t>
      </w:r>
    </w:p>
    <w:p w14:paraId="289FA376" w14:textId="77777777" w:rsidR="00187EF8" w:rsidRDefault="00187EF8" w:rsidP="00757D86">
      <w:pPr>
        <w:pStyle w:val="CETBodytext"/>
        <w:rPr>
          <w:lang w:val="en-US"/>
        </w:rPr>
      </w:pPr>
    </w:p>
    <w:p w14:paraId="5A9BFA3E" w14:textId="12414904" w:rsidR="00187EF8" w:rsidRDefault="00187EF8" w:rsidP="003779F6">
      <w:pPr>
        <w:pStyle w:val="CETBodytext"/>
        <w:rPr>
          <w:lang w:val="en-US"/>
        </w:rPr>
      </w:pPr>
      <w:r>
        <w:rPr>
          <w:noProof/>
          <w:lang w:val="en-US"/>
        </w:rPr>
        <w:drawing>
          <wp:inline distT="0" distB="0" distL="0" distR="0" wp14:anchorId="6D9AC8DC" wp14:editId="30B5226F">
            <wp:extent cx="3406140" cy="2743200"/>
            <wp:effectExtent l="38100" t="0" r="22860" b="19050"/>
            <wp:docPr id="1973538416"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3D2D527" w14:textId="77777777" w:rsidR="00100840" w:rsidRDefault="006469D8" w:rsidP="003779F6">
      <w:pPr>
        <w:pStyle w:val="CETCaption"/>
        <w:spacing w:before="0" w:after="0"/>
      </w:pPr>
      <w:r w:rsidRPr="00B57B36">
        <w:t>Figure 1: Experimental procedure diagram.</w:t>
      </w:r>
    </w:p>
    <w:p w14:paraId="04963A06" w14:textId="2A75989E" w:rsidR="00600535" w:rsidRDefault="00341F6C" w:rsidP="0006457D">
      <w:pPr>
        <w:pStyle w:val="CETheadingx"/>
      </w:pPr>
      <w:r w:rsidRPr="00DC1DA1">
        <w:t xml:space="preserve"> </w:t>
      </w:r>
      <w:r w:rsidR="0056647D" w:rsidRPr="0056647D">
        <w:t>Sewage sludge biochar preparation</w:t>
      </w:r>
      <w:r w:rsidR="0056647D">
        <w:t>.</w:t>
      </w:r>
    </w:p>
    <w:tbl>
      <w:tblPr>
        <w:tblStyle w:val="Grigliatabella"/>
        <w:tblpPr w:leftFromText="180" w:rightFromText="180" w:vertAnchor="text" w:horzAnchor="margin" w:tblpXSpec="right"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341F6C" w14:paraId="0610D49B" w14:textId="77777777" w:rsidTr="00642B48">
        <w:trPr>
          <w:trHeight w:val="3071"/>
        </w:trPr>
        <w:tc>
          <w:tcPr>
            <w:tcW w:w="2689" w:type="dxa"/>
          </w:tcPr>
          <w:p w14:paraId="7E470828" w14:textId="77777777" w:rsidR="00341F6C" w:rsidRDefault="00341F6C" w:rsidP="00341F6C">
            <w:pPr>
              <w:pStyle w:val="CETBodytext"/>
              <w:rPr>
                <w:lang w:val="en-US"/>
              </w:rPr>
            </w:pPr>
            <w:r w:rsidRPr="006269F7">
              <w:rPr>
                <w:noProof/>
                <w:lang w:val="en-US"/>
              </w:rPr>
              <w:drawing>
                <wp:inline distT="0" distB="0" distL="0" distR="0" wp14:anchorId="75DB3617" wp14:editId="75B70B16">
                  <wp:extent cx="1562100" cy="1932688"/>
                  <wp:effectExtent l="0" t="0" r="0" b="0"/>
                  <wp:docPr id="687725432" name="Imagen 1" descr="Imagen que contiene exterior, edificio, pasto, c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25432" name="Imagen 1" descr="Imagen que contiene exterior, edificio, pasto, coche&#10;&#10;Descripción generada automáticamente"/>
                          <pic:cNvPicPr/>
                        </pic:nvPicPr>
                        <pic:blipFill>
                          <a:blip r:embed="rId15"/>
                          <a:stretch>
                            <a:fillRect/>
                          </a:stretch>
                        </pic:blipFill>
                        <pic:spPr>
                          <a:xfrm>
                            <a:off x="0" y="0"/>
                            <a:ext cx="1570171" cy="1942674"/>
                          </a:xfrm>
                          <a:prstGeom prst="rect">
                            <a:avLst/>
                          </a:prstGeom>
                        </pic:spPr>
                      </pic:pic>
                    </a:graphicData>
                  </a:graphic>
                </wp:inline>
              </w:drawing>
            </w:r>
          </w:p>
        </w:tc>
      </w:tr>
      <w:tr w:rsidR="00341F6C" w:rsidRPr="00341F6C" w14:paraId="272948D1" w14:textId="77777777" w:rsidTr="00642B48">
        <w:trPr>
          <w:trHeight w:val="228"/>
        </w:trPr>
        <w:tc>
          <w:tcPr>
            <w:tcW w:w="2689" w:type="dxa"/>
          </w:tcPr>
          <w:p w14:paraId="4EB8EB57" w14:textId="77777777" w:rsidR="00341F6C" w:rsidRPr="00341F6C" w:rsidRDefault="00341F6C" w:rsidP="00341F6C">
            <w:pPr>
              <w:pStyle w:val="CETBodytext"/>
              <w:rPr>
                <w:i/>
                <w:iCs/>
                <w:lang w:val="en-US"/>
              </w:rPr>
            </w:pPr>
            <w:r w:rsidRPr="00341F6C">
              <w:rPr>
                <w:i/>
                <w:iCs/>
                <w:lang w:val="en-US"/>
              </w:rPr>
              <w:t>Figure 2: Pyrolysis oven heated with its chimney</w:t>
            </w:r>
          </w:p>
        </w:tc>
      </w:tr>
    </w:tbl>
    <w:p w14:paraId="28822877" w14:textId="4A01F055" w:rsidR="003253BC" w:rsidRDefault="0083707F" w:rsidP="003253BC">
      <w:pPr>
        <w:pStyle w:val="CETBodytext"/>
        <w:rPr>
          <w:lang w:val="en-US"/>
        </w:rPr>
      </w:pPr>
      <w:r w:rsidRPr="0083707F">
        <w:rPr>
          <w:lang w:val="en-US"/>
        </w:rPr>
        <w:t>Fifty kilograms were extracted from the last stage of the sludge drying process at the Santa Rosa wastewater treatment plant, Ancon, Lima. This material was dispersed on a polyethylene surface at room temperature (19 ºC) for seven days to ensure complete drying, reducing the moisture content from 85.90 % to 59.45 %. Subsequently, biochar was prepared by pyrolysis using an oven by adapting a 1 m</w:t>
      </w:r>
      <w:r w:rsidRPr="007555A4">
        <w:rPr>
          <w:vertAlign w:val="superscript"/>
          <w:lang w:val="en-US"/>
        </w:rPr>
        <w:t>3</w:t>
      </w:r>
      <w:r w:rsidRPr="0083707F">
        <w:rPr>
          <w:lang w:val="en-US"/>
        </w:rPr>
        <w:t xml:space="preserve"> metallic cylinder, with holes at the bottom and an airtight lid at the top (</w:t>
      </w:r>
      <w:proofErr w:type="spellStart"/>
      <w:r w:rsidRPr="0083707F">
        <w:rPr>
          <w:lang w:val="en-US"/>
        </w:rPr>
        <w:t>Condeña</w:t>
      </w:r>
      <w:proofErr w:type="spellEnd"/>
      <w:r w:rsidRPr="0083707F">
        <w:rPr>
          <w:lang w:val="en-US"/>
        </w:rPr>
        <w:t>, 2017, pp. 66-70); this oven was designed in such a way that it limits incoming oxygen to generate the most significant amount of biochar.</w:t>
      </w:r>
    </w:p>
    <w:p w14:paraId="4949A02C" w14:textId="77777777" w:rsidR="00642B48" w:rsidRDefault="00642B48" w:rsidP="003253BC">
      <w:pPr>
        <w:pStyle w:val="CETBodytext"/>
        <w:rPr>
          <w:lang w:val="en-US"/>
        </w:rPr>
      </w:pPr>
    </w:p>
    <w:p w14:paraId="24571A26" w14:textId="0C453702" w:rsidR="003253BC" w:rsidRDefault="001114E0" w:rsidP="003253BC">
      <w:pPr>
        <w:pStyle w:val="CETBodytext"/>
        <w:rPr>
          <w:lang w:val="en-US"/>
        </w:rPr>
      </w:pPr>
      <w:r w:rsidRPr="001114E0">
        <w:rPr>
          <w:lang w:val="en-US"/>
        </w:rPr>
        <w:t>The residual sludge was then poured into the furnace and dried Inga feuilleton (</w:t>
      </w:r>
      <w:proofErr w:type="spellStart"/>
      <w:r w:rsidRPr="001114E0">
        <w:rPr>
          <w:lang w:val="en-US"/>
        </w:rPr>
        <w:t>pacay</w:t>
      </w:r>
      <w:proofErr w:type="spellEnd"/>
      <w:r w:rsidRPr="001114E0">
        <w:rPr>
          <w:lang w:val="en-US"/>
        </w:rPr>
        <w:t xml:space="preserve">) leaves were used as fuel. The cylinder was then covered with the top of the structure. After 60 minutes, the oven temperature was measured with a digital pyrometer that showed a reading of 305 ºC to confirm that the temperature was uniform throughout the oven the water jet technique was used </w:t>
      </w:r>
      <w:r w:rsidR="00487263">
        <w:rPr>
          <w:lang w:val="en-US"/>
        </w:rPr>
        <w:fldChar w:fldCharType="begin" w:fldLock="1"/>
      </w:r>
      <w:r w:rsidR="00757809">
        <w:rPr>
          <w:lang w:val="en-US"/>
        </w:rPr>
        <w:instrText>ADDIN CSL_CITATION {"citationItems":[{"id":"ITEM-1","itemData":{"DOI":"10.3303/CET2292027","ISBN":"9788895608907","author":[{"dropping-particle":"","family":"Quisquiche Morales","given":"Deily","non-dropping-particle":"","parse-names":false,"suffix":""},{"dropping-particle":"","family":"Lizarzaburu Aguinaga","given":"Danny Alonso","non-dropping-particle":"","parse-names":false,"suffix":""},{"dropping-particle":"","family":"Castañeda","given":"Carlos","non-dropping-particle":"","parse-names":false,"suffix":""},{"dropping-particle":"","family":"Benites-alfaro","given":"Elmer","non-dropping-particle":"","parse-names":false,"suffix":""}],"container-title":"CHEMICAL ENGINEERING TRANSACTIONS","id":"ITEM-1","issue":"March","issued":{"date-parts":[["2022"]]},"page":"157-162","title":"Solid Biofuel Spheres for the use of Residual Biomass from Polylepis ( Quenual ) in Rural Areas","type":"article-journal","volume":"92"},"uris":["http://www.mendeley.com/documents/?uuid=683ac59a-7710-4053-9cdd-e0231131a71a"]}],"mendeley":{"formattedCitation":"(Quisquiche Morales et al., 2022)","manualFormatting":"(Quisquiche et al., 2022)","plainTextFormattedCitation":"(Quisquiche Morales et al., 2022)","previouslyFormattedCitation":"(Quisquiche Morales et al., 2022)"},"properties":{"noteIndex":0},"schema":"https://github.com/citation-style-language/schema/raw/master/csl-citation.json"}</w:instrText>
      </w:r>
      <w:r w:rsidR="00487263">
        <w:rPr>
          <w:lang w:val="en-US"/>
        </w:rPr>
        <w:fldChar w:fldCharType="separate"/>
      </w:r>
      <w:r w:rsidR="00757809" w:rsidRPr="00757809">
        <w:rPr>
          <w:noProof/>
          <w:lang w:val="en-US"/>
        </w:rPr>
        <w:t>(Quisquiche et al., 2022)</w:t>
      </w:r>
      <w:r w:rsidR="00487263">
        <w:rPr>
          <w:lang w:val="en-US"/>
        </w:rPr>
        <w:fldChar w:fldCharType="end"/>
      </w:r>
      <w:r w:rsidRPr="001114E0">
        <w:rPr>
          <w:lang w:val="en-US"/>
        </w:rPr>
        <w:t>. When the indicated temperature was reached, the cylinder was fitted into a hole 50 cm in diameter and 15 cm deep, sealing around the furnace with mud to prevent gas exchange (Figure 2).</w:t>
      </w:r>
    </w:p>
    <w:p w14:paraId="1C66A101" w14:textId="77777777" w:rsidR="00642B48" w:rsidRDefault="00642B48" w:rsidP="003253BC">
      <w:pPr>
        <w:pStyle w:val="CETBodytext"/>
        <w:rPr>
          <w:lang w:val="en-US"/>
        </w:rPr>
      </w:pPr>
    </w:p>
    <w:p w14:paraId="2BB11199" w14:textId="0287B1A2" w:rsidR="005522FC" w:rsidRDefault="003253BC" w:rsidP="003253BC">
      <w:pPr>
        <w:pStyle w:val="CETBodytext"/>
        <w:rPr>
          <w:lang w:val="en-US"/>
        </w:rPr>
      </w:pPr>
      <w:r w:rsidRPr="003253BC">
        <w:rPr>
          <w:lang w:val="en-US"/>
        </w:rPr>
        <w:t xml:space="preserve">Finally, after 4 hours of cooking, the lid was removed </w:t>
      </w:r>
      <w:r w:rsidR="00F17658">
        <w:rPr>
          <w:lang w:val="en-US"/>
        </w:rPr>
        <w:t xml:space="preserve">and </w:t>
      </w:r>
      <w:r w:rsidRPr="003253BC">
        <w:rPr>
          <w:lang w:val="en-US"/>
        </w:rPr>
        <w:t xml:space="preserve">allowed to cool for 60 minutes, </w:t>
      </w:r>
      <w:r w:rsidR="00F17658">
        <w:rPr>
          <w:lang w:val="en-US"/>
        </w:rPr>
        <w:t xml:space="preserve">and </w:t>
      </w:r>
      <w:r w:rsidRPr="003253BC">
        <w:rPr>
          <w:lang w:val="en-US"/>
        </w:rPr>
        <w:t>then the sludge was removed for size by crushing and sieving with a #30 mesh stainless steel strainer.</w:t>
      </w:r>
    </w:p>
    <w:p w14:paraId="1F96CA21" w14:textId="2490E110" w:rsidR="00600535" w:rsidRPr="00B57B36" w:rsidRDefault="00F878A0" w:rsidP="0006457D">
      <w:pPr>
        <w:pStyle w:val="CETheadingx"/>
      </w:pPr>
      <w:r w:rsidRPr="00F878A0">
        <w:t>Soil sampling</w:t>
      </w:r>
    </w:p>
    <w:p w14:paraId="17C5905A" w14:textId="41C8634D" w:rsidR="00843C8E" w:rsidRDefault="00843C8E" w:rsidP="00843C8E">
      <w:pPr>
        <w:pStyle w:val="CETBodytext"/>
        <w:rPr>
          <w:lang w:val="en-US"/>
        </w:rPr>
      </w:pPr>
      <w:r w:rsidRPr="00843C8E">
        <w:rPr>
          <w:lang w:val="en-US"/>
        </w:rPr>
        <w:t xml:space="preserve">The </w:t>
      </w:r>
      <w:proofErr w:type="gramStart"/>
      <w:r w:rsidR="00744271">
        <w:rPr>
          <w:lang w:val="en-US"/>
        </w:rPr>
        <w:t>soil sample</w:t>
      </w:r>
      <w:proofErr w:type="gramEnd"/>
      <w:r w:rsidRPr="00843C8E">
        <w:rPr>
          <w:lang w:val="en-US"/>
        </w:rPr>
        <w:t xml:space="preserve"> contaminated with hydrocarbons was taken from an industrial area of 1000 m</w:t>
      </w:r>
      <w:r w:rsidRPr="00E5352D">
        <w:rPr>
          <w:vertAlign w:val="superscript"/>
          <w:lang w:val="en-US"/>
        </w:rPr>
        <w:t>2</w:t>
      </w:r>
      <w:r w:rsidRPr="00843C8E">
        <w:rPr>
          <w:lang w:val="en-US"/>
        </w:rPr>
        <w:t xml:space="preserve"> located at kilometer 14.8 of the </w:t>
      </w:r>
      <w:proofErr w:type="spellStart"/>
      <w:r w:rsidRPr="00843C8E">
        <w:rPr>
          <w:lang w:val="en-US"/>
        </w:rPr>
        <w:t>Huachipa</w:t>
      </w:r>
      <w:proofErr w:type="spellEnd"/>
      <w:r w:rsidRPr="00843C8E">
        <w:rPr>
          <w:lang w:val="en-US"/>
        </w:rPr>
        <w:t xml:space="preserve"> district. The composite sampling technique was used following the guide for soil sampling of the Ministry of the Environment </w:t>
      </w:r>
      <w:r w:rsidR="001B00F6">
        <w:rPr>
          <w:lang w:val="en-US"/>
        </w:rPr>
        <w:fldChar w:fldCharType="begin" w:fldLock="1"/>
      </w:r>
      <w:r w:rsidR="00BC34D1">
        <w:rPr>
          <w:lang w:val="en-US"/>
        </w:rPr>
        <w:instrText>ADDIN CSL_CITATION {"citationItems":[{"id":"ITEM-1","itemData":{"author":[{"dropping-particle":"","family":"MINAM","given":"Ministerio del Ambiente","non-dropping-particle":"","parse-names":false,"suffix":""}],"id":"ITEM-1","issued":{"date-parts":[["2014"]]},"number-of-pages":"91","title":"R. M. Nº 085-2014-MINAM. Guia para el Muestreo de Suelos y Guia para la Elaboracion de Planes de Descontaminacion de Suelos.","type":"report","volume":"2"},"uris":["http://www.mendeley.com/documents/?uuid=99b9ccef-183c-4458-8915-0cbc98339709"]}],"mendeley":{"formattedCitation":"(MINAM, 2014)","plainTextFormattedCitation":"(MINAM, 2014)","previouslyFormattedCitation":"(MINAM, 2014)"},"properties":{"noteIndex":0},"schema":"https://github.com/citation-style-language/schema/raw/master/csl-citation.json"}</w:instrText>
      </w:r>
      <w:r w:rsidR="001B00F6">
        <w:rPr>
          <w:lang w:val="en-US"/>
        </w:rPr>
        <w:fldChar w:fldCharType="separate"/>
      </w:r>
      <w:r w:rsidR="001B00F6" w:rsidRPr="001B00F6">
        <w:rPr>
          <w:noProof/>
          <w:lang w:val="en-US"/>
        </w:rPr>
        <w:t>(MINAM, 2014)</w:t>
      </w:r>
      <w:r w:rsidR="001B00F6">
        <w:rPr>
          <w:lang w:val="en-US"/>
        </w:rPr>
        <w:fldChar w:fldCharType="end"/>
      </w:r>
      <w:r w:rsidRPr="00843C8E">
        <w:rPr>
          <w:lang w:val="en-US"/>
        </w:rPr>
        <w:t xml:space="preserve">, 25 extraction points were determined, duly referenced with their UTM coordinates, </w:t>
      </w:r>
      <w:r w:rsidR="00E94B94">
        <w:rPr>
          <w:lang w:val="en-US"/>
        </w:rPr>
        <w:t xml:space="preserve">and </w:t>
      </w:r>
      <w:r w:rsidRPr="00843C8E">
        <w:rPr>
          <w:lang w:val="en-US"/>
        </w:rPr>
        <w:t xml:space="preserve">the soil extraction was carried out through a “V”-shaped hole 10 cm </w:t>
      </w:r>
      <w:r w:rsidRPr="00843C8E">
        <w:rPr>
          <w:lang w:val="en-US"/>
        </w:rPr>
        <w:lastRenderedPageBreak/>
        <w:t>deep (figure 3). All the collected samples were placed in a spread plastic for homogenization</w:t>
      </w:r>
      <w:r w:rsidR="00744271">
        <w:rPr>
          <w:lang w:val="en-US"/>
        </w:rPr>
        <w:t>. From</w:t>
      </w:r>
      <w:r w:rsidRPr="00843C8E">
        <w:rPr>
          <w:lang w:val="en-US"/>
        </w:rPr>
        <w:t xml:space="preserve"> this</w:t>
      </w:r>
      <w:r w:rsidR="00E94B94">
        <w:rPr>
          <w:lang w:val="en-US"/>
        </w:rPr>
        <w:t>,</w:t>
      </w:r>
      <w:r w:rsidRPr="00843C8E">
        <w:rPr>
          <w:lang w:val="en-US"/>
        </w:rPr>
        <w:t xml:space="preserve"> a sample of 20 kg was obtained for the soil remediation process (figure 4).</w:t>
      </w:r>
    </w:p>
    <w:p w14:paraId="19659507" w14:textId="77777777" w:rsidR="00843C8E" w:rsidRPr="00843C8E" w:rsidRDefault="00843C8E" w:rsidP="00843C8E">
      <w:pPr>
        <w:pStyle w:val="CETBodytext"/>
        <w:rPr>
          <w:lang w:val="en-US"/>
        </w:rPr>
      </w:pPr>
    </w:p>
    <w:p w14:paraId="1F351C31" w14:textId="67F407D5" w:rsidR="006D5344" w:rsidRDefault="00843C8E" w:rsidP="00843C8E">
      <w:pPr>
        <w:pStyle w:val="CETBodytext"/>
        <w:rPr>
          <w:lang w:val="en-US"/>
        </w:rPr>
      </w:pPr>
      <w:r w:rsidRPr="00843C8E">
        <w:rPr>
          <w:lang w:val="en-US"/>
        </w:rPr>
        <w:t xml:space="preserve">One kilogram of </w:t>
      </w:r>
      <w:r w:rsidR="00E94B94">
        <w:rPr>
          <w:lang w:val="en-US"/>
        </w:rPr>
        <w:t xml:space="preserve">the </w:t>
      </w:r>
      <w:r w:rsidRPr="00843C8E">
        <w:rPr>
          <w:lang w:val="en-US"/>
        </w:rPr>
        <w:t>sample was used as a “control sample</w:t>
      </w:r>
      <w:r w:rsidR="00744271">
        <w:rPr>
          <w:lang w:val="en-US"/>
        </w:rPr>
        <w:t>.”</w:t>
      </w:r>
      <w:r w:rsidRPr="00843C8E">
        <w:rPr>
          <w:lang w:val="en-US"/>
        </w:rPr>
        <w:t xml:space="preserve"> All other samples were coded and transported following the protocol and chain of custody in a cooler at </w:t>
      </w:r>
      <w:r w:rsidR="00744271">
        <w:rPr>
          <w:lang w:val="en-US"/>
        </w:rPr>
        <w:t>four</w:t>
      </w:r>
      <w:r w:rsidRPr="00843C8E">
        <w:rPr>
          <w:lang w:val="en-US"/>
        </w:rPr>
        <w:t xml:space="preserve"> ºC for the analysis of total hydrocarbon concentration, texture, cation exchange capacity (CEC), pH, organic matter (OM), nitrogen (N) and phosphorus</w:t>
      </w:r>
      <w:r w:rsidR="006C3D92">
        <w:rPr>
          <w:lang w:val="en-US"/>
        </w:rPr>
        <w:t xml:space="preserve"> </w:t>
      </w:r>
      <w:r w:rsidRPr="00843C8E">
        <w:rPr>
          <w:lang w:val="en-US"/>
        </w:rPr>
        <w:t>(P).</w:t>
      </w:r>
    </w:p>
    <w:p w14:paraId="79E3FA57" w14:textId="77777777" w:rsidR="00BB7001" w:rsidRPr="00B62D30" w:rsidRDefault="00BB7001" w:rsidP="00843C8E">
      <w:pPr>
        <w:pStyle w:val="CETBodytext"/>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516"/>
      </w:tblGrid>
      <w:tr w:rsidR="00974DC3" w:rsidRPr="00CB1B2B" w14:paraId="75C38C24" w14:textId="77777777" w:rsidTr="003064AB">
        <w:tc>
          <w:tcPr>
            <w:tcW w:w="4271" w:type="dxa"/>
          </w:tcPr>
          <w:p w14:paraId="6DC0B5D5" w14:textId="77777777" w:rsidR="00012991" w:rsidRDefault="00B352F3" w:rsidP="000E60B2">
            <w:pPr>
              <w:pStyle w:val="CETBodytext"/>
              <w:rPr>
                <w:lang w:val="es-PE"/>
              </w:rPr>
            </w:pPr>
            <w:r w:rsidRPr="00B352F3">
              <w:rPr>
                <w:noProof/>
                <w:lang w:val="es-PE"/>
              </w:rPr>
              <w:drawing>
                <wp:inline distT="0" distB="0" distL="0" distR="0" wp14:anchorId="4B013D1C" wp14:editId="35427960">
                  <wp:extent cx="2491740" cy="1802633"/>
                  <wp:effectExtent l="0" t="0" r="3810" b="7620"/>
                  <wp:docPr id="1768354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54877" name=""/>
                          <pic:cNvPicPr/>
                        </pic:nvPicPr>
                        <pic:blipFill rotWithShape="1">
                          <a:blip r:embed="rId16"/>
                          <a:srcRect l="20081" t="15580" r="15061"/>
                          <a:stretch/>
                        </pic:blipFill>
                        <pic:spPr bwMode="auto">
                          <a:xfrm>
                            <a:off x="0" y="0"/>
                            <a:ext cx="2526536" cy="1827806"/>
                          </a:xfrm>
                          <a:prstGeom prst="rect">
                            <a:avLst/>
                          </a:prstGeom>
                          <a:ln>
                            <a:noFill/>
                          </a:ln>
                          <a:extLst>
                            <a:ext uri="{53640926-AAD7-44D8-BBD7-CCE9431645EC}">
                              <a14:shadowObscured xmlns:a14="http://schemas.microsoft.com/office/drawing/2010/main"/>
                            </a:ext>
                          </a:extLst>
                        </pic:spPr>
                      </pic:pic>
                    </a:graphicData>
                  </a:graphic>
                </wp:inline>
              </w:drawing>
            </w:r>
          </w:p>
          <w:p w14:paraId="1EA20F91" w14:textId="2BB1611B" w:rsidR="00974DC3" w:rsidRPr="00B62D30" w:rsidRDefault="00AE6136" w:rsidP="000E60B2">
            <w:pPr>
              <w:pStyle w:val="CETBodytext"/>
              <w:rPr>
                <w:lang w:val="en-US"/>
              </w:rPr>
            </w:pPr>
            <w:r w:rsidRPr="00B42A46">
              <w:rPr>
                <w:rStyle w:val="CETCaptionCarattere"/>
              </w:rPr>
              <w:t xml:space="preserve">Figure </w:t>
            </w:r>
            <w:r w:rsidR="008A7C78">
              <w:rPr>
                <w:rStyle w:val="CETCaptionCarattere"/>
              </w:rPr>
              <w:t>3</w:t>
            </w:r>
            <w:r w:rsidRPr="00B42A46">
              <w:rPr>
                <w:rStyle w:val="CETCaptionCarattere"/>
              </w:rPr>
              <w:t>: Sampling of contaminated soil</w:t>
            </w:r>
            <w:r w:rsidRPr="00B62D30">
              <w:rPr>
                <w:lang w:val="en-US"/>
              </w:rPr>
              <w:t>.</w:t>
            </w:r>
          </w:p>
        </w:tc>
        <w:tc>
          <w:tcPr>
            <w:tcW w:w="4516" w:type="dxa"/>
          </w:tcPr>
          <w:p w14:paraId="37509C66" w14:textId="77777777" w:rsidR="00012991" w:rsidRDefault="0078160C" w:rsidP="000E60B2">
            <w:pPr>
              <w:pStyle w:val="CETBodytext"/>
              <w:rPr>
                <w:lang w:val="es-PE"/>
              </w:rPr>
            </w:pPr>
            <w:r w:rsidRPr="0078160C">
              <w:rPr>
                <w:noProof/>
                <w:lang w:val="es-PE"/>
              </w:rPr>
              <w:drawing>
                <wp:inline distT="0" distB="0" distL="0" distR="0" wp14:anchorId="1AF42E3C" wp14:editId="2A612C51">
                  <wp:extent cx="2544718" cy="1802130"/>
                  <wp:effectExtent l="0" t="0" r="8255" b="7620"/>
                  <wp:docPr id="380481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81958" name=""/>
                          <pic:cNvPicPr/>
                        </pic:nvPicPr>
                        <pic:blipFill rotWithShape="1">
                          <a:blip r:embed="rId17"/>
                          <a:srcRect t="3869"/>
                          <a:stretch/>
                        </pic:blipFill>
                        <pic:spPr bwMode="auto">
                          <a:xfrm>
                            <a:off x="0" y="0"/>
                            <a:ext cx="2567453" cy="1818231"/>
                          </a:xfrm>
                          <a:prstGeom prst="rect">
                            <a:avLst/>
                          </a:prstGeom>
                          <a:ln>
                            <a:noFill/>
                          </a:ln>
                          <a:extLst>
                            <a:ext uri="{53640926-AAD7-44D8-BBD7-CCE9431645EC}">
                              <a14:shadowObscured xmlns:a14="http://schemas.microsoft.com/office/drawing/2010/main"/>
                            </a:ext>
                          </a:extLst>
                        </pic:spPr>
                      </pic:pic>
                    </a:graphicData>
                  </a:graphic>
                </wp:inline>
              </w:drawing>
            </w:r>
          </w:p>
          <w:p w14:paraId="4A3BDE14" w14:textId="10D91222" w:rsidR="00B57B55" w:rsidRPr="00B62D30" w:rsidRDefault="00B57B55" w:rsidP="000E60B2">
            <w:pPr>
              <w:pStyle w:val="CETBodytext"/>
              <w:rPr>
                <w:lang w:val="en-US"/>
              </w:rPr>
            </w:pPr>
            <w:r w:rsidRPr="00B42A46">
              <w:rPr>
                <w:rStyle w:val="CETCaptionCarattere"/>
              </w:rPr>
              <w:t xml:space="preserve">Figure </w:t>
            </w:r>
            <w:r w:rsidR="008A7C78">
              <w:rPr>
                <w:rStyle w:val="CETCaptionCarattere"/>
              </w:rPr>
              <w:t>4</w:t>
            </w:r>
            <w:r w:rsidRPr="00B42A46">
              <w:rPr>
                <w:rStyle w:val="CETCaptionCarattere"/>
              </w:rPr>
              <w:t>: Homogenization of soil samples</w:t>
            </w:r>
            <w:r w:rsidRPr="00B62D30">
              <w:rPr>
                <w:lang w:val="en-US"/>
              </w:rPr>
              <w:t>.</w:t>
            </w:r>
          </w:p>
        </w:tc>
      </w:tr>
      <w:tr w:rsidR="00277362" w:rsidRPr="00CB1B2B" w14:paraId="0A184525" w14:textId="77777777" w:rsidTr="003064AB">
        <w:tc>
          <w:tcPr>
            <w:tcW w:w="4271" w:type="dxa"/>
          </w:tcPr>
          <w:p w14:paraId="1347A1E2" w14:textId="77777777" w:rsidR="00277362" w:rsidRPr="00A24EA0" w:rsidRDefault="00277362" w:rsidP="000E60B2">
            <w:pPr>
              <w:pStyle w:val="CETBodytext"/>
              <w:rPr>
                <w:noProof/>
                <w:lang w:val="en-US"/>
              </w:rPr>
            </w:pPr>
          </w:p>
        </w:tc>
        <w:tc>
          <w:tcPr>
            <w:tcW w:w="4516" w:type="dxa"/>
          </w:tcPr>
          <w:p w14:paraId="3E1A1805" w14:textId="77777777" w:rsidR="00277362" w:rsidRPr="00A24EA0" w:rsidRDefault="00277362" w:rsidP="000E60B2">
            <w:pPr>
              <w:pStyle w:val="CETBodytext"/>
              <w:rPr>
                <w:noProof/>
                <w:lang w:val="en-US"/>
              </w:rPr>
            </w:pPr>
          </w:p>
        </w:tc>
      </w:tr>
    </w:tbl>
    <w:p w14:paraId="7382C781" w14:textId="4DAA2B38" w:rsidR="00600535" w:rsidRPr="002C1779" w:rsidRDefault="003064AB" w:rsidP="0006457D">
      <w:pPr>
        <w:pStyle w:val="CETheadingx"/>
      </w:pPr>
      <w:r w:rsidRPr="002C1779">
        <w:t>Soil remediation process</w:t>
      </w:r>
    </w:p>
    <w:p w14:paraId="7B2CA322" w14:textId="7E23EF10" w:rsidR="003064AB" w:rsidRDefault="00744271" w:rsidP="003064AB">
      <w:pPr>
        <w:pStyle w:val="CETBodytext"/>
        <w:rPr>
          <w:lang w:val="en-US"/>
        </w:rPr>
      </w:pPr>
      <w:r>
        <w:rPr>
          <w:lang w:val="en-US"/>
        </w:rPr>
        <w:t>Ten buckets of 3 kg capacity were used for the treatment</w:t>
      </w:r>
      <w:r w:rsidR="001B5B85" w:rsidRPr="00B62D30">
        <w:rPr>
          <w:lang w:val="en-US"/>
        </w:rPr>
        <w:t>, each containing 2 kg of soil contaminated with hydrocarbons</w:t>
      </w:r>
      <w:r>
        <w:rPr>
          <w:lang w:val="en-US"/>
        </w:rPr>
        <w:t>.</w:t>
      </w:r>
      <w:r w:rsidR="001B5B85" w:rsidRPr="00B62D30">
        <w:rPr>
          <w:lang w:val="en-US"/>
        </w:rPr>
        <w:t xml:space="preserve"> Previously, the soil was sieved with a </w:t>
      </w:r>
      <w:r w:rsidR="005B1B89" w:rsidRPr="00B62D30">
        <w:rPr>
          <w:lang w:val="en-US"/>
        </w:rPr>
        <w:t xml:space="preserve">No. 10 mesh (2 mm ASTM 8”) to eliminate impurities (glass, concrete, plastic, etc.). The test consisted of adding three doses of </w:t>
      </w:r>
      <w:r w:rsidR="00E541D7" w:rsidRPr="00B62D30">
        <w:rPr>
          <w:lang w:val="en-US"/>
        </w:rPr>
        <w:t>biochar</w:t>
      </w:r>
      <w:r w:rsidR="00856B42" w:rsidRPr="00B62D30">
        <w:rPr>
          <w:lang w:val="en-US"/>
        </w:rPr>
        <w:t>: 5% (100 gr), 10% (200 gr)</w:t>
      </w:r>
      <w:r w:rsidR="00A30DC0">
        <w:rPr>
          <w:lang w:val="en-US"/>
        </w:rPr>
        <w:t>,</w:t>
      </w:r>
      <w:r w:rsidR="00856B42" w:rsidRPr="00B62D30">
        <w:rPr>
          <w:lang w:val="en-US"/>
        </w:rPr>
        <w:t xml:space="preserve"> and 20% (400 gr) to the contaminated soil. The experiment was carried out in triplicate for each dose, and one container served as a control</w:t>
      </w:r>
      <w:r>
        <w:rPr>
          <w:lang w:val="en-US"/>
        </w:rPr>
        <w:t xml:space="preserve">; </w:t>
      </w:r>
      <w:r w:rsidR="00856B42" w:rsidRPr="00B62D30">
        <w:rPr>
          <w:lang w:val="en-US"/>
        </w:rPr>
        <w:t>without adding biochar</w:t>
      </w:r>
      <w:r w:rsidR="00A30DC0">
        <w:rPr>
          <w:lang w:val="en-US"/>
        </w:rPr>
        <w:t xml:space="preserve"> </w:t>
      </w:r>
      <w:r w:rsidR="0038773C">
        <w:rPr>
          <w:lang w:val="es-PE"/>
        </w:rPr>
        <w:fldChar w:fldCharType="begin" w:fldLock="1"/>
      </w:r>
      <w:r w:rsidR="00713036" w:rsidRPr="00B62D30">
        <w:rPr>
          <w:lang w:val="en-US"/>
        </w:rPr>
        <w:instrText xml:space="preserve">ADDIN CSL_CITATION {"citationItems":[{"id":"ITEM-1","itemData":{"DOI":"10.1016/j.envpol.2023.121417","ISSN":"18736424","PMID":"36921655","abstract":"Remediation of residually contaminated soils remains a widespread problem. Biochar can immobilize polycyclic aromatic hydrocarbons (PAH). However, studies on its ability to immobilize PAH and N, S, and O substituted PAH (hetero-PAH) in real soils, and benchmarking with commercial activated carbon are missing. Here, we compared the ability of pristine biochar (BC), steam-activated biochar (SABC), and commercial activated carbon (AC) to immobilize PAH and hetero-PAH. The three carbons were tested on soils from four different contaminated sites in Austria. Different amendment rates (w/w) of the carbons were investigated (BC: 1.0, 2.5, and 5%; SABC: 0.5, 1.0, and 2.0%; AC: 1%) in batch experiments to cover meaningful ranges in relation to their performance. SABC performed better than AC, removing at least 80% PAH with the lowest application rate of 0.5%, and achieving a complete removal at an application rate of 1.0%. BC performed slightly worse but still acceptable in residually contaminated soils (40 and 100% removal at 1 and 5% amendment, respectively). The ability of BC and SABC to immobilize PAH decreased as the PAH-molar volume increased. PAH with three or more rings were preferentially removed by AC compared to SABC or BC. This can be explained by the difference in pore size distribution of the carbons which could limit the accessibility of PAH and hetero-PAH to reach sorption sites for </w:instrText>
      </w:r>
      <w:r w:rsidR="00713036">
        <w:rPr>
          <w:lang w:val="es-PE"/>
        </w:rPr>
        <w:instrText>π</w:instrText>
      </w:r>
      <w:r w:rsidR="00713036" w:rsidRPr="00B62D30">
        <w:rPr>
          <w:lang w:val="en-US"/>
        </w:rPr>
        <w:instrText xml:space="preserve">- </w:instrText>
      </w:r>
      <w:r w:rsidR="00713036">
        <w:rPr>
          <w:lang w:val="es-PE"/>
        </w:rPr>
        <w:instrText>π</w:instrText>
      </w:r>
      <w:r w:rsidR="00713036" w:rsidRPr="00B62D30">
        <w:rPr>
          <w:lang w:val="en-US"/>
        </w:rPr>
        <w:instrText xml:space="preserve"> electron donor-acceptor interactions, which drive PAH and hetero-PAH sorption to carbons. Column percolation tests confirmed the results obtained in batch tests, indicating, that decisions for soil remediation can be derived from simpler batch experiments. In soil samples with 1% BC, a reduction of over 90% in the total concentration of PAH in the leached water was observed. Overall, BC and SABC were demonstrated to be valid substitutes for AC for stabilizing residually contaminated soils.","author":[{"dropping-particle":"","family":"Carlini","given":"Carlotta","non-dropping-particle":"","parse-names":false,"suffix":""},{"dropping-particle":"","family":"Chaudhuri","given":"Sampriti","non-dropping-particle":"","parse-names":false,"suffix":""},{"dropping-particle":"","family":"Mann","given":"Oliver","non-dropping-particle":"","parse-names":false,"suffix":""},{"dropping-particle":"","family":"Tomsik","given":"Daniel","non-dropping-particle":"","parse-names":false,"suffix":""},{"dropping-particle":"","family":"Hüffer","given":"Thorsten","non-dropping-particle":"","parse-names":false,"suffix":""},{"dropping-particle":"","family":"Greggio","given":"Nicolas","non-dropping-particle":"","parse-names":false,"suffix":""},{"dropping-particle":"","family":"Marazza","given":"Diego","non-dropping-particle":"","parse-names":false,"suffix":""},{"dropping-particle":"","family":"Hofmann","given":"Thilo","non-dropping-particle":"","parse-names":false,"suffix":""},{"dropping-particle":"","family":"Sigmund","given":"Gabriel","non-dropping-particle":"","parse-names":false,"suffix":""}],"container-title":"Environmental Pollution","id":"ITEM-1","issue":"December 2022","issued":{"date-parts":[["2023"]]},"page":"121417","publisher":"Elsevier Ltd","title":"Benchmarking biochar with activated carbon for immobilizing leachable PAH and heterocyclic PAH in contaminated soils","type":"article-journal","volume":"325"},"uris":["http://www.mendeley.com/documents/?uuid=6eab0100-1d2d-4fe1-83a7-f566f43ba534"]}],"mendeley":{"formattedCitation":"(Carlini et al., 2023)","plainTextFormattedCitation":"(Carlini et al., 2023)","previouslyFormattedCitation":"(Carlini et al., 2023)"},"properties":{"noteIndex":0},"schema":"https://github.com/citation-style-language/schema/raw/master/csl-citation.json"}</w:instrText>
      </w:r>
      <w:r w:rsidR="0038773C">
        <w:rPr>
          <w:lang w:val="es-PE"/>
        </w:rPr>
        <w:fldChar w:fldCharType="separate"/>
      </w:r>
      <w:r w:rsidR="0038773C" w:rsidRPr="00B62D30">
        <w:rPr>
          <w:noProof/>
          <w:lang w:val="en-US"/>
        </w:rPr>
        <w:t>(Carlini et al., 2023)</w:t>
      </w:r>
      <w:r w:rsidR="0038773C">
        <w:rPr>
          <w:lang w:val="es-PE"/>
        </w:rPr>
        <w:fldChar w:fldCharType="end"/>
      </w:r>
      <w:r w:rsidR="00A902A8" w:rsidRPr="00B62D30">
        <w:rPr>
          <w:lang w:val="en-US"/>
        </w:rPr>
        <w:t>, the experimental units were placed in a cool and dry place for 45 days.</w:t>
      </w:r>
    </w:p>
    <w:p w14:paraId="7C901728" w14:textId="54117CE4" w:rsidR="00D67FEC" w:rsidRPr="001E2002" w:rsidRDefault="00B8049D" w:rsidP="0006457D">
      <w:pPr>
        <w:pStyle w:val="CETheadingx"/>
      </w:pPr>
      <w:r w:rsidRPr="00B8049D">
        <w:t>Sample Analysis</w:t>
      </w:r>
    </w:p>
    <w:p w14:paraId="03DAEC48" w14:textId="1D37AB7C" w:rsidR="00E931F0" w:rsidRDefault="00D80524" w:rsidP="00D80524">
      <w:pPr>
        <w:pStyle w:val="CETListbullets"/>
        <w:ind w:left="0" w:firstLine="0"/>
        <w:rPr>
          <w:iCs/>
          <w:lang w:val="en-US"/>
        </w:rPr>
      </w:pPr>
      <w:r w:rsidRPr="00D80524">
        <w:rPr>
          <w:iCs/>
          <w:lang w:val="en-US"/>
        </w:rPr>
        <w:t xml:space="preserve">Initially, an analysis of the hydrocarbon concentration of the control unit was performed. Then, the experimental units (09 units) were analyzed 20 and 45 days after </w:t>
      </w:r>
      <w:r w:rsidR="00646415">
        <w:rPr>
          <w:iCs/>
          <w:lang w:val="en-US"/>
        </w:rPr>
        <w:t>adding</w:t>
      </w:r>
      <w:r w:rsidRPr="00D80524">
        <w:rPr>
          <w:iCs/>
          <w:lang w:val="en-US"/>
        </w:rPr>
        <w:t xml:space="preserve"> WWTP biochar. The hydrocarbon concentration was determined </w:t>
      </w:r>
      <w:r w:rsidR="00E94A7F">
        <w:rPr>
          <w:iCs/>
          <w:lang w:val="en-US"/>
        </w:rPr>
        <w:t xml:space="preserve">using the EPA 8015 test method, </w:t>
      </w:r>
      <w:r w:rsidRPr="00D80524">
        <w:rPr>
          <w:iCs/>
          <w:lang w:val="en-US"/>
        </w:rPr>
        <w:t>established by the environmental quality standard. To find the efficiency of hydrocarbon concentration reduction, equation 1 was used.</w:t>
      </w:r>
    </w:p>
    <w:p w14:paraId="73E9006B" w14:textId="54DC7A8C" w:rsidR="003A061A" w:rsidRPr="00B62D30" w:rsidRDefault="003A061A" w:rsidP="00E73572">
      <w:pPr>
        <w:pStyle w:val="CETBodytext"/>
        <w:rPr>
          <w:iCs/>
          <w:lang w:val="en-US"/>
        </w:rPr>
      </w:pPr>
    </w:p>
    <w:p w14:paraId="7D687453" w14:textId="7770844D" w:rsidR="008E198E" w:rsidRDefault="002D29E2" w:rsidP="00E73572">
      <w:pPr>
        <w:pStyle w:val="CETBodytext"/>
        <w:rPr>
          <w:iCs/>
          <w:lang w:val="en-US"/>
        </w:rPr>
      </w:pPr>
      <m:oMath>
        <m:r>
          <w:rPr>
            <w:rFonts w:ascii="Cambria Math" w:hAnsi="Cambria Math" w:cs="Arial"/>
            <w:sz w:val="20"/>
            <w:szCs w:val="22"/>
            <w:lang w:val="es-PE"/>
          </w:rPr>
          <m:t>Reduction</m:t>
        </m:r>
        <m:r>
          <w:rPr>
            <w:rFonts w:ascii="Cambria Math" w:hAnsi="Cambria Math" w:cs="Arial"/>
            <w:sz w:val="20"/>
            <w:szCs w:val="22"/>
            <w:lang w:val="en-US"/>
          </w:rPr>
          <m:t xml:space="preserve"> </m:t>
        </m:r>
        <m:r>
          <w:rPr>
            <w:rFonts w:ascii="Cambria Math" w:hAnsi="Cambria Math" w:cs="Arial"/>
            <w:sz w:val="20"/>
            <w:szCs w:val="22"/>
            <w:lang w:val="es-PE"/>
          </w:rPr>
          <m:t>efficiency</m:t>
        </m:r>
        <m:r>
          <w:rPr>
            <w:rFonts w:ascii="Cambria Math" w:hAnsi="Cambria Math" w:cs="Arial"/>
            <w:sz w:val="20"/>
            <w:szCs w:val="22"/>
            <w:lang w:val="en-US"/>
          </w:rPr>
          <m:t xml:space="preserve"> [h</m:t>
        </m:r>
        <m:r>
          <w:rPr>
            <w:rFonts w:ascii="Cambria Math" w:hAnsi="Cambria Math" w:cs="Arial"/>
            <w:sz w:val="20"/>
            <w:szCs w:val="22"/>
            <w:lang w:val="es-PE"/>
          </w:rPr>
          <m:t>ydrocarbons</m:t>
        </m:r>
        <m:r>
          <w:rPr>
            <w:rFonts w:ascii="Cambria Math" w:hAnsi="Cambria Math" w:cs="Arial"/>
            <w:sz w:val="20"/>
            <w:szCs w:val="22"/>
            <w:lang w:val="en-US"/>
          </w:rPr>
          <m:t xml:space="preserve">]= </m:t>
        </m:r>
        <m:f>
          <m:fPr>
            <m:ctrlPr>
              <w:rPr>
                <w:rFonts w:ascii="Cambria Math" w:hAnsi="Cambria Math" w:cs="Arial"/>
                <w:i/>
                <w:iCs/>
                <w:sz w:val="20"/>
                <w:szCs w:val="22"/>
                <w:lang w:val="es-PE"/>
              </w:rPr>
            </m:ctrlPr>
          </m:fPr>
          <m:num>
            <m:sSub>
              <m:sSubPr>
                <m:ctrlPr>
                  <w:rPr>
                    <w:rFonts w:ascii="Cambria Math" w:hAnsi="Cambria Math" w:cs="Arial"/>
                    <w:i/>
                    <w:iCs/>
                    <w:sz w:val="20"/>
                    <w:szCs w:val="22"/>
                    <w:lang w:val="es-PE"/>
                  </w:rPr>
                </m:ctrlPr>
              </m:sSubPr>
              <m:e>
                <m:d>
                  <m:dPr>
                    <m:begChr m:val="["/>
                    <m:endChr m:val="]"/>
                    <m:ctrlPr>
                      <w:rPr>
                        <w:rFonts w:ascii="Cambria Math" w:hAnsi="Cambria Math" w:cs="Arial"/>
                        <w:i/>
                        <w:iCs/>
                        <w:sz w:val="20"/>
                        <w:szCs w:val="22"/>
                        <w:lang w:val="es-PE"/>
                      </w:rPr>
                    </m:ctrlPr>
                  </m:dPr>
                  <m:e>
                    <m:r>
                      <w:rPr>
                        <w:rFonts w:ascii="Cambria Math" w:hAnsi="Cambria Math" w:cs="Arial"/>
                        <w:sz w:val="20"/>
                        <w:szCs w:val="22"/>
                        <w:lang w:val="en-US"/>
                      </w:rPr>
                      <m:t>h</m:t>
                    </m:r>
                    <m:r>
                      <w:rPr>
                        <w:rFonts w:ascii="Cambria Math" w:hAnsi="Cambria Math" w:cs="Arial"/>
                        <w:sz w:val="20"/>
                        <w:szCs w:val="22"/>
                        <w:lang w:val="es-PE"/>
                      </w:rPr>
                      <m:t>idrocarbons</m:t>
                    </m:r>
                  </m:e>
                </m:d>
              </m:e>
              <m:sub>
                <m:r>
                  <w:rPr>
                    <w:rFonts w:ascii="Cambria Math" w:hAnsi="Cambria Math" w:cs="Arial"/>
                    <w:sz w:val="20"/>
                    <w:szCs w:val="22"/>
                    <w:lang w:val="es-PE"/>
                  </w:rPr>
                  <m:t>Initial</m:t>
                </m:r>
              </m:sub>
            </m:sSub>
            <m:r>
              <w:rPr>
                <w:rFonts w:ascii="Cambria Math" w:hAnsi="Cambria Math" w:cs="Arial"/>
                <w:sz w:val="20"/>
                <w:szCs w:val="22"/>
                <w:lang w:val="en-US"/>
              </w:rPr>
              <m:t>-</m:t>
            </m:r>
            <m:sSub>
              <m:sSubPr>
                <m:ctrlPr>
                  <w:rPr>
                    <w:rFonts w:ascii="Cambria Math" w:hAnsi="Cambria Math" w:cs="Arial"/>
                    <w:i/>
                    <w:iCs/>
                    <w:sz w:val="20"/>
                    <w:szCs w:val="22"/>
                    <w:lang w:val="es-PE"/>
                  </w:rPr>
                </m:ctrlPr>
              </m:sSubPr>
              <m:e>
                <m:d>
                  <m:dPr>
                    <m:begChr m:val="["/>
                    <m:endChr m:val="]"/>
                    <m:ctrlPr>
                      <w:rPr>
                        <w:rFonts w:ascii="Cambria Math" w:hAnsi="Cambria Math" w:cs="Arial"/>
                        <w:i/>
                        <w:iCs/>
                        <w:sz w:val="20"/>
                        <w:szCs w:val="22"/>
                        <w:lang w:val="es-PE"/>
                      </w:rPr>
                    </m:ctrlPr>
                  </m:dPr>
                  <m:e>
                    <m:r>
                      <w:rPr>
                        <w:rFonts w:ascii="Cambria Math" w:hAnsi="Cambria Math" w:cs="Arial"/>
                        <w:sz w:val="20"/>
                        <w:szCs w:val="22"/>
                        <w:lang w:val="en-US"/>
                      </w:rPr>
                      <m:t>h</m:t>
                    </m:r>
                    <m:r>
                      <w:rPr>
                        <w:rFonts w:ascii="Cambria Math" w:hAnsi="Cambria Math" w:cs="Arial"/>
                        <w:sz w:val="20"/>
                        <w:szCs w:val="22"/>
                        <w:lang w:val="es-PE"/>
                      </w:rPr>
                      <m:t>idrocarbons</m:t>
                    </m:r>
                  </m:e>
                </m:d>
              </m:e>
              <m:sub>
                <m:r>
                  <w:rPr>
                    <w:rFonts w:ascii="Cambria Math" w:hAnsi="Cambria Math" w:cs="Arial"/>
                    <w:sz w:val="20"/>
                    <w:szCs w:val="22"/>
                    <w:lang w:val="es-PE"/>
                  </w:rPr>
                  <m:t>Final</m:t>
                </m:r>
              </m:sub>
            </m:sSub>
          </m:num>
          <m:den>
            <m:sSub>
              <m:sSubPr>
                <m:ctrlPr>
                  <w:rPr>
                    <w:rFonts w:ascii="Cambria Math" w:hAnsi="Cambria Math" w:cs="Arial"/>
                    <w:i/>
                    <w:iCs/>
                    <w:sz w:val="20"/>
                    <w:szCs w:val="22"/>
                    <w:lang w:val="es-PE"/>
                  </w:rPr>
                </m:ctrlPr>
              </m:sSubPr>
              <m:e>
                <m:d>
                  <m:dPr>
                    <m:begChr m:val="["/>
                    <m:endChr m:val="]"/>
                    <m:ctrlPr>
                      <w:rPr>
                        <w:rFonts w:ascii="Cambria Math" w:hAnsi="Cambria Math" w:cs="Arial"/>
                        <w:i/>
                        <w:iCs/>
                        <w:sz w:val="20"/>
                        <w:szCs w:val="22"/>
                        <w:lang w:val="es-PE"/>
                      </w:rPr>
                    </m:ctrlPr>
                  </m:dPr>
                  <m:e>
                    <m:r>
                      <w:rPr>
                        <w:rFonts w:ascii="Cambria Math" w:hAnsi="Cambria Math" w:cs="Arial"/>
                        <w:sz w:val="20"/>
                        <w:szCs w:val="22"/>
                        <w:lang w:val="en-US"/>
                      </w:rPr>
                      <m:t>h</m:t>
                    </m:r>
                    <m:r>
                      <w:rPr>
                        <w:rFonts w:ascii="Cambria Math" w:hAnsi="Cambria Math" w:cs="Arial"/>
                        <w:sz w:val="20"/>
                        <w:szCs w:val="22"/>
                        <w:lang w:val="es-PE"/>
                      </w:rPr>
                      <m:t>idrocarbons</m:t>
                    </m:r>
                  </m:e>
                </m:d>
              </m:e>
              <m:sub>
                <m:r>
                  <w:rPr>
                    <w:rFonts w:ascii="Cambria Math" w:hAnsi="Cambria Math" w:cs="Arial"/>
                    <w:sz w:val="20"/>
                    <w:szCs w:val="22"/>
                    <w:lang w:val="es-PE"/>
                  </w:rPr>
                  <m:t>Initial</m:t>
                </m:r>
              </m:sub>
            </m:sSub>
          </m:den>
        </m:f>
        <m:r>
          <w:rPr>
            <w:rFonts w:ascii="Cambria Math" w:hAnsi="Cambria Math" w:cs="Arial"/>
            <w:sz w:val="20"/>
            <w:szCs w:val="22"/>
            <w:lang w:val="en-US"/>
          </w:rPr>
          <m:t xml:space="preserve"> </m:t>
        </m:r>
        <m:r>
          <w:rPr>
            <w:rFonts w:ascii="Cambria Math" w:hAnsi="Cambria Math" w:cs="Arial"/>
            <w:sz w:val="20"/>
            <w:szCs w:val="22"/>
            <w:lang w:val="es-PE"/>
          </w:rPr>
          <m:t>x</m:t>
        </m:r>
        <m:r>
          <w:rPr>
            <w:rFonts w:ascii="Cambria Math" w:hAnsi="Cambria Math" w:cs="Arial"/>
            <w:sz w:val="20"/>
            <w:szCs w:val="22"/>
            <w:lang w:val="en-US"/>
          </w:rPr>
          <m:t xml:space="preserve"> 100</m:t>
        </m:r>
      </m:oMath>
      <w:r w:rsidR="0018237D" w:rsidRPr="00B62D30">
        <w:rPr>
          <w:iCs/>
          <w:lang w:val="en-US"/>
        </w:rPr>
        <w:t xml:space="preserve"> </w:t>
      </w:r>
      <w:r w:rsidR="000E4C53" w:rsidRPr="00B62D30">
        <w:rPr>
          <w:iCs/>
          <w:lang w:val="en-US"/>
        </w:rPr>
        <w:tab/>
      </w:r>
      <w:r w:rsidR="007120AA" w:rsidRPr="00B62D30">
        <w:rPr>
          <w:iCs/>
          <w:lang w:val="en-US"/>
        </w:rPr>
        <w:t xml:space="preserve"> </w:t>
      </w:r>
      <w:r w:rsidR="007120AA" w:rsidRPr="00B62D30">
        <w:rPr>
          <w:iCs/>
          <w:lang w:val="en-US"/>
        </w:rPr>
        <w:tab/>
      </w:r>
      <w:r w:rsidR="000E4C53" w:rsidRPr="00B62D30">
        <w:rPr>
          <w:iCs/>
          <w:lang w:val="en-US"/>
        </w:rPr>
        <w:t>(1)</w:t>
      </w:r>
    </w:p>
    <w:p w14:paraId="760BE566" w14:textId="23E64FF1" w:rsidR="00DB2FFA" w:rsidRDefault="00410CB4" w:rsidP="0006457D">
      <w:pPr>
        <w:pStyle w:val="CETheadingx"/>
      </w:pPr>
      <w:r w:rsidRPr="00410CB4">
        <w:t>Data processing</w:t>
      </w:r>
    </w:p>
    <w:p w14:paraId="623B8265" w14:textId="7BBA73E2" w:rsidR="003F41AB" w:rsidRPr="00B62D30" w:rsidRDefault="00410CB4" w:rsidP="00410CB4">
      <w:pPr>
        <w:pStyle w:val="CETBodytext"/>
        <w:rPr>
          <w:lang w:val="en-US"/>
        </w:rPr>
      </w:pPr>
      <w:r w:rsidRPr="00B62D30">
        <w:rPr>
          <w:lang w:val="en-US"/>
        </w:rPr>
        <w:t xml:space="preserve">Data processing consisted of office work in which data </w:t>
      </w:r>
      <w:r w:rsidR="0009720E" w:rsidRPr="00B62D30">
        <w:rPr>
          <w:lang w:val="en-US"/>
        </w:rPr>
        <w:t>was</w:t>
      </w:r>
      <w:r w:rsidRPr="00B62D30">
        <w:rPr>
          <w:lang w:val="en-US"/>
        </w:rPr>
        <w:t xml:space="preserve"> collected through registration forms</w:t>
      </w:r>
      <w:r w:rsidR="00912DA4">
        <w:rPr>
          <w:lang w:val="en-US"/>
        </w:rPr>
        <w:t>. Then, the data were interpreted and coded (Table 1) to generate the results detailed in point 3. This</w:t>
      </w:r>
      <w:r w:rsidRPr="00B62D30">
        <w:rPr>
          <w:lang w:val="en-US"/>
        </w:rPr>
        <w:t xml:space="preserve"> will allow analyzing the efficiency of reducing the concentration of hydrocarbons in the samples and the improvement in the physicochemical parameters in the contaminated soils before and after treatment.</w:t>
      </w:r>
    </w:p>
    <w:p w14:paraId="19AA3C37" w14:textId="61D7E91E" w:rsidR="00FA3143" w:rsidRPr="00B62D30" w:rsidRDefault="00FA3143" w:rsidP="00FA3143">
      <w:pPr>
        <w:pStyle w:val="CETTabletitle"/>
        <w:rPr>
          <w:lang w:val="en-US"/>
        </w:rPr>
      </w:pPr>
      <w:r w:rsidRPr="00B62D30">
        <w:rPr>
          <w:lang w:val="en-US"/>
        </w:rPr>
        <w:t>Table 1: Coding of samples according to 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559"/>
        <w:gridCol w:w="1559"/>
        <w:gridCol w:w="1560"/>
      </w:tblGrid>
      <w:tr w:rsidR="00FA3143" w:rsidRPr="00B57B36" w14:paraId="6933461E" w14:textId="77777777" w:rsidTr="00FA3143">
        <w:tc>
          <w:tcPr>
            <w:tcW w:w="1418" w:type="dxa"/>
            <w:tcBorders>
              <w:top w:val="single" w:sz="12" w:space="0" w:color="008000"/>
              <w:bottom w:val="single" w:sz="6" w:space="0" w:color="008000"/>
            </w:tcBorders>
            <w:shd w:val="clear" w:color="auto" w:fill="FFFFFF"/>
          </w:tcPr>
          <w:p w14:paraId="32D4BBCF" w14:textId="435EE611" w:rsidR="00FA3143" w:rsidRPr="00B57B36" w:rsidRDefault="00FA3143" w:rsidP="00B85018">
            <w:pPr>
              <w:pStyle w:val="CETBodytext"/>
              <w:rPr>
                <w:lang w:val="en-GB"/>
              </w:rPr>
            </w:pPr>
            <w:r w:rsidRPr="00B57B36">
              <w:rPr>
                <w:lang w:val="en-GB"/>
              </w:rPr>
              <w:t xml:space="preserve"> </w:t>
            </w:r>
            <w:r>
              <w:rPr>
                <w:lang w:val="en-GB"/>
              </w:rPr>
              <w:t>Treatment</w:t>
            </w:r>
          </w:p>
        </w:tc>
        <w:tc>
          <w:tcPr>
            <w:tcW w:w="1559" w:type="dxa"/>
            <w:tcBorders>
              <w:top w:val="single" w:sz="12" w:space="0" w:color="008000"/>
              <w:bottom w:val="single" w:sz="6" w:space="0" w:color="008000"/>
            </w:tcBorders>
            <w:shd w:val="clear" w:color="auto" w:fill="FFFFFF"/>
          </w:tcPr>
          <w:p w14:paraId="2635C606" w14:textId="1170FC3D" w:rsidR="00FA3143" w:rsidRPr="00B57B36" w:rsidRDefault="00FA3143" w:rsidP="00B85018">
            <w:pPr>
              <w:pStyle w:val="CETBodytext"/>
              <w:rPr>
                <w:lang w:val="en-GB"/>
              </w:rPr>
            </w:pPr>
            <w:r>
              <w:rPr>
                <w:lang w:val="en-GB"/>
              </w:rPr>
              <w:t>Fraction light</w:t>
            </w:r>
          </w:p>
        </w:tc>
        <w:tc>
          <w:tcPr>
            <w:tcW w:w="1559" w:type="dxa"/>
            <w:tcBorders>
              <w:top w:val="single" w:sz="12" w:space="0" w:color="008000"/>
              <w:bottom w:val="single" w:sz="6" w:space="0" w:color="008000"/>
            </w:tcBorders>
            <w:shd w:val="clear" w:color="auto" w:fill="FFFFFF"/>
          </w:tcPr>
          <w:p w14:paraId="77FA9524" w14:textId="3B94AF05" w:rsidR="00FA3143" w:rsidRPr="00B57B36" w:rsidRDefault="00FA3143" w:rsidP="00B85018">
            <w:pPr>
              <w:pStyle w:val="CETBodytext"/>
              <w:rPr>
                <w:lang w:val="en-GB"/>
              </w:rPr>
            </w:pPr>
            <w:r>
              <w:rPr>
                <w:lang w:val="en-GB"/>
              </w:rPr>
              <w:t>Middle Fraction</w:t>
            </w:r>
          </w:p>
        </w:tc>
        <w:tc>
          <w:tcPr>
            <w:tcW w:w="1560" w:type="dxa"/>
            <w:tcBorders>
              <w:top w:val="single" w:sz="12" w:space="0" w:color="008000"/>
              <w:bottom w:val="single" w:sz="6" w:space="0" w:color="008000"/>
            </w:tcBorders>
            <w:shd w:val="clear" w:color="auto" w:fill="FFFFFF"/>
          </w:tcPr>
          <w:p w14:paraId="6338726C" w14:textId="637A41FF" w:rsidR="00FA3143" w:rsidRPr="00B57B36" w:rsidRDefault="00FA3143" w:rsidP="00B85018">
            <w:pPr>
              <w:pStyle w:val="CETBodytext"/>
              <w:ind w:right="-1"/>
              <w:rPr>
                <w:rFonts w:cs="Arial"/>
                <w:szCs w:val="18"/>
                <w:lang w:val="en-GB"/>
              </w:rPr>
            </w:pPr>
            <w:r>
              <w:rPr>
                <w:rFonts w:cs="Arial"/>
                <w:szCs w:val="18"/>
                <w:lang w:val="en-GB"/>
              </w:rPr>
              <w:t>Fraction Heavy</w:t>
            </w:r>
          </w:p>
        </w:tc>
      </w:tr>
      <w:tr w:rsidR="00FA3143" w:rsidRPr="00B57B36" w14:paraId="4AE17120" w14:textId="77777777" w:rsidTr="00FA3143">
        <w:tc>
          <w:tcPr>
            <w:tcW w:w="1418" w:type="dxa"/>
            <w:shd w:val="clear" w:color="auto" w:fill="FFFFFF"/>
          </w:tcPr>
          <w:p w14:paraId="6F15E90D" w14:textId="545F66D0" w:rsidR="00FA3143" w:rsidRPr="00B57B36" w:rsidRDefault="008C5D7A" w:rsidP="00FA3143">
            <w:pPr>
              <w:pStyle w:val="CETBodytext"/>
              <w:rPr>
                <w:lang w:val="en-GB"/>
              </w:rPr>
            </w:pPr>
            <w:r>
              <w:rPr>
                <w:lang w:val="en-GB"/>
              </w:rPr>
              <w:t xml:space="preserve">  </w:t>
            </w:r>
            <w:r w:rsidR="00FA3143">
              <w:rPr>
                <w:lang w:val="en-GB"/>
              </w:rPr>
              <w:t>5% Biochar</w:t>
            </w:r>
          </w:p>
        </w:tc>
        <w:tc>
          <w:tcPr>
            <w:tcW w:w="1559" w:type="dxa"/>
            <w:shd w:val="clear" w:color="auto" w:fill="FFFFFF"/>
          </w:tcPr>
          <w:p w14:paraId="369A971A" w14:textId="1814FDAB" w:rsidR="00FA3143" w:rsidRPr="00B57B36" w:rsidRDefault="00FA3143" w:rsidP="00FA3143">
            <w:pPr>
              <w:pStyle w:val="CETBodytext"/>
              <w:jc w:val="center"/>
              <w:rPr>
                <w:lang w:val="en-GB"/>
              </w:rPr>
            </w:pPr>
            <w:r>
              <w:rPr>
                <w:lang w:val="en-GB"/>
              </w:rPr>
              <w:t>FLSB05</w:t>
            </w:r>
          </w:p>
        </w:tc>
        <w:tc>
          <w:tcPr>
            <w:tcW w:w="1559" w:type="dxa"/>
            <w:shd w:val="clear" w:color="auto" w:fill="FFFFFF"/>
          </w:tcPr>
          <w:p w14:paraId="63A39231" w14:textId="249DEAF3" w:rsidR="00FA3143" w:rsidRPr="00B57B36" w:rsidRDefault="00FA3143" w:rsidP="00FA3143">
            <w:pPr>
              <w:pStyle w:val="CETBodytext"/>
              <w:jc w:val="center"/>
              <w:rPr>
                <w:lang w:val="en-GB"/>
              </w:rPr>
            </w:pPr>
            <w:r>
              <w:rPr>
                <w:lang w:val="en-GB"/>
              </w:rPr>
              <w:t>FMSB05</w:t>
            </w:r>
          </w:p>
        </w:tc>
        <w:tc>
          <w:tcPr>
            <w:tcW w:w="1560" w:type="dxa"/>
            <w:shd w:val="clear" w:color="auto" w:fill="FFFFFF"/>
          </w:tcPr>
          <w:p w14:paraId="152C4229" w14:textId="3FA863F0" w:rsidR="00FA3143" w:rsidRPr="00B57B36" w:rsidRDefault="00FA3143" w:rsidP="00FA3143">
            <w:pPr>
              <w:pStyle w:val="CETBodytext"/>
              <w:ind w:right="-1"/>
              <w:jc w:val="center"/>
              <w:rPr>
                <w:rFonts w:cs="Arial"/>
                <w:szCs w:val="18"/>
                <w:lang w:val="en-GB"/>
              </w:rPr>
            </w:pPr>
            <w:r>
              <w:rPr>
                <w:lang w:val="en-GB"/>
              </w:rPr>
              <w:t>FPSB05</w:t>
            </w:r>
          </w:p>
        </w:tc>
      </w:tr>
      <w:tr w:rsidR="00FA3143" w:rsidRPr="00B57B36" w14:paraId="2F00E8FB" w14:textId="77777777" w:rsidTr="00FA3143">
        <w:tc>
          <w:tcPr>
            <w:tcW w:w="1418" w:type="dxa"/>
            <w:shd w:val="clear" w:color="auto" w:fill="FFFFFF"/>
          </w:tcPr>
          <w:p w14:paraId="31450D26" w14:textId="244CCFCE" w:rsidR="00FA3143" w:rsidRDefault="00FA3143" w:rsidP="00FA3143">
            <w:pPr>
              <w:pStyle w:val="CETBodytext"/>
              <w:rPr>
                <w:lang w:val="en-GB"/>
              </w:rPr>
            </w:pPr>
            <w:r>
              <w:rPr>
                <w:lang w:val="en-GB"/>
              </w:rPr>
              <w:t>10% Biochar</w:t>
            </w:r>
          </w:p>
        </w:tc>
        <w:tc>
          <w:tcPr>
            <w:tcW w:w="1559" w:type="dxa"/>
            <w:shd w:val="clear" w:color="auto" w:fill="FFFFFF"/>
          </w:tcPr>
          <w:p w14:paraId="41163E0D" w14:textId="33F6B870" w:rsidR="00FA3143" w:rsidRPr="00B57B36" w:rsidRDefault="00FA3143" w:rsidP="00FA3143">
            <w:pPr>
              <w:pStyle w:val="CETBodytext"/>
              <w:jc w:val="center"/>
              <w:rPr>
                <w:lang w:val="en-GB"/>
              </w:rPr>
            </w:pPr>
            <w:r w:rsidRPr="007666FE">
              <w:rPr>
                <w:lang w:val="en-GB"/>
              </w:rPr>
              <w:t>FLSB10</w:t>
            </w:r>
          </w:p>
        </w:tc>
        <w:tc>
          <w:tcPr>
            <w:tcW w:w="1559" w:type="dxa"/>
            <w:shd w:val="clear" w:color="auto" w:fill="FFFFFF"/>
          </w:tcPr>
          <w:p w14:paraId="0D574AFF" w14:textId="7F99A3D2" w:rsidR="00FA3143" w:rsidRPr="00B57B36" w:rsidRDefault="00FA3143" w:rsidP="00FA3143">
            <w:pPr>
              <w:pStyle w:val="CETBodytext"/>
              <w:jc w:val="center"/>
              <w:rPr>
                <w:lang w:val="en-GB"/>
              </w:rPr>
            </w:pPr>
            <w:r w:rsidRPr="00510D5D">
              <w:rPr>
                <w:lang w:val="en-GB"/>
              </w:rPr>
              <w:t>FMSB10</w:t>
            </w:r>
          </w:p>
        </w:tc>
        <w:tc>
          <w:tcPr>
            <w:tcW w:w="1560" w:type="dxa"/>
            <w:shd w:val="clear" w:color="auto" w:fill="FFFFFF"/>
          </w:tcPr>
          <w:p w14:paraId="68E4DD0B" w14:textId="63A98B63" w:rsidR="00FA3143" w:rsidRPr="00B57B36" w:rsidRDefault="00FA3143" w:rsidP="00FA3143">
            <w:pPr>
              <w:pStyle w:val="CETBodytext"/>
              <w:ind w:right="-1"/>
              <w:jc w:val="center"/>
              <w:rPr>
                <w:rFonts w:cs="Arial"/>
                <w:szCs w:val="18"/>
                <w:lang w:val="en-GB"/>
              </w:rPr>
            </w:pPr>
            <w:r w:rsidRPr="00510D5D">
              <w:rPr>
                <w:lang w:val="en-GB"/>
              </w:rPr>
              <w:t>FPSB10</w:t>
            </w:r>
          </w:p>
        </w:tc>
      </w:tr>
      <w:tr w:rsidR="00FA3143" w:rsidRPr="00B57B36" w14:paraId="70C4BEF9" w14:textId="77777777" w:rsidTr="00FA3143">
        <w:tc>
          <w:tcPr>
            <w:tcW w:w="1418" w:type="dxa"/>
            <w:shd w:val="clear" w:color="auto" w:fill="FFFFFF"/>
          </w:tcPr>
          <w:p w14:paraId="45BDC772" w14:textId="31CCD499" w:rsidR="00FA3143" w:rsidRPr="00B57B36" w:rsidRDefault="00FA3143" w:rsidP="00FA3143">
            <w:pPr>
              <w:pStyle w:val="CETBodytext"/>
              <w:ind w:right="-1"/>
              <w:rPr>
                <w:rFonts w:cs="Arial"/>
                <w:szCs w:val="18"/>
                <w:lang w:val="en-GB"/>
              </w:rPr>
            </w:pPr>
            <w:r>
              <w:rPr>
                <w:lang w:val="en-GB"/>
              </w:rPr>
              <w:t>20% Biochar</w:t>
            </w:r>
          </w:p>
        </w:tc>
        <w:tc>
          <w:tcPr>
            <w:tcW w:w="1559" w:type="dxa"/>
            <w:shd w:val="clear" w:color="auto" w:fill="FFFFFF"/>
          </w:tcPr>
          <w:p w14:paraId="1C992CB2" w14:textId="14432CF2" w:rsidR="00FA3143" w:rsidRPr="00B57B36" w:rsidRDefault="00FA3143" w:rsidP="00FA3143">
            <w:pPr>
              <w:pStyle w:val="CETBodytext"/>
              <w:ind w:right="-1"/>
              <w:jc w:val="center"/>
              <w:rPr>
                <w:rFonts w:cs="Arial"/>
                <w:szCs w:val="18"/>
                <w:lang w:val="en-GB"/>
              </w:rPr>
            </w:pPr>
            <w:r w:rsidRPr="007666FE">
              <w:rPr>
                <w:lang w:val="en-GB"/>
              </w:rPr>
              <w:t>FLSB20</w:t>
            </w:r>
          </w:p>
        </w:tc>
        <w:tc>
          <w:tcPr>
            <w:tcW w:w="1559" w:type="dxa"/>
            <w:shd w:val="clear" w:color="auto" w:fill="FFFFFF"/>
          </w:tcPr>
          <w:p w14:paraId="3B5458B2" w14:textId="4D1251E7" w:rsidR="00FA3143" w:rsidRPr="00B57B36" w:rsidRDefault="00FA3143" w:rsidP="00FA3143">
            <w:pPr>
              <w:pStyle w:val="CETBodytext"/>
              <w:ind w:right="-1"/>
              <w:jc w:val="center"/>
              <w:rPr>
                <w:rFonts w:cs="Arial"/>
                <w:szCs w:val="18"/>
                <w:lang w:val="en-GB"/>
              </w:rPr>
            </w:pPr>
            <w:r w:rsidRPr="00510D5D">
              <w:rPr>
                <w:lang w:val="en-GB"/>
              </w:rPr>
              <w:t>FMSB20</w:t>
            </w:r>
          </w:p>
        </w:tc>
        <w:tc>
          <w:tcPr>
            <w:tcW w:w="1560" w:type="dxa"/>
            <w:shd w:val="clear" w:color="auto" w:fill="FFFFFF"/>
          </w:tcPr>
          <w:p w14:paraId="2DDB68B3" w14:textId="329513A1" w:rsidR="00FA3143" w:rsidRPr="00B57B36" w:rsidRDefault="00FA3143" w:rsidP="00FA3143">
            <w:pPr>
              <w:pStyle w:val="CETBodytext"/>
              <w:ind w:right="-1"/>
              <w:jc w:val="center"/>
              <w:rPr>
                <w:rFonts w:cs="Arial"/>
                <w:szCs w:val="18"/>
                <w:lang w:val="en-GB"/>
              </w:rPr>
            </w:pPr>
            <w:r w:rsidRPr="00510D5D">
              <w:rPr>
                <w:lang w:val="en-GB"/>
              </w:rPr>
              <w:t>FPSB20</w:t>
            </w:r>
          </w:p>
        </w:tc>
      </w:tr>
    </w:tbl>
    <w:p w14:paraId="70F4EDFA" w14:textId="5F6004E5" w:rsidR="00FD5F8D" w:rsidRPr="00FD5F8D" w:rsidRDefault="003F41AB" w:rsidP="00FD5F8D">
      <w:pPr>
        <w:pStyle w:val="CETHeading1"/>
        <w:tabs>
          <w:tab w:val="right" w:pos="7100"/>
        </w:tabs>
        <w:jc w:val="both"/>
      </w:pPr>
      <w:r w:rsidRPr="00492425">
        <w:t>Results</w:t>
      </w:r>
    </w:p>
    <w:p w14:paraId="1D429818" w14:textId="2E7E5371" w:rsidR="00B80D3F" w:rsidRDefault="00B80D3F" w:rsidP="006F5BE5">
      <w:pPr>
        <w:pStyle w:val="CETBodytext"/>
        <w:rPr>
          <w:lang w:val="en-US"/>
        </w:rPr>
      </w:pPr>
      <w:r w:rsidRPr="00B80D3F">
        <w:rPr>
          <w:lang w:val="en-US"/>
        </w:rPr>
        <w:t xml:space="preserve">The research also seeks to incorporate the concept of </w:t>
      </w:r>
      <w:r w:rsidR="00912DA4">
        <w:rPr>
          <w:lang w:val="en-US"/>
        </w:rPr>
        <w:t xml:space="preserve">a circular economy by using common waste, such as sewage sludge from wastewater plants, to generate biochar. This biochar is then </w:t>
      </w:r>
      <w:r w:rsidRPr="00B80D3F">
        <w:rPr>
          <w:lang w:val="en-US"/>
        </w:rPr>
        <w:t xml:space="preserve">added to soils contaminated with hydrocarbons to evaluate its use as an effective treatment alternative. soil </w:t>
      </w:r>
      <w:r w:rsidR="00996EA2">
        <w:rPr>
          <w:lang w:val="es-PE"/>
        </w:rPr>
        <w:fldChar w:fldCharType="begin" w:fldLock="1"/>
      </w:r>
      <w:r w:rsidR="00996EA2" w:rsidRPr="00B62D30">
        <w:rPr>
          <w:lang w:val="en-US"/>
        </w:rPr>
        <w:instrText>ADDIN CSL_CITATION {"citationItems":[{"id":"ITEM-1","itemData":{"DOI":"10.3390/ijerph19148290","ISSN":"16604601","abstract":"This work developed an environmentally-friendly soil remediation method based on BC and g-C3N4, and demonstrated the technical feasibility of remediating petroleum-contaminated soil with biochar/graphite carbon nitride (BC/g-C3N4 ). The synthesis of BC/g-C3N4 composites was used for the removal of TPH in soil via adsorption and photocatalysis. BC, g-C3N4, and BC/g-C3N4 have been characterized by scanning electron microscopy (SEM), Brunauer–Emmett–Teller surface area analyzer (BET), FT-IR, and X-ray diffraction (XRD). BC/g-C3N4 facilitates the degradation due to reducing recombination and better electron-hole pair separation. BC, g-C3N4, and BC/g-C3N4 were tested for their adsorption and photocatalytic degradation capacities. Excellent and promising results are brought out by an apparent synergism between adsorption and photocatalysis. The optimum doping ratio of 1:3 between BC and g-C3N4 was determined by single-factor experiments. The removal rate of total petroleum hydrocarbons (TPH) by BC/g-C3N4 reached 54.5% by adding BC/g-C3N4 at a dosing rate of 0.08 g/g in a neutral soil with 10% moisture content, which was 2.12 and 1.95 times of BC and g-C3N4, respectively. The removal process of TPH by BC/g-C3N4 conformed to the pseudo-second-order kinetic model. In addition, the removal rates of different petroleum components in soil were analyzed in terms of gas chromatography–mass spectrometry (GC-MS), and the removal rates of nC13-nC35 were above 90% with the contaminated soil treated by BC/g-C3N4 . The radical scavenger experiments indicated that superoxide radical played the major role in the photocatalytic degradation of TPH. This work definitely demonstrates that the BC/g-C3N4 composites have great potential for application in the remediation of organic pollutant contaminated soil.","author":[{"dropping-particle":"","family":"Lin","given":"Hongyang","non-dropping-particle":"","parse-names":false,"suffix":""},{"dropping-particle":"","family":"Yang","given":"Yang","non-dropping-particle":"","parse-names":false,"suffix":""},{"dropping-particle":"","family":"Shang","given":"Zhenxiao","non-dropping-particle":"","parse-names":false,"suffix":""},{"dropping-particle":"","family":"Li","given":"Qiuhong","non-dropping-particle":"","parse-names":false,"suffix":""},{"dropping-particle":"","family":"Niu","given":"Xiaoyin","non-dropping-particle":"","parse-names":false,"suffix":""},{"dropping-particle":"","family":"Ma","given":"Yanfei","non-dropping-particle":"","parse-names":false,"suffix":""},{"dropping-particle":"","family":"Liu","given":"Aiju","non-d</w:instrText>
      </w:r>
      <w:r w:rsidR="00996EA2" w:rsidRPr="00A30DC0">
        <w:rPr>
          <w:lang w:val="en-US"/>
        </w:rPr>
        <w:instrText>ropping-particle":"","parse-names":false,"suffix":""}],"container-title":"International Journal of Environmental Research and Public Health","id":"ITEM-1","issue":"14","issued":{"date-parts":[["2022"]]},"title":"Study on the Enhanced Remediation of Petroleum-Contaminated Soil by Biochar/g-C3N4 Composites","type":"article-journal","volume":"19"},"uris":["http://www.mendeley.com/documents/?uuid=7928c039-c463-4e18-b03e-d7026877f087"]}],"mendeley":{"formattedCitation":"(Lin et al., 2022)","plainTextFormattedCitation":"(Lin et al., 2022)","previouslyFormattedCitation":"(Lin et al., 2022)"},"properties":{"noteIndex":0},"schema":"https://github.com/citation-style-language/schema/raw/master/csl-citation.json"}</w:instrText>
      </w:r>
      <w:r w:rsidR="00996EA2">
        <w:rPr>
          <w:lang w:val="es-PE"/>
        </w:rPr>
        <w:fldChar w:fldCharType="separate"/>
      </w:r>
      <w:r w:rsidR="00996EA2" w:rsidRPr="00A30DC0">
        <w:rPr>
          <w:noProof/>
          <w:lang w:val="en-US"/>
        </w:rPr>
        <w:t>(Lin et al., 2022)</w:t>
      </w:r>
      <w:r w:rsidR="00996EA2">
        <w:rPr>
          <w:lang w:val="es-PE"/>
        </w:rPr>
        <w:fldChar w:fldCharType="end"/>
      </w:r>
      <w:r w:rsidRPr="00B80D3F">
        <w:rPr>
          <w:lang w:val="en-US"/>
        </w:rPr>
        <w:t>. The results are shown below.</w:t>
      </w:r>
    </w:p>
    <w:p w14:paraId="147EB505" w14:textId="3AA8609D" w:rsidR="009416D0" w:rsidRPr="00B62D30" w:rsidRDefault="009416D0" w:rsidP="009416D0">
      <w:pPr>
        <w:pStyle w:val="CETheadingx"/>
        <w:rPr>
          <w:lang w:val="en-US"/>
        </w:rPr>
      </w:pPr>
      <w:r w:rsidRPr="00B62D30">
        <w:rPr>
          <w:lang w:val="en-US"/>
        </w:rPr>
        <w:lastRenderedPageBreak/>
        <w:t>Initial and final concentration of the light, medium</w:t>
      </w:r>
      <w:r w:rsidR="00A30DC0">
        <w:rPr>
          <w:lang w:val="en-US"/>
        </w:rPr>
        <w:t>,</w:t>
      </w:r>
      <w:r w:rsidRPr="00B62D30">
        <w:rPr>
          <w:lang w:val="en-US"/>
        </w:rPr>
        <w:t xml:space="preserve"> and heavy fractions of hydrocarbons in comparison </w:t>
      </w:r>
      <w:r w:rsidR="00A30DC0">
        <w:rPr>
          <w:lang w:val="en-US"/>
        </w:rPr>
        <w:t>to</w:t>
      </w:r>
      <w:r w:rsidRPr="00B62D30">
        <w:rPr>
          <w:lang w:val="en-US"/>
        </w:rPr>
        <w:t xml:space="preserve"> the ECA</w:t>
      </w:r>
    </w:p>
    <w:p w14:paraId="17EDD19E" w14:textId="24AE595C" w:rsidR="00787C97" w:rsidRPr="00B62D30" w:rsidRDefault="006E31D6" w:rsidP="00787C97">
      <w:pPr>
        <w:pStyle w:val="CETBodytext"/>
        <w:rPr>
          <w:lang w:val="en-US"/>
        </w:rPr>
      </w:pPr>
      <w:r w:rsidRPr="006E31D6">
        <w:rPr>
          <w:lang w:val="en-US"/>
        </w:rPr>
        <w:t>The efficiency of the treatment using 5, 10</w:t>
      </w:r>
      <w:r w:rsidR="00912DA4">
        <w:rPr>
          <w:lang w:val="en-US"/>
        </w:rPr>
        <w:t>,</w:t>
      </w:r>
      <w:r w:rsidRPr="006E31D6">
        <w:rPr>
          <w:lang w:val="en-US"/>
        </w:rPr>
        <w:t xml:space="preserve"> and 20% of biochar in soils contaminated with hydrocarbons is presented in Table 1. From the results shown, it is observed that after 45 days of treatment, the light fraction is reduced to 2.48, 1.03</w:t>
      </w:r>
      <w:r w:rsidR="00B042C1">
        <w:rPr>
          <w:lang w:val="en-US"/>
        </w:rPr>
        <w:t>,</w:t>
      </w:r>
      <w:r w:rsidRPr="006E31D6">
        <w:rPr>
          <w:lang w:val="en-US"/>
        </w:rPr>
        <w:t xml:space="preserve"> and 0 .08 mg/kg. It is also determined that for the other hydrocarbon fractions (medium and heavy)</w:t>
      </w:r>
      <w:r w:rsidR="00B042C1">
        <w:rPr>
          <w:lang w:val="en-US"/>
        </w:rPr>
        <w:t>, there is also a decrease, although not very significant; it was also possible to verify that after 45 days,</w:t>
      </w:r>
      <w:r w:rsidRPr="006E31D6">
        <w:rPr>
          <w:lang w:val="en-US"/>
        </w:rPr>
        <w:t xml:space="preserve"> the three treatments show a reduction below the standards of the Peruvian environmental standard.</w:t>
      </w:r>
      <w:r>
        <w:rPr>
          <w:lang w:val="en-US"/>
        </w:rPr>
        <w:t xml:space="preserve"> </w:t>
      </w:r>
      <w:r w:rsidRPr="006E31D6">
        <w:rPr>
          <w:lang w:val="en-US"/>
        </w:rPr>
        <w:t>The same table also shows the initial concentration of hydrocarbons in the soil</w:t>
      </w:r>
      <w:r w:rsidR="00C31C53">
        <w:rPr>
          <w:lang w:val="en-US"/>
        </w:rPr>
        <w:t xml:space="preserve"> and</w:t>
      </w:r>
      <w:r w:rsidRPr="006E31D6">
        <w:rPr>
          <w:lang w:val="en-US"/>
        </w:rPr>
        <w:t xml:space="preserve"> the results obtained for each treatment</w:t>
      </w:r>
      <w:r w:rsidR="00B042C1">
        <w:rPr>
          <w:lang w:val="en-US"/>
        </w:rPr>
        <w:t>. It compares</w:t>
      </w:r>
      <w:r w:rsidRPr="006E31D6">
        <w:rPr>
          <w:lang w:val="en-US"/>
        </w:rPr>
        <w:t xml:space="preserve"> them with the environmental quality standard of the soil in Peru </w:t>
      </w:r>
      <w:r w:rsidR="00787C97">
        <w:rPr>
          <w:lang w:val="es-PE"/>
        </w:rPr>
        <w:fldChar w:fldCharType="begin" w:fldLock="1"/>
      </w:r>
      <w:r w:rsidR="00787C97" w:rsidRPr="00B62D30">
        <w:rPr>
          <w:lang w:val="en-US"/>
        </w:rPr>
        <w:instrText>ADDIN CSL_CITATION {"citationItems":[{"id":"ITEM-1","itemData":{"ISBN":"9780778576914","abstract":"\"February 2009.\" [Vol. 1] Main report -- [Vol. 2] Technical appendices / Axiom Environmental; prepared for Alberta Environment and Canadian Association of Petroleum Producers.","author":[{"dropping-particle":"","family":"MINAM","given":"","non-dropping-particle":"","parse-names":false,"suffix":""}],"container-title":"El Peruano","id":"ITEM-1","issued":{"date-parts":[["2017"]]},"page":"1-4","title":"Decreto Supremo Nº 011-2017-MINAM","type":"article-journal"},"uris":["http://www.mendeley.com/documents/?uuid=d9fa3747-089a-413e-88a2-34e8f95ffd48"]}],"mendeley":{"formattedCitation":"(MINAM, 2017)","plainTextFormattedCitation":"(MINAM, 2017)","previouslyFormattedCitation":"(MINAM, 2017)"},"properties":{"noteIndex":0},"schema":"https://github.com/citation-style-language/schema/raw/master/csl-citation.json"}</w:instrText>
      </w:r>
      <w:r w:rsidR="00787C97">
        <w:rPr>
          <w:lang w:val="es-PE"/>
        </w:rPr>
        <w:fldChar w:fldCharType="separate"/>
      </w:r>
      <w:r w:rsidR="00787C97" w:rsidRPr="00B62D30">
        <w:rPr>
          <w:noProof/>
          <w:lang w:val="en-US"/>
        </w:rPr>
        <w:t>(MINAM, 2017)</w:t>
      </w:r>
      <w:r w:rsidR="00787C97">
        <w:rPr>
          <w:lang w:val="es-PE"/>
        </w:rPr>
        <w:fldChar w:fldCharType="end"/>
      </w:r>
      <w:r w:rsidR="00787C97" w:rsidRPr="00B62D30">
        <w:rPr>
          <w:lang w:val="en-US"/>
        </w:rPr>
        <w:t>.</w:t>
      </w:r>
    </w:p>
    <w:p w14:paraId="4F25CCAB" w14:textId="429F5865" w:rsidR="0037418D" w:rsidRPr="00B62D30" w:rsidRDefault="0037418D" w:rsidP="0037418D">
      <w:pPr>
        <w:pStyle w:val="CETTabletitle"/>
        <w:rPr>
          <w:lang w:val="en-US"/>
        </w:rPr>
      </w:pPr>
      <w:r w:rsidRPr="00B62D30">
        <w:rPr>
          <w:lang w:val="en-US"/>
        </w:rPr>
        <w:t xml:space="preserve">Table 1: Concentration of hydrocarbons in the soil 20 and 45 days after starting the </w:t>
      </w:r>
      <w:r w:rsidR="00787C97" w:rsidRPr="00B62D30">
        <w:rPr>
          <w:lang w:val="en-US"/>
        </w:rPr>
        <w:t>biochar treatment</w:t>
      </w:r>
    </w:p>
    <w:tbl>
      <w:tblPr>
        <w:tblW w:w="86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708"/>
        <w:gridCol w:w="1134"/>
        <w:gridCol w:w="841"/>
        <w:gridCol w:w="1064"/>
        <w:gridCol w:w="1064"/>
        <w:gridCol w:w="1067"/>
        <w:gridCol w:w="1232"/>
      </w:tblGrid>
      <w:tr w:rsidR="006D0748" w:rsidRPr="00CB1B2B" w14:paraId="69335EE3" w14:textId="77777777" w:rsidTr="005B63C7">
        <w:trPr>
          <w:trHeight w:val="584"/>
        </w:trPr>
        <w:tc>
          <w:tcPr>
            <w:tcW w:w="1560" w:type="dxa"/>
            <w:tcBorders>
              <w:top w:val="single" w:sz="12" w:space="0" w:color="008000"/>
              <w:bottom w:val="single" w:sz="6" w:space="0" w:color="008000"/>
            </w:tcBorders>
            <w:shd w:val="clear" w:color="auto" w:fill="FFFFFF"/>
          </w:tcPr>
          <w:p w14:paraId="78298A45" w14:textId="77777777" w:rsidR="0037418D" w:rsidRPr="009416D0" w:rsidRDefault="0037418D" w:rsidP="00042FFC">
            <w:pPr>
              <w:pStyle w:val="CETBodytext"/>
              <w:jc w:val="center"/>
              <w:rPr>
                <w:b/>
                <w:bCs/>
                <w:lang w:val="en-GB"/>
              </w:rPr>
            </w:pPr>
            <w:r w:rsidRPr="009416D0">
              <w:rPr>
                <w:b/>
                <w:bCs/>
                <w:lang w:val="en-GB"/>
              </w:rPr>
              <w:t>Fraction of Hydrocarbons</w:t>
            </w:r>
          </w:p>
        </w:tc>
        <w:tc>
          <w:tcPr>
            <w:tcW w:w="708" w:type="dxa"/>
            <w:tcBorders>
              <w:top w:val="single" w:sz="12" w:space="0" w:color="008000"/>
              <w:bottom w:val="single" w:sz="6" w:space="0" w:color="008000"/>
            </w:tcBorders>
            <w:shd w:val="clear" w:color="auto" w:fill="FFFFFF"/>
          </w:tcPr>
          <w:p w14:paraId="6CAA6436" w14:textId="77777777" w:rsidR="0037418D" w:rsidRPr="008E31A7" w:rsidRDefault="0037418D" w:rsidP="00042FFC">
            <w:pPr>
              <w:pStyle w:val="CETBodytext"/>
              <w:jc w:val="center"/>
              <w:rPr>
                <w:lang w:val="en-GB"/>
              </w:rPr>
            </w:pPr>
            <w:r w:rsidRPr="008E31A7">
              <w:t>ECA Soil (mg/kg)</w:t>
            </w:r>
          </w:p>
        </w:tc>
        <w:tc>
          <w:tcPr>
            <w:tcW w:w="1134" w:type="dxa"/>
            <w:tcBorders>
              <w:top w:val="single" w:sz="12" w:space="0" w:color="008000"/>
              <w:bottom w:val="single" w:sz="6" w:space="0" w:color="008000"/>
            </w:tcBorders>
            <w:shd w:val="clear" w:color="auto" w:fill="FFFFFF"/>
          </w:tcPr>
          <w:p w14:paraId="5FD3623A" w14:textId="0237A67A" w:rsidR="0037418D" w:rsidRPr="005578D6" w:rsidRDefault="00FD5F8D" w:rsidP="00042FFC">
            <w:pPr>
              <w:pStyle w:val="CETBodytext"/>
              <w:jc w:val="center"/>
              <w:rPr>
                <w:lang w:val="en-GB"/>
              </w:rPr>
            </w:pPr>
            <w:r w:rsidRPr="005578D6">
              <w:t>Treatment code</w:t>
            </w:r>
          </w:p>
        </w:tc>
        <w:tc>
          <w:tcPr>
            <w:tcW w:w="841" w:type="dxa"/>
            <w:tcBorders>
              <w:top w:val="single" w:sz="12" w:space="0" w:color="008000"/>
              <w:bottom w:val="single" w:sz="6" w:space="0" w:color="008000"/>
            </w:tcBorders>
            <w:shd w:val="clear" w:color="auto" w:fill="FFFFFF"/>
          </w:tcPr>
          <w:p w14:paraId="4B6C3997" w14:textId="77777777" w:rsidR="0037418D" w:rsidRPr="005578D6" w:rsidRDefault="0037418D" w:rsidP="00042FFC">
            <w:pPr>
              <w:pStyle w:val="CETBodytext"/>
              <w:ind w:right="-1"/>
              <w:jc w:val="center"/>
              <w:rPr>
                <w:rFonts w:cs="Arial"/>
                <w:szCs w:val="18"/>
                <w:lang w:val="en-GB"/>
              </w:rPr>
            </w:pPr>
            <w:r w:rsidRPr="005578D6">
              <w:t>sample (mg/kg)</w:t>
            </w:r>
          </w:p>
        </w:tc>
        <w:tc>
          <w:tcPr>
            <w:tcW w:w="1064" w:type="dxa"/>
            <w:tcBorders>
              <w:top w:val="single" w:sz="12" w:space="0" w:color="008000"/>
              <w:bottom w:val="single" w:sz="6" w:space="0" w:color="008000"/>
            </w:tcBorders>
            <w:shd w:val="clear" w:color="auto" w:fill="FFFFFF"/>
          </w:tcPr>
          <w:p w14:paraId="11EA2CA0" w14:textId="77777777" w:rsidR="0037418D" w:rsidRPr="00B62D30" w:rsidRDefault="0037418D" w:rsidP="00042FFC">
            <w:pPr>
              <w:pStyle w:val="CETBodytext"/>
              <w:ind w:right="-1"/>
              <w:jc w:val="center"/>
              <w:rPr>
                <w:lang w:val="en-US"/>
              </w:rPr>
            </w:pPr>
            <w:r w:rsidRPr="00B62D30">
              <w:rPr>
                <w:lang w:val="en-US"/>
              </w:rPr>
              <w:t>Sample after 20 days (mg/kg)</w:t>
            </w:r>
          </w:p>
        </w:tc>
        <w:tc>
          <w:tcPr>
            <w:tcW w:w="1064" w:type="dxa"/>
            <w:tcBorders>
              <w:top w:val="single" w:sz="12" w:space="0" w:color="008000"/>
              <w:bottom w:val="single" w:sz="6" w:space="0" w:color="008000"/>
            </w:tcBorders>
            <w:shd w:val="clear" w:color="auto" w:fill="FFFFFF"/>
          </w:tcPr>
          <w:p w14:paraId="5FBEB6A3" w14:textId="77777777" w:rsidR="0037418D" w:rsidRPr="00B62D30" w:rsidRDefault="0037418D" w:rsidP="00042FFC">
            <w:pPr>
              <w:pStyle w:val="CETBodytext"/>
              <w:ind w:right="-1"/>
              <w:jc w:val="center"/>
              <w:rPr>
                <w:lang w:val="en-US"/>
              </w:rPr>
            </w:pPr>
            <w:r w:rsidRPr="00B62D30">
              <w:rPr>
                <w:lang w:val="en-US"/>
              </w:rPr>
              <w:t>Sample at 45 days (mg/kg)</w:t>
            </w:r>
          </w:p>
        </w:tc>
        <w:tc>
          <w:tcPr>
            <w:tcW w:w="1067" w:type="dxa"/>
            <w:tcBorders>
              <w:top w:val="single" w:sz="12" w:space="0" w:color="008000"/>
              <w:bottom w:val="single" w:sz="6" w:space="0" w:color="008000"/>
            </w:tcBorders>
            <w:shd w:val="clear" w:color="auto" w:fill="FFFFFF"/>
          </w:tcPr>
          <w:p w14:paraId="3271741E" w14:textId="77777777" w:rsidR="0037418D" w:rsidRPr="005578D6" w:rsidRDefault="0037418D" w:rsidP="00042FFC">
            <w:pPr>
              <w:pStyle w:val="CETBodytext"/>
              <w:ind w:right="-1"/>
              <w:jc w:val="center"/>
              <w:rPr>
                <w:lang w:val="en-GB"/>
              </w:rPr>
            </w:pPr>
            <w:r w:rsidRPr="005578D6">
              <w:t>Total reduction</w:t>
            </w:r>
          </w:p>
        </w:tc>
        <w:tc>
          <w:tcPr>
            <w:tcW w:w="1232" w:type="dxa"/>
            <w:tcBorders>
              <w:top w:val="single" w:sz="12" w:space="0" w:color="008000"/>
              <w:bottom w:val="single" w:sz="6" w:space="0" w:color="008000"/>
            </w:tcBorders>
            <w:shd w:val="clear" w:color="auto" w:fill="FFFFFF"/>
          </w:tcPr>
          <w:p w14:paraId="458061C3"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 Efficiency in hydrocarbon reduction</w:t>
            </w:r>
          </w:p>
        </w:tc>
      </w:tr>
      <w:tr w:rsidR="006D0748" w:rsidRPr="008027CE" w14:paraId="6D025FE1" w14:textId="77777777" w:rsidTr="005B63C7">
        <w:trPr>
          <w:trHeight w:val="249"/>
        </w:trPr>
        <w:tc>
          <w:tcPr>
            <w:tcW w:w="1560" w:type="dxa"/>
            <w:vMerge w:val="restart"/>
            <w:shd w:val="clear" w:color="auto" w:fill="FFFFFF"/>
          </w:tcPr>
          <w:p w14:paraId="72CC1DA0" w14:textId="77777777" w:rsidR="0037418D" w:rsidRPr="00B62D30" w:rsidRDefault="0037418D" w:rsidP="00042FFC">
            <w:pPr>
              <w:pStyle w:val="CETBodytext"/>
              <w:jc w:val="center"/>
              <w:rPr>
                <w:b/>
                <w:bCs/>
                <w:lang w:val="en-US"/>
              </w:rPr>
            </w:pPr>
            <w:r w:rsidRPr="00B62D30">
              <w:rPr>
                <w:b/>
                <w:bCs/>
                <w:lang w:val="en-US"/>
              </w:rPr>
              <w:t>Light fraction of hydrocarbons (C6-C10)</w:t>
            </w:r>
          </w:p>
        </w:tc>
        <w:tc>
          <w:tcPr>
            <w:tcW w:w="708" w:type="dxa"/>
            <w:vMerge w:val="restart"/>
            <w:shd w:val="clear" w:color="auto" w:fill="FFFFFF"/>
            <w:vAlign w:val="center"/>
          </w:tcPr>
          <w:p w14:paraId="1B998A4C" w14:textId="77777777" w:rsidR="0037418D" w:rsidRPr="008027CE" w:rsidRDefault="0037418D" w:rsidP="00042FFC">
            <w:pPr>
              <w:pStyle w:val="CETBodytext"/>
              <w:jc w:val="center"/>
              <w:rPr>
                <w:lang w:val="es-PE"/>
              </w:rPr>
            </w:pPr>
            <w:r>
              <w:rPr>
                <w:lang w:val="es-PE"/>
              </w:rPr>
              <w:t>500</w:t>
            </w:r>
          </w:p>
        </w:tc>
        <w:tc>
          <w:tcPr>
            <w:tcW w:w="1134" w:type="dxa"/>
            <w:shd w:val="clear" w:color="auto" w:fill="FFFFFF"/>
            <w:vAlign w:val="center"/>
          </w:tcPr>
          <w:p w14:paraId="6C5B5328" w14:textId="19D4BC79" w:rsidR="0037418D" w:rsidRPr="005578D6" w:rsidRDefault="0037418D" w:rsidP="00042FFC">
            <w:pPr>
              <w:pStyle w:val="CETBodytext"/>
              <w:jc w:val="center"/>
              <w:rPr>
                <w:lang w:val="es-PE"/>
              </w:rPr>
            </w:pPr>
            <w:r w:rsidRPr="005578D6">
              <w:rPr>
                <w:rFonts w:ascii="Calibri" w:hAnsi="Calibri" w:cs="Calibri"/>
                <w:color w:val="000000"/>
                <w:sz w:val="22"/>
                <w:szCs w:val="22"/>
              </w:rPr>
              <w:t>FLSB05</w:t>
            </w:r>
          </w:p>
        </w:tc>
        <w:tc>
          <w:tcPr>
            <w:tcW w:w="841" w:type="dxa"/>
            <w:vMerge w:val="restart"/>
            <w:shd w:val="clear" w:color="auto" w:fill="FFFFFF"/>
            <w:vAlign w:val="center"/>
          </w:tcPr>
          <w:p w14:paraId="069225AA"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795.01</w:t>
            </w:r>
          </w:p>
        </w:tc>
        <w:tc>
          <w:tcPr>
            <w:tcW w:w="1064" w:type="dxa"/>
            <w:shd w:val="clear" w:color="auto" w:fill="FFFFFF"/>
            <w:vAlign w:val="center"/>
          </w:tcPr>
          <w:p w14:paraId="2FBB8F40"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272.8</w:t>
            </w:r>
          </w:p>
        </w:tc>
        <w:tc>
          <w:tcPr>
            <w:tcW w:w="1064" w:type="dxa"/>
            <w:shd w:val="clear" w:color="auto" w:fill="FFFFFF"/>
            <w:vAlign w:val="center"/>
          </w:tcPr>
          <w:p w14:paraId="49734F55"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2.48</w:t>
            </w:r>
          </w:p>
        </w:tc>
        <w:tc>
          <w:tcPr>
            <w:tcW w:w="1067" w:type="dxa"/>
            <w:shd w:val="clear" w:color="auto" w:fill="FFFFFF"/>
            <w:vAlign w:val="center"/>
          </w:tcPr>
          <w:p w14:paraId="67B75BD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792.53</w:t>
            </w:r>
          </w:p>
        </w:tc>
        <w:tc>
          <w:tcPr>
            <w:tcW w:w="1232" w:type="dxa"/>
            <w:shd w:val="clear" w:color="auto" w:fill="FFFFFF"/>
            <w:vAlign w:val="center"/>
          </w:tcPr>
          <w:p w14:paraId="004B8A3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99.69%</w:t>
            </w:r>
          </w:p>
        </w:tc>
      </w:tr>
      <w:tr w:rsidR="006D0748" w:rsidRPr="008027CE" w14:paraId="49FAB2F5" w14:textId="77777777" w:rsidTr="005B63C7">
        <w:trPr>
          <w:trHeight w:val="123"/>
        </w:trPr>
        <w:tc>
          <w:tcPr>
            <w:tcW w:w="1560" w:type="dxa"/>
            <w:vMerge/>
            <w:shd w:val="clear" w:color="auto" w:fill="FFFFFF"/>
          </w:tcPr>
          <w:p w14:paraId="0F253D45" w14:textId="77777777" w:rsidR="0037418D" w:rsidRPr="009416D0" w:rsidRDefault="0037418D" w:rsidP="00042FFC">
            <w:pPr>
              <w:pStyle w:val="CETBodytext"/>
              <w:rPr>
                <w:b/>
                <w:bCs/>
                <w:lang w:val="es-PE"/>
              </w:rPr>
            </w:pPr>
          </w:p>
        </w:tc>
        <w:tc>
          <w:tcPr>
            <w:tcW w:w="708" w:type="dxa"/>
            <w:vMerge/>
            <w:shd w:val="clear" w:color="auto" w:fill="FFFFFF"/>
            <w:vAlign w:val="center"/>
          </w:tcPr>
          <w:p w14:paraId="22AC2B9A" w14:textId="77777777" w:rsidR="0037418D" w:rsidRPr="008027CE" w:rsidRDefault="0037418D" w:rsidP="00042FFC">
            <w:pPr>
              <w:pStyle w:val="CETBodytext"/>
              <w:rPr>
                <w:lang w:val="es-PE"/>
              </w:rPr>
            </w:pPr>
          </w:p>
        </w:tc>
        <w:tc>
          <w:tcPr>
            <w:tcW w:w="1134" w:type="dxa"/>
            <w:shd w:val="clear" w:color="auto" w:fill="FFFFFF"/>
            <w:vAlign w:val="center"/>
          </w:tcPr>
          <w:p w14:paraId="42117AE0" w14:textId="33031F4E" w:rsidR="0037418D" w:rsidRPr="005578D6" w:rsidRDefault="0037418D" w:rsidP="00042FFC">
            <w:pPr>
              <w:pStyle w:val="CETBodytext"/>
              <w:jc w:val="center"/>
              <w:rPr>
                <w:lang w:val="es-PE"/>
              </w:rPr>
            </w:pPr>
            <w:r w:rsidRPr="005578D6">
              <w:rPr>
                <w:rFonts w:ascii="Calibri" w:hAnsi="Calibri" w:cs="Calibri"/>
                <w:color w:val="000000"/>
                <w:sz w:val="22"/>
                <w:szCs w:val="22"/>
              </w:rPr>
              <w:t>FLSB10</w:t>
            </w:r>
          </w:p>
        </w:tc>
        <w:tc>
          <w:tcPr>
            <w:tcW w:w="841" w:type="dxa"/>
            <w:vMerge/>
            <w:shd w:val="clear" w:color="auto" w:fill="FFFFFF"/>
          </w:tcPr>
          <w:p w14:paraId="33A3CB9A"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2DC69FD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206.53</w:t>
            </w:r>
          </w:p>
        </w:tc>
        <w:tc>
          <w:tcPr>
            <w:tcW w:w="1064" w:type="dxa"/>
            <w:shd w:val="clear" w:color="auto" w:fill="FFFFFF"/>
            <w:vAlign w:val="center"/>
          </w:tcPr>
          <w:p w14:paraId="37EE231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1.03</w:t>
            </w:r>
          </w:p>
        </w:tc>
        <w:tc>
          <w:tcPr>
            <w:tcW w:w="1067" w:type="dxa"/>
            <w:shd w:val="clear" w:color="auto" w:fill="FFFFFF"/>
            <w:vAlign w:val="center"/>
          </w:tcPr>
          <w:p w14:paraId="45C40C9B"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793.98</w:t>
            </w:r>
          </w:p>
        </w:tc>
        <w:tc>
          <w:tcPr>
            <w:tcW w:w="1232" w:type="dxa"/>
            <w:shd w:val="clear" w:color="auto" w:fill="FFFFFF"/>
            <w:vAlign w:val="center"/>
          </w:tcPr>
          <w:p w14:paraId="0D24707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99.87%</w:t>
            </w:r>
          </w:p>
        </w:tc>
      </w:tr>
      <w:tr w:rsidR="006D0748" w:rsidRPr="008027CE" w14:paraId="3466D773" w14:textId="77777777" w:rsidTr="005B63C7">
        <w:trPr>
          <w:trHeight w:val="123"/>
        </w:trPr>
        <w:tc>
          <w:tcPr>
            <w:tcW w:w="1560" w:type="dxa"/>
            <w:vMerge/>
            <w:shd w:val="clear" w:color="auto" w:fill="FFFFFF"/>
          </w:tcPr>
          <w:p w14:paraId="31B05046" w14:textId="77777777" w:rsidR="0037418D" w:rsidRPr="009416D0" w:rsidRDefault="0037418D" w:rsidP="00042FFC">
            <w:pPr>
              <w:pStyle w:val="CETBodytext"/>
              <w:ind w:right="-1"/>
              <w:rPr>
                <w:rFonts w:cs="Arial"/>
                <w:b/>
                <w:bCs/>
                <w:szCs w:val="18"/>
                <w:lang w:val="es-PE"/>
              </w:rPr>
            </w:pPr>
          </w:p>
        </w:tc>
        <w:tc>
          <w:tcPr>
            <w:tcW w:w="708" w:type="dxa"/>
            <w:vMerge/>
            <w:shd w:val="clear" w:color="auto" w:fill="FFFFFF"/>
            <w:vAlign w:val="center"/>
          </w:tcPr>
          <w:p w14:paraId="54045D27" w14:textId="77777777" w:rsidR="0037418D" w:rsidRPr="008027CE" w:rsidRDefault="0037418D" w:rsidP="00042FFC">
            <w:pPr>
              <w:pStyle w:val="CETBodytext"/>
              <w:ind w:right="-1"/>
              <w:rPr>
                <w:rFonts w:cs="Arial"/>
                <w:szCs w:val="18"/>
                <w:lang w:val="es-PE"/>
              </w:rPr>
            </w:pPr>
          </w:p>
        </w:tc>
        <w:tc>
          <w:tcPr>
            <w:tcW w:w="1134" w:type="dxa"/>
            <w:shd w:val="clear" w:color="auto" w:fill="FFFFFF"/>
            <w:vAlign w:val="center"/>
          </w:tcPr>
          <w:p w14:paraId="46768532" w14:textId="0291EB78"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FLSB20</w:t>
            </w:r>
          </w:p>
        </w:tc>
        <w:tc>
          <w:tcPr>
            <w:tcW w:w="841" w:type="dxa"/>
            <w:vMerge/>
            <w:shd w:val="clear" w:color="auto" w:fill="FFFFFF"/>
          </w:tcPr>
          <w:p w14:paraId="4BE0BBCF"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0791DC94"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158.87</w:t>
            </w:r>
          </w:p>
        </w:tc>
        <w:tc>
          <w:tcPr>
            <w:tcW w:w="1064" w:type="dxa"/>
            <w:shd w:val="clear" w:color="auto" w:fill="FFFFFF"/>
            <w:vAlign w:val="center"/>
          </w:tcPr>
          <w:p w14:paraId="01C7CE38"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0.08</w:t>
            </w:r>
          </w:p>
        </w:tc>
        <w:tc>
          <w:tcPr>
            <w:tcW w:w="1067" w:type="dxa"/>
            <w:shd w:val="clear" w:color="auto" w:fill="FFFFFF"/>
            <w:vAlign w:val="center"/>
          </w:tcPr>
          <w:p w14:paraId="693EF38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794.93</w:t>
            </w:r>
          </w:p>
        </w:tc>
        <w:tc>
          <w:tcPr>
            <w:tcW w:w="1232" w:type="dxa"/>
            <w:shd w:val="clear" w:color="auto" w:fill="FFFFFF"/>
            <w:vAlign w:val="center"/>
          </w:tcPr>
          <w:p w14:paraId="2F10D923" w14:textId="77777777" w:rsidR="0037418D" w:rsidRPr="005578D6" w:rsidRDefault="0037418D" w:rsidP="00042FFC">
            <w:pPr>
              <w:pStyle w:val="CETBodytext"/>
              <w:ind w:right="-1"/>
              <w:jc w:val="center"/>
              <w:rPr>
                <w:rFonts w:cs="Arial"/>
                <w:color w:val="FF0000"/>
                <w:szCs w:val="18"/>
                <w:lang w:val="es-PE"/>
              </w:rPr>
            </w:pPr>
            <w:r w:rsidRPr="005578D6">
              <w:rPr>
                <w:rFonts w:ascii="Calibri" w:hAnsi="Calibri" w:cs="Calibri"/>
                <w:color w:val="FF0000"/>
                <w:sz w:val="22"/>
                <w:szCs w:val="22"/>
              </w:rPr>
              <w:t>99.99%</w:t>
            </w:r>
          </w:p>
        </w:tc>
      </w:tr>
      <w:tr w:rsidR="006D0748" w:rsidRPr="00FD5638" w14:paraId="100A530C" w14:textId="77777777" w:rsidTr="005B63C7">
        <w:trPr>
          <w:trHeight w:val="249"/>
        </w:trPr>
        <w:tc>
          <w:tcPr>
            <w:tcW w:w="1560" w:type="dxa"/>
            <w:vMerge w:val="restart"/>
            <w:shd w:val="clear" w:color="auto" w:fill="FFFFFF"/>
          </w:tcPr>
          <w:p w14:paraId="68643868" w14:textId="5C601FAF" w:rsidR="0037418D" w:rsidRPr="00B62D30" w:rsidRDefault="00CE596F" w:rsidP="00042FFC">
            <w:pPr>
              <w:pStyle w:val="CETBodytext"/>
              <w:ind w:right="-1"/>
              <w:jc w:val="center"/>
              <w:rPr>
                <w:rFonts w:cs="Arial"/>
                <w:b/>
                <w:bCs/>
                <w:szCs w:val="18"/>
                <w:lang w:val="en-US"/>
              </w:rPr>
            </w:pPr>
            <w:r>
              <w:rPr>
                <w:rFonts w:cs="Arial"/>
                <w:b/>
                <w:bCs/>
                <w:szCs w:val="18"/>
                <w:lang w:val="en-US"/>
              </w:rPr>
              <w:t xml:space="preserve">Medium </w:t>
            </w:r>
            <w:r w:rsidR="0037418D" w:rsidRPr="00B62D30">
              <w:rPr>
                <w:rFonts w:cs="Arial"/>
                <w:b/>
                <w:bCs/>
                <w:szCs w:val="18"/>
                <w:lang w:val="en-US"/>
              </w:rPr>
              <w:t>fraction of hydrocarbons (&gt;C10-C28)</w:t>
            </w:r>
          </w:p>
        </w:tc>
        <w:tc>
          <w:tcPr>
            <w:tcW w:w="708" w:type="dxa"/>
            <w:vMerge w:val="restart"/>
            <w:shd w:val="clear" w:color="auto" w:fill="FFFFFF"/>
            <w:vAlign w:val="center"/>
          </w:tcPr>
          <w:p w14:paraId="67D4E19E" w14:textId="77777777" w:rsidR="0037418D" w:rsidRPr="00FD5638" w:rsidRDefault="0037418D" w:rsidP="00042FFC">
            <w:pPr>
              <w:pStyle w:val="CETBodytext"/>
              <w:ind w:right="-1"/>
              <w:jc w:val="center"/>
              <w:rPr>
                <w:rFonts w:cs="Arial"/>
                <w:szCs w:val="18"/>
                <w:lang w:val="es-PE"/>
              </w:rPr>
            </w:pPr>
            <w:r>
              <w:rPr>
                <w:rFonts w:cs="Arial"/>
                <w:szCs w:val="18"/>
                <w:lang w:val="es-PE"/>
              </w:rPr>
              <w:t>5000</w:t>
            </w:r>
          </w:p>
        </w:tc>
        <w:tc>
          <w:tcPr>
            <w:tcW w:w="1134" w:type="dxa"/>
            <w:shd w:val="clear" w:color="auto" w:fill="FFFFFF"/>
            <w:vAlign w:val="center"/>
          </w:tcPr>
          <w:p w14:paraId="6CE0638E" w14:textId="60BB0A95"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FMSB05</w:t>
            </w:r>
          </w:p>
        </w:tc>
        <w:tc>
          <w:tcPr>
            <w:tcW w:w="841" w:type="dxa"/>
            <w:vMerge w:val="restart"/>
            <w:shd w:val="clear" w:color="auto" w:fill="FFFFFF"/>
            <w:vAlign w:val="center"/>
          </w:tcPr>
          <w:p w14:paraId="775833C5"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7096.00</w:t>
            </w:r>
          </w:p>
        </w:tc>
        <w:tc>
          <w:tcPr>
            <w:tcW w:w="1064" w:type="dxa"/>
            <w:shd w:val="clear" w:color="auto" w:fill="FFFFFF"/>
            <w:vAlign w:val="center"/>
          </w:tcPr>
          <w:p w14:paraId="0DC71012"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5582.11</w:t>
            </w:r>
          </w:p>
        </w:tc>
        <w:tc>
          <w:tcPr>
            <w:tcW w:w="1064" w:type="dxa"/>
            <w:shd w:val="clear" w:color="auto" w:fill="FFFFFF"/>
            <w:vAlign w:val="center"/>
          </w:tcPr>
          <w:p w14:paraId="28C02DA0"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4624.57</w:t>
            </w:r>
          </w:p>
        </w:tc>
        <w:tc>
          <w:tcPr>
            <w:tcW w:w="1067" w:type="dxa"/>
            <w:shd w:val="clear" w:color="auto" w:fill="FFFFFF"/>
            <w:vAlign w:val="center"/>
          </w:tcPr>
          <w:p w14:paraId="6FA3179B"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2471.43</w:t>
            </w:r>
          </w:p>
        </w:tc>
        <w:tc>
          <w:tcPr>
            <w:tcW w:w="1232" w:type="dxa"/>
            <w:shd w:val="clear" w:color="auto" w:fill="FFFFFF"/>
            <w:vAlign w:val="center"/>
          </w:tcPr>
          <w:p w14:paraId="5ECD9642"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34.83%</w:t>
            </w:r>
          </w:p>
        </w:tc>
      </w:tr>
      <w:tr w:rsidR="006D0748" w:rsidRPr="00FD5638" w14:paraId="759AFD41" w14:textId="77777777" w:rsidTr="005B63C7">
        <w:trPr>
          <w:trHeight w:val="123"/>
        </w:trPr>
        <w:tc>
          <w:tcPr>
            <w:tcW w:w="1560" w:type="dxa"/>
            <w:vMerge/>
            <w:shd w:val="clear" w:color="auto" w:fill="FFFFFF"/>
          </w:tcPr>
          <w:p w14:paraId="7720AA81" w14:textId="77777777" w:rsidR="0037418D" w:rsidRPr="009416D0" w:rsidRDefault="0037418D" w:rsidP="00042FFC">
            <w:pPr>
              <w:pStyle w:val="CETBodytext"/>
              <w:ind w:right="-1"/>
              <w:rPr>
                <w:rFonts w:cs="Arial"/>
                <w:b/>
                <w:bCs/>
                <w:szCs w:val="18"/>
                <w:lang w:val="es-PE"/>
              </w:rPr>
            </w:pPr>
          </w:p>
        </w:tc>
        <w:tc>
          <w:tcPr>
            <w:tcW w:w="708" w:type="dxa"/>
            <w:vMerge/>
            <w:shd w:val="clear" w:color="auto" w:fill="FFFFFF"/>
            <w:vAlign w:val="center"/>
          </w:tcPr>
          <w:p w14:paraId="3B3A0B14"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3CC7CD9D" w14:textId="5534B9A4"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FMSB10</w:t>
            </w:r>
          </w:p>
        </w:tc>
        <w:tc>
          <w:tcPr>
            <w:tcW w:w="841" w:type="dxa"/>
            <w:vMerge/>
            <w:shd w:val="clear" w:color="auto" w:fill="FFFFFF"/>
            <w:vAlign w:val="center"/>
          </w:tcPr>
          <w:p w14:paraId="5827E796"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0DEC4062"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4862.03</w:t>
            </w:r>
          </w:p>
        </w:tc>
        <w:tc>
          <w:tcPr>
            <w:tcW w:w="1064" w:type="dxa"/>
            <w:shd w:val="clear" w:color="auto" w:fill="FFFFFF"/>
            <w:vAlign w:val="center"/>
          </w:tcPr>
          <w:p w14:paraId="3B6EAFBE"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4023.77</w:t>
            </w:r>
          </w:p>
        </w:tc>
        <w:tc>
          <w:tcPr>
            <w:tcW w:w="1067" w:type="dxa"/>
            <w:shd w:val="clear" w:color="auto" w:fill="FFFFFF"/>
            <w:vAlign w:val="center"/>
          </w:tcPr>
          <w:p w14:paraId="2058D215"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3072.23</w:t>
            </w:r>
          </w:p>
        </w:tc>
        <w:tc>
          <w:tcPr>
            <w:tcW w:w="1232" w:type="dxa"/>
            <w:shd w:val="clear" w:color="auto" w:fill="FFFFFF"/>
            <w:vAlign w:val="center"/>
          </w:tcPr>
          <w:p w14:paraId="0A80431A"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43.30%</w:t>
            </w:r>
          </w:p>
        </w:tc>
      </w:tr>
      <w:tr w:rsidR="006D0748" w:rsidRPr="00FD5638" w14:paraId="5431C788" w14:textId="77777777" w:rsidTr="005B63C7">
        <w:trPr>
          <w:trHeight w:val="123"/>
        </w:trPr>
        <w:tc>
          <w:tcPr>
            <w:tcW w:w="1560" w:type="dxa"/>
            <w:vMerge/>
            <w:shd w:val="clear" w:color="auto" w:fill="FFFFFF"/>
          </w:tcPr>
          <w:p w14:paraId="55F2AB63" w14:textId="77777777" w:rsidR="0037418D" w:rsidRPr="009416D0" w:rsidRDefault="0037418D" w:rsidP="00042FFC">
            <w:pPr>
              <w:pStyle w:val="CETBodytext"/>
              <w:ind w:right="-1"/>
              <w:rPr>
                <w:rFonts w:cs="Arial"/>
                <w:b/>
                <w:bCs/>
                <w:szCs w:val="18"/>
                <w:lang w:val="es-PE"/>
              </w:rPr>
            </w:pPr>
          </w:p>
        </w:tc>
        <w:tc>
          <w:tcPr>
            <w:tcW w:w="708" w:type="dxa"/>
            <w:vMerge/>
            <w:shd w:val="clear" w:color="auto" w:fill="FFFFFF"/>
            <w:vAlign w:val="center"/>
          </w:tcPr>
          <w:p w14:paraId="59A5C9B5"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48380F4D"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FMSB20</w:t>
            </w:r>
          </w:p>
        </w:tc>
        <w:tc>
          <w:tcPr>
            <w:tcW w:w="841" w:type="dxa"/>
            <w:vMerge/>
            <w:shd w:val="clear" w:color="auto" w:fill="FFFFFF"/>
            <w:vAlign w:val="center"/>
          </w:tcPr>
          <w:p w14:paraId="29AFE20D"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5B7FE7D6"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4027.57</w:t>
            </w:r>
          </w:p>
        </w:tc>
        <w:tc>
          <w:tcPr>
            <w:tcW w:w="1064" w:type="dxa"/>
            <w:shd w:val="clear" w:color="auto" w:fill="FFFFFF"/>
            <w:vAlign w:val="center"/>
          </w:tcPr>
          <w:p w14:paraId="54EDD1C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3222.40</w:t>
            </w:r>
          </w:p>
        </w:tc>
        <w:tc>
          <w:tcPr>
            <w:tcW w:w="1067" w:type="dxa"/>
            <w:shd w:val="clear" w:color="auto" w:fill="FFFFFF"/>
            <w:vAlign w:val="center"/>
          </w:tcPr>
          <w:p w14:paraId="4295EC14"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3873.60</w:t>
            </w:r>
          </w:p>
        </w:tc>
        <w:tc>
          <w:tcPr>
            <w:tcW w:w="1232" w:type="dxa"/>
            <w:shd w:val="clear" w:color="auto" w:fill="FFFFFF"/>
            <w:vAlign w:val="center"/>
          </w:tcPr>
          <w:p w14:paraId="0C8E8FDD"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FF0000"/>
                <w:sz w:val="22"/>
                <w:szCs w:val="22"/>
              </w:rPr>
              <w:t>54.59%</w:t>
            </w:r>
          </w:p>
        </w:tc>
      </w:tr>
      <w:tr w:rsidR="006D0748" w:rsidRPr="00FD5638" w14:paraId="77A4BD7A" w14:textId="77777777" w:rsidTr="005B63C7">
        <w:trPr>
          <w:trHeight w:val="249"/>
        </w:trPr>
        <w:tc>
          <w:tcPr>
            <w:tcW w:w="1560" w:type="dxa"/>
            <w:vMerge w:val="restart"/>
            <w:shd w:val="clear" w:color="auto" w:fill="FFFFFF"/>
          </w:tcPr>
          <w:p w14:paraId="14C099BB" w14:textId="77777777" w:rsidR="0037418D" w:rsidRPr="00B62D30" w:rsidRDefault="0037418D" w:rsidP="00042FFC">
            <w:pPr>
              <w:pStyle w:val="CETBodytext"/>
              <w:ind w:right="-1"/>
              <w:jc w:val="center"/>
              <w:rPr>
                <w:rFonts w:cs="Arial"/>
                <w:b/>
                <w:bCs/>
                <w:szCs w:val="18"/>
                <w:lang w:val="en-US"/>
              </w:rPr>
            </w:pPr>
            <w:r w:rsidRPr="00B62D30">
              <w:rPr>
                <w:rFonts w:cs="Arial"/>
                <w:b/>
                <w:bCs/>
                <w:szCs w:val="18"/>
                <w:lang w:val="en-US"/>
              </w:rPr>
              <w:t>Heavy fraction of hydrocarbons (&gt;C28-C40)</w:t>
            </w:r>
          </w:p>
        </w:tc>
        <w:tc>
          <w:tcPr>
            <w:tcW w:w="708" w:type="dxa"/>
            <w:vMerge w:val="restart"/>
            <w:shd w:val="clear" w:color="auto" w:fill="FFFFFF"/>
            <w:vAlign w:val="center"/>
          </w:tcPr>
          <w:p w14:paraId="3BD64EEF" w14:textId="77777777" w:rsidR="0037418D" w:rsidRPr="00FD5638" w:rsidRDefault="0037418D" w:rsidP="00042FFC">
            <w:pPr>
              <w:pStyle w:val="CETBodytext"/>
              <w:ind w:right="-1"/>
              <w:jc w:val="center"/>
              <w:rPr>
                <w:rFonts w:cs="Arial"/>
                <w:szCs w:val="18"/>
                <w:lang w:val="es-PE"/>
              </w:rPr>
            </w:pPr>
            <w:r>
              <w:rPr>
                <w:rFonts w:cs="Arial"/>
                <w:szCs w:val="18"/>
                <w:lang w:val="es-PE"/>
              </w:rPr>
              <w:t>6000</w:t>
            </w:r>
          </w:p>
        </w:tc>
        <w:tc>
          <w:tcPr>
            <w:tcW w:w="1134" w:type="dxa"/>
            <w:shd w:val="clear" w:color="auto" w:fill="FFFFFF"/>
            <w:vAlign w:val="center"/>
          </w:tcPr>
          <w:p w14:paraId="279F02EA"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FPSB05</w:t>
            </w:r>
          </w:p>
        </w:tc>
        <w:tc>
          <w:tcPr>
            <w:tcW w:w="841" w:type="dxa"/>
            <w:vMerge w:val="restart"/>
            <w:shd w:val="clear" w:color="auto" w:fill="FFFFFF"/>
            <w:vAlign w:val="center"/>
          </w:tcPr>
          <w:p w14:paraId="1A3F878D"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8980.00</w:t>
            </w:r>
          </w:p>
        </w:tc>
        <w:tc>
          <w:tcPr>
            <w:tcW w:w="1064" w:type="dxa"/>
            <w:shd w:val="clear" w:color="auto" w:fill="FFFFFF"/>
            <w:vAlign w:val="center"/>
          </w:tcPr>
          <w:p w14:paraId="123FFD1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7280.70</w:t>
            </w:r>
          </w:p>
        </w:tc>
        <w:tc>
          <w:tcPr>
            <w:tcW w:w="1064" w:type="dxa"/>
            <w:shd w:val="clear" w:color="auto" w:fill="FFFFFF"/>
            <w:vAlign w:val="center"/>
          </w:tcPr>
          <w:p w14:paraId="3BDC750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6841.47</w:t>
            </w:r>
          </w:p>
        </w:tc>
        <w:tc>
          <w:tcPr>
            <w:tcW w:w="1067" w:type="dxa"/>
            <w:shd w:val="clear" w:color="auto" w:fill="FFFFFF"/>
            <w:vAlign w:val="center"/>
          </w:tcPr>
          <w:p w14:paraId="13817C8F"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2138.53</w:t>
            </w:r>
          </w:p>
        </w:tc>
        <w:tc>
          <w:tcPr>
            <w:tcW w:w="1232" w:type="dxa"/>
            <w:shd w:val="clear" w:color="auto" w:fill="FFFFFF"/>
            <w:vAlign w:val="center"/>
          </w:tcPr>
          <w:p w14:paraId="69944194"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23.81%</w:t>
            </w:r>
          </w:p>
        </w:tc>
      </w:tr>
      <w:tr w:rsidR="006D0748" w:rsidRPr="00FD5638" w14:paraId="7C54440A" w14:textId="77777777" w:rsidTr="005B63C7">
        <w:trPr>
          <w:trHeight w:val="123"/>
        </w:trPr>
        <w:tc>
          <w:tcPr>
            <w:tcW w:w="1560" w:type="dxa"/>
            <w:vMerge/>
            <w:shd w:val="clear" w:color="auto" w:fill="FFFFFF"/>
          </w:tcPr>
          <w:p w14:paraId="0605F50C" w14:textId="77777777" w:rsidR="0037418D" w:rsidRPr="00FD5638" w:rsidRDefault="0037418D" w:rsidP="00042FFC">
            <w:pPr>
              <w:pStyle w:val="CETBodytext"/>
              <w:ind w:right="-1"/>
              <w:rPr>
                <w:rFonts w:cs="Arial"/>
                <w:szCs w:val="18"/>
                <w:lang w:val="es-PE"/>
              </w:rPr>
            </w:pPr>
          </w:p>
        </w:tc>
        <w:tc>
          <w:tcPr>
            <w:tcW w:w="708" w:type="dxa"/>
            <w:vMerge/>
            <w:shd w:val="clear" w:color="auto" w:fill="FFFFFF"/>
          </w:tcPr>
          <w:p w14:paraId="2D968D6D"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03BC4DB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FPSB10</w:t>
            </w:r>
          </w:p>
        </w:tc>
        <w:tc>
          <w:tcPr>
            <w:tcW w:w="841" w:type="dxa"/>
            <w:vMerge/>
            <w:shd w:val="clear" w:color="auto" w:fill="FFFFFF"/>
            <w:vAlign w:val="center"/>
          </w:tcPr>
          <w:p w14:paraId="69FD3087"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313B91D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6685.17</w:t>
            </w:r>
          </w:p>
        </w:tc>
        <w:tc>
          <w:tcPr>
            <w:tcW w:w="1064" w:type="dxa"/>
            <w:shd w:val="clear" w:color="auto" w:fill="FFFFFF"/>
            <w:vAlign w:val="center"/>
          </w:tcPr>
          <w:p w14:paraId="5556ED66"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5412.33</w:t>
            </w:r>
          </w:p>
        </w:tc>
        <w:tc>
          <w:tcPr>
            <w:tcW w:w="1067" w:type="dxa"/>
            <w:shd w:val="clear" w:color="auto" w:fill="FFFFFF"/>
            <w:vAlign w:val="center"/>
          </w:tcPr>
          <w:p w14:paraId="02DE4B68"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3567.67</w:t>
            </w:r>
          </w:p>
        </w:tc>
        <w:tc>
          <w:tcPr>
            <w:tcW w:w="1232" w:type="dxa"/>
            <w:shd w:val="clear" w:color="auto" w:fill="FFFFFF"/>
            <w:vAlign w:val="center"/>
          </w:tcPr>
          <w:p w14:paraId="24FF9718"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39.73%</w:t>
            </w:r>
          </w:p>
        </w:tc>
      </w:tr>
      <w:tr w:rsidR="006D0748" w:rsidRPr="00FD5638" w14:paraId="3A7D02CB" w14:textId="77777777" w:rsidTr="005B63C7">
        <w:trPr>
          <w:trHeight w:val="123"/>
        </w:trPr>
        <w:tc>
          <w:tcPr>
            <w:tcW w:w="1560" w:type="dxa"/>
            <w:vMerge/>
            <w:shd w:val="clear" w:color="auto" w:fill="FFFFFF"/>
          </w:tcPr>
          <w:p w14:paraId="47C3400C" w14:textId="77777777" w:rsidR="0037418D" w:rsidRPr="00FD5638" w:rsidRDefault="0037418D" w:rsidP="00042FFC">
            <w:pPr>
              <w:pStyle w:val="CETBodytext"/>
              <w:ind w:right="-1"/>
              <w:rPr>
                <w:rFonts w:cs="Arial"/>
                <w:szCs w:val="18"/>
                <w:lang w:val="es-PE"/>
              </w:rPr>
            </w:pPr>
          </w:p>
        </w:tc>
        <w:tc>
          <w:tcPr>
            <w:tcW w:w="708" w:type="dxa"/>
            <w:vMerge/>
            <w:shd w:val="clear" w:color="auto" w:fill="FFFFFF"/>
          </w:tcPr>
          <w:p w14:paraId="287CF57C"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5CE269D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FPSB20</w:t>
            </w:r>
          </w:p>
        </w:tc>
        <w:tc>
          <w:tcPr>
            <w:tcW w:w="841" w:type="dxa"/>
            <w:vMerge/>
            <w:shd w:val="clear" w:color="auto" w:fill="FFFFFF"/>
            <w:vAlign w:val="center"/>
          </w:tcPr>
          <w:p w14:paraId="7502539C"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754E7BF5"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5847.00</w:t>
            </w:r>
          </w:p>
        </w:tc>
        <w:tc>
          <w:tcPr>
            <w:tcW w:w="1064" w:type="dxa"/>
            <w:shd w:val="clear" w:color="auto" w:fill="FFFFFF"/>
            <w:vAlign w:val="center"/>
          </w:tcPr>
          <w:p w14:paraId="5EF6629C"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4048.33</w:t>
            </w:r>
          </w:p>
        </w:tc>
        <w:tc>
          <w:tcPr>
            <w:tcW w:w="1067" w:type="dxa"/>
            <w:shd w:val="clear" w:color="auto" w:fill="FFFFFF"/>
            <w:vAlign w:val="center"/>
          </w:tcPr>
          <w:p w14:paraId="2D31D736"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4931.67</w:t>
            </w:r>
          </w:p>
        </w:tc>
        <w:tc>
          <w:tcPr>
            <w:tcW w:w="1232" w:type="dxa"/>
            <w:shd w:val="clear" w:color="auto" w:fill="FFFFFF"/>
            <w:vAlign w:val="center"/>
          </w:tcPr>
          <w:p w14:paraId="6C19F29B"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FF0000"/>
                <w:sz w:val="22"/>
                <w:szCs w:val="22"/>
              </w:rPr>
              <w:t>54.92%</w:t>
            </w:r>
          </w:p>
        </w:tc>
      </w:tr>
    </w:tbl>
    <w:p w14:paraId="58A597D8" w14:textId="458580B2" w:rsidR="00F249A0" w:rsidRDefault="00C31C53" w:rsidP="00F249A0">
      <w:pPr>
        <w:pStyle w:val="CETheadingx"/>
        <w:numPr>
          <w:ilvl w:val="0"/>
          <w:numId w:val="0"/>
        </w:numPr>
        <w:rPr>
          <w:b w:val="0"/>
          <w:lang w:val="en-US"/>
        </w:rPr>
      </w:pPr>
      <w:r>
        <w:rPr>
          <w:b w:val="0"/>
          <w:lang w:val="en-US"/>
        </w:rPr>
        <w:t>The table shows that the light fraction of hydrocarbons results in 99% regardless of the treatment. Furthermore, for the medium and heavy fractions</w:t>
      </w:r>
      <w:r w:rsidR="00897C50" w:rsidRPr="00897C50">
        <w:rPr>
          <w:b w:val="0"/>
          <w:lang w:val="en-US"/>
        </w:rPr>
        <w:t xml:space="preserve"> of hydrocarbons, the treatment with 20% biocarbon is above 50%.</w:t>
      </w:r>
    </w:p>
    <w:p w14:paraId="6A0FC3B9" w14:textId="15C8EFD6" w:rsidR="009416D0" w:rsidRPr="00B62D30" w:rsidRDefault="009416D0" w:rsidP="009416D0">
      <w:pPr>
        <w:pStyle w:val="CETheadingx"/>
        <w:rPr>
          <w:lang w:val="en-US"/>
        </w:rPr>
      </w:pPr>
      <w:r w:rsidRPr="00B62D30">
        <w:rPr>
          <w:lang w:val="en-US"/>
        </w:rPr>
        <w:t>Efficiency of reduction of hydrocarbon fractions in contaminated soils using various doses of biochar</w:t>
      </w:r>
    </w:p>
    <w:p w14:paraId="44582526" w14:textId="3DF55600" w:rsidR="00443DFA" w:rsidRDefault="00443DFA" w:rsidP="009416D0">
      <w:pPr>
        <w:pStyle w:val="CETBodytext"/>
        <w:rPr>
          <w:lang w:val="en-US"/>
        </w:rPr>
      </w:pPr>
      <w:r w:rsidRPr="00443DFA">
        <w:rPr>
          <w:lang w:val="en-US"/>
        </w:rPr>
        <w:t>Figure 5 shows the percentage reduction in the concentration of the light, medium</w:t>
      </w:r>
      <w:r w:rsidR="00177763">
        <w:rPr>
          <w:lang w:val="en-US"/>
        </w:rPr>
        <w:t>,</w:t>
      </w:r>
      <w:r w:rsidRPr="00443DFA">
        <w:rPr>
          <w:lang w:val="en-US"/>
        </w:rPr>
        <w:t xml:space="preserve"> and heavy fractions of hydrocarbons in the soil samples during 45 days of treatment. It is confirmed that the light fraction reduces up to 99.99% of its concentration</w:t>
      </w:r>
      <w:r w:rsidR="00177763">
        <w:rPr>
          <w:lang w:val="en-US"/>
        </w:rPr>
        <w:t>,</w:t>
      </w:r>
      <w:r w:rsidRPr="00443DFA">
        <w:rPr>
          <w:lang w:val="en-US"/>
        </w:rPr>
        <w:t xml:space="preserve"> and the heavy fraction is the one that obtains the least reduction. This is because biochar </w:t>
      </w:r>
      <w:r w:rsidR="00177763">
        <w:rPr>
          <w:lang w:val="en-US"/>
        </w:rPr>
        <w:t>improves</w:t>
      </w:r>
      <w:r w:rsidRPr="00443DFA">
        <w:rPr>
          <w:lang w:val="en-US"/>
        </w:rPr>
        <w:t xml:space="preserve"> soil porosity, reducing apparent density and evapotranspiration</w:t>
      </w:r>
      <w:r w:rsidR="00177763">
        <w:rPr>
          <w:lang w:val="en-US"/>
        </w:rPr>
        <w:t>.</w:t>
      </w:r>
      <w:r w:rsidRPr="00443DFA">
        <w:rPr>
          <w:lang w:val="en-US"/>
        </w:rPr>
        <w:t xml:space="preserve"> </w:t>
      </w:r>
      <w:r w:rsidR="00177763">
        <w:rPr>
          <w:lang w:val="en-US"/>
        </w:rPr>
        <w:t>The efficiency is greater since the light fraction is less dense</w:t>
      </w:r>
      <w:r w:rsidRPr="00443DFA">
        <w:rPr>
          <w:lang w:val="en-US"/>
        </w:rPr>
        <w:t xml:space="preserve"> </w:t>
      </w:r>
      <w:r w:rsidR="00953905">
        <w:rPr>
          <w:lang w:val="es-PE"/>
        </w:rPr>
        <w:fldChar w:fldCharType="begin" w:fldLock="1"/>
      </w:r>
      <w:r w:rsidR="00953905">
        <w:rPr>
          <w:lang w:val="en-US"/>
        </w:rPr>
        <w:instrText>ADDIN CSL_CITATION {"citationItems":[{"id":"ITEM-1","itemData":{"DOI":"10.1016/j.agee.2015.03.015","ISSN":"01678809","abstract":"Soil microbial communities are responsive to biochar amendments. As the residence time of biochar in soil is expected to be hundreds to thousands of years, the changes in microbial community structure and functions could persist for a long period of time. Given that biochar is being applied as a soil amendment in many parts of the world, the long-term consequences for soil microbial communities need to be considered. The objective of this review is to document how biochar creates new habitats and changes the soil environment for microorganisms, which may lead to changes in microbial abundance, community structure and activities. Our meta-analysis revealed that slow pyrolyzed biochars produced from various feedstocks at temperatures from 300. °C to 600. °C consistently increased some physico-chemical properties (i.e., pH, cation exchange capacity and aggregation) and microbial parameters (i.e., abundance and community structure of microorganisms) in a vast number of soils during short (≤90. days) laboratory incubations and longer (1-3. years) field studies. The biochar-mediated changes in soil physico-chemical and biological properties appeared to be a function of soil texture and biochar type based on its feedstock and production temperature, which determines key biochar characteristics such as surface area, porosity and pH. Biochars derived from manure or crop residue feedstocks tend to promote microbial abundance more than wood-derived biochars. Biochars derived from wood and other lignocellulosic-rich feedstocks tend to exhibit beneficial effects on soil microbial abundance later (≥60. days) than biochars from manure or crop residue feedstocks. Coarse textured soils tend to have less aggregation, lower microbial biomass and lower enzyme activities when amended with slow pyrolyzed biochars produced at high temperatures (&gt;600. °C), but these biochars did not affect the physico-chemical and biological properties of clayey soils. Further research is needed to evaluate the magnitude of biochar influence on soil microbial abundance and activities considering (1) the biochar particle size, surface area, porosity, nutrient content and pH, and (2) the soil organic matter (SOM) content and microbial abundance of the soil matrix. Once the microbial activities in the biochar-soil system are understood, they can be manipulated through organic and inorganic fertilizer applications to sustain or improve agricultural crop production.","author":[{"dropping-particle":"","family":"Gul","given":"Shamim","non-dropping-particle":"","parse-names":false,"suffix":""},{"dropping-particle":"","family":"Whalen","given":"Joann K.","non-dropping-particle":"","parse-names":false,"suffix":""},{"dropping-particle":"","family":"Thomas","given":"Ben W.","non-dropping-particle":"","parse-names":false,"suffix":""},{"dropping-particle":"","family":"Sachdeva","given":"Vanita","non-dropping-particle":"","parse-names":false,"suffix":""},{"dropping-particle":"","family":"Deng","given":"Hongyuan","non-dropping-particle":"","parse-names":false,"suffix":""}],"container-title":"Agriculture, Ecosystems and Environment","id":"ITEM-1","issued":{"date-parts":[["2015"]]},"page":"46-59","publisher":"Elsevier B.V.","title":"Physico-chemical properties and microbial responses in biochar-amended soils: Mechanisms and future directions","type":"article-journal","volume":"206"},"uris":["http://www.mendeley.com/documents/?uuid=3c30e380-e0a1-4c66-af1f-b1478dd5824d"]}],"mendeley":{"formattedCitation":"(Gul et al., 2015)","plainTextFormattedCitation":"(Gul et al., 2015)","previouslyFormattedCitation":"(Gul et al., 2015)"},"properties":{"noteIndex":0},"schema":"https://github.com/citation-style-language/schema/raw/master/csl-citation.json"}</w:instrText>
      </w:r>
      <w:r w:rsidR="00953905">
        <w:rPr>
          <w:lang w:val="es-PE"/>
        </w:rPr>
        <w:fldChar w:fldCharType="separate"/>
      </w:r>
      <w:r w:rsidR="00953905" w:rsidRPr="00953905">
        <w:rPr>
          <w:noProof/>
          <w:lang w:val="en-US"/>
        </w:rPr>
        <w:t>(Gul et al., 2015)</w:t>
      </w:r>
      <w:r w:rsidR="00953905">
        <w:rPr>
          <w:lang w:val="es-PE"/>
        </w:rPr>
        <w:fldChar w:fldCharType="end"/>
      </w:r>
      <w:r w:rsidRPr="00443DFA">
        <w:rPr>
          <w:lang w:val="en-US"/>
        </w:rPr>
        <w:t>. Furthermore, biochar efficiently facilitates the elimination of polycyclic aromatic hydrocarbons (PAHs), stating once again that the porous structure of biochar is essential for absorption</w:t>
      </w:r>
      <w:r w:rsidR="00953905">
        <w:rPr>
          <w:lang w:val="en-US"/>
        </w:rPr>
        <w:t xml:space="preserve"> </w:t>
      </w:r>
      <w:r w:rsidR="00BC34D1">
        <w:rPr>
          <w:lang w:val="en-US"/>
        </w:rPr>
        <w:fldChar w:fldCharType="begin" w:fldLock="1"/>
      </w:r>
      <w:r w:rsidR="007A2C09">
        <w:rPr>
          <w:lang w:val="en-US"/>
        </w:rPr>
        <w:instrText>ADDIN CSL_CITATION {"citationItems":[{"id":"ITEM-1","itemData":{"DOI":"10.3390/molecules26216628","ISSN":"14203049","PMID":"34771037","abstract":"Currently, a serious threat for living organisms and human life in particular, is water contamination with persistent organic and inorganic pollutants. To date, several techniques have been adopted to remove/treat organics and toxic contaminants. Adsorption is one of the most effective and economical methods for this purpose. Generally, porous materials are considered as appropri-ate adsorbents for water purification. Conventional adsorbents such as activated carbons have a limited possibility of surface modification (texture and functionality), and their adsorption capacity is difficult to control. Therefore, despite the significant progress achieved in the development of the systems for water remediation, there is still a need for novel adsorptive materials with tunable functional characteristics. This review addresses the new trends in the development of new adsorbent materials. Herein, modern carbon-based materials, such as graphene, oxidized carbon, carbon nano-tubes, biomass-derived carbonaceous matrices—biochars as well as their composites with metal-organic frameworks (MOFs) and MOF-derived highly-ordered carbons are considered as advanced adsorbents for removal of hazardous organics from drinking water, process water, and leachate. The review is focused on the preparation and modification of these next-generation carbon-based adsorbents and analysis of their adsorption performance including possible adsorption mecha-nisms. Simultaneously, some weak points of modern carbon-based adsorbents are analyzed as well as the routes to conquer them. For instance, for removal of large quantities of pollutants, the combination of adsorption and other methods, like sedimentation may be recommended. A number of efficient strategies for further enhancing the adsorption performance of the carbon-based adsor-bents, in particular, integrating approaches and further rational functionalization, including com-posing these adsorbents (of two or even three types) can be recommended. The cost reduction and efficient regeneration must also be in the focus of future research endeavors. The targeted optimization of the discussed carbon-based adsorbents associated with detailed studies of the adsorption process, especially, for multicomponent adsorbate solution, will pave a bright avenue for efficient water remediation.","author":[{"dropping-particle":"","family":"Isaeva","given":"Vera I.","non-dropping-particle":"","parse-names":false,"suffix":""},{"dropping-particle":"","family":"Vedenyapina","given":"Marina D.","non-dropping-particle":"","parse-names":false,"suffix":""},{"dropping-particle":"","family":"Kurmysheva","given":"Alexandra Yu","non-dropping-particle":"","parse-names":false,"suffix":""},{"dropping-particle":"","family":"Weichgrebe","given":"Dirk","non-dropping-particle":"","parse-names":false,"suffix":""},{"dropping-particle":"","family":"Nair","given":"Rahul Ramesh","non-dropping-particle":"","parse-names":false,"suffix":""},{"dropping-particle":"","family":"Nguyen","given":"Ngoc Phuong Thanh","non-dropping-particle":"","parse-names":false,"suffix":""},{"dropping-particle":"","family":"Kustov","given":"Leonid M.","non-dropping-particle":"","parse-names":false,"suffix":""}],"container-title":"Molecules","id":"ITEM-1","issue":"21","issued":{"date-parts":[["2021"]]},"page":"1-95","title":"Modern carbon–based materials for adsorptive removal of organic and inorganic pollutants from water and wastewater","type":"article-journal","volume":"26"},"uris":["http://www.mendeley.com/documents/?uuid=8f08e55c-b699-4b5d-9ee3-82f0de10b560"]}],"mendeley":{"formattedCitation":"(Isaeva et al., 2021)","plainTextFormattedCitation":"(Isaeva et al., 2021)","previouslyFormattedCitation":"(Isaeva et al., 2021)"},"properties":{"noteIndex":0},"schema":"https://github.com/citation-style-language/schema/raw/master/csl-citation.json"}</w:instrText>
      </w:r>
      <w:r w:rsidR="00BC34D1">
        <w:rPr>
          <w:lang w:val="en-US"/>
        </w:rPr>
        <w:fldChar w:fldCharType="separate"/>
      </w:r>
      <w:r w:rsidR="00BC34D1" w:rsidRPr="00BC34D1">
        <w:rPr>
          <w:noProof/>
          <w:lang w:val="en-US"/>
        </w:rPr>
        <w:t>(Isaeva et al., 2021)</w:t>
      </w:r>
      <w:r w:rsidR="00BC34D1">
        <w:rPr>
          <w:lang w:val="en-US"/>
        </w:rPr>
        <w:fldChar w:fldCharType="end"/>
      </w:r>
      <w:r w:rsidRPr="00443DFA">
        <w:rPr>
          <w:lang w:val="en-US"/>
        </w:rPr>
        <w:t>.</w:t>
      </w:r>
    </w:p>
    <w:p w14:paraId="2166EF7D" w14:textId="77777777" w:rsidR="00443DFA" w:rsidRDefault="00443DFA" w:rsidP="009416D0">
      <w:pPr>
        <w:pStyle w:val="CETBodytext"/>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13540D" w14:paraId="2700DFBA" w14:textId="77777777" w:rsidTr="00AC3E4A">
        <w:tc>
          <w:tcPr>
            <w:tcW w:w="7655" w:type="dxa"/>
          </w:tcPr>
          <w:p w14:paraId="2290C5CC" w14:textId="77777777" w:rsidR="0013540D" w:rsidRDefault="0013540D" w:rsidP="007E7D42">
            <w:pPr>
              <w:pStyle w:val="CETBodytext"/>
              <w:rPr>
                <w:lang w:val="en-US"/>
              </w:rPr>
            </w:pPr>
            <w:r>
              <w:rPr>
                <w:noProof/>
                <w:lang w:val="en-US"/>
              </w:rPr>
              <w:drawing>
                <wp:inline distT="0" distB="0" distL="0" distR="0" wp14:anchorId="38D6D545" wp14:editId="254E39AB">
                  <wp:extent cx="4060800" cy="2448000"/>
                  <wp:effectExtent l="0" t="0" r="0" b="0"/>
                  <wp:docPr id="135933823"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3823" name="Imagen 2" descr="Gráfico, Gráfico de barras&#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0800" cy="2448000"/>
                          </a:xfrm>
                          <a:prstGeom prst="rect">
                            <a:avLst/>
                          </a:prstGeom>
                          <a:noFill/>
                        </pic:spPr>
                      </pic:pic>
                    </a:graphicData>
                  </a:graphic>
                </wp:inline>
              </w:drawing>
            </w:r>
          </w:p>
        </w:tc>
      </w:tr>
      <w:tr w:rsidR="0013540D" w14:paraId="29623D4F" w14:textId="77777777" w:rsidTr="00AC3E4A">
        <w:tc>
          <w:tcPr>
            <w:tcW w:w="7655" w:type="dxa"/>
          </w:tcPr>
          <w:p w14:paraId="6793BA62" w14:textId="77777777" w:rsidR="0013540D" w:rsidRDefault="0013540D" w:rsidP="00AC3E4A">
            <w:pPr>
              <w:pStyle w:val="CETBodytext"/>
              <w:tabs>
                <w:tab w:val="clear" w:pos="7100"/>
              </w:tabs>
              <w:rPr>
                <w:lang w:val="en-US"/>
              </w:rPr>
            </w:pPr>
            <w:r w:rsidRPr="00B42A46">
              <w:rPr>
                <w:rStyle w:val="CETCaptionCarattere"/>
              </w:rPr>
              <w:t xml:space="preserve">Figure </w:t>
            </w:r>
            <w:r>
              <w:rPr>
                <w:rStyle w:val="CETCaptionCarattere"/>
              </w:rPr>
              <w:t>5</w:t>
            </w:r>
            <w:r w:rsidRPr="00B42A46">
              <w:rPr>
                <w:rStyle w:val="CETCaptionCarattere"/>
              </w:rPr>
              <w:t xml:space="preserve">: </w:t>
            </w:r>
            <w:r w:rsidRPr="003D40A1">
              <w:rPr>
                <w:rStyle w:val="CETCaptionCarattere"/>
              </w:rPr>
              <w:t>Percentage of efficiency according to treatment for each type of hydrocarbon fraction</w:t>
            </w:r>
            <w:r w:rsidRPr="00B62D30">
              <w:rPr>
                <w:lang w:val="en-US"/>
              </w:rPr>
              <w:t>.</w:t>
            </w:r>
          </w:p>
        </w:tc>
      </w:tr>
    </w:tbl>
    <w:p w14:paraId="5D5170E6" w14:textId="77777777" w:rsidR="00772E72" w:rsidRPr="00B62D30" w:rsidRDefault="00772E72" w:rsidP="00772E72">
      <w:pPr>
        <w:pStyle w:val="CETheadingx"/>
        <w:rPr>
          <w:lang w:val="en-US"/>
        </w:rPr>
      </w:pPr>
      <w:r w:rsidRPr="00B62D30">
        <w:rPr>
          <w:lang w:val="en-US"/>
        </w:rPr>
        <w:lastRenderedPageBreak/>
        <w:t>Physicochemical properties of contaminated soil after treatment with biochar</w:t>
      </w:r>
    </w:p>
    <w:p w14:paraId="18651DF2" w14:textId="77777777" w:rsidR="00772E72" w:rsidRDefault="00772E72" w:rsidP="00772E72">
      <w:pPr>
        <w:pStyle w:val="CETBodytext"/>
        <w:rPr>
          <w:lang w:val="en-US"/>
        </w:rPr>
      </w:pPr>
      <w:r w:rsidRPr="00B62D30">
        <w:rPr>
          <w:lang w:val="en-US"/>
        </w:rPr>
        <w:t>Table 2 shows the changes that each treatment (5%, 10%</w:t>
      </w:r>
      <w:r>
        <w:rPr>
          <w:lang w:val="en-US"/>
        </w:rPr>
        <w:t>,</w:t>
      </w:r>
      <w:r w:rsidRPr="00B62D30">
        <w:rPr>
          <w:lang w:val="en-US"/>
        </w:rPr>
        <w:t xml:space="preserve"> and 20%) exerts on the physicochemical parameters after 20 and 45 days of homogenizing the soil contaminated with biochar.</w:t>
      </w:r>
    </w:p>
    <w:p w14:paraId="715539CD" w14:textId="7A3A8016" w:rsidR="00E83690" w:rsidRPr="00B62D30" w:rsidRDefault="00E83690" w:rsidP="00E83690">
      <w:pPr>
        <w:pStyle w:val="CETTabletitle"/>
        <w:rPr>
          <w:lang w:val="en-US"/>
        </w:rPr>
      </w:pPr>
      <w:r w:rsidRPr="00B62D30">
        <w:rPr>
          <w:lang w:val="en-US"/>
        </w:rPr>
        <w:t>Table 2: Physicochemical parameters of the soil before and after treatment at 20 and 45 days.</w:t>
      </w:r>
    </w:p>
    <w:tbl>
      <w:tblPr>
        <w:tblW w:w="9495"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0"/>
        <w:gridCol w:w="993"/>
        <w:gridCol w:w="1113"/>
        <w:gridCol w:w="1114"/>
        <w:gridCol w:w="1085"/>
        <w:gridCol w:w="1085"/>
        <w:gridCol w:w="1085"/>
        <w:gridCol w:w="1085"/>
        <w:gridCol w:w="1085"/>
      </w:tblGrid>
      <w:tr w:rsidR="00FF09F1" w:rsidRPr="00CB1B2B" w14:paraId="09FE8713" w14:textId="77777777" w:rsidTr="00265344">
        <w:trPr>
          <w:jc w:val="center"/>
        </w:trPr>
        <w:tc>
          <w:tcPr>
            <w:tcW w:w="1843" w:type="dxa"/>
            <w:gridSpan w:val="2"/>
            <w:vMerge w:val="restart"/>
            <w:tcBorders>
              <w:top w:val="single" w:sz="12" w:space="0" w:color="008000"/>
            </w:tcBorders>
            <w:shd w:val="clear" w:color="auto" w:fill="FFFFFF"/>
            <w:vAlign w:val="center"/>
          </w:tcPr>
          <w:p w14:paraId="6D974F7A" w14:textId="58F49764" w:rsidR="00FF09F1" w:rsidRPr="00DF1ADB" w:rsidRDefault="00FF09F1" w:rsidP="00073758">
            <w:pPr>
              <w:pStyle w:val="CETBodytext"/>
              <w:jc w:val="center"/>
              <w:rPr>
                <w:lang w:val="en-GB"/>
              </w:rPr>
            </w:pPr>
            <w:r w:rsidRPr="00DF1ADB">
              <w:rPr>
                <w:lang w:val="en-GB"/>
              </w:rPr>
              <w:t>Parameters physicochemical</w:t>
            </w:r>
          </w:p>
        </w:tc>
        <w:tc>
          <w:tcPr>
            <w:tcW w:w="1113" w:type="dxa"/>
            <w:vMerge w:val="restart"/>
            <w:tcBorders>
              <w:top w:val="single" w:sz="12" w:space="0" w:color="008000"/>
            </w:tcBorders>
            <w:shd w:val="clear" w:color="auto" w:fill="FFFFFF"/>
            <w:vAlign w:val="center"/>
          </w:tcPr>
          <w:p w14:paraId="60D0EBA3" w14:textId="73DD3835" w:rsidR="00FF09F1" w:rsidRPr="00DF1ADB" w:rsidRDefault="00FF09F1" w:rsidP="00073758">
            <w:pPr>
              <w:pStyle w:val="CETBodytext"/>
              <w:jc w:val="center"/>
              <w:rPr>
                <w:lang w:val="en-GB"/>
              </w:rPr>
            </w:pPr>
            <w:r w:rsidRPr="00DF1ADB">
              <w:rPr>
                <w:lang w:val="en-GB"/>
              </w:rPr>
              <w:t>Sample Control</w:t>
            </w:r>
          </w:p>
        </w:tc>
        <w:tc>
          <w:tcPr>
            <w:tcW w:w="3284" w:type="dxa"/>
            <w:gridSpan w:val="3"/>
            <w:tcBorders>
              <w:top w:val="single" w:sz="12" w:space="0" w:color="008000"/>
              <w:bottom w:val="single" w:sz="4" w:space="0" w:color="008000"/>
            </w:tcBorders>
            <w:shd w:val="clear" w:color="auto" w:fill="FFFFFF"/>
            <w:vAlign w:val="center"/>
          </w:tcPr>
          <w:p w14:paraId="5A8C5E03" w14:textId="4FA8462E" w:rsidR="00FF09F1" w:rsidRPr="00772E72" w:rsidRDefault="00FF09F1" w:rsidP="00073758">
            <w:pPr>
              <w:pStyle w:val="CETBodytext"/>
              <w:ind w:right="-1"/>
              <w:jc w:val="center"/>
              <w:rPr>
                <w:rFonts w:cs="Arial"/>
                <w:szCs w:val="18"/>
                <w:lang w:val="en-US"/>
              </w:rPr>
            </w:pPr>
            <w:r w:rsidRPr="00772E72">
              <w:rPr>
                <w:lang w:val="en-US"/>
              </w:rPr>
              <w:t>Treatment results after 20 days</w:t>
            </w:r>
          </w:p>
        </w:tc>
        <w:tc>
          <w:tcPr>
            <w:tcW w:w="3255" w:type="dxa"/>
            <w:gridSpan w:val="3"/>
            <w:tcBorders>
              <w:top w:val="single" w:sz="12" w:space="0" w:color="008000"/>
              <w:bottom w:val="single" w:sz="4" w:space="0" w:color="008000"/>
            </w:tcBorders>
            <w:shd w:val="clear" w:color="auto" w:fill="FFFFFF"/>
            <w:vAlign w:val="center"/>
          </w:tcPr>
          <w:p w14:paraId="4948D41F" w14:textId="6EEF0FFD" w:rsidR="00FF09F1" w:rsidRPr="00772E72" w:rsidRDefault="00FF09F1" w:rsidP="00073758">
            <w:pPr>
              <w:pStyle w:val="CETBodytext"/>
              <w:ind w:right="-1"/>
              <w:jc w:val="center"/>
              <w:rPr>
                <w:rFonts w:cs="Arial"/>
                <w:szCs w:val="18"/>
                <w:lang w:val="en-US"/>
              </w:rPr>
            </w:pPr>
            <w:r w:rsidRPr="00772E72">
              <w:rPr>
                <w:lang w:val="en-US"/>
              </w:rPr>
              <w:t>Treatment results after 45 days</w:t>
            </w:r>
          </w:p>
        </w:tc>
      </w:tr>
      <w:tr w:rsidR="00DF1ADB" w:rsidRPr="00073758" w14:paraId="17DB6AD8" w14:textId="77777777" w:rsidTr="00265344">
        <w:trPr>
          <w:jc w:val="center"/>
        </w:trPr>
        <w:tc>
          <w:tcPr>
            <w:tcW w:w="1843" w:type="dxa"/>
            <w:gridSpan w:val="2"/>
            <w:vMerge/>
            <w:tcBorders>
              <w:bottom w:val="single" w:sz="6" w:space="0" w:color="008000"/>
            </w:tcBorders>
            <w:shd w:val="clear" w:color="auto" w:fill="FFFFFF"/>
            <w:vAlign w:val="center"/>
          </w:tcPr>
          <w:p w14:paraId="047D1C29" w14:textId="77777777" w:rsidR="00DF1ADB" w:rsidRPr="00772E72" w:rsidRDefault="00DF1ADB" w:rsidP="00DF1ADB">
            <w:pPr>
              <w:pStyle w:val="CETBodytext"/>
              <w:rPr>
                <w:lang w:val="en-US"/>
              </w:rPr>
            </w:pPr>
          </w:p>
        </w:tc>
        <w:tc>
          <w:tcPr>
            <w:tcW w:w="1113" w:type="dxa"/>
            <w:vMerge/>
            <w:tcBorders>
              <w:bottom w:val="single" w:sz="6" w:space="0" w:color="008000"/>
            </w:tcBorders>
            <w:shd w:val="clear" w:color="auto" w:fill="FFFFFF"/>
            <w:vAlign w:val="center"/>
          </w:tcPr>
          <w:p w14:paraId="4EAE08F1" w14:textId="77777777" w:rsidR="00DF1ADB" w:rsidRPr="00772E72" w:rsidRDefault="00DF1ADB" w:rsidP="00DF1ADB">
            <w:pPr>
              <w:pStyle w:val="CETBodytext"/>
              <w:rPr>
                <w:lang w:val="en-US"/>
              </w:rPr>
            </w:pPr>
          </w:p>
        </w:tc>
        <w:tc>
          <w:tcPr>
            <w:tcW w:w="1114" w:type="dxa"/>
            <w:tcBorders>
              <w:top w:val="single" w:sz="4" w:space="0" w:color="008000"/>
              <w:bottom w:val="single" w:sz="4" w:space="0" w:color="008000"/>
            </w:tcBorders>
            <w:shd w:val="clear" w:color="auto" w:fill="FFFFFF"/>
            <w:vAlign w:val="center"/>
          </w:tcPr>
          <w:p w14:paraId="0599DA4C" w14:textId="02284055" w:rsidR="00DF1ADB" w:rsidRPr="00772E72" w:rsidRDefault="00DF1ADB" w:rsidP="00DF1ADB">
            <w:pPr>
              <w:pStyle w:val="CETBodytext"/>
              <w:jc w:val="center"/>
              <w:rPr>
                <w:lang w:val="en-US"/>
              </w:rPr>
            </w:pPr>
            <w:r w:rsidRPr="005578D6">
              <w:rPr>
                <w:rFonts w:ascii="Calibri" w:hAnsi="Calibri" w:cs="Calibri"/>
                <w:color w:val="000000"/>
                <w:sz w:val="22"/>
                <w:szCs w:val="22"/>
              </w:rPr>
              <w:t>SB05</w:t>
            </w:r>
          </w:p>
        </w:tc>
        <w:tc>
          <w:tcPr>
            <w:tcW w:w="1085" w:type="dxa"/>
            <w:tcBorders>
              <w:top w:val="single" w:sz="4" w:space="0" w:color="008000"/>
              <w:bottom w:val="single" w:sz="4" w:space="0" w:color="008000"/>
            </w:tcBorders>
            <w:shd w:val="clear" w:color="auto" w:fill="FFFFFF"/>
            <w:vAlign w:val="center"/>
          </w:tcPr>
          <w:p w14:paraId="7A5859CA" w14:textId="5D389D2C"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SB10</w:t>
            </w:r>
          </w:p>
        </w:tc>
        <w:tc>
          <w:tcPr>
            <w:tcW w:w="1085" w:type="dxa"/>
            <w:tcBorders>
              <w:top w:val="single" w:sz="4" w:space="0" w:color="008000"/>
              <w:bottom w:val="single" w:sz="4" w:space="0" w:color="008000"/>
            </w:tcBorders>
            <w:shd w:val="clear" w:color="auto" w:fill="FFFFFF"/>
            <w:vAlign w:val="center"/>
          </w:tcPr>
          <w:p w14:paraId="1BC5A493" w14:textId="5FF285D7"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SB20</w:t>
            </w:r>
          </w:p>
        </w:tc>
        <w:tc>
          <w:tcPr>
            <w:tcW w:w="1085" w:type="dxa"/>
            <w:tcBorders>
              <w:top w:val="single" w:sz="4" w:space="0" w:color="008000"/>
              <w:bottom w:val="single" w:sz="4" w:space="0" w:color="008000"/>
            </w:tcBorders>
            <w:shd w:val="clear" w:color="auto" w:fill="FFFFFF"/>
            <w:vAlign w:val="center"/>
          </w:tcPr>
          <w:p w14:paraId="04232CAC" w14:textId="76056650"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SB05</w:t>
            </w:r>
          </w:p>
        </w:tc>
        <w:tc>
          <w:tcPr>
            <w:tcW w:w="1085" w:type="dxa"/>
            <w:tcBorders>
              <w:top w:val="single" w:sz="4" w:space="0" w:color="008000"/>
              <w:bottom w:val="single" w:sz="6" w:space="0" w:color="008000"/>
            </w:tcBorders>
            <w:shd w:val="clear" w:color="auto" w:fill="FFFFFF"/>
            <w:vAlign w:val="center"/>
          </w:tcPr>
          <w:p w14:paraId="3D6FAC6C" w14:textId="483309C4"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SB10</w:t>
            </w:r>
          </w:p>
        </w:tc>
        <w:tc>
          <w:tcPr>
            <w:tcW w:w="1085" w:type="dxa"/>
            <w:tcBorders>
              <w:top w:val="single" w:sz="4" w:space="0" w:color="008000"/>
              <w:bottom w:val="single" w:sz="6" w:space="0" w:color="008000"/>
            </w:tcBorders>
            <w:shd w:val="clear" w:color="auto" w:fill="FFFFFF"/>
            <w:vAlign w:val="center"/>
          </w:tcPr>
          <w:p w14:paraId="2A79A5D3" w14:textId="690A8409"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SB20</w:t>
            </w:r>
          </w:p>
        </w:tc>
      </w:tr>
      <w:tr w:rsidR="00EF1935" w:rsidRPr="00B57B36" w14:paraId="4000BE0C" w14:textId="77777777" w:rsidTr="00265344">
        <w:trPr>
          <w:jc w:val="center"/>
        </w:trPr>
        <w:tc>
          <w:tcPr>
            <w:tcW w:w="1843" w:type="dxa"/>
            <w:gridSpan w:val="2"/>
            <w:shd w:val="clear" w:color="auto" w:fill="FFFFFF"/>
            <w:vAlign w:val="center"/>
          </w:tcPr>
          <w:p w14:paraId="0490A744" w14:textId="10187E51" w:rsidR="00EF1935" w:rsidRPr="00B57B36" w:rsidRDefault="00EF1935" w:rsidP="0039732C">
            <w:pPr>
              <w:pStyle w:val="CETBodytext"/>
              <w:jc w:val="center"/>
              <w:rPr>
                <w:lang w:val="en-GB"/>
              </w:rPr>
            </w:pPr>
            <w:r w:rsidRPr="00464A46">
              <w:t>Organic material (%)</w:t>
            </w:r>
          </w:p>
        </w:tc>
        <w:tc>
          <w:tcPr>
            <w:tcW w:w="1113" w:type="dxa"/>
            <w:shd w:val="clear" w:color="auto" w:fill="FFFFFF"/>
            <w:vAlign w:val="center"/>
          </w:tcPr>
          <w:p w14:paraId="3C6D9A7E" w14:textId="1F012257" w:rsidR="00EF1935" w:rsidRPr="00B57B36" w:rsidRDefault="00BE2B88" w:rsidP="00001E32">
            <w:pPr>
              <w:pStyle w:val="CETBodytext"/>
              <w:jc w:val="center"/>
              <w:rPr>
                <w:lang w:val="en-GB"/>
              </w:rPr>
            </w:pPr>
            <w:r>
              <w:rPr>
                <w:lang w:val="en-GB"/>
              </w:rPr>
              <w:t>2.36</w:t>
            </w:r>
          </w:p>
        </w:tc>
        <w:tc>
          <w:tcPr>
            <w:tcW w:w="1114" w:type="dxa"/>
            <w:tcBorders>
              <w:top w:val="single" w:sz="4" w:space="0" w:color="008000"/>
              <w:bottom w:val="nil"/>
            </w:tcBorders>
            <w:shd w:val="clear" w:color="auto" w:fill="FFFFFF"/>
            <w:vAlign w:val="center"/>
          </w:tcPr>
          <w:p w14:paraId="53CCB5DB" w14:textId="428F578A" w:rsidR="00EF1935" w:rsidRPr="00B57B36" w:rsidRDefault="00CB07BE" w:rsidP="00001E32">
            <w:pPr>
              <w:pStyle w:val="CETBodytext"/>
              <w:jc w:val="center"/>
              <w:rPr>
                <w:lang w:val="en-GB"/>
              </w:rPr>
            </w:pPr>
            <w:r>
              <w:rPr>
                <w:lang w:val="en-GB"/>
              </w:rPr>
              <w:t>3.90</w:t>
            </w:r>
          </w:p>
        </w:tc>
        <w:tc>
          <w:tcPr>
            <w:tcW w:w="1085" w:type="dxa"/>
            <w:tcBorders>
              <w:top w:val="single" w:sz="4" w:space="0" w:color="008000"/>
              <w:bottom w:val="nil"/>
            </w:tcBorders>
            <w:shd w:val="clear" w:color="auto" w:fill="FFFFFF"/>
            <w:vAlign w:val="center"/>
          </w:tcPr>
          <w:p w14:paraId="6F69637B" w14:textId="0B506B77" w:rsidR="00EF1935" w:rsidRPr="00B57B36" w:rsidRDefault="00EC0956" w:rsidP="00001E32">
            <w:pPr>
              <w:pStyle w:val="CETBodytext"/>
              <w:ind w:right="-1"/>
              <w:jc w:val="center"/>
              <w:rPr>
                <w:rFonts w:cs="Arial"/>
                <w:szCs w:val="18"/>
                <w:lang w:val="en-GB"/>
              </w:rPr>
            </w:pPr>
            <w:r>
              <w:rPr>
                <w:rFonts w:cs="Arial"/>
                <w:szCs w:val="18"/>
                <w:lang w:val="en-GB"/>
              </w:rPr>
              <w:t>4.19</w:t>
            </w:r>
          </w:p>
        </w:tc>
        <w:tc>
          <w:tcPr>
            <w:tcW w:w="1085" w:type="dxa"/>
            <w:tcBorders>
              <w:top w:val="single" w:sz="4" w:space="0" w:color="008000"/>
              <w:bottom w:val="nil"/>
            </w:tcBorders>
            <w:shd w:val="clear" w:color="auto" w:fill="FFFFFF"/>
            <w:vAlign w:val="center"/>
          </w:tcPr>
          <w:p w14:paraId="1BA52316" w14:textId="31DB0A65" w:rsidR="00EF1935" w:rsidRPr="00B57B36" w:rsidRDefault="00E629E5" w:rsidP="00001E32">
            <w:pPr>
              <w:pStyle w:val="CETBodytext"/>
              <w:ind w:right="-1"/>
              <w:jc w:val="center"/>
              <w:rPr>
                <w:rFonts w:cs="Arial"/>
                <w:szCs w:val="18"/>
                <w:lang w:val="en-GB"/>
              </w:rPr>
            </w:pPr>
            <w:r>
              <w:rPr>
                <w:rFonts w:cs="Arial"/>
                <w:szCs w:val="18"/>
                <w:lang w:val="en-GB"/>
              </w:rPr>
              <w:t>4.74</w:t>
            </w:r>
          </w:p>
        </w:tc>
        <w:tc>
          <w:tcPr>
            <w:tcW w:w="1085" w:type="dxa"/>
            <w:tcBorders>
              <w:top w:val="single" w:sz="4" w:space="0" w:color="008000"/>
              <w:bottom w:val="nil"/>
            </w:tcBorders>
            <w:shd w:val="clear" w:color="auto" w:fill="FFFFFF"/>
            <w:vAlign w:val="center"/>
          </w:tcPr>
          <w:p w14:paraId="73F108C6" w14:textId="0BAC9B86" w:rsidR="00EF1935" w:rsidRPr="00B57B36" w:rsidRDefault="005B64BB" w:rsidP="00001E32">
            <w:pPr>
              <w:pStyle w:val="CETBodytext"/>
              <w:ind w:right="-1"/>
              <w:jc w:val="center"/>
              <w:rPr>
                <w:rFonts w:cs="Arial"/>
                <w:szCs w:val="18"/>
                <w:lang w:val="en-GB"/>
              </w:rPr>
            </w:pPr>
            <w:r>
              <w:rPr>
                <w:rFonts w:cs="Arial"/>
                <w:szCs w:val="18"/>
                <w:lang w:val="en-GB"/>
              </w:rPr>
              <w:t>3.99</w:t>
            </w:r>
          </w:p>
        </w:tc>
        <w:tc>
          <w:tcPr>
            <w:tcW w:w="1085" w:type="dxa"/>
            <w:shd w:val="clear" w:color="auto" w:fill="FFFFFF"/>
            <w:vAlign w:val="center"/>
          </w:tcPr>
          <w:p w14:paraId="72F70B7C" w14:textId="1091F97A" w:rsidR="00EF1935" w:rsidRPr="00B57B36" w:rsidRDefault="00BB31C8" w:rsidP="00001E32">
            <w:pPr>
              <w:pStyle w:val="CETBodytext"/>
              <w:ind w:right="-1"/>
              <w:jc w:val="center"/>
              <w:rPr>
                <w:rFonts w:cs="Arial"/>
                <w:szCs w:val="18"/>
                <w:lang w:val="en-GB"/>
              </w:rPr>
            </w:pPr>
            <w:r>
              <w:rPr>
                <w:rFonts w:cs="Arial"/>
                <w:szCs w:val="18"/>
                <w:lang w:val="en-GB"/>
              </w:rPr>
              <w:t>4.64</w:t>
            </w:r>
          </w:p>
        </w:tc>
        <w:tc>
          <w:tcPr>
            <w:tcW w:w="1085" w:type="dxa"/>
            <w:shd w:val="clear" w:color="auto" w:fill="FFFFFF"/>
            <w:vAlign w:val="center"/>
          </w:tcPr>
          <w:p w14:paraId="391A461E" w14:textId="3C708EAE" w:rsidR="00EF1935" w:rsidRPr="00B57B36" w:rsidRDefault="00D71DB7" w:rsidP="00001E32">
            <w:pPr>
              <w:pStyle w:val="CETBodytext"/>
              <w:ind w:right="-1"/>
              <w:jc w:val="center"/>
              <w:rPr>
                <w:rFonts w:cs="Arial"/>
                <w:szCs w:val="18"/>
                <w:lang w:val="en-GB"/>
              </w:rPr>
            </w:pPr>
            <w:r>
              <w:rPr>
                <w:rFonts w:cs="Arial"/>
                <w:szCs w:val="18"/>
                <w:lang w:val="en-GB"/>
              </w:rPr>
              <w:t>5.10</w:t>
            </w:r>
          </w:p>
        </w:tc>
      </w:tr>
      <w:tr w:rsidR="00EF1935" w:rsidRPr="00B57B36" w14:paraId="2106D9AE" w14:textId="77777777" w:rsidTr="00265344">
        <w:trPr>
          <w:jc w:val="center"/>
        </w:trPr>
        <w:tc>
          <w:tcPr>
            <w:tcW w:w="1843" w:type="dxa"/>
            <w:gridSpan w:val="2"/>
            <w:shd w:val="clear" w:color="auto" w:fill="FFFFFF"/>
            <w:vAlign w:val="center"/>
          </w:tcPr>
          <w:p w14:paraId="0C67EF32" w14:textId="16B2A7B2" w:rsidR="00EF1935" w:rsidRPr="00B57B36" w:rsidRDefault="00EF1935" w:rsidP="0039732C">
            <w:pPr>
              <w:pStyle w:val="CETBodytext"/>
              <w:jc w:val="center"/>
              <w:rPr>
                <w:lang w:val="en-GB"/>
              </w:rPr>
            </w:pPr>
            <w:r w:rsidRPr="00464A46">
              <w:t>pH (1-14)</w:t>
            </w:r>
          </w:p>
        </w:tc>
        <w:tc>
          <w:tcPr>
            <w:tcW w:w="1113" w:type="dxa"/>
            <w:shd w:val="clear" w:color="auto" w:fill="FFFFFF"/>
            <w:vAlign w:val="center"/>
          </w:tcPr>
          <w:p w14:paraId="0A500F6F" w14:textId="4247853E" w:rsidR="00EF1935" w:rsidRPr="00B57B36" w:rsidRDefault="00BE2B88" w:rsidP="00001E32">
            <w:pPr>
              <w:pStyle w:val="CETBodytext"/>
              <w:jc w:val="center"/>
              <w:rPr>
                <w:lang w:val="en-GB"/>
              </w:rPr>
            </w:pPr>
            <w:r>
              <w:rPr>
                <w:lang w:val="en-GB"/>
              </w:rPr>
              <w:t>5.40</w:t>
            </w:r>
          </w:p>
        </w:tc>
        <w:tc>
          <w:tcPr>
            <w:tcW w:w="1114" w:type="dxa"/>
            <w:tcBorders>
              <w:top w:val="nil"/>
              <w:bottom w:val="nil"/>
            </w:tcBorders>
            <w:shd w:val="clear" w:color="auto" w:fill="FFFFFF"/>
            <w:vAlign w:val="center"/>
          </w:tcPr>
          <w:p w14:paraId="3C6CC6A1" w14:textId="2C301B11" w:rsidR="00EF1935" w:rsidRPr="00B57B36" w:rsidRDefault="00CB07BE" w:rsidP="00001E32">
            <w:pPr>
              <w:pStyle w:val="CETBodytext"/>
              <w:jc w:val="center"/>
              <w:rPr>
                <w:lang w:val="en-GB"/>
              </w:rPr>
            </w:pPr>
            <w:r>
              <w:rPr>
                <w:lang w:val="en-GB"/>
              </w:rPr>
              <w:t>6.73</w:t>
            </w:r>
          </w:p>
        </w:tc>
        <w:tc>
          <w:tcPr>
            <w:tcW w:w="1085" w:type="dxa"/>
            <w:tcBorders>
              <w:top w:val="nil"/>
              <w:bottom w:val="nil"/>
            </w:tcBorders>
            <w:shd w:val="clear" w:color="auto" w:fill="FFFFFF"/>
            <w:vAlign w:val="center"/>
          </w:tcPr>
          <w:p w14:paraId="340CD5E5" w14:textId="003EFC00" w:rsidR="00EF1935" w:rsidRPr="00B57B36" w:rsidRDefault="00EC0956" w:rsidP="00001E32">
            <w:pPr>
              <w:pStyle w:val="CETBodytext"/>
              <w:ind w:right="-1"/>
              <w:jc w:val="center"/>
              <w:rPr>
                <w:rFonts w:cs="Arial"/>
                <w:szCs w:val="18"/>
                <w:lang w:val="en-GB"/>
              </w:rPr>
            </w:pPr>
            <w:r>
              <w:rPr>
                <w:rFonts w:cs="Arial"/>
                <w:szCs w:val="18"/>
                <w:lang w:val="en-GB"/>
              </w:rPr>
              <w:t>6.80</w:t>
            </w:r>
          </w:p>
        </w:tc>
        <w:tc>
          <w:tcPr>
            <w:tcW w:w="1085" w:type="dxa"/>
            <w:tcBorders>
              <w:top w:val="nil"/>
              <w:bottom w:val="nil"/>
            </w:tcBorders>
            <w:shd w:val="clear" w:color="auto" w:fill="FFFFFF"/>
            <w:vAlign w:val="center"/>
          </w:tcPr>
          <w:p w14:paraId="6B769000" w14:textId="60109DEA" w:rsidR="00EF1935" w:rsidRPr="00B57B36" w:rsidRDefault="00E629E5" w:rsidP="00001E32">
            <w:pPr>
              <w:pStyle w:val="CETBodytext"/>
              <w:ind w:right="-1"/>
              <w:jc w:val="center"/>
              <w:rPr>
                <w:rFonts w:cs="Arial"/>
                <w:szCs w:val="18"/>
                <w:lang w:val="en-GB"/>
              </w:rPr>
            </w:pPr>
            <w:r>
              <w:rPr>
                <w:rFonts w:cs="Arial"/>
                <w:szCs w:val="18"/>
                <w:lang w:val="en-GB"/>
              </w:rPr>
              <w:t>6.73</w:t>
            </w:r>
          </w:p>
        </w:tc>
        <w:tc>
          <w:tcPr>
            <w:tcW w:w="1085" w:type="dxa"/>
            <w:tcBorders>
              <w:top w:val="nil"/>
              <w:bottom w:val="nil"/>
            </w:tcBorders>
            <w:shd w:val="clear" w:color="auto" w:fill="FFFFFF"/>
            <w:vAlign w:val="center"/>
          </w:tcPr>
          <w:p w14:paraId="3E7F39B9" w14:textId="277A66C2" w:rsidR="00EF1935" w:rsidRPr="00B57B36" w:rsidRDefault="005B64BB" w:rsidP="00001E32">
            <w:pPr>
              <w:pStyle w:val="CETBodytext"/>
              <w:ind w:right="-1"/>
              <w:jc w:val="center"/>
              <w:rPr>
                <w:rFonts w:cs="Arial"/>
                <w:szCs w:val="18"/>
                <w:lang w:val="en-GB"/>
              </w:rPr>
            </w:pPr>
            <w:r>
              <w:rPr>
                <w:rFonts w:cs="Arial"/>
                <w:szCs w:val="18"/>
                <w:lang w:val="en-GB"/>
              </w:rPr>
              <w:t>6.80</w:t>
            </w:r>
          </w:p>
        </w:tc>
        <w:tc>
          <w:tcPr>
            <w:tcW w:w="1085" w:type="dxa"/>
            <w:shd w:val="clear" w:color="auto" w:fill="FFFFFF"/>
            <w:vAlign w:val="center"/>
          </w:tcPr>
          <w:p w14:paraId="31D65370" w14:textId="1B8AE5C0" w:rsidR="00EF1935" w:rsidRPr="00B57B36" w:rsidRDefault="00BB31C8" w:rsidP="00001E32">
            <w:pPr>
              <w:pStyle w:val="CETBodytext"/>
              <w:ind w:right="-1"/>
              <w:jc w:val="center"/>
              <w:rPr>
                <w:rFonts w:cs="Arial"/>
                <w:szCs w:val="18"/>
                <w:lang w:val="en-GB"/>
              </w:rPr>
            </w:pPr>
            <w:r>
              <w:rPr>
                <w:rFonts w:cs="Arial"/>
                <w:szCs w:val="18"/>
                <w:lang w:val="en-GB"/>
              </w:rPr>
              <w:t>7.03</w:t>
            </w:r>
          </w:p>
        </w:tc>
        <w:tc>
          <w:tcPr>
            <w:tcW w:w="1085" w:type="dxa"/>
            <w:shd w:val="clear" w:color="auto" w:fill="FFFFFF"/>
            <w:vAlign w:val="center"/>
          </w:tcPr>
          <w:p w14:paraId="064BB261" w14:textId="3FCC753B" w:rsidR="00EF1935" w:rsidRPr="00B57B36" w:rsidRDefault="00D71DB7" w:rsidP="00001E32">
            <w:pPr>
              <w:pStyle w:val="CETBodytext"/>
              <w:ind w:right="-1"/>
              <w:jc w:val="center"/>
              <w:rPr>
                <w:rFonts w:cs="Arial"/>
                <w:szCs w:val="18"/>
                <w:lang w:val="en-GB"/>
              </w:rPr>
            </w:pPr>
            <w:r>
              <w:rPr>
                <w:rFonts w:cs="Arial"/>
                <w:szCs w:val="18"/>
                <w:lang w:val="en-GB"/>
              </w:rPr>
              <w:t>7.17</w:t>
            </w:r>
          </w:p>
        </w:tc>
      </w:tr>
      <w:tr w:rsidR="00EF1935" w:rsidRPr="00B57B36" w14:paraId="264D9726" w14:textId="77777777" w:rsidTr="00265344">
        <w:trPr>
          <w:jc w:val="center"/>
        </w:trPr>
        <w:tc>
          <w:tcPr>
            <w:tcW w:w="1843" w:type="dxa"/>
            <w:gridSpan w:val="2"/>
            <w:shd w:val="clear" w:color="auto" w:fill="FFFFFF"/>
            <w:vAlign w:val="center"/>
          </w:tcPr>
          <w:p w14:paraId="5495CB19" w14:textId="5ED808F7" w:rsidR="00EF1935" w:rsidRPr="00B57B36" w:rsidRDefault="00EF1935" w:rsidP="0039732C">
            <w:pPr>
              <w:pStyle w:val="CETBodytext"/>
              <w:jc w:val="center"/>
              <w:rPr>
                <w:lang w:val="en-GB"/>
              </w:rPr>
            </w:pPr>
            <w:r w:rsidRPr="00464A46">
              <w:t>Nitrogen (mg/kg)</w:t>
            </w:r>
          </w:p>
        </w:tc>
        <w:tc>
          <w:tcPr>
            <w:tcW w:w="1113" w:type="dxa"/>
            <w:shd w:val="clear" w:color="auto" w:fill="FFFFFF"/>
            <w:vAlign w:val="center"/>
          </w:tcPr>
          <w:p w14:paraId="119D4FC2" w14:textId="65CBEDE6" w:rsidR="00EF1935" w:rsidRPr="00B57B36" w:rsidRDefault="00001E32" w:rsidP="00001E32">
            <w:pPr>
              <w:pStyle w:val="CETBodytext"/>
              <w:jc w:val="center"/>
              <w:rPr>
                <w:lang w:val="en-GB"/>
              </w:rPr>
            </w:pPr>
            <w:r>
              <w:rPr>
                <w:lang w:val="en-GB"/>
              </w:rPr>
              <w:t>53.60</w:t>
            </w:r>
          </w:p>
        </w:tc>
        <w:tc>
          <w:tcPr>
            <w:tcW w:w="1114" w:type="dxa"/>
            <w:tcBorders>
              <w:top w:val="nil"/>
              <w:bottom w:val="nil"/>
            </w:tcBorders>
            <w:shd w:val="clear" w:color="auto" w:fill="FFFFFF"/>
            <w:vAlign w:val="center"/>
          </w:tcPr>
          <w:p w14:paraId="5B097880" w14:textId="58938FB3" w:rsidR="00EF1935" w:rsidRPr="00B57B36" w:rsidRDefault="00CB07BE" w:rsidP="00001E32">
            <w:pPr>
              <w:pStyle w:val="CETBodytext"/>
              <w:jc w:val="center"/>
              <w:rPr>
                <w:lang w:val="en-GB"/>
              </w:rPr>
            </w:pPr>
            <w:r>
              <w:rPr>
                <w:lang w:val="en-GB"/>
              </w:rPr>
              <w:t>68.93</w:t>
            </w:r>
          </w:p>
        </w:tc>
        <w:tc>
          <w:tcPr>
            <w:tcW w:w="1085" w:type="dxa"/>
            <w:tcBorders>
              <w:top w:val="nil"/>
              <w:bottom w:val="nil"/>
            </w:tcBorders>
            <w:shd w:val="clear" w:color="auto" w:fill="FFFFFF"/>
            <w:vAlign w:val="center"/>
          </w:tcPr>
          <w:p w14:paraId="1560BB17" w14:textId="5BF13B46" w:rsidR="00EF1935" w:rsidRPr="00B57B36" w:rsidRDefault="00EC0956" w:rsidP="00001E32">
            <w:pPr>
              <w:pStyle w:val="CETBodytext"/>
              <w:ind w:right="-1"/>
              <w:jc w:val="center"/>
              <w:rPr>
                <w:rFonts w:cs="Arial"/>
                <w:szCs w:val="18"/>
                <w:lang w:val="en-GB"/>
              </w:rPr>
            </w:pPr>
            <w:r>
              <w:rPr>
                <w:rFonts w:cs="Arial"/>
                <w:szCs w:val="18"/>
                <w:lang w:val="en-GB"/>
              </w:rPr>
              <w:t>70.87</w:t>
            </w:r>
          </w:p>
        </w:tc>
        <w:tc>
          <w:tcPr>
            <w:tcW w:w="1085" w:type="dxa"/>
            <w:tcBorders>
              <w:top w:val="nil"/>
              <w:bottom w:val="nil"/>
            </w:tcBorders>
            <w:shd w:val="clear" w:color="auto" w:fill="FFFFFF"/>
            <w:vAlign w:val="center"/>
          </w:tcPr>
          <w:p w14:paraId="3AF62D1C" w14:textId="0A3259DE" w:rsidR="00EF1935" w:rsidRPr="00B57B36" w:rsidRDefault="00E629E5" w:rsidP="00001E32">
            <w:pPr>
              <w:pStyle w:val="CETBodytext"/>
              <w:ind w:right="-1"/>
              <w:jc w:val="center"/>
              <w:rPr>
                <w:rFonts w:cs="Arial"/>
                <w:szCs w:val="18"/>
                <w:lang w:val="en-GB"/>
              </w:rPr>
            </w:pPr>
            <w:r>
              <w:rPr>
                <w:rFonts w:cs="Arial"/>
                <w:szCs w:val="18"/>
                <w:lang w:val="en-GB"/>
              </w:rPr>
              <w:t>72.60</w:t>
            </w:r>
          </w:p>
        </w:tc>
        <w:tc>
          <w:tcPr>
            <w:tcW w:w="1085" w:type="dxa"/>
            <w:tcBorders>
              <w:top w:val="nil"/>
              <w:bottom w:val="nil"/>
            </w:tcBorders>
            <w:shd w:val="clear" w:color="auto" w:fill="FFFFFF"/>
            <w:vAlign w:val="center"/>
          </w:tcPr>
          <w:p w14:paraId="112D5727" w14:textId="2D440B42" w:rsidR="00EF1935" w:rsidRPr="00B57B36" w:rsidRDefault="005B64BB" w:rsidP="00001E32">
            <w:pPr>
              <w:pStyle w:val="CETBodytext"/>
              <w:ind w:right="-1"/>
              <w:jc w:val="center"/>
              <w:rPr>
                <w:rFonts w:cs="Arial"/>
                <w:szCs w:val="18"/>
                <w:lang w:val="en-GB"/>
              </w:rPr>
            </w:pPr>
            <w:r>
              <w:rPr>
                <w:rFonts w:cs="Arial"/>
                <w:szCs w:val="18"/>
                <w:lang w:val="en-GB"/>
              </w:rPr>
              <w:t>70.07</w:t>
            </w:r>
          </w:p>
        </w:tc>
        <w:tc>
          <w:tcPr>
            <w:tcW w:w="1085" w:type="dxa"/>
            <w:shd w:val="clear" w:color="auto" w:fill="FFFFFF"/>
            <w:vAlign w:val="center"/>
          </w:tcPr>
          <w:p w14:paraId="13752DB1" w14:textId="40B93D92" w:rsidR="00EF1935" w:rsidRPr="00B57B36" w:rsidRDefault="00BB31C8" w:rsidP="00001E32">
            <w:pPr>
              <w:pStyle w:val="CETBodytext"/>
              <w:ind w:right="-1"/>
              <w:jc w:val="center"/>
              <w:rPr>
                <w:rFonts w:cs="Arial"/>
                <w:szCs w:val="18"/>
                <w:lang w:val="en-GB"/>
              </w:rPr>
            </w:pPr>
            <w:r>
              <w:rPr>
                <w:rFonts w:cs="Arial"/>
                <w:szCs w:val="18"/>
                <w:lang w:val="en-GB"/>
              </w:rPr>
              <w:t>72.17</w:t>
            </w:r>
          </w:p>
        </w:tc>
        <w:tc>
          <w:tcPr>
            <w:tcW w:w="1085" w:type="dxa"/>
            <w:shd w:val="clear" w:color="auto" w:fill="FFFFFF"/>
            <w:vAlign w:val="center"/>
          </w:tcPr>
          <w:p w14:paraId="11668D76" w14:textId="5DAD3AB3" w:rsidR="00EF1935" w:rsidRPr="00B57B36" w:rsidRDefault="00D71DB7" w:rsidP="00001E32">
            <w:pPr>
              <w:pStyle w:val="CETBodytext"/>
              <w:ind w:right="-1"/>
              <w:jc w:val="center"/>
              <w:rPr>
                <w:rFonts w:cs="Arial"/>
                <w:szCs w:val="18"/>
                <w:lang w:val="en-GB"/>
              </w:rPr>
            </w:pPr>
            <w:r>
              <w:rPr>
                <w:rFonts w:cs="Arial"/>
                <w:szCs w:val="18"/>
                <w:lang w:val="en-GB"/>
              </w:rPr>
              <w:t>73.90</w:t>
            </w:r>
          </w:p>
        </w:tc>
      </w:tr>
      <w:tr w:rsidR="00EF1935" w:rsidRPr="00B57B36" w14:paraId="7FD11EB2" w14:textId="77777777" w:rsidTr="00265344">
        <w:trPr>
          <w:jc w:val="center"/>
        </w:trPr>
        <w:tc>
          <w:tcPr>
            <w:tcW w:w="1843" w:type="dxa"/>
            <w:gridSpan w:val="2"/>
            <w:shd w:val="clear" w:color="auto" w:fill="FFFFFF"/>
            <w:vAlign w:val="center"/>
          </w:tcPr>
          <w:p w14:paraId="293E82E5" w14:textId="20DCD981" w:rsidR="00EF1935" w:rsidRPr="00B57B36" w:rsidRDefault="00EF1935" w:rsidP="0039732C">
            <w:pPr>
              <w:pStyle w:val="CETBodytext"/>
              <w:jc w:val="center"/>
              <w:rPr>
                <w:lang w:val="en-GB"/>
              </w:rPr>
            </w:pPr>
            <w:r w:rsidRPr="00464A46">
              <w:t>Phosphorus (mg/kg)</w:t>
            </w:r>
          </w:p>
        </w:tc>
        <w:tc>
          <w:tcPr>
            <w:tcW w:w="1113" w:type="dxa"/>
            <w:shd w:val="clear" w:color="auto" w:fill="FFFFFF"/>
            <w:vAlign w:val="center"/>
          </w:tcPr>
          <w:p w14:paraId="5E306182" w14:textId="68C7A8D1" w:rsidR="00EF1935" w:rsidRPr="00B57B36" w:rsidRDefault="00001E32" w:rsidP="00001E32">
            <w:pPr>
              <w:pStyle w:val="CETBodytext"/>
              <w:jc w:val="center"/>
              <w:rPr>
                <w:lang w:val="en-GB"/>
              </w:rPr>
            </w:pPr>
            <w:r>
              <w:rPr>
                <w:lang w:val="en-GB"/>
              </w:rPr>
              <w:t>105.30</w:t>
            </w:r>
          </w:p>
        </w:tc>
        <w:tc>
          <w:tcPr>
            <w:tcW w:w="1114" w:type="dxa"/>
            <w:tcBorders>
              <w:top w:val="nil"/>
              <w:bottom w:val="nil"/>
            </w:tcBorders>
            <w:shd w:val="clear" w:color="auto" w:fill="FFFFFF"/>
            <w:vAlign w:val="center"/>
          </w:tcPr>
          <w:p w14:paraId="01199BA9" w14:textId="64AE4627" w:rsidR="00EF1935" w:rsidRPr="00B57B36" w:rsidRDefault="00B55935" w:rsidP="00001E32">
            <w:pPr>
              <w:pStyle w:val="CETBodytext"/>
              <w:jc w:val="center"/>
              <w:rPr>
                <w:lang w:val="en-GB"/>
              </w:rPr>
            </w:pPr>
            <w:r>
              <w:rPr>
                <w:lang w:val="en-GB"/>
              </w:rPr>
              <w:t>199.67</w:t>
            </w:r>
          </w:p>
        </w:tc>
        <w:tc>
          <w:tcPr>
            <w:tcW w:w="1085" w:type="dxa"/>
            <w:tcBorders>
              <w:top w:val="nil"/>
              <w:bottom w:val="nil"/>
            </w:tcBorders>
            <w:shd w:val="clear" w:color="auto" w:fill="FFFFFF"/>
            <w:vAlign w:val="center"/>
          </w:tcPr>
          <w:p w14:paraId="4E75574B" w14:textId="3E34A8AD" w:rsidR="00EF1935" w:rsidRPr="00B57B36" w:rsidRDefault="00EC0956" w:rsidP="00001E32">
            <w:pPr>
              <w:pStyle w:val="CETBodytext"/>
              <w:ind w:right="-1"/>
              <w:jc w:val="center"/>
              <w:rPr>
                <w:rFonts w:cs="Arial"/>
                <w:szCs w:val="18"/>
                <w:lang w:val="en-GB"/>
              </w:rPr>
            </w:pPr>
            <w:r>
              <w:rPr>
                <w:rFonts w:cs="Arial"/>
                <w:szCs w:val="18"/>
                <w:lang w:val="en-GB"/>
              </w:rPr>
              <w:t>201.07</w:t>
            </w:r>
          </w:p>
        </w:tc>
        <w:tc>
          <w:tcPr>
            <w:tcW w:w="1085" w:type="dxa"/>
            <w:tcBorders>
              <w:top w:val="nil"/>
              <w:bottom w:val="nil"/>
            </w:tcBorders>
            <w:shd w:val="clear" w:color="auto" w:fill="FFFFFF"/>
            <w:vAlign w:val="center"/>
          </w:tcPr>
          <w:p w14:paraId="06A2BB3B" w14:textId="243C3B41" w:rsidR="00EF1935" w:rsidRPr="00B57B36" w:rsidRDefault="00E629E5" w:rsidP="00001E32">
            <w:pPr>
              <w:pStyle w:val="CETBodytext"/>
              <w:ind w:right="-1"/>
              <w:jc w:val="center"/>
              <w:rPr>
                <w:rFonts w:cs="Arial"/>
                <w:szCs w:val="18"/>
                <w:lang w:val="en-GB"/>
              </w:rPr>
            </w:pPr>
            <w:r>
              <w:rPr>
                <w:rFonts w:cs="Arial"/>
                <w:szCs w:val="18"/>
                <w:lang w:val="en-GB"/>
              </w:rPr>
              <w:t>203.80</w:t>
            </w:r>
          </w:p>
        </w:tc>
        <w:tc>
          <w:tcPr>
            <w:tcW w:w="1085" w:type="dxa"/>
            <w:tcBorders>
              <w:top w:val="nil"/>
              <w:bottom w:val="nil"/>
            </w:tcBorders>
            <w:shd w:val="clear" w:color="auto" w:fill="FFFFFF"/>
            <w:vAlign w:val="center"/>
          </w:tcPr>
          <w:p w14:paraId="2BF5835A" w14:textId="47AEA831" w:rsidR="00EF1935" w:rsidRPr="00B57B36" w:rsidRDefault="005B64BB" w:rsidP="00001E32">
            <w:pPr>
              <w:pStyle w:val="CETBodytext"/>
              <w:ind w:right="-1"/>
              <w:jc w:val="center"/>
              <w:rPr>
                <w:rFonts w:cs="Arial"/>
                <w:szCs w:val="18"/>
                <w:lang w:val="en-GB"/>
              </w:rPr>
            </w:pPr>
            <w:r>
              <w:rPr>
                <w:rFonts w:cs="Arial"/>
                <w:szCs w:val="18"/>
                <w:lang w:val="en-GB"/>
              </w:rPr>
              <w:t>201.80</w:t>
            </w:r>
          </w:p>
        </w:tc>
        <w:tc>
          <w:tcPr>
            <w:tcW w:w="1085" w:type="dxa"/>
            <w:shd w:val="clear" w:color="auto" w:fill="FFFFFF"/>
            <w:vAlign w:val="center"/>
          </w:tcPr>
          <w:p w14:paraId="04BCE106" w14:textId="0777FF45" w:rsidR="00EF1935" w:rsidRPr="00B57B36" w:rsidRDefault="00BB31C8" w:rsidP="00001E32">
            <w:pPr>
              <w:pStyle w:val="CETBodytext"/>
              <w:ind w:right="-1"/>
              <w:jc w:val="center"/>
              <w:rPr>
                <w:rFonts w:cs="Arial"/>
                <w:szCs w:val="18"/>
                <w:lang w:val="en-GB"/>
              </w:rPr>
            </w:pPr>
            <w:r>
              <w:rPr>
                <w:rFonts w:cs="Arial"/>
                <w:szCs w:val="18"/>
                <w:lang w:val="en-GB"/>
              </w:rPr>
              <w:t>205.03</w:t>
            </w:r>
          </w:p>
        </w:tc>
        <w:tc>
          <w:tcPr>
            <w:tcW w:w="1085" w:type="dxa"/>
            <w:shd w:val="clear" w:color="auto" w:fill="FFFFFF"/>
            <w:vAlign w:val="center"/>
          </w:tcPr>
          <w:p w14:paraId="5D11680A" w14:textId="5B56CF64" w:rsidR="00EF1935" w:rsidRPr="00B57B36" w:rsidRDefault="00D71DB7" w:rsidP="00001E32">
            <w:pPr>
              <w:pStyle w:val="CETBodytext"/>
              <w:ind w:right="-1"/>
              <w:jc w:val="center"/>
              <w:rPr>
                <w:rFonts w:cs="Arial"/>
                <w:szCs w:val="18"/>
                <w:lang w:val="en-GB"/>
              </w:rPr>
            </w:pPr>
            <w:r>
              <w:rPr>
                <w:rFonts w:cs="Arial"/>
                <w:szCs w:val="18"/>
                <w:lang w:val="en-GB"/>
              </w:rPr>
              <w:t>207.90</w:t>
            </w:r>
          </w:p>
        </w:tc>
      </w:tr>
      <w:tr w:rsidR="00EF1935" w:rsidRPr="00B57B36" w14:paraId="3B81E41F" w14:textId="77777777" w:rsidTr="00265344">
        <w:trPr>
          <w:jc w:val="center"/>
        </w:trPr>
        <w:tc>
          <w:tcPr>
            <w:tcW w:w="1843" w:type="dxa"/>
            <w:gridSpan w:val="2"/>
            <w:shd w:val="clear" w:color="auto" w:fill="FFFFFF"/>
            <w:vAlign w:val="center"/>
          </w:tcPr>
          <w:p w14:paraId="6C724817" w14:textId="0B20FE4D" w:rsidR="00EF1935" w:rsidRPr="00B57B36" w:rsidRDefault="00EF1935" w:rsidP="0039732C">
            <w:pPr>
              <w:pStyle w:val="CETBodytext"/>
              <w:jc w:val="center"/>
              <w:rPr>
                <w:lang w:val="en-GB"/>
              </w:rPr>
            </w:pPr>
            <w:r w:rsidRPr="00464A46">
              <w:t xml:space="preserve">CIC </w:t>
            </w:r>
            <w:proofErr w:type="gramStart"/>
            <w:r w:rsidRPr="00464A46">
              <w:t xml:space="preserve">( </w:t>
            </w:r>
            <w:proofErr w:type="spellStart"/>
            <w:r w:rsidRPr="00464A46">
              <w:t>meq</w:t>
            </w:r>
            <w:proofErr w:type="spellEnd"/>
            <w:proofErr w:type="gramEnd"/>
            <w:r w:rsidRPr="00464A46">
              <w:t xml:space="preserve"> /100gr)</w:t>
            </w:r>
          </w:p>
        </w:tc>
        <w:tc>
          <w:tcPr>
            <w:tcW w:w="1113" w:type="dxa"/>
            <w:shd w:val="clear" w:color="auto" w:fill="FFFFFF"/>
            <w:vAlign w:val="center"/>
          </w:tcPr>
          <w:p w14:paraId="774499A8" w14:textId="5151CA3F" w:rsidR="00EF1935" w:rsidRPr="00B57B36" w:rsidRDefault="00E757DA" w:rsidP="00001E32">
            <w:pPr>
              <w:pStyle w:val="CETBodytext"/>
              <w:jc w:val="center"/>
              <w:rPr>
                <w:lang w:val="en-GB"/>
              </w:rPr>
            </w:pPr>
            <w:r>
              <w:rPr>
                <w:lang w:val="en-GB"/>
              </w:rPr>
              <w:t>29.50</w:t>
            </w:r>
          </w:p>
        </w:tc>
        <w:tc>
          <w:tcPr>
            <w:tcW w:w="1114" w:type="dxa"/>
            <w:tcBorders>
              <w:top w:val="nil"/>
              <w:bottom w:val="nil"/>
            </w:tcBorders>
            <w:shd w:val="clear" w:color="auto" w:fill="FFFFFF"/>
            <w:vAlign w:val="center"/>
          </w:tcPr>
          <w:p w14:paraId="1DC7B340" w14:textId="7367988E" w:rsidR="00EF1935" w:rsidRPr="00B57B36" w:rsidRDefault="00B55935" w:rsidP="00001E32">
            <w:pPr>
              <w:pStyle w:val="CETBodytext"/>
              <w:jc w:val="center"/>
              <w:rPr>
                <w:lang w:val="en-GB"/>
              </w:rPr>
            </w:pPr>
            <w:r>
              <w:rPr>
                <w:lang w:val="en-GB"/>
              </w:rPr>
              <w:t>45.90</w:t>
            </w:r>
          </w:p>
        </w:tc>
        <w:tc>
          <w:tcPr>
            <w:tcW w:w="1085" w:type="dxa"/>
            <w:tcBorders>
              <w:top w:val="nil"/>
              <w:bottom w:val="nil"/>
            </w:tcBorders>
            <w:shd w:val="clear" w:color="auto" w:fill="FFFFFF"/>
            <w:vAlign w:val="center"/>
          </w:tcPr>
          <w:p w14:paraId="11346369" w14:textId="3C239B54" w:rsidR="00EF1935" w:rsidRPr="00B57B36" w:rsidRDefault="00EC0956" w:rsidP="00001E32">
            <w:pPr>
              <w:pStyle w:val="CETBodytext"/>
              <w:ind w:right="-1"/>
              <w:jc w:val="center"/>
              <w:rPr>
                <w:rFonts w:cs="Arial"/>
                <w:szCs w:val="18"/>
                <w:lang w:val="en-GB"/>
              </w:rPr>
            </w:pPr>
            <w:r>
              <w:rPr>
                <w:rFonts w:cs="Arial"/>
                <w:szCs w:val="18"/>
                <w:lang w:val="en-GB"/>
              </w:rPr>
              <w:t>47.20</w:t>
            </w:r>
          </w:p>
        </w:tc>
        <w:tc>
          <w:tcPr>
            <w:tcW w:w="1085" w:type="dxa"/>
            <w:tcBorders>
              <w:top w:val="nil"/>
              <w:bottom w:val="nil"/>
            </w:tcBorders>
            <w:shd w:val="clear" w:color="auto" w:fill="FFFFFF"/>
            <w:vAlign w:val="center"/>
          </w:tcPr>
          <w:p w14:paraId="21D67FB9" w14:textId="0E65E342" w:rsidR="00EF1935" w:rsidRPr="00B57B36" w:rsidRDefault="00F15928" w:rsidP="00001E32">
            <w:pPr>
              <w:pStyle w:val="CETBodytext"/>
              <w:ind w:right="-1"/>
              <w:jc w:val="center"/>
              <w:rPr>
                <w:rFonts w:cs="Arial"/>
                <w:szCs w:val="18"/>
                <w:lang w:val="en-GB"/>
              </w:rPr>
            </w:pPr>
            <w:r>
              <w:rPr>
                <w:rFonts w:cs="Arial"/>
                <w:szCs w:val="18"/>
                <w:lang w:val="en-GB"/>
              </w:rPr>
              <w:t>46.40</w:t>
            </w:r>
          </w:p>
        </w:tc>
        <w:tc>
          <w:tcPr>
            <w:tcW w:w="1085" w:type="dxa"/>
            <w:tcBorders>
              <w:top w:val="nil"/>
              <w:bottom w:val="nil"/>
            </w:tcBorders>
            <w:shd w:val="clear" w:color="auto" w:fill="FFFFFF"/>
            <w:vAlign w:val="center"/>
          </w:tcPr>
          <w:p w14:paraId="3CEEA81C" w14:textId="0CAE6A5D" w:rsidR="00EF1935" w:rsidRPr="00B57B36" w:rsidRDefault="00B8276D" w:rsidP="00001E32">
            <w:pPr>
              <w:pStyle w:val="CETBodytext"/>
              <w:ind w:right="-1"/>
              <w:jc w:val="center"/>
              <w:rPr>
                <w:rFonts w:cs="Arial"/>
                <w:szCs w:val="18"/>
                <w:lang w:val="en-GB"/>
              </w:rPr>
            </w:pPr>
            <w:r>
              <w:rPr>
                <w:rFonts w:cs="Arial"/>
                <w:szCs w:val="18"/>
                <w:lang w:val="en-GB"/>
              </w:rPr>
              <w:t>46.63</w:t>
            </w:r>
          </w:p>
        </w:tc>
        <w:tc>
          <w:tcPr>
            <w:tcW w:w="1085" w:type="dxa"/>
            <w:shd w:val="clear" w:color="auto" w:fill="FFFFFF"/>
            <w:vAlign w:val="center"/>
          </w:tcPr>
          <w:p w14:paraId="2AB41416" w14:textId="7D5B87F9" w:rsidR="00EF1935" w:rsidRPr="00B57B36" w:rsidRDefault="00D71DB7" w:rsidP="00001E32">
            <w:pPr>
              <w:pStyle w:val="CETBodytext"/>
              <w:ind w:right="-1"/>
              <w:jc w:val="center"/>
              <w:rPr>
                <w:rFonts w:cs="Arial"/>
                <w:szCs w:val="18"/>
                <w:lang w:val="en-GB"/>
              </w:rPr>
            </w:pPr>
            <w:r>
              <w:rPr>
                <w:rFonts w:cs="Arial"/>
                <w:szCs w:val="18"/>
                <w:lang w:val="en-GB"/>
              </w:rPr>
              <w:t>52.07</w:t>
            </w:r>
          </w:p>
        </w:tc>
        <w:tc>
          <w:tcPr>
            <w:tcW w:w="1085" w:type="dxa"/>
            <w:shd w:val="clear" w:color="auto" w:fill="FFFFFF"/>
            <w:vAlign w:val="center"/>
          </w:tcPr>
          <w:p w14:paraId="597368A2" w14:textId="15937587" w:rsidR="00EF1935" w:rsidRPr="00B57B36" w:rsidRDefault="00D71DB7" w:rsidP="00001E32">
            <w:pPr>
              <w:pStyle w:val="CETBodytext"/>
              <w:ind w:right="-1"/>
              <w:jc w:val="center"/>
              <w:rPr>
                <w:rFonts w:cs="Arial"/>
                <w:szCs w:val="18"/>
                <w:lang w:val="en-GB"/>
              </w:rPr>
            </w:pPr>
            <w:r>
              <w:rPr>
                <w:rFonts w:cs="Arial"/>
                <w:szCs w:val="18"/>
                <w:lang w:val="en-GB"/>
              </w:rPr>
              <w:t>52.60</w:t>
            </w:r>
          </w:p>
        </w:tc>
      </w:tr>
      <w:tr w:rsidR="008D62EE" w:rsidRPr="00B57B36" w14:paraId="23851F96" w14:textId="77777777" w:rsidTr="00265344">
        <w:trPr>
          <w:jc w:val="center"/>
        </w:trPr>
        <w:tc>
          <w:tcPr>
            <w:tcW w:w="850" w:type="dxa"/>
            <w:vMerge w:val="restart"/>
            <w:shd w:val="clear" w:color="auto" w:fill="FFFFFF"/>
            <w:vAlign w:val="center"/>
          </w:tcPr>
          <w:p w14:paraId="6B26101A" w14:textId="7DAF3805" w:rsidR="008D62EE" w:rsidRPr="00B57B36" w:rsidRDefault="008D62EE" w:rsidP="0039732C">
            <w:pPr>
              <w:pStyle w:val="CETBodytext"/>
              <w:jc w:val="center"/>
              <w:rPr>
                <w:lang w:val="en-GB"/>
              </w:rPr>
            </w:pPr>
            <w:r>
              <w:rPr>
                <w:lang w:val="en-GB"/>
              </w:rPr>
              <w:t>Texture</w:t>
            </w:r>
          </w:p>
        </w:tc>
        <w:tc>
          <w:tcPr>
            <w:tcW w:w="993" w:type="dxa"/>
            <w:shd w:val="clear" w:color="auto" w:fill="FFFFFF"/>
            <w:vAlign w:val="center"/>
          </w:tcPr>
          <w:p w14:paraId="24F17D7A" w14:textId="6B85C814" w:rsidR="008D62EE" w:rsidRPr="00B57B36" w:rsidRDefault="008D62EE" w:rsidP="0039732C">
            <w:pPr>
              <w:pStyle w:val="CETBodytext"/>
              <w:jc w:val="center"/>
              <w:rPr>
                <w:lang w:val="en-GB"/>
              </w:rPr>
            </w:pPr>
            <w:r>
              <w:rPr>
                <w:lang w:val="en-GB"/>
              </w:rPr>
              <w:t>Sand</w:t>
            </w:r>
          </w:p>
        </w:tc>
        <w:tc>
          <w:tcPr>
            <w:tcW w:w="1113" w:type="dxa"/>
            <w:shd w:val="clear" w:color="auto" w:fill="FFFFFF"/>
            <w:vAlign w:val="center"/>
          </w:tcPr>
          <w:p w14:paraId="5F6781CB" w14:textId="03E9C756" w:rsidR="008D62EE" w:rsidRPr="00B57B36" w:rsidRDefault="00E757DA" w:rsidP="00001E32">
            <w:pPr>
              <w:pStyle w:val="CETBodytext"/>
              <w:jc w:val="center"/>
              <w:rPr>
                <w:lang w:val="en-GB"/>
              </w:rPr>
            </w:pPr>
            <w:r>
              <w:rPr>
                <w:lang w:val="en-GB"/>
              </w:rPr>
              <w:t>93.00</w:t>
            </w:r>
          </w:p>
        </w:tc>
        <w:tc>
          <w:tcPr>
            <w:tcW w:w="1114" w:type="dxa"/>
            <w:tcBorders>
              <w:top w:val="nil"/>
              <w:bottom w:val="nil"/>
            </w:tcBorders>
            <w:shd w:val="clear" w:color="auto" w:fill="FFFFFF"/>
            <w:vAlign w:val="center"/>
          </w:tcPr>
          <w:p w14:paraId="20EB25BC" w14:textId="1A111AD9" w:rsidR="008D62EE" w:rsidRPr="00B57B36" w:rsidRDefault="00B55935" w:rsidP="00001E32">
            <w:pPr>
              <w:pStyle w:val="CETBodytext"/>
              <w:jc w:val="center"/>
              <w:rPr>
                <w:lang w:val="en-GB"/>
              </w:rPr>
            </w:pPr>
            <w:r>
              <w:rPr>
                <w:lang w:val="en-GB"/>
              </w:rPr>
              <w:t>89.00</w:t>
            </w:r>
          </w:p>
        </w:tc>
        <w:tc>
          <w:tcPr>
            <w:tcW w:w="1085" w:type="dxa"/>
            <w:tcBorders>
              <w:top w:val="nil"/>
              <w:bottom w:val="nil"/>
            </w:tcBorders>
            <w:shd w:val="clear" w:color="auto" w:fill="FFFFFF"/>
            <w:vAlign w:val="center"/>
          </w:tcPr>
          <w:p w14:paraId="781360BB" w14:textId="1C95DAC2" w:rsidR="008D62EE" w:rsidRPr="00B57B36" w:rsidRDefault="00E629E5" w:rsidP="00001E32">
            <w:pPr>
              <w:pStyle w:val="CETBodytext"/>
              <w:ind w:right="-1"/>
              <w:jc w:val="center"/>
              <w:rPr>
                <w:rFonts w:cs="Arial"/>
                <w:szCs w:val="18"/>
                <w:lang w:val="en-GB"/>
              </w:rPr>
            </w:pPr>
            <w:r>
              <w:rPr>
                <w:rFonts w:cs="Arial"/>
                <w:szCs w:val="18"/>
                <w:lang w:val="en-GB"/>
              </w:rPr>
              <w:t>84.67</w:t>
            </w:r>
          </w:p>
        </w:tc>
        <w:tc>
          <w:tcPr>
            <w:tcW w:w="1085" w:type="dxa"/>
            <w:tcBorders>
              <w:top w:val="nil"/>
              <w:bottom w:val="nil"/>
            </w:tcBorders>
            <w:shd w:val="clear" w:color="auto" w:fill="FFFFFF"/>
            <w:vAlign w:val="center"/>
          </w:tcPr>
          <w:p w14:paraId="1A72D20F" w14:textId="1A5895A4" w:rsidR="008D62EE" w:rsidRPr="00B57B36" w:rsidRDefault="005B64BB" w:rsidP="00001E32">
            <w:pPr>
              <w:pStyle w:val="CETBodytext"/>
              <w:ind w:right="-1"/>
              <w:jc w:val="center"/>
              <w:rPr>
                <w:rFonts w:cs="Arial"/>
                <w:szCs w:val="18"/>
                <w:lang w:val="en-GB"/>
              </w:rPr>
            </w:pPr>
            <w:r>
              <w:rPr>
                <w:rFonts w:cs="Arial"/>
                <w:szCs w:val="18"/>
                <w:lang w:val="en-GB"/>
              </w:rPr>
              <w:t>80.00</w:t>
            </w:r>
          </w:p>
        </w:tc>
        <w:tc>
          <w:tcPr>
            <w:tcW w:w="1085" w:type="dxa"/>
            <w:tcBorders>
              <w:top w:val="nil"/>
              <w:bottom w:val="nil"/>
            </w:tcBorders>
            <w:shd w:val="clear" w:color="auto" w:fill="FFFFFF"/>
            <w:vAlign w:val="center"/>
          </w:tcPr>
          <w:p w14:paraId="41F1411F" w14:textId="12AEC319" w:rsidR="008D62EE" w:rsidRPr="00B57B36" w:rsidRDefault="00B8276D" w:rsidP="00001E32">
            <w:pPr>
              <w:pStyle w:val="CETBodytext"/>
              <w:ind w:right="-1"/>
              <w:jc w:val="center"/>
              <w:rPr>
                <w:rFonts w:cs="Arial"/>
                <w:szCs w:val="18"/>
                <w:lang w:val="en-GB"/>
              </w:rPr>
            </w:pPr>
            <w:r>
              <w:rPr>
                <w:rFonts w:cs="Arial"/>
                <w:szCs w:val="18"/>
                <w:lang w:val="en-GB"/>
              </w:rPr>
              <w:t>88.73</w:t>
            </w:r>
          </w:p>
        </w:tc>
        <w:tc>
          <w:tcPr>
            <w:tcW w:w="1085" w:type="dxa"/>
            <w:shd w:val="clear" w:color="auto" w:fill="FFFFFF"/>
            <w:vAlign w:val="center"/>
          </w:tcPr>
          <w:p w14:paraId="5F5C1A87" w14:textId="1A2C102D" w:rsidR="008D62EE" w:rsidRPr="00B57B36" w:rsidRDefault="00D71DB7" w:rsidP="00001E32">
            <w:pPr>
              <w:pStyle w:val="CETBodytext"/>
              <w:ind w:right="-1"/>
              <w:jc w:val="center"/>
              <w:rPr>
                <w:rFonts w:cs="Arial"/>
                <w:szCs w:val="18"/>
                <w:lang w:val="en-GB"/>
              </w:rPr>
            </w:pPr>
            <w:r>
              <w:rPr>
                <w:rFonts w:cs="Arial"/>
                <w:szCs w:val="18"/>
                <w:lang w:val="en-GB"/>
              </w:rPr>
              <w:t>83.45</w:t>
            </w:r>
          </w:p>
        </w:tc>
        <w:tc>
          <w:tcPr>
            <w:tcW w:w="1085" w:type="dxa"/>
            <w:shd w:val="clear" w:color="auto" w:fill="FFFFFF"/>
            <w:vAlign w:val="center"/>
          </w:tcPr>
          <w:p w14:paraId="6B7285D5" w14:textId="0931E74B" w:rsidR="008D62EE" w:rsidRPr="00B57B36" w:rsidRDefault="00F869A7" w:rsidP="00001E32">
            <w:pPr>
              <w:pStyle w:val="CETBodytext"/>
              <w:ind w:right="-1"/>
              <w:jc w:val="center"/>
              <w:rPr>
                <w:rFonts w:cs="Arial"/>
                <w:szCs w:val="18"/>
                <w:lang w:val="en-GB"/>
              </w:rPr>
            </w:pPr>
            <w:r>
              <w:rPr>
                <w:rFonts w:cs="Arial"/>
                <w:szCs w:val="18"/>
                <w:lang w:val="en-GB"/>
              </w:rPr>
              <w:t>79.92</w:t>
            </w:r>
          </w:p>
        </w:tc>
      </w:tr>
      <w:tr w:rsidR="008D62EE" w:rsidRPr="00B57B36" w14:paraId="44FA9A16" w14:textId="77777777" w:rsidTr="00265344">
        <w:trPr>
          <w:jc w:val="center"/>
        </w:trPr>
        <w:tc>
          <w:tcPr>
            <w:tcW w:w="850" w:type="dxa"/>
            <w:vMerge/>
            <w:shd w:val="clear" w:color="auto" w:fill="FFFFFF"/>
            <w:vAlign w:val="center"/>
          </w:tcPr>
          <w:p w14:paraId="14558857" w14:textId="77777777" w:rsidR="008D62EE" w:rsidRPr="00B57B36" w:rsidRDefault="008D62EE" w:rsidP="0039732C">
            <w:pPr>
              <w:pStyle w:val="CETBodytext"/>
              <w:jc w:val="center"/>
              <w:rPr>
                <w:lang w:val="en-GB"/>
              </w:rPr>
            </w:pPr>
          </w:p>
        </w:tc>
        <w:tc>
          <w:tcPr>
            <w:tcW w:w="993" w:type="dxa"/>
            <w:shd w:val="clear" w:color="auto" w:fill="FFFFFF"/>
            <w:vAlign w:val="center"/>
          </w:tcPr>
          <w:p w14:paraId="3D721BE7" w14:textId="75E3F65B" w:rsidR="008D62EE" w:rsidRPr="00B57B36" w:rsidRDefault="008D62EE" w:rsidP="0039732C">
            <w:pPr>
              <w:pStyle w:val="CETBodytext"/>
              <w:jc w:val="center"/>
              <w:rPr>
                <w:lang w:val="en-GB"/>
              </w:rPr>
            </w:pPr>
            <w:r>
              <w:rPr>
                <w:lang w:val="en-GB"/>
              </w:rPr>
              <w:t>Silt</w:t>
            </w:r>
          </w:p>
        </w:tc>
        <w:tc>
          <w:tcPr>
            <w:tcW w:w="1113" w:type="dxa"/>
            <w:shd w:val="clear" w:color="auto" w:fill="FFFFFF"/>
            <w:vAlign w:val="center"/>
          </w:tcPr>
          <w:p w14:paraId="5DA5543E" w14:textId="25F459A2" w:rsidR="008D62EE" w:rsidRPr="00B57B36" w:rsidRDefault="00E757DA" w:rsidP="00001E32">
            <w:pPr>
              <w:pStyle w:val="CETBodytext"/>
              <w:jc w:val="center"/>
              <w:rPr>
                <w:lang w:val="en-GB"/>
              </w:rPr>
            </w:pPr>
            <w:r>
              <w:rPr>
                <w:lang w:val="en-GB"/>
              </w:rPr>
              <w:t>4.00</w:t>
            </w:r>
          </w:p>
        </w:tc>
        <w:tc>
          <w:tcPr>
            <w:tcW w:w="1114" w:type="dxa"/>
            <w:tcBorders>
              <w:top w:val="nil"/>
            </w:tcBorders>
            <w:shd w:val="clear" w:color="auto" w:fill="FFFFFF"/>
            <w:vAlign w:val="center"/>
          </w:tcPr>
          <w:p w14:paraId="2A9DBADF" w14:textId="2DE5E5F7" w:rsidR="008D62EE" w:rsidRPr="00B57B36" w:rsidRDefault="00B55935" w:rsidP="00001E32">
            <w:pPr>
              <w:pStyle w:val="CETBodytext"/>
              <w:jc w:val="center"/>
              <w:rPr>
                <w:lang w:val="en-GB"/>
              </w:rPr>
            </w:pPr>
            <w:r>
              <w:rPr>
                <w:lang w:val="en-GB"/>
              </w:rPr>
              <w:t>8.67</w:t>
            </w:r>
          </w:p>
        </w:tc>
        <w:tc>
          <w:tcPr>
            <w:tcW w:w="1085" w:type="dxa"/>
            <w:tcBorders>
              <w:top w:val="nil"/>
            </w:tcBorders>
            <w:shd w:val="clear" w:color="auto" w:fill="FFFFFF"/>
            <w:vAlign w:val="center"/>
          </w:tcPr>
          <w:p w14:paraId="0016C985" w14:textId="3BA1DCB0" w:rsidR="008D62EE" w:rsidRPr="00B57B36" w:rsidRDefault="00E629E5" w:rsidP="00001E32">
            <w:pPr>
              <w:pStyle w:val="CETBodytext"/>
              <w:ind w:right="-1"/>
              <w:jc w:val="center"/>
              <w:rPr>
                <w:rFonts w:cs="Arial"/>
                <w:szCs w:val="18"/>
                <w:lang w:val="en-GB"/>
              </w:rPr>
            </w:pPr>
            <w:r>
              <w:rPr>
                <w:rFonts w:cs="Arial"/>
                <w:szCs w:val="18"/>
                <w:lang w:val="en-GB"/>
              </w:rPr>
              <w:t>11.67</w:t>
            </w:r>
          </w:p>
        </w:tc>
        <w:tc>
          <w:tcPr>
            <w:tcW w:w="1085" w:type="dxa"/>
            <w:tcBorders>
              <w:top w:val="nil"/>
            </w:tcBorders>
            <w:shd w:val="clear" w:color="auto" w:fill="FFFFFF"/>
            <w:vAlign w:val="center"/>
          </w:tcPr>
          <w:p w14:paraId="053D91E4" w14:textId="1653AB4C" w:rsidR="008D62EE" w:rsidRPr="00B57B36" w:rsidRDefault="005B64BB" w:rsidP="00001E32">
            <w:pPr>
              <w:pStyle w:val="CETBodytext"/>
              <w:ind w:right="-1"/>
              <w:jc w:val="center"/>
              <w:rPr>
                <w:rFonts w:cs="Arial"/>
                <w:szCs w:val="18"/>
                <w:lang w:val="en-GB"/>
              </w:rPr>
            </w:pPr>
            <w:r>
              <w:rPr>
                <w:rFonts w:cs="Arial"/>
                <w:szCs w:val="18"/>
                <w:lang w:val="en-GB"/>
              </w:rPr>
              <w:t>16.00</w:t>
            </w:r>
          </w:p>
        </w:tc>
        <w:tc>
          <w:tcPr>
            <w:tcW w:w="1085" w:type="dxa"/>
            <w:tcBorders>
              <w:top w:val="nil"/>
            </w:tcBorders>
            <w:shd w:val="clear" w:color="auto" w:fill="FFFFFF"/>
            <w:vAlign w:val="center"/>
          </w:tcPr>
          <w:p w14:paraId="26128F81" w14:textId="179AE782" w:rsidR="008D62EE" w:rsidRPr="00B57B36" w:rsidRDefault="00B8276D" w:rsidP="00001E32">
            <w:pPr>
              <w:pStyle w:val="CETBodytext"/>
              <w:ind w:right="-1"/>
              <w:jc w:val="center"/>
              <w:rPr>
                <w:rFonts w:cs="Arial"/>
                <w:szCs w:val="18"/>
                <w:lang w:val="en-GB"/>
              </w:rPr>
            </w:pPr>
            <w:r>
              <w:rPr>
                <w:rFonts w:cs="Arial"/>
                <w:szCs w:val="18"/>
                <w:lang w:val="en-GB"/>
              </w:rPr>
              <w:t>8.69</w:t>
            </w:r>
          </w:p>
        </w:tc>
        <w:tc>
          <w:tcPr>
            <w:tcW w:w="1085" w:type="dxa"/>
            <w:shd w:val="clear" w:color="auto" w:fill="FFFFFF"/>
            <w:vAlign w:val="center"/>
          </w:tcPr>
          <w:p w14:paraId="3118076C" w14:textId="730FB55E" w:rsidR="008D62EE" w:rsidRPr="00B57B36" w:rsidRDefault="00D71DB7" w:rsidP="00001E32">
            <w:pPr>
              <w:pStyle w:val="CETBodytext"/>
              <w:ind w:right="-1"/>
              <w:jc w:val="center"/>
              <w:rPr>
                <w:rFonts w:cs="Arial"/>
                <w:szCs w:val="18"/>
                <w:lang w:val="en-GB"/>
              </w:rPr>
            </w:pPr>
            <w:r>
              <w:rPr>
                <w:rFonts w:cs="Arial"/>
                <w:szCs w:val="18"/>
                <w:lang w:val="en-GB"/>
              </w:rPr>
              <w:t>11.90</w:t>
            </w:r>
          </w:p>
        </w:tc>
        <w:tc>
          <w:tcPr>
            <w:tcW w:w="1085" w:type="dxa"/>
            <w:shd w:val="clear" w:color="auto" w:fill="FFFFFF"/>
            <w:vAlign w:val="center"/>
          </w:tcPr>
          <w:p w14:paraId="01E18D69" w14:textId="3B96551E" w:rsidR="008D62EE" w:rsidRPr="00B57B36" w:rsidRDefault="00F869A7" w:rsidP="00001E32">
            <w:pPr>
              <w:pStyle w:val="CETBodytext"/>
              <w:ind w:right="-1"/>
              <w:jc w:val="center"/>
              <w:rPr>
                <w:rFonts w:cs="Arial"/>
                <w:szCs w:val="18"/>
                <w:lang w:val="en-GB"/>
              </w:rPr>
            </w:pPr>
            <w:r>
              <w:rPr>
                <w:rFonts w:cs="Arial"/>
                <w:szCs w:val="18"/>
                <w:lang w:val="en-GB"/>
              </w:rPr>
              <w:t>16.50</w:t>
            </w:r>
          </w:p>
        </w:tc>
      </w:tr>
      <w:tr w:rsidR="008D62EE" w:rsidRPr="00B57B36" w14:paraId="27763EFD" w14:textId="77777777" w:rsidTr="00265344">
        <w:trPr>
          <w:jc w:val="center"/>
        </w:trPr>
        <w:tc>
          <w:tcPr>
            <w:tcW w:w="850" w:type="dxa"/>
            <w:vMerge/>
            <w:shd w:val="clear" w:color="auto" w:fill="FFFFFF"/>
            <w:vAlign w:val="center"/>
          </w:tcPr>
          <w:p w14:paraId="7C237EFC" w14:textId="77777777" w:rsidR="008D62EE" w:rsidRPr="00B57B36" w:rsidRDefault="008D62EE" w:rsidP="0039732C">
            <w:pPr>
              <w:pStyle w:val="CETBodytext"/>
              <w:ind w:right="-1"/>
              <w:jc w:val="center"/>
              <w:rPr>
                <w:rFonts w:cs="Arial"/>
                <w:szCs w:val="18"/>
                <w:lang w:val="en-GB"/>
              </w:rPr>
            </w:pPr>
          </w:p>
        </w:tc>
        <w:tc>
          <w:tcPr>
            <w:tcW w:w="993" w:type="dxa"/>
            <w:shd w:val="clear" w:color="auto" w:fill="FFFFFF"/>
            <w:vAlign w:val="center"/>
          </w:tcPr>
          <w:p w14:paraId="7787A155" w14:textId="57DEAF5B" w:rsidR="008D62EE" w:rsidRPr="00B57B36" w:rsidRDefault="0039732C" w:rsidP="0039732C">
            <w:pPr>
              <w:pStyle w:val="CETBodytext"/>
              <w:ind w:right="-1"/>
              <w:jc w:val="center"/>
              <w:rPr>
                <w:rFonts w:cs="Arial"/>
                <w:szCs w:val="18"/>
                <w:lang w:val="en-GB"/>
              </w:rPr>
            </w:pPr>
            <w:r>
              <w:rPr>
                <w:rFonts w:cs="Arial"/>
                <w:szCs w:val="18"/>
                <w:lang w:val="en-GB"/>
              </w:rPr>
              <w:t>Clay</w:t>
            </w:r>
          </w:p>
        </w:tc>
        <w:tc>
          <w:tcPr>
            <w:tcW w:w="1113" w:type="dxa"/>
            <w:shd w:val="clear" w:color="auto" w:fill="FFFFFF"/>
            <w:vAlign w:val="center"/>
          </w:tcPr>
          <w:p w14:paraId="294524F4" w14:textId="4874FC93" w:rsidR="008D62EE" w:rsidRPr="00B57B36" w:rsidRDefault="00E757DA" w:rsidP="00001E32">
            <w:pPr>
              <w:pStyle w:val="CETBodytext"/>
              <w:ind w:right="-1"/>
              <w:jc w:val="center"/>
              <w:rPr>
                <w:rFonts w:cs="Arial"/>
                <w:szCs w:val="18"/>
                <w:lang w:val="en-GB"/>
              </w:rPr>
            </w:pPr>
            <w:r>
              <w:rPr>
                <w:rFonts w:cs="Arial"/>
                <w:szCs w:val="18"/>
                <w:lang w:val="en-GB"/>
              </w:rPr>
              <w:t>2.00</w:t>
            </w:r>
          </w:p>
        </w:tc>
        <w:tc>
          <w:tcPr>
            <w:tcW w:w="1114" w:type="dxa"/>
            <w:shd w:val="clear" w:color="auto" w:fill="FFFFFF"/>
            <w:vAlign w:val="center"/>
          </w:tcPr>
          <w:p w14:paraId="5CA76DD8" w14:textId="45863346" w:rsidR="008D62EE" w:rsidRPr="00B57B36" w:rsidRDefault="00B55935" w:rsidP="00001E32">
            <w:pPr>
              <w:pStyle w:val="CETBodytext"/>
              <w:ind w:right="-1"/>
              <w:jc w:val="center"/>
              <w:rPr>
                <w:rFonts w:cs="Arial"/>
                <w:szCs w:val="18"/>
                <w:lang w:val="en-GB"/>
              </w:rPr>
            </w:pPr>
            <w:r>
              <w:rPr>
                <w:rFonts w:cs="Arial"/>
                <w:szCs w:val="18"/>
                <w:lang w:val="en-GB"/>
              </w:rPr>
              <w:t>2.33</w:t>
            </w:r>
          </w:p>
        </w:tc>
        <w:tc>
          <w:tcPr>
            <w:tcW w:w="1085" w:type="dxa"/>
            <w:shd w:val="clear" w:color="auto" w:fill="FFFFFF"/>
            <w:vAlign w:val="center"/>
          </w:tcPr>
          <w:p w14:paraId="1E2DE311" w14:textId="5A983217" w:rsidR="008D62EE" w:rsidRPr="00B57B36" w:rsidRDefault="00E629E5" w:rsidP="00001E32">
            <w:pPr>
              <w:pStyle w:val="CETBodytext"/>
              <w:ind w:right="-1"/>
              <w:jc w:val="center"/>
              <w:rPr>
                <w:rFonts w:cs="Arial"/>
                <w:szCs w:val="18"/>
                <w:lang w:val="en-GB"/>
              </w:rPr>
            </w:pPr>
            <w:r>
              <w:rPr>
                <w:rFonts w:cs="Arial"/>
                <w:szCs w:val="18"/>
                <w:lang w:val="en-GB"/>
              </w:rPr>
              <w:t>3.67</w:t>
            </w:r>
          </w:p>
        </w:tc>
        <w:tc>
          <w:tcPr>
            <w:tcW w:w="1085" w:type="dxa"/>
            <w:shd w:val="clear" w:color="auto" w:fill="FFFFFF"/>
            <w:vAlign w:val="center"/>
          </w:tcPr>
          <w:p w14:paraId="00FF54DF" w14:textId="4C1B9666" w:rsidR="008D62EE" w:rsidRPr="00B57B36" w:rsidRDefault="005B64BB" w:rsidP="00001E32">
            <w:pPr>
              <w:pStyle w:val="CETBodytext"/>
              <w:ind w:right="-1"/>
              <w:jc w:val="center"/>
              <w:rPr>
                <w:rFonts w:cs="Arial"/>
                <w:szCs w:val="18"/>
                <w:lang w:val="en-GB"/>
              </w:rPr>
            </w:pPr>
            <w:r>
              <w:rPr>
                <w:rFonts w:cs="Arial"/>
                <w:szCs w:val="18"/>
                <w:lang w:val="en-GB"/>
              </w:rPr>
              <w:t>3.33</w:t>
            </w:r>
          </w:p>
        </w:tc>
        <w:tc>
          <w:tcPr>
            <w:tcW w:w="1085" w:type="dxa"/>
            <w:shd w:val="clear" w:color="auto" w:fill="FFFFFF"/>
            <w:vAlign w:val="center"/>
          </w:tcPr>
          <w:p w14:paraId="4B3AD63F" w14:textId="2E50F086" w:rsidR="008D62EE" w:rsidRPr="00B57B36" w:rsidRDefault="00B8276D" w:rsidP="00001E32">
            <w:pPr>
              <w:pStyle w:val="CETBodytext"/>
              <w:ind w:right="-1"/>
              <w:jc w:val="center"/>
              <w:rPr>
                <w:rFonts w:cs="Arial"/>
                <w:szCs w:val="18"/>
                <w:lang w:val="en-GB"/>
              </w:rPr>
            </w:pPr>
            <w:r>
              <w:rPr>
                <w:rFonts w:cs="Arial"/>
                <w:szCs w:val="18"/>
                <w:lang w:val="en-GB"/>
              </w:rPr>
              <w:t>2.45</w:t>
            </w:r>
          </w:p>
        </w:tc>
        <w:tc>
          <w:tcPr>
            <w:tcW w:w="1085" w:type="dxa"/>
            <w:shd w:val="clear" w:color="auto" w:fill="FFFFFF"/>
            <w:vAlign w:val="center"/>
          </w:tcPr>
          <w:p w14:paraId="6251B52F" w14:textId="188367B4" w:rsidR="008D62EE" w:rsidRPr="00B57B36" w:rsidRDefault="00D71DB7" w:rsidP="00001E32">
            <w:pPr>
              <w:pStyle w:val="CETBodytext"/>
              <w:ind w:right="-1"/>
              <w:jc w:val="center"/>
              <w:rPr>
                <w:rFonts w:cs="Arial"/>
                <w:szCs w:val="18"/>
                <w:lang w:val="en-GB"/>
              </w:rPr>
            </w:pPr>
            <w:r>
              <w:rPr>
                <w:rFonts w:cs="Arial"/>
                <w:szCs w:val="18"/>
                <w:lang w:val="en-GB"/>
              </w:rPr>
              <w:t>3.85</w:t>
            </w:r>
          </w:p>
        </w:tc>
        <w:tc>
          <w:tcPr>
            <w:tcW w:w="1085" w:type="dxa"/>
            <w:shd w:val="clear" w:color="auto" w:fill="FFFFFF"/>
            <w:vAlign w:val="center"/>
          </w:tcPr>
          <w:p w14:paraId="616CD6B8" w14:textId="49C6D6DF" w:rsidR="008D62EE" w:rsidRPr="00B57B36" w:rsidRDefault="00F869A7" w:rsidP="00001E32">
            <w:pPr>
              <w:pStyle w:val="CETBodytext"/>
              <w:ind w:right="-1"/>
              <w:jc w:val="center"/>
              <w:rPr>
                <w:rFonts w:cs="Arial"/>
                <w:szCs w:val="18"/>
                <w:lang w:val="en-GB"/>
              </w:rPr>
            </w:pPr>
            <w:r>
              <w:rPr>
                <w:rFonts w:cs="Arial"/>
                <w:szCs w:val="18"/>
                <w:lang w:val="en-GB"/>
              </w:rPr>
              <w:t>3.79</w:t>
            </w:r>
          </w:p>
        </w:tc>
      </w:tr>
    </w:tbl>
    <w:p w14:paraId="509C9228" w14:textId="00D736DE" w:rsidR="009A5EE1" w:rsidRPr="00B62D30" w:rsidRDefault="004B3F94" w:rsidP="004B3F94">
      <w:pPr>
        <w:pStyle w:val="CETBodytext"/>
        <w:rPr>
          <w:highlight w:val="yellow"/>
          <w:lang w:val="en-US"/>
        </w:rPr>
      </w:pPr>
      <w:r w:rsidRPr="00B62D30">
        <w:rPr>
          <w:lang w:val="en-US"/>
        </w:rPr>
        <w:t xml:space="preserve">Note: SB05= Soil with </w:t>
      </w:r>
      <w:r w:rsidR="00FA3143" w:rsidRPr="00B62D30">
        <w:rPr>
          <w:lang w:val="en-US"/>
        </w:rPr>
        <w:t xml:space="preserve">5% Biochar, SB10= Soil </w:t>
      </w:r>
      <w:r w:rsidR="005578D6" w:rsidRPr="00B62D30">
        <w:rPr>
          <w:lang w:val="en-US"/>
        </w:rPr>
        <w:t>with 10% Biochar</w:t>
      </w:r>
      <w:r w:rsidR="00A30DC0">
        <w:rPr>
          <w:lang w:val="en-US"/>
        </w:rPr>
        <w:t>,</w:t>
      </w:r>
      <w:r w:rsidR="005578D6" w:rsidRPr="00B62D30">
        <w:rPr>
          <w:lang w:val="en-US"/>
        </w:rPr>
        <w:t xml:space="preserve"> and SB20= Soil with 20% Biochar</w:t>
      </w:r>
    </w:p>
    <w:p w14:paraId="305F01CD" w14:textId="77777777" w:rsidR="00415019" w:rsidRPr="00B62D30" w:rsidRDefault="00415019" w:rsidP="00C45C87">
      <w:pPr>
        <w:pStyle w:val="CETBodytext"/>
        <w:rPr>
          <w:lang w:val="en-US"/>
        </w:rPr>
      </w:pPr>
    </w:p>
    <w:p w14:paraId="4966449F" w14:textId="70987FAF" w:rsidR="002A0C99" w:rsidRPr="00A24EA0" w:rsidRDefault="006D0748" w:rsidP="00C45C87">
      <w:pPr>
        <w:pStyle w:val="CETBodytext"/>
        <w:rPr>
          <w:lang w:val="en-US"/>
        </w:rPr>
      </w:pPr>
      <w:r w:rsidRPr="00B62D30">
        <w:rPr>
          <w:lang w:val="en-US"/>
        </w:rPr>
        <w:t xml:space="preserve">It is established that the </w:t>
      </w:r>
      <w:r w:rsidR="00177763">
        <w:rPr>
          <w:lang w:val="en-US"/>
        </w:rPr>
        <w:t>most significant</w:t>
      </w:r>
      <w:r w:rsidRPr="00B62D30">
        <w:rPr>
          <w:lang w:val="en-US"/>
        </w:rPr>
        <w:t xml:space="preserve"> change occurred in the treatment with </w:t>
      </w:r>
      <w:r w:rsidR="000365EC" w:rsidRPr="00B62D30">
        <w:rPr>
          <w:lang w:val="en-US"/>
        </w:rPr>
        <w:t xml:space="preserve">20% biochar in 45 days. In the case of organic matter, it increased progressively due to the porous characteristic of </w:t>
      </w:r>
      <w:r w:rsidR="00F85BCC" w:rsidRPr="00B62D30">
        <w:rPr>
          <w:lang w:val="en-US"/>
        </w:rPr>
        <w:t>biochar</w:t>
      </w:r>
      <w:r w:rsidR="004231D1" w:rsidRPr="00B62D30">
        <w:rPr>
          <w:lang w:val="en-US"/>
        </w:rPr>
        <w:t xml:space="preserve">, with the proliferation of microbiota present in the soil. The increase in pH until reaching 7.17, </w:t>
      </w:r>
      <w:r w:rsidR="00755788">
        <w:rPr>
          <w:lang w:val="en-US"/>
        </w:rPr>
        <w:t>with more significant nitrogen and phosphorus fixation up to 73.90 and 207.90 mg/kg, respectively,</w:t>
      </w:r>
      <w:r w:rsidR="004231D1" w:rsidRPr="00B62D30">
        <w:rPr>
          <w:lang w:val="en-US"/>
        </w:rPr>
        <w:t xml:space="preserve"> was due to </w:t>
      </w:r>
      <w:r w:rsidR="00BE6360" w:rsidRPr="00B62D30">
        <w:rPr>
          <w:lang w:val="en-US"/>
        </w:rPr>
        <w:t>biochar</w:t>
      </w:r>
      <w:r w:rsidR="00F05AA7" w:rsidRPr="00B62D30">
        <w:rPr>
          <w:lang w:val="en-US"/>
        </w:rPr>
        <w:t xml:space="preserve"> </w:t>
      </w:r>
      <w:r w:rsidR="00F05AA7">
        <w:rPr>
          <w:lang w:val="es-PE"/>
        </w:rPr>
        <w:fldChar w:fldCharType="begin" w:fldLock="1"/>
      </w:r>
      <w:r w:rsidR="00F05AA7" w:rsidRPr="00B62D30">
        <w:rPr>
          <w:lang w:val="en-US"/>
        </w:rPr>
        <w:instrText>ADDIN CSL_CITATION {"citationItems":[{"id":"ITEM-1","itemData":{"DOI":"10.3390/molecules26185584","ISSN":"14203049","PMID":"34577054","abstract":"In a time when climate change increases desertification and drought globally, novel and effective solutions are required in order to continue food production for the world’s increasing population. Synthetic fertilizers have been long used to improve the productivity of agricultural soils, part of which leaches into the environment and emits greenhouse gasses (GHG). Some fundamental challenges within agricultural practices include the improvement of water retention and microbiota in soils, as well as boosting the efficiency of fertilizers. Biochar is a nutrient rich material produced from biomass, gaining attention for soil amendment purposes, improving crop yields as well as for carbon sequestration. This study summarizes the potential benefits of biochar applications, placing emphasis on its application in the agricultural sector. It seems biochar used for soil amendment improves nutrient density of soils, water holding capacity, reduces fertilizer requirements, enhances soil microbiota, and increases crop yields. Additionally, biochar usage has many environmental benefits, economic benefits, and a potential role to play in carbon credit systems. Biochar (also known as biocarbon) may hold the answer to these fundamental requirements.","author":[{"dropping-particle":"","family":"Allohverdi","given":"Tara","non-dropping-particle":"","parse-names":false,"suffix":""},{"dropping-particle":"","family":"Mohanty","given":"Amar Kumar","non-dropping-particle":"","parse-names":false,"suffix":""},{"dropping-particle":"","family":"Roy","given":"Poritosh","non-dropping-particle":"","parse-names":false,"suffix":""},{"dropping-particle":"","family":"Misra","given":"Manjusri","non-dropping-particle":"","parse-names":false,"suffix":""}],"container-title":"Molecules","id":"ITEM-1","issue":"18","issued":{"date-parts":[["2021"]]},"title":"A review on current status of biochar uses in agriculture","type":"article-journal","volume":"26"},"uris":["http://www.mendeley.com/documents/?uuid=22eb42b7-c14f-413b-b211-6a0e041913c9"]}],"mendeley":{"formattedCitation":"(Allohverdi et al., 2021)","plainTextFormattedCitation":"(Allohverdi et al., 2021)","previouslyFormattedCitation":"(Allohverdi et al., 2021)"},"properties":{"noteIndex":0},"schema":"https://github.com/citation-style-language/schema/raw/master/csl-citation.json"}</w:instrText>
      </w:r>
      <w:r w:rsidR="00F05AA7">
        <w:rPr>
          <w:lang w:val="es-PE"/>
        </w:rPr>
        <w:fldChar w:fldCharType="separate"/>
      </w:r>
      <w:r w:rsidR="00F05AA7" w:rsidRPr="00B62D30">
        <w:rPr>
          <w:noProof/>
          <w:lang w:val="en-US"/>
        </w:rPr>
        <w:t>(Allohverdi et al., 2021)</w:t>
      </w:r>
      <w:r w:rsidR="00F05AA7">
        <w:rPr>
          <w:lang w:val="es-PE"/>
        </w:rPr>
        <w:fldChar w:fldCharType="end"/>
      </w:r>
      <w:r w:rsidR="00BE6360" w:rsidRPr="00B62D30">
        <w:rPr>
          <w:lang w:val="en-US"/>
        </w:rPr>
        <w:t xml:space="preserve">, the cation exchange capacity also shows a continuous increase until reaching 52.60 </w:t>
      </w:r>
      <w:proofErr w:type="spellStart"/>
      <w:r w:rsidR="009B1FDD" w:rsidRPr="00B62D30">
        <w:rPr>
          <w:lang w:val="en-US"/>
        </w:rPr>
        <w:t>meq</w:t>
      </w:r>
      <w:proofErr w:type="spellEnd"/>
      <w:r w:rsidR="009B1FDD" w:rsidRPr="00B62D30">
        <w:rPr>
          <w:lang w:val="en-US"/>
        </w:rPr>
        <w:t xml:space="preserve"> </w:t>
      </w:r>
      <w:r w:rsidR="00D26D29" w:rsidRPr="00B62D30">
        <w:rPr>
          <w:lang w:val="en-US"/>
        </w:rPr>
        <w:t>/100 g corresponding to the control sample. All these values demonstrate that the soil is healthy and fertile</w:t>
      </w:r>
      <w:r w:rsidR="00A30DC0">
        <w:rPr>
          <w:lang w:val="en-US"/>
        </w:rPr>
        <w:t xml:space="preserve"> </w:t>
      </w:r>
      <w:r w:rsidR="00A30DC0">
        <w:rPr>
          <w:lang w:val="en-US"/>
        </w:rPr>
        <w:fldChar w:fldCharType="begin" w:fldLock="1"/>
      </w:r>
      <w:r w:rsidR="00657588">
        <w:rPr>
          <w:lang w:val="en-US"/>
        </w:rPr>
        <w:instrText>ADDIN CSL_CITATION {"citationItems":[{"id":"ITEM-1","itemData":{"author":[{"dropping-particle":"","family":"Freitez","given":"Norbelis","non-dropping-particle":"","parse-names":false,"suffix":""},{"dropping-particle":"","family":"Villanueva","given":"Samuel","non-dropping-particle":"","parse-names":false,"suffix":""}],"container-title":"Revista ciencia en revolución","id":"ITEM-1","issued":{"date-parts":[["2019"]]},"page":"97-100","title":"Dissemination article: Biocarbon, an alternative to contaminated soils","type":"article-journal","volume":"5"},"uris":["http://www.mendeley.com/documents/?uuid=3d557a8b-1215-4dc5-bbed-3726dd342412"]}],"mendeley":{"formattedCitation":"(Freitez &amp; Villanueva, 2019)","plainTextFormattedCitation":"(Freitez &amp; Villanueva, 2019)","previouslyFormattedCitation":"(Freitez &amp; Villanueva, 2019)"},"properties":{"noteIndex":0},"schema":"https://github.com/citation-style-language/schema/raw/master/csl-citation.json"}</w:instrText>
      </w:r>
      <w:r w:rsidR="00A30DC0">
        <w:rPr>
          <w:lang w:val="en-US"/>
        </w:rPr>
        <w:fldChar w:fldCharType="separate"/>
      </w:r>
      <w:r w:rsidR="00A30DC0" w:rsidRPr="00A30DC0">
        <w:rPr>
          <w:noProof/>
          <w:lang w:val="en-US"/>
        </w:rPr>
        <w:t>(Freitez &amp; Villanueva, 2019)</w:t>
      </w:r>
      <w:r w:rsidR="00A30DC0">
        <w:rPr>
          <w:lang w:val="en-US"/>
        </w:rPr>
        <w:fldChar w:fldCharType="end"/>
      </w:r>
      <w:r w:rsidR="00755788">
        <w:rPr>
          <w:lang w:val="en-US"/>
        </w:rPr>
        <w:t>.</w:t>
      </w:r>
      <w:r w:rsidR="00731AD9" w:rsidRPr="00B62D30">
        <w:rPr>
          <w:lang w:val="en-US"/>
        </w:rPr>
        <w:t xml:space="preserve"> Therefore, </w:t>
      </w:r>
      <w:r w:rsidR="00755788">
        <w:rPr>
          <w:lang w:val="en-US"/>
        </w:rPr>
        <w:t>incorporating</w:t>
      </w:r>
      <w:r w:rsidR="00731AD9" w:rsidRPr="00B62D30">
        <w:rPr>
          <w:lang w:val="en-US"/>
        </w:rPr>
        <w:t xml:space="preserve"> </w:t>
      </w:r>
      <w:r w:rsidR="00C45C87" w:rsidRPr="00B62D30">
        <w:rPr>
          <w:lang w:val="en-US"/>
        </w:rPr>
        <w:t xml:space="preserve">biochar into the soil can generate changes in physical and chemical properties (Puentes </w:t>
      </w:r>
      <w:r w:rsidR="00772E72">
        <w:rPr>
          <w:lang w:val="en-US"/>
        </w:rPr>
        <w:t>&amp;</w:t>
      </w:r>
      <w:r w:rsidR="00C45C87" w:rsidRPr="00B62D30">
        <w:rPr>
          <w:lang w:val="en-US"/>
        </w:rPr>
        <w:t xml:space="preserve"> Rodríguez, 2021). Finally, the texture varies with a decrease in </w:t>
      </w:r>
      <w:r w:rsidR="001C5259" w:rsidRPr="00B62D30">
        <w:rPr>
          <w:lang w:val="en-US"/>
        </w:rPr>
        <w:t>sandiness and an increase in silt</w:t>
      </w:r>
      <w:r w:rsidR="00755788">
        <w:rPr>
          <w:lang w:val="en-US"/>
        </w:rPr>
        <w:t>.</w:t>
      </w:r>
      <w:r w:rsidR="001C5259" w:rsidRPr="00B62D30">
        <w:rPr>
          <w:lang w:val="en-US"/>
        </w:rPr>
        <w:t xml:space="preserve"> However, more studies are still required to help conclude the benefits of biochar.</w:t>
      </w:r>
      <w:r w:rsidR="00B00D8E" w:rsidRPr="00B62D30">
        <w:rPr>
          <w:lang w:val="en-US"/>
        </w:rPr>
        <w:t xml:space="preserve"> </w:t>
      </w:r>
      <w:r w:rsidR="00685166">
        <w:rPr>
          <w:lang w:val="es-PE"/>
        </w:rPr>
        <w:fldChar w:fldCharType="begin" w:fldLock="1"/>
      </w:r>
      <w:r w:rsidR="00B56D08">
        <w:rPr>
          <w:lang w:val="en-US"/>
        </w:rPr>
        <w:instrText>ADDIN CSL_CITATION {"citationItems":[{"id":"ITEM-1","itemData":{"DOI":"10.57188/manglar.2023.012","ISBN":"0000000313049","ISSN":"18167667","abstract":"The indiscriminate use of chemicals has motivated this research. The objective was to compare the effects on the development of plant succession under microorganism and biochar management in sandy loam and clay loam textured soils. The research was carried out in two plots: plot one with sandy loam textured soil and plot two with clay loam textured soil. Three treatments and a control were established, 20 plants were selected for each one, the control (T0): 8 kg of silicon oxide at 75% + 1 l of biochar enriched with Trichoderma spp, treatment 1 (T1): 8 kg of 75% silicon oxide + 56 ml of Paecilomyces spp, treatment 2 (T2): 8 kg of 75% silicon oxide + 102 ml of Paecilomyces spp; and Treatment 3 (T3): 56 g of arbuscular Mycorrhiza. The highest value in plant height presented plot one (P1) with 3.22 m (T1), plant stem diameter presented P1 with 1.04 m (T1) and corm diameter in plot two with 1.18 m (T2). The results revealed that the treatments have a positive effect on the growth of the plants.","author":[{"dropping-particle":"","family":"Reyes Pallazhco","given":"Joseph Mark","non-dropping-particle":"","parse-names":false,"suffix":""},{"dropping-particle":"","family":"Leon Cabrera","given":"Paul","non-dropping-particle":"","parse-names":false,"suffix":""},{"dropping-particle":"","family":"Barrezueta Unda","given":"Salomon","non-dropping-particle":"","parse-names":false,"suffix":""}],"container-title":"Manglar","id":"ITEM-1","issue":"2","issued":{"date-parts":[["2023"]]},"page":"109-115","title":"Respuesta del cultivo de banano a diferentes proporciones de microorganismos y biochar en dos texturas de suelo","type":"article-journal","volume":"20"},"uris":["http://www.mendeley.com/documents/?uuid=0ea94c40-3876-41a7-b371-c35df4d91bf3"]}],"mendeley":{"formattedCitation":"(Reyes Pallazhco et al., 2023)","manualFormatting":"(Reyes Pallazhco et al., 2023). ","plainTextFormattedCitation":"(Reyes Pallazhco et al., 2023)","previouslyFormattedCitation":"(Reyes Pallazhco et al., 2023)"},"properties":{"noteIndex":0},"schema":"https://github.com/citation-style-language/schema/raw/master/csl-citation.json"}</w:instrText>
      </w:r>
      <w:r w:rsidR="00685166">
        <w:rPr>
          <w:lang w:val="es-PE"/>
        </w:rPr>
        <w:fldChar w:fldCharType="separate"/>
      </w:r>
      <w:r w:rsidR="00685166" w:rsidRPr="00A24EA0">
        <w:rPr>
          <w:noProof/>
          <w:lang w:val="en-US"/>
        </w:rPr>
        <w:t>(Reyes Pallazhco et al., 2023)</w:t>
      </w:r>
      <w:r w:rsidR="00B56D08" w:rsidRPr="00A24EA0">
        <w:rPr>
          <w:noProof/>
          <w:lang w:val="en-US"/>
        </w:rPr>
        <w:t>.</w:t>
      </w:r>
      <w:r w:rsidR="00685166" w:rsidRPr="00A24EA0">
        <w:rPr>
          <w:noProof/>
          <w:lang w:val="en-US"/>
        </w:rPr>
        <w:t xml:space="preserve"> </w:t>
      </w:r>
      <w:r w:rsidR="00685166">
        <w:rPr>
          <w:lang w:val="es-PE"/>
        </w:rPr>
        <w:fldChar w:fldCharType="end"/>
      </w:r>
    </w:p>
    <w:p w14:paraId="2DB3F673" w14:textId="77777777" w:rsidR="007B4222" w:rsidRPr="00A24EA0" w:rsidRDefault="007B4222" w:rsidP="00C45C87">
      <w:pPr>
        <w:pStyle w:val="CETBodytext"/>
        <w:rPr>
          <w:lang w:val="en-US"/>
        </w:rPr>
      </w:pPr>
    </w:p>
    <w:p w14:paraId="322EE7B2" w14:textId="7EE6B6B4" w:rsidR="007B4222" w:rsidRPr="009A4FBF" w:rsidRDefault="009A4FBF" w:rsidP="00C45C87">
      <w:pPr>
        <w:pStyle w:val="CETBodytext"/>
        <w:rPr>
          <w:lang w:val="en-US"/>
        </w:rPr>
      </w:pPr>
      <w:r w:rsidRPr="009A4FBF">
        <w:rPr>
          <w:lang w:val="en-US"/>
        </w:rPr>
        <w:t>Biocarbon turns out to have an advantage due to its molecular structure and physical architecture when applied to soil</w:t>
      </w:r>
      <w:r w:rsidR="00755788">
        <w:rPr>
          <w:lang w:val="en-US"/>
        </w:rPr>
        <w:t>. The high pyrolysis temperature allows generating a very effective biocarbon for the absorption of organic contaminants by increasing the surface area, hydrophobicity,</w:t>
      </w:r>
      <w:r w:rsidRPr="009A4FBF">
        <w:rPr>
          <w:lang w:val="en-US"/>
        </w:rPr>
        <w:t xml:space="preserve"> and microporosity</w:t>
      </w:r>
      <w:r w:rsidR="00DA6F19">
        <w:rPr>
          <w:lang w:val="en-US"/>
        </w:rPr>
        <w:t xml:space="preserve"> </w:t>
      </w:r>
      <w:r w:rsidR="007A2C09">
        <w:rPr>
          <w:lang w:val="en-US"/>
        </w:rPr>
        <w:fldChar w:fldCharType="begin" w:fldLock="1"/>
      </w:r>
      <w:r w:rsidR="00DA6F19">
        <w:rPr>
          <w:lang w:val="en-US"/>
        </w:rPr>
        <w:instrText>ADDIN CSL_CITATION {"citationItems":[{"id":"ITEM-1","itemData":{"DOI":"10.1007/s42773-022-00146-1","ISBN":"0123456789","ISSN":"25247867","abstract":"Biochar shows significant potential to serve as a globally applicable material to remediate water and soil owing to the extensive availability of feedstocks and conducive physio-chemical surface characteristics. This review aims to highlight biochar production technologies, characteristics of biochar, and the latest advancements in immobilizing and eliminating heavy metal ions and organic pollutants in soil and water. Pyrolysis temperature, heat transfer rate, residence time, and type of feedstock are critical influential parameters. Biochar’s efficacy in managing contaminants relies on the pore size distribution, surface groups, and ion-exchange capacity. The molecular composition and physical architecture of biochar may be crucial when practically applied to water and soil. In general, biochar produced at relatively high pyrolysis temperatures can effectively manage organic pollutants via increasing surface area, hydrophobicity and microporosity. Biochar generated at lower temperatures is deemed to be more suitable for removing polar organic and inorganic pollutants through oxygen-containing functional groups, precipitation and electrostatic attraction. This review also presents the existing obstacles and future research direction related to biochar-based materials in immobilizing organic contaminants and heavy metal ions in effluents and soil. Graphical Abstract: [Figure not available: see fulltext.].","author":[{"dropping-particle":"","family":"Qiu","given":"Muqing","non-dropping-particle":"","parse-names":false,"suffix":""},{"dropping-particle":"","family":"Liu","given":"Lijie","non-dropping-particle":"","parse-names":false,"suffix":""},{"dropping-particle":"","family":"Ling","given":"Qian","non-dropping-particle":"","parse-names":false,"suffix":""},{"dropping-particle":"","family":"Cai","given":"Yawen","non-dropping-particle":"","parse-names":false,"suffix":""},{"dropping-particle":"","family":"Yu","given":"Shujun","non-dropping-particle":"","parse-names":false,"suffix":""},{"dropping-particle":"","family":"Wang","given":"Shuqin","non-dropping-particle":"","parse-names":false,"suffix":""},{"dropping-particle":"","family":"Fu","given":"Dong","non-dropping-particle":"","parse-names":false,"suffix":""},{"dropping-particle":"","family":"Hu","given":"Baowei","non-dropping-particle":"","parse-names":false,"suffix":""},{"dropping-particle":"","family":"Wang","given":"Xiangke","non-dropping-particle":"","parse-names":false,"suffix":""}],"container-title":"Biochar","id":"ITEM-1","issue":"1","issued":{"date-parts":[["2022"]]},"page":"1-25","publisher":"Springer Singapore","title":"Biochar for the removal of contaminants from soil and water: a review","type":"article-journal","volume":"4"},"uris":["http://www.mendeley.com/documents/?uuid=40aef335-c1d8-4761-9ab5-a89c87ea91a4"]}],"mendeley":{"formattedCitation":"(Qiu et al., 2022)","plainTextFormattedCitation":"(Qiu et al., 2022)","previouslyFormattedCitation":"(Qiu et al., 2022)"},"properties":{"noteIndex":0},"schema":"https://github.com/citation-style-language/schema/raw/master/csl-citation.json"}</w:instrText>
      </w:r>
      <w:r w:rsidR="007A2C09">
        <w:rPr>
          <w:lang w:val="en-US"/>
        </w:rPr>
        <w:fldChar w:fldCharType="separate"/>
      </w:r>
      <w:r w:rsidR="007A2C09" w:rsidRPr="007A2C09">
        <w:rPr>
          <w:noProof/>
          <w:lang w:val="en-US"/>
        </w:rPr>
        <w:t>(Qiu et al., 2022)</w:t>
      </w:r>
      <w:r w:rsidR="007A2C09">
        <w:rPr>
          <w:lang w:val="en-US"/>
        </w:rPr>
        <w:fldChar w:fldCharType="end"/>
      </w:r>
      <w:r w:rsidRPr="009A4FBF">
        <w:rPr>
          <w:lang w:val="en-US"/>
        </w:rPr>
        <w:t>.</w:t>
      </w:r>
    </w:p>
    <w:p w14:paraId="68D26B83" w14:textId="77777777" w:rsidR="00600535" w:rsidRPr="00B57B36" w:rsidRDefault="00600535" w:rsidP="00600535">
      <w:pPr>
        <w:pStyle w:val="CETHeading1"/>
        <w:rPr>
          <w:lang w:val="en-GB"/>
        </w:rPr>
      </w:pPr>
      <w:r w:rsidRPr="00B57B36">
        <w:rPr>
          <w:lang w:val="en-GB"/>
        </w:rPr>
        <w:t>Conclusions</w:t>
      </w:r>
    </w:p>
    <w:p w14:paraId="6B736956" w14:textId="2DC79624" w:rsidR="00600535" w:rsidRPr="00B62D30" w:rsidRDefault="004B3F94" w:rsidP="00600535">
      <w:pPr>
        <w:pStyle w:val="CETBodytext"/>
        <w:rPr>
          <w:lang w:val="en-US"/>
        </w:rPr>
      </w:pPr>
      <w:r w:rsidRPr="00B62D30">
        <w:rPr>
          <w:lang w:val="en-US"/>
        </w:rPr>
        <w:t xml:space="preserve">The </w:t>
      </w:r>
      <w:r w:rsidR="00DD3A29" w:rsidRPr="00B62D30">
        <w:rPr>
          <w:lang w:val="en-US"/>
        </w:rPr>
        <w:t xml:space="preserve">biochar obtained from the residual sludge managed to significantly reduce the hydrocarbon concentration by 99.99% in the light fraction (C6-C10), 54.59% in the medium fraction ( </w:t>
      </w:r>
      <w:r w:rsidR="002D492D" w:rsidRPr="00B62D30">
        <w:rPr>
          <w:rFonts w:cs="Arial"/>
          <w:lang w:val="en-US"/>
        </w:rPr>
        <w:t xml:space="preserve">&gt; </w:t>
      </w:r>
      <w:r w:rsidR="002D492D" w:rsidRPr="00B62D30">
        <w:rPr>
          <w:lang w:val="en-US"/>
        </w:rPr>
        <w:t>C10 – C28)</w:t>
      </w:r>
      <w:r w:rsidR="00B56D08">
        <w:rPr>
          <w:lang w:val="en-US"/>
        </w:rPr>
        <w:t>,</w:t>
      </w:r>
      <w:r w:rsidR="002D492D" w:rsidRPr="00B62D30">
        <w:rPr>
          <w:lang w:val="en-US"/>
        </w:rPr>
        <w:t xml:space="preserve"> and 54.92% in the heavy fraction ( </w:t>
      </w:r>
      <w:r w:rsidR="002D492D" w:rsidRPr="00B62D30">
        <w:rPr>
          <w:rFonts w:cs="Arial"/>
          <w:lang w:val="en-US"/>
        </w:rPr>
        <w:t xml:space="preserve">&gt; C </w:t>
      </w:r>
      <w:r w:rsidR="002D492D" w:rsidRPr="00B62D30">
        <w:rPr>
          <w:lang w:val="en-US"/>
        </w:rPr>
        <w:t xml:space="preserve">28 – C40), obtaining </w:t>
      </w:r>
      <w:r w:rsidR="00755788">
        <w:rPr>
          <w:lang w:val="en-US"/>
        </w:rPr>
        <w:t>excellent</w:t>
      </w:r>
      <w:r w:rsidR="002D492D" w:rsidRPr="00B62D30">
        <w:rPr>
          <w:lang w:val="en-US"/>
        </w:rPr>
        <w:t xml:space="preserve"> efficiency that allows compliance with soil environmental quality standards. ; Likewise, it improves the physicochemical properties, such as the impact of the presence of </w:t>
      </w:r>
      <w:r w:rsidRPr="00B62D30">
        <w:rPr>
          <w:lang w:val="en-US"/>
        </w:rPr>
        <w:t xml:space="preserve">biochar by giving it porosity, increasing the percentage of organic matter, </w:t>
      </w:r>
      <w:r w:rsidR="00755788">
        <w:rPr>
          <w:lang w:val="en-US"/>
        </w:rPr>
        <w:t>stabilizing the pH around 7.17, and</w:t>
      </w:r>
      <w:r w:rsidRPr="00B62D30">
        <w:rPr>
          <w:lang w:val="en-US"/>
        </w:rPr>
        <w:t xml:space="preserve"> increasing nitrogen, phosphorus</w:t>
      </w:r>
      <w:r w:rsidR="00B56D08">
        <w:rPr>
          <w:lang w:val="en-US"/>
        </w:rPr>
        <w:t>,</w:t>
      </w:r>
      <w:r w:rsidRPr="00B62D30">
        <w:rPr>
          <w:lang w:val="en-US"/>
        </w:rPr>
        <w:t xml:space="preserve"> and cation exchange. Therefore, </w:t>
      </w:r>
      <w:r w:rsidR="00755788">
        <w:rPr>
          <w:lang w:val="en-US"/>
        </w:rPr>
        <w:t xml:space="preserve">using biochar obtained under the circular </w:t>
      </w:r>
      <w:proofErr w:type="gramStart"/>
      <w:r w:rsidR="00755788">
        <w:rPr>
          <w:lang w:val="en-US"/>
        </w:rPr>
        <w:t>economy</w:t>
      </w:r>
      <w:proofErr w:type="gramEnd"/>
      <w:r w:rsidR="00755788">
        <w:rPr>
          <w:lang w:val="en-US"/>
        </w:rPr>
        <w:t xml:space="preserve"> concept</w:t>
      </w:r>
      <w:r w:rsidR="006D0748" w:rsidRPr="00B62D30">
        <w:rPr>
          <w:lang w:val="en-US"/>
        </w:rPr>
        <w:t xml:space="preserve"> constitutes an environmentally sustainable method for treating soils contaminated by hydrocarbons.</w:t>
      </w:r>
    </w:p>
    <w:p w14:paraId="459D05E6" w14:textId="77777777" w:rsidR="00600535" w:rsidRPr="00CB1B2B" w:rsidRDefault="00600535" w:rsidP="00600535">
      <w:pPr>
        <w:pStyle w:val="CETAcknowledgementstitle"/>
        <w:rPr>
          <w:lang w:val="en-US"/>
        </w:rPr>
      </w:pPr>
      <w:r w:rsidRPr="00CB1B2B">
        <w:rPr>
          <w:lang w:val="en-US"/>
        </w:rPr>
        <w:t>Acknowledgments</w:t>
      </w:r>
    </w:p>
    <w:p w14:paraId="33F8138F" w14:textId="7C63CE7D" w:rsidR="00600535" w:rsidRPr="00B57B36" w:rsidRDefault="00B56D08" w:rsidP="00600535">
      <w:pPr>
        <w:pStyle w:val="CETBodytext"/>
        <w:rPr>
          <w:lang w:val="en-GB"/>
        </w:rPr>
      </w:pPr>
      <w:r w:rsidRPr="008507A7">
        <w:rPr>
          <w:lang w:val="en-GB"/>
        </w:rPr>
        <w:t>The authors</w:t>
      </w:r>
      <w:r>
        <w:rPr>
          <w:lang w:val="en-GB"/>
        </w:rPr>
        <w:t xml:space="preserve"> and GIGATRE</w:t>
      </w:r>
      <w:r w:rsidRPr="008507A7">
        <w:rPr>
          <w:lang w:val="en-GB"/>
        </w:rPr>
        <w:t xml:space="preserve"> thank </w:t>
      </w:r>
      <w:r>
        <w:rPr>
          <w:lang w:val="en-GB"/>
        </w:rPr>
        <w:t>“</w:t>
      </w:r>
      <w:proofErr w:type="spellStart"/>
      <w:r w:rsidRPr="008507A7">
        <w:rPr>
          <w:lang w:val="en-GB"/>
        </w:rPr>
        <w:t>Investiga</w:t>
      </w:r>
      <w:proofErr w:type="spellEnd"/>
      <w:r w:rsidRPr="008507A7">
        <w:rPr>
          <w:lang w:val="en-GB"/>
        </w:rPr>
        <w:t xml:space="preserve"> UCV</w:t>
      </w:r>
      <w:r>
        <w:rPr>
          <w:lang w:val="en-GB"/>
        </w:rPr>
        <w:t>”</w:t>
      </w:r>
      <w:r w:rsidRPr="008507A7">
        <w:rPr>
          <w:lang w:val="en-GB"/>
        </w:rPr>
        <w:t xml:space="preserve"> of </w:t>
      </w:r>
      <w:r w:rsidR="00755788">
        <w:rPr>
          <w:lang w:val="en-GB"/>
        </w:rPr>
        <w:t>César Vallejo University for funding</w:t>
      </w:r>
      <w:r w:rsidRPr="008507A7">
        <w:rPr>
          <w:lang w:val="en-GB"/>
        </w:rPr>
        <w:t xml:space="preserve"> the publication of this research.</w:t>
      </w:r>
    </w:p>
    <w:p w14:paraId="4F1327F8" w14:textId="77777777" w:rsidR="00600535" w:rsidRDefault="00600535" w:rsidP="00600535">
      <w:pPr>
        <w:pStyle w:val="CETReference"/>
        <w:rPr>
          <w:lang w:val="en-US"/>
        </w:rPr>
      </w:pPr>
      <w:r w:rsidRPr="00B62D30">
        <w:rPr>
          <w:lang w:val="en-US"/>
        </w:rPr>
        <w:t>References</w:t>
      </w:r>
    </w:p>
    <w:p w14:paraId="0F1BB6B3" w14:textId="77777777" w:rsidR="00EA01F5" w:rsidRPr="00864045" w:rsidRDefault="00EA01F5" w:rsidP="00EA01F5">
      <w:pPr>
        <w:widowControl w:val="0"/>
        <w:autoSpaceDE w:val="0"/>
        <w:autoSpaceDN w:val="0"/>
        <w:adjustRightInd w:val="0"/>
        <w:spacing w:line="240" w:lineRule="auto"/>
        <w:ind w:left="480" w:hanging="480"/>
        <w:rPr>
          <w:rFonts w:cs="Arial"/>
          <w:noProof/>
          <w:lang w:val="en-US"/>
        </w:rPr>
      </w:pPr>
      <w:r w:rsidRPr="00EA01F5">
        <w:rPr>
          <w:rFonts w:cs="Arial"/>
          <w:noProof/>
          <w:lang w:val="en-US"/>
        </w:rPr>
        <w:t xml:space="preserve">Allohverdi T., Mohanty A., Roy P., and Misra M., (2021). </w:t>
      </w:r>
      <w:r w:rsidRPr="00864045">
        <w:rPr>
          <w:rFonts w:cs="Arial"/>
          <w:noProof/>
        </w:rPr>
        <w:t xml:space="preserve">A review on current status of biochar uses in agriculture. </w:t>
      </w:r>
      <w:r w:rsidRPr="00864045">
        <w:rPr>
          <w:rFonts w:cs="Arial"/>
          <w:noProof/>
          <w:lang w:val="en-US"/>
        </w:rPr>
        <w:t xml:space="preserve">Molecules, 26(18). &lt;doi.org/10.3390/molecules26185584&gt; </w:t>
      </w:r>
      <w:r w:rsidRPr="00864045">
        <w:rPr>
          <w:lang w:val="en-US"/>
        </w:rPr>
        <w:t>accessed 11.01.2024.</w:t>
      </w:r>
      <w:r w:rsidRPr="00864045">
        <w:rPr>
          <w:rFonts w:cs="Arial"/>
          <w:noProof/>
          <w:lang w:val="en-US"/>
        </w:rPr>
        <w:t xml:space="preserve"> </w:t>
      </w:r>
    </w:p>
    <w:p w14:paraId="353C9D03" w14:textId="77777777" w:rsidR="00EA01F5" w:rsidRDefault="00EA01F5" w:rsidP="00EA01F5">
      <w:pPr>
        <w:widowControl w:val="0"/>
        <w:autoSpaceDE w:val="0"/>
        <w:autoSpaceDN w:val="0"/>
        <w:adjustRightInd w:val="0"/>
        <w:spacing w:line="240" w:lineRule="auto"/>
        <w:ind w:left="480" w:hanging="480"/>
      </w:pPr>
      <w:r w:rsidRPr="00864045">
        <w:rPr>
          <w:rFonts w:cs="Arial"/>
          <w:noProof/>
        </w:rPr>
        <w:t>Benítez L.,</w:t>
      </w:r>
      <w:r w:rsidRPr="00B74243">
        <w:rPr>
          <w:rFonts w:cs="Arial"/>
          <w:noProof/>
        </w:rPr>
        <w:t xml:space="preserve"> Miranda L., and Castro., C., 2022, Phytoremediation to Remove Pollutants from Water, Leachates and Soils. Chemical Engineering Transactions, 92(April), 553–558. &lt;doi.org/10.3303/CET2292093&gt; </w:t>
      </w:r>
      <w:r w:rsidRPr="00B74243">
        <w:t>accessed 07.01.2024.</w:t>
      </w:r>
    </w:p>
    <w:p w14:paraId="71604777"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4C74CD">
        <w:rPr>
          <w:rFonts w:cs="Arial"/>
          <w:noProof/>
        </w:rPr>
        <w:t>Bridgwater</w:t>
      </w:r>
      <w:r>
        <w:rPr>
          <w:rFonts w:cs="Arial"/>
          <w:noProof/>
        </w:rPr>
        <w:t xml:space="preserve"> </w:t>
      </w:r>
      <w:r w:rsidRPr="004C74CD">
        <w:rPr>
          <w:rFonts w:cs="Arial"/>
          <w:noProof/>
        </w:rPr>
        <w:t>A. V.</w:t>
      </w:r>
      <w:r>
        <w:rPr>
          <w:rFonts w:cs="Arial"/>
          <w:noProof/>
        </w:rPr>
        <w:t xml:space="preserve">, </w:t>
      </w:r>
      <w:r w:rsidRPr="004C74CD">
        <w:rPr>
          <w:rFonts w:cs="Arial"/>
          <w:noProof/>
        </w:rPr>
        <w:t>2012</w:t>
      </w:r>
      <w:r>
        <w:rPr>
          <w:rFonts w:cs="Arial"/>
          <w:noProof/>
        </w:rPr>
        <w:t xml:space="preserve">, </w:t>
      </w:r>
      <w:r w:rsidRPr="004C74CD">
        <w:rPr>
          <w:rFonts w:cs="Arial"/>
          <w:noProof/>
        </w:rPr>
        <w:t xml:space="preserve">Review of fast pyrolysis of biomass and product upgrading. </w:t>
      </w:r>
      <w:r w:rsidRPr="004C74CD">
        <w:rPr>
          <w:rFonts w:cs="Arial"/>
          <w:i/>
          <w:iCs/>
          <w:noProof/>
        </w:rPr>
        <w:t>Biomass and Bioenergy</w:t>
      </w:r>
      <w:r w:rsidRPr="004C74CD">
        <w:rPr>
          <w:rFonts w:cs="Arial"/>
          <w:noProof/>
        </w:rPr>
        <w:t xml:space="preserve">, </w:t>
      </w:r>
      <w:r w:rsidRPr="004C74CD">
        <w:rPr>
          <w:rFonts w:cs="Arial"/>
          <w:i/>
          <w:iCs/>
          <w:noProof/>
        </w:rPr>
        <w:t>38</w:t>
      </w:r>
      <w:r w:rsidRPr="004C74CD">
        <w:rPr>
          <w:rFonts w:cs="Arial"/>
          <w:noProof/>
        </w:rPr>
        <w:t xml:space="preserve">, 68–94. </w:t>
      </w:r>
      <w:r>
        <w:rPr>
          <w:rFonts w:cs="Arial"/>
          <w:noProof/>
        </w:rPr>
        <w:t>&lt;</w:t>
      </w:r>
      <w:r w:rsidRPr="004C74CD">
        <w:rPr>
          <w:rFonts w:cs="Arial"/>
          <w:noProof/>
        </w:rPr>
        <w:t>doi.org/https://doi.org/10.1016/j.biombioe.2011.01.048</w:t>
      </w:r>
      <w:r>
        <w:rPr>
          <w:rFonts w:cs="Arial"/>
          <w:noProof/>
        </w:rPr>
        <w:t xml:space="preserve">˃ </w:t>
      </w:r>
      <w:r w:rsidRPr="00864045">
        <w:rPr>
          <w:lang w:val="en-US"/>
        </w:rPr>
        <w:t>accessed 1</w:t>
      </w:r>
      <w:r>
        <w:rPr>
          <w:lang w:val="en-US"/>
        </w:rPr>
        <w:t>9</w:t>
      </w:r>
      <w:r w:rsidRPr="00864045">
        <w:rPr>
          <w:lang w:val="en-US"/>
        </w:rPr>
        <w:t>.01.202</w:t>
      </w:r>
      <w:r>
        <w:rPr>
          <w:lang w:val="en-US"/>
        </w:rPr>
        <w:t>5</w:t>
      </w:r>
      <w:r w:rsidRPr="00864045">
        <w:rPr>
          <w:lang w:val="en-US"/>
        </w:rPr>
        <w:t>.</w:t>
      </w:r>
    </w:p>
    <w:p w14:paraId="15A29618" w14:textId="77777777" w:rsidR="00EA01F5" w:rsidRPr="00843C8E" w:rsidRDefault="00EA01F5" w:rsidP="00EA01F5">
      <w:pPr>
        <w:widowControl w:val="0"/>
        <w:autoSpaceDE w:val="0"/>
        <w:autoSpaceDN w:val="0"/>
        <w:adjustRightInd w:val="0"/>
        <w:spacing w:line="240" w:lineRule="auto"/>
        <w:ind w:left="480" w:hanging="480"/>
        <w:rPr>
          <w:rFonts w:cs="Arial"/>
          <w:noProof/>
          <w:lang w:val="en-US"/>
        </w:rPr>
      </w:pPr>
      <w:r w:rsidRPr="00E836FC">
        <w:rPr>
          <w:rFonts w:cs="Arial"/>
          <w:noProof/>
        </w:rPr>
        <w:t>Carlini C.,</w:t>
      </w:r>
      <w:r w:rsidRPr="00B74243">
        <w:rPr>
          <w:rFonts w:cs="Arial"/>
          <w:noProof/>
        </w:rPr>
        <w:t xml:space="preserve"> Chaudhuri S., Mann O., Tomsik D., Hüffer T., Greggio N., Marazza D., Hofmann T., and Sigmund G., </w:t>
      </w:r>
      <w:r>
        <w:rPr>
          <w:rFonts w:cs="Arial"/>
          <w:noProof/>
        </w:rPr>
        <w:t>(2023).</w:t>
      </w:r>
      <w:r w:rsidRPr="00B74243">
        <w:rPr>
          <w:rFonts w:cs="Arial"/>
          <w:noProof/>
        </w:rPr>
        <w:t xml:space="preserve"> Benchmarking biochar with activated carbon for immobilizing leachable PAH and heterocyclic </w:t>
      </w:r>
      <w:r w:rsidRPr="00B74243">
        <w:rPr>
          <w:rFonts w:cs="Arial"/>
          <w:noProof/>
        </w:rPr>
        <w:lastRenderedPageBreak/>
        <w:t xml:space="preserve">PAH in contaminated soils. </w:t>
      </w:r>
      <w:r w:rsidRPr="00843C8E">
        <w:rPr>
          <w:rFonts w:cs="Arial"/>
          <w:noProof/>
          <w:lang w:val="en-US"/>
        </w:rPr>
        <w:t xml:space="preserve">Environmental Pollution, 325(December 2022), 121417. &lt;doi.org/10.1016/j.envpol.2023.121417˃ </w:t>
      </w:r>
      <w:r w:rsidRPr="00843C8E">
        <w:rPr>
          <w:lang w:val="en-US"/>
        </w:rPr>
        <w:t>accessed 09.01.2024.</w:t>
      </w:r>
    </w:p>
    <w:p w14:paraId="1964E5EC" w14:textId="77777777" w:rsidR="00EA01F5" w:rsidRPr="0003580D" w:rsidRDefault="00EA01F5" w:rsidP="00EA01F5">
      <w:pPr>
        <w:widowControl w:val="0"/>
        <w:autoSpaceDE w:val="0"/>
        <w:autoSpaceDN w:val="0"/>
        <w:adjustRightInd w:val="0"/>
        <w:spacing w:line="240" w:lineRule="auto"/>
        <w:ind w:left="480" w:hanging="480"/>
        <w:rPr>
          <w:rFonts w:cs="Arial"/>
          <w:noProof/>
          <w:lang w:val="en-US"/>
        </w:rPr>
      </w:pPr>
      <w:r w:rsidRPr="00731C23">
        <w:rPr>
          <w:rFonts w:cs="Arial"/>
          <w:noProof/>
          <w:lang w:val="en-US"/>
        </w:rPr>
        <w:t>Defensoría del Pueblo, (2023). Oil spill in Ventanilla: One year report on the environmental and social disaster on our coast (Spanish).</w:t>
      </w:r>
    </w:p>
    <w:p w14:paraId="4ED541FC"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731C23">
        <w:rPr>
          <w:rFonts w:cs="Arial"/>
          <w:noProof/>
          <w:lang w:val="es-PE"/>
        </w:rPr>
        <w:t xml:space="preserve">Freitez N., and Villanueva S., (2019). </w:t>
      </w:r>
      <w:r w:rsidRPr="00731C23">
        <w:rPr>
          <w:rFonts w:cs="Arial"/>
          <w:noProof/>
        </w:rPr>
        <w:t xml:space="preserve">Dissemination article: Biocarbon, an alternative to contaminated soils. Science in Revolution Magazine, 5, 97–100 </w:t>
      </w:r>
      <w:r w:rsidRPr="00731C23">
        <w:rPr>
          <w:rFonts w:cs="Arial"/>
          <w:noProof/>
          <w:lang w:val="en-US"/>
        </w:rPr>
        <w:t>(Spanish)</w:t>
      </w:r>
      <w:r w:rsidRPr="00731C23">
        <w:rPr>
          <w:rFonts w:cs="Arial"/>
          <w:noProof/>
        </w:rPr>
        <w:t>.</w:t>
      </w:r>
    </w:p>
    <w:p w14:paraId="665143AD"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D82280">
        <w:rPr>
          <w:rFonts w:cs="Arial"/>
          <w:noProof/>
        </w:rPr>
        <w:t>Gul S., Whalen J. K., Thomas B. W., Sachdeva V., and Deng H., (2015). Physico-chemical properties and microbial</w:t>
      </w:r>
      <w:r w:rsidRPr="00B74243">
        <w:rPr>
          <w:rFonts w:cs="Arial"/>
          <w:noProof/>
        </w:rPr>
        <w:t xml:space="preserve"> responses in biochar-amended soils: Mechanisms and future directions. Agriculture, Ecosystems and Environment, 206, 46–59. &lt;doi.org/10.1016/j.agee.2015.03.015˃ </w:t>
      </w:r>
      <w:r w:rsidRPr="00B74243">
        <w:t>accessed 11.01.2024.</w:t>
      </w:r>
    </w:p>
    <w:p w14:paraId="569E2999" w14:textId="77777777" w:rsidR="00EA01F5" w:rsidRDefault="00EA01F5" w:rsidP="00EA01F5">
      <w:pPr>
        <w:widowControl w:val="0"/>
        <w:autoSpaceDE w:val="0"/>
        <w:autoSpaceDN w:val="0"/>
        <w:adjustRightInd w:val="0"/>
        <w:spacing w:line="240" w:lineRule="auto"/>
        <w:ind w:left="480" w:hanging="480"/>
        <w:rPr>
          <w:rFonts w:cs="Arial"/>
          <w:noProof/>
        </w:rPr>
      </w:pPr>
      <w:r w:rsidRPr="00D82280">
        <w:rPr>
          <w:rFonts w:cs="Arial"/>
          <w:noProof/>
        </w:rPr>
        <w:t>Isaeva V. I., Vedenyapina M. D., Kurmysheva A. Y., Weichgrebe D., Nair R. R., Nguyen N. P. T., and Kustov L. M.,</w:t>
      </w:r>
      <w:r>
        <w:rPr>
          <w:rFonts w:cs="Arial"/>
          <w:noProof/>
        </w:rPr>
        <w:t xml:space="preserve"> </w:t>
      </w:r>
      <w:r w:rsidRPr="00DA6F19">
        <w:rPr>
          <w:rFonts w:cs="Arial"/>
          <w:noProof/>
        </w:rPr>
        <w:t>2021</w:t>
      </w:r>
      <w:r>
        <w:rPr>
          <w:rFonts w:cs="Arial"/>
          <w:noProof/>
        </w:rPr>
        <w:t xml:space="preserve">, </w:t>
      </w:r>
      <w:r w:rsidRPr="00DA6F19">
        <w:rPr>
          <w:rFonts w:cs="Arial"/>
          <w:noProof/>
        </w:rPr>
        <w:t xml:space="preserve">Modern carbon–based materials for adsorptive removal of organic and inorganic pollutants from water and wastewater. </w:t>
      </w:r>
      <w:r w:rsidRPr="00DA6F19">
        <w:rPr>
          <w:rFonts w:cs="Arial"/>
          <w:i/>
          <w:iCs/>
          <w:noProof/>
        </w:rPr>
        <w:t>Molecules</w:t>
      </w:r>
      <w:r w:rsidRPr="00DA6F19">
        <w:rPr>
          <w:rFonts w:cs="Arial"/>
          <w:noProof/>
        </w:rPr>
        <w:t xml:space="preserve">, </w:t>
      </w:r>
      <w:r w:rsidRPr="00DA6F19">
        <w:rPr>
          <w:rFonts w:cs="Arial"/>
          <w:i/>
          <w:iCs/>
          <w:noProof/>
        </w:rPr>
        <w:t>26</w:t>
      </w:r>
      <w:r w:rsidRPr="00DA6F19">
        <w:rPr>
          <w:rFonts w:cs="Arial"/>
          <w:noProof/>
        </w:rPr>
        <w:t xml:space="preserve">(21), 1–95. </w:t>
      </w:r>
      <w:r>
        <w:rPr>
          <w:rFonts w:cs="Arial"/>
          <w:noProof/>
        </w:rPr>
        <w:t>&lt;</w:t>
      </w:r>
      <w:r w:rsidRPr="00DA6F19">
        <w:rPr>
          <w:rFonts w:cs="Arial"/>
          <w:noProof/>
        </w:rPr>
        <w:t>doi.org/10.3390/molecules26216628</w:t>
      </w:r>
      <w:r>
        <w:rPr>
          <w:rFonts w:cs="Arial"/>
          <w:noProof/>
        </w:rPr>
        <w:sym w:font="Symbol" w:char="F03E"/>
      </w:r>
      <w:r>
        <w:rPr>
          <w:rFonts w:cs="Arial"/>
          <w:noProof/>
        </w:rPr>
        <w:t xml:space="preserve"> </w:t>
      </w:r>
      <w:r w:rsidRPr="00B74243">
        <w:t>accessed 0</w:t>
      </w:r>
      <w:r>
        <w:t>4</w:t>
      </w:r>
      <w:r w:rsidRPr="00B74243">
        <w:t>.0</w:t>
      </w:r>
      <w:r>
        <w:t>3</w:t>
      </w:r>
      <w:r w:rsidRPr="00B74243">
        <w:t>.2024.</w:t>
      </w:r>
    </w:p>
    <w:p w14:paraId="0CAEC60D" w14:textId="77777777" w:rsidR="00EA01F5" w:rsidRPr="00D331CE" w:rsidRDefault="00EA01F5" w:rsidP="00EA01F5">
      <w:pPr>
        <w:widowControl w:val="0"/>
        <w:autoSpaceDE w:val="0"/>
        <w:autoSpaceDN w:val="0"/>
        <w:adjustRightInd w:val="0"/>
        <w:spacing w:line="240" w:lineRule="auto"/>
        <w:ind w:left="480" w:hanging="480"/>
        <w:rPr>
          <w:rFonts w:cs="Arial"/>
          <w:noProof/>
        </w:rPr>
      </w:pPr>
      <w:r w:rsidRPr="00D331CE">
        <w:rPr>
          <w:rFonts w:cs="Arial"/>
          <w:noProof/>
        </w:rPr>
        <w:t xml:space="preserve">Lin H., Yang Y., Shang Z., Li Q., Niu X., Ma Y., and Liu A., 2022, Study on the Enhanced Remediation of Petroleum-Contaminated Soil by Biochar/g-C3N4 Composites. International Journal of Environmental Research and Public Health, 19(14). &lt;doi.org/10.3390/ijerph19148290˃ </w:t>
      </w:r>
      <w:r w:rsidRPr="00D331CE">
        <w:t>accessed 09.01.2024.</w:t>
      </w:r>
    </w:p>
    <w:p w14:paraId="27F090AE" w14:textId="77777777" w:rsidR="00EA01F5" w:rsidRPr="00D331CE" w:rsidRDefault="00EA01F5" w:rsidP="00EA01F5">
      <w:pPr>
        <w:widowControl w:val="0"/>
        <w:autoSpaceDE w:val="0"/>
        <w:autoSpaceDN w:val="0"/>
        <w:adjustRightInd w:val="0"/>
        <w:spacing w:line="240" w:lineRule="auto"/>
        <w:ind w:left="480" w:hanging="480"/>
        <w:rPr>
          <w:rFonts w:cs="Arial"/>
          <w:noProof/>
        </w:rPr>
      </w:pPr>
      <w:r w:rsidRPr="00D331CE">
        <w:rPr>
          <w:rFonts w:cs="Arial"/>
          <w:noProof/>
        </w:rPr>
        <w:t xml:space="preserve">Lumia L., Rabbeni G., Giustra M., Giumento S., Gallo G., and Di Bella G., 2020, Treatment of contaminated sediments by bio-slurry reactors: Study on the effect of erythromycin antibiotic. Chemical Engineering Transactions, 79(September 2019), 391–396. &lt;doi.org/10.3303/CET2079066&gt; </w:t>
      </w:r>
      <w:r w:rsidRPr="00D331CE">
        <w:t>accessed 07.01.2024.</w:t>
      </w:r>
    </w:p>
    <w:p w14:paraId="52EB2047" w14:textId="77777777" w:rsidR="00EA01F5" w:rsidRPr="00D331CE" w:rsidRDefault="00EA01F5" w:rsidP="00EA01F5">
      <w:pPr>
        <w:widowControl w:val="0"/>
        <w:autoSpaceDE w:val="0"/>
        <w:autoSpaceDN w:val="0"/>
        <w:adjustRightInd w:val="0"/>
        <w:spacing w:line="240" w:lineRule="auto"/>
        <w:ind w:left="480" w:hanging="480"/>
        <w:rPr>
          <w:rFonts w:cs="Arial"/>
          <w:noProof/>
          <w:lang w:val="en-US"/>
        </w:rPr>
      </w:pPr>
      <w:r w:rsidRPr="00D331CE">
        <w:rPr>
          <w:rFonts w:cs="Arial"/>
          <w:noProof/>
          <w:lang w:val="en-US"/>
        </w:rPr>
        <w:t>MINAM. (2017). Supreme Decree No 011-2017-MINAM. The Peruvian, 1–4 (Spanish).</w:t>
      </w:r>
    </w:p>
    <w:p w14:paraId="21421F0F" w14:textId="77777777" w:rsidR="00EA01F5" w:rsidRPr="00333A30" w:rsidRDefault="00EA01F5" w:rsidP="00EA01F5">
      <w:pPr>
        <w:widowControl w:val="0"/>
        <w:autoSpaceDE w:val="0"/>
        <w:autoSpaceDN w:val="0"/>
        <w:adjustRightInd w:val="0"/>
        <w:spacing w:line="240" w:lineRule="auto"/>
        <w:ind w:left="480" w:hanging="480"/>
        <w:rPr>
          <w:rFonts w:cs="Arial"/>
          <w:noProof/>
          <w:lang w:val="en-US"/>
        </w:rPr>
      </w:pPr>
      <w:r w:rsidRPr="00D331CE">
        <w:rPr>
          <w:rFonts w:cs="Arial"/>
          <w:noProof/>
          <w:lang w:val="en-US"/>
        </w:rPr>
        <w:t>MINAM, (2014). R. M. No 085-2014-MINAM. Guide for Soil Sampling and Guide for the Preparation of Soil Decontamination Plans, Vol. 2, (Spanish).</w:t>
      </w:r>
    </w:p>
    <w:p w14:paraId="00AE3F12" w14:textId="77777777" w:rsidR="00EA01F5" w:rsidRPr="00BF3113" w:rsidRDefault="00EA01F5" w:rsidP="00EA01F5">
      <w:pPr>
        <w:widowControl w:val="0"/>
        <w:autoSpaceDE w:val="0"/>
        <w:autoSpaceDN w:val="0"/>
        <w:adjustRightInd w:val="0"/>
        <w:spacing w:line="240" w:lineRule="auto"/>
        <w:ind w:left="480" w:hanging="480"/>
        <w:rPr>
          <w:rFonts w:cs="Arial"/>
          <w:noProof/>
          <w:lang w:val="en-US"/>
        </w:rPr>
      </w:pPr>
      <w:r w:rsidRPr="00BF3113">
        <w:rPr>
          <w:rFonts w:cs="Arial"/>
          <w:color w:val="000000"/>
          <w:szCs w:val="18"/>
          <w:lang w:val="en-US"/>
        </w:rPr>
        <w:t xml:space="preserve">Pulido Capurro V, Escobar-Mamani F, Arana Bustamante C, and Olivera Carhuaz, E, 2022, </w:t>
      </w:r>
      <w:r w:rsidRPr="00930051">
        <w:rPr>
          <w:rFonts w:cs="Arial"/>
          <w:color w:val="000000"/>
          <w:szCs w:val="18"/>
          <w:lang w:val="en-US"/>
        </w:rPr>
        <w:t xml:space="preserve">Effects of the oil spill at the La </w:t>
      </w:r>
      <w:proofErr w:type="spellStart"/>
      <w:r w:rsidRPr="00930051">
        <w:rPr>
          <w:rFonts w:cs="Arial"/>
          <w:color w:val="000000"/>
          <w:szCs w:val="18"/>
          <w:lang w:val="en-US"/>
        </w:rPr>
        <w:t>Pampilla</w:t>
      </w:r>
      <w:proofErr w:type="spellEnd"/>
      <w:r w:rsidRPr="00930051">
        <w:rPr>
          <w:rFonts w:cs="Arial"/>
          <w:color w:val="000000"/>
          <w:szCs w:val="18"/>
          <w:lang w:val="en-US"/>
        </w:rPr>
        <w:t xml:space="preserve"> Refinery on the coast of the marine coast, Lima (Peru). </w:t>
      </w:r>
      <w:r>
        <w:rPr>
          <w:rFonts w:cs="Arial"/>
          <w:color w:val="000000"/>
          <w:szCs w:val="18"/>
          <w:lang w:val="en-US"/>
        </w:rPr>
        <w:t xml:space="preserve">Magazine of </w:t>
      </w:r>
      <w:r w:rsidRPr="00BF3113">
        <w:rPr>
          <w:rFonts w:cs="Arial"/>
          <w:color w:val="000000"/>
          <w:szCs w:val="18"/>
          <w:lang w:val="en-US"/>
        </w:rPr>
        <w:t xml:space="preserve">Investigations </w:t>
      </w:r>
      <w:proofErr w:type="spellStart"/>
      <w:r w:rsidRPr="00BF3113">
        <w:rPr>
          <w:rFonts w:cs="Arial"/>
          <w:color w:val="000000"/>
          <w:szCs w:val="18"/>
          <w:lang w:val="en-US"/>
        </w:rPr>
        <w:t>Altoandinas</w:t>
      </w:r>
      <w:proofErr w:type="spellEnd"/>
      <w:r w:rsidRPr="00BF3113">
        <w:rPr>
          <w:rFonts w:cs="Arial"/>
          <w:color w:val="000000"/>
          <w:szCs w:val="18"/>
          <w:lang w:val="en-US"/>
        </w:rPr>
        <w:t xml:space="preserve">, 24(1), 5-8. </w:t>
      </w:r>
      <w:proofErr w:type="spellStart"/>
      <w:r w:rsidRPr="00BF3113">
        <w:rPr>
          <w:rFonts w:cs="Arial"/>
          <w:color w:val="000000"/>
          <w:szCs w:val="18"/>
          <w:lang w:val="en-US"/>
        </w:rPr>
        <w:t>Epub</w:t>
      </w:r>
      <w:proofErr w:type="spellEnd"/>
      <w:r w:rsidRPr="00BF3113">
        <w:rPr>
          <w:rFonts w:cs="Arial"/>
          <w:color w:val="000000"/>
          <w:szCs w:val="18"/>
          <w:lang w:val="en-US"/>
        </w:rPr>
        <w:t xml:space="preserve"> February 21, 2022, </w:t>
      </w:r>
      <w:r w:rsidRPr="00BF3113">
        <w:rPr>
          <w:rFonts w:cs="Arial"/>
          <w:noProof/>
          <w:lang w:val="en-US"/>
        </w:rPr>
        <w:t xml:space="preserve">&lt;doi.org/10.18271/ria.2022.411˃ </w:t>
      </w:r>
      <w:r w:rsidRPr="00BF3113">
        <w:rPr>
          <w:lang w:val="en-US"/>
        </w:rPr>
        <w:t>accessed 06.01.2024.</w:t>
      </w:r>
    </w:p>
    <w:p w14:paraId="37B646FE" w14:textId="77777777" w:rsidR="00EA01F5" w:rsidRPr="00B74243" w:rsidRDefault="00EA01F5" w:rsidP="00EA01F5">
      <w:pPr>
        <w:widowControl w:val="0"/>
        <w:autoSpaceDE w:val="0"/>
        <w:autoSpaceDN w:val="0"/>
        <w:adjustRightInd w:val="0"/>
        <w:spacing w:line="240" w:lineRule="auto"/>
        <w:ind w:left="482" w:hanging="482"/>
        <w:rPr>
          <w:rFonts w:cs="Arial"/>
          <w:noProof/>
        </w:rPr>
      </w:pPr>
      <w:r w:rsidRPr="00B74243">
        <w:rPr>
          <w:rFonts w:cs="Arial"/>
          <w:noProof/>
        </w:rPr>
        <w:t xml:space="preserve">Pulido V., Cruz J., Arana C., </w:t>
      </w:r>
      <w:r>
        <w:rPr>
          <w:rFonts w:cs="Arial"/>
          <w:noProof/>
        </w:rPr>
        <w:t xml:space="preserve">and </w:t>
      </w:r>
      <w:r w:rsidRPr="00B74243">
        <w:rPr>
          <w:rFonts w:cs="Arial"/>
          <w:noProof/>
        </w:rPr>
        <w:t xml:space="preserve">Olivera E., 2022, Environmental damage to the Peruvian marine littoral caused by the oil spill (January 2022) at the La Pampilla refinery. Manglar, 19(1), 67–75. &lt;doi.org/10.17268/manglar.2022.009&gt; </w:t>
      </w:r>
      <w:r w:rsidRPr="00B74243">
        <w:t>accessed 06.01.2024</w:t>
      </w:r>
      <w:r>
        <w:t xml:space="preserve"> (Spanish).</w:t>
      </w:r>
    </w:p>
    <w:p w14:paraId="66CE539E" w14:textId="77777777" w:rsidR="00EA01F5" w:rsidRPr="00C35A87" w:rsidRDefault="00EA01F5" w:rsidP="00EA01F5">
      <w:pPr>
        <w:widowControl w:val="0"/>
        <w:autoSpaceDE w:val="0"/>
        <w:autoSpaceDN w:val="0"/>
        <w:adjustRightInd w:val="0"/>
        <w:spacing w:line="240" w:lineRule="auto"/>
        <w:ind w:left="482" w:hanging="482"/>
        <w:rPr>
          <w:rFonts w:cs="Arial"/>
          <w:noProof/>
        </w:rPr>
      </w:pPr>
      <w:r w:rsidRPr="00C35A87">
        <w:rPr>
          <w:rFonts w:cs="Arial"/>
          <w:noProof/>
        </w:rPr>
        <w:t xml:space="preserve">Qiu M., Liu L., Ling Q., Cai Y., Yu S., Wang S., Fu D., Hu B., and Wang X., 2022, Biochar for the removal of contaminants from soil and water: a review. </w:t>
      </w:r>
      <w:r w:rsidRPr="00C35A87">
        <w:rPr>
          <w:rFonts w:cs="Arial"/>
          <w:i/>
          <w:iCs/>
          <w:noProof/>
        </w:rPr>
        <w:t>Biochar</w:t>
      </w:r>
      <w:r w:rsidRPr="00C35A87">
        <w:rPr>
          <w:rFonts w:cs="Arial"/>
          <w:noProof/>
        </w:rPr>
        <w:t xml:space="preserve">, </w:t>
      </w:r>
      <w:r w:rsidRPr="00C35A87">
        <w:rPr>
          <w:rFonts w:cs="Arial"/>
          <w:i/>
          <w:iCs/>
          <w:noProof/>
        </w:rPr>
        <w:t>4</w:t>
      </w:r>
      <w:r w:rsidRPr="00C35A87">
        <w:rPr>
          <w:rFonts w:cs="Arial"/>
          <w:noProof/>
        </w:rPr>
        <w:t xml:space="preserve">(1), 1–25. &lt;doi.org/10.1007/s42773-022-00146-1˃ </w:t>
      </w:r>
      <w:r w:rsidRPr="00C35A87">
        <w:t>accessed 09.03.2024.</w:t>
      </w:r>
      <w:r w:rsidRPr="00C35A87">
        <w:rPr>
          <w:rFonts w:cs="Arial"/>
          <w:noProof/>
        </w:rPr>
        <w:t xml:space="preserve"> </w:t>
      </w:r>
    </w:p>
    <w:p w14:paraId="146AB56F" w14:textId="77777777" w:rsidR="00EA01F5" w:rsidRPr="00C35A87" w:rsidRDefault="00EA01F5" w:rsidP="00EA01F5">
      <w:pPr>
        <w:widowControl w:val="0"/>
        <w:autoSpaceDE w:val="0"/>
        <w:autoSpaceDN w:val="0"/>
        <w:adjustRightInd w:val="0"/>
        <w:spacing w:line="240" w:lineRule="auto"/>
        <w:ind w:left="482" w:hanging="482"/>
        <w:rPr>
          <w:rFonts w:cs="Arial"/>
          <w:noProof/>
          <w:lang w:val="en-US"/>
        </w:rPr>
      </w:pPr>
      <w:r w:rsidRPr="00C35A87">
        <w:rPr>
          <w:rFonts w:cs="Arial"/>
          <w:noProof/>
        </w:rPr>
        <w:t xml:space="preserve">Quisquiche Morales D., Lizarzaburu Aguinaga D., Castañeda C., and Benites-Alfaro E., 2022, Solid Biofuel Spheres for the use of Residual Biomass from Polylepis (Quenual) in Rural Areas. </w:t>
      </w:r>
      <w:r w:rsidRPr="00C35A87">
        <w:rPr>
          <w:rFonts w:cs="Arial"/>
          <w:noProof/>
          <w:lang w:val="en-US"/>
        </w:rPr>
        <w:t xml:space="preserve">Chemical Engineering Transactions, 92(March), 157–162. &lt;doi.org/10.3303/CET2292027˃ </w:t>
      </w:r>
      <w:r w:rsidRPr="00C35A87">
        <w:rPr>
          <w:lang w:val="en-US"/>
        </w:rPr>
        <w:t>accessed 09.01.2024.</w:t>
      </w:r>
    </w:p>
    <w:p w14:paraId="5CBF1F6A" w14:textId="77777777" w:rsidR="00EA01F5" w:rsidRDefault="00EA01F5" w:rsidP="00EA01F5">
      <w:pPr>
        <w:widowControl w:val="0"/>
        <w:autoSpaceDE w:val="0"/>
        <w:autoSpaceDN w:val="0"/>
        <w:adjustRightInd w:val="0"/>
        <w:spacing w:line="240" w:lineRule="auto"/>
        <w:ind w:left="480" w:hanging="480"/>
      </w:pPr>
      <w:r w:rsidRPr="00C35A87">
        <w:rPr>
          <w:rFonts w:cs="Arial"/>
          <w:noProof/>
          <w:lang w:val="en-US"/>
        </w:rPr>
        <w:t xml:space="preserve">Reyes Pallazhco J. M., Leon Cabrera P., and Barrezueta Unda S., 2023, Banana crop response to different proportions of microorganisms and biochar in two soil textures. </w:t>
      </w:r>
      <w:r w:rsidRPr="00C35A87">
        <w:rPr>
          <w:rFonts w:cs="Arial"/>
          <w:noProof/>
        </w:rPr>
        <w:t>Manglar, 20(2), 109–115. &lt;doi.org/10.57188/manglar.2023.012&gt;</w:t>
      </w:r>
      <w:r w:rsidRPr="00C35A87">
        <w:t xml:space="preserve"> accessed 10.01.2024 (Spanish).</w:t>
      </w:r>
    </w:p>
    <w:p w14:paraId="2B251946"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5943E5">
        <w:rPr>
          <w:rFonts w:cs="Arial"/>
          <w:noProof/>
          <w:lang w:val="en-US"/>
        </w:rPr>
        <w:t xml:space="preserve">Solar J., de Marco I., Caballero B. M., Lopez-Urionabarrenechea A., Rodriguez N., Agirre I., and Adrados A., 2016, </w:t>
      </w:r>
      <w:r w:rsidRPr="004C74CD">
        <w:rPr>
          <w:rFonts w:cs="Arial"/>
          <w:noProof/>
        </w:rPr>
        <w:t xml:space="preserve">Influence of temperature and residence time in the pyrolysis of woody biomass waste in a continuous screw reactor. </w:t>
      </w:r>
      <w:r w:rsidRPr="004C74CD">
        <w:rPr>
          <w:rFonts w:cs="Arial"/>
          <w:i/>
          <w:iCs/>
          <w:noProof/>
        </w:rPr>
        <w:t>Biomass and Bioenergy</w:t>
      </w:r>
      <w:r w:rsidRPr="004C74CD">
        <w:rPr>
          <w:rFonts w:cs="Arial"/>
          <w:noProof/>
        </w:rPr>
        <w:t xml:space="preserve">, </w:t>
      </w:r>
      <w:r w:rsidRPr="004C74CD">
        <w:rPr>
          <w:rFonts w:cs="Arial"/>
          <w:i/>
          <w:iCs/>
          <w:noProof/>
        </w:rPr>
        <w:t>95</w:t>
      </w:r>
      <w:r w:rsidRPr="004C74CD">
        <w:rPr>
          <w:rFonts w:cs="Arial"/>
          <w:noProof/>
        </w:rPr>
        <w:t xml:space="preserve">, 416–423. </w:t>
      </w:r>
      <w:r w:rsidRPr="00EA01F5">
        <w:rPr>
          <w:rFonts w:cs="Arial"/>
          <w:noProof/>
          <w:lang w:val="en-US"/>
        </w:rPr>
        <w:t xml:space="preserve">&lt;doi.org/10.1016/j.biombioe.2016.07.004˃ </w:t>
      </w:r>
      <w:r w:rsidRPr="00864045">
        <w:rPr>
          <w:lang w:val="en-US"/>
        </w:rPr>
        <w:t>accessed 1</w:t>
      </w:r>
      <w:r>
        <w:rPr>
          <w:lang w:val="en-US"/>
        </w:rPr>
        <w:t>9</w:t>
      </w:r>
      <w:r w:rsidRPr="00864045">
        <w:rPr>
          <w:lang w:val="en-US"/>
        </w:rPr>
        <w:t>.01.202</w:t>
      </w:r>
      <w:r>
        <w:rPr>
          <w:lang w:val="en-US"/>
        </w:rPr>
        <w:t>5</w:t>
      </w:r>
      <w:r w:rsidRPr="00864045">
        <w:rPr>
          <w:lang w:val="en-US"/>
        </w:rPr>
        <w:t>.</w:t>
      </w:r>
      <w:r w:rsidRPr="00B74243">
        <w:rPr>
          <w:rFonts w:cs="Arial"/>
          <w:noProof/>
        </w:rPr>
        <w:t xml:space="preserve"> </w:t>
      </w:r>
    </w:p>
    <w:p w14:paraId="49475E42"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11123F">
        <w:rPr>
          <w:rFonts w:cs="Arial"/>
          <w:noProof/>
        </w:rPr>
        <w:t>Wei Z., Wei Y., Liu Y., Niu S., Xu Y., Park J. H., and Wang J., 2024, Biochar-based materials as remediation strategy in petroleum</w:t>
      </w:r>
      <w:r w:rsidRPr="00B74243">
        <w:rPr>
          <w:rFonts w:cs="Arial"/>
          <w:noProof/>
        </w:rPr>
        <w:t xml:space="preserve"> hydrocarbon-contaminated soil and water: Performances, mechanisms, and environmental impact. Journal of Environmental Sciences (China), 138, 350–372. &lt;doi.org/10.1016/j.jes.2023.04.008˃</w:t>
      </w:r>
      <w:r w:rsidRPr="00B74243">
        <w:t xml:space="preserve"> accessed 07.01.2024.</w:t>
      </w:r>
    </w:p>
    <w:p w14:paraId="51F7DCEC" w14:textId="77777777" w:rsidR="00EA01F5" w:rsidRPr="00F0582D" w:rsidRDefault="00EA01F5" w:rsidP="00EA01F5">
      <w:pPr>
        <w:widowControl w:val="0"/>
        <w:autoSpaceDE w:val="0"/>
        <w:autoSpaceDN w:val="0"/>
        <w:adjustRightInd w:val="0"/>
        <w:spacing w:line="240" w:lineRule="auto"/>
        <w:ind w:left="480" w:hanging="480"/>
        <w:rPr>
          <w:rFonts w:cs="Arial"/>
          <w:noProof/>
          <w:lang w:val="en-US"/>
        </w:rPr>
      </w:pPr>
      <w:r w:rsidRPr="0011123F">
        <w:rPr>
          <w:rFonts w:cs="Arial"/>
          <w:noProof/>
        </w:rPr>
        <w:t>Zafra G., Regino R., Agualimpia B., and Aguilar F., 2016, Molecular characterization and evaluation of oil-degrading</w:t>
      </w:r>
      <w:r w:rsidRPr="00B74243">
        <w:rPr>
          <w:rFonts w:cs="Arial"/>
          <w:noProof/>
        </w:rPr>
        <w:t xml:space="preserve"> native bacteria isolated from automotive service station oilcontaminated soils. Chemical Engineering Transactions, 49, 511–516. &lt;doi.org/10.3303/CET1649086&gt;</w:t>
      </w:r>
      <w:r w:rsidRPr="00B74243">
        <w:t xml:space="preserve"> accessed 07.01.2024.</w:t>
      </w:r>
    </w:p>
    <w:p w14:paraId="7A83031F" w14:textId="77777777" w:rsidR="00EA01F5" w:rsidRDefault="00EA01F5" w:rsidP="00600535">
      <w:pPr>
        <w:pStyle w:val="CETReference"/>
        <w:rPr>
          <w:lang w:val="en-US"/>
        </w:rPr>
      </w:pPr>
    </w:p>
    <w:sectPr w:rsidR="00EA01F5" w:rsidSect="00A271C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1A88" w14:textId="77777777" w:rsidR="00AB689E" w:rsidRDefault="00AB689E" w:rsidP="004F5E36">
      <w:r>
        <w:separator/>
      </w:r>
    </w:p>
  </w:endnote>
  <w:endnote w:type="continuationSeparator" w:id="0">
    <w:p w14:paraId="297CB0B7" w14:textId="77777777" w:rsidR="00AB689E" w:rsidRDefault="00AB689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DF1EE" w14:textId="77777777" w:rsidR="00AB689E" w:rsidRDefault="00AB689E" w:rsidP="004F5E36">
      <w:r>
        <w:separator/>
      </w:r>
    </w:p>
  </w:footnote>
  <w:footnote w:type="continuationSeparator" w:id="0">
    <w:p w14:paraId="31485E2C" w14:textId="77777777" w:rsidR="00AB689E" w:rsidRDefault="00AB689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D01EA16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s-PE"/>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F762EE"/>
    <w:multiLevelType w:val="hybridMultilevel"/>
    <w:tmpl w:val="35B0FCDC"/>
    <w:lvl w:ilvl="0" w:tplc="280A0001">
      <w:start w:val="3"/>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2813838">
    <w:abstractNumId w:val="10"/>
  </w:num>
  <w:num w:numId="2" w16cid:durableId="1995405711">
    <w:abstractNumId w:val="8"/>
  </w:num>
  <w:num w:numId="3" w16cid:durableId="1992178245">
    <w:abstractNumId w:val="3"/>
  </w:num>
  <w:num w:numId="4" w16cid:durableId="1018431540">
    <w:abstractNumId w:val="2"/>
  </w:num>
  <w:num w:numId="5" w16cid:durableId="1414547234">
    <w:abstractNumId w:val="1"/>
  </w:num>
  <w:num w:numId="6" w16cid:durableId="458063680">
    <w:abstractNumId w:val="0"/>
  </w:num>
  <w:num w:numId="7" w16cid:durableId="1274436022">
    <w:abstractNumId w:val="9"/>
  </w:num>
  <w:num w:numId="8" w16cid:durableId="1007249814">
    <w:abstractNumId w:val="7"/>
  </w:num>
  <w:num w:numId="9" w16cid:durableId="460153841">
    <w:abstractNumId w:val="6"/>
  </w:num>
  <w:num w:numId="10" w16cid:durableId="604314860">
    <w:abstractNumId w:val="5"/>
  </w:num>
  <w:num w:numId="11" w16cid:durableId="422147306">
    <w:abstractNumId w:val="4"/>
  </w:num>
  <w:num w:numId="12" w16cid:durableId="1048604624">
    <w:abstractNumId w:val="17"/>
  </w:num>
  <w:num w:numId="13" w16cid:durableId="719549095">
    <w:abstractNumId w:val="12"/>
  </w:num>
  <w:num w:numId="14" w16cid:durableId="354307649">
    <w:abstractNumId w:val="18"/>
  </w:num>
  <w:num w:numId="15" w16cid:durableId="86197530">
    <w:abstractNumId w:val="20"/>
  </w:num>
  <w:num w:numId="16" w16cid:durableId="85804631">
    <w:abstractNumId w:val="19"/>
  </w:num>
  <w:num w:numId="17" w16cid:durableId="1639142472">
    <w:abstractNumId w:val="11"/>
  </w:num>
  <w:num w:numId="18" w16cid:durableId="2085909358">
    <w:abstractNumId w:val="12"/>
    <w:lvlOverride w:ilvl="0">
      <w:startOverride w:val="1"/>
    </w:lvlOverride>
  </w:num>
  <w:num w:numId="19" w16cid:durableId="1599829865">
    <w:abstractNumId w:val="16"/>
  </w:num>
  <w:num w:numId="20" w16cid:durableId="384331924">
    <w:abstractNumId w:val="15"/>
  </w:num>
  <w:num w:numId="21" w16cid:durableId="1419136684">
    <w:abstractNumId w:val="14"/>
  </w:num>
  <w:num w:numId="22" w16cid:durableId="1696033888">
    <w:abstractNumId w:val="10"/>
  </w:num>
  <w:num w:numId="23" w16cid:durableId="511408519">
    <w:abstractNumId w:val="10"/>
  </w:num>
  <w:num w:numId="24" w16cid:durableId="1746802751">
    <w:abstractNumId w:val="10"/>
  </w:num>
  <w:num w:numId="25" w16cid:durableId="265312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E32"/>
    <w:rsid w:val="00001F22"/>
    <w:rsid w:val="000027C0"/>
    <w:rsid w:val="00002E8E"/>
    <w:rsid w:val="000052FB"/>
    <w:rsid w:val="000067C4"/>
    <w:rsid w:val="000068B3"/>
    <w:rsid w:val="0001097F"/>
    <w:rsid w:val="000117CB"/>
    <w:rsid w:val="00012991"/>
    <w:rsid w:val="00012BAC"/>
    <w:rsid w:val="000139AA"/>
    <w:rsid w:val="00014D03"/>
    <w:rsid w:val="00015B83"/>
    <w:rsid w:val="00017A00"/>
    <w:rsid w:val="0002062B"/>
    <w:rsid w:val="000207E5"/>
    <w:rsid w:val="000219E1"/>
    <w:rsid w:val="0002692C"/>
    <w:rsid w:val="00030FAF"/>
    <w:rsid w:val="0003148D"/>
    <w:rsid w:val="0003580D"/>
    <w:rsid w:val="00035B88"/>
    <w:rsid w:val="000365EC"/>
    <w:rsid w:val="00042A9E"/>
    <w:rsid w:val="00044844"/>
    <w:rsid w:val="00046CBE"/>
    <w:rsid w:val="00051566"/>
    <w:rsid w:val="00057ABB"/>
    <w:rsid w:val="00060FCC"/>
    <w:rsid w:val="00062A9A"/>
    <w:rsid w:val="0006457D"/>
    <w:rsid w:val="00065058"/>
    <w:rsid w:val="00065346"/>
    <w:rsid w:val="0006572D"/>
    <w:rsid w:val="00065C79"/>
    <w:rsid w:val="00065FBD"/>
    <w:rsid w:val="00073758"/>
    <w:rsid w:val="00073B7C"/>
    <w:rsid w:val="00082C51"/>
    <w:rsid w:val="00083A7F"/>
    <w:rsid w:val="00083C29"/>
    <w:rsid w:val="00086C39"/>
    <w:rsid w:val="0009227E"/>
    <w:rsid w:val="0009269A"/>
    <w:rsid w:val="0009720E"/>
    <w:rsid w:val="000A03B2"/>
    <w:rsid w:val="000A342B"/>
    <w:rsid w:val="000A7D53"/>
    <w:rsid w:val="000B2201"/>
    <w:rsid w:val="000B23BE"/>
    <w:rsid w:val="000B281B"/>
    <w:rsid w:val="000B6E16"/>
    <w:rsid w:val="000B7AE3"/>
    <w:rsid w:val="000C47DB"/>
    <w:rsid w:val="000C53AB"/>
    <w:rsid w:val="000C6783"/>
    <w:rsid w:val="000C7DE3"/>
    <w:rsid w:val="000D0268"/>
    <w:rsid w:val="000D1B1C"/>
    <w:rsid w:val="000D34BE"/>
    <w:rsid w:val="000E102F"/>
    <w:rsid w:val="000E1E2D"/>
    <w:rsid w:val="000E343B"/>
    <w:rsid w:val="000E36F1"/>
    <w:rsid w:val="000E3A73"/>
    <w:rsid w:val="000E414A"/>
    <w:rsid w:val="000E4391"/>
    <w:rsid w:val="000E4C53"/>
    <w:rsid w:val="000E5690"/>
    <w:rsid w:val="000E60B2"/>
    <w:rsid w:val="000E65D0"/>
    <w:rsid w:val="000F04D5"/>
    <w:rsid w:val="000F093C"/>
    <w:rsid w:val="000F147D"/>
    <w:rsid w:val="000F2E7D"/>
    <w:rsid w:val="000F6C00"/>
    <w:rsid w:val="000F787B"/>
    <w:rsid w:val="000F78FC"/>
    <w:rsid w:val="00100840"/>
    <w:rsid w:val="00101E5F"/>
    <w:rsid w:val="00101EF3"/>
    <w:rsid w:val="00110755"/>
    <w:rsid w:val="001114E0"/>
    <w:rsid w:val="00114B2E"/>
    <w:rsid w:val="0011502E"/>
    <w:rsid w:val="00115DA2"/>
    <w:rsid w:val="00116503"/>
    <w:rsid w:val="0011718D"/>
    <w:rsid w:val="0012091F"/>
    <w:rsid w:val="0012161C"/>
    <w:rsid w:val="00122A4A"/>
    <w:rsid w:val="00123D9A"/>
    <w:rsid w:val="00125CA8"/>
    <w:rsid w:val="00126BC2"/>
    <w:rsid w:val="00127AD9"/>
    <w:rsid w:val="001308B6"/>
    <w:rsid w:val="0013121F"/>
    <w:rsid w:val="00131FE6"/>
    <w:rsid w:val="0013263F"/>
    <w:rsid w:val="00132F67"/>
    <w:rsid w:val="0013375A"/>
    <w:rsid w:val="00134DE4"/>
    <w:rsid w:val="0013540D"/>
    <w:rsid w:val="00136D41"/>
    <w:rsid w:val="00137A38"/>
    <w:rsid w:val="0014034D"/>
    <w:rsid w:val="001408F0"/>
    <w:rsid w:val="001421E1"/>
    <w:rsid w:val="00143492"/>
    <w:rsid w:val="00144662"/>
    <w:rsid w:val="00150E1F"/>
    <w:rsid w:val="00150E59"/>
    <w:rsid w:val="00151B0A"/>
    <w:rsid w:val="00152DE3"/>
    <w:rsid w:val="001531EA"/>
    <w:rsid w:val="0015330F"/>
    <w:rsid w:val="001553F0"/>
    <w:rsid w:val="00155A17"/>
    <w:rsid w:val="00160067"/>
    <w:rsid w:val="00164CF9"/>
    <w:rsid w:val="001652C3"/>
    <w:rsid w:val="001663C2"/>
    <w:rsid w:val="001667A6"/>
    <w:rsid w:val="00166884"/>
    <w:rsid w:val="001679A3"/>
    <w:rsid w:val="00170A31"/>
    <w:rsid w:val="001715BE"/>
    <w:rsid w:val="0017651C"/>
    <w:rsid w:val="00177763"/>
    <w:rsid w:val="00180875"/>
    <w:rsid w:val="0018237D"/>
    <w:rsid w:val="001825AA"/>
    <w:rsid w:val="00182BAB"/>
    <w:rsid w:val="001847D7"/>
    <w:rsid w:val="00184AD6"/>
    <w:rsid w:val="001869B5"/>
    <w:rsid w:val="00187EF8"/>
    <w:rsid w:val="001911B6"/>
    <w:rsid w:val="001929D1"/>
    <w:rsid w:val="00192D91"/>
    <w:rsid w:val="00194046"/>
    <w:rsid w:val="0019693E"/>
    <w:rsid w:val="001A0768"/>
    <w:rsid w:val="001A2E56"/>
    <w:rsid w:val="001A30D0"/>
    <w:rsid w:val="001A4AF7"/>
    <w:rsid w:val="001A50B6"/>
    <w:rsid w:val="001A7F6C"/>
    <w:rsid w:val="001B00F6"/>
    <w:rsid w:val="001B0349"/>
    <w:rsid w:val="001B2744"/>
    <w:rsid w:val="001B2876"/>
    <w:rsid w:val="001B38C1"/>
    <w:rsid w:val="001B5B85"/>
    <w:rsid w:val="001B65C1"/>
    <w:rsid w:val="001C3A07"/>
    <w:rsid w:val="001C5259"/>
    <w:rsid w:val="001C684B"/>
    <w:rsid w:val="001D02DF"/>
    <w:rsid w:val="001D1943"/>
    <w:rsid w:val="001D21D7"/>
    <w:rsid w:val="001D2C49"/>
    <w:rsid w:val="001D53FC"/>
    <w:rsid w:val="001E0167"/>
    <w:rsid w:val="001E2002"/>
    <w:rsid w:val="001E5B26"/>
    <w:rsid w:val="001E5FC2"/>
    <w:rsid w:val="001F14FF"/>
    <w:rsid w:val="001F42A5"/>
    <w:rsid w:val="001F7B9D"/>
    <w:rsid w:val="00200E05"/>
    <w:rsid w:val="00203D77"/>
    <w:rsid w:val="00206DA1"/>
    <w:rsid w:val="002144AB"/>
    <w:rsid w:val="002161B3"/>
    <w:rsid w:val="002168DC"/>
    <w:rsid w:val="00217360"/>
    <w:rsid w:val="002224B4"/>
    <w:rsid w:val="00225380"/>
    <w:rsid w:val="00225C26"/>
    <w:rsid w:val="00227602"/>
    <w:rsid w:val="002277F6"/>
    <w:rsid w:val="00236DB8"/>
    <w:rsid w:val="00242E2D"/>
    <w:rsid w:val="002447EF"/>
    <w:rsid w:val="00250918"/>
    <w:rsid w:val="00251550"/>
    <w:rsid w:val="00254AFD"/>
    <w:rsid w:val="002559AD"/>
    <w:rsid w:val="00256D64"/>
    <w:rsid w:val="00261075"/>
    <w:rsid w:val="00263B05"/>
    <w:rsid w:val="00265344"/>
    <w:rsid w:val="00265AD9"/>
    <w:rsid w:val="002666D6"/>
    <w:rsid w:val="0027030F"/>
    <w:rsid w:val="0027051D"/>
    <w:rsid w:val="0027221A"/>
    <w:rsid w:val="00275A90"/>
    <w:rsid w:val="00275A94"/>
    <w:rsid w:val="00275B61"/>
    <w:rsid w:val="00276FE6"/>
    <w:rsid w:val="00277362"/>
    <w:rsid w:val="002807EB"/>
    <w:rsid w:val="00282656"/>
    <w:rsid w:val="00282883"/>
    <w:rsid w:val="00284495"/>
    <w:rsid w:val="00284A91"/>
    <w:rsid w:val="00284C4C"/>
    <w:rsid w:val="00285514"/>
    <w:rsid w:val="00286C83"/>
    <w:rsid w:val="00287669"/>
    <w:rsid w:val="00291AF2"/>
    <w:rsid w:val="00293A83"/>
    <w:rsid w:val="00295209"/>
    <w:rsid w:val="0029589F"/>
    <w:rsid w:val="00296B83"/>
    <w:rsid w:val="002A06BD"/>
    <w:rsid w:val="002A0C99"/>
    <w:rsid w:val="002B2029"/>
    <w:rsid w:val="002B3A21"/>
    <w:rsid w:val="002B58B9"/>
    <w:rsid w:val="002B73EF"/>
    <w:rsid w:val="002B78CE"/>
    <w:rsid w:val="002C05D1"/>
    <w:rsid w:val="002C1779"/>
    <w:rsid w:val="002C2FB6"/>
    <w:rsid w:val="002C544E"/>
    <w:rsid w:val="002C5EA2"/>
    <w:rsid w:val="002D29E2"/>
    <w:rsid w:val="002D2CF6"/>
    <w:rsid w:val="002D492D"/>
    <w:rsid w:val="002D640E"/>
    <w:rsid w:val="002D761E"/>
    <w:rsid w:val="002E0756"/>
    <w:rsid w:val="002E4502"/>
    <w:rsid w:val="002E465F"/>
    <w:rsid w:val="002E50B6"/>
    <w:rsid w:val="002E7604"/>
    <w:rsid w:val="002E7A24"/>
    <w:rsid w:val="002E7E25"/>
    <w:rsid w:val="002F18D6"/>
    <w:rsid w:val="002F3309"/>
    <w:rsid w:val="002F54F4"/>
    <w:rsid w:val="003009B7"/>
    <w:rsid w:val="00300E56"/>
    <w:rsid w:val="00301AB4"/>
    <w:rsid w:val="0030469C"/>
    <w:rsid w:val="00305CBA"/>
    <w:rsid w:val="003064AB"/>
    <w:rsid w:val="00307168"/>
    <w:rsid w:val="00307DED"/>
    <w:rsid w:val="003107D9"/>
    <w:rsid w:val="0031084A"/>
    <w:rsid w:val="0031249B"/>
    <w:rsid w:val="00314942"/>
    <w:rsid w:val="00314C53"/>
    <w:rsid w:val="003201DF"/>
    <w:rsid w:val="0032197A"/>
    <w:rsid w:val="00321CA6"/>
    <w:rsid w:val="00322AD1"/>
    <w:rsid w:val="00323059"/>
    <w:rsid w:val="00323763"/>
    <w:rsid w:val="003248AF"/>
    <w:rsid w:val="003253BC"/>
    <w:rsid w:val="0032546B"/>
    <w:rsid w:val="00327E4F"/>
    <w:rsid w:val="00333A30"/>
    <w:rsid w:val="00334C09"/>
    <w:rsid w:val="00335B7B"/>
    <w:rsid w:val="00335BF9"/>
    <w:rsid w:val="00340547"/>
    <w:rsid w:val="00341DFD"/>
    <w:rsid w:val="00341F6C"/>
    <w:rsid w:val="003427F3"/>
    <w:rsid w:val="00342E11"/>
    <w:rsid w:val="00343C8F"/>
    <w:rsid w:val="003537CD"/>
    <w:rsid w:val="003552DF"/>
    <w:rsid w:val="00355DB1"/>
    <w:rsid w:val="003560FB"/>
    <w:rsid w:val="00356A1D"/>
    <w:rsid w:val="00360858"/>
    <w:rsid w:val="00364830"/>
    <w:rsid w:val="003723D4"/>
    <w:rsid w:val="0037418D"/>
    <w:rsid w:val="00374904"/>
    <w:rsid w:val="00377832"/>
    <w:rsid w:val="003779F6"/>
    <w:rsid w:val="003810A7"/>
    <w:rsid w:val="003811BF"/>
    <w:rsid w:val="003815E8"/>
    <w:rsid w:val="0038185C"/>
    <w:rsid w:val="00381905"/>
    <w:rsid w:val="00382BAF"/>
    <w:rsid w:val="00384CC8"/>
    <w:rsid w:val="003856D8"/>
    <w:rsid w:val="0038574B"/>
    <w:rsid w:val="003871FD"/>
    <w:rsid w:val="0038752A"/>
    <w:rsid w:val="0038773C"/>
    <w:rsid w:val="0039136D"/>
    <w:rsid w:val="00395407"/>
    <w:rsid w:val="0039732C"/>
    <w:rsid w:val="003A061A"/>
    <w:rsid w:val="003A07EA"/>
    <w:rsid w:val="003A0B06"/>
    <w:rsid w:val="003A1132"/>
    <w:rsid w:val="003A1E30"/>
    <w:rsid w:val="003A2E45"/>
    <w:rsid w:val="003A4596"/>
    <w:rsid w:val="003A5D97"/>
    <w:rsid w:val="003A6232"/>
    <w:rsid w:val="003A7D1C"/>
    <w:rsid w:val="003B304B"/>
    <w:rsid w:val="003B3146"/>
    <w:rsid w:val="003B43DD"/>
    <w:rsid w:val="003B5B1E"/>
    <w:rsid w:val="003B62BA"/>
    <w:rsid w:val="003B65DC"/>
    <w:rsid w:val="003B7CB9"/>
    <w:rsid w:val="003C207B"/>
    <w:rsid w:val="003C2B91"/>
    <w:rsid w:val="003C2CFA"/>
    <w:rsid w:val="003C2FEE"/>
    <w:rsid w:val="003C3A35"/>
    <w:rsid w:val="003C4C58"/>
    <w:rsid w:val="003C5617"/>
    <w:rsid w:val="003D40A1"/>
    <w:rsid w:val="003E0063"/>
    <w:rsid w:val="003E3921"/>
    <w:rsid w:val="003E4D97"/>
    <w:rsid w:val="003F015E"/>
    <w:rsid w:val="003F1BC6"/>
    <w:rsid w:val="003F339B"/>
    <w:rsid w:val="003F343E"/>
    <w:rsid w:val="003F41AB"/>
    <w:rsid w:val="003F6420"/>
    <w:rsid w:val="00400414"/>
    <w:rsid w:val="00401364"/>
    <w:rsid w:val="004036C5"/>
    <w:rsid w:val="0040385D"/>
    <w:rsid w:val="00405963"/>
    <w:rsid w:val="00406E53"/>
    <w:rsid w:val="00410CB4"/>
    <w:rsid w:val="00413CE5"/>
    <w:rsid w:val="0041409E"/>
    <w:rsid w:val="0041446B"/>
    <w:rsid w:val="00415019"/>
    <w:rsid w:val="00415571"/>
    <w:rsid w:val="00417094"/>
    <w:rsid w:val="0042024B"/>
    <w:rsid w:val="004231D1"/>
    <w:rsid w:val="004234E0"/>
    <w:rsid w:val="00424B27"/>
    <w:rsid w:val="00430C20"/>
    <w:rsid w:val="00431DE8"/>
    <w:rsid w:val="0043505D"/>
    <w:rsid w:val="00437BA4"/>
    <w:rsid w:val="0044328B"/>
    <w:rsid w:val="0044329C"/>
    <w:rsid w:val="00443309"/>
    <w:rsid w:val="00443DFA"/>
    <w:rsid w:val="00444491"/>
    <w:rsid w:val="00445F2A"/>
    <w:rsid w:val="00446570"/>
    <w:rsid w:val="00450B4D"/>
    <w:rsid w:val="00450FCA"/>
    <w:rsid w:val="004512D7"/>
    <w:rsid w:val="00451B37"/>
    <w:rsid w:val="0045312C"/>
    <w:rsid w:val="00455642"/>
    <w:rsid w:val="0045579F"/>
    <w:rsid w:val="0045684C"/>
    <w:rsid w:val="00457016"/>
    <w:rsid w:val="004577FE"/>
    <w:rsid w:val="00457B9C"/>
    <w:rsid w:val="004602BF"/>
    <w:rsid w:val="0046164A"/>
    <w:rsid w:val="00461CAD"/>
    <w:rsid w:val="004628D2"/>
    <w:rsid w:val="00462DCD"/>
    <w:rsid w:val="004648AD"/>
    <w:rsid w:val="00467718"/>
    <w:rsid w:val="0047025A"/>
    <w:rsid w:val="004703A9"/>
    <w:rsid w:val="00470D1A"/>
    <w:rsid w:val="004736F5"/>
    <w:rsid w:val="004760DE"/>
    <w:rsid w:val="004763D7"/>
    <w:rsid w:val="0048205D"/>
    <w:rsid w:val="004835E5"/>
    <w:rsid w:val="00487263"/>
    <w:rsid w:val="00490440"/>
    <w:rsid w:val="00492425"/>
    <w:rsid w:val="004943D3"/>
    <w:rsid w:val="00494980"/>
    <w:rsid w:val="00496E0A"/>
    <w:rsid w:val="004979DE"/>
    <w:rsid w:val="004A004E"/>
    <w:rsid w:val="004A1F88"/>
    <w:rsid w:val="004A24CF"/>
    <w:rsid w:val="004A348B"/>
    <w:rsid w:val="004A6ADE"/>
    <w:rsid w:val="004B3F94"/>
    <w:rsid w:val="004B7261"/>
    <w:rsid w:val="004B7419"/>
    <w:rsid w:val="004C01F5"/>
    <w:rsid w:val="004C2D45"/>
    <w:rsid w:val="004C376F"/>
    <w:rsid w:val="004C3D1D"/>
    <w:rsid w:val="004C48A8"/>
    <w:rsid w:val="004C6146"/>
    <w:rsid w:val="004C74CD"/>
    <w:rsid w:val="004C7913"/>
    <w:rsid w:val="004D2C73"/>
    <w:rsid w:val="004D5D61"/>
    <w:rsid w:val="004D6C5B"/>
    <w:rsid w:val="004E0A29"/>
    <w:rsid w:val="004E13BA"/>
    <w:rsid w:val="004E3A4E"/>
    <w:rsid w:val="004E4AE1"/>
    <w:rsid w:val="004E4C55"/>
    <w:rsid w:val="004E4DD6"/>
    <w:rsid w:val="004F080E"/>
    <w:rsid w:val="004F3F02"/>
    <w:rsid w:val="004F5E36"/>
    <w:rsid w:val="004F73A9"/>
    <w:rsid w:val="004F78A4"/>
    <w:rsid w:val="005009EE"/>
    <w:rsid w:val="00500B25"/>
    <w:rsid w:val="005030FE"/>
    <w:rsid w:val="00505318"/>
    <w:rsid w:val="005060CC"/>
    <w:rsid w:val="00506284"/>
    <w:rsid w:val="005063F8"/>
    <w:rsid w:val="00507B47"/>
    <w:rsid w:val="00507BEF"/>
    <w:rsid w:val="00507CC9"/>
    <w:rsid w:val="00510DFA"/>
    <w:rsid w:val="005119A5"/>
    <w:rsid w:val="005123E3"/>
    <w:rsid w:val="005278B7"/>
    <w:rsid w:val="00531A73"/>
    <w:rsid w:val="00532016"/>
    <w:rsid w:val="00532367"/>
    <w:rsid w:val="005327AB"/>
    <w:rsid w:val="005346C8"/>
    <w:rsid w:val="00535E5E"/>
    <w:rsid w:val="005413CC"/>
    <w:rsid w:val="00541DAD"/>
    <w:rsid w:val="00543E7D"/>
    <w:rsid w:val="00547A68"/>
    <w:rsid w:val="00547C7B"/>
    <w:rsid w:val="00551CF1"/>
    <w:rsid w:val="00552019"/>
    <w:rsid w:val="005522FC"/>
    <w:rsid w:val="005531C9"/>
    <w:rsid w:val="0055376D"/>
    <w:rsid w:val="00556FA0"/>
    <w:rsid w:val="005578D6"/>
    <w:rsid w:val="00557CB8"/>
    <w:rsid w:val="00560B0F"/>
    <w:rsid w:val="0056647D"/>
    <w:rsid w:val="00570C43"/>
    <w:rsid w:val="005843E9"/>
    <w:rsid w:val="0058443D"/>
    <w:rsid w:val="0058465D"/>
    <w:rsid w:val="00584A81"/>
    <w:rsid w:val="00587B0E"/>
    <w:rsid w:val="00587EAB"/>
    <w:rsid w:val="005922B4"/>
    <w:rsid w:val="005A1671"/>
    <w:rsid w:val="005A53F6"/>
    <w:rsid w:val="005A7539"/>
    <w:rsid w:val="005B1B89"/>
    <w:rsid w:val="005B2110"/>
    <w:rsid w:val="005B23D0"/>
    <w:rsid w:val="005B36C2"/>
    <w:rsid w:val="005B61E6"/>
    <w:rsid w:val="005B627F"/>
    <w:rsid w:val="005B63C7"/>
    <w:rsid w:val="005B64BB"/>
    <w:rsid w:val="005B6814"/>
    <w:rsid w:val="005B7269"/>
    <w:rsid w:val="005C67FD"/>
    <w:rsid w:val="005C77E1"/>
    <w:rsid w:val="005D11E7"/>
    <w:rsid w:val="005D1664"/>
    <w:rsid w:val="005D29EA"/>
    <w:rsid w:val="005D361D"/>
    <w:rsid w:val="005D4327"/>
    <w:rsid w:val="005D5ACE"/>
    <w:rsid w:val="005D5D99"/>
    <w:rsid w:val="005D668A"/>
    <w:rsid w:val="005D6A2F"/>
    <w:rsid w:val="005D7A58"/>
    <w:rsid w:val="005E108F"/>
    <w:rsid w:val="005E1A82"/>
    <w:rsid w:val="005E794C"/>
    <w:rsid w:val="005F06D1"/>
    <w:rsid w:val="005F0A28"/>
    <w:rsid w:val="005F0E5E"/>
    <w:rsid w:val="005F1418"/>
    <w:rsid w:val="005F28AD"/>
    <w:rsid w:val="005F38D6"/>
    <w:rsid w:val="005F39F0"/>
    <w:rsid w:val="005F532B"/>
    <w:rsid w:val="005F64FB"/>
    <w:rsid w:val="00600086"/>
    <w:rsid w:val="00600535"/>
    <w:rsid w:val="00603E44"/>
    <w:rsid w:val="00604916"/>
    <w:rsid w:val="00605652"/>
    <w:rsid w:val="0061054E"/>
    <w:rsid w:val="00610AE6"/>
    <w:rsid w:val="00610CD6"/>
    <w:rsid w:val="00610DEB"/>
    <w:rsid w:val="00612918"/>
    <w:rsid w:val="00613ED7"/>
    <w:rsid w:val="0061458E"/>
    <w:rsid w:val="00616CC8"/>
    <w:rsid w:val="00617DFA"/>
    <w:rsid w:val="00620DEE"/>
    <w:rsid w:val="00621F92"/>
    <w:rsid w:val="006226E8"/>
    <w:rsid w:val="0062280A"/>
    <w:rsid w:val="00622B00"/>
    <w:rsid w:val="006243EE"/>
    <w:rsid w:val="00624DFF"/>
    <w:rsid w:val="00624E65"/>
    <w:rsid w:val="00625639"/>
    <w:rsid w:val="006269F7"/>
    <w:rsid w:val="00631B33"/>
    <w:rsid w:val="00632FBD"/>
    <w:rsid w:val="00637F47"/>
    <w:rsid w:val="0064114D"/>
    <w:rsid w:val="0064184D"/>
    <w:rsid w:val="006422CC"/>
    <w:rsid w:val="0064277D"/>
    <w:rsid w:val="00642B48"/>
    <w:rsid w:val="00646415"/>
    <w:rsid w:val="006469D8"/>
    <w:rsid w:val="00652A48"/>
    <w:rsid w:val="00653114"/>
    <w:rsid w:val="0065371E"/>
    <w:rsid w:val="00655109"/>
    <w:rsid w:val="00656E79"/>
    <w:rsid w:val="00657588"/>
    <w:rsid w:val="00660E3E"/>
    <w:rsid w:val="00662E74"/>
    <w:rsid w:val="00663A8E"/>
    <w:rsid w:val="00670652"/>
    <w:rsid w:val="006707F7"/>
    <w:rsid w:val="00670826"/>
    <w:rsid w:val="00670D02"/>
    <w:rsid w:val="00672290"/>
    <w:rsid w:val="00674349"/>
    <w:rsid w:val="006752D9"/>
    <w:rsid w:val="00680C23"/>
    <w:rsid w:val="00685166"/>
    <w:rsid w:val="00685716"/>
    <w:rsid w:val="00693766"/>
    <w:rsid w:val="006A06B9"/>
    <w:rsid w:val="006A08C3"/>
    <w:rsid w:val="006A1BF5"/>
    <w:rsid w:val="006A1F8B"/>
    <w:rsid w:val="006A3281"/>
    <w:rsid w:val="006A58AF"/>
    <w:rsid w:val="006B0294"/>
    <w:rsid w:val="006B0352"/>
    <w:rsid w:val="006B0FEE"/>
    <w:rsid w:val="006B3ABE"/>
    <w:rsid w:val="006B4888"/>
    <w:rsid w:val="006C26EE"/>
    <w:rsid w:val="006C2E45"/>
    <w:rsid w:val="006C359C"/>
    <w:rsid w:val="006C3D92"/>
    <w:rsid w:val="006C5162"/>
    <w:rsid w:val="006C5579"/>
    <w:rsid w:val="006C59A1"/>
    <w:rsid w:val="006C764A"/>
    <w:rsid w:val="006D0748"/>
    <w:rsid w:val="006D3AA4"/>
    <w:rsid w:val="006D5344"/>
    <w:rsid w:val="006D61F4"/>
    <w:rsid w:val="006D6646"/>
    <w:rsid w:val="006D6D0C"/>
    <w:rsid w:val="006D6E8B"/>
    <w:rsid w:val="006E02EA"/>
    <w:rsid w:val="006E050C"/>
    <w:rsid w:val="006E31D6"/>
    <w:rsid w:val="006E35B3"/>
    <w:rsid w:val="006E6E98"/>
    <w:rsid w:val="006E737D"/>
    <w:rsid w:val="006E7B76"/>
    <w:rsid w:val="006F0145"/>
    <w:rsid w:val="006F04C3"/>
    <w:rsid w:val="006F4741"/>
    <w:rsid w:val="006F599D"/>
    <w:rsid w:val="006F5BE5"/>
    <w:rsid w:val="006F5F62"/>
    <w:rsid w:val="007035E6"/>
    <w:rsid w:val="007120AA"/>
    <w:rsid w:val="00712F44"/>
    <w:rsid w:val="00713036"/>
    <w:rsid w:val="00716839"/>
    <w:rsid w:val="00720A24"/>
    <w:rsid w:val="00721E44"/>
    <w:rsid w:val="00722F62"/>
    <w:rsid w:val="00731419"/>
    <w:rsid w:val="00731AD9"/>
    <w:rsid w:val="00732386"/>
    <w:rsid w:val="00732ABB"/>
    <w:rsid w:val="00733880"/>
    <w:rsid w:val="0073514D"/>
    <w:rsid w:val="007373F9"/>
    <w:rsid w:val="00744271"/>
    <w:rsid w:val="007447F3"/>
    <w:rsid w:val="00744BA8"/>
    <w:rsid w:val="0074740E"/>
    <w:rsid w:val="00751014"/>
    <w:rsid w:val="007516BF"/>
    <w:rsid w:val="0075499F"/>
    <w:rsid w:val="0075546C"/>
    <w:rsid w:val="007555A4"/>
    <w:rsid w:val="00755788"/>
    <w:rsid w:val="007572DE"/>
    <w:rsid w:val="00757809"/>
    <w:rsid w:val="00757D86"/>
    <w:rsid w:val="007618BA"/>
    <w:rsid w:val="0076227B"/>
    <w:rsid w:val="0076455C"/>
    <w:rsid w:val="007659B0"/>
    <w:rsid w:val="007661C8"/>
    <w:rsid w:val="0076653B"/>
    <w:rsid w:val="0076667E"/>
    <w:rsid w:val="0077098D"/>
    <w:rsid w:val="007726DE"/>
    <w:rsid w:val="00772E72"/>
    <w:rsid w:val="00776C22"/>
    <w:rsid w:val="007802F6"/>
    <w:rsid w:val="0078160C"/>
    <w:rsid w:val="007828F9"/>
    <w:rsid w:val="00787C97"/>
    <w:rsid w:val="0079028B"/>
    <w:rsid w:val="007931FA"/>
    <w:rsid w:val="00793E26"/>
    <w:rsid w:val="00796C09"/>
    <w:rsid w:val="0079792E"/>
    <w:rsid w:val="007A02A5"/>
    <w:rsid w:val="007A11FF"/>
    <w:rsid w:val="007A2C09"/>
    <w:rsid w:val="007A3E2F"/>
    <w:rsid w:val="007A4861"/>
    <w:rsid w:val="007A5170"/>
    <w:rsid w:val="007A56F0"/>
    <w:rsid w:val="007A5D35"/>
    <w:rsid w:val="007A7BBA"/>
    <w:rsid w:val="007B01C7"/>
    <w:rsid w:val="007B082B"/>
    <w:rsid w:val="007B0C50"/>
    <w:rsid w:val="007B2B0A"/>
    <w:rsid w:val="007B4222"/>
    <w:rsid w:val="007C05C7"/>
    <w:rsid w:val="007C09BE"/>
    <w:rsid w:val="007C1A43"/>
    <w:rsid w:val="007C1F3A"/>
    <w:rsid w:val="007C3993"/>
    <w:rsid w:val="007C5378"/>
    <w:rsid w:val="007C5C94"/>
    <w:rsid w:val="007C6053"/>
    <w:rsid w:val="007D043D"/>
    <w:rsid w:val="007D13BE"/>
    <w:rsid w:val="007D1D46"/>
    <w:rsid w:val="007E71FB"/>
    <w:rsid w:val="007F0B57"/>
    <w:rsid w:val="007F2934"/>
    <w:rsid w:val="0080013E"/>
    <w:rsid w:val="00801C14"/>
    <w:rsid w:val="008027CE"/>
    <w:rsid w:val="008027F5"/>
    <w:rsid w:val="0080308B"/>
    <w:rsid w:val="00807615"/>
    <w:rsid w:val="0081051C"/>
    <w:rsid w:val="00811497"/>
    <w:rsid w:val="00813288"/>
    <w:rsid w:val="0081597E"/>
    <w:rsid w:val="00815D7F"/>
    <w:rsid w:val="008166D2"/>
    <w:rsid w:val="008168FC"/>
    <w:rsid w:val="0081742D"/>
    <w:rsid w:val="00821029"/>
    <w:rsid w:val="00822D2F"/>
    <w:rsid w:val="00825707"/>
    <w:rsid w:val="008261E0"/>
    <w:rsid w:val="00830996"/>
    <w:rsid w:val="0083331D"/>
    <w:rsid w:val="008345F1"/>
    <w:rsid w:val="0083582A"/>
    <w:rsid w:val="0083707F"/>
    <w:rsid w:val="00840940"/>
    <w:rsid w:val="00842609"/>
    <w:rsid w:val="00843C8E"/>
    <w:rsid w:val="00845F2F"/>
    <w:rsid w:val="00850064"/>
    <w:rsid w:val="008507A7"/>
    <w:rsid w:val="00850987"/>
    <w:rsid w:val="00850A0E"/>
    <w:rsid w:val="0085125D"/>
    <w:rsid w:val="008521FF"/>
    <w:rsid w:val="00853D5B"/>
    <w:rsid w:val="00856B42"/>
    <w:rsid w:val="00861A62"/>
    <w:rsid w:val="008635D6"/>
    <w:rsid w:val="00865B07"/>
    <w:rsid w:val="008667EA"/>
    <w:rsid w:val="0087070C"/>
    <w:rsid w:val="008732B5"/>
    <w:rsid w:val="00874784"/>
    <w:rsid w:val="0087637F"/>
    <w:rsid w:val="00881C5C"/>
    <w:rsid w:val="00885BA2"/>
    <w:rsid w:val="00887BF1"/>
    <w:rsid w:val="00891548"/>
    <w:rsid w:val="00891FB4"/>
    <w:rsid w:val="00892AD5"/>
    <w:rsid w:val="00896337"/>
    <w:rsid w:val="008975A9"/>
    <w:rsid w:val="00897C50"/>
    <w:rsid w:val="008A1512"/>
    <w:rsid w:val="008A46E5"/>
    <w:rsid w:val="008A47C7"/>
    <w:rsid w:val="008A5E15"/>
    <w:rsid w:val="008A6B9E"/>
    <w:rsid w:val="008A7C78"/>
    <w:rsid w:val="008B01E8"/>
    <w:rsid w:val="008B0B6A"/>
    <w:rsid w:val="008B2B65"/>
    <w:rsid w:val="008B4CEA"/>
    <w:rsid w:val="008C092F"/>
    <w:rsid w:val="008C1684"/>
    <w:rsid w:val="008C5D7A"/>
    <w:rsid w:val="008C6F1C"/>
    <w:rsid w:val="008D155F"/>
    <w:rsid w:val="008D304D"/>
    <w:rsid w:val="008D32B9"/>
    <w:rsid w:val="008D433B"/>
    <w:rsid w:val="008D51E5"/>
    <w:rsid w:val="008D5A6F"/>
    <w:rsid w:val="008D62EE"/>
    <w:rsid w:val="008E198E"/>
    <w:rsid w:val="008E309B"/>
    <w:rsid w:val="008E31A7"/>
    <w:rsid w:val="008E3ED8"/>
    <w:rsid w:val="008E566E"/>
    <w:rsid w:val="008E7507"/>
    <w:rsid w:val="008F2202"/>
    <w:rsid w:val="008F5B15"/>
    <w:rsid w:val="008F78CD"/>
    <w:rsid w:val="0090161A"/>
    <w:rsid w:val="00901EB6"/>
    <w:rsid w:val="00902646"/>
    <w:rsid w:val="009028D3"/>
    <w:rsid w:val="00904C62"/>
    <w:rsid w:val="00905B42"/>
    <w:rsid w:val="00906B7F"/>
    <w:rsid w:val="00910FFE"/>
    <w:rsid w:val="00912DA4"/>
    <w:rsid w:val="00913C7D"/>
    <w:rsid w:val="009146CB"/>
    <w:rsid w:val="009204B4"/>
    <w:rsid w:val="00921D8E"/>
    <w:rsid w:val="00922BA8"/>
    <w:rsid w:val="00922BD1"/>
    <w:rsid w:val="00923750"/>
    <w:rsid w:val="00924DAC"/>
    <w:rsid w:val="00925D1D"/>
    <w:rsid w:val="00927058"/>
    <w:rsid w:val="0092748A"/>
    <w:rsid w:val="00930051"/>
    <w:rsid w:val="00934269"/>
    <w:rsid w:val="009369BD"/>
    <w:rsid w:val="009416D0"/>
    <w:rsid w:val="00942750"/>
    <w:rsid w:val="009450CE"/>
    <w:rsid w:val="00946775"/>
    <w:rsid w:val="00947179"/>
    <w:rsid w:val="009476AD"/>
    <w:rsid w:val="00947BB0"/>
    <w:rsid w:val="00951194"/>
    <w:rsid w:val="0095164B"/>
    <w:rsid w:val="00953905"/>
    <w:rsid w:val="00954090"/>
    <w:rsid w:val="009573E7"/>
    <w:rsid w:val="00963E05"/>
    <w:rsid w:val="00964F32"/>
    <w:rsid w:val="00967843"/>
    <w:rsid w:val="00967D54"/>
    <w:rsid w:val="00971028"/>
    <w:rsid w:val="009729B9"/>
    <w:rsid w:val="00974DC3"/>
    <w:rsid w:val="00984874"/>
    <w:rsid w:val="00984A21"/>
    <w:rsid w:val="00987F54"/>
    <w:rsid w:val="009902D6"/>
    <w:rsid w:val="009929B5"/>
    <w:rsid w:val="00996483"/>
    <w:rsid w:val="00996EA2"/>
    <w:rsid w:val="00996F5A"/>
    <w:rsid w:val="009A0540"/>
    <w:rsid w:val="009A48F9"/>
    <w:rsid w:val="009A4FBF"/>
    <w:rsid w:val="009A5EE1"/>
    <w:rsid w:val="009A7474"/>
    <w:rsid w:val="009A76C7"/>
    <w:rsid w:val="009B041A"/>
    <w:rsid w:val="009B090A"/>
    <w:rsid w:val="009B1FDD"/>
    <w:rsid w:val="009B2CBA"/>
    <w:rsid w:val="009C0565"/>
    <w:rsid w:val="009C14D3"/>
    <w:rsid w:val="009C189C"/>
    <w:rsid w:val="009C37C3"/>
    <w:rsid w:val="009C508D"/>
    <w:rsid w:val="009C6BDB"/>
    <w:rsid w:val="009C7C86"/>
    <w:rsid w:val="009D0F2D"/>
    <w:rsid w:val="009D2FF7"/>
    <w:rsid w:val="009E045A"/>
    <w:rsid w:val="009E65B1"/>
    <w:rsid w:val="009E7884"/>
    <w:rsid w:val="009E788A"/>
    <w:rsid w:val="009F0E08"/>
    <w:rsid w:val="009F3426"/>
    <w:rsid w:val="009F5044"/>
    <w:rsid w:val="009F555D"/>
    <w:rsid w:val="009F64E2"/>
    <w:rsid w:val="009F7B06"/>
    <w:rsid w:val="00A00DD5"/>
    <w:rsid w:val="00A01C6B"/>
    <w:rsid w:val="00A01F3C"/>
    <w:rsid w:val="00A0372C"/>
    <w:rsid w:val="00A06027"/>
    <w:rsid w:val="00A11EE8"/>
    <w:rsid w:val="00A12202"/>
    <w:rsid w:val="00A12CA5"/>
    <w:rsid w:val="00A14323"/>
    <w:rsid w:val="00A1763D"/>
    <w:rsid w:val="00A17CEC"/>
    <w:rsid w:val="00A24DCE"/>
    <w:rsid w:val="00A24EA0"/>
    <w:rsid w:val="00A271C4"/>
    <w:rsid w:val="00A27EF0"/>
    <w:rsid w:val="00A30DC0"/>
    <w:rsid w:val="00A30E19"/>
    <w:rsid w:val="00A3612E"/>
    <w:rsid w:val="00A41839"/>
    <w:rsid w:val="00A4235D"/>
    <w:rsid w:val="00A42361"/>
    <w:rsid w:val="00A42D85"/>
    <w:rsid w:val="00A438C5"/>
    <w:rsid w:val="00A45ECD"/>
    <w:rsid w:val="00A4796B"/>
    <w:rsid w:val="00A47DEC"/>
    <w:rsid w:val="00A50499"/>
    <w:rsid w:val="00A50B20"/>
    <w:rsid w:val="00A51390"/>
    <w:rsid w:val="00A52EED"/>
    <w:rsid w:val="00A56425"/>
    <w:rsid w:val="00A576EB"/>
    <w:rsid w:val="00A60D13"/>
    <w:rsid w:val="00A6130D"/>
    <w:rsid w:val="00A61B29"/>
    <w:rsid w:val="00A61D6A"/>
    <w:rsid w:val="00A62635"/>
    <w:rsid w:val="00A6329A"/>
    <w:rsid w:val="00A640EB"/>
    <w:rsid w:val="00A66D92"/>
    <w:rsid w:val="00A71A97"/>
    <w:rsid w:val="00A72745"/>
    <w:rsid w:val="00A74EFD"/>
    <w:rsid w:val="00A75E5E"/>
    <w:rsid w:val="00A76EFC"/>
    <w:rsid w:val="00A80B36"/>
    <w:rsid w:val="00A8135D"/>
    <w:rsid w:val="00A81755"/>
    <w:rsid w:val="00A82DF5"/>
    <w:rsid w:val="00A84018"/>
    <w:rsid w:val="00A8482D"/>
    <w:rsid w:val="00A86855"/>
    <w:rsid w:val="00A86BCD"/>
    <w:rsid w:val="00A87794"/>
    <w:rsid w:val="00A902A8"/>
    <w:rsid w:val="00A91010"/>
    <w:rsid w:val="00A91A21"/>
    <w:rsid w:val="00A92304"/>
    <w:rsid w:val="00A93406"/>
    <w:rsid w:val="00A948B5"/>
    <w:rsid w:val="00A95235"/>
    <w:rsid w:val="00A955C8"/>
    <w:rsid w:val="00A95C57"/>
    <w:rsid w:val="00A97F29"/>
    <w:rsid w:val="00AA0216"/>
    <w:rsid w:val="00AA702E"/>
    <w:rsid w:val="00AB0964"/>
    <w:rsid w:val="00AB366E"/>
    <w:rsid w:val="00AB5011"/>
    <w:rsid w:val="00AB504D"/>
    <w:rsid w:val="00AB689E"/>
    <w:rsid w:val="00AB6B3C"/>
    <w:rsid w:val="00AB6DA2"/>
    <w:rsid w:val="00AC3AE7"/>
    <w:rsid w:val="00AC3E4A"/>
    <w:rsid w:val="00AC3FE9"/>
    <w:rsid w:val="00AC4A70"/>
    <w:rsid w:val="00AC7368"/>
    <w:rsid w:val="00AD16B9"/>
    <w:rsid w:val="00AD3E97"/>
    <w:rsid w:val="00AD6666"/>
    <w:rsid w:val="00AD79A8"/>
    <w:rsid w:val="00AD7D05"/>
    <w:rsid w:val="00AE2A69"/>
    <w:rsid w:val="00AE377D"/>
    <w:rsid w:val="00AE518C"/>
    <w:rsid w:val="00AE6136"/>
    <w:rsid w:val="00AE6EE0"/>
    <w:rsid w:val="00AE7AEE"/>
    <w:rsid w:val="00AF0EBA"/>
    <w:rsid w:val="00AF11AE"/>
    <w:rsid w:val="00AF1E52"/>
    <w:rsid w:val="00AF2203"/>
    <w:rsid w:val="00AF370B"/>
    <w:rsid w:val="00AF59DA"/>
    <w:rsid w:val="00B00004"/>
    <w:rsid w:val="00B003EA"/>
    <w:rsid w:val="00B00C10"/>
    <w:rsid w:val="00B00D8E"/>
    <w:rsid w:val="00B02C8A"/>
    <w:rsid w:val="00B042C1"/>
    <w:rsid w:val="00B04B68"/>
    <w:rsid w:val="00B05098"/>
    <w:rsid w:val="00B0626A"/>
    <w:rsid w:val="00B0676A"/>
    <w:rsid w:val="00B133A5"/>
    <w:rsid w:val="00B142CF"/>
    <w:rsid w:val="00B17B04"/>
    <w:rsid w:val="00B17FBD"/>
    <w:rsid w:val="00B23A23"/>
    <w:rsid w:val="00B25DDE"/>
    <w:rsid w:val="00B30CAC"/>
    <w:rsid w:val="00B315A6"/>
    <w:rsid w:val="00B31813"/>
    <w:rsid w:val="00B323A5"/>
    <w:rsid w:val="00B327EC"/>
    <w:rsid w:val="00B33365"/>
    <w:rsid w:val="00B352F3"/>
    <w:rsid w:val="00B36693"/>
    <w:rsid w:val="00B411CB"/>
    <w:rsid w:val="00B41BF8"/>
    <w:rsid w:val="00B42A46"/>
    <w:rsid w:val="00B43425"/>
    <w:rsid w:val="00B47D0B"/>
    <w:rsid w:val="00B55935"/>
    <w:rsid w:val="00B56261"/>
    <w:rsid w:val="00B5661E"/>
    <w:rsid w:val="00B5664F"/>
    <w:rsid w:val="00B569E8"/>
    <w:rsid w:val="00B56D08"/>
    <w:rsid w:val="00B57B36"/>
    <w:rsid w:val="00B57B55"/>
    <w:rsid w:val="00B62D30"/>
    <w:rsid w:val="00B642C8"/>
    <w:rsid w:val="00B646B5"/>
    <w:rsid w:val="00B64FD3"/>
    <w:rsid w:val="00B6525A"/>
    <w:rsid w:val="00B65513"/>
    <w:rsid w:val="00B65F93"/>
    <w:rsid w:val="00B67457"/>
    <w:rsid w:val="00B71AC4"/>
    <w:rsid w:val="00B726CF"/>
    <w:rsid w:val="00B74243"/>
    <w:rsid w:val="00B74715"/>
    <w:rsid w:val="00B76073"/>
    <w:rsid w:val="00B8049D"/>
    <w:rsid w:val="00B80D3F"/>
    <w:rsid w:val="00B826EA"/>
    <w:rsid w:val="00B8276D"/>
    <w:rsid w:val="00B83C29"/>
    <w:rsid w:val="00B83EC2"/>
    <w:rsid w:val="00B8414E"/>
    <w:rsid w:val="00B8514D"/>
    <w:rsid w:val="00B8579A"/>
    <w:rsid w:val="00B8686D"/>
    <w:rsid w:val="00B90EAA"/>
    <w:rsid w:val="00B910C7"/>
    <w:rsid w:val="00B910FC"/>
    <w:rsid w:val="00B947B9"/>
    <w:rsid w:val="00B9624C"/>
    <w:rsid w:val="00B96882"/>
    <w:rsid w:val="00B978AD"/>
    <w:rsid w:val="00BA04C7"/>
    <w:rsid w:val="00BA42D9"/>
    <w:rsid w:val="00BA4905"/>
    <w:rsid w:val="00BB1DDC"/>
    <w:rsid w:val="00BB31C8"/>
    <w:rsid w:val="00BB4B4F"/>
    <w:rsid w:val="00BB7001"/>
    <w:rsid w:val="00BC131E"/>
    <w:rsid w:val="00BC214D"/>
    <w:rsid w:val="00BC30C9"/>
    <w:rsid w:val="00BC3139"/>
    <w:rsid w:val="00BC34D1"/>
    <w:rsid w:val="00BC5484"/>
    <w:rsid w:val="00BC6133"/>
    <w:rsid w:val="00BD3D43"/>
    <w:rsid w:val="00BD4619"/>
    <w:rsid w:val="00BD50FE"/>
    <w:rsid w:val="00BD62D7"/>
    <w:rsid w:val="00BD742D"/>
    <w:rsid w:val="00BD7C41"/>
    <w:rsid w:val="00BE0F8A"/>
    <w:rsid w:val="00BE2B88"/>
    <w:rsid w:val="00BE3E58"/>
    <w:rsid w:val="00BE6360"/>
    <w:rsid w:val="00BE6FDB"/>
    <w:rsid w:val="00BF036F"/>
    <w:rsid w:val="00BF23FA"/>
    <w:rsid w:val="00BF2419"/>
    <w:rsid w:val="00BF3113"/>
    <w:rsid w:val="00BF3C5B"/>
    <w:rsid w:val="00BF59A1"/>
    <w:rsid w:val="00C01616"/>
    <w:rsid w:val="00C0162B"/>
    <w:rsid w:val="00C068ED"/>
    <w:rsid w:val="00C06CEC"/>
    <w:rsid w:val="00C10D9E"/>
    <w:rsid w:val="00C126E4"/>
    <w:rsid w:val="00C16091"/>
    <w:rsid w:val="00C24AC7"/>
    <w:rsid w:val="00C26118"/>
    <w:rsid w:val="00C3023D"/>
    <w:rsid w:val="00C31C53"/>
    <w:rsid w:val="00C320A1"/>
    <w:rsid w:val="00C3346C"/>
    <w:rsid w:val="00C33D14"/>
    <w:rsid w:val="00C345B1"/>
    <w:rsid w:val="00C36455"/>
    <w:rsid w:val="00C367FE"/>
    <w:rsid w:val="00C371D9"/>
    <w:rsid w:val="00C40142"/>
    <w:rsid w:val="00C403C9"/>
    <w:rsid w:val="00C40A64"/>
    <w:rsid w:val="00C426A3"/>
    <w:rsid w:val="00C43B14"/>
    <w:rsid w:val="00C45C87"/>
    <w:rsid w:val="00C47EDF"/>
    <w:rsid w:val="00C50626"/>
    <w:rsid w:val="00C525F0"/>
    <w:rsid w:val="00C57182"/>
    <w:rsid w:val="00C57863"/>
    <w:rsid w:val="00C57A4B"/>
    <w:rsid w:val="00C61F2F"/>
    <w:rsid w:val="00C636F6"/>
    <w:rsid w:val="00C63F4B"/>
    <w:rsid w:val="00C655FD"/>
    <w:rsid w:val="00C70D9D"/>
    <w:rsid w:val="00C7258B"/>
    <w:rsid w:val="00C72CE2"/>
    <w:rsid w:val="00C75407"/>
    <w:rsid w:val="00C75FFE"/>
    <w:rsid w:val="00C77D1B"/>
    <w:rsid w:val="00C812F5"/>
    <w:rsid w:val="00C815F2"/>
    <w:rsid w:val="00C81C95"/>
    <w:rsid w:val="00C83474"/>
    <w:rsid w:val="00C847AC"/>
    <w:rsid w:val="00C870A8"/>
    <w:rsid w:val="00C936D1"/>
    <w:rsid w:val="00C94434"/>
    <w:rsid w:val="00C95B9A"/>
    <w:rsid w:val="00C95F92"/>
    <w:rsid w:val="00CA0D75"/>
    <w:rsid w:val="00CA1C95"/>
    <w:rsid w:val="00CA2DF4"/>
    <w:rsid w:val="00CA4E0E"/>
    <w:rsid w:val="00CA5A9C"/>
    <w:rsid w:val="00CA6826"/>
    <w:rsid w:val="00CB07BE"/>
    <w:rsid w:val="00CB1B2B"/>
    <w:rsid w:val="00CB396F"/>
    <w:rsid w:val="00CB51C6"/>
    <w:rsid w:val="00CC060B"/>
    <w:rsid w:val="00CC0FBE"/>
    <w:rsid w:val="00CC2E57"/>
    <w:rsid w:val="00CC466F"/>
    <w:rsid w:val="00CC46B4"/>
    <w:rsid w:val="00CC4C20"/>
    <w:rsid w:val="00CC501D"/>
    <w:rsid w:val="00CC774E"/>
    <w:rsid w:val="00CD06F6"/>
    <w:rsid w:val="00CD0F70"/>
    <w:rsid w:val="00CD3517"/>
    <w:rsid w:val="00CD3E46"/>
    <w:rsid w:val="00CD5FE2"/>
    <w:rsid w:val="00CD65BC"/>
    <w:rsid w:val="00CE4F50"/>
    <w:rsid w:val="00CE596F"/>
    <w:rsid w:val="00CE5C1D"/>
    <w:rsid w:val="00CE6603"/>
    <w:rsid w:val="00CE7C68"/>
    <w:rsid w:val="00CF2361"/>
    <w:rsid w:val="00CF240A"/>
    <w:rsid w:val="00CF2CFE"/>
    <w:rsid w:val="00CF3A5C"/>
    <w:rsid w:val="00D02B4C"/>
    <w:rsid w:val="00D03275"/>
    <w:rsid w:val="00D035C7"/>
    <w:rsid w:val="00D040C4"/>
    <w:rsid w:val="00D07462"/>
    <w:rsid w:val="00D16576"/>
    <w:rsid w:val="00D1717E"/>
    <w:rsid w:val="00D17A53"/>
    <w:rsid w:val="00D22920"/>
    <w:rsid w:val="00D23005"/>
    <w:rsid w:val="00D23D4C"/>
    <w:rsid w:val="00D269C6"/>
    <w:rsid w:val="00D26D29"/>
    <w:rsid w:val="00D30A1F"/>
    <w:rsid w:val="00D31674"/>
    <w:rsid w:val="00D4529F"/>
    <w:rsid w:val="00D50CF9"/>
    <w:rsid w:val="00D51DB2"/>
    <w:rsid w:val="00D54084"/>
    <w:rsid w:val="00D55077"/>
    <w:rsid w:val="00D57C84"/>
    <w:rsid w:val="00D6057D"/>
    <w:rsid w:val="00D60F44"/>
    <w:rsid w:val="00D61D59"/>
    <w:rsid w:val="00D64074"/>
    <w:rsid w:val="00D64A40"/>
    <w:rsid w:val="00D67FEC"/>
    <w:rsid w:val="00D71DB7"/>
    <w:rsid w:val="00D75F07"/>
    <w:rsid w:val="00D80524"/>
    <w:rsid w:val="00D8221E"/>
    <w:rsid w:val="00D836C5"/>
    <w:rsid w:val="00D837A2"/>
    <w:rsid w:val="00D83FE1"/>
    <w:rsid w:val="00D84576"/>
    <w:rsid w:val="00D856AD"/>
    <w:rsid w:val="00D85809"/>
    <w:rsid w:val="00D86191"/>
    <w:rsid w:val="00D9146E"/>
    <w:rsid w:val="00D92016"/>
    <w:rsid w:val="00D964DA"/>
    <w:rsid w:val="00D97088"/>
    <w:rsid w:val="00DA0F94"/>
    <w:rsid w:val="00DA1399"/>
    <w:rsid w:val="00DA24C6"/>
    <w:rsid w:val="00DA2E1F"/>
    <w:rsid w:val="00DA33F6"/>
    <w:rsid w:val="00DA4D7B"/>
    <w:rsid w:val="00DA6F19"/>
    <w:rsid w:val="00DB26E7"/>
    <w:rsid w:val="00DB2FFA"/>
    <w:rsid w:val="00DB3FD5"/>
    <w:rsid w:val="00DB6400"/>
    <w:rsid w:val="00DC1DA1"/>
    <w:rsid w:val="00DC3417"/>
    <w:rsid w:val="00DC484F"/>
    <w:rsid w:val="00DC52D8"/>
    <w:rsid w:val="00DC5412"/>
    <w:rsid w:val="00DC5A09"/>
    <w:rsid w:val="00DD132F"/>
    <w:rsid w:val="00DD2E1C"/>
    <w:rsid w:val="00DD3A29"/>
    <w:rsid w:val="00DD45D9"/>
    <w:rsid w:val="00DD49DA"/>
    <w:rsid w:val="00DD62E5"/>
    <w:rsid w:val="00DE264A"/>
    <w:rsid w:val="00DE4657"/>
    <w:rsid w:val="00DE5330"/>
    <w:rsid w:val="00DF020E"/>
    <w:rsid w:val="00DF154B"/>
    <w:rsid w:val="00DF1ADB"/>
    <w:rsid w:val="00DF1AEF"/>
    <w:rsid w:val="00DF5072"/>
    <w:rsid w:val="00E00042"/>
    <w:rsid w:val="00E02D18"/>
    <w:rsid w:val="00E0322E"/>
    <w:rsid w:val="00E041E7"/>
    <w:rsid w:val="00E0534A"/>
    <w:rsid w:val="00E1261A"/>
    <w:rsid w:val="00E164F8"/>
    <w:rsid w:val="00E176EE"/>
    <w:rsid w:val="00E23CA1"/>
    <w:rsid w:val="00E2421E"/>
    <w:rsid w:val="00E24904"/>
    <w:rsid w:val="00E25C40"/>
    <w:rsid w:val="00E27445"/>
    <w:rsid w:val="00E324EB"/>
    <w:rsid w:val="00E338E9"/>
    <w:rsid w:val="00E35662"/>
    <w:rsid w:val="00E36B94"/>
    <w:rsid w:val="00E378A9"/>
    <w:rsid w:val="00E409A8"/>
    <w:rsid w:val="00E41CEF"/>
    <w:rsid w:val="00E4694B"/>
    <w:rsid w:val="00E50C12"/>
    <w:rsid w:val="00E510E6"/>
    <w:rsid w:val="00E5352D"/>
    <w:rsid w:val="00E541D7"/>
    <w:rsid w:val="00E571E3"/>
    <w:rsid w:val="00E579AE"/>
    <w:rsid w:val="00E57D31"/>
    <w:rsid w:val="00E61B36"/>
    <w:rsid w:val="00E61EC9"/>
    <w:rsid w:val="00E629E5"/>
    <w:rsid w:val="00E65B91"/>
    <w:rsid w:val="00E7209D"/>
    <w:rsid w:val="00E72D5E"/>
    <w:rsid w:val="00E73572"/>
    <w:rsid w:val="00E74F6A"/>
    <w:rsid w:val="00E757DA"/>
    <w:rsid w:val="00E77223"/>
    <w:rsid w:val="00E772C0"/>
    <w:rsid w:val="00E83690"/>
    <w:rsid w:val="00E83FA9"/>
    <w:rsid w:val="00E84E63"/>
    <w:rsid w:val="00E8528B"/>
    <w:rsid w:val="00E85B94"/>
    <w:rsid w:val="00E86D9E"/>
    <w:rsid w:val="00E9198E"/>
    <w:rsid w:val="00E931F0"/>
    <w:rsid w:val="00E94A7F"/>
    <w:rsid w:val="00E94B94"/>
    <w:rsid w:val="00E94FAD"/>
    <w:rsid w:val="00E978D0"/>
    <w:rsid w:val="00E97CBC"/>
    <w:rsid w:val="00EA005B"/>
    <w:rsid w:val="00EA01F5"/>
    <w:rsid w:val="00EA2648"/>
    <w:rsid w:val="00EA3300"/>
    <w:rsid w:val="00EA419F"/>
    <w:rsid w:val="00EA4613"/>
    <w:rsid w:val="00EA4CA8"/>
    <w:rsid w:val="00EA5F6A"/>
    <w:rsid w:val="00EA6974"/>
    <w:rsid w:val="00EA721F"/>
    <w:rsid w:val="00EA7B78"/>
    <w:rsid w:val="00EA7F91"/>
    <w:rsid w:val="00EB1523"/>
    <w:rsid w:val="00EB3647"/>
    <w:rsid w:val="00EB708C"/>
    <w:rsid w:val="00EC0956"/>
    <w:rsid w:val="00EC0E49"/>
    <w:rsid w:val="00EC0FF7"/>
    <w:rsid w:val="00EC101F"/>
    <w:rsid w:val="00EC1D9F"/>
    <w:rsid w:val="00EC1F9B"/>
    <w:rsid w:val="00EC32D2"/>
    <w:rsid w:val="00EC365D"/>
    <w:rsid w:val="00EC3B18"/>
    <w:rsid w:val="00EC3EBA"/>
    <w:rsid w:val="00EC5B45"/>
    <w:rsid w:val="00EC5F57"/>
    <w:rsid w:val="00EC7C85"/>
    <w:rsid w:val="00ED3CA1"/>
    <w:rsid w:val="00ED58CF"/>
    <w:rsid w:val="00ED7AE1"/>
    <w:rsid w:val="00EE0131"/>
    <w:rsid w:val="00EE17B0"/>
    <w:rsid w:val="00EE50F8"/>
    <w:rsid w:val="00EE65C2"/>
    <w:rsid w:val="00EE7CA0"/>
    <w:rsid w:val="00EF06D9"/>
    <w:rsid w:val="00EF0A2C"/>
    <w:rsid w:val="00EF1935"/>
    <w:rsid w:val="00EF5E02"/>
    <w:rsid w:val="00F0079F"/>
    <w:rsid w:val="00F00FCC"/>
    <w:rsid w:val="00F01198"/>
    <w:rsid w:val="00F01663"/>
    <w:rsid w:val="00F02AC5"/>
    <w:rsid w:val="00F05AA7"/>
    <w:rsid w:val="00F15347"/>
    <w:rsid w:val="00F15928"/>
    <w:rsid w:val="00F17658"/>
    <w:rsid w:val="00F22482"/>
    <w:rsid w:val="00F249A0"/>
    <w:rsid w:val="00F30C64"/>
    <w:rsid w:val="00F32CDB"/>
    <w:rsid w:val="00F33FC6"/>
    <w:rsid w:val="00F3633D"/>
    <w:rsid w:val="00F37B1D"/>
    <w:rsid w:val="00F46E4D"/>
    <w:rsid w:val="00F50ED8"/>
    <w:rsid w:val="00F51C03"/>
    <w:rsid w:val="00F5204A"/>
    <w:rsid w:val="00F52498"/>
    <w:rsid w:val="00F53D27"/>
    <w:rsid w:val="00F53FE3"/>
    <w:rsid w:val="00F565FE"/>
    <w:rsid w:val="00F56B74"/>
    <w:rsid w:val="00F60238"/>
    <w:rsid w:val="00F608C1"/>
    <w:rsid w:val="00F60B8D"/>
    <w:rsid w:val="00F63A70"/>
    <w:rsid w:val="00F72A09"/>
    <w:rsid w:val="00F80C0B"/>
    <w:rsid w:val="00F82E0A"/>
    <w:rsid w:val="00F84C19"/>
    <w:rsid w:val="00F85BCC"/>
    <w:rsid w:val="00F869A7"/>
    <w:rsid w:val="00F878A0"/>
    <w:rsid w:val="00F878AC"/>
    <w:rsid w:val="00F91E0C"/>
    <w:rsid w:val="00F921CD"/>
    <w:rsid w:val="00F92E81"/>
    <w:rsid w:val="00F976EB"/>
    <w:rsid w:val="00FA21D0"/>
    <w:rsid w:val="00FA3143"/>
    <w:rsid w:val="00FA433A"/>
    <w:rsid w:val="00FA43E2"/>
    <w:rsid w:val="00FA4653"/>
    <w:rsid w:val="00FA5F5F"/>
    <w:rsid w:val="00FA7CE2"/>
    <w:rsid w:val="00FB5BE0"/>
    <w:rsid w:val="00FB675C"/>
    <w:rsid w:val="00FB730C"/>
    <w:rsid w:val="00FC041A"/>
    <w:rsid w:val="00FC0C84"/>
    <w:rsid w:val="00FC0D88"/>
    <w:rsid w:val="00FC2695"/>
    <w:rsid w:val="00FC3E03"/>
    <w:rsid w:val="00FC3FC1"/>
    <w:rsid w:val="00FC516A"/>
    <w:rsid w:val="00FD09F4"/>
    <w:rsid w:val="00FD1AFB"/>
    <w:rsid w:val="00FD3E85"/>
    <w:rsid w:val="00FD5638"/>
    <w:rsid w:val="00FD5F8D"/>
    <w:rsid w:val="00FD7128"/>
    <w:rsid w:val="00FD71EB"/>
    <w:rsid w:val="00FE345B"/>
    <w:rsid w:val="00FE70BB"/>
    <w:rsid w:val="00FE7D55"/>
    <w:rsid w:val="00FF09F1"/>
    <w:rsid w:val="00FF0B1C"/>
    <w:rsid w:val="00FF4EB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itolo1">
    <w:name w:val="heading 1"/>
    <w:basedOn w:val="CETHeading1"/>
    <w:next w:val="Normale"/>
    <w:link w:val="Titolo1Carattere"/>
    <w:uiPriority w:val="9"/>
    <w:rsid w:val="004F5E36"/>
    <w:pPr>
      <w:tabs>
        <w:tab w:val="right" w:pos="7100"/>
      </w:tabs>
      <w:jc w:val="both"/>
      <w:outlineLvl w:val="0"/>
    </w:p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06457D"/>
    <w:pPr>
      <w:keepNext/>
      <w:numPr>
        <w:ilvl w:val="2"/>
        <w:numId w:val="1"/>
      </w:numPr>
      <w:suppressAutoHyphens/>
      <w:spacing w:before="120" w:after="120" w:line="240" w:lineRule="auto"/>
      <w:jc w:val="both"/>
    </w:pPr>
    <w:rPr>
      <w:rFonts w:ascii="Arial" w:eastAsia="Times New Roman" w:hAnsi="Arial" w:cs="Times New Roman"/>
      <w:b/>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06457D"/>
    <w:rPr>
      <w:rFonts w:ascii="Arial" w:eastAsia="Times New Roman" w:hAnsi="Arial" w:cs="Times New Roman"/>
      <w:b/>
      <w:sz w:val="18"/>
      <w:szCs w:val="20"/>
      <w:lang w:val="en"/>
    </w:rPr>
  </w:style>
  <w:style w:type="character" w:customStyle="1" w:styleId="CETCaptionCarattere">
    <w:name w:val="CET Caption Carattere"/>
    <w:link w:val="CETCaption"/>
    <w:rsid w:val="009E788A"/>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
    </w:rPr>
  </w:style>
  <w:style w:type="character" w:styleId="Testosegnaposto">
    <w:name w:val="Placeholder Text"/>
    <w:basedOn w:val="Carpredefinitoparagrafo"/>
    <w:uiPriority w:val="99"/>
    <w:semiHidden/>
    <w:rsid w:val="008E19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72284">
      <w:bodyDiv w:val="1"/>
      <w:marLeft w:val="0"/>
      <w:marRight w:val="0"/>
      <w:marTop w:val="0"/>
      <w:marBottom w:val="0"/>
      <w:divBdr>
        <w:top w:val="none" w:sz="0" w:space="0" w:color="auto"/>
        <w:left w:val="none" w:sz="0" w:space="0" w:color="auto"/>
        <w:bottom w:val="none" w:sz="0" w:space="0" w:color="auto"/>
        <w:right w:val="none" w:sz="0" w:space="0" w:color="auto"/>
      </w:divBdr>
    </w:div>
    <w:div w:id="5958717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40896">
      <w:bodyDiv w:val="1"/>
      <w:marLeft w:val="0"/>
      <w:marRight w:val="0"/>
      <w:marTop w:val="0"/>
      <w:marBottom w:val="0"/>
      <w:divBdr>
        <w:top w:val="none" w:sz="0" w:space="0" w:color="auto"/>
        <w:left w:val="none" w:sz="0" w:space="0" w:color="auto"/>
        <w:bottom w:val="none" w:sz="0" w:space="0" w:color="auto"/>
        <w:right w:val="none" w:sz="0" w:space="0" w:color="auto"/>
      </w:divBdr>
    </w:div>
    <w:div w:id="1748265224">
      <w:bodyDiv w:val="1"/>
      <w:marLeft w:val="0"/>
      <w:marRight w:val="0"/>
      <w:marTop w:val="0"/>
      <w:marBottom w:val="0"/>
      <w:divBdr>
        <w:top w:val="none" w:sz="0" w:space="0" w:color="auto"/>
        <w:left w:val="none" w:sz="0" w:space="0" w:color="auto"/>
        <w:bottom w:val="none" w:sz="0" w:space="0" w:color="auto"/>
        <w:right w:val="none" w:sz="0" w:space="0" w:color="auto"/>
      </w:divBdr>
    </w:div>
    <w:div w:id="20547674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6A862-7845-42C1-B7CA-9E68B5C59036}" type="doc">
      <dgm:prSet loTypeId="urn:microsoft.com/office/officeart/2005/8/layout/vProcess5" loCatId="process" qsTypeId="urn:microsoft.com/office/officeart/2005/8/quickstyle/simple1" qsCatId="simple" csTypeId="urn:microsoft.com/office/officeart/2005/8/colors/accent3_1" csCatId="accent3" phldr="1"/>
      <dgm:spPr/>
      <dgm:t>
        <a:bodyPr/>
        <a:lstStyle/>
        <a:p>
          <a:endParaRPr lang="en-US"/>
        </a:p>
      </dgm:t>
    </dgm:pt>
    <dgm:pt modelId="{0A8CA030-0CDE-409F-80C1-A125B46465F7}">
      <dgm:prSet phldrT="[Texto]"/>
      <dgm:spPr/>
      <dgm:t>
        <a:bodyPr/>
        <a:lstStyle/>
        <a:p>
          <a:r>
            <a:rPr lang="en-US">
              <a:latin typeface="Arial" panose="020B0604020202020204" pitchFamily="34" charset="0"/>
              <a:cs typeface="Arial" panose="020B0604020202020204" pitchFamily="34" charset="0"/>
            </a:rPr>
            <a:t>Stage 1: Productión of Biochar (Sewage Sludge)</a:t>
          </a:r>
        </a:p>
      </dgm:t>
    </dgm:pt>
    <dgm:pt modelId="{0FDF19CD-F626-4A5A-94CD-2D16FFA41627}" type="parTrans" cxnId="{3E86B621-5487-4710-9EE1-92AE37ABDC57}">
      <dgm:prSet/>
      <dgm:spPr/>
      <dgm:t>
        <a:bodyPr/>
        <a:lstStyle/>
        <a:p>
          <a:endParaRPr lang="en-US">
            <a:latin typeface="Arial" panose="020B0604020202020204" pitchFamily="34" charset="0"/>
            <a:cs typeface="Arial" panose="020B0604020202020204" pitchFamily="34" charset="0"/>
          </a:endParaRPr>
        </a:p>
      </dgm:t>
    </dgm:pt>
    <dgm:pt modelId="{93D24710-5908-4C5D-A575-482961CA237A}" type="sibTrans" cxnId="{3E86B621-5487-4710-9EE1-92AE37ABDC57}">
      <dgm:prSet/>
      <dgm:spPr/>
      <dgm:t>
        <a:bodyPr/>
        <a:lstStyle/>
        <a:p>
          <a:endParaRPr lang="en-US">
            <a:latin typeface="Arial" panose="020B0604020202020204" pitchFamily="34" charset="0"/>
            <a:cs typeface="Arial" panose="020B0604020202020204" pitchFamily="34" charset="0"/>
          </a:endParaRPr>
        </a:p>
      </dgm:t>
    </dgm:pt>
    <dgm:pt modelId="{3B8CDB8A-8BB3-4842-B793-48398519F550}">
      <dgm:prSet phldrT="[Texto]"/>
      <dgm:spPr/>
      <dgm:t>
        <a:bodyPr/>
        <a:lstStyle/>
        <a:p>
          <a:r>
            <a:rPr lang="en-US">
              <a:latin typeface="Arial" panose="020B0604020202020204" pitchFamily="34" charset="0"/>
              <a:cs typeface="Arial" panose="020B0604020202020204" pitchFamily="34" charset="0"/>
            </a:rPr>
            <a:t>Stage 2: Soil Sampling</a:t>
          </a:r>
        </a:p>
      </dgm:t>
    </dgm:pt>
    <dgm:pt modelId="{32D6FA32-2DD1-41E1-8563-8648E0D39067}" type="parTrans" cxnId="{2D0017F7-F72E-47CE-B2EA-0735694C5BCB}">
      <dgm:prSet/>
      <dgm:spPr/>
      <dgm:t>
        <a:bodyPr/>
        <a:lstStyle/>
        <a:p>
          <a:endParaRPr lang="en-US">
            <a:latin typeface="Arial" panose="020B0604020202020204" pitchFamily="34" charset="0"/>
            <a:cs typeface="Arial" panose="020B0604020202020204" pitchFamily="34" charset="0"/>
          </a:endParaRPr>
        </a:p>
      </dgm:t>
    </dgm:pt>
    <dgm:pt modelId="{3D698E26-2520-4C8A-9993-AFEA350E594E}" type="sibTrans" cxnId="{2D0017F7-F72E-47CE-B2EA-0735694C5BCB}">
      <dgm:prSet/>
      <dgm:spPr/>
      <dgm:t>
        <a:bodyPr/>
        <a:lstStyle/>
        <a:p>
          <a:endParaRPr lang="en-US">
            <a:latin typeface="Arial" panose="020B0604020202020204" pitchFamily="34" charset="0"/>
            <a:cs typeface="Arial" panose="020B0604020202020204" pitchFamily="34" charset="0"/>
          </a:endParaRPr>
        </a:p>
      </dgm:t>
    </dgm:pt>
    <dgm:pt modelId="{F34F8C53-E58B-4A93-ACCA-6CA714489841}">
      <dgm:prSet phldrT="[Texto]"/>
      <dgm:spPr/>
      <dgm:t>
        <a:bodyPr/>
        <a:lstStyle/>
        <a:p>
          <a:r>
            <a:rPr lang="en-US">
              <a:latin typeface="Arial" panose="020B0604020202020204" pitchFamily="34" charset="0"/>
              <a:cs typeface="Arial" panose="020B0604020202020204" pitchFamily="34" charset="0"/>
            </a:rPr>
            <a:t>Stage 3: Soil Remediation Process</a:t>
          </a:r>
        </a:p>
      </dgm:t>
    </dgm:pt>
    <dgm:pt modelId="{074B330C-3530-4D5E-90C2-C2217F036F13}" type="parTrans" cxnId="{D351C2C1-BDCC-4466-9453-4B0C3EB3B56E}">
      <dgm:prSet/>
      <dgm:spPr/>
      <dgm:t>
        <a:bodyPr/>
        <a:lstStyle/>
        <a:p>
          <a:endParaRPr lang="en-US">
            <a:latin typeface="Arial" panose="020B0604020202020204" pitchFamily="34" charset="0"/>
            <a:cs typeface="Arial" panose="020B0604020202020204" pitchFamily="34" charset="0"/>
          </a:endParaRPr>
        </a:p>
      </dgm:t>
    </dgm:pt>
    <dgm:pt modelId="{08231364-9F25-46B8-92AD-9AE0462A7221}" type="sibTrans" cxnId="{D351C2C1-BDCC-4466-9453-4B0C3EB3B56E}">
      <dgm:prSet/>
      <dgm:spPr/>
      <dgm:t>
        <a:bodyPr/>
        <a:lstStyle/>
        <a:p>
          <a:endParaRPr lang="en-US">
            <a:latin typeface="Arial" panose="020B0604020202020204" pitchFamily="34" charset="0"/>
            <a:cs typeface="Arial" panose="020B0604020202020204" pitchFamily="34" charset="0"/>
          </a:endParaRPr>
        </a:p>
      </dgm:t>
    </dgm:pt>
    <dgm:pt modelId="{0DFA6BC1-DA3D-4730-B619-BBFAABB3C18B}">
      <dgm:prSet phldrT="[Texto]"/>
      <dgm:spPr/>
      <dgm:t>
        <a:bodyPr/>
        <a:lstStyle/>
        <a:p>
          <a:r>
            <a:rPr lang="en-US">
              <a:latin typeface="Arial" panose="020B0604020202020204" pitchFamily="34" charset="0"/>
              <a:cs typeface="Arial" panose="020B0604020202020204" pitchFamily="34" charset="0"/>
            </a:rPr>
            <a:t>Stage 4: Sample Analysis</a:t>
          </a:r>
        </a:p>
      </dgm:t>
    </dgm:pt>
    <dgm:pt modelId="{724B4CC9-9657-4717-865C-ECA41C10A21E}" type="parTrans" cxnId="{6F7BCD08-D1F5-4FAE-84C0-56E1735D4BD8}">
      <dgm:prSet/>
      <dgm:spPr/>
      <dgm:t>
        <a:bodyPr/>
        <a:lstStyle/>
        <a:p>
          <a:endParaRPr lang="en-US">
            <a:latin typeface="Arial" panose="020B0604020202020204" pitchFamily="34" charset="0"/>
            <a:cs typeface="Arial" panose="020B0604020202020204" pitchFamily="34" charset="0"/>
          </a:endParaRPr>
        </a:p>
      </dgm:t>
    </dgm:pt>
    <dgm:pt modelId="{E5B6A954-7C46-482B-B793-EE98D98F31E1}" type="sibTrans" cxnId="{6F7BCD08-D1F5-4FAE-84C0-56E1735D4BD8}">
      <dgm:prSet/>
      <dgm:spPr/>
      <dgm:t>
        <a:bodyPr/>
        <a:lstStyle/>
        <a:p>
          <a:endParaRPr lang="en-US">
            <a:latin typeface="Arial" panose="020B0604020202020204" pitchFamily="34" charset="0"/>
            <a:cs typeface="Arial" panose="020B0604020202020204" pitchFamily="34" charset="0"/>
          </a:endParaRPr>
        </a:p>
      </dgm:t>
    </dgm:pt>
    <dgm:pt modelId="{6E820AFF-37F4-488C-A14C-B8BD6D23285F}">
      <dgm:prSet phldrT="[Texto]"/>
      <dgm:spPr/>
      <dgm:t>
        <a:bodyPr/>
        <a:lstStyle/>
        <a:p>
          <a:r>
            <a:rPr lang="en-US">
              <a:latin typeface="Arial" panose="020B0604020202020204" pitchFamily="34" charset="0"/>
              <a:cs typeface="Arial" panose="020B0604020202020204" pitchFamily="34" charset="0"/>
            </a:rPr>
            <a:t>Stage 5: Data Processing</a:t>
          </a:r>
        </a:p>
      </dgm:t>
    </dgm:pt>
    <dgm:pt modelId="{69F9DC74-FD62-4FF7-8C92-2F2670C9155D}" type="parTrans" cxnId="{547FC79B-F834-4E7F-AC76-F5BC37692755}">
      <dgm:prSet/>
      <dgm:spPr/>
      <dgm:t>
        <a:bodyPr/>
        <a:lstStyle/>
        <a:p>
          <a:endParaRPr lang="en-US">
            <a:latin typeface="Arial" panose="020B0604020202020204" pitchFamily="34" charset="0"/>
            <a:cs typeface="Arial" panose="020B0604020202020204" pitchFamily="34" charset="0"/>
          </a:endParaRPr>
        </a:p>
      </dgm:t>
    </dgm:pt>
    <dgm:pt modelId="{23848B5F-4CD4-473C-95DC-20FA3F9E7EBA}" type="sibTrans" cxnId="{547FC79B-F834-4E7F-AC76-F5BC37692755}">
      <dgm:prSet/>
      <dgm:spPr/>
      <dgm:t>
        <a:bodyPr/>
        <a:lstStyle/>
        <a:p>
          <a:endParaRPr lang="en-US">
            <a:latin typeface="Arial" panose="020B0604020202020204" pitchFamily="34" charset="0"/>
            <a:cs typeface="Arial" panose="020B0604020202020204" pitchFamily="34" charset="0"/>
          </a:endParaRPr>
        </a:p>
      </dgm:t>
    </dgm:pt>
    <dgm:pt modelId="{E69940EB-A695-4102-9DB8-78DFF2688617}" type="pres">
      <dgm:prSet presAssocID="{74C6A862-7845-42C1-B7CA-9E68B5C59036}" presName="outerComposite" presStyleCnt="0">
        <dgm:presLayoutVars>
          <dgm:chMax val="5"/>
          <dgm:dir/>
          <dgm:resizeHandles val="exact"/>
        </dgm:presLayoutVars>
      </dgm:prSet>
      <dgm:spPr/>
    </dgm:pt>
    <dgm:pt modelId="{2B3EE4A2-5F96-4CC8-813C-5C2F52832568}" type="pres">
      <dgm:prSet presAssocID="{74C6A862-7845-42C1-B7CA-9E68B5C59036}" presName="dummyMaxCanvas" presStyleCnt="0">
        <dgm:presLayoutVars/>
      </dgm:prSet>
      <dgm:spPr/>
    </dgm:pt>
    <dgm:pt modelId="{A91FB626-A944-4E6E-ABEF-D5DD315C2782}" type="pres">
      <dgm:prSet presAssocID="{74C6A862-7845-42C1-B7CA-9E68B5C59036}" presName="FiveNodes_1" presStyleLbl="node1" presStyleIdx="0" presStyleCnt="5">
        <dgm:presLayoutVars>
          <dgm:bulletEnabled val="1"/>
        </dgm:presLayoutVars>
      </dgm:prSet>
      <dgm:spPr/>
    </dgm:pt>
    <dgm:pt modelId="{17007D06-FB2F-4275-BAA0-8A223CC579E9}" type="pres">
      <dgm:prSet presAssocID="{74C6A862-7845-42C1-B7CA-9E68B5C59036}" presName="FiveNodes_2" presStyleLbl="node1" presStyleIdx="1" presStyleCnt="5">
        <dgm:presLayoutVars>
          <dgm:bulletEnabled val="1"/>
        </dgm:presLayoutVars>
      </dgm:prSet>
      <dgm:spPr/>
    </dgm:pt>
    <dgm:pt modelId="{68696DF0-6D03-482D-B5B1-94657925D7F9}" type="pres">
      <dgm:prSet presAssocID="{74C6A862-7845-42C1-B7CA-9E68B5C59036}" presName="FiveNodes_3" presStyleLbl="node1" presStyleIdx="2" presStyleCnt="5">
        <dgm:presLayoutVars>
          <dgm:bulletEnabled val="1"/>
        </dgm:presLayoutVars>
      </dgm:prSet>
      <dgm:spPr/>
    </dgm:pt>
    <dgm:pt modelId="{0C8F0F73-B0CD-4D1F-91CC-F3F5CDF20CEB}" type="pres">
      <dgm:prSet presAssocID="{74C6A862-7845-42C1-B7CA-9E68B5C59036}" presName="FiveNodes_4" presStyleLbl="node1" presStyleIdx="3" presStyleCnt="5">
        <dgm:presLayoutVars>
          <dgm:bulletEnabled val="1"/>
        </dgm:presLayoutVars>
      </dgm:prSet>
      <dgm:spPr/>
    </dgm:pt>
    <dgm:pt modelId="{1F9F1106-5004-4A81-8F75-F50DA4D52005}" type="pres">
      <dgm:prSet presAssocID="{74C6A862-7845-42C1-B7CA-9E68B5C59036}" presName="FiveNodes_5" presStyleLbl="node1" presStyleIdx="4" presStyleCnt="5">
        <dgm:presLayoutVars>
          <dgm:bulletEnabled val="1"/>
        </dgm:presLayoutVars>
      </dgm:prSet>
      <dgm:spPr/>
    </dgm:pt>
    <dgm:pt modelId="{B51D251B-BFEC-4180-A5CD-E4C87FE6111C}" type="pres">
      <dgm:prSet presAssocID="{74C6A862-7845-42C1-B7CA-9E68B5C59036}" presName="FiveConn_1-2" presStyleLbl="fgAccFollowNode1" presStyleIdx="0" presStyleCnt="4">
        <dgm:presLayoutVars>
          <dgm:bulletEnabled val="1"/>
        </dgm:presLayoutVars>
      </dgm:prSet>
      <dgm:spPr/>
    </dgm:pt>
    <dgm:pt modelId="{699ABFB4-EB23-427D-8D28-AF42D94E82F1}" type="pres">
      <dgm:prSet presAssocID="{74C6A862-7845-42C1-B7CA-9E68B5C59036}" presName="FiveConn_2-3" presStyleLbl="fgAccFollowNode1" presStyleIdx="1" presStyleCnt="4">
        <dgm:presLayoutVars>
          <dgm:bulletEnabled val="1"/>
        </dgm:presLayoutVars>
      </dgm:prSet>
      <dgm:spPr/>
    </dgm:pt>
    <dgm:pt modelId="{8474E8C3-68DD-4C00-8E41-3D3A52BBA357}" type="pres">
      <dgm:prSet presAssocID="{74C6A862-7845-42C1-B7CA-9E68B5C59036}" presName="FiveConn_3-4" presStyleLbl="fgAccFollowNode1" presStyleIdx="2" presStyleCnt="4">
        <dgm:presLayoutVars>
          <dgm:bulletEnabled val="1"/>
        </dgm:presLayoutVars>
      </dgm:prSet>
      <dgm:spPr/>
    </dgm:pt>
    <dgm:pt modelId="{A2BC5B48-9594-47FD-B928-ED587773A523}" type="pres">
      <dgm:prSet presAssocID="{74C6A862-7845-42C1-B7CA-9E68B5C59036}" presName="FiveConn_4-5" presStyleLbl="fgAccFollowNode1" presStyleIdx="3" presStyleCnt="4">
        <dgm:presLayoutVars>
          <dgm:bulletEnabled val="1"/>
        </dgm:presLayoutVars>
      </dgm:prSet>
      <dgm:spPr/>
    </dgm:pt>
    <dgm:pt modelId="{A22EC9A4-0240-4FFA-B4D7-DF32C77934AE}" type="pres">
      <dgm:prSet presAssocID="{74C6A862-7845-42C1-B7CA-9E68B5C59036}" presName="FiveNodes_1_text" presStyleLbl="node1" presStyleIdx="4" presStyleCnt="5">
        <dgm:presLayoutVars>
          <dgm:bulletEnabled val="1"/>
        </dgm:presLayoutVars>
      </dgm:prSet>
      <dgm:spPr/>
    </dgm:pt>
    <dgm:pt modelId="{0BE841CD-87EE-4CF5-A05F-509585172875}" type="pres">
      <dgm:prSet presAssocID="{74C6A862-7845-42C1-B7CA-9E68B5C59036}" presName="FiveNodes_2_text" presStyleLbl="node1" presStyleIdx="4" presStyleCnt="5">
        <dgm:presLayoutVars>
          <dgm:bulletEnabled val="1"/>
        </dgm:presLayoutVars>
      </dgm:prSet>
      <dgm:spPr/>
    </dgm:pt>
    <dgm:pt modelId="{2BBDEC2D-E8CD-4108-812A-9F1CEECFA2D6}" type="pres">
      <dgm:prSet presAssocID="{74C6A862-7845-42C1-B7CA-9E68B5C59036}" presName="FiveNodes_3_text" presStyleLbl="node1" presStyleIdx="4" presStyleCnt="5">
        <dgm:presLayoutVars>
          <dgm:bulletEnabled val="1"/>
        </dgm:presLayoutVars>
      </dgm:prSet>
      <dgm:spPr/>
    </dgm:pt>
    <dgm:pt modelId="{CD838417-7269-4599-A30C-BE3BED3322AB}" type="pres">
      <dgm:prSet presAssocID="{74C6A862-7845-42C1-B7CA-9E68B5C59036}" presName="FiveNodes_4_text" presStyleLbl="node1" presStyleIdx="4" presStyleCnt="5">
        <dgm:presLayoutVars>
          <dgm:bulletEnabled val="1"/>
        </dgm:presLayoutVars>
      </dgm:prSet>
      <dgm:spPr/>
    </dgm:pt>
    <dgm:pt modelId="{A9FDBA9F-57B3-4B32-B9D2-4FA94AEBE3EB}" type="pres">
      <dgm:prSet presAssocID="{74C6A862-7845-42C1-B7CA-9E68B5C59036}" presName="FiveNodes_5_text" presStyleLbl="node1" presStyleIdx="4" presStyleCnt="5">
        <dgm:presLayoutVars>
          <dgm:bulletEnabled val="1"/>
        </dgm:presLayoutVars>
      </dgm:prSet>
      <dgm:spPr/>
    </dgm:pt>
  </dgm:ptLst>
  <dgm:cxnLst>
    <dgm:cxn modelId="{66AAF204-5AC8-413F-AE8A-D2932BED02A3}" type="presOf" srcId="{0DFA6BC1-DA3D-4730-B619-BBFAABB3C18B}" destId="{CD838417-7269-4599-A30C-BE3BED3322AB}" srcOrd="1" destOrd="0" presId="urn:microsoft.com/office/officeart/2005/8/layout/vProcess5"/>
    <dgm:cxn modelId="{6F7BCD08-D1F5-4FAE-84C0-56E1735D4BD8}" srcId="{74C6A862-7845-42C1-B7CA-9E68B5C59036}" destId="{0DFA6BC1-DA3D-4730-B619-BBFAABB3C18B}" srcOrd="3" destOrd="0" parTransId="{724B4CC9-9657-4717-865C-ECA41C10A21E}" sibTransId="{E5B6A954-7C46-482B-B793-EE98D98F31E1}"/>
    <dgm:cxn modelId="{425BD510-7B24-485E-A29E-E671C541159F}" type="presOf" srcId="{93D24710-5908-4C5D-A575-482961CA237A}" destId="{B51D251B-BFEC-4180-A5CD-E4C87FE6111C}" srcOrd="0" destOrd="0" presId="urn:microsoft.com/office/officeart/2005/8/layout/vProcess5"/>
    <dgm:cxn modelId="{3E86B621-5487-4710-9EE1-92AE37ABDC57}" srcId="{74C6A862-7845-42C1-B7CA-9E68B5C59036}" destId="{0A8CA030-0CDE-409F-80C1-A125B46465F7}" srcOrd="0" destOrd="0" parTransId="{0FDF19CD-F626-4A5A-94CD-2D16FFA41627}" sibTransId="{93D24710-5908-4C5D-A575-482961CA237A}"/>
    <dgm:cxn modelId="{85F0F65D-BA58-47CA-BBB3-2FC27A74621F}" type="presOf" srcId="{0A8CA030-0CDE-409F-80C1-A125B46465F7}" destId="{A22EC9A4-0240-4FFA-B4D7-DF32C77934AE}" srcOrd="1" destOrd="0" presId="urn:microsoft.com/office/officeart/2005/8/layout/vProcess5"/>
    <dgm:cxn modelId="{74EE9D72-55FB-414F-B3A6-2A3C7895FE4B}" type="presOf" srcId="{08231364-9F25-46B8-92AD-9AE0462A7221}" destId="{8474E8C3-68DD-4C00-8E41-3D3A52BBA357}" srcOrd="0" destOrd="0" presId="urn:microsoft.com/office/officeart/2005/8/layout/vProcess5"/>
    <dgm:cxn modelId="{C88DD586-385E-407A-9883-3C6B61A4AF48}" type="presOf" srcId="{3B8CDB8A-8BB3-4842-B793-48398519F550}" destId="{0BE841CD-87EE-4CF5-A05F-509585172875}" srcOrd="1" destOrd="0" presId="urn:microsoft.com/office/officeart/2005/8/layout/vProcess5"/>
    <dgm:cxn modelId="{FAAEC487-735B-42B4-A76C-8AF27836C9E1}" type="presOf" srcId="{F34F8C53-E58B-4A93-ACCA-6CA714489841}" destId="{68696DF0-6D03-482D-B5B1-94657925D7F9}" srcOrd="0" destOrd="0" presId="urn:microsoft.com/office/officeart/2005/8/layout/vProcess5"/>
    <dgm:cxn modelId="{2EBD2696-0823-4E14-B2F5-B3EB0697F28B}" type="presOf" srcId="{6E820AFF-37F4-488C-A14C-B8BD6D23285F}" destId="{1F9F1106-5004-4A81-8F75-F50DA4D52005}" srcOrd="0" destOrd="0" presId="urn:microsoft.com/office/officeart/2005/8/layout/vProcess5"/>
    <dgm:cxn modelId="{86D91899-D5E4-491B-96D0-742796763E9E}" type="presOf" srcId="{E5B6A954-7C46-482B-B793-EE98D98F31E1}" destId="{A2BC5B48-9594-47FD-B928-ED587773A523}" srcOrd="0" destOrd="0" presId="urn:microsoft.com/office/officeart/2005/8/layout/vProcess5"/>
    <dgm:cxn modelId="{547FC79B-F834-4E7F-AC76-F5BC37692755}" srcId="{74C6A862-7845-42C1-B7CA-9E68B5C59036}" destId="{6E820AFF-37F4-488C-A14C-B8BD6D23285F}" srcOrd="4" destOrd="0" parTransId="{69F9DC74-FD62-4FF7-8C92-2F2670C9155D}" sibTransId="{23848B5F-4CD4-473C-95DC-20FA3F9E7EBA}"/>
    <dgm:cxn modelId="{ACDDABA5-DA10-446E-BC72-F5F7141D9D2F}" type="presOf" srcId="{0DFA6BC1-DA3D-4730-B619-BBFAABB3C18B}" destId="{0C8F0F73-B0CD-4D1F-91CC-F3F5CDF20CEB}" srcOrd="0" destOrd="0" presId="urn:microsoft.com/office/officeart/2005/8/layout/vProcess5"/>
    <dgm:cxn modelId="{BB49DDA7-070D-4852-9739-297825576FD0}" type="presOf" srcId="{0A8CA030-0CDE-409F-80C1-A125B46465F7}" destId="{A91FB626-A944-4E6E-ABEF-D5DD315C2782}" srcOrd="0" destOrd="0" presId="urn:microsoft.com/office/officeart/2005/8/layout/vProcess5"/>
    <dgm:cxn modelId="{D351C2C1-BDCC-4466-9453-4B0C3EB3B56E}" srcId="{74C6A862-7845-42C1-B7CA-9E68B5C59036}" destId="{F34F8C53-E58B-4A93-ACCA-6CA714489841}" srcOrd="2" destOrd="0" parTransId="{074B330C-3530-4D5E-90C2-C2217F036F13}" sibTransId="{08231364-9F25-46B8-92AD-9AE0462A7221}"/>
    <dgm:cxn modelId="{CC87C8CF-3BCE-4230-8E79-0092567B5F0A}" type="presOf" srcId="{F34F8C53-E58B-4A93-ACCA-6CA714489841}" destId="{2BBDEC2D-E8CD-4108-812A-9F1CEECFA2D6}" srcOrd="1" destOrd="0" presId="urn:microsoft.com/office/officeart/2005/8/layout/vProcess5"/>
    <dgm:cxn modelId="{9EAE99DB-D3E2-49EF-AE7E-C5911163C871}" type="presOf" srcId="{74C6A862-7845-42C1-B7CA-9E68B5C59036}" destId="{E69940EB-A695-4102-9DB8-78DFF2688617}" srcOrd="0" destOrd="0" presId="urn:microsoft.com/office/officeart/2005/8/layout/vProcess5"/>
    <dgm:cxn modelId="{D655AFDF-8BAC-4314-A572-70C445EB4EE7}" type="presOf" srcId="{3B8CDB8A-8BB3-4842-B793-48398519F550}" destId="{17007D06-FB2F-4275-BAA0-8A223CC579E9}" srcOrd="0" destOrd="0" presId="urn:microsoft.com/office/officeart/2005/8/layout/vProcess5"/>
    <dgm:cxn modelId="{1AB383E4-EF29-4718-BCA2-0C60D8E422C3}" type="presOf" srcId="{6E820AFF-37F4-488C-A14C-B8BD6D23285F}" destId="{A9FDBA9F-57B3-4B32-B9D2-4FA94AEBE3EB}" srcOrd="1" destOrd="0" presId="urn:microsoft.com/office/officeart/2005/8/layout/vProcess5"/>
    <dgm:cxn modelId="{367692F5-4CDE-45D4-9986-C302ED064E6F}" type="presOf" srcId="{3D698E26-2520-4C8A-9993-AFEA350E594E}" destId="{699ABFB4-EB23-427D-8D28-AF42D94E82F1}" srcOrd="0" destOrd="0" presId="urn:microsoft.com/office/officeart/2005/8/layout/vProcess5"/>
    <dgm:cxn modelId="{2D0017F7-F72E-47CE-B2EA-0735694C5BCB}" srcId="{74C6A862-7845-42C1-B7CA-9E68B5C59036}" destId="{3B8CDB8A-8BB3-4842-B793-48398519F550}" srcOrd="1" destOrd="0" parTransId="{32D6FA32-2DD1-41E1-8563-8648E0D39067}" sibTransId="{3D698E26-2520-4C8A-9993-AFEA350E594E}"/>
    <dgm:cxn modelId="{2B9F145C-0813-48B6-A1F0-17F5BCC157D7}" type="presParOf" srcId="{E69940EB-A695-4102-9DB8-78DFF2688617}" destId="{2B3EE4A2-5F96-4CC8-813C-5C2F52832568}" srcOrd="0" destOrd="0" presId="urn:microsoft.com/office/officeart/2005/8/layout/vProcess5"/>
    <dgm:cxn modelId="{AE8AC988-86B3-4741-8B6A-635147200141}" type="presParOf" srcId="{E69940EB-A695-4102-9DB8-78DFF2688617}" destId="{A91FB626-A944-4E6E-ABEF-D5DD315C2782}" srcOrd="1" destOrd="0" presId="urn:microsoft.com/office/officeart/2005/8/layout/vProcess5"/>
    <dgm:cxn modelId="{5B30B178-C1EC-4990-BE55-CC8667468463}" type="presParOf" srcId="{E69940EB-A695-4102-9DB8-78DFF2688617}" destId="{17007D06-FB2F-4275-BAA0-8A223CC579E9}" srcOrd="2" destOrd="0" presId="urn:microsoft.com/office/officeart/2005/8/layout/vProcess5"/>
    <dgm:cxn modelId="{3B3EA3FF-A866-47AB-B41B-90B4978261BD}" type="presParOf" srcId="{E69940EB-A695-4102-9DB8-78DFF2688617}" destId="{68696DF0-6D03-482D-B5B1-94657925D7F9}" srcOrd="3" destOrd="0" presId="urn:microsoft.com/office/officeart/2005/8/layout/vProcess5"/>
    <dgm:cxn modelId="{34A7BA70-F44A-4D86-AC68-0DA5B4518372}" type="presParOf" srcId="{E69940EB-A695-4102-9DB8-78DFF2688617}" destId="{0C8F0F73-B0CD-4D1F-91CC-F3F5CDF20CEB}" srcOrd="4" destOrd="0" presId="urn:microsoft.com/office/officeart/2005/8/layout/vProcess5"/>
    <dgm:cxn modelId="{3D72A178-8253-4ED7-A1B2-B8FE0509522E}" type="presParOf" srcId="{E69940EB-A695-4102-9DB8-78DFF2688617}" destId="{1F9F1106-5004-4A81-8F75-F50DA4D52005}" srcOrd="5" destOrd="0" presId="urn:microsoft.com/office/officeart/2005/8/layout/vProcess5"/>
    <dgm:cxn modelId="{3F4C5450-2D7A-4B29-9527-3CAADCCA4922}" type="presParOf" srcId="{E69940EB-A695-4102-9DB8-78DFF2688617}" destId="{B51D251B-BFEC-4180-A5CD-E4C87FE6111C}" srcOrd="6" destOrd="0" presId="urn:microsoft.com/office/officeart/2005/8/layout/vProcess5"/>
    <dgm:cxn modelId="{B7825447-FFAB-4AE9-A6A4-2E1C5362CC9A}" type="presParOf" srcId="{E69940EB-A695-4102-9DB8-78DFF2688617}" destId="{699ABFB4-EB23-427D-8D28-AF42D94E82F1}" srcOrd="7" destOrd="0" presId="urn:microsoft.com/office/officeart/2005/8/layout/vProcess5"/>
    <dgm:cxn modelId="{B4015EB0-AF40-4AA7-A0C1-F9BEF100662F}" type="presParOf" srcId="{E69940EB-A695-4102-9DB8-78DFF2688617}" destId="{8474E8C3-68DD-4C00-8E41-3D3A52BBA357}" srcOrd="8" destOrd="0" presId="urn:microsoft.com/office/officeart/2005/8/layout/vProcess5"/>
    <dgm:cxn modelId="{EC0E01C6-8B72-4B5B-820E-100A8C6844D8}" type="presParOf" srcId="{E69940EB-A695-4102-9DB8-78DFF2688617}" destId="{A2BC5B48-9594-47FD-B928-ED587773A523}" srcOrd="9" destOrd="0" presId="urn:microsoft.com/office/officeart/2005/8/layout/vProcess5"/>
    <dgm:cxn modelId="{E07A4642-BB19-400F-9647-C006E11A1E40}" type="presParOf" srcId="{E69940EB-A695-4102-9DB8-78DFF2688617}" destId="{A22EC9A4-0240-4FFA-B4D7-DF32C77934AE}" srcOrd="10" destOrd="0" presId="urn:microsoft.com/office/officeart/2005/8/layout/vProcess5"/>
    <dgm:cxn modelId="{606F0413-2BB0-492B-817F-11FA92391C9D}" type="presParOf" srcId="{E69940EB-A695-4102-9DB8-78DFF2688617}" destId="{0BE841CD-87EE-4CF5-A05F-509585172875}" srcOrd="11" destOrd="0" presId="urn:microsoft.com/office/officeart/2005/8/layout/vProcess5"/>
    <dgm:cxn modelId="{5FB6858D-6BD4-43AF-BFE7-62594E218715}" type="presParOf" srcId="{E69940EB-A695-4102-9DB8-78DFF2688617}" destId="{2BBDEC2D-E8CD-4108-812A-9F1CEECFA2D6}" srcOrd="12" destOrd="0" presId="urn:microsoft.com/office/officeart/2005/8/layout/vProcess5"/>
    <dgm:cxn modelId="{3DD06963-5B1E-49B7-95F1-92BF4B2FA8FA}" type="presParOf" srcId="{E69940EB-A695-4102-9DB8-78DFF2688617}" destId="{CD838417-7269-4599-A30C-BE3BED3322AB}" srcOrd="13" destOrd="0" presId="urn:microsoft.com/office/officeart/2005/8/layout/vProcess5"/>
    <dgm:cxn modelId="{A513481B-4E3A-470A-B837-C0779A4E94B7}" type="presParOf" srcId="{E69940EB-A695-4102-9DB8-78DFF2688617}" destId="{A9FDBA9F-57B3-4B32-B9D2-4FA94AEBE3EB}"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FB626-A944-4E6E-ABEF-D5DD315C2782}">
      <dsp:nvSpPr>
        <dsp:cNvPr id="0" name=""/>
        <dsp:cNvSpPr/>
      </dsp:nvSpPr>
      <dsp:spPr>
        <a:xfrm>
          <a:off x="0" y="0"/>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1: Productión of Biochar (Sewage Sludge)</a:t>
          </a:r>
        </a:p>
      </dsp:txBody>
      <dsp:txXfrm>
        <a:off x="14462" y="14462"/>
        <a:ext cx="2032133" cy="464852"/>
      </dsp:txXfrm>
    </dsp:sp>
    <dsp:sp modelId="{17007D06-FB2F-4275-BAA0-8A223CC579E9}">
      <dsp:nvSpPr>
        <dsp:cNvPr id="0" name=""/>
        <dsp:cNvSpPr/>
      </dsp:nvSpPr>
      <dsp:spPr>
        <a:xfrm>
          <a:off x="195853" y="562356"/>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2: Soil Sampling</a:t>
          </a:r>
        </a:p>
      </dsp:txBody>
      <dsp:txXfrm>
        <a:off x="210315" y="576818"/>
        <a:ext cx="2076996" cy="464852"/>
      </dsp:txXfrm>
    </dsp:sp>
    <dsp:sp modelId="{68696DF0-6D03-482D-B5B1-94657925D7F9}">
      <dsp:nvSpPr>
        <dsp:cNvPr id="0" name=""/>
        <dsp:cNvSpPr/>
      </dsp:nvSpPr>
      <dsp:spPr>
        <a:xfrm>
          <a:off x="391706" y="1124712"/>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3: Soil Remediation Process</a:t>
          </a:r>
        </a:p>
      </dsp:txBody>
      <dsp:txXfrm>
        <a:off x="406168" y="1139174"/>
        <a:ext cx="2076996" cy="464852"/>
      </dsp:txXfrm>
    </dsp:sp>
    <dsp:sp modelId="{0C8F0F73-B0CD-4D1F-91CC-F3F5CDF20CEB}">
      <dsp:nvSpPr>
        <dsp:cNvPr id="0" name=""/>
        <dsp:cNvSpPr/>
      </dsp:nvSpPr>
      <dsp:spPr>
        <a:xfrm>
          <a:off x="587559" y="1687068"/>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4: Sample Analysis</a:t>
          </a:r>
        </a:p>
      </dsp:txBody>
      <dsp:txXfrm>
        <a:off x="602021" y="1701530"/>
        <a:ext cx="2076996" cy="464852"/>
      </dsp:txXfrm>
    </dsp:sp>
    <dsp:sp modelId="{1F9F1106-5004-4A81-8F75-F50DA4D52005}">
      <dsp:nvSpPr>
        <dsp:cNvPr id="0" name=""/>
        <dsp:cNvSpPr/>
      </dsp:nvSpPr>
      <dsp:spPr>
        <a:xfrm>
          <a:off x="783412" y="2249424"/>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5: Data Processing</a:t>
          </a:r>
        </a:p>
      </dsp:txBody>
      <dsp:txXfrm>
        <a:off x="797874" y="2263886"/>
        <a:ext cx="2076996" cy="464852"/>
      </dsp:txXfrm>
    </dsp:sp>
    <dsp:sp modelId="{B51D251B-BFEC-4180-A5CD-E4C87FE6111C}">
      <dsp:nvSpPr>
        <dsp:cNvPr id="0" name=""/>
        <dsp:cNvSpPr/>
      </dsp:nvSpPr>
      <dsp:spPr>
        <a:xfrm>
          <a:off x="2301773" y="360730"/>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373988" y="360730"/>
        <a:ext cx="176524" cy="241518"/>
      </dsp:txXfrm>
    </dsp:sp>
    <dsp:sp modelId="{699ABFB4-EB23-427D-8D28-AF42D94E82F1}">
      <dsp:nvSpPr>
        <dsp:cNvPr id="0" name=""/>
        <dsp:cNvSpPr/>
      </dsp:nvSpPr>
      <dsp:spPr>
        <a:xfrm>
          <a:off x="2497626" y="923086"/>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569841" y="923086"/>
        <a:ext cx="176524" cy="241518"/>
      </dsp:txXfrm>
    </dsp:sp>
    <dsp:sp modelId="{8474E8C3-68DD-4C00-8E41-3D3A52BBA357}">
      <dsp:nvSpPr>
        <dsp:cNvPr id="0" name=""/>
        <dsp:cNvSpPr/>
      </dsp:nvSpPr>
      <dsp:spPr>
        <a:xfrm>
          <a:off x="2693479" y="1477213"/>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765694" y="1477213"/>
        <a:ext cx="176524" cy="241518"/>
      </dsp:txXfrm>
    </dsp:sp>
    <dsp:sp modelId="{A2BC5B48-9594-47FD-B928-ED587773A523}">
      <dsp:nvSpPr>
        <dsp:cNvPr id="0" name=""/>
        <dsp:cNvSpPr/>
      </dsp:nvSpPr>
      <dsp:spPr>
        <a:xfrm>
          <a:off x="2889332" y="2045055"/>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961547" y="2045055"/>
        <a:ext cx="176524" cy="24151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F36CC-2D6B-4815-AD6E-F32C5EFF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9818</Words>
  <Characters>55963</Characters>
  <Application>Microsoft Office Word</Application>
  <DocSecurity>0</DocSecurity>
  <Lines>466</Lines>
  <Paragraphs>131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Gaia Alessandra</cp:lastModifiedBy>
  <cp:revision>78</cp:revision>
  <cp:lastPrinted>2015-05-12T18:31:00Z</cp:lastPrinted>
  <dcterms:created xsi:type="dcterms:W3CDTF">2025-01-15T01:37:00Z</dcterms:created>
  <dcterms:modified xsi:type="dcterms:W3CDTF">2025-05-10T12:13:00Z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373126340dd469f58d56b7f3780510112ffb796c1ba9df95974e3bcf2fa8dcb6</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http://csl.mendeley.com/styles/585916951/iso690-author-date-es</vt:lpwstr>
  </property>
  <property fmtid="{D5CDD505-2E9C-101B-9397-08002B2CF9AE}" pid="18" name="Mendeley Recent Style Name 6_1">
    <vt:lpwstr>ISO-690 (author-date, Español) - Danny Alonso Lizarzaburu Aguinaga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61f0b6cd-5922-3bfb-b0eb-32c792f8a075</vt:lpwstr>
  </property>
  <property fmtid="{D5CDD505-2E9C-101B-9397-08002B2CF9AE}" pid="27" name="Mendeley Citation Style_1">
    <vt:lpwstr>http://www.zotero.org/styles/apa</vt:lpwstr>
  </property>
</Properties>
</file>