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AB1957">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AB1957">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AB1957">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5595B2A4" w14:textId="74DF189C" w:rsidR="00AB1957" w:rsidRPr="00B57B36" w:rsidRDefault="00AB1957" w:rsidP="00AB1957">
      <w:pPr>
        <w:pStyle w:val="CETTitle"/>
      </w:pPr>
      <w:r>
        <w:t xml:space="preserve">Applying the Clausius Equation of State to </w:t>
      </w:r>
      <w:r w:rsidR="006447E3">
        <w:t>M</w:t>
      </w:r>
      <w:r>
        <w:t>odel the P-V-T Behaviour of Quantum Helium-4</w:t>
      </w:r>
    </w:p>
    <w:p w14:paraId="49D1F875" w14:textId="77777777" w:rsidR="00AB1957" w:rsidRPr="00CF4018" w:rsidRDefault="00AB1957" w:rsidP="00AB1957">
      <w:pPr>
        <w:pStyle w:val="CETAuthors"/>
        <w:rPr>
          <w:lang w:val="es-MX"/>
        </w:rPr>
      </w:pPr>
      <w:r w:rsidRPr="00CF4018">
        <w:rPr>
          <w:lang w:val="es-MX"/>
        </w:rPr>
        <w:t>Valeria Alejandra Villegas-Peña</w:t>
      </w:r>
      <w:bookmarkStart w:id="1" w:name="_Hlk125973596"/>
      <w:r w:rsidRPr="00CF4018">
        <w:rPr>
          <w:vertAlign w:val="superscript"/>
          <w:lang w:val="es-MX"/>
        </w:rPr>
        <w:t>a</w:t>
      </w:r>
      <w:bookmarkEnd w:id="1"/>
      <w:r w:rsidRPr="00CF4018">
        <w:rPr>
          <w:lang w:val="es-MX"/>
        </w:rPr>
        <w:t>, Ricardo Macías-Salinas</w:t>
      </w:r>
      <w:r w:rsidRPr="00CF4018">
        <w:rPr>
          <w:vertAlign w:val="superscript"/>
          <w:lang w:val="es-MX"/>
        </w:rPr>
        <w:t>b,*</w:t>
      </w:r>
    </w:p>
    <w:p w14:paraId="4BFF5D54" w14:textId="77777777" w:rsidR="00AB1957" w:rsidRPr="00CF4018" w:rsidRDefault="00AB1957" w:rsidP="00AB1957">
      <w:pPr>
        <w:pStyle w:val="CETAddress"/>
        <w:rPr>
          <w:lang w:val="es-MX"/>
        </w:rPr>
      </w:pPr>
      <w:r w:rsidRPr="00CF4018">
        <w:rPr>
          <w:lang w:val="es-MX"/>
        </w:rPr>
        <w:t xml:space="preserve">ESIQIE-Departamento de Ingeniería Química, Instituto Politécnico </w:t>
      </w:r>
      <w:r>
        <w:rPr>
          <w:lang w:val="es-MX"/>
        </w:rPr>
        <w:t>Nacional, Zacatenco, México, D.F. 07738</w:t>
      </w:r>
    </w:p>
    <w:p w14:paraId="1EAC41D3" w14:textId="77777777" w:rsidR="00AB1957" w:rsidRPr="000D605D" w:rsidRDefault="00AB1957" w:rsidP="00AB1957">
      <w:pPr>
        <w:pStyle w:val="CETemail"/>
        <w:rPr>
          <w:lang w:val="en-US"/>
        </w:rPr>
      </w:pPr>
      <w:r w:rsidRPr="000D605D">
        <w:rPr>
          <w:lang w:val="en-US"/>
        </w:rPr>
        <w:t>*rms@ipn.mx</w:t>
      </w:r>
    </w:p>
    <w:p w14:paraId="16D5EF0C" w14:textId="38D12EA6" w:rsidR="00AB1957" w:rsidRDefault="00AB1957" w:rsidP="00AB1957">
      <w:pPr>
        <w:pStyle w:val="CETBodytext"/>
        <w:rPr>
          <w:lang w:val="en-GB"/>
        </w:rPr>
      </w:pPr>
      <w:r w:rsidRPr="00F87122">
        <w:rPr>
          <w:lang w:val="en-GB"/>
        </w:rPr>
        <w:t xml:space="preserve">The </w:t>
      </w:r>
      <w:r>
        <w:rPr>
          <w:lang w:val="en-GB"/>
        </w:rPr>
        <w:t>present study focuses</w:t>
      </w:r>
      <w:r w:rsidRPr="00F87122">
        <w:rPr>
          <w:lang w:val="en-GB"/>
        </w:rPr>
        <w:t xml:space="preserve"> on the application of the Clausius cubic state equation (</w:t>
      </w:r>
      <w:proofErr w:type="spellStart"/>
      <w:r w:rsidRPr="00F87122">
        <w:rPr>
          <w:lang w:val="en-GB"/>
        </w:rPr>
        <w:t>CEoS</w:t>
      </w:r>
      <w:proofErr w:type="spellEnd"/>
      <w:r w:rsidRPr="00F87122">
        <w:rPr>
          <w:lang w:val="en-GB"/>
        </w:rPr>
        <w:t>) to accurately</w:t>
      </w:r>
      <w:r>
        <w:rPr>
          <w:lang w:val="en-GB"/>
        </w:rPr>
        <w:t xml:space="preserve"> </w:t>
      </w:r>
      <w:r w:rsidRPr="00F87122">
        <w:rPr>
          <w:lang w:val="en-GB"/>
        </w:rPr>
        <w:t xml:space="preserve">represent the Pressure-Volume-Temperature (PVT) </w:t>
      </w:r>
      <w:r w:rsidR="007B6980" w:rsidRPr="00F87122">
        <w:rPr>
          <w:lang w:val="en-GB"/>
        </w:rPr>
        <w:t>behaviour</w:t>
      </w:r>
      <w:r w:rsidRPr="00F87122">
        <w:rPr>
          <w:lang w:val="en-GB"/>
        </w:rPr>
        <w:t xml:space="preserve"> of quantum Helium-4. </w:t>
      </w:r>
      <w:r>
        <w:rPr>
          <w:lang w:val="en-GB"/>
        </w:rPr>
        <w:t>T</w:t>
      </w:r>
      <w:r w:rsidRPr="00F87122">
        <w:rPr>
          <w:lang w:val="en-GB"/>
        </w:rPr>
        <w:t>he</w:t>
      </w:r>
      <w:r>
        <w:rPr>
          <w:lang w:val="en-GB"/>
        </w:rPr>
        <w:t xml:space="preserve"> </w:t>
      </w:r>
      <w:r w:rsidRPr="00F87122">
        <w:rPr>
          <w:lang w:val="en-GB"/>
        </w:rPr>
        <w:t>Clausius</w:t>
      </w:r>
      <w:r>
        <w:rPr>
          <w:lang w:val="en-GB"/>
        </w:rPr>
        <w:t xml:space="preserve"> </w:t>
      </w:r>
      <w:proofErr w:type="spellStart"/>
      <w:r w:rsidRPr="00F87122">
        <w:rPr>
          <w:lang w:val="en-GB"/>
        </w:rPr>
        <w:t>CEoS</w:t>
      </w:r>
      <w:proofErr w:type="spellEnd"/>
      <w:r w:rsidRPr="00F87122">
        <w:rPr>
          <w:lang w:val="en-GB"/>
        </w:rPr>
        <w:t xml:space="preserve"> </w:t>
      </w:r>
      <w:r w:rsidRPr="00B20C3F">
        <w:rPr>
          <w:lang w:val="en-GB"/>
        </w:rPr>
        <w:t>was chosen as it is among the few</w:t>
      </w:r>
      <w:r>
        <w:rPr>
          <w:lang w:val="en-GB"/>
        </w:rPr>
        <w:t xml:space="preserve"> </w:t>
      </w:r>
      <w:r w:rsidRPr="00F87122">
        <w:rPr>
          <w:lang w:val="en-GB"/>
        </w:rPr>
        <w:t xml:space="preserve">PVT expressions </w:t>
      </w:r>
      <w:r>
        <w:rPr>
          <w:lang w:val="en-GB"/>
        </w:rPr>
        <w:t>capable of performing well</w:t>
      </w:r>
      <w:r w:rsidRPr="00F87122">
        <w:rPr>
          <w:lang w:val="en-GB"/>
        </w:rPr>
        <w:t xml:space="preserve"> at very low</w:t>
      </w:r>
      <w:r>
        <w:rPr>
          <w:lang w:val="en-GB"/>
        </w:rPr>
        <w:t xml:space="preserve"> </w:t>
      </w:r>
      <w:r w:rsidRPr="00F87122">
        <w:rPr>
          <w:lang w:val="en-GB"/>
        </w:rPr>
        <w:t>temperatures,</w:t>
      </w:r>
      <w:r>
        <w:rPr>
          <w:lang w:val="en-GB"/>
        </w:rPr>
        <w:t xml:space="preserve"> where</w:t>
      </w:r>
      <w:r w:rsidRPr="00F87122">
        <w:rPr>
          <w:lang w:val="en-GB"/>
        </w:rPr>
        <w:t xml:space="preserve"> Helium-4 </w:t>
      </w:r>
      <w:r>
        <w:rPr>
          <w:lang w:val="en-GB"/>
        </w:rPr>
        <w:t>exhibits quantum fluid or superfluid behaviour</w:t>
      </w:r>
      <w:r w:rsidRPr="00F87122">
        <w:rPr>
          <w:lang w:val="en-GB"/>
        </w:rPr>
        <w:t xml:space="preserve">. </w:t>
      </w:r>
      <w:r w:rsidRPr="00AA750A">
        <w:rPr>
          <w:lang w:val="en-GB"/>
        </w:rPr>
        <w:t>To make it more effective</w:t>
      </w:r>
      <w:r w:rsidRPr="00F87122">
        <w:rPr>
          <w:lang w:val="en-GB"/>
        </w:rPr>
        <w:t>, the</w:t>
      </w:r>
      <w:r>
        <w:rPr>
          <w:lang w:val="en-GB"/>
        </w:rPr>
        <w:t xml:space="preserve"> </w:t>
      </w:r>
      <w:r w:rsidRPr="00F87122">
        <w:rPr>
          <w:lang w:val="en-GB"/>
        </w:rPr>
        <w:t xml:space="preserve">Clausius </w:t>
      </w:r>
      <w:proofErr w:type="spellStart"/>
      <w:r w:rsidRPr="00F87122">
        <w:rPr>
          <w:lang w:val="en-GB"/>
        </w:rPr>
        <w:t>CEoS</w:t>
      </w:r>
      <w:proofErr w:type="spellEnd"/>
      <w:r>
        <w:rPr>
          <w:lang w:val="en-GB"/>
        </w:rPr>
        <w:t xml:space="preserve"> was modified</w:t>
      </w:r>
      <w:r w:rsidRPr="00F87122">
        <w:rPr>
          <w:lang w:val="en-GB"/>
        </w:rPr>
        <w:t xml:space="preserve"> by</w:t>
      </w:r>
      <w:r>
        <w:rPr>
          <w:lang w:val="en-GB"/>
        </w:rPr>
        <w:t xml:space="preserve"> </w:t>
      </w:r>
      <w:r w:rsidRPr="00F87122">
        <w:rPr>
          <w:lang w:val="en-GB"/>
        </w:rPr>
        <w:t>introducing a more suitable alpha function</w:t>
      </w:r>
      <w:r>
        <w:rPr>
          <w:lang w:val="en-GB"/>
        </w:rPr>
        <w:t xml:space="preserve"> to better represent </w:t>
      </w:r>
      <w:r w:rsidRPr="00F87122">
        <w:rPr>
          <w:lang w:val="en-GB"/>
        </w:rPr>
        <w:t>the cohesion energy</w:t>
      </w:r>
      <w:r>
        <w:rPr>
          <w:lang w:val="en-GB"/>
        </w:rPr>
        <w:t xml:space="preserve"> </w:t>
      </w:r>
      <w:r w:rsidRPr="00F87122">
        <w:rPr>
          <w:lang w:val="en-GB"/>
        </w:rPr>
        <w:t>between molecules</w:t>
      </w:r>
      <w:r>
        <w:rPr>
          <w:lang w:val="en-GB"/>
        </w:rPr>
        <w:t xml:space="preserve">. Additionally, </w:t>
      </w:r>
      <w:r w:rsidRPr="00F87122">
        <w:rPr>
          <w:lang w:val="en-GB"/>
        </w:rPr>
        <w:t xml:space="preserve">a volume-shifted Clausius </w:t>
      </w:r>
      <w:proofErr w:type="spellStart"/>
      <w:r w:rsidRPr="00F87122">
        <w:rPr>
          <w:lang w:val="en-GB"/>
        </w:rPr>
        <w:t>CEoS</w:t>
      </w:r>
      <w:proofErr w:type="spellEnd"/>
      <w:r>
        <w:rPr>
          <w:lang w:val="en-GB"/>
        </w:rPr>
        <w:t xml:space="preserve"> was considered</w:t>
      </w:r>
      <w:r w:rsidRPr="00F87122">
        <w:rPr>
          <w:lang w:val="en-GB"/>
        </w:rPr>
        <w:t xml:space="preserve"> </w:t>
      </w:r>
      <w:proofErr w:type="gramStart"/>
      <w:r w:rsidRPr="00F87122">
        <w:rPr>
          <w:lang w:val="en-GB"/>
        </w:rPr>
        <w:t>in an</w:t>
      </w:r>
      <w:r>
        <w:rPr>
          <w:lang w:val="en-GB"/>
        </w:rPr>
        <w:t xml:space="preserve"> </w:t>
      </w:r>
      <w:r w:rsidRPr="00F87122">
        <w:rPr>
          <w:lang w:val="en-GB"/>
        </w:rPr>
        <w:t>attempt to</w:t>
      </w:r>
      <w:proofErr w:type="gramEnd"/>
      <w:r w:rsidRPr="00F87122">
        <w:rPr>
          <w:lang w:val="en-GB"/>
        </w:rPr>
        <w:t xml:space="preserve"> incorporate the quantum</w:t>
      </w:r>
      <w:r>
        <w:rPr>
          <w:lang w:val="en-GB"/>
        </w:rPr>
        <w:t xml:space="preserve"> </w:t>
      </w:r>
      <w:r w:rsidRPr="00F87122">
        <w:rPr>
          <w:lang w:val="en-GB"/>
        </w:rPr>
        <w:t>effects of Helium-4</w:t>
      </w:r>
      <w:r>
        <w:rPr>
          <w:lang w:val="en-GB"/>
        </w:rPr>
        <w:t xml:space="preserve"> </w:t>
      </w:r>
      <w:r w:rsidRPr="00F87122">
        <w:rPr>
          <w:lang w:val="en-GB"/>
        </w:rPr>
        <w:t xml:space="preserve">into the co-volume parameter (b). The resulting modified Clausius </w:t>
      </w:r>
      <w:proofErr w:type="spellStart"/>
      <w:r w:rsidRPr="00F87122">
        <w:rPr>
          <w:lang w:val="en-GB"/>
        </w:rPr>
        <w:t>CEoS</w:t>
      </w:r>
      <w:proofErr w:type="spellEnd"/>
      <w:r w:rsidRPr="00F87122">
        <w:rPr>
          <w:lang w:val="en-GB"/>
        </w:rPr>
        <w:t xml:space="preserve"> was</w:t>
      </w:r>
      <w:r>
        <w:rPr>
          <w:lang w:val="en-GB"/>
        </w:rPr>
        <w:t xml:space="preserve"> then</w:t>
      </w:r>
      <w:r w:rsidRPr="00F87122">
        <w:rPr>
          <w:lang w:val="en-GB"/>
        </w:rPr>
        <w:t xml:space="preserve"> applied</w:t>
      </w:r>
      <w:r>
        <w:rPr>
          <w:lang w:val="en-GB"/>
        </w:rPr>
        <w:t xml:space="preserve"> </w:t>
      </w:r>
      <w:r w:rsidRPr="00F87122">
        <w:rPr>
          <w:lang w:val="en-GB"/>
        </w:rPr>
        <w:t>to correlate the binodal</w:t>
      </w:r>
      <w:r>
        <w:rPr>
          <w:lang w:val="en-GB"/>
        </w:rPr>
        <w:t xml:space="preserve"> </w:t>
      </w:r>
      <w:r w:rsidRPr="00F87122">
        <w:rPr>
          <w:lang w:val="en-GB"/>
        </w:rPr>
        <w:t>curve (the gas-liquid coexisting curve), compressed liquid,</w:t>
      </w:r>
      <w:r>
        <w:rPr>
          <w:lang w:val="en-GB"/>
        </w:rPr>
        <w:t xml:space="preserve"> </w:t>
      </w:r>
      <w:r w:rsidRPr="00F87122">
        <w:rPr>
          <w:lang w:val="en-GB"/>
        </w:rPr>
        <w:t>dense gas, and</w:t>
      </w:r>
      <w:r>
        <w:rPr>
          <w:lang w:val="en-GB"/>
        </w:rPr>
        <w:t xml:space="preserve"> the </w:t>
      </w:r>
      <w:r w:rsidRPr="00F87122">
        <w:rPr>
          <w:lang w:val="en-GB"/>
        </w:rPr>
        <w:t>vicinity to the critical point of Helium-4</w:t>
      </w:r>
      <w:r>
        <w:rPr>
          <w:lang w:val="en-GB"/>
        </w:rPr>
        <w:t>. The modified</w:t>
      </w:r>
      <w:r w:rsidRPr="00F87122">
        <w:rPr>
          <w:lang w:val="en-GB"/>
        </w:rPr>
        <w:t xml:space="preserve"> Clausius </w:t>
      </w:r>
      <w:proofErr w:type="spellStart"/>
      <w:r w:rsidRPr="00F87122">
        <w:rPr>
          <w:lang w:val="en-GB"/>
        </w:rPr>
        <w:t>CEoS</w:t>
      </w:r>
      <w:proofErr w:type="spellEnd"/>
      <w:r>
        <w:rPr>
          <w:lang w:val="en-GB"/>
        </w:rPr>
        <w:t xml:space="preserve"> was also tested</w:t>
      </w:r>
      <w:r w:rsidRPr="00F87122">
        <w:rPr>
          <w:lang w:val="en-GB"/>
        </w:rPr>
        <w:t xml:space="preserve"> in predicting the saturated</w:t>
      </w:r>
      <w:r>
        <w:rPr>
          <w:lang w:val="en-GB"/>
        </w:rPr>
        <w:t xml:space="preserve"> </w:t>
      </w:r>
      <w:r w:rsidRPr="00F87122">
        <w:rPr>
          <w:lang w:val="en-GB"/>
        </w:rPr>
        <w:t>pressures</w:t>
      </w:r>
      <w:r w:rsidR="007B6980">
        <w:rPr>
          <w:lang w:val="en-GB"/>
        </w:rPr>
        <w:t xml:space="preserve">, vapour and </w:t>
      </w:r>
      <w:r w:rsidRPr="00F87122">
        <w:rPr>
          <w:lang w:val="en-GB"/>
        </w:rPr>
        <w:t>liquid densities</w:t>
      </w:r>
      <w:r>
        <w:rPr>
          <w:lang w:val="en-GB"/>
        </w:rPr>
        <w:t xml:space="preserve"> </w:t>
      </w:r>
      <w:r w:rsidRPr="00F87122">
        <w:rPr>
          <w:lang w:val="en-GB"/>
        </w:rPr>
        <w:t xml:space="preserve">below the </w:t>
      </w:r>
      <w:r>
        <w:rPr>
          <w:lang w:val="en-GB"/>
        </w:rPr>
        <w:t xml:space="preserve">lambda </w:t>
      </w:r>
      <w:r w:rsidRPr="00F87122">
        <w:rPr>
          <w:lang w:val="en-GB"/>
        </w:rPr>
        <w:t xml:space="preserve">transition </w:t>
      </w:r>
      <w:r>
        <w:rPr>
          <w:lang w:val="en-GB"/>
        </w:rPr>
        <w:t>temperature</w:t>
      </w:r>
      <w:r w:rsidRPr="00F87122">
        <w:rPr>
          <w:lang w:val="en-GB"/>
        </w:rPr>
        <w:t xml:space="preserve"> (2.17 K)</w:t>
      </w:r>
      <w:r>
        <w:rPr>
          <w:lang w:val="en-GB"/>
        </w:rPr>
        <w:t xml:space="preserve"> </w:t>
      </w:r>
      <w:r w:rsidRPr="00F87122">
        <w:rPr>
          <w:lang w:val="en-GB"/>
        </w:rPr>
        <w:t xml:space="preserve">down to 0.65 K. The final </w:t>
      </w:r>
      <w:r>
        <w:rPr>
          <w:lang w:val="en-GB"/>
        </w:rPr>
        <w:t xml:space="preserve">modelling </w:t>
      </w:r>
      <w:r w:rsidRPr="00F87122">
        <w:rPr>
          <w:lang w:val="en-GB"/>
        </w:rPr>
        <w:t xml:space="preserve">results were compared </w:t>
      </w:r>
      <w:r>
        <w:rPr>
          <w:lang w:val="en-GB"/>
        </w:rPr>
        <w:t>with</w:t>
      </w:r>
      <w:r w:rsidRPr="00F87122">
        <w:rPr>
          <w:lang w:val="en-GB"/>
        </w:rPr>
        <w:t xml:space="preserve"> those</w:t>
      </w:r>
      <w:r>
        <w:rPr>
          <w:lang w:val="en-GB"/>
        </w:rPr>
        <w:t xml:space="preserve"> </w:t>
      </w:r>
      <w:r w:rsidRPr="00F87122">
        <w:rPr>
          <w:lang w:val="en-GB"/>
        </w:rPr>
        <w:t xml:space="preserve">previously obtained by </w:t>
      </w:r>
      <w:r>
        <w:rPr>
          <w:lang w:val="en-GB"/>
        </w:rPr>
        <w:t>Aasen</w:t>
      </w:r>
      <w:r w:rsidRPr="00F87122">
        <w:rPr>
          <w:lang w:val="en-GB"/>
        </w:rPr>
        <w:t xml:space="preserve"> et al. (</w:t>
      </w:r>
      <w:r>
        <w:rPr>
          <w:lang w:val="en-GB"/>
        </w:rPr>
        <w:t>2020</w:t>
      </w:r>
      <w:r w:rsidRPr="00F87122">
        <w:rPr>
          <w:lang w:val="en-GB"/>
        </w:rPr>
        <w:t>) who applied a modified</w:t>
      </w:r>
      <w:r>
        <w:rPr>
          <w:lang w:val="en-GB"/>
        </w:rPr>
        <w:t xml:space="preserve"> </w:t>
      </w:r>
      <w:r w:rsidRPr="00F87122">
        <w:rPr>
          <w:lang w:val="en-GB"/>
        </w:rPr>
        <w:t xml:space="preserve">Peng-Robinson </w:t>
      </w:r>
      <w:proofErr w:type="spellStart"/>
      <w:r w:rsidRPr="00F87122">
        <w:rPr>
          <w:lang w:val="en-GB"/>
        </w:rPr>
        <w:t>CEoS</w:t>
      </w:r>
      <w:proofErr w:type="spellEnd"/>
      <w:r w:rsidRPr="00F87122">
        <w:rPr>
          <w:lang w:val="en-GB"/>
        </w:rPr>
        <w:t xml:space="preserve"> to Helium-4.</w:t>
      </w:r>
    </w:p>
    <w:p w14:paraId="476B2F2E" w14:textId="52B36035" w:rsidR="00600535" w:rsidRPr="00B57B36" w:rsidRDefault="00600535" w:rsidP="00600535">
      <w:pPr>
        <w:pStyle w:val="CETHeading1"/>
        <w:rPr>
          <w:lang w:val="en-GB"/>
        </w:rPr>
      </w:pPr>
      <w:r w:rsidRPr="00B57B36">
        <w:rPr>
          <w:lang w:val="en-GB"/>
        </w:rPr>
        <w:t>Introduction</w:t>
      </w:r>
    </w:p>
    <w:p w14:paraId="3CF64B62" w14:textId="11770CFF" w:rsidR="00406D79" w:rsidRPr="00BF54E8" w:rsidRDefault="00406D79" w:rsidP="00406D79">
      <w:pPr>
        <w:pStyle w:val="CETBodytext"/>
      </w:pPr>
      <w:r>
        <w:rPr>
          <w:lang w:val="en-GB"/>
        </w:rPr>
        <w:t>I</w:t>
      </w:r>
      <w:r w:rsidRPr="00BF54E8">
        <w:t>n classical mechanics, a fluid is characterized by the interactions between its particles, such as van der Waals forces or dipole interactions,</w:t>
      </w:r>
      <w:r w:rsidR="007B6980">
        <w:t xml:space="preserve"> </w:t>
      </w:r>
      <w:r w:rsidRPr="00BF54E8">
        <w:t xml:space="preserve">whereas these interactions are absent in an ideal gas. In quantum mechanics, quantum fluids represent a special case, exhibiting large-scale quantum </w:t>
      </w:r>
      <w:proofErr w:type="spellStart"/>
      <w:r w:rsidRPr="00BF54E8">
        <w:t>behavio</w:t>
      </w:r>
      <w:r w:rsidR="007B6980">
        <w:t>u</w:t>
      </w:r>
      <w:r w:rsidRPr="00BF54E8">
        <w:t>r</w:t>
      </w:r>
      <w:proofErr w:type="spellEnd"/>
      <w:r w:rsidRPr="00BF54E8">
        <w:t xml:space="preserve"> involving multiple particles. These substances display unique features, such as state superposition and quantum entanglement, </w:t>
      </w:r>
      <w:r>
        <w:t>influencing</w:t>
      </w:r>
      <w:r w:rsidRPr="00BF54E8">
        <w:t xml:space="preserve"> their macroscopic properties. Quantum fluid </w:t>
      </w:r>
      <w:r w:rsidR="00C93273">
        <w:t>modelling</w:t>
      </w:r>
      <w:r w:rsidRPr="00BF54E8">
        <w:t xml:space="preserve"> combines quantum mechanics with fluid dynamics to understand and predict their </w:t>
      </w:r>
      <w:proofErr w:type="spellStart"/>
      <w:r w:rsidRPr="00BF54E8">
        <w:t>behavio</w:t>
      </w:r>
      <w:r w:rsidR="007B6980">
        <w:t>u</w:t>
      </w:r>
      <w:r w:rsidRPr="00BF54E8">
        <w:t>r</w:t>
      </w:r>
      <w:proofErr w:type="spellEnd"/>
      <w:r w:rsidRPr="00BF54E8">
        <w:t xml:space="preserve"> under extreme conditions, such as temperatures near absolute zero.</w:t>
      </w:r>
    </w:p>
    <w:p w14:paraId="4FB6D076" w14:textId="77777777" w:rsidR="00406D79" w:rsidRPr="00BF54E8" w:rsidRDefault="00406D79" w:rsidP="00406D79">
      <w:pPr>
        <w:pStyle w:val="CETBodytext"/>
      </w:pPr>
    </w:p>
    <w:p w14:paraId="336811E4" w14:textId="6A30AD95" w:rsidR="00406D79" w:rsidRPr="00BF54E8" w:rsidRDefault="00406D79" w:rsidP="00406D79">
      <w:pPr>
        <w:pStyle w:val="CETBodytext"/>
      </w:pPr>
      <w:r w:rsidRPr="00BF54E8">
        <w:t xml:space="preserve">Helium-4, a </w:t>
      </w:r>
      <w:r w:rsidR="007B6980">
        <w:t xml:space="preserve">notable </w:t>
      </w:r>
      <w:r w:rsidRPr="00BF54E8">
        <w:t xml:space="preserve">quantum fluid, has been extensively studied at saturated </w:t>
      </w:r>
      <w:proofErr w:type="spellStart"/>
      <w:r w:rsidRPr="00BF54E8">
        <w:t>vapo</w:t>
      </w:r>
      <w:r w:rsidR="007B6980">
        <w:t>u</w:t>
      </w:r>
      <w:r w:rsidRPr="00BF54E8">
        <w:t>r</w:t>
      </w:r>
      <w:proofErr w:type="spellEnd"/>
      <w:r w:rsidRPr="00BF54E8">
        <w:t xml:space="preserve"> pressures. However, the limited experimental data available requires the development of thermodynamic models capable of accurately representing its properties. Traditional cubic equations of state have demonstrated limitations, underscoring the need for improved approaches to describe properties at very low temperatures and near the critical point.</w:t>
      </w:r>
    </w:p>
    <w:p w14:paraId="3A831532" w14:textId="77777777" w:rsidR="00406D79" w:rsidRPr="00BF54E8" w:rsidRDefault="00406D79" w:rsidP="00406D79">
      <w:pPr>
        <w:pStyle w:val="CETBodytext"/>
      </w:pPr>
    </w:p>
    <w:p w14:paraId="51D0EFF0" w14:textId="7D7A076F" w:rsidR="00406D79" w:rsidRDefault="00406D79" w:rsidP="00406D79">
      <w:pPr>
        <w:pStyle w:val="CETBodytext"/>
        <w:rPr>
          <w:lang w:val="en-GB"/>
        </w:rPr>
      </w:pPr>
      <w:r w:rsidRPr="00BF54E8">
        <w:t>This work focuses on developing a thermodynamic model based on cubic equations of state</w:t>
      </w:r>
      <w:r>
        <w:t xml:space="preserve"> </w:t>
      </w:r>
      <w:r w:rsidRPr="00BF54E8">
        <w:t xml:space="preserve">to describe the saturated properties (pressure, liquid density, and </w:t>
      </w:r>
      <w:proofErr w:type="spellStart"/>
      <w:r w:rsidRPr="00BF54E8">
        <w:t>vapo</w:t>
      </w:r>
      <w:r w:rsidR="007B6980">
        <w:t>u</w:t>
      </w:r>
      <w:r w:rsidRPr="00BF54E8">
        <w:t>r</w:t>
      </w:r>
      <w:proofErr w:type="spellEnd"/>
      <w:r w:rsidRPr="00BF54E8">
        <w:t xml:space="preserve"> density) of Helium-4 along its saturation line from 0.65 K to the critical point (5.1953 K). </w:t>
      </w:r>
      <w:r w:rsidRPr="00D61B79">
        <w:t>The Clausius cubic equation of state was modified with a new alpha function to more accurately represent the cohesive energy between molecules and a volume translation was also employed to account for quantum effects in the co-volume parameter. This model was applied to calculate the binodal curve and the liquid and gas phases, with the results compared to previous studies</w:t>
      </w:r>
      <w:r>
        <w:t xml:space="preserve"> </w:t>
      </w:r>
      <w:r w:rsidRPr="00BF54E8">
        <w:t>including th</w:t>
      </w:r>
      <w:r>
        <w:t>ose</w:t>
      </w:r>
      <w:r w:rsidRPr="00BF54E8">
        <w:t xml:space="preserve"> of Aasen et al. (202</w:t>
      </w:r>
      <w:r>
        <w:t>0</w:t>
      </w:r>
      <w:r w:rsidRPr="00BF54E8">
        <w:t>). This research contributes to adva</w:t>
      </w:r>
      <w:r>
        <w:t xml:space="preserve">nced and </w:t>
      </w:r>
      <w:r w:rsidRPr="00BF54E8">
        <w:t>accurate mode</w:t>
      </w:r>
      <w:r>
        <w:t>l</w:t>
      </w:r>
      <w:r w:rsidRPr="00BF54E8">
        <w:t xml:space="preserve">ling of quantum fluids, </w:t>
      </w:r>
      <w:r w:rsidRPr="00925BEE">
        <w:rPr>
          <w:lang w:val="en-GB"/>
        </w:rPr>
        <w:t>offering valuable insights into fundamental phenomena</w:t>
      </w:r>
      <w:r w:rsidR="007B6980">
        <w:rPr>
          <w:lang w:val="en-GB"/>
        </w:rPr>
        <w:t>.</w:t>
      </w:r>
    </w:p>
    <w:p w14:paraId="1D7D558E" w14:textId="77777777" w:rsidR="00406D79" w:rsidRDefault="00406D79" w:rsidP="00406D79">
      <w:pPr>
        <w:pStyle w:val="CETBodytext"/>
        <w:rPr>
          <w:lang w:val="en-GB"/>
        </w:rPr>
      </w:pPr>
    </w:p>
    <w:p w14:paraId="658D370B" w14:textId="77777777" w:rsidR="00406D79" w:rsidRDefault="00406D79" w:rsidP="00406D79">
      <w:pPr>
        <w:pStyle w:val="CETBodytext"/>
        <w:rPr>
          <w:lang w:val="en-GB"/>
        </w:rPr>
      </w:pPr>
    </w:p>
    <w:p w14:paraId="1CF9F317" w14:textId="77777777" w:rsidR="00406D79" w:rsidRDefault="00406D79" w:rsidP="00406D79">
      <w:pPr>
        <w:pStyle w:val="CETBodytext"/>
        <w:rPr>
          <w:lang w:val="en-GB"/>
        </w:rPr>
      </w:pPr>
    </w:p>
    <w:p w14:paraId="5741900F" w14:textId="378062EA" w:rsidR="00453E24" w:rsidRDefault="00406D79" w:rsidP="00453E24">
      <w:pPr>
        <w:pStyle w:val="CETHeading1"/>
      </w:pPr>
      <w:r>
        <w:lastRenderedPageBreak/>
        <w:t>Model Description</w:t>
      </w:r>
    </w:p>
    <w:p w14:paraId="0636B784" w14:textId="34606326" w:rsidR="00453E24" w:rsidRPr="0048562E" w:rsidRDefault="00406D79" w:rsidP="0048562E">
      <w:pPr>
        <w:pStyle w:val="CETheadingx"/>
        <w:numPr>
          <w:ilvl w:val="0"/>
          <w:numId w:val="0"/>
        </w:numPr>
        <w:jc w:val="both"/>
        <w:rPr>
          <w:b w:val="0"/>
          <w:bCs/>
        </w:rPr>
      </w:pPr>
      <w:r w:rsidRPr="0048562E">
        <w:rPr>
          <w:b w:val="0"/>
          <w:bCs/>
        </w:rPr>
        <w:t xml:space="preserve">A thermodynamic model capable of accurately representing the phase equilibrium of quantum fluids at extremely low temperatures requires exploring equations of state that effectively account for molecular interactions and temperature dependencies. This study introduces </w:t>
      </w:r>
      <w:r w:rsidR="00D72285" w:rsidRPr="0048562E">
        <w:rPr>
          <w:b w:val="0"/>
          <w:bCs/>
        </w:rPr>
        <w:t>the Clausius</w:t>
      </w:r>
      <w:r w:rsidRPr="0048562E">
        <w:rPr>
          <w:b w:val="0"/>
          <w:bCs/>
        </w:rPr>
        <w:t xml:space="preserve"> </w:t>
      </w:r>
      <w:proofErr w:type="spellStart"/>
      <w:r w:rsidRPr="0048562E">
        <w:rPr>
          <w:b w:val="0"/>
          <w:bCs/>
        </w:rPr>
        <w:t>CEoS</w:t>
      </w:r>
      <w:proofErr w:type="spellEnd"/>
      <w:r w:rsidRPr="0048562E">
        <w:rPr>
          <w:b w:val="0"/>
          <w:bCs/>
        </w:rPr>
        <w:t xml:space="preserve"> as an adaptation of the original van der Waals model and initially designed for cryogenic fluids (</w:t>
      </w:r>
      <w:r w:rsidR="00D72285" w:rsidRPr="0048562E">
        <w:rPr>
          <w:b w:val="0"/>
          <w:bCs/>
        </w:rPr>
        <w:t>Gow, 1993)</w:t>
      </w:r>
      <w:r w:rsidRPr="0048562E">
        <w:rPr>
          <w:b w:val="0"/>
          <w:bCs/>
        </w:rPr>
        <w:t xml:space="preserve">. This approach makes it a </w:t>
      </w:r>
      <w:r w:rsidR="007A393A" w:rsidRPr="0048562E">
        <w:rPr>
          <w:b w:val="0"/>
          <w:bCs/>
        </w:rPr>
        <w:t>suitable</w:t>
      </w:r>
      <w:r w:rsidRPr="0048562E">
        <w:rPr>
          <w:b w:val="0"/>
          <w:bCs/>
        </w:rPr>
        <w:t xml:space="preserve"> tool for modelling quantum systems such as Helium-4, whose </w:t>
      </w:r>
      <w:proofErr w:type="spellStart"/>
      <w:r w:rsidRPr="0048562E">
        <w:rPr>
          <w:b w:val="0"/>
          <w:bCs/>
        </w:rPr>
        <w:t>behaviour</w:t>
      </w:r>
      <w:proofErr w:type="spellEnd"/>
      <w:r w:rsidRPr="0048562E">
        <w:rPr>
          <w:b w:val="0"/>
          <w:bCs/>
        </w:rPr>
        <w:t xml:space="preserve"> at very low temperatures exemplifies the distinctive properties of quantum fluids.</w:t>
      </w:r>
    </w:p>
    <w:p w14:paraId="18BAFA6F" w14:textId="1D841A5B" w:rsidR="00453E24" w:rsidRPr="00B57B36" w:rsidRDefault="00406D79" w:rsidP="002D3486">
      <w:pPr>
        <w:pStyle w:val="CETheadingx"/>
      </w:pPr>
      <w:r>
        <w:t>Proposed Equation of State</w:t>
      </w:r>
    </w:p>
    <w:p w14:paraId="76856A69" w14:textId="07A9034A" w:rsidR="00406D79" w:rsidRDefault="00406D79" w:rsidP="00406D79">
      <w:pPr>
        <w:pStyle w:val="CETBodytext"/>
      </w:pPr>
      <w:r w:rsidRPr="00562EF1">
        <w:rPr>
          <w:lang w:val="en-GB"/>
        </w:rPr>
        <w:t>The Peng-Robinson</w:t>
      </w:r>
      <w:r w:rsidR="00D72285">
        <w:rPr>
          <w:lang w:val="en-GB"/>
        </w:rPr>
        <w:t xml:space="preserve"> (Peng and Robinson, 1976)</w:t>
      </w:r>
      <w:r w:rsidRPr="00562EF1">
        <w:rPr>
          <w:lang w:val="en-GB"/>
        </w:rPr>
        <w:t xml:space="preserve"> equation is among the most widely used </w:t>
      </w:r>
      <w:proofErr w:type="spellStart"/>
      <w:r w:rsidRPr="00562EF1">
        <w:rPr>
          <w:lang w:val="en-GB"/>
        </w:rPr>
        <w:t>CEoS</w:t>
      </w:r>
      <w:proofErr w:type="spellEnd"/>
      <w:r w:rsidRPr="00562EF1">
        <w:rPr>
          <w:lang w:val="en-GB"/>
        </w:rPr>
        <w:t xml:space="preserve">, renowned for its popularity in predicting thermodynamic properties. However, lesser-known equations, such as the Clausius </w:t>
      </w:r>
      <w:proofErr w:type="spellStart"/>
      <w:r w:rsidRPr="00562EF1">
        <w:rPr>
          <w:lang w:val="en-GB"/>
        </w:rPr>
        <w:t>CEoS</w:t>
      </w:r>
      <w:proofErr w:type="spellEnd"/>
      <w:r w:rsidRPr="00562EF1">
        <w:rPr>
          <w:lang w:val="en-GB"/>
        </w:rPr>
        <w:t xml:space="preserve">, offer intriguing approaches to modelling thermodynamic systems. Proposed by </w:t>
      </w:r>
      <w:r w:rsidR="00D72285">
        <w:rPr>
          <w:lang w:val="en-GB"/>
        </w:rPr>
        <w:t>Clausius</w:t>
      </w:r>
      <w:r w:rsidR="005649D8">
        <w:rPr>
          <w:lang w:val="en-GB"/>
        </w:rPr>
        <w:t xml:space="preserve"> </w:t>
      </w:r>
      <w:r w:rsidR="00D72285">
        <w:rPr>
          <w:lang w:val="en-GB"/>
        </w:rPr>
        <w:t xml:space="preserve">(1880) </w:t>
      </w:r>
      <w:r w:rsidRPr="00562EF1">
        <w:rPr>
          <w:lang w:val="en-GB"/>
        </w:rPr>
        <w:t xml:space="preserve">this equation marked a significant step forward in understanding real gases by incorporating </w:t>
      </w:r>
      <w:r>
        <w:rPr>
          <w:lang w:val="en-GB"/>
        </w:rPr>
        <w:t xml:space="preserve">a </w:t>
      </w:r>
      <w:r w:rsidRPr="00562EF1">
        <w:rPr>
          <w:lang w:val="en-GB"/>
        </w:rPr>
        <w:t xml:space="preserve">temperature dependence into the attractive term. Clausius </w:t>
      </w:r>
      <w:r>
        <w:rPr>
          <w:lang w:val="en-GB"/>
        </w:rPr>
        <w:t>identified</w:t>
      </w:r>
      <w:r w:rsidRPr="00562EF1">
        <w:rPr>
          <w:lang w:val="en-GB"/>
        </w:rPr>
        <w:t xml:space="preserve"> that intermolecular forces vary with temperature and po</w:t>
      </w:r>
      <w:r>
        <w:rPr>
          <w:lang w:val="en-GB"/>
        </w:rPr>
        <w:t>stulated</w:t>
      </w:r>
      <w:r w:rsidRPr="00562EF1">
        <w:rPr>
          <w:lang w:val="en-GB"/>
        </w:rPr>
        <w:t xml:space="preserve"> that, at low temperatures, molecules tend to cluster together, thereby intensifying attractive forces compared to states with higher thermal energy. This concept was integrated into the attractive term, distinguishing it from the original van der Waals formulation, where the attractive term remained constant. Furthermore, Clausius </w:t>
      </w:r>
      <w:r>
        <w:rPr>
          <w:lang w:val="en-GB"/>
        </w:rPr>
        <w:t>highlighted</w:t>
      </w:r>
      <w:r w:rsidRPr="00562EF1">
        <w:rPr>
          <w:lang w:val="en-GB"/>
        </w:rPr>
        <w:t xml:space="preserve"> the importance of </w:t>
      </w:r>
      <w:r>
        <w:rPr>
          <w:lang w:val="en-GB"/>
        </w:rPr>
        <w:t>adapting</w:t>
      </w:r>
      <w:r w:rsidRPr="00562EF1">
        <w:rPr>
          <w:lang w:val="en-GB"/>
        </w:rPr>
        <w:t xml:space="preserve"> thermodynamic models to the specific characteristics of each substance</w:t>
      </w:r>
      <w:r w:rsidR="00CF7CD7">
        <w:rPr>
          <w:lang w:val="en-GB"/>
        </w:rPr>
        <w:t xml:space="preserve"> and emphasised</w:t>
      </w:r>
      <w:r w:rsidRPr="00562EF1">
        <w:rPr>
          <w:lang w:val="en-GB"/>
        </w:rPr>
        <w:t xml:space="preserve"> the need to consider temperature and other variables in predicting macroscopic properties.</w:t>
      </w:r>
      <w:r>
        <w:rPr>
          <w:lang w:val="en-GB"/>
        </w:rPr>
        <w:t xml:space="preserve"> The Clausius equation is given by:</w:t>
      </w:r>
    </w:p>
    <w:tbl>
      <w:tblPr>
        <w:tblW w:w="8640" w:type="dxa"/>
        <w:tblInd w:w="72" w:type="dxa"/>
        <w:tblLayout w:type="fixed"/>
        <w:tblLook w:val="04A0" w:firstRow="1" w:lastRow="0" w:firstColumn="1" w:lastColumn="0" w:noHBand="0" w:noVBand="1"/>
      </w:tblPr>
      <w:tblGrid>
        <w:gridCol w:w="7441"/>
        <w:gridCol w:w="1199"/>
      </w:tblGrid>
      <w:tr w:rsidR="00406D79" w:rsidRPr="004C507E" w14:paraId="42EC5555" w14:textId="77777777" w:rsidTr="00A737C1">
        <w:trPr>
          <w:trHeight w:val="680"/>
        </w:trPr>
        <w:tc>
          <w:tcPr>
            <w:tcW w:w="7441" w:type="dxa"/>
            <w:shd w:val="clear" w:color="auto" w:fill="auto"/>
            <w:vAlign w:val="center"/>
          </w:tcPr>
          <w:p w14:paraId="775024A5" w14:textId="77777777" w:rsidR="00406D79" w:rsidRPr="00F97ADF" w:rsidRDefault="00406D79" w:rsidP="00A737C1">
            <w:pPr>
              <w:pStyle w:val="CETEquation"/>
              <w:widowControl w:val="0"/>
            </w:pPr>
            <m:oMathPara>
              <m:oMathParaPr>
                <m:jc m:val="left"/>
              </m:oMathParaPr>
              <m:oMath>
                <m:r>
                  <w:rPr>
                    <w:rFonts w:ascii="Cambria Math" w:eastAsiaTheme="minorEastAsia" w:hAnsi="Cambria Math" w:cs="Arial"/>
                  </w:rPr>
                  <m:t>P=</m:t>
                </m:r>
                <m:f>
                  <m:fPr>
                    <m:ctrlPr>
                      <w:rPr>
                        <w:rFonts w:ascii="Cambria Math" w:eastAsiaTheme="minorEastAsia" w:hAnsi="Cambria Math" w:cs="Arial"/>
                      </w:rPr>
                    </m:ctrlPr>
                  </m:fPr>
                  <m:num>
                    <m:r>
                      <w:rPr>
                        <w:rFonts w:ascii="Cambria Math" w:eastAsiaTheme="minorEastAsia" w:hAnsi="Cambria Math" w:cs="Arial"/>
                      </w:rPr>
                      <m:t>RT</m:t>
                    </m:r>
                  </m:num>
                  <m:den>
                    <m:r>
                      <w:rPr>
                        <w:rFonts w:ascii="Cambria Math" w:eastAsiaTheme="minorEastAsia" w:hAnsi="Cambria Math" w:cs="Arial"/>
                      </w:rPr>
                      <m:t>V-b</m:t>
                    </m:r>
                  </m:den>
                </m:f>
                <m:r>
                  <w:rPr>
                    <w:rFonts w:ascii="Cambria Math" w:eastAsiaTheme="minorEastAsia" w:hAnsi="Cambria Math" w:cs="Arial"/>
                  </w:rPr>
                  <m:t>-</m:t>
                </m:r>
                <m:f>
                  <m:fPr>
                    <m:ctrlPr>
                      <w:rPr>
                        <w:rFonts w:ascii="Cambria Math" w:eastAsiaTheme="minorEastAsia" w:hAnsi="Cambria Math" w:cs="Arial"/>
                      </w:rPr>
                    </m:ctrlPr>
                  </m:fPr>
                  <m:num>
                    <m:r>
                      <w:rPr>
                        <w:rFonts w:ascii="Cambria Math" w:eastAsiaTheme="minorEastAsia" w:hAnsi="Cambria Math" w:cs="Arial"/>
                      </w:rPr>
                      <m:t>a</m:t>
                    </m:r>
                    <m:d>
                      <m:dPr>
                        <m:ctrlPr>
                          <w:rPr>
                            <w:rFonts w:ascii="Cambria Math" w:eastAsiaTheme="minorEastAsia" w:hAnsi="Cambria Math" w:cs="Arial"/>
                          </w:rPr>
                        </m:ctrlPr>
                      </m:dPr>
                      <m:e>
                        <m:r>
                          <w:rPr>
                            <w:rFonts w:ascii="Cambria Math" w:eastAsiaTheme="minorEastAsia" w:hAnsi="Cambria Math" w:cs="Arial"/>
                          </w:rPr>
                          <m:t>T</m:t>
                        </m:r>
                      </m:e>
                    </m:d>
                  </m:num>
                  <m:den>
                    <m:sSup>
                      <m:sSupPr>
                        <m:ctrlPr>
                          <w:rPr>
                            <w:rFonts w:ascii="Cambria Math" w:eastAsiaTheme="minorEastAsia" w:hAnsi="Cambria Math" w:cs="Arial"/>
                            <w:i/>
                          </w:rPr>
                        </m:ctrlPr>
                      </m:sSupPr>
                      <m:e>
                        <m:r>
                          <w:rPr>
                            <w:rFonts w:ascii="Cambria Math" w:eastAsiaTheme="minorEastAsia" w:hAnsi="Cambria Math" w:cs="Arial"/>
                          </w:rPr>
                          <m:t>(V+c)</m:t>
                        </m:r>
                      </m:e>
                      <m:sup>
                        <m:r>
                          <w:rPr>
                            <w:rFonts w:ascii="Cambria Math" w:eastAsiaTheme="minorEastAsia" w:hAnsi="Cambria Math" w:cs="Arial"/>
                          </w:rPr>
                          <m:t>2</m:t>
                        </m:r>
                      </m:sup>
                    </m:sSup>
                  </m:den>
                </m:f>
              </m:oMath>
            </m:oMathPara>
          </w:p>
        </w:tc>
        <w:tc>
          <w:tcPr>
            <w:tcW w:w="1199" w:type="dxa"/>
            <w:shd w:val="clear" w:color="auto" w:fill="auto"/>
            <w:vAlign w:val="center"/>
          </w:tcPr>
          <w:p w14:paraId="589ABA5D" w14:textId="77777777" w:rsidR="00406D79" w:rsidRPr="00F97ADF" w:rsidRDefault="00406D79" w:rsidP="00A737C1">
            <w:pPr>
              <w:pStyle w:val="CETEquation"/>
              <w:widowControl w:val="0"/>
              <w:jc w:val="right"/>
            </w:pPr>
            <w:r w:rsidRPr="00F97ADF">
              <w:t>(1)</w:t>
            </w:r>
          </w:p>
        </w:tc>
      </w:tr>
    </w:tbl>
    <w:p w14:paraId="11437759" w14:textId="45AFEFBE" w:rsidR="00406D79" w:rsidRDefault="00406D79" w:rsidP="00453E24">
      <w:pPr>
        <w:pStyle w:val="CETBodytext"/>
        <w:rPr>
          <w:lang w:val="en-GB"/>
        </w:rPr>
      </w:pPr>
      <w:r>
        <w:rPr>
          <w:lang w:val="en-GB"/>
        </w:rPr>
        <w:t>with,</w:t>
      </w:r>
    </w:p>
    <w:tbl>
      <w:tblPr>
        <w:tblW w:w="8640" w:type="dxa"/>
        <w:tblInd w:w="72" w:type="dxa"/>
        <w:tblLayout w:type="fixed"/>
        <w:tblLook w:val="04A0" w:firstRow="1" w:lastRow="0" w:firstColumn="1" w:lastColumn="0" w:noHBand="0" w:noVBand="1"/>
      </w:tblPr>
      <w:tblGrid>
        <w:gridCol w:w="7441"/>
        <w:gridCol w:w="1199"/>
      </w:tblGrid>
      <w:tr w:rsidR="00406D79" w:rsidRPr="004C507E" w14:paraId="508FF19F" w14:textId="77777777" w:rsidTr="00A737C1">
        <w:trPr>
          <w:trHeight w:val="454"/>
        </w:trPr>
        <w:tc>
          <w:tcPr>
            <w:tcW w:w="7441" w:type="dxa"/>
            <w:shd w:val="clear" w:color="auto" w:fill="auto"/>
            <w:vAlign w:val="center"/>
          </w:tcPr>
          <w:p w14:paraId="5F9FBF83" w14:textId="77777777" w:rsidR="00406D79" w:rsidRPr="007379D2" w:rsidRDefault="00406D79" w:rsidP="00A737C1">
            <w:pPr>
              <w:pStyle w:val="CETEquation"/>
              <w:widowControl w:val="0"/>
            </w:pPr>
            <m:oMathPara>
              <m:oMathParaPr>
                <m:jc m:val="left"/>
              </m:oMathParaPr>
              <m:oMath>
                <m:r>
                  <w:rPr>
                    <w:rFonts w:ascii="Cambria Math" w:eastAsiaTheme="minorEastAsia" w:hAnsi="Cambria Math" w:cs="Arial"/>
                  </w:rPr>
                  <m:t>a</m:t>
                </m:r>
                <m:d>
                  <m:dPr>
                    <m:ctrlPr>
                      <w:rPr>
                        <w:rFonts w:ascii="Cambria Math" w:eastAsiaTheme="minorEastAsia" w:hAnsi="Cambria Math" w:cs="Arial"/>
                      </w:rPr>
                    </m:ctrlPr>
                  </m:dPr>
                  <m:e>
                    <m:r>
                      <w:rPr>
                        <w:rFonts w:ascii="Cambria Math" w:eastAsiaTheme="minorEastAsia" w:hAnsi="Cambria Math" w:cs="Arial"/>
                      </w:rPr>
                      <m:t>T</m:t>
                    </m:r>
                  </m:e>
                </m:d>
                <m:r>
                  <w:rPr>
                    <w:rFonts w:ascii="Cambria Math" w:eastAsiaTheme="minorEastAsia" w:hAnsi="Cambria Math" w:cs="Arial"/>
                  </w:rPr>
                  <m:t>=</m:t>
                </m:r>
                <m:f>
                  <m:fPr>
                    <m:type m:val="lin"/>
                    <m:ctrlPr>
                      <w:rPr>
                        <w:rFonts w:ascii="Cambria Math" w:eastAsiaTheme="minorEastAsia" w:hAnsi="Cambria Math" w:cs="Arial"/>
                        <w:i/>
                      </w:rPr>
                    </m:ctrlPr>
                  </m:fPr>
                  <m:num>
                    <m:r>
                      <w:rPr>
                        <w:rFonts w:ascii="Cambria Math" w:eastAsiaTheme="minorEastAsia" w:hAnsi="Cambria Math" w:cs="Arial"/>
                      </w:rPr>
                      <m:t>27</m:t>
                    </m:r>
                    <m:sSup>
                      <m:sSupPr>
                        <m:ctrlPr>
                          <w:rPr>
                            <w:rFonts w:ascii="Cambria Math" w:eastAsiaTheme="minorEastAsia" w:hAnsi="Cambria Math" w:cs="Arial"/>
                            <w:i/>
                          </w:rPr>
                        </m:ctrlPr>
                      </m:sSupPr>
                      <m:e>
                        <m:r>
                          <w:rPr>
                            <w:rFonts w:ascii="Cambria Math" w:eastAsiaTheme="minorEastAsia" w:hAnsi="Cambria Math" w:cs="Arial"/>
                          </w:rPr>
                          <m:t>R</m:t>
                        </m:r>
                      </m:e>
                      <m:sup>
                        <m:r>
                          <w:rPr>
                            <w:rFonts w:ascii="Cambria Math" w:eastAsiaTheme="minorEastAsia" w:hAnsi="Cambria Math" w:cs="Arial"/>
                          </w:rPr>
                          <m:t>2</m:t>
                        </m:r>
                      </m:sup>
                    </m:sSup>
                    <m:sSubSup>
                      <m:sSubSupPr>
                        <m:ctrlPr>
                          <w:rPr>
                            <w:rFonts w:ascii="Cambria Math" w:eastAsiaTheme="minorEastAsia" w:hAnsi="Cambria Math" w:cs="Arial"/>
                            <w:i/>
                          </w:rPr>
                        </m:ctrlPr>
                      </m:sSubSupPr>
                      <m:e>
                        <m:r>
                          <w:rPr>
                            <w:rFonts w:ascii="Cambria Math" w:eastAsiaTheme="minorEastAsia" w:hAnsi="Cambria Math" w:cs="Arial"/>
                          </w:rPr>
                          <m:t>T</m:t>
                        </m:r>
                      </m:e>
                      <m:sub>
                        <m:r>
                          <w:rPr>
                            <w:rFonts w:ascii="Cambria Math" w:eastAsiaTheme="minorEastAsia" w:hAnsi="Cambria Math" w:cs="Arial"/>
                          </w:rPr>
                          <m:t>c</m:t>
                        </m:r>
                      </m:sub>
                      <m:sup>
                        <m:r>
                          <w:rPr>
                            <w:rFonts w:ascii="Cambria Math" w:eastAsiaTheme="minorEastAsia" w:hAnsi="Cambria Math" w:cs="Arial"/>
                          </w:rPr>
                          <m:t>2</m:t>
                        </m:r>
                      </m:sup>
                    </m:sSubSup>
                  </m:num>
                  <m:den>
                    <m:r>
                      <w:rPr>
                        <w:rFonts w:ascii="Cambria Math" w:eastAsiaTheme="minorEastAsia" w:hAnsi="Cambria Math" w:cs="Arial"/>
                      </w:rPr>
                      <m:t>64</m:t>
                    </m:r>
                    <m:sSub>
                      <m:sSubPr>
                        <m:ctrlPr>
                          <w:rPr>
                            <w:rFonts w:ascii="Cambria Math" w:eastAsiaTheme="minorEastAsia" w:hAnsi="Cambria Math" w:cs="Arial"/>
                            <w:i/>
                          </w:rPr>
                        </m:ctrlPr>
                      </m:sSubPr>
                      <m:e>
                        <m:r>
                          <w:rPr>
                            <w:rFonts w:ascii="Cambria Math" w:eastAsiaTheme="minorEastAsia" w:hAnsi="Cambria Math" w:cs="Arial"/>
                          </w:rPr>
                          <m:t>P</m:t>
                        </m:r>
                      </m:e>
                      <m:sub>
                        <m:r>
                          <w:rPr>
                            <w:rFonts w:ascii="Cambria Math" w:eastAsiaTheme="minorEastAsia" w:hAnsi="Cambria Math" w:cs="Arial"/>
                          </w:rPr>
                          <m:t>c</m:t>
                        </m:r>
                      </m:sub>
                    </m:sSub>
                  </m:den>
                </m:f>
              </m:oMath>
            </m:oMathPara>
          </w:p>
        </w:tc>
        <w:tc>
          <w:tcPr>
            <w:tcW w:w="1199" w:type="dxa"/>
            <w:shd w:val="clear" w:color="auto" w:fill="auto"/>
            <w:vAlign w:val="center"/>
          </w:tcPr>
          <w:p w14:paraId="0E82F223" w14:textId="77777777" w:rsidR="00406D79" w:rsidRPr="007379D2" w:rsidRDefault="00406D79" w:rsidP="00A737C1">
            <w:pPr>
              <w:pStyle w:val="CETEquation"/>
              <w:widowControl w:val="0"/>
              <w:jc w:val="right"/>
            </w:pPr>
            <w:r w:rsidRPr="007379D2">
              <w:t>(2)</w:t>
            </w:r>
          </w:p>
        </w:tc>
      </w:tr>
      <w:tr w:rsidR="00406D79" w14:paraId="65AF653C" w14:textId="77777777" w:rsidTr="00A737C1">
        <w:trPr>
          <w:trHeight w:val="454"/>
        </w:trPr>
        <w:tc>
          <w:tcPr>
            <w:tcW w:w="7441" w:type="dxa"/>
            <w:shd w:val="clear" w:color="auto" w:fill="auto"/>
            <w:vAlign w:val="center"/>
          </w:tcPr>
          <w:p w14:paraId="3D35307C" w14:textId="77777777" w:rsidR="00406D79" w:rsidRPr="000C1BAB" w:rsidRDefault="00406D79" w:rsidP="00A737C1">
            <w:pPr>
              <w:pStyle w:val="CETEquation"/>
              <w:widowControl w:val="0"/>
            </w:pPr>
            <m:oMathPara>
              <m:oMathParaPr>
                <m:jc m:val="left"/>
              </m:oMathParaPr>
              <m:oMath>
                <m:r>
                  <w:rPr>
                    <w:rFonts w:ascii="Cambria Math" w:eastAsiaTheme="minorEastAsia" w:hAnsi="Cambria Math" w:cs="CMU Serif"/>
                  </w:rPr>
                  <m:t>b=</m:t>
                </m:r>
                <m:d>
                  <m:dPr>
                    <m:ctrlPr>
                      <w:rPr>
                        <w:rFonts w:ascii="Cambria Math" w:eastAsiaTheme="minorEastAsia" w:hAnsi="Cambria Math" w:cs="CMU Serif"/>
                        <w:i/>
                      </w:rPr>
                    </m:ctrlPr>
                  </m:dPr>
                  <m:e>
                    <m:r>
                      <w:rPr>
                        <w:rFonts w:ascii="Cambria Math" w:eastAsiaTheme="minorEastAsia" w:hAnsi="Cambria Math" w:cs="CMU Serif"/>
                      </w:rPr>
                      <m:t>1-</m:t>
                    </m:r>
                    <m:f>
                      <m:fPr>
                        <m:ctrlPr>
                          <w:rPr>
                            <w:rFonts w:ascii="Cambria Math" w:eastAsiaTheme="minorEastAsia" w:hAnsi="Cambria Math" w:cs="CMU Serif"/>
                            <w:i/>
                          </w:rPr>
                        </m:ctrlPr>
                      </m:fPr>
                      <m:num>
                        <m:r>
                          <w:rPr>
                            <w:rFonts w:ascii="Cambria Math" w:eastAsiaTheme="minorEastAsia" w:hAnsi="Cambria Math" w:cs="CMU Serif"/>
                          </w:rPr>
                          <m:t>1</m:t>
                        </m:r>
                      </m:num>
                      <m:den>
                        <m:r>
                          <w:rPr>
                            <w:rFonts w:ascii="Cambria Math" w:eastAsiaTheme="minorEastAsia" w:hAnsi="Cambria Math" w:cs="CMU Serif"/>
                          </w:rPr>
                          <m:t>4</m:t>
                        </m:r>
                        <m:sSub>
                          <m:sSubPr>
                            <m:ctrlPr>
                              <w:rPr>
                                <w:rFonts w:ascii="Cambria Math" w:eastAsiaTheme="minorEastAsia" w:hAnsi="Cambria Math" w:cs="CMU Serif"/>
                                <w:i/>
                              </w:rPr>
                            </m:ctrlPr>
                          </m:sSubPr>
                          <m:e>
                            <m:r>
                              <w:rPr>
                                <w:rFonts w:ascii="Cambria Math" w:eastAsiaTheme="minorEastAsia" w:hAnsi="Cambria Math" w:cs="CMU Serif"/>
                              </w:rPr>
                              <m:t>Z</m:t>
                            </m:r>
                          </m:e>
                          <m:sub>
                            <m:r>
                              <w:rPr>
                                <w:rFonts w:ascii="Cambria Math" w:eastAsiaTheme="minorEastAsia" w:hAnsi="Cambria Math" w:cs="CMU Serif"/>
                              </w:rPr>
                              <m:t>c</m:t>
                            </m:r>
                          </m:sub>
                        </m:sSub>
                      </m:den>
                    </m:f>
                  </m:e>
                </m:d>
                <m:sSub>
                  <m:sSubPr>
                    <m:ctrlPr>
                      <w:rPr>
                        <w:rFonts w:ascii="Cambria Math" w:eastAsiaTheme="minorEastAsia" w:hAnsi="Cambria Math" w:cs="CMU Serif"/>
                        <w:i/>
                      </w:rPr>
                    </m:ctrlPr>
                  </m:sSubPr>
                  <m:e>
                    <m:r>
                      <w:rPr>
                        <w:rFonts w:ascii="Cambria Math" w:eastAsiaTheme="minorEastAsia" w:hAnsi="Cambria Math" w:cs="CMU Serif"/>
                      </w:rPr>
                      <m:t>V</m:t>
                    </m:r>
                  </m:e>
                  <m:sub>
                    <m:r>
                      <w:rPr>
                        <w:rFonts w:ascii="Cambria Math" w:eastAsiaTheme="minorEastAsia" w:hAnsi="Cambria Math" w:cs="CMU Serif"/>
                      </w:rPr>
                      <m:t>c</m:t>
                    </m:r>
                  </m:sub>
                </m:sSub>
              </m:oMath>
            </m:oMathPara>
          </w:p>
        </w:tc>
        <w:tc>
          <w:tcPr>
            <w:tcW w:w="1199" w:type="dxa"/>
            <w:shd w:val="clear" w:color="auto" w:fill="auto"/>
            <w:vAlign w:val="center"/>
          </w:tcPr>
          <w:p w14:paraId="3C91E914" w14:textId="77777777" w:rsidR="00406D79" w:rsidRDefault="00406D79" w:rsidP="00A737C1">
            <w:pPr>
              <w:pStyle w:val="CETEquation"/>
              <w:widowControl w:val="0"/>
              <w:jc w:val="right"/>
            </w:pPr>
            <w:r w:rsidRPr="000C1BAB">
              <w:t>(3)</w:t>
            </w:r>
          </w:p>
          <w:p w14:paraId="44A76A8C" w14:textId="77777777" w:rsidR="00406D79" w:rsidRPr="000C1BAB" w:rsidRDefault="00406D79" w:rsidP="00A737C1">
            <w:pPr>
              <w:pStyle w:val="CETBodytext"/>
              <w:rPr>
                <w:lang w:val="en-GB"/>
              </w:rPr>
            </w:pPr>
          </w:p>
        </w:tc>
      </w:tr>
      <w:tr w:rsidR="00406D79" w14:paraId="27B38C6F" w14:textId="77777777" w:rsidTr="00A737C1">
        <w:trPr>
          <w:trHeight w:val="454"/>
        </w:trPr>
        <w:tc>
          <w:tcPr>
            <w:tcW w:w="7441" w:type="dxa"/>
            <w:shd w:val="clear" w:color="auto" w:fill="auto"/>
            <w:vAlign w:val="center"/>
          </w:tcPr>
          <w:p w14:paraId="14CB899D" w14:textId="77777777" w:rsidR="00406D79" w:rsidRPr="000C1BAB" w:rsidRDefault="00406D79" w:rsidP="00A737C1">
            <w:pPr>
              <w:pStyle w:val="CETEquation"/>
              <w:widowControl w:val="0"/>
            </w:pPr>
            <m:oMathPara>
              <m:oMathParaPr>
                <m:jc m:val="left"/>
              </m:oMathParaPr>
              <m:oMath>
                <m:r>
                  <w:rPr>
                    <w:rFonts w:ascii="Cambria Math" w:eastAsiaTheme="minorEastAsia" w:hAnsi="Cambria Math" w:cs="CMU Serif"/>
                  </w:rPr>
                  <m:t>c=</m:t>
                </m:r>
                <m:d>
                  <m:dPr>
                    <m:ctrlPr>
                      <w:rPr>
                        <w:rFonts w:ascii="Cambria Math" w:eastAsiaTheme="minorEastAsia" w:hAnsi="Cambria Math" w:cs="CMU Serif"/>
                        <w:i/>
                      </w:rPr>
                    </m:ctrlPr>
                  </m:dPr>
                  <m:e>
                    <m:f>
                      <m:fPr>
                        <m:ctrlPr>
                          <w:rPr>
                            <w:rFonts w:ascii="Cambria Math" w:eastAsiaTheme="minorEastAsia" w:hAnsi="Cambria Math" w:cs="CMU Serif"/>
                            <w:i/>
                          </w:rPr>
                        </m:ctrlPr>
                      </m:fPr>
                      <m:num>
                        <m:r>
                          <w:rPr>
                            <w:rFonts w:ascii="Cambria Math" w:eastAsiaTheme="minorEastAsia" w:hAnsi="Cambria Math" w:cs="CMU Serif"/>
                          </w:rPr>
                          <m:t>3</m:t>
                        </m:r>
                      </m:num>
                      <m:den>
                        <m:r>
                          <w:rPr>
                            <w:rFonts w:ascii="Cambria Math" w:eastAsiaTheme="minorEastAsia" w:hAnsi="Cambria Math" w:cs="CMU Serif"/>
                          </w:rPr>
                          <m:t>8</m:t>
                        </m:r>
                        <m:sSub>
                          <m:sSubPr>
                            <m:ctrlPr>
                              <w:rPr>
                                <w:rFonts w:ascii="Cambria Math" w:eastAsiaTheme="minorEastAsia" w:hAnsi="Cambria Math" w:cs="CMU Serif"/>
                                <w:i/>
                              </w:rPr>
                            </m:ctrlPr>
                          </m:sSubPr>
                          <m:e>
                            <m:r>
                              <w:rPr>
                                <w:rFonts w:ascii="Cambria Math" w:eastAsiaTheme="minorEastAsia" w:hAnsi="Cambria Math" w:cs="CMU Serif"/>
                              </w:rPr>
                              <m:t>Z</m:t>
                            </m:r>
                          </m:e>
                          <m:sub>
                            <m:r>
                              <w:rPr>
                                <w:rFonts w:ascii="Cambria Math" w:eastAsiaTheme="minorEastAsia" w:hAnsi="Cambria Math" w:cs="CMU Serif"/>
                              </w:rPr>
                              <m:t>c</m:t>
                            </m:r>
                          </m:sub>
                        </m:sSub>
                      </m:den>
                    </m:f>
                    <m:r>
                      <w:rPr>
                        <w:rFonts w:ascii="Cambria Math" w:eastAsiaTheme="minorEastAsia" w:hAnsi="Cambria Math" w:cs="CMU Serif"/>
                      </w:rPr>
                      <m:t>-1</m:t>
                    </m:r>
                  </m:e>
                </m:d>
                <m:sSub>
                  <m:sSubPr>
                    <m:ctrlPr>
                      <w:rPr>
                        <w:rFonts w:ascii="Cambria Math" w:eastAsiaTheme="minorEastAsia" w:hAnsi="Cambria Math" w:cs="CMU Serif"/>
                        <w:i/>
                      </w:rPr>
                    </m:ctrlPr>
                  </m:sSubPr>
                  <m:e>
                    <m:r>
                      <w:rPr>
                        <w:rFonts w:ascii="Cambria Math" w:eastAsiaTheme="minorEastAsia" w:hAnsi="Cambria Math" w:cs="CMU Serif"/>
                      </w:rPr>
                      <m:t>V</m:t>
                    </m:r>
                  </m:e>
                  <m:sub>
                    <m:r>
                      <w:rPr>
                        <w:rFonts w:ascii="Cambria Math" w:eastAsiaTheme="minorEastAsia" w:hAnsi="Cambria Math" w:cs="CMU Serif"/>
                      </w:rPr>
                      <m:t>c</m:t>
                    </m:r>
                  </m:sub>
                </m:sSub>
              </m:oMath>
            </m:oMathPara>
          </w:p>
        </w:tc>
        <w:tc>
          <w:tcPr>
            <w:tcW w:w="1199" w:type="dxa"/>
            <w:shd w:val="clear" w:color="auto" w:fill="auto"/>
            <w:vAlign w:val="center"/>
          </w:tcPr>
          <w:p w14:paraId="5F6B0534" w14:textId="77777777" w:rsidR="00406D79" w:rsidRPr="000C1BAB" w:rsidRDefault="00406D79" w:rsidP="00A737C1">
            <w:pPr>
              <w:pStyle w:val="CETEquation"/>
              <w:widowControl w:val="0"/>
              <w:jc w:val="right"/>
            </w:pPr>
            <w:r>
              <w:t>(4)</w:t>
            </w:r>
          </w:p>
        </w:tc>
      </w:tr>
    </w:tbl>
    <w:p w14:paraId="2E1F516C" w14:textId="77777777" w:rsidR="00406D79" w:rsidRDefault="00000000" w:rsidP="00406D79">
      <w:pPr>
        <w:rPr>
          <w:rFonts w:eastAsiaTheme="minorEastAsia" w:cs="Arial"/>
        </w:rPr>
      </w:pPr>
      <m:oMath>
        <m:sSub>
          <m:sSubPr>
            <m:ctrlPr>
              <w:rPr>
                <w:rFonts w:ascii="Cambria Math" w:eastAsiaTheme="minorEastAsia" w:hAnsi="Cambria Math" w:cs="Arial"/>
              </w:rPr>
            </m:ctrlPr>
          </m:sSubPr>
          <m:e>
            <m:r>
              <w:rPr>
                <w:rFonts w:ascii="Cambria Math" w:eastAsiaTheme="minorEastAsia" w:hAnsi="Cambria Math" w:cs="Arial"/>
              </w:rPr>
              <m:t>T</m:t>
            </m:r>
          </m:e>
          <m:sub>
            <m:r>
              <w:rPr>
                <w:rFonts w:ascii="Cambria Math" w:eastAsiaTheme="minorEastAsia" w:hAnsi="Cambria Math" w:cs="Arial"/>
              </w:rPr>
              <m:t>c</m:t>
            </m:r>
          </m:sub>
        </m:sSub>
      </m:oMath>
      <w:r w:rsidR="00406D79" w:rsidRPr="006B46F9">
        <w:rPr>
          <w:rFonts w:eastAsiaTheme="minorEastAsia" w:cs="Arial"/>
        </w:rPr>
        <w:t xml:space="preserve">, </w:t>
      </w:r>
      <m:oMath>
        <m:sSub>
          <m:sSubPr>
            <m:ctrlPr>
              <w:rPr>
                <w:rFonts w:ascii="Cambria Math" w:eastAsiaTheme="minorEastAsia" w:hAnsi="Cambria Math" w:cs="Arial"/>
              </w:rPr>
            </m:ctrlPr>
          </m:sSubPr>
          <m:e>
            <m:r>
              <w:rPr>
                <w:rFonts w:ascii="Cambria Math" w:eastAsiaTheme="minorEastAsia" w:hAnsi="Cambria Math" w:cs="Arial"/>
              </w:rPr>
              <m:t>P</m:t>
            </m:r>
          </m:e>
          <m:sub>
            <m:r>
              <w:rPr>
                <w:rFonts w:ascii="Cambria Math" w:eastAsiaTheme="minorEastAsia" w:hAnsi="Cambria Math" w:cs="Arial"/>
              </w:rPr>
              <m:t>c</m:t>
            </m:r>
          </m:sub>
        </m:sSub>
      </m:oMath>
      <w:r w:rsidR="00406D79" w:rsidRPr="006B46F9">
        <w:rPr>
          <w:rFonts w:eastAsiaTheme="minorEastAsia" w:cs="Arial"/>
        </w:rPr>
        <w:t>,</w:t>
      </w:r>
      <w:r w:rsidR="00406D79">
        <w:rPr>
          <w:rFonts w:eastAsiaTheme="minorEastAsia" w:cs="Arial"/>
        </w:rPr>
        <w:t xml:space="preserve"> </w:t>
      </w:r>
      <m:oMath>
        <m:sSub>
          <m:sSubPr>
            <m:ctrlPr>
              <w:rPr>
                <w:rFonts w:ascii="Cambria Math" w:eastAsiaTheme="minorEastAsia" w:hAnsi="Cambria Math" w:cs="Arial"/>
              </w:rPr>
            </m:ctrlPr>
          </m:sSubPr>
          <m:e>
            <m:r>
              <w:rPr>
                <w:rFonts w:ascii="Cambria Math" w:eastAsiaTheme="minorEastAsia" w:hAnsi="Cambria Math" w:cs="Arial"/>
              </w:rPr>
              <m:t>V</m:t>
            </m:r>
          </m:e>
          <m:sub>
            <m:r>
              <w:rPr>
                <w:rFonts w:ascii="Cambria Math" w:eastAsiaTheme="minorEastAsia" w:hAnsi="Cambria Math" w:cs="Arial"/>
              </w:rPr>
              <m:t>c</m:t>
            </m:r>
          </m:sub>
        </m:sSub>
      </m:oMath>
      <w:r w:rsidR="00406D79">
        <w:rPr>
          <w:rFonts w:eastAsiaTheme="minorEastAsia" w:cs="Arial"/>
        </w:rPr>
        <w:t xml:space="preserve"> and </w:t>
      </w:r>
      <m:oMath>
        <m:sSub>
          <m:sSubPr>
            <m:ctrlPr>
              <w:rPr>
                <w:rFonts w:ascii="Cambria Math" w:eastAsiaTheme="minorEastAsia" w:hAnsi="Cambria Math" w:cs="Arial"/>
              </w:rPr>
            </m:ctrlPr>
          </m:sSubPr>
          <m:e>
            <m:r>
              <w:rPr>
                <w:rFonts w:ascii="Cambria Math" w:eastAsiaTheme="minorEastAsia" w:hAnsi="Cambria Math" w:cs="Arial"/>
              </w:rPr>
              <m:t>Z</m:t>
            </m:r>
          </m:e>
          <m:sub>
            <m:r>
              <w:rPr>
                <w:rFonts w:ascii="Cambria Math" w:eastAsiaTheme="minorEastAsia" w:hAnsi="Cambria Math" w:cs="Arial"/>
              </w:rPr>
              <m:t>c</m:t>
            </m:r>
          </m:sub>
        </m:sSub>
      </m:oMath>
      <w:r w:rsidR="00406D79">
        <w:rPr>
          <w:rFonts w:eastAsiaTheme="minorEastAsia" w:cs="Arial"/>
        </w:rPr>
        <w:t xml:space="preserve"> </w:t>
      </w:r>
      <w:r w:rsidR="00406D79" w:rsidRPr="006B46F9">
        <w:rPr>
          <w:rFonts w:eastAsiaTheme="minorEastAsia" w:cs="Arial"/>
        </w:rPr>
        <w:t>correspon</w:t>
      </w:r>
      <w:r w:rsidR="00406D79">
        <w:rPr>
          <w:rFonts w:eastAsiaTheme="minorEastAsia" w:cs="Arial"/>
        </w:rPr>
        <w:t>d</w:t>
      </w:r>
      <w:r w:rsidR="00406D79" w:rsidRPr="006B46F9">
        <w:rPr>
          <w:rFonts w:eastAsiaTheme="minorEastAsia" w:cs="Arial"/>
        </w:rPr>
        <w:t xml:space="preserve"> to the critical temperature</w:t>
      </w:r>
      <w:r w:rsidR="00406D79">
        <w:rPr>
          <w:rFonts w:eastAsiaTheme="minorEastAsia" w:cs="Arial"/>
        </w:rPr>
        <w:t xml:space="preserve"> (K)</w:t>
      </w:r>
      <w:r w:rsidR="00406D79" w:rsidRPr="006B46F9">
        <w:rPr>
          <w:rFonts w:eastAsiaTheme="minorEastAsia" w:cs="Arial"/>
        </w:rPr>
        <w:t>, critical pressure</w:t>
      </w:r>
      <w:r w:rsidR="00406D79">
        <w:rPr>
          <w:rFonts w:eastAsiaTheme="minorEastAsia" w:cs="Arial"/>
        </w:rPr>
        <w:t xml:space="preserve"> (bar)</w:t>
      </w:r>
      <w:r w:rsidR="00406D79" w:rsidRPr="006B46F9">
        <w:rPr>
          <w:rFonts w:eastAsiaTheme="minorEastAsia" w:cs="Arial"/>
        </w:rPr>
        <w:t xml:space="preserve">, </w:t>
      </w:r>
      <w:r w:rsidR="00406D79">
        <w:rPr>
          <w:rFonts w:eastAsiaTheme="minorEastAsia" w:cs="Arial"/>
        </w:rPr>
        <w:t xml:space="preserve">critical molar volume </w:t>
      </w:r>
      <m:oMath>
        <m:d>
          <m:dPr>
            <m:ctrlPr>
              <w:rPr>
                <w:rFonts w:ascii="Cambria Math" w:eastAsiaTheme="minorEastAsia" w:hAnsi="Cambria Math" w:cs="Arial"/>
                <w:i/>
              </w:rPr>
            </m:ctrlPr>
          </m:dPr>
          <m:e>
            <m:f>
              <m:fPr>
                <m:type m:val="lin"/>
                <m:ctrlPr>
                  <w:rPr>
                    <w:rFonts w:ascii="Cambria Math" w:eastAsiaTheme="minorEastAsia" w:hAnsi="Cambria Math" w:cs="Arial"/>
                    <w:i/>
                  </w:rPr>
                </m:ctrlPr>
              </m:fPr>
              <m:num>
                <m:sSup>
                  <m:sSupPr>
                    <m:ctrlPr>
                      <w:rPr>
                        <w:rFonts w:ascii="Cambria Math" w:eastAsiaTheme="minorEastAsia" w:hAnsi="Cambria Math" w:cs="Arial"/>
                        <w:i/>
                      </w:rPr>
                    </m:ctrlPr>
                  </m:sSupPr>
                  <m:e>
                    <m:r>
                      <m:rPr>
                        <m:nor/>
                      </m:rPr>
                      <w:rPr>
                        <w:rFonts w:ascii="Cambria Math" w:eastAsiaTheme="minorEastAsia" w:hAnsi="Cambria Math" w:cs="Arial"/>
                      </w:rPr>
                      <m:t>cm</m:t>
                    </m:r>
                  </m:e>
                  <m:sup>
                    <m:r>
                      <m:rPr>
                        <m:nor/>
                      </m:rPr>
                      <w:rPr>
                        <w:rFonts w:ascii="Cambria Math" w:eastAsiaTheme="minorEastAsia" w:hAnsi="Cambria Math" w:cs="Arial"/>
                      </w:rPr>
                      <m:t>3</m:t>
                    </m:r>
                  </m:sup>
                </m:sSup>
              </m:num>
              <m:den>
                <m:r>
                  <m:rPr>
                    <m:nor/>
                  </m:rPr>
                  <w:rPr>
                    <w:rFonts w:ascii="Cambria Math" w:eastAsiaTheme="minorEastAsia" w:hAnsi="Cambria Math" w:cs="Arial"/>
                  </w:rPr>
                  <m:t>mol</m:t>
                </m:r>
              </m:den>
            </m:f>
          </m:e>
        </m:d>
      </m:oMath>
      <w:r w:rsidR="00406D79">
        <w:rPr>
          <w:rFonts w:eastAsiaTheme="minorEastAsia" w:cs="Arial"/>
        </w:rPr>
        <w:t xml:space="preserve"> </w:t>
      </w:r>
      <w:r w:rsidR="00406D79" w:rsidRPr="006B46F9">
        <w:rPr>
          <w:rFonts w:eastAsiaTheme="minorEastAsia" w:cs="Arial"/>
        </w:rPr>
        <w:t xml:space="preserve">and </w:t>
      </w:r>
      <w:r w:rsidR="00406D79">
        <w:rPr>
          <w:rFonts w:eastAsiaTheme="minorEastAsia" w:cs="Arial"/>
        </w:rPr>
        <w:t>compressibility</w:t>
      </w:r>
      <w:r w:rsidR="00406D79" w:rsidRPr="006B46F9">
        <w:rPr>
          <w:rFonts w:eastAsiaTheme="minorEastAsia" w:cs="Arial"/>
        </w:rPr>
        <w:t xml:space="preserve"> facto</w:t>
      </w:r>
      <w:r w:rsidR="00406D79">
        <w:rPr>
          <w:rFonts w:eastAsiaTheme="minorEastAsia" w:cs="Arial"/>
        </w:rPr>
        <w:t>r of the pure component, respectively</w:t>
      </w:r>
      <w:r w:rsidR="00406D79" w:rsidRPr="006B46F9">
        <w:rPr>
          <w:rFonts w:eastAsiaTheme="minorEastAsia" w:cs="Arial"/>
        </w:rPr>
        <w:t>.</w:t>
      </w:r>
    </w:p>
    <w:p w14:paraId="48C03E2E" w14:textId="77777777" w:rsidR="00406D79" w:rsidRDefault="00406D79" w:rsidP="00406D79">
      <w:pPr>
        <w:rPr>
          <w:rFonts w:eastAsiaTheme="minorEastAsia" w:cs="Arial"/>
        </w:rPr>
      </w:pPr>
    </w:p>
    <w:p w14:paraId="5CC125C8" w14:textId="7417AB08" w:rsidR="00406D79" w:rsidRDefault="00406D79" w:rsidP="00406D79">
      <w:pPr>
        <w:pStyle w:val="CETBodytext"/>
      </w:pPr>
      <w:r>
        <w:t>The cubic form of the Clausius equation effectively represents both attractive and repulsive interactions whil</w:t>
      </w:r>
      <w:r w:rsidR="00344566">
        <w:t>st</w:t>
      </w:r>
      <w:r>
        <w:t xml:space="preserve"> preserving the mathematical simplicity characteristic of cubic equations of state. Its flexibility is further enhanced by including temperature-dependent alpha functions, improving its capacity to predict thermodynamic properties and phase transitions in complex systems.</w:t>
      </w:r>
    </w:p>
    <w:p w14:paraId="5552E729" w14:textId="7A42E547" w:rsidR="00406D79" w:rsidRPr="00B57B36" w:rsidRDefault="00406D79" w:rsidP="002D3486">
      <w:pPr>
        <w:pStyle w:val="CETheadingx"/>
      </w:pPr>
      <w:r>
        <w:t xml:space="preserve">The Melhem and </w:t>
      </w:r>
      <w:proofErr w:type="spellStart"/>
      <w:r>
        <w:t>Stryjek</w:t>
      </w:r>
      <w:proofErr w:type="spellEnd"/>
      <w:r>
        <w:t xml:space="preserve">-Vera </w:t>
      </w:r>
      <w:r w:rsidR="00272F51">
        <w:rPr>
          <w:bCs/>
        </w:rPr>
        <w:t>a</w:t>
      </w:r>
      <w:r w:rsidRPr="00272F51">
        <w:rPr>
          <w:bCs/>
        </w:rPr>
        <w:t>lpha</w:t>
      </w:r>
      <w:r>
        <w:rPr>
          <w:bCs/>
          <w:i/>
          <w:iCs/>
        </w:rPr>
        <w:t xml:space="preserve"> </w:t>
      </w:r>
      <m:oMath>
        <m:d>
          <m:dPr>
            <m:ctrlPr>
              <w:rPr>
                <w:rFonts w:ascii="Cambria Math" w:hAnsi="Cambria Math"/>
                <w:bCs/>
                <w:i/>
                <w:iCs/>
              </w:rPr>
            </m:ctrlPr>
          </m:dPr>
          <m:e>
            <m:r>
              <m:rPr>
                <m:sty m:val="bi"/>
              </m:rPr>
              <w:rPr>
                <w:rFonts w:ascii="Cambria Math" w:hAnsi="Cambria Math"/>
              </w:rPr>
              <m:t>α</m:t>
            </m:r>
          </m:e>
        </m:d>
      </m:oMath>
      <w:r>
        <w:rPr>
          <w:bCs/>
        </w:rPr>
        <w:t xml:space="preserve"> </w:t>
      </w:r>
      <w:r>
        <w:t>functions</w:t>
      </w:r>
    </w:p>
    <w:p w14:paraId="687B00CF" w14:textId="0A5F095D" w:rsidR="00406D79" w:rsidRDefault="00406D79" w:rsidP="00406D79">
      <w:pPr>
        <w:pStyle w:val="CETBodytext"/>
        <w:rPr>
          <w:lang w:val="en-GB"/>
        </w:rPr>
      </w:pPr>
      <w:r w:rsidRPr="00311144">
        <w:rPr>
          <w:lang w:val="en-GB"/>
        </w:rPr>
        <w:t xml:space="preserve">This work considered two specific </w:t>
      </w:r>
      <w:r w:rsidRPr="00272F51">
        <w:rPr>
          <w:lang w:val="en-GB"/>
        </w:rPr>
        <w:t>alpha</w:t>
      </w:r>
      <w:r w:rsidRPr="00311144">
        <w:rPr>
          <w:lang w:val="en-GB"/>
        </w:rPr>
        <w:t xml:space="preserve"> functions:</w:t>
      </w:r>
      <w:r>
        <w:rPr>
          <w:lang w:val="en-GB"/>
        </w:rPr>
        <w:t xml:space="preserve"> the one proposed by</w:t>
      </w:r>
      <w:r w:rsidRPr="00311144">
        <w:rPr>
          <w:lang w:val="en-GB"/>
        </w:rPr>
        <w:t xml:space="preserve"> </w:t>
      </w:r>
      <w:proofErr w:type="spellStart"/>
      <w:r w:rsidRPr="00311144">
        <w:rPr>
          <w:lang w:val="en-GB"/>
        </w:rPr>
        <w:t>Stryjek</w:t>
      </w:r>
      <w:proofErr w:type="spellEnd"/>
      <w:r w:rsidRPr="00311144">
        <w:rPr>
          <w:lang w:val="en-GB"/>
        </w:rPr>
        <w:t>-Vera</w:t>
      </w:r>
      <w:r>
        <w:rPr>
          <w:lang w:val="en-GB"/>
        </w:rPr>
        <w:t xml:space="preserve"> </w:t>
      </w:r>
      <w:r w:rsidR="00451EDC">
        <w:rPr>
          <w:lang w:val="en-GB"/>
        </w:rPr>
        <w:t>(</w:t>
      </w:r>
      <w:proofErr w:type="spellStart"/>
      <w:r w:rsidR="00451EDC">
        <w:rPr>
          <w:lang w:val="en-GB"/>
        </w:rPr>
        <w:t>Stryjek</w:t>
      </w:r>
      <w:proofErr w:type="spellEnd"/>
      <w:r w:rsidR="00451EDC">
        <w:rPr>
          <w:lang w:val="en-GB"/>
        </w:rPr>
        <w:t xml:space="preserve"> and Vera, 1986)</w:t>
      </w:r>
      <w:r w:rsidRPr="00311144">
        <w:rPr>
          <w:lang w:val="en-GB"/>
        </w:rPr>
        <w:t xml:space="preserve"> and </w:t>
      </w:r>
      <w:r>
        <w:rPr>
          <w:lang w:val="en-GB"/>
        </w:rPr>
        <w:t xml:space="preserve">the other introduced by </w:t>
      </w:r>
      <w:r w:rsidRPr="00311144">
        <w:rPr>
          <w:lang w:val="en-GB"/>
        </w:rPr>
        <w:t xml:space="preserve">Melhem </w:t>
      </w:r>
      <w:r w:rsidRPr="00272F51">
        <w:rPr>
          <w:lang w:val="en-GB"/>
        </w:rPr>
        <w:t>(</w:t>
      </w:r>
      <w:r w:rsidR="00451EDC" w:rsidRPr="00272F51">
        <w:rPr>
          <w:lang w:val="en-GB"/>
        </w:rPr>
        <w:t>Melhem et al., 1989</w:t>
      </w:r>
      <w:r w:rsidRPr="00272F51">
        <w:rPr>
          <w:lang w:val="en-GB"/>
        </w:rPr>
        <w:t>).</w:t>
      </w:r>
    </w:p>
    <w:p w14:paraId="51DAFB23" w14:textId="77777777" w:rsidR="00406D79" w:rsidRDefault="00406D79" w:rsidP="00406D79">
      <w:pPr>
        <w:pStyle w:val="CETBodytext"/>
        <w:rPr>
          <w:lang w:val="en-GB"/>
        </w:rPr>
      </w:pPr>
    </w:p>
    <w:p w14:paraId="58E143CE" w14:textId="4DA276E6" w:rsidR="00406D79" w:rsidRDefault="00406D79" w:rsidP="00406D79">
      <w:pPr>
        <w:pStyle w:val="CETBodytext"/>
        <w:rPr>
          <w:lang w:val="en-GB"/>
        </w:rPr>
      </w:pPr>
      <w:r w:rsidRPr="00653668">
        <w:rPr>
          <w:lang w:val="en-GB"/>
        </w:rPr>
        <w:t xml:space="preserve">The alpha function proposed by </w:t>
      </w:r>
      <w:r>
        <w:rPr>
          <w:lang w:val="en-GB"/>
        </w:rPr>
        <w:t xml:space="preserve">authors R. </w:t>
      </w:r>
      <w:proofErr w:type="spellStart"/>
      <w:r w:rsidRPr="00653668">
        <w:rPr>
          <w:lang w:val="en-GB"/>
        </w:rPr>
        <w:t>Stryjek</w:t>
      </w:r>
      <w:proofErr w:type="spellEnd"/>
      <w:r>
        <w:rPr>
          <w:lang w:val="en-GB"/>
        </w:rPr>
        <w:t xml:space="preserve"> and Juan H. </w:t>
      </w:r>
      <w:r w:rsidRPr="00653668">
        <w:rPr>
          <w:lang w:val="en-GB"/>
        </w:rPr>
        <w:t xml:space="preserve">Vera </w:t>
      </w:r>
      <w:r>
        <w:rPr>
          <w:lang w:val="en-GB"/>
        </w:rPr>
        <w:t xml:space="preserve">modifies </w:t>
      </w:r>
      <w:r w:rsidRPr="00653668">
        <w:rPr>
          <w:lang w:val="en-GB"/>
        </w:rPr>
        <w:t xml:space="preserve">Soave's original </w:t>
      </w:r>
      <w:r w:rsidRPr="00272F51">
        <w:rPr>
          <w:lang w:val="en-GB"/>
        </w:rPr>
        <w:t>alpha</w:t>
      </w:r>
      <w:r w:rsidRPr="00653668">
        <w:rPr>
          <w:lang w:val="en-GB"/>
        </w:rPr>
        <w:t xml:space="preserve"> </w:t>
      </w:r>
      <w:r w:rsidRPr="00272F51">
        <w:rPr>
          <w:lang w:val="en-GB"/>
        </w:rPr>
        <w:t>(</w:t>
      </w:r>
      <w:r w:rsidR="00272F51">
        <w:rPr>
          <w:lang w:val="en-GB"/>
        </w:rPr>
        <w:t>Soave, 1972)</w:t>
      </w:r>
      <w:r w:rsidRPr="00653668">
        <w:rPr>
          <w:lang w:val="en-GB"/>
        </w:rPr>
        <w:t xml:space="preserve"> </w:t>
      </w:r>
      <w:r>
        <w:rPr>
          <w:lang w:val="en-GB"/>
        </w:rPr>
        <w:t xml:space="preserve">by adding a correction based on </w:t>
      </w:r>
      <w:r w:rsidRPr="00653668">
        <w:rPr>
          <w:lang w:val="en-GB"/>
        </w:rPr>
        <w:t>two adjustable parameters.</w:t>
      </w:r>
    </w:p>
    <w:tbl>
      <w:tblPr>
        <w:tblW w:w="8640" w:type="dxa"/>
        <w:tblInd w:w="72" w:type="dxa"/>
        <w:tblLayout w:type="fixed"/>
        <w:tblLook w:val="04A0" w:firstRow="1" w:lastRow="0" w:firstColumn="1" w:lastColumn="0" w:noHBand="0" w:noVBand="1"/>
      </w:tblPr>
      <w:tblGrid>
        <w:gridCol w:w="7817"/>
        <w:gridCol w:w="823"/>
      </w:tblGrid>
      <w:tr w:rsidR="00406D79" w14:paraId="0F9CE73D" w14:textId="77777777" w:rsidTr="00A737C1">
        <w:trPr>
          <w:trHeight w:val="454"/>
        </w:trPr>
        <w:tc>
          <w:tcPr>
            <w:tcW w:w="7817" w:type="dxa"/>
            <w:shd w:val="clear" w:color="auto" w:fill="auto"/>
            <w:vAlign w:val="center"/>
          </w:tcPr>
          <w:p w14:paraId="54F32AB9" w14:textId="64AB2D5F" w:rsidR="00406D79" w:rsidRPr="005852DB" w:rsidRDefault="00406D79" w:rsidP="00A737C1">
            <w:pPr>
              <w:pStyle w:val="CETEquation"/>
              <w:widowControl w:val="0"/>
            </w:pPr>
            <m:oMath>
              <m:r>
                <w:rPr>
                  <w:rFonts w:ascii="Cambria Math" w:eastAsiaTheme="minorEastAsia" w:hAnsi="Cambria Math" w:cs="Arial"/>
                </w:rPr>
                <m:t>α=</m:t>
              </m:r>
              <m:sSup>
                <m:sSupPr>
                  <m:ctrlPr>
                    <w:rPr>
                      <w:rFonts w:ascii="Cambria Math" w:eastAsiaTheme="minorEastAsia" w:hAnsi="Cambria Math" w:cs="Arial"/>
                      <w:i/>
                    </w:rPr>
                  </m:ctrlPr>
                </m:sSupPr>
                <m:e>
                  <m:d>
                    <m:dPr>
                      <m:begChr m:val="["/>
                      <m:endChr m:val="]"/>
                      <m:ctrlPr>
                        <w:rPr>
                          <w:rFonts w:ascii="Cambria Math" w:eastAsiaTheme="minorEastAsia" w:hAnsi="Cambria Math" w:cs="Arial"/>
                          <w:i/>
                        </w:rPr>
                      </m:ctrlPr>
                    </m:dPr>
                    <m:e>
                      <m:r>
                        <w:rPr>
                          <w:rFonts w:ascii="Cambria Math" w:eastAsiaTheme="minorEastAsia" w:hAnsi="Cambria Math" w:cs="Arial"/>
                        </w:rPr>
                        <m:t>1+κ</m:t>
                      </m:r>
                      <m:d>
                        <m:dPr>
                          <m:ctrlPr>
                            <w:rPr>
                              <w:rFonts w:ascii="Cambria Math" w:eastAsiaTheme="minorEastAsia" w:hAnsi="Cambria Math" w:cs="Arial"/>
                              <w:i/>
                            </w:rPr>
                          </m:ctrlPr>
                        </m:dPr>
                        <m:e>
                          <m:r>
                            <w:rPr>
                              <w:rFonts w:ascii="Cambria Math" w:eastAsiaTheme="minorEastAsia" w:hAnsi="Cambria Math" w:cs="Arial"/>
                            </w:rPr>
                            <m:t>1-</m:t>
                          </m:r>
                          <m:sSubSup>
                            <m:sSubSupPr>
                              <m:ctrlPr>
                                <w:rPr>
                                  <w:rFonts w:ascii="Cambria Math" w:eastAsiaTheme="minorEastAsia" w:hAnsi="Cambria Math" w:cs="Arial"/>
                                  <w:i/>
                                </w:rPr>
                              </m:ctrlPr>
                            </m:sSubSupPr>
                            <m:e>
                              <m:r>
                                <w:rPr>
                                  <w:rFonts w:ascii="Cambria Math" w:eastAsiaTheme="minorEastAsia" w:hAnsi="Cambria Math" w:cs="Arial"/>
                                </w:rPr>
                                <m:t>T</m:t>
                              </m:r>
                            </m:e>
                            <m:sub>
                              <m:r>
                                <w:rPr>
                                  <w:rFonts w:ascii="Cambria Math" w:eastAsiaTheme="minorEastAsia" w:hAnsi="Cambria Math" w:cs="Arial"/>
                                </w:rPr>
                                <m:t>R</m:t>
                              </m:r>
                            </m:sub>
                            <m:sup>
                              <m:r>
                                <w:rPr>
                                  <w:rFonts w:ascii="Cambria Math" w:eastAsiaTheme="minorEastAsia" w:hAnsi="Cambria Math" w:cs="Arial"/>
                                </w:rPr>
                                <m:t>0.5</m:t>
                              </m:r>
                            </m:sup>
                          </m:sSubSup>
                        </m:e>
                      </m:d>
                    </m:e>
                  </m:d>
                </m:e>
                <m:sup>
                  <m:r>
                    <w:rPr>
                      <w:rFonts w:ascii="Cambria Math" w:eastAsiaTheme="minorEastAsia" w:hAnsi="Cambria Math" w:cs="Arial"/>
                    </w:rPr>
                    <m:t>2</m:t>
                  </m:r>
                </m:sup>
              </m:s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T</m:t>
                  </m:r>
                </m:num>
                <m:den>
                  <m:sSub>
                    <m:sSubPr>
                      <m:ctrlPr>
                        <w:rPr>
                          <w:rFonts w:ascii="Cambria Math" w:hAnsi="Cambria Math"/>
                          <w:i/>
                        </w:rPr>
                      </m:ctrlPr>
                    </m:sSubPr>
                    <m:e>
                      <m:r>
                        <w:rPr>
                          <w:rFonts w:ascii="Cambria Math" w:hAnsi="Cambria Math"/>
                        </w:rPr>
                        <m:t>T</m:t>
                      </m:r>
                    </m:e>
                    <m:sub>
                      <m:r>
                        <w:rPr>
                          <w:rFonts w:ascii="Cambria Math" w:hAnsi="Cambria Math"/>
                        </w:rPr>
                        <m:t>c</m:t>
                      </m:r>
                    </m:sub>
                  </m:sSub>
                </m:den>
              </m:f>
            </m:oMath>
          </w:p>
        </w:tc>
        <w:tc>
          <w:tcPr>
            <w:tcW w:w="823" w:type="dxa"/>
            <w:shd w:val="clear" w:color="auto" w:fill="auto"/>
            <w:vAlign w:val="center"/>
          </w:tcPr>
          <w:p w14:paraId="0FBAE2D6" w14:textId="77777777" w:rsidR="00406D79" w:rsidRPr="005852DB" w:rsidRDefault="00406D79" w:rsidP="00A737C1">
            <w:pPr>
              <w:pStyle w:val="CETEquation"/>
              <w:widowControl w:val="0"/>
              <w:jc w:val="right"/>
            </w:pPr>
            <w:r w:rsidRPr="005852DB">
              <w:t>(</w:t>
            </w:r>
            <w:r>
              <w:t>5</w:t>
            </w:r>
            <w:r w:rsidRPr="005852DB">
              <w:t>)</w:t>
            </w:r>
          </w:p>
        </w:tc>
      </w:tr>
    </w:tbl>
    <w:p w14:paraId="115FCB2E" w14:textId="4574D254" w:rsidR="00406D79" w:rsidRDefault="00406D79" w:rsidP="00406D79">
      <w:pPr>
        <w:pStyle w:val="CETBodytext"/>
        <w:rPr>
          <w:lang w:val="en-GB"/>
        </w:rPr>
      </w:pPr>
      <m:oMath>
        <m:r>
          <w:rPr>
            <w:rFonts w:ascii="Cambria Math" w:eastAsiaTheme="minorEastAsia" w:hAnsi="Cambria Math" w:cs="Arial"/>
          </w:rPr>
          <m:t>κ</m:t>
        </m:r>
      </m:oMath>
      <w:r>
        <w:rPr>
          <w:lang w:val="en-GB"/>
        </w:rPr>
        <w:t xml:space="preserve"> is a function of the acentric factor </w:t>
      </w:r>
      <m:oMath>
        <m:d>
          <m:dPr>
            <m:ctrlPr>
              <w:rPr>
                <w:rFonts w:ascii="Cambria Math" w:eastAsiaTheme="minorEastAsia" w:hAnsi="Cambria Math" w:cs="Arial"/>
                <w:i/>
                <w:szCs w:val="18"/>
              </w:rPr>
            </m:ctrlPr>
          </m:dPr>
          <m:e>
            <m:r>
              <w:rPr>
                <w:rFonts w:ascii="Cambria Math" w:eastAsiaTheme="minorEastAsia" w:hAnsi="Cambria Math" w:cs="Arial"/>
                <w:szCs w:val="18"/>
              </w:rPr>
              <m:t>ω</m:t>
            </m:r>
          </m:e>
        </m:d>
      </m:oMath>
      <w:r w:rsidR="00087D07">
        <w:rPr>
          <w:szCs w:val="18"/>
        </w:rPr>
        <w:t xml:space="preserve"> and </w:t>
      </w:r>
      <w:r>
        <w:rPr>
          <w:lang w:val="en-GB"/>
        </w:rPr>
        <w:t xml:space="preserve"> </w:t>
      </w:r>
      <m:oMath>
        <m:sSub>
          <m:sSubPr>
            <m:ctrlPr>
              <w:rPr>
                <w:rFonts w:ascii="Cambria Math" w:hAnsi="Cambria Math"/>
                <w:i/>
              </w:rPr>
            </m:ctrlPr>
          </m:sSubPr>
          <m:e>
            <m:r>
              <w:rPr>
                <w:rFonts w:ascii="Cambria Math" w:hAnsi="Cambria Math"/>
              </w:rPr>
              <m:t>T</m:t>
            </m:r>
          </m:e>
          <m:sub>
            <m:r>
              <w:rPr>
                <w:rFonts w:ascii="Cambria Math" w:hAnsi="Cambria Math"/>
              </w:rPr>
              <m:t>R</m:t>
            </m:r>
          </m:sub>
        </m:sSub>
      </m:oMath>
      <w:r w:rsidR="00087D07">
        <w:rPr>
          <w:lang w:val="en-GB"/>
        </w:rPr>
        <w:t xml:space="preserve"> corresponds to the reduced </w:t>
      </w:r>
      <w:r w:rsidR="00C865C3">
        <w:rPr>
          <w:lang w:val="en-GB"/>
        </w:rPr>
        <w:t>temperature</w:t>
      </w:r>
      <w:r w:rsidR="00087D07">
        <w:rPr>
          <w:lang w:val="en-GB"/>
        </w:rPr>
        <w:t>.</w:t>
      </w:r>
    </w:p>
    <w:p w14:paraId="23026A25" w14:textId="77777777" w:rsidR="00406D79" w:rsidRDefault="00406D79" w:rsidP="00406D79">
      <w:pPr>
        <w:pStyle w:val="CETBodytext"/>
        <w:rPr>
          <w:lang w:val="en-GB"/>
        </w:rPr>
      </w:pPr>
    </w:p>
    <w:p w14:paraId="2EAEDD64" w14:textId="6674829F" w:rsidR="00406D79" w:rsidRDefault="00406D79" w:rsidP="00406D79">
      <w:pPr>
        <w:pStyle w:val="CETBodytext"/>
        <w:rPr>
          <w:lang w:val="en-GB"/>
        </w:rPr>
      </w:pPr>
      <w:proofErr w:type="spellStart"/>
      <w:r w:rsidRPr="00947D72">
        <w:rPr>
          <w:lang w:val="en-GB"/>
        </w:rPr>
        <w:t>S</w:t>
      </w:r>
      <w:r>
        <w:rPr>
          <w:lang w:val="en-GB"/>
        </w:rPr>
        <w:t>tryjek</w:t>
      </w:r>
      <w:proofErr w:type="spellEnd"/>
      <w:r>
        <w:rPr>
          <w:lang w:val="en-GB"/>
        </w:rPr>
        <w:t>-Vera</w:t>
      </w:r>
      <w:r w:rsidR="00E644F6">
        <w:rPr>
          <w:lang w:val="en-GB"/>
        </w:rPr>
        <w:t xml:space="preserve"> (SV)</w:t>
      </w:r>
      <w:r w:rsidRPr="00947D72">
        <w:rPr>
          <w:lang w:val="en-GB"/>
        </w:rPr>
        <w:t xml:space="preserve"> </w:t>
      </w:r>
      <w:r>
        <w:rPr>
          <w:lang w:val="en-GB"/>
        </w:rPr>
        <w:t>adjusted</w:t>
      </w:r>
      <w:r w:rsidRPr="00947D72">
        <w:rPr>
          <w:lang w:val="en-GB"/>
        </w:rPr>
        <w:t xml:space="preserve"> the independent term </w:t>
      </w:r>
      <m:oMath>
        <m:r>
          <w:rPr>
            <w:rFonts w:ascii="Cambria Math" w:eastAsiaTheme="minorEastAsia" w:hAnsi="Cambria Math" w:cs="Arial"/>
          </w:rPr>
          <m:t>κ</m:t>
        </m:r>
      </m:oMath>
      <w:r w:rsidRPr="00947D72">
        <w:rPr>
          <w:lang w:val="en-GB"/>
        </w:rPr>
        <w:t xml:space="preserve">, and with this correction, they </w:t>
      </w:r>
      <w:r>
        <w:rPr>
          <w:lang w:val="en-GB"/>
        </w:rPr>
        <w:t>improved</w:t>
      </w:r>
      <w:r w:rsidRPr="00947D72">
        <w:rPr>
          <w:lang w:val="en-GB"/>
        </w:rPr>
        <w:t xml:space="preserve"> the vapo</w:t>
      </w:r>
      <w:r w:rsidR="00344566">
        <w:rPr>
          <w:lang w:val="en-GB"/>
        </w:rPr>
        <w:t>u</w:t>
      </w:r>
      <w:r w:rsidRPr="00947D72">
        <w:rPr>
          <w:lang w:val="en-GB"/>
        </w:rPr>
        <w:t>r pressure estimates from the triple point to the normal boiling point. The expression they proposed is as follows:</w:t>
      </w:r>
    </w:p>
    <w:tbl>
      <w:tblPr>
        <w:tblW w:w="8640" w:type="dxa"/>
        <w:tblInd w:w="72" w:type="dxa"/>
        <w:tblLayout w:type="fixed"/>
        <w:tblLook w:val="04A0" w:firstRow="1" w:lastRow="0" w:firstColumn="1" w:lastColumn="0" w:noHBand="0" w:noVBand="1"/>
      </w:tblPr>
      <w:tblGrid>
        <w:gridCol w:w="7817"/>
        <w:gridCol w:w="823"/>
      </w:tblGrid>
      <w:tr w:rsidR="00406D79" w:rsidRPr="0081325A" w14:paraId="3146A53E" w14:textId="77777777" w:rsidTr="00A737C1">
        <w:trPr>
          <w:trHeight w:val="454"/>
        </w:trPr>
        <w:tc>
          <w:tcPr>
            <w:tcW w:w="7817" w:type="dxa"/>
            <w:shd w:val="clear" w:color="auto" w:fill="auto"/>
            <w:vAlign w:val="center"/>
          </w:tcPr>
          <w:p w14:paraId="057017E7" w14:textId="77777777" w:rsidR="00406D79" w:rsidRPr="0081325A" w:rsidRDefault="00406D79" w:rsidP="00A737C1">
            <w:pPr>
              <w:pStyle w:val="CETEquation"/>
              <w:widowControl w:val="0"/>
            </w:pPr>
            <m:oMath>
              <m:r>
                <w:rPr>
                  <w:rFonts w:ascii="Cambria Math" w:eastAsiaTheme="minorEastAsia" w:hAnsi="Cambria Math" w:cs="Arial"/>
                </w:rPr>
                <m:t>κ=</m:t>
              </m:r>
              <m:sSub>
                <m:sSubPr>
                  <m:ctrlPr>
                    <w:rPr>
                      <w:rFonts w:ascii="Cambria Math" w:eastAsiaTheme="minorEastAsia" w:hAnsi="Cambria Math" w:cs="Arial"/>
                      <w:i/>
                    </w:rPr>
                  </m:ctrlPr>
                </m:sSubPr>
                <m:e>
                  <m:r>
                    <w:rPr>
                      <w:rFonts w:ascii="Cambria Math" w:eastAsiaTheme="minorEastAsia" w:hAnsi="Cambria Math" w:cs="Arial"/>
                    </w:rPr>
                    <m:t>κ</m:t>
                  </m:r>
                </m:e>
                <m:sub>
                  <m:r>
                    <w:rPr>
                      <w:rFonts w:ascii="Cambria Math" w:eastAsiaTheme="minorEastAsia" w:hAnsi="Cambria Math" w:cs="Arial"/>
                    </w:rPr>
                    <m:t>0</m:t>
                  </m:r>
                </m:sub>
              </m:sSub>
              <m:r>
                <w:rPr>
                  <w:rFonts w:ascii="Cambria Math" w:eastAsiaTheme="minorEastAsia" w:hAnsi="Cambria Math" w:cs="Arial"/>
                </w:rPr>
                <m:t>+</m:t>
              </m:r>
              <m:sSub>
                <m:sSubPr>
                  <m:ctrlPr>
                    <w:rPr>
                      <w:rFonts w:ascii="Cambria Math" w:eastAsiaTheme="minorEastAsia" w:hAnsi="Cambria Math" w:cs="Arial"/>
                      <w:i/>
                    </w:rPr>
                  </m:ctrlPr>
                </m:sSubPr>
                <m:e>
                  <m:r>
                    <w:rPr>
                      <w:rFonts w:ascii="Cambria Math" w:eastAsiaTheme="minorEastAsia" w:hAnsi="Cambria Math" w:cs="Arial"/>
                    </w:rPr>
                    <m:t>κ</m:t>
                  </m:r>
                </m:e>
                <m:sub>
                  <m:r>
                    <w:rPr>
                      <w:rFonts w:ascii="Cambria Math" w:eastAsiaTheme="minorEastAsia" w:hAnsi="Cambria Math" w:cs="Arial"/>
                    </w:rPr>
                    <m:t>1</m:t>
                  </m:r>
                </m:sub>
              </m:sSub>
              <m:d>
                <m:dPr>
                  <m:ctrlPr>
                    <w:rPr>
                      <w:rFonts w:ascii="Cambria Math" w:eastAsiaTheme="minorEastAsia" w:hAnsi="Cambria Math" w:cs="Arial"/>
                      <w:i/>
                    </w:rPr>
                  </m:ctrlPr>
                </m:dPr>
                <m:e>
                  <m:r>
                    <w:rPr>
                      <w:rFonts w:ascii="Cambria Math" w:eastAsiaTheme="minorEastAsia" w:hAnsi="Cambria Math" w:cs="Arial"/>
                    </w:rPr>
                    <m:t>1-</m:t>
                  </m:r>
                  <m:sSubSup>
                    <m:sSubSupPr>
                      <m:ctrlPr>
                        <w:rPr>
                          <w:rFonts w:ascii="Cambria Math" w:eastAsiaTheme="minorEastAsia" w:hAnsi="Cambria Math" w:cs="Arial"/>
                          <w:i/>
                        </w:rPr>
                      </m:ctrlPr>
                    </m:sSubSupPr>
                    <m:e>
                      <m:r>
                        <w:rPr>
                          <w:rFonts w:ascii="Cambria Math" w:eastAsiaTheme="minorEastAsia" w:hAnsi="Cambria Math" w:cs="Arial"/>
                        </w:rPr>
                        <m:t>T</m:t>
                      </m:r>
                    </m:e>
                    <m:sub>
                      <m:r>
                        <w:rPr>
                          <w:rFonts w:ascii="Cambria Math" w:eastAsiaTheme="minorEastAsia" w:hAnsi="Cambria Math" w:cs="Arial"/>
                        </w:rPr>
                        <m:t>R</m:t>
                      </m:r>
                    </m:sub>
                    <m:sup>
                      <m:r>
                        <w:rPr>
                          <w:rFonts w:ascii="Cambria Math" w:eastAsiaTheme="minorEastAsia" w:hAnsi="Cambria Math" w:cs="Arial"/>
                        </w:rPr>
                        <m:t>0.5</m:t>
                      </m:r>
                    </m:sup>
                  </m:sSubSup>
                </m:e>
              </m:d>
              <m:d>
                <m:dPr>
                  <m:ctrlPr>
                    <w:rPr>
                      <w:rFonts w:ascii="Cambria Math" w:eastAsiaTheme="minorEastAsia" w:hAnsi="Cambria Math" w:cs="Arial"/>
                      <w:i/>
                    </w:rPr>
                  </m:ctrlPr>
                </m:dPr>
                <m:e>
                  <m:r>
                    <w:rPr>
                      <w:rFonts w:ascii="Cambria Math" w:eastAsiaTheme="minorEastAsia" w:hAnsi="Cambria Math" w:cs="Arial"/>
                    </w:rPr>
                    <m:t>0.7-</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R</m:t>
                      </m:r>
                    </m:sub>
                  </m:sSub>
                </m:e>
              </m:d>
            </m:oMath>
            <w:r w:rsidRPr="0081325A">
              <w:t xml:space="preserve"> </w:t>
            </w:r>
          </w:p>
        </w:tc>
        <w:tc>
          <w:tcPr>
            <w:tcW w:w="823" w:type="dxa"/>
            <w:shd w:val="clear" w:color="auto" w:fill="auto"/>
            <w:vAlign w:val="center"/>
          </w:tcPr>
          <w:p w14:paraId="3851B2D7" w14:textId="77777777" w:rsidR="00406D79" w:rsidRPr="0081325A" w:rsidRDefault="00406D79" w:rsidP="00A737C1">
            <w:pPr>
              <w:pStyle w:val="CETEquation"/>
              <w:widowControl w:val="0"/>
              <w:jc w:val="right"/>
            </w:pPr>
            <w:r w:rsidRPr="0081325A">
              <w:t>(6)</w:t>
            </w:r>
          </w:p>
        </w:tc>
      </w:tr>
    </w:tbl>
    <w:p w14:paraId="78947FF7" w14:textId="77777777" w:rsidR="00DD5D7C" w:rsidRDefault="00DD5D7C" w:rsidP="00406D79">
      <w:pPr>
        <w:pStyle w:val="CETBodytext"/>
        <w:rPr>
          <w:lang w:val="en-GB"/>
        </w:rPr>
      </w:pPr>
    </w:p>
    <w:p w14:paraId="753D1231" w14:textId="77777777" w:rsidR="00DD5D7C" w:rsidRDefault="00DD5D7C" w:rsidP="00406D79">
      <w:pPr>
        <w:pStyle w:val="CETBodytext"/>
        <w:rPr>
          <w:lang w:val="en-GB"/>
        </w:rPr>
      </w:pPr>
    </w:p>
    <w:p w14:paraId="1312C6C2" w14:textId="77777777" w:rsidR="00087D07" w:rsidRDefault="00087D07" w:rsidP="00406D79">
      <w:pPr>
        <w:pStyle w:val="CETBodytext"/>
        <w:rPr>
          <w:lang w:val="en-GB"/>
        </w:rPr>
      </w:pPr>
    </w:p>
    <w:p w14:paraId="7E3E0BC5" w14:textId="671B081A" w:rsidR="00406D79" w:rsidRDefault="00406D79" w:rsidP="00406D79">
      <w:pPr>
        <w:pStyle w:val="CETBodytext"/>
        <w:rPr>
          <w:lang w:val="en-GB"/>
        </w:rPr>
      </w:pPr>
      <w:r>
        <w:rPr>
          <w:lang w:val="en-GB"/>
        </w:rPr>
        <w:t>being,</w:t>
      </w:r>
    </w:p>
    <w:tbl>
      <w:tblPr>
        <w:tblW w:w="8640" w:type="dxa"/>
        <w:tblInd w:w="72" w:type="dxa"/>
        <w:tblLayout w:type="fixed"/>
        <w:tblLook w:val="04A0" w:firstRow="1" w:lastRow="0" w:firstColumn="1" w:lastColumn="0" w:noHBand="0" w:noVBand="1"/>
      </w:tblPr>
      <w:tblGrid>
        <w:gridCol w:w="7817"/>
        <w:gridCol w:w="823"/>
      </w:tblGrid>
      <w:tr w:rsidR="00406D79" w:rsidRPr="008E478D" w14:paraId="1F98F435" w14:textId="77777777" w:rsidTr="00A737C1">
        <w:trPr>
          <w:trHeight w:val="454"/>
        </w:trPr>
        <w:tc>
          <w:tcPr>
            <w:tcW w:w="7817" w:type="dxa"/>
            <w:shd w:val="clear" w:color="auto" w:fill="auto"/>
            <w:vAlign w:val="center"/>
          </w:tcPr>
          <w:p w14:paraId="2D567303" w14:textId="77777777" w:rsidR="00406D79" w:rsidRPr="008E478D" w:rsidRDefault="00000000" w:rsidP="00A737C1">
            <w:pPr>
              <w:pStyle w:val="CETEquation"/>
              <w:widowControl w:val="0"/>
            </w:pPr>
            <m:oMathPara>
              <m:oMathParaPr>
                <m:jc m:val="left"/>
              </m:oMathParaPr>
              <m:oMath>
                <m:sSub>
                  <m:sSubPr>
                    <m:ctrlPr>
                      <w:rPr>
                        <w:rFonts w:ascii="Cambria Math" w:eastAsiaTheme="minorEastAsia" w:hAnsi="Cambria Math" w:cs="Arial"/>
                        <w:i/>
                      </w:rPr>
                    </m:ctrlPr>
                  </m:sSubPr>
                  <m:e>
                    <m:r>
                      <w:rPr>
                        <w:rFonts w:ascii="Cambria Math" w:eastAsiaTheme="minorEastAsia" w:hAnsi="Cambria Math" w:cs="Arial"/>
                      </w:rPr>
                      <m:t>κ</m:t>
                    </m:r>
                  </m:e>
                  <m:sub>
                    <m:r>
                      <w:rPr>
                        <w:rFonts w:ascii="Cambria Math" w:eastAsiaTheme="minorEastAsia" w:hAnsi="Cambria Math" w:cs="Arial"/>
                      </w:rPr>
                      <m:t>0</m:t>
                    </m:r>
                  </m:sub>
                </m:sSub>
                <m:r>
                  <w:rPr>
                    <w:rFonts w:ascii="Cambria Math" w:eastAsiaTheme="minorEastAsia" w:hAnsi="Cambria Math" w:cs="Arial"/>
                  </w:rPr>
                  <m:t>=0.378893+1.4897153</m:t>
                </m:r>
                <m:r>
                  <w:rPr>
                    <w:rFonts w:ascii="Cambria Math" w:eastAsiaTheme="minorEastAsia" w:hAnsi="Cambria Math" w:cs="Arial"/>
                    <w:szCs w:val="18"/>
                  </w:rPr>
                  <m:t>ω-0.17131848</m:t>
                </m:r>
                <m:sSup>
                  <m:sSupPr>
                    <m:ctrlPr>
                      <w:rPr>
                        <w:rFonts w:ascii="Cambria Math" w:eastAsiaTheme="minorEastAsia" w:hAnsi="Cambria Math" w:cs="Arial"/>
                        <w:i/>
                        <w:szCs w:val="18"/>
                      </w:rPr>
                    </m:ctrlPr>
                  </m:sSupPr>
                  <m:e>
                    <m:r>
                      <w:rPr>
                        <w:rFonts w:ascii="Cambria Math" w:eastAsiaTheme="minorEastAsia" w:hAnsi="Cambria Math" w:cs="Arial"/>
                        <w:szCs w:val="18"/>
                      </w:rPr>
                      <m:t>ω</m:t>
                    </m:r>
                  </m:e>
                  <m:sup>
                    <m:r>
                      <w:rPr>
                        <w:rFonts w:ascii="Cambria Math" w:eastAsiaTheme="minorEastAsia" w:hAnsi="Cambria Math" w:cs="Arial"/>
                        <w:szCs w:val="18"/>
                      </w:rPr>
                      <m:t>2</m:t>
                    </m:r>
                  </m:sup>
                </m:sSup>
                <m:r>
                  <w:rPr>
                    <w:rFonts w:ascii="Cambria Math" w:eastAsiaTheme="minorEastAsia" w:hAnsi="Cambria Math" w:cs="Arial"/>
                    <w:szCs w:val="18"/>
                  </w:rPr>
                  <m:t>+0.0196554</m:t>
                </m:r>
                <m:sSup>
                  <m:sSupPr>
                    <m:ctrlPr>
                      <w:rPr>
                        <w:rFonts w:ascii="Cambria Math" w:eastAsiaTheme="minorEastAsia" w:hAnsi="Cambria Math" w:cs="Arial"/>
                        <w:i/>
                        <w:szCs w:val="18"/>
                      </w:rPr>
                    </m:ctrlPr>
                  </m:sSupPr>
                  <m:e>
                    <m:r>
                      <w:rPr>
                        <w:rFonts w:ascii="Cambria Math" w:eastAsiaTheme="minorEastAsia" w:hAnsi="Cambria Math" w:cs="Arial"/>
                        <w:szCs w:val="18"/>
                      </w:rPr>
                      <m:t>ω</m:t>
                    </m:r>
                  </m:e>
                  <m:sup>
                    <m:r>
                      <w:rPr>
                        <w:rFonts w:ascii="Cambria Math" w:eastAsiaTheme="minorEastAsia" w:hAnsi="Cambria Math" w:cs="Arial"/>
                        <w:szCs w:val="18"/>
                      </w:rPr>
                      <m:t>3</m:t>
                    </m:r>
                  </m:sup>
                </m:sSup>
              </m:oMath>
            </m:oMathPara>
          </w:p>
        </w:tc>
        <w:tc>
          <w:tcPr>
            <w:tcW w:w="823" w:type="dxa"/>
            <w:shd w:val="clear" w:color="auto" w:fill="auto"/>
            <w:vAlign w:val="center"/>
          </w:tcPr>
          <w:p w14:paraId="68870A09" w14:textId="77777777" w:rsidR="00406D79" w:rsidRPr="008E478D" w:rsidRDefault="00406D79" w:rsidP="00A737C1">
            <w:pPr>
              <w:pStyle w:val="CETEquation"/>
              <w:widowControl w:val="0"/>
              <w:jc w:val="right"/>
            </w:pPr>
            <w:r w:rsidRPr="008E478D">
              <w:t>(7)</w:t>
            </w:r>
          </w:p>
        </w:tc>
      </w:tr>
    </w:tbl>
    <w:p w14:paraId="49DD4F2C" w14:textId="77777777" w:rsidR="00406D79" w:rsidRDefault="00406D79" w:rsidP="00406D79">
      <w:pPr>
        <w:pStyle w:val="CETBodytext"/>
        <w:rPr>
          <w:lang w:val="en-GB"/>
        </w:rPr>
      </w:pPr>
      <w:r w:rsidRPr="00AB7CE4">
        <w:rPr>
          <w:lang w:val="en-GB"/>
        </w:rPr>
        <w:t xml:space="preserve">and </w:t>
      </w:r>
      <m:oMath>
        <m:sSub>
          <m:sSubPr>
            <m:ctrlPr>
              <w:rPr>
                <w:rFonts w:ascii="Cambria Math" w:eastAsiaTheme="minorEastAsia" w:hAnsi="Cambria Math" w:cs="Arial"/>
                <w:i/>
                <w:lang w:val="en-GB"/>
              </w:rPr>
            </m:ctrlPr>
          </m:sSubPr>
          <m:e>
            <m:r>
              <w:rPr>
                <w:rFonts w:ascii="Cambria Math" w:eastAsiaTheme="minorEastAsia" w:hAnsi="Cambria Math" w:cs="Arial"/>
              </w:rPr>
              <m:t>κ</m:t>
            </m:r>
          </m:e>
          <m:sub>
            <m:r>
              <w:rPr>
                <w:rFonts w:ascii="Cambria Math" w:eastAsiaTheme="minorEastAsia" w:hAnsi="Cambria Math" w:cs="Arial"/>
              </w:rPr>
              <m:t>1</m:t>
            </m:r>
          </m:sub>
        </m:sSub>
      </m:oMath>
      <w:r>
        <w:rPr>
          <w:lang w:val="en-GB"/>
        </w:rPr>
        <w:t xml:space="preserve"> </w:t>
      </w:r>
      <w:r w:rsidRPr="00AB7CE4">
        <w:rPr>
          <w:lang w:val="en-GB"/>
        </w:rPr>
        <w:t>an adjustable parameter that varies for each pure compound.</w:t>
      </w:r>
    </w:p>
    <w:p w14:paraId="1678A52D" w14:textId="77777777" w:rsidR="00406D79" w:rsidRDefault="00406D79" w:rsidP="00406D79">
      <w:pPr>
        <w:pStyle w:val="CETBodytext"/>
        <w:rPr>
          <w:lang w:val="en-GB"/>
        </w:rPr>
      </w:pPr>
    </w:p>
    <w:p w14:paraId="4A33347C" w14:textId="1056A45C" w:rsidR="00406D79" w:rsidRDefault="00406D79" w:rsidP="00406D79">
      <w:pPr>
        <w:pStyle w:val="CETBodytext"/>
        <w:rPr>
          <w:lang w:val="en-GB"/>
        </w:rPr>
      </w:pPr>
      <w:r w:rsidRPr="009041FA">
        <w:rPr>
          <w:lang w:val="en-GB"/>
        </w:rPr>
        <w:t xml:space="preserve">Melhem </w:t>
      </w:r>
      <w:r>
        <w:rPr>
          <w:lang w:val="en-GB"/>
        </w:rPr>
        <w:t>et al.</w:t>
      </w:r>
      <w:r w:rsidRPr="009041FA">
        <w:rPr>
          <w:lang w:val="en-GB"/>
        </w:rPr>
        <w:t xml:space="preserve"> </w:t>
      </w:r>
      <w:r w:rsidRPr="006657AF">
        <w:rPr>
          <w:lang w:val="en-GB"/>
        </w:rPr>
        <w:t>(1989)</w:t>
      </w:r>
      <w:r w:rsidRPr="009041FA">
        <w:rPr>
          <w:lang w:val="en-GB"/>
        </w:rPr>
        <w:t xml:space="preserve"> also developed a temperature-dependent, two-parameter </w:t>
      </w:r>
      <w:r w:rsidRPr="00E644F6">
        <w:rPr>
          <w:lang w:val="en-GB"/>
        </w:rPr>
        <w:t>alpha</w:t>
      </w:r>
      <w:r w:rsidRPr="009041FA">
        <w:rPr>
          <w:lang w:val="en-GB"/>
        </w:rPr>
        <w:t xml:space="preserve"> equation</w:t>
      </w:r>
      <w:r w:rsidR="00344566">
        <w:rPr>
          <w:lang w:val="en-GB"/>
        </w:rPr>
        <w:t xml:space="preserve"> </w:t>
      </w:r>
      <w:r w:rsidRPr="009041FA">
        <w:rPr>
          <w:lang w:val="en-GB"/>
        </w:rPr>
        <w:t>for the Peng-Robinson</w:t>
      </w:r>
      <w:r w:rsidR="00E644F6">
        <w:rPr>
          <w:lang w:val="en-GB"/>
        </w:rPr>
        <w:t xml:space="preserve"> (PR)</w:t>
      </w:r>
      <w:r w:rsidRPr="009041FA">
        <w:rPr>
          <w:lang w:val="en-GB"/>
        </w:rPr>
        <w:t xml:space="preserve"> cubic equation</w:t>
      </w:r>
      <w:r w:rsidR="00344566">
        <w:rPr>
          <w:lang w:val="en-GB"/>
        </w:rPr>
        <w:t xml:space="preserve"> of state</w:t>
      </w:r>
      <w:r w:rsidRPr="009041FA">
        <w:rPr>
          <w:lang w:val="en-GB"/>
        </w:rPr>
        <w:t>, enabling more accurate equilibrium calculations in mixtures containing one or more supercritical components.</w:t>
      </w:r>
    </w:p>
    <w:tbl>
      <w:tblPr>
        <w:tblW w:w="8640" w:type="dxa"/>
        <w:tblInd w:w="72" w:type="dxa"/>
        <w:tblLayout w:type="fixed"/>
        <w:tblLook w:val="04A0" w:firstRow="1" w:lastRow="0" w:firstColumn="1" w:lastColumn="0" w:noHBand="0" w:noVBand="1"/>
      </w:tblPr>
      <w:tblGrid>
        <w:gridCol w:w="7817"/>
        <w:gridCol w:w="823"/>
      </w:tblGrid>
      <w:tr w:rsidR="00406D79" w14:paraId="2D28461A" w14:textId="77777777" w:rsidTr="00A737C1">
        <w:trPr>
          <w:trHeight w:val="454"/>
        </w:trPr>
        <w:tc>
          <w:tcPr>
            <w:tcW w:w="7817" w:type="dxa"/>
            <w:shd w:val="clear" w:color="auto" w:fill="auto"/>
            <w:vAlign w:val="center"/>
          </w:tcPr>
          <w:p w14:paraId="2971494C" w14:textId="77777777" w:rsidR="00406D79" w:rsidRPr="003C202B" w:rsidRDefault="00406D79" w:rsidP="00A737C1">
            <w:pPr>
              <w:pStyle w:val="CETEquation"/>
              <w:widowControl w:val="0"/>
            </w:pPr>
            <m:oMathPara>
              <m:oMathParaPr>
                <m:jc m:val="left"/>
              </m:oMathParaPr>
              <m:oMath>
                <m:r>
                  <w:rPr>
                    <w:rFonts w:ascii="Cambria Math" w:eastAsiaTheme="minorEastAsia" w:hAnsi="Cambria Math" w:cs="Arial"/>
                  </w:rPr>
                  <m:t>α=</m:t>
                </m:r>
                <m:r>
                  <m:rPr>
                    <m:nor/>
                  </m:rPr>
                  <w:rPr>
                    <w:rFonts w:ascii="Cambria Math" w:eastAsiaTheme="minorEastAsia" w:hAnsi="Cambria Math" w:cs="Arial"/>
                  </w:rPr>
                  <m:t>exp</m:t>
                </m:r>
                <m:d>
                  <m:dPr>
                    <m:begChr m:val="["/>
                    <m:endChr m:val="]"/>
                    <m:ctrlPr>
                      <w:rPr>
                        <w:rFonts w:ascii="Cambria Math" w:eastAsiaTheme="minorEastAsia" w:hAnsi="Cambria Math" w:cs="Arial"/>
                        <w:i/>
                      </w:rPr>
                    </m:ctrlPr>
                  </m:dPr>
                  <m:e>
                    <m:r>
                      <w:rPr>
                        <w:rFonts w:ascii="Cambria Math" w:eastAsiaTheme="minorEastAsia" w:hAnsi="Cambria Math" w:cs="Arial"/>
                      </w:rPr>
                      <m:t>M</m:t>
                    </m:r>
                    <m:d>
                      <m:dPr>
                        <m:ctrlPr>
                          <w:rPr>
                            <w:rFonts w:ascii="Cambria Math" w:eastAsiaTheme="minorEastAsia" w:hAnsi="Cambria Math" w:cs="Arial"/>
                            <w:i/>
                          </w:rPr>
                        </m:ctrlPr>
                      </m:dPr>
                      <m:e>
                        <m:r>
                          <w:rPr>
                            <w:rFonts w:ascii="Cambria Math" w:eastAsiaTheme="minorEastAsia" w:hAnsi="Cambria Math" w:cs="Arial"/>
                          </w:rPr>
                          <m:t>1-</m:t>
                        </m:r>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R</m:t>
                            </m:r>
                          </m:sub>
                        </m:sSub>
                      </m:e>
                    </m:d>
                    <m:r>
                      <w:rPr>
                        <w:rFonts w:ascii="Cambria Math" w:eastAsiaTheme="minorEastAsia" w:hAnsi="Cambria Math" w:cs="Arial"/>
                      </w:rPr>
                      <m:t>+N</m:t>
                    </m:r>
                    <m:sSup>
                      <m:sSupPr>
                        <m:ctrlPr>
                          <w:rPr>
                            <w:rFonts w:ascii="Cambria Math" w:eastAsiaTheme="minorEastAsia" w:hAnsi="Cambria Math" w:cs="Arial"/>
                            <w:i/>
                          </w:rPr>
                        </m:ctrlPr>
                      </m:sSupPr>
                      <m:e>
                        <m:d>
                          <m:dPr>
                            <m:ctrlPr>
                              <w:rPr>
                                <w:rFonts w:ascii="Cambria Math" w:eastAsiaTheme="minorEastAsia" w:hAnsi="Cambria Math" w:cs="Arial"/>
                                <w:i/>
                              </w:rPr>
                            </m:ctrlPr>
                          </m:dPr>
                          <m:e>
                            <m:r>
                              <w:rPr>
                                <w:rFonts w:ascii="Cambria Math" w:eastAsiaTheme="minorEastAsia" w:hAnsi="Cambria Math" w:cs="Arial"/>
                              </w:rPr>
                              <m:t>1-</m:t>
                            </m:r>
                            <m:rad>
                              <m:radPr>
                                <m:degHide m:val="1"/>
                                <m:ctrlPr>
                                  <w:rPr>
                                    <w:rFonts w:ascii="Cambria Math" w:eastAsiaTheme="minorEastAsia" w:hAnsi="Cambria Math" w:cs="Arial"/>
                                    <w:i/>
                                  </w:rPr>
                                </m:ctrlPr>
                              </m:radPr>
                              <m:deg/>
                              <m:e>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R</m:t>
                                    </m:r>
                                  </m:sub>
                                </m:sSub>
                              </m:e>
                            </m:rad>
                          </m:e>
                        </m:d>
                      </m:e>
                      <m:sup>
                        <m:r>
                          <w:rPr>
                            <w:rFonts w:ascii="Cambria Math" w:eastAsiaTheme="minorEastAsia" w:hAnsi="Cambria Math" w:cs="Arial"/>
                          </w:rPr>
                          <m:t>2</m:t>
                        </m:r>
                      </m:sup>
                    </m:sSup>
                  </m:e>
                </m:d>
              </m:oMath>
            </m:oMathPara>
          </w:p>
        </w:tc>
        <w:tc>
          <w:tcPr>
            <w:tcW w:w="823" w:type="dxa"/>
            <w:shd w:val="clear" w:color="auto" w:fill="auto"/>
            <w:vAlign w:val="center"/>
          </w:tcPr>
          <w:p w14:paraId="7A15B0B0" w14:textId="77777777" w:rsidR="00406D79" w:rsidRPr="003C202B" w:rsidRDefault="00406D79" w:rsidP="00A737C1">
            <w:pPr>
              <w:pStyle w:val="CETEquation"/>
              <w:widowControl w:val="0"/>
              <w:jc w:val="right"/>
            </w:pPr>
            <w:r w:rsidRPr="003C202B">
              <w:t>(8)</w:t>
            </w:r>
          </w:p>
        </w:tc>
      </w:tr>
    </w:tbl>
    <w:p w14:paraId="041E018D" w14:textId="586E2330" w:rsidR="00406D79" w:rsidRPr="00B8732B" w:rsidRDefault="00406D79" w:rsidP="00453E24">
      <w:pPr>
        <w:pStyle w:val="CETBodytext"/>
      </w:pPr>
      <m:oMath>
        <m:r>
          <w:rPr>
            <w:rFonts w:ascii="Cambria Math" w:hAnsi="Cambria Math"/>
          </w:rPr>
          <m:t>M</m:t>
        </m:r>
      </m:oMath>
      <w:r w:rsidRPr="009041FA">
        <w:t xml:space="preserve"> and </w:t>
      </w:r>
      <m:oMath>
        <m:r>
          <w:rPr>
            <w:rFonts w:ascii="Cambria Math" w:hAnsi="Cambria Math"/>
          </w:rPr>
          <m:t>N</m:t>
        </m:r>
      </m:oMath>
      <w:r w:rsidRPr="009041FA">
        <w:t xml:space="preserve"> are adjustable parameters that can be determined through the regression of experimental data for each</w:t>
      </w:r>
      <w:r>
        <w:t xml:space="preserve"> </w:t>
      </w:r>
      <w:r w:rsidRPr="009041FA">
        <w:t xml:space="preserve">specific </w:t>
      </w:r>
      <w:r>
        <w:t xml:space="preserve">pure </w:t>
      </w:r>
      <w:r w:rsidRPr="009041FA">
        <w:t>compound.</w:t>
      </w:r>
    </w:p>
    <w:p w14:paraId="677EBFF0" w14:textId="7EB6B068" w:rsidR="00600535" w:rsidRPr="00B57B36" w:rsidRDefault="00B8732B" w:rsidP="00600535">
      <w:pPr>
        <w:pStyle w:val="CETHeading1"/>
        <w:tabs>
          <w:tab w:val="clear" w:pos="360"/>
          <w:tab w:val="right" w:pos="7100"/>
        </w:tabs>
        <w:jc w:val="both"/>
        <w:rPr>
          <w:lang w:val="en-GB"/>
        </w:rPr>
      </w:pPr>
      <w:r>
        <w:rPr>
          <w:lang w:val="en-GB"/>
        </w:rPr>
        <w:t>Results and Discussion</w:t>
      </w:r>
    </w:p>
    <w:p w14:paraId="04963A06" w14:textId="6667CC99" w:rsidR="00600535" w:rsidRPr="00B57B36" w:rsidRDefault="00B8732B" w:rsidP="002D3486">
      <w:pPr>
        <w:pStyle w:val="CETheadingx"/>
      </w:pPr>
      <w:r>
        <w:t>Binodal Curve Modelling</w:t>
      </w:r>
    </w:p>
    <w:p w14:paraId="26DC2F23" w14:textId="5182B490" w:rsidR="00DA3D96" w:rsidRPr="002D3486" w:rsidRDefault="00B8732B" w:rsidP="002D3486">
      <w:pPr>
        <w:pStyle w:val="CETheadingx"/>
        <w:numPr>
          <w:ilvl w:val="0"/>
          <w:numId w:val="0"/>
        </w:numPr>
        <w:jc w:val="both"/>
        <w:rPr>
          <w:b w:val="0"/>
          <w:bCs/>
        </w:rPr>
      </w:pPr>
      <w:r w:rsidRPr="002D3486">
        <w:rPr>
          <w:b w:val="0"/>
          <w:bCs/>
        </w:rPr>
        <w:t xml:space="preserve">The modified </w:t>
      </w:r>
      <w:proofErr w:type="spellStart"/>
      <w:r w:rsidRPr="002D3486">
        <w:rPr>
          <w:b w:val="0"/>
          <w:bCs/>
        </w:rPr>
        <w:t>CEoS</w:t>
      </w:r>
      <w:proofErr w:type="spellEnd"/>
      <w:r w:rsidRPr="002D3486">
        <w:rPr>
          <w:b w:val="0"/>
          <w:bCs/>
        </w:rPr>
        <w:t xml:space="preserve"> was applied to correlate phase equilibria in Helium-4, focusing on the binodal (liquid-vapo</w:t>
      </w:r>
      <w:r w:rsidR="00344566" w:rsidRPr="002D3486">
        <w:rPr>
          <w:b w:val="0"/>
          <w:bCs/>
        </w:rPr>
        <w:t>u</w:t>
      </w:r>
      <w:r w:rsidRPr="002D3486">
        <w:rPr>
          <w:b w:val="0"/>
          <w:bCs/>
        </w:rPr>
        <w:t xml:space="preserve">r) curve as well as liquid and </w:t>
      </w:r>
      <w:r w:rsidR="00344566" w:rsidRPr="002D3486">
        <w:rPr>
          <w:b w:val="0"/>
          <w:bCs/>
        </w:rPr>
        <w:t>vapour</w:t>
      </w:r>
      <w:r w:rsidRPr="002D3486">
        <w:rPr>
          <w:b w:val="0"/>
          <w:bCs/>
        </w:rPr>
        <w:t xml:space="preserve"> densities</w:t>
      </w:r>
      <w:r w:rsidR="00B413F6" w:rsidRPr="002D3486">
        <w:rPr>
          <w:b w:val="0"/>
          <w:bCs/>
        </w:rPr>
        <w:t xml:space="preserve">, both in the subcritical temperature range (starting from the triple point) and near the critical point. </w:t>
      </w:r>
      <w:r w:rsidRPr="002D3486">
        <w:rPr>
          <w:b w:val="0"/>
          <w:bCs/>
        </w:rPr>
        <w:t>The alpha function parameters were optimi</w:t>
      </w:r>
      <w:r w:rsidR="00344566" w:rsidRPr="002D3486">
        <w:rPr>
          <w:b w:val="0"/>
          <w:bCs/>
        </w:rPr>
        <w:t>s</w:t>
      </w:r>
      <w:r w:rsidRPr="002D3486">
        <w:rPr>
          <w:b w:val="0"/>
          <w:bCs/>
        </w:rPr>
        <w:t>ed using a least-squares fitting approach based on the Nelder-Mead method. Additionally, the Mathias (</w:t>
      </w:r>
      <w:r w:rsidR="00E644F6" w:rsidRPr="002D3486">
        <w:rPr>
          <w:b w:val="0"/>
          <w:bCs/>
        </w:rPr>
        <w:t>Mathias et al., 1989</w:t>
      </w:r>
      <w:r w:rsidRPr="002D3486">
        <w:rPr>
          <w:b w:val="0"/>
          <w:bCs/>
        </w:rPr>
        <w:t>) volume translation, which includes two adjustable parameters</w:t>
      </w:r>
      <w:r w:rsidR="00B413F6" w:rsidRPr="002D3486">
        <w:rPr>
          <w:b w:val="0"/>
          <w:bCs/>
        </w:rPr>
        <w:t xml:space="preserve"> </w:t>
      </w:r>
      <m:oMath>
        <m:d>
          <m:dPr>
            <m:ctrlPr>
              <w:rPr>
                <w:rFonts w:ascii="Cambria Math" w:hAnsi="Cambria Math" w:cs="Arial"/>
                <w:b w:val="0"/>
                <w:bCs/>
                <w:i/>
                <w:szCs w:val="18"/>
              </w:rPr>
            </m:ctrlPr>
          </m:dPr>
          <m:e>
            <m:sSub>
              <m:sSubPr>
                <m:ctrlPr>
                  <w:rPr>
                    <w:rFonts w:ascii="Cambria Math" w:hAnsi="Cambria Math" w:cs="Arial"/>
                    <w:b w:val="0"/>
                    <w:bCs/>
                    <w:i/>
                    <w:szCs w:val="18"/>
                  </w:rPr>
                </m:ctrlPr>
              </m:sSubPr>
              <m:e>
                <m:r>
                  <w:rPr>
                    <w:rFonts w:ascii="Cambria Math" w:hAnsi="Cambria Math" w:cs="Arial"/>
                    <w:szCs w:val="18"/>
                  </w:rPr>
                  <m:t>χ</m:t>
                </m:r>
              </m:e>
              <m:sub>
                <m:r>
                  <w:rPr>
                    <w:rFonts w:ascii="Cambria Math" w:hAnsi="Cambria Math" w:cs="Arial"/>
                    <w:szCs w:val="18"/>
                  </w:rPr>
                  <m:t>0</m:t>
                </m:r>
              </m:sub>
            </m:sSub>
            <m:r>
              <w:rPr>
                <w:rFonts w:ascii="Cambria Math" w:hAnsi="Cambria Math" w:cs="Arial"/>
                <w:szCs w:val="18"/>
              </w:rPr>
              <m:t>,</m:t>
            </m:r>
            <m:sSub>
              <m:sSubPr>
                <m:ctrlPr>
                  <w:rPr>
                    <w:rFonts w:ascii="Cambria Math" w:hAnsi="Cambria Math" w:cs="Arial"/>
                    <w:b w:val="0"/>
                    <w:bCs/>
                    <w:i/>
                    <w:szCs w:val="18"/>
                  </w:rPr>
                </m:ctrlPr>
              </m:sSubPr>
              <m:e>
                <m:r>
                  <w:rPr>
                    <w:rFonts w:ascii="Cambria Math" w:hAnsi="Cambria Math" w:cs="Arial"/>
                    <w:szCs w:val="18"/>
                  </w:rPr>
                  <m:t>χ</m:t>
                </m:r>
              </m:e>
              <m:sub>
                <m:r>
                  <w:rPr>
                    <w:rFonts w:ascii="Cambria Math" w:hAnsi="Cambria Math" w:cs="Arial"/>
                    <w:szCs w:val="18"/>
                  </w:rPr>
                  <m:t>1</m:t>
                </m:r>
              </m:sub>
            </m:sSub>
          </m:e>
        </m:d>
      </m:oMath>
      <w:r w:rsidRPr="002D3486">
        <w:rPr>
          <w:b w:val="0"/>
          <w:bCs/>
        </w:rPr>
        <w:t>, was incorporated into the analysis. For the PR-SV model, only a single parameter (</w:t>
      </w:r>
      <m:oMath>
        <m:d>
          <m:dPr>
            <m:ctrlPr>
              <w:rPr>
                <w:rFonts w:ascii="Cambria Math" w:eastAsiaTheme="minorEastAsia" w:hAnsi="Cambria Math" w:cs="Arial"/>
                <w:b w:val="0"/>
                <w:bCs/>
                <w:i/>
              </w:rPr>
            </m:ctrlPr>
          </m:dPr>
          <m:e>
            <m:sSub>
              <m:sSubPr>
                <m:ctrlPr>
                  <w:rPr>
                    <w:rFonts w:ascii="Cambria Math" w:eastAsiaTheme="minorEastAsia" w:hAnsi="Cambria Math" w:cs="Arial"/>
                    <w:b w:val="0"/>
                    <w:bCs/>
                    <w:i/>
                  </w:rPr>
                </m:ctrlPr>
              </m:sSubPr>
              <m:e>
                <m:r>
                  <w:rPr>
                    <w:rFonts w:ascii="Cambria Math" w:eastAsiaTheme="minorEastAsia" w:hAnsi="Cambria Math" w:cs="Arial"/>
                  </w:rPr>
                  <m:t>κ</m:t>
                </m:r>
              </m:e>
              <m:sub>
                <m:r>
                  <w:rPr>
                    <w:rFonts w:ascii="Cambria Math" w:eastAsiaTheme="minorEastAsia" w:hAnsi="Cambria Math" w:cs="Arial"/>
                  </w:rPr>
                  <m:t>1</m:t>
                </m:r>
              </m:sub>
            </m:sSub>
          </m:e>
        </m:d>
      </m:oMath>
      <w:r w:rsidR="00B413F6" w:rsidRPr="002D3486">
        <w:rPr>
          <w:b w:val="0"/>
          <w:bCs/>
        </w:rPr>
        <w:t xml:space="preserve"> </w:t>
      </w:r>
      <w:r w:rsidRPr="002D3486">
        <w:rPr>
          <w:b w:val="0"/>
          <w:bCs/>
        </w:rPr>
        <w:t>was adjusted.</w:t>
      </w:r>
    </w:p>
    <w:p w14:paraId="14FF171A" w14:textId="58FC9CA2" w:rsidR="00275AAB" w:rsidRDefault="00275AAB" w:rsidP="00275AAB">
      <w:pPr>
        <w:pStyle w:val="CETBodytext"/>
        <w:rPr>
          <w:lang w:val="en-GB"/>
        </w:rPr>
      </w:pPr>
    </w:p>
    <w:p w14:paraId="5478CD10" w14:textId="7EACD71C" w:rsidR="00DD5D7C" w:rsidRDefault="00DD5D7C" w:rsidP="00275AAB">
      <w:pPr>
        <w:pStyle w:val="CETBodytext"/>
        <w:rPr>
          <w:lang w:val="en-GB"/>
        </w:rPr>
      </w:pPr>
    </w:p>
    <w:p w14:paraId="2A805638" w14:textId="1BFFA9E2" w:rsidR="00DD5D7C" w:rsidRDefault="00DD5D7C" w:rsidP="00275AAB">
      <w:pPr>
        <w:pStyle w:val="CETBodytext"/>
        <w:rPr>
          <w:lang w:val="en-GB"/>
        </w:rPr>
      </w:pPr>
    </w:p>
    <w:p w14:paraId="5D2A97D2" w14:textId="47C54475" w:rsidR="00DD5D7C" w:rsidRDefault="00937844" w:rsidP="00275AAB">
      <w:pPr>
        <w:pStyle w:val="CETBodytext"/>
        <w:rPr>
          <w:lang w:val="en-GB"/>
        </w:rPr>
      </w:pPr>
      <w:r>
        <w:rPr>
          <w:noProof/>
        </w:rPr>
        <w:drawing>
          <wp:anchor distT="0" distB="0" distL="114300" distR="114300" simplePos="0" relativeHeight="251668480" behindDoc="0" locked="0" layoutInCell="1" allowOverlap="1" wp14:anchorId="7095D30F" wp14:editId="75E01CEF">
            <wp:simplePos x="0" y="0"/>
            <wp:positionH relativeFrom="margin">
              <wp:align>left</wp:align>
            </wp:positionH>
            <wp:positionV relativeFrom="paragraph">
              <wp:posOffset>13335</wp:posOffset>
            </wp:positionV>
            <wp:extent cx="3960000" cy="3600000"/>
            <wp:effectExtent l="0" t="0" r="2540" b="635"/>
            <wp:wrapNone/>
            <wp:docPr id="1203753823" name="Picture 2" descr="A graph of a graph with a red li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3753823" name="Picture 2" descr="A graph of a graph with a red line&#10;&#10;Description automatically generated"/>
                    <pic:cNvPicPr>
                      <a:picLocks/>
                    </pic:cNvPicPr>
                  </pic:nvPicPr>
                  <pic:blipFill rotWithShape="1">
                    <a:blip r:embed="rId10"/>
                    <a:srcRect t="5903"/>
                    <a:stretch/>
                  </pic:blipFill>
                  <pic:spPr bwMode="auto">
                    <a:xfrm>
                      <a:off x="0" y="0"/>
                      <a:ext cx="3960000" cy="3600000"/>
                    </a:xfrm>
                    <a:prstGeom prst="rect">
                      <a:avLst/>
                    </a:prstGeom>
                    <a:ln>
                      <a:noFill/>
                    </a:ln>
                    <a:extLst>
                      <a:ext uri="{53640926-AAD7-44D8-BBD7-CCE9431645EC}">
                        <a14:shadowObscured xmlns:a14="http://schemas.microsoft.com/office/drawing/2010/main"/>
                      </a:ext>
                    </a:extLst>
                  </pic:spPr>
                </pic:pic>
              </a:graphicData>
            </a:graphic>
          </wp:anchor>
        </w:drawing>
      </w:r>
    </w:p>
    <w:p w14:paraId="4FC756B6" w14:textId="77777777" w:rsidR="00DD5D7C" w:rsidRDefault="00DD5D7C" w:rsidP="00275AAB">
      <w:pPr>
        <w:pStyle w:val="CETBodytext"/>
        <w:rPr>
          <w:lang w:val="en-GB"/>
        </w:rPr>
      </w:pPr>
    </w:p>
    <w:p w14:paraId="65A44E92" w14:textId="77777777" w:rsidR="00DD5D7C" w:rsidRDefault="00DD5D7C" w:rsidP="00275AAB">
      <w:pPr>
        <w:pStyle w:val="CETBodytext"/>
        <w:rPr>
          <w:lang w:val="en-GB"/>
        </w:rPr>
      </w:pPr>
    </w:p>
    <w:p w14:paraId="6E5AFE40" w14:textId="77777777" w:rsidR="00DD5D7C" w:rsidRDefault="00DD5D7C" w:rsidP="00275AAB">
      <w:pPr>
        <w:pStyle w:val="CETBodytext"/>
        <w:rPr>
          <w:lang w:val="en-GB"/>
        </w:rPr>
      </w:pPr>
    </w:p>
    <w:p w14:paraId="1E6D22A7" w14:textId="77777777" w:rsidR="00DD5D7C" w:rsidRDefault="00DD5D7C" w:rsidP="00275AAB">
      <w:pPr>
        <w:pStyle w:val="CETBodytext"/>
        <w:rPr>
          <w:lang w:val="en-GB"/>
        </w:rPr>
      </w:pPr>
    </w:p>
    <w:p w14:paraId="68431D8C" w14:textId="77777777" w:rsidR="00DD5D7C" w:rsidRDefault="00DD5D7C" w:rsidP="00275AAB">
      <w:pPr>
        <w:pStyle w:val="CETBodytext"/>
        <w:rPr>
          <w:lang w:val="en-GB"/>
        </w:rPr>
      </w:pPr>
    </w:p>
    <w:p w14:paraId="0A96B016" w14:textId="77777777" w:rsidR="00DD5D7C" w:rsidRPr="00275AAB" w:rsidRDefault="00DD5D7C" w:rsidP="00275AAB">
      <w:pPr>
        <w:pStyle w:val="CETBodytext"/>
        <w:rPr>
          <w:lang w:val="en-GB"/>
        </w:rPr>
      </w:pPr>
    </w:p>
    <w:p w14:paraId="34635540" w14:textId="17D92762" w:rsidR="00DA3D96" w:rsidRPr="00DA3D96" w:rsidRDefault="00DA3D96" w:rsidP="00DA3D96">
      <w:pPr>
        <w:pStyle w:val="CETBodytext"/>
        <w:rPr>
          <w:lang w:val="en-GB"/>
        </w:rPr>
      </w:pPr>
    </w:p>
    <w:p w14:paraId="30BFBCA3" w14:textId="614F941E" w:rsidR="00DA3D96" w:rsidRDefault="00DA3D96" w:rsidP="00DA3D96">
      <w:pPr>
        <w:pStyle w:val="CETBodytext"/>
        <w:keepNext/>
      </w:pPr>
    </w:p>
    <w:p w14:paraId="2B0ABA24" w14:textId="77777777" w:rsidR="00DD5D7C" w:rsidRDefault="00DD5D7C" w:rsidP="00DA3D96">
      <w:pPr>
        <w:pStyle w:val="Descripcin"/>
        <w:jc w:val="left"/>
        <w:rPr>
          <w:rStyle w:val="CETCaptionCarattere"/>
          <w:b w:val="0"/>
          <w:bCs w:val="0"/>
          <w:color w:val="auto"/>
        </w:rPr>
      </w:pPr>
    </w:p>
    <w:p w14:paraId="21DF8343" w14:textId="77777777" w:rsidR="00DD5D7C" w:rsidRDefault="00DD5D7C" w:rsidP="00DA3D96">
      <w:pPr>
        <w:pStyle w:val="Descripcin"/>
        <w:jc w:val="left"/>
        <w:rPr>
          <w:rStyle w:val="CETCaptionCarattere"/>
          <w:b w:val="0"/>
          <w:bCs w:val="0"/>
          <w:color w:val="auto"/>
        </w:rPr>
      </w:pPr>
    </w:p>
    <w:p w14:paraId="2E6C282C" w14:textId="77777777" w:rsidR="00DD5D7C" w:rsidRDefault="00DD5D7C" w:rsidP="00DA3D96">
      <w:pPr>
        <w:pStyle w:val="Descripcin"/>
        <w:jc w:val="left"/>
        <w:rPr>
          <w:rStyle w:val="CETCaptionCarattere"/>
          <w:b w:val="0"/>
          <w:bCs w:val="0"/>
          <w:color w:val="auto"/>
        </w:rPr>
      </w:pPr>
    </w:p>
    <w:p w14:paraId="77CC4CF4" w14:textId="77777777" w:rsidR="00DD5D7C" w:rsidRDefault="00DD5D7C" w:rsidP="00DA3D96">
      <w:pPr>
        <w:pStyle w:val="Descripcin"/>
        <w:jc w:val="left"/>
        <w:rPr>
          <w:rStyle w:val="CETCaptionCarattere"/>
          <w:b w:val="0"/>
          <w:bCs w:val="0"/>
          <w:color w:val="auto"/>
        </w:rPr>
      </w:pPr>
    </w:p>
    <w:p w14:paraId="6B3278E8" w14:textId="77777777" w:rsidR="00DD5D7C" w:rsidRDefault="00DD5D7C" w:rsidP="00DA3D96">
      <w:pPr>
        <w:pStyle w:val="Descripcin"/>
        <w:jc w:val="left"/>
        <w:rPr>
          <w:rStyle w:val="CETCaptionCarattere"/>
          <w:b w:val="0"/>
          <w:bCs w:val="0"/>
          <w:color w:val="auto"/>
        </w:rPr>
      </w:pPr>
    </w:p>
    <w:p w14:paraId="046B7998" w14:textId="77777777" w:rsidR="00DD5D7C" w:rsidRDefault="00DD5D7C" w:rsidP="00DA3D96">
      <w:pPr>
        <w:pStyle w:val="Descripcin"/>
        <w:jc w:val="left"/>
        <w:rPr>
          <w:rStyle w:val="CETCaptionCarattere"/>
          <w:b w:val="0"/>
          <w:bCs w:val="0"/>
          <w:color w:val="auto"/>
        </w:rPr>
      </w:pPr>
    </w:p>
    <w:p w14:paraId="55255715" w14:textId="77777777" w:rsidR="00DD5D7C" w:rsidRDefault="00DD5D7C" w:rsidP="00DA3D96">
      <w:pPr>
        <w:pStyle w:val="Descripcin"/>
        <w:jc w:val="left"/>
        <w:rPr>
          <w:rStyle w:val="CETCaptionCarattere"/>
          <w:b w:val="0"/>
          <w:bCs w:val="0"/>
          <w:color w:val="auto"/>
        </w:rPr>
      </w:pPr>
    </w:p>
    <w:p w14:paraId="2560133D" w14:textId="77777777" w:rsidR="00DD5D7C" w:rsidRDefault="00DD5D7C" w:rsidP="00DA3D96">
      <w:pPr>
        <w:pStyle w:val="Descripcin"/>
        <w:jc w:val="left"/>
        <w:rPr>
          <w:rStyle w:val="CETCaptionCarattere"/>
          <w:b w:val="0"/>
          <w:bCs w:val="0"/>
          <w:color w:val="auto"/>
        </w:rPr>
      </w:pPr>
    </w:p>
    <w:p w14:paraId="293122CE" w14:textId="77777777" w:rsidR="00DD5D7C" w:rsidRDefault="00DD5D7C" w:rsidP="00DA3D96">
      <w:pPr>
        <w:pStyle w:val="Descripcin"/>
        <w:jc w:val="left"/>
        <w:rPr>
          <w:rStyle w:val="CETCaptionCarattere"/>
          <w:b w:val="0"/>
          <w:bCs w:val="0"/>
          <w:color w:val="auto"/>
        </w:rPr>
      </w:pPr>
    </w:p>
    <w:p w14:paraId="6DD64444" w14:textId="77777777" w:rsidR="00DD5D7C" w:rsidRDefault="00DD5D7C" w:rsidP="00DA3D96">
      <w:pPr>
        <w:pStyle w:val="Descripcin"/>
        <w:jc w:val="left"/>
        <w:rPr>
          <w:rStyle w:val="CETCaptionCarattere"/>
          <w:b w:val="0"/>
          <w:bCs w:val="0"/>
          <w:color w:val="auto"/>
        </w:rPr>
      </w:pPr>
    </w:p>
    <w:p w14:paraId="0AF80361" w14:textId="77777777" w:rsidR="00DD5D7C" w:rsidRDefault="00DD5D7C" w:rsidP="00DA3D96">
      <w:pPr>
        <w:pStyle w:val="Descripcin"/>
        <w:jc w:val="left"/>
        <w:rPr>
          <w:rStyle w:val="CETCaptionCarattere"/>
          <w:b w:val="0"/>
          <w:bCs w:val="0"/>
          <w:color w:val="auto"/>
        </w:rPr>
      </w:pPr>
    </w:p>
    <w:p w14:paraId="7430F647" w14:textId="77777777" w:rsidR="00DD5D7C" w:rsidRDefault="00DD5D7C" w:rsidP="00DA3D96">
      <w:pPr>
        <w:pStyle w:val="Descripcin"/>
        <w:jc w:val="left"/>
        <w:rPr>
          <w:rStyle w:val="CETCaptionCarattere"/>
          <w:b w:val="0"/>
          <w:bCs w:val="0"/>
          <w:color w:val="auto"/>
        </w:rPr>
      </w:pPr>
    </w:p>
    <w:p w14:paraId="5CF0DD7E" w14:textId="77777777" w:rsidR="00DD5D7C" w:rsidRDefault="00DD5D7C" w:rsidP="00DA3D96">
      <w:pPr>
        <w:pStyle w:val="Descripcin"/>
        <w:jc w:val="left"/>
        <w:rPr>
          <w:rStyle w:val="CETCaptionCarattere"/>
          <w:b w:val="0"/>
          <w:bCs w:val="0"/>
          <w:color w:val="auto"/>
        </w:rPr>
      </w:pPr>
    </w:p>
    <w:p w14:paraId="5B23E7A9" w14:textId="77777777" w:rsidR="00DD5D7C" w:rsidRDefault="00DD5D7C" w:rsidP="00DA3D96">
      <w:pPr>
        <w:pStyle w:val="Descripcin"/>
        <w:jc w:val="left"/>
        <w:rPr>
          <w:rStyle w:val="CETCaptionCarattere"/>
          <w:b w:val="0"/>
          <w:bCs w:val="0"/>
          <w:color w:val="auto"/>
        </w:rPr>
      </w:pPr>
    </w:p>
    <w:p w14:paraId="60589990" w14:textId="77777777" w:rsidR="00937844" w:rsidRDefault="00937844" w:rsidP="00937844"/>
    <w:p w14:paraId="495F35FA" w14:textId="77777777" w:rsidR="00937844" w:rsidRPr="00937844" w:rsidRDefault="00937844" w:rsidP="00937844"/>
    <w:p w14:paraId="10F53294" w14:textId="77777777" w:rsidR="00DD5D7C" w:rsidRDefault="00DD5D7C" w:rsidP="00DA3D96">
      <w:pPr>
        <w:pStyle w:val="Descripcin"/>
        <w:jc w:val="left"/>
        <w:rPr>
          <w:rStyle w:val="CETCaptionCarattere"/>
          <w:b w:val="0"/>
          <w:bCs w:val="0"/>
          <w:color w:val="auto"/>
        </w:rPr>
      </w:pPr>
    </w:p>
    <w:p w14:paraId="48E3B7B4" w14:textId="77777777" w:rsidR="00DD5D7C" w:rsidRDefault="00DD5D7C" w:rsidP="00DA3D96">
      <w:pPr>
        <w:pStyle w:val="Descripcin"/>
        <w:jc w:val="left"/>
        <w:rPr>
          <w:rStyle w:val="CETCaptionCarattere"/>
          <w:b w:val="0"/>
          <w:bCs w:val="0"/>
          <w:color w:val="auto"/>
        </w:rPr>
      </w:pPr>
    </w:p>
    <w:p w14:paraId="44465949" w14:textId="77777777" w:rsidR="00DD5D7C" w:rsidRDefault="00DD5D7C" w:rsidP="00DA3D96">
      <w:pPr>
        <w:pStyle w:val="Descripcin"/>
        <w:jc w:val="left"/>
        <w:rPr>
          <w:rStyle w:val="CETCaptionCarattere"/>
          <w:b w:val="0"/>
          <w:bCs w:val="0"/>
          <w:color w:val="auto"/>
        </w:rPr>
      </w:pPr>
    </w:p>
    <w:p w14:paraId="5EC984E4" w14:textId="058BEDE1" w:rsidR="00275AAB" w:rsidRDefault="00DA3D96" w:rsidP="00DD5D7C">
      <w:pPr>
        <w:pStyle w:val="Descripcin"/>
        <w:jc w:val="left"/>
        <w:rPr>
          <w:rStyle w:val="CETCaptionCarattere"/>
          <w:b w:val="0"/>
          <w:bCs w:val="0"/>
          <w:color w:val="auto"/>
        </w:rPr>
      </w:pPr>
      <w:r w:rsidRPr="00DA3D96">
        <w:rPr>
          <w:rStyle w:val="CETCaptionCarattere"/>
          <w:b w:val="0"/>
          <w:bCs w:val="0"/>
          <w:color w:val="auto"/>
        </w:rPr>
        <w:t xml:space="preserve">Figure </w:t>
      </w:r>
      <w:r w:rsidRPr="00DA3D96">
        <w:rPr>
          <w:rStyle w:val="CETCaptionCarattere"/>
          <w:b w:val="0"/>
          <w:bCs w:val="0"/>
          <w:color w:val="auto"/>
        </w:rPr>
        <w:fldChar w:fldCharType="begin"/>
      </w:r>
      <w:r w:rsidRPr="00DA3D96">
        <w:rPr>
          <w:rStyle w:val="CETCaptionCarattere"/>
          <w:b w:val="0"/>
          <w:bCs w:val="0"/>
          <w:color w:val="auto"/>
        </w:rPr>
        <w:instrText xml:space="preserve"> SEQ Figura \* ARABIC </w:instrText>
      </w:r>
      <w:r w:rsidRPr="00DA3D96">
        <w:rPr>
          <w:rStyle w:val="CETCaptionCarattere"/>
          <w:b w:val="0"/>
          <w:bCs w:val="0"/>
          <w:color w:val="auto"/>
        </w:rPr>
        <w:fldChar w:fldCharType="separate"/>
      </w:r>
      <w:r w:rsidR="00275AAB">
        <w:rPr>
          <w:rStyle w:val="CETCaptionCarattere"/>
          <w:b w:val="0"/>
          <w:bCs w:val="0"/>
          <w:noProof/>
          <w:color w:val="auto"/>
        </w:rPr>
        <w:t>1</w:t>
      </w:r>
      <w:r w:rsidRPr="00DA3D96">
        <w:rPr>
          <w:rStyle w:val="CETCaptionCarattere"/>
          <w:b w:val="0"/>
          <w:bCs w:val="0"/>
          <w:color w:val="auto"/>
        </w:rPr>
        <w:fldChar w:fldCharType="end"/>
      </w:r>
      <w:r w:rsidRPr="00DA3D96">
        <w:rPr>
          <w:rStyle w:val="CETCaptionCarattere"/>
          <w:b w:val="0"/>
          <w:bCs w:val="0"/>
          <w:color w:val="auto"/>
        </w:rPr>
        <w:t xml:space="preserve">: </w:t>
      </w:r>
      <w:r>
        <w:rPr>
          <w:rStyle w:val="CETCaptionCarattere"/>
          <w:b w:val="0"/>
          <w:bCs w:val="0"/>
          <w:color w:val="auto"/>
        </w:rPr>
        <w:t>Experimental and calculated b</w:t>
      </w:r>
      <w:r w:rsidRPr="006A235A">
        <w:rPr>
          <w:rStyle w:val="CETCaptionCarattere"/>
          <w:b w:val="0"/>
          <w:bCs w:val="0"/>
          <w:color w:val="auto"/>
        </w:rPr>
        <w:t>inodal curve</w:t>
      </w:r>
      <w:r>
        <w:rPr>
          <w:rStyle w:val="CETCaptionCarattere"/>
          <w:b w:val="0"/>
          <w:bCs w:val="0"/>
          <w:color w:val="auto"/>
        </w:rPr>
        <w:t xml:space="preserve"> for Helium-4</w:t>
      </w:r>
      <w:r w:rsidR="00DD5D7C">
        <w:rPr>
          <w:rStyle w:val="CETCaptionCarattere"/>
          <w:b w:val="0"/>
          <w:bCs w:val="0"/>
          <w:color w:val="auto"/>
        </w:rPr>
        <w:t xml:space="preserve">, </w:t>
      </w:r>
      <w:r w:rsidRPr="006A235A">
        <w:rPr>
          <w:rStyle w:val="CETCaptionCarattere"/>
          <w:b w:val="0"/>
          <w:bCs w:val="0"/>
          <w:color w:val="auto"/>
        </w:rPr>
        <w:t>PR-SV mode</w:t>
      </w:r>
      <w:r w:rsidR="00DD5D7C">
        <w:rPr>
          <w:rStyle w:val="CETCaptionCarattere"/>
          <w:b w:val="0"/>
          <w:bCs w:val="0"/>
          <w:color w:val="auto"/>
        </w:rPr>
        <w:t>l</w:t>
      </w:r>
    </w:p>
    <w:p w14:paraId="49C983C5" w14:textId="77777777" w:rsidR="00DD5D7C" w:rsidRPr="00DD5D7C" w:rsidRDefault="00DD5D7C" w:rsidP="00DD5D7C"/>
    <w:p w14:paraId="52DB85D1" w14:textId="77777777" w:rsidR="00DD5D7C" w:rsidRDefault="00DD5D7C" w:rsidP="00275AAB"/>
    <w:p w14:paraId="742E8450" w14:textId="77777777" w:rsidR="00DD5D7C" w:rsidRDefault="00DD5D7C" w:rsidP="00275AAB"/>
    <w:p w14:paraId="7902C428" w14:textId="77777777" w:rsidR="00DD5D7C" w:rsidRDefault="00DD5D7C" w:rsidP="00275AAB"/>
    <w:p w14:paraId="5CF52CF6" w14:textId="77777777" w:rsidR="00DD5D7C" w:rsidRDefault="00DD5D7C" w:rsidP="00275AAB"/>
    <w:p w14:paraId="2FAE6567" w14:textId="1847336D" w:rsidR="00DD5D7C" w:rsidRDefault="00DD5D7C" w:rsidP="00275AAB"/>
    <w:p w14:paraId="2E421ABC" w14:textId="63503D29" w:rsidR="00DD5D7C" w:rsidRDefault="00EB04FF" w:rsidP="00275AAB">
      <w:r>
        <w:rPr>
          <w:noProof/>
        </w:rPr>
        <w:drawing>
          <wp:anchor distT="0" distB="0" distL="114300" distR="114300" simplePos="0" relativeHeight="251667456" behindDoc="0" locked="0" layoutInCell="1" allowOverlap="1" wp14:anchorId="086E622A" wp14:editId="7235126D">
            <wp:simplePos x="0" y="0"/>
            <wp:positionH relativeFrom="margin">
              <wp:align>left</wp:align>
            </wp:positionH>
            <wp:positionV relativeFrom="paragraph">
              <wp:posOffset>8255</wp:posOffset>
            </wp:positionV>
            <wp:extent cx="3960000" cy="3600000"/>
            <wp:effectExtent l="0" t="0" r="2540" b="635"/>
            <wp:wrapNone/>
            <wp:docPr id="1224282380" name="Picture 5" descr="A graph of a graph of a graph&#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4282380" name="Picture 5" descr="A graph of a graph of a graph&#10;&#10;Description automatically generated"/>
                    <pic:cNvPicPr>
                      <a:picLocks/>
                    </pic:cNvPicPr>
                  </pic:nvPicPr>
                  <pic:blipFill rotWithShape="1">
                    <a:blip r:embed="rId11"/>
                    <a:srcRect t="6138"/>
                    <a:stretch/>
                  </pic:blipFill>
                  <pic:spPr bwMode="auto">
                    <a:xfrm>
                      <a:off x="0" y="0"/>
                      <a:ext cx="3960000" cy="360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9FEECD" w14:textId="384FFCFC" w:rsidR="00DD5D7C" w:rsidRDefault="00DD5D7C" w:rsidP="00275AAB"/>
    <w:p w14:paraId="6682E00F" w14:textId="4EE32085" w:rsidR="00DD5D7C" w:rsidRDefault="00DD5D7C" w:rsidP="00275AAB"/>
    <w:p w14:paraId="6E934231" w14:textId="77777777" w:rsidR="00DD5D7C" w:rsidRDefault="00DD5D7C" w:rsidP="00275AAB"/>
    <w:p w14:paraId="3C05371E" w14:textId="77777777" w:rsidR="00DD5D7C" w:rsidRDefault="00DD5D7C" w:rsidP="00275AAB"/>
    <w:p w14:paraId="2E978EB8" w14:textId="77777777" w:rsidR="00DD5D7C" w:rsidRDefault="00DD5D7C" w:rsidP="00275AAB"/>
    <w:p w14:paraId="609C48CF" w14:textId="44BBE51C" w:rsidR="00DD5D7C" w:rsidRDefault="00DD5D7C" w:rsidP="00275AAB"/>
    <w:p w14:paraId="73FFD941" w14:textId="6FC716EE" w:rsidR="00DD5D7C" w:rsidRDefault="00DD5D7C" w:rsidP="00275AAB"/>
    <w:p w14:paraId="2FDE15BF" w14:textId="4ED07C6C" w:rsidR="00DD5D7C" w:rsidRDefault="00DD5D7C" w:rsidP="00275AAB"/>
    <w:p w14:paraId="3311C247" w14:textId="77777777" w:rsidR="00DD5D7C" w:rsidRDefault="00DD5D7C" w:rsidP="00275AAB"/>
    <w:p w14:paraId="61FC784F" w14:textId="77777777" w:rsidR="00DD5D7C" w:rsidRDefault="00DD5D7C" w:rsidP="00275AAB"/>
    <w:p w14:paraId="78D50A42" w14:textId="77777777" w:rsidR="00DD5D7C" w:rsidRDefault="00DD5D7C" w:rsidP="00275AAB"/>
    <w:p w14:paraId="760E8297" w14:textId="154F2EDF" w:rsidR="00DD5D7C" w:rsidRDefault="00DD5D7C" w:rsidP="00275AAB"/>
    <w:p w14:paraId="24C65179" w14:textId="5F1DE30E" w:rsidR="00DD5D7C" w:rsidRDefault="00DD5D7C" w:rsidP="00275AAB"/>
    <w:p w14:paraId="0D54DA27" w14:textId="77777777" w:rsidR="00DD5D7C" w:rsidRDefault="00DD5D7C" w:rsidP="00275AAB"/>
    <w:p w14:paraId="23EB6905" w14:textId="7605875E" w:rsidR="00DD5D7C" w:rsidRDefault="00DD5D7C" w:rsidP="00275AAB"/>
    <w:p w14:paraId="48B460E5" w14:textId="1889109D" w:rsidR="00DD5D7C" w:rsidRDefault="00DD5D7C" w:rsidP="00275AAB"/>
    <w:p w14:paraId="5E67E8AD" w14:textId="4B54EF9C" w:rsidR="00DD5D7C" w:rsidRDefault="00DD5D7C" w:rsidP="00275AAB"/>
    <w:p w14:paraId="2B32DCEF" w14:textId="77777777" w:rsidR="00DD5D7C" w:rsidRDefault="00DD5D7C" w:rsidP="00275AAB"/>
    <w:p w14:paraId="4DC467F3" w14:textId="77777777" w:rsidR="00DD5D7C" w:rsidRDefault="00DD5D7C" w:rsidP="00275AAB"/>
    <w:p w14:paraId="36430D12" w14:textId="1C730988" w:rsidR="00DD5D7C" w:rsidRDefault="00DD5D7C" w:rsidP="00275AAB"/>
    <w:p w14:paraId="08BCB179" w14:textId="77777777" w:rsidR="00DD5D7C" w:rsidRDefault="00DD5D7C" w:rsidP="00275AAB"/>
    <w:p w14:paraId="453291EF" w14:textId="77777777" w:rsidR="00DD5D7C" w:rsidRDefault="00DD5D7C" w:rsidP="00275AAB"/>
    <w:p w14:paraId="0BF69BC6" w14:textId="77777777" w:rsidR="00DD5D7C" w:rsidRDefault="00DD5D7C" w:rsidP="00275AAB"/>
    <w:p w14:paraId="5C031076" w14:textId="77777777" w:rsidR="00DD5D7C" w:rsidRDefault="00DD5D7C" w:rsidP="00275AAB"/>
    <w:p w14:paraId="525BB689" w14:textId="77777777" w:rsidR="000157CA" w:rsidRDefault="000157CA" w:rsidP="000157CA">
      <w:pPr>
        <w:pStyle w:val="Descripcin"/>
        <w:jc w:val="left"/>
        <w:rPr>
          <w:rStyle w:val="CETCaptionCarattere"/>
          <w:b w:val="0"/>
          <w:bCs w:val="0"/>
          <w:color w:val="auto"/>
        </w:rPr>
      </w:pPr>
    </w:p>
    <w:p w14:paraId="0C104B2E" w14:textId="3A87C48B" w:rsidR="000157CA" w:rsidRDefault="000157CA" w:rsidP="000157CA">
      <w:pPr>
        <w:pStyle w:val="Descripcin"/>
        <w:jc w:val="left"/>
        <w:rPr>
          <w:rStyle w:val="CETCaptionCarattere"/>
          <w:b w:val="0"/>
          <w:bCs w:val="0"/>
          <w:color w:val="auto"/>
        </w:rPr>
      </w:pPr>
      <w:r w:rsidRPr="00DA3D96">
        <w:rPr>
          <w:rStyle w:val="CETCaptionCarattere"/>
          <w:b w:val="0"/>
          <w:bCs w:val="0"/>
          <w:color w:val="auto"/>
        </w:rPr>
        <w:t xml:space="preserve">Figure </w:t>
      </w:r>
      <w:r w:rsidR="00E77BD2">
        <w:rPr>
          <w:rStyle w:val="CETCaptionCarattere"/>
          <w:b w:val="0"/>
          <w:bCs w:val="0"/>
          <w:color w:val="auto"/>
        </w:rPr>
        <w:t>2</w:t>
      </w:r>
      <w:r w:rsidRPr="00DA3D96">
        <w:rPr>
          <w:rStyle w:val="CETCaptionCarattere"/>
          <w:b w:val="0"/>
          <w:bCs w:val="0"/>
          <w:color w:val="auto"/>
        </w:rPr>
        <w:t xml:space="preserve">: </w:t>
      </w:r>
      <w:r>
        <w:rPr>
          <w:rStyle w:val="CETCaptionCarattere"/>
          <w:b w:val="0"/>
          <w:bCs w:val="0"/>
          <w:color w:val="auto"/>
        </w:rPr>
        <w:t>Experimental and calculated b</w:t>
      </w:r>
      <w:r w:rsidRPr="006A235A">
        <w:rPr>
          <w:rStyle w:val="CETCaptionCarattere"/>
          <w:b w:val="0"/>
          <w:bCs w:val="0"/>
          <w:color w:val="auto"/>
        </w:rPr>
        <w:t>inodal curve</w:t>
      </w:r>
      <w:r>
        <w:rPr>
          <w:rStyle w:val="CETCaptionCarattere"/>
          <w:b w:val="0"/>
          <w:bCs w:val="0"/>
          <w:color w:val="auto"/>
        </w:rPr>
        <w:t xml:space="preserve"> for Helium-4, </w:t>
      </w:r>
      <w:r w:rsidR="00E77BD2">
        <w:rPr>
          <w:rStyle w:val="CETCaptionCarattere"/>
          <w:b w:val="0"/>
          <w:bCs w:val="0"/>
          <w:color w:val="auto"/>
        </w:rPr>
        <w:t>Clausius</w:t>
      </w:r>
      <w:r w:rsidRPr="006A235A">
        <w:rPr>
          <w:rStyle w:val="CETCaptionCarattere"/>
          <w:b w:val="0"/>
          <w:bCs w:val="0"/>
          <w:color w:val="auto"/>
        </w:rPr>
        <w:t>-SV mode</w:t>
      </w:r>
      <w:r>
        <w:rPr>
          <w:rStyle w:val="CETCaptionCarattere"/>
          <w:b w:val="0"/>
          <w:bCs w:val="0"/>
          <w:color w:val="auto"/>
        </w:rPr>
        <w:t>l</w:t>
      </w:r>
    </w:p>
    <w:p w14:paraId="42A1A14F" w14:textId="77777777" w:rsidR="00DD5D7C" w:rsidRDefault="00DD5D7C" w:rsidP="00275AAB"/>
    <w:p w14:paraId="62AFE546" w14:textId="77777777" w:rsidR="00DD5D7C" w:rsidRPr="00275AAB" w:rsidRDefault="00DD5D7C" w:rsidP="00275AAB"/>
    <w:p w14:paraId="51BBA344" w14:textId="018A87C8" w:rsidR="00DA3D96" w:rsidRPr="00B57B36" w:rsidRDefault="00DA3D96" w:rsidP="00DA3D96">
      <w:pPr>
        <w:pStyle w:val="CETTabletitle"/>
      </w:pPr>
      <w:r w:rsidRPr="00B57B36">
        <w:t xml:space="preserve">Table 1: </w:t>
      </w:r>
      <w:r w:rsidR="0053749D" w:rsidRPr="004E27E2">
        <w:t>Adjusted parameters for each alpha function including the Mathias translation volume for the binodal curve modelling</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099"/>
        <w:gridCol w:w="1099"/>
        <w:gridCol w:w="1099"/>
        <w:gridCol w:w="1098"/>
        <w:gridCol w:w="1098"/>
        <w:gridCol w:w="1098"/>
        <w:gridCol w:w="1098"/>
        <w:gridCol w:w="1098"/>
      </w:tblGrid>
      <w:tr w:rsidR="00682F10" w:rsidRPr="00B57B36" w14:paraId="5A06E21C" w14:textId="5404182C" w:rsidTr="00682F10">
        <w:trPr>
          <w:trHeight w:val="423"/>
        </w:trPr>
        <w:tc>
          <w:tcPr>
            <w:tcW w:w="625" w:type="pct"/>
            <w:tcBorders>
              <w:top w:val="single" w:sz="12" w:space="0" w:color="008000"/>
              <w:bottom w:val="single" w:sz="6" w:space="0" w:color="008000"/>
            </w:tcBorders>
            <w:shd w:val="clear" w:color="auto" w:fill="FFFFFF"/>
            <w:vAlign w:val="center"/>
          </w:tcPr>
          <w:p w14:paraId="2673479D" w14:textId="77CD55C4" w:rsidR="00682F10" w:rsidRPr="00B57B36" w:rsidRDefault="00682F10" w:rsidP="00682F10">
            <w:pPr>
              <w:pStyle w:val="CETBodytext"/>
              <w:jc w:val="center"/>
              <w:rPr>
                <w:lang w:val="en-GB"/>
              </w:rPr>
            </w:pPr>
            <w:proofErr w:type="spellStart"/>
            <w:r>
              <w:rPr>
                <w:lang w:val="en-GB"/>
              </w:rPr>
              <w:t>CEoS</w:t>
            </w:r>
            <w:proofErr w:type="spellEnd"/>
          </w:p>
        </w:tc>
        <w:tc>
          <w:tcPr>
            <w:tcW w:w="625" w:type="pct"/>
            <w:tcBorders>
              <w:top w:val="single" w:sz="12" w:space="0" w:color="008000"/>
              <w:bottom w:val="single" w:sz="6" w:space="0" w:color="008000"/>
            </w:tcBorders>
            <w:shd w:val="clear" w:color="auto" w:fill="FFFFFF"/>
            <w:vAlign w:val="center"/>
          </w:tcPr>
          <w:p w14:paraId="2F8F18B2" w14:textId="60AEBC67" w:rsidR="00682F10" w:rsidRPr="00B57B36" w:rsidRDefault="00682F10" w:rsidP="00682F10">
            <w:pPr>
              <w:pStyle w:val="CETBodytext"/>
              <w:jc w:val="center"/>
              <w:rPr>
                <w:lang w:val="en-GB"/>
              </w:rPr>
            </w:pPr>
            <m:oMathPara>
              <m:oMath>
                <m:r>
                  <w:rPr>
                    <w:rFonts w:ascii="Cambria Math" w:hAnsi="Cambria Math"/>
                    <w:lang w:val="en-GB"/>
                  </w:rPr>
                  <m:t>α</m:t>
                </m:r>
              </m:oMath>
            </m:oMathPara>
          </w:p>
        </w:tc>
        <w:tc>
          <w:tcPr>
            <w:tcW w:w="625" w:type="pct"/>
            <w:tcBorders>
              <w:top w:val="single" w:sz="12" w:space="0" w:color="008000"/>
              <w:bottom w:val="single" w:sz="6" w:space="0" w:color="008000"/>
            </w:tcBorders>
            <w:shd w:val="clear" w:color="auto" w:fill="FFFFFF"/>
            <w:vAlign w:val="center"/>
          </w:tcPr>
          <w:p w14:paraId="6D8136FD" w14:textId="23678727" w:rsidR="00682F10" w:rsidRDefault="00000000" w:rsidP="00682F10">
            <w:pPr>
              <w:pStyle w:val="CETBodytext"/>
              <w:jc w:val="center"/>
              <w:rPr>
                <w:rFonts w:cs="Arial"/>
                <w:i/>
                <w:lang w:val="en-GB"/>
              </w:rPr>
            </w:pPr>
            <m:oMathPara>
              <m:oMath>
                <m:sSub>
                  <m:sSubPr>
                    <m:ctrlPr>
                      <w:rPr>
                        <w:rFonts w:ascii="Cambria Math" w:eastAsiaTheme="minorEastAsia" w:hAnsi="Cambria Math" w:cs="Arial"/>
                        <w:i/>
                        <w:lang w:val="en-GB"/>
                      </w:rPr>
                    </m:ctrlPr>
                  </m:sSubPr>
                  <m:e>
                    <m:r>
                      <w:rPr>
                        <w:rFonts w:ascii="Cambria Math" w:eastAsiaTheme="minorEastAsia" w:hAnsi="Cambria Math" w:cs="Arial"/>
                      </w:rPr>
                      <m:t>κ</m:t>
                    </m:r>
                  </m:e>
                  <m:sub>
                    <m:r>
                      <w:rPr>
                        <w:rFonts w:ascii="Cambria Math" w:eastAsiaTheme="minorEastAsia" w:hAnsi="Cambria Math" w:cs="Arial"/>
                      </w:rPr>
                      <m:t>0</m:t>
                    </m:r>
                  </m:sub>
                </m:sSub>
              </m:oMath>
            </m:oMathPara>
          </w:p>
        </w:tc>
        <w:tc>
          <w:tcPr>
            <w:tcW w:w="625" w:type="pct"/>
            <w:tcBorders>
              <w:top w:val="single" w:sz="12" w:space="0" w:color="008000"/>
              <w:bottom w:val="single" w:sz="6" w:space="0" w:color="008000"/>
            </w:tcBorders>
            <w:shd w:val="clear" w:color="auto" w:fill="FFFFFF"/>
            <w:vAlign w:val="center"/>
          </w:tcPr>
          <w:p w14:paraId="1FB32328" w14:textId="5E152D8C" w:rsidR="00682F10" w:rsidRPr="00B57B36" w:rsidRDefault="00000000" w:rsidP="00682F10">
            <w:pPr>
              <w:pStyle w:val="CETBodytext"/>
              <w:jc w:val="center"/>
              <w:rPr>
                <w:lang w:val="en-GB"/>
              </w:rPr>
            </w:pPr>
            <m:oMathPara>
              <m:oMath>
                <m:sSub>
                  <m:sSubPr>
                    <m:ctrlPr>
                      <w:rPr>
                        <w:rFonts w:ascii="Cambria Math" w:eastAsiaTheme="minorEastAsia" w:hAnsi="Cambria Math" w:cs="Arial"/>
                        <w:i/>
                        <w:lang w:val="en-GB"/>
                      </w:rPr>
                    </m:ctrlPr>
                  </m:sSubPr>
                  <m:e>
                    <m:r>
                      <w:rPr>
                        <w:rFonts w:ascii="Cambria Math" w:eastAsiaTheme="minorEastAsia" w:hAnsi="Cambria Math" w:cs="Arial"/>
                      </w:rPr>
                      <m:t>κ</m:t>
                    </m:r>
                  </m:e>
                  <m:sub>
                    <m:r>
                      <w:rPr>
                        <w:rFonts w:ascii="Cambria Math" w:eastAsiaTheme="minorEastAsia" w:hAnsi="Cambria Math" w:cs="Arial"/>
                      </w:rPr>
                      <m:t>1</m:t>
                    </m:r>
                  </m:sub>
                </m:sSub>
              </m:oMath>
            </m:oMathPara>
          </w:p>
        </w:tc>
        <w:tc>
          <w:tcPr>
            <w:tcW w:w="625" w:type="pct"/>
            <w:tcBorders>
              <w:top w:val="single" w:sz="12" w:space="0" w:color="008000"/>
              <w:bottom w:val="single" w:sz="6" w:space="0" w:color="008000"/>
            </w:tcBorders>
            <w:shd w:val="clear" w:color="auto" w:fill="FFFFFF"/>
            <w:vAlign w:val="center"/>
          </w:tcPr>
          <w:p w14:paraId="36587BBD" w14:textId="4B566403" w:rsidR="00682F10" w:rsidRPr="00B57B36" w:rsidRDefault="00682F10" w:rsidP="00682F10">
            <w:pPr>
              <w:pStyle w:val="CETBodytext"/>
              <w:ind w:right="-1"/>
              <w:jc w:val="center"/>
              <w:rPr>
                <w:rFonts w:cs="Arial"/>
                <w:szCs w:val="18"/>
                <w:lang w:val="en-GB"/>
              </w:rPr>
            </w:pPr>
            <m:oMathPara>
              <m:oMath>
                <m:r>
                  <w:rPr>
                    <w:rFonts w:ascii="Cambria Math" w:eastAsiaTheme="minorEastAsia" w:hAnsi="Cambria Math" w:cs="Arial"/>
                  </w:rPr>
                  <m:t>M</m:t>
                </m:r>
              </m:oMath>
            </m:oMathPara>
          </w:p>
        </w:tc>
        <w:tc>
          <w:tcPr>
            <w:tcW w:w="625" w:type="pct"/>
            <w:tcBorders>
              <w:top w:val="single" w:sz="12" w:space="0" w:color="008000"/>
              <w:bottom w:val="single" w:sz="6" w:space="0" w:color="008000"/>
            </w:tcBorders>
            <w:shd w:val="clear" w:color="auto" w:fill="FFFFFF"/>
            <w:vAlign w:val="center"/>
          </w:tcPr>
          <w:p w14:paraId="7B8FE310" w14:textId="1329ACB4" w:rsidR="00682F10" w:rsidRPr="00B57B36" w:rsidRDefault="00682F10" w:rsidP="00682F10">
            <w:pPr>
              <w:pStyle w:val="CETBodytext"/>
              <w:ind w:right="-1"/>
              <w:jc w:val="center"/>
              <w:rPr>
                <w:rFonts w:cs="Arial"/>
                <w:szCs w:val="18"/>
                <w:lang w:val="en-GB"/>
              </w:rPr>
            </w:pPr>
            <m:oMathPara>
              <m:oMath>
                <m:r>
                  <w:rPr>
                    <w:rFonts w:ascii="Cambria Math" w:eastAsiaTheme="minorEastAsia" w:hAnsi="Cambria Math" w:cs="Arial"/>
                  </w:rPr>
                  <m:t>N</m:t>
                </m:r>
              </m:oMath>
            </m:oMathPara>
          </w:p>
        </w:tc>
        <w:bookmarkStart w:id="2" w:name="_Hlk185028366"/>
        <w:tc>
          <w:tcPr>
            <w:tcW w:w="625" w:type="pct"/>
            <w:tcBorders>
              <w:top w:val="single" w:sz="12" w:space="0" w:color="008000"/>
              <w:bottom w:val="single" w:sz="6" w:space="0" w:color="008000"/>
            </w:tcBorders>
            <w:shd w:val="clear" w:color="auto" w:fill="FFFFFF"/>
            <w:vAlign w:val="center"/>
          </w:tcPr>
          <w:p w14:paraId="3C203297" w14:textId="7828C74F" w:rsidR="00682F10" w:rsidRPr="00B57B36" w:rsidRDefault="00000000" w:rsidP="00682F10">
            <w:pPr>
              <w:pStyle w:val="CETBodytext"/>
              <w:ind w:right="-1"/>
              <w:jc w:val="center"/>
              <w:rPr>
                <w:rFonts w:cs="Arial"/>
                <w:szCs w:val="18"/>
                <w:lang w:val="en-GB"/>
              </w:rPr>
            </w:pPr>
            <m:oMathPara>
              <m:oMath>
                <m:sSub>
                  <m:sSubPr>
                    <m:ctrlPr>
                      <w:rPr>
                        <w:rFonts w:ascii="Cambria Math" w:hAnsi="Cambria Math" w:cs="Arial"/>
                        <w:i/>
                        <w:szCs w:val="18"/>
                        <w:lang w:val="en-GB"/>
                      </w:rPr>
                    </m:ctrlPr>
                  </m:sSubPr>
                  <m:e>
                    <m:r>
                      <w:rPr>
                        <w:rFonts w:ascii="Cambria Math" w:hAnsi="Cambria Math" w:cs="Arial"/>
                        <w:szCs w:val="18"/>
                        <w:lang w:val="en-GB"/>
                      </w:rPr>
                      <m:t>χ</m:t>
                    </m:r>
                  </m:e>
                  <m:sub>
                    <m:r>
                      <w:rPr>
                        <w:rFonts w:ascii="Cambria Math" w:hAnsi="Cambria Math" w:cs="Arial"/>
                        <w:szCs w:val="18"/>
                        <w:lang w:val="en-GB"/>
                      </w:rPr>
                      <m:t>0</m:t>
                    </m:r>
                  </m:sub>
                </m:sSub>
              </m:oMath>
            </m:oMathPara>
            <w:bookmarkEnd w:id="2"/>
          </w:p>
        </w:tc>
        <w:tc>
          <w:tcPr>
            <w:tcW w:w="625" w:type="pct"/>
            <w:tcBorders>
              <w:top w:val="single" w:sz="12" w:space="0" w:color="008000"/>
              <w:bottom w:val="single" w:sz="6" w:space="0" w:color="008000"/>
            </w:tcBorders>
            <w:shd w:val="clear" w:color="auto" w:fill="FFFFFF"/>
            <w:vAlign w:val="center"/>
          </w:tcPr>
          <w:p w14:paraId="3A41A632" w14:textId="0CC66572" w:rsidR="00682F10" w:rsidRPr="00B57B36" w:rsidRDefault="00000000" w:rsidP="00682F10">
            <w:pPr>
              <w:pStyle w:val="CETBodytext"/>
              <w:ind w:right="-1"/>
              <w:jc w:val="center"/>
              <w:rPr>
                <w:rFonts w:cs="Arial"/>
                <w:szCs w:val="18"/>
                <w:lang w:val="en-GB"/>
              </w:rPr>
            </w:pPr>
            <m:oMathPara>
              <m:oMath>
                <m:sSub>
                  <m:sSubPr>
                    <m:ctrlPr>
                      <w:rPr>
                        <w:rFonts w:ascii="Cambria Math" w:hAnsi="Cambria Math" w:cs="Arial"/>
                        <w:i/>
                        <w:szCs w:val="18"/>
                        <w:lang w:val="en-GB"/>
                      </w:rPr>
                    </m:ctrlPr>
                  </m:sSubPr>
                  <m:e>
                    <m:r>
                      <w:rPr>
                        <w:rFonts w:ascii="Cambria Math" w:hAnsi="Cambria Math" w:cs="Arial"/>
                        <w:szCs w:val="18"/>
                        <w:lang w:val="en-GB"/>
                      </w:rPr>
                      <m:t>χ</m:t>
                    </m:r>
                  </m:e>
                  <m:sub>
                    <m:r>
                      <w:rPr>
                        <w:rFonts w:ascii="Cambria Math" w:hAnsi="Cambria Math" w:cs="Arial"/>
                        <w:szCs w:val="18"/>
                        <w:lang w:val="en-GB"/>
                      </w:rPr>
                      <m:t>1</m:t>
                    </m:r>
                  </m:sub>
                </m:sSub>
              </m:oMath>
            </m:oMathPara>
          </w:p>
        </w:tc>
      </w:tr>
      <w:tr w:rsidR="00682F10" w:rsidRPr="00B57B36" w14:paraId="070F2B0D" w14:textId="3D003567" w:rsidTr="00682F10">
        <w:trPr>
          <w:trHeight w:val="423"/>
        </w:trPr>
        <w:tc>
          <w:tcPr>
            <w:tcW w:w="625" w:type="pct"/>
            <w:vMerge w:val="restart"/>
            <w:shd w:val="clear" w:color="auto" w:fill="FFFFFF"/>
            <w:vAlign w:val="center"/>
          </w:tcPr>
          <w:p w14:paraId="551D2B68" w14:textId="7551A5F0" w:rsidR="00682F10" w:rsidRPr="00B57B36" w:rsidRDefault="00682F10" w:rsidP="00682F10">
            <w:pPr>
              <w:pStyle w:val="CETBodytext"/>
              <w:jc w:val="center"/>
              <w:rPr>
                <w:lang w:val="en-GB"/>
              </w:rPr>
            </w:pPr>
            <w:r>
              <w:rPr>
                <w:lang w:val="en-GB"/>
              </w:rPr>
              <w:t>PR</w:t>
            </w:r>
          </w:p>
        </w:tc>
        <w:tc>
          <w:tcPr>
            <w:tcW w:w="625" w:type="pct"/>
            <w:shd w:val="clear" w:color="auto" w:fill="FFFFFF"/>
            <w:vAlign w:val="center"/>
          </w:tcPr>
          <w:p w14:paraId="5B170973" w14:textId="2C6157F9" w:rsidR="00682F10" w:rsidRPr="00B57B36" w:rsidRDefault="00734B4D" w:rsidP="00734B4D">
            <w:pPr>
              <w:pStyle w:val="CETBodytext"/>
              <w:jc w:val="center"/>
              <w:rPr>
                <w:lang w:val="en-GB"/>
              </w:rPr>
            </w:pPr>
            <w:proofErr w:type="spellStart"/>
            <w:r>
              <w:rPr>
                <w:lang w:val="en-GB"/>
              </w:rPr>
              <w:t>Stryjek</w:t>
            </w:r>
            <w:proofErr w:type="spellEnd"/>
            <w:r>
              <w:rPr>
                <w:lang w:val="en-GB"/>
              </w:rPr>
              <w:t xml:space="preserve"> </w:t>
            </w:r>
            <w:r>
              <w:rPr>
                <w:lang w:val="en-GB"/>
              </w:rPr>
              <w:t xml:space="preserve">and Vera </w:t>
            </w:r>
            <w:r>
              <w:rPr>
                <w:lang w:val="en-GB"/>
              </w:rPr>
              <w:t>(</w:t>
            </w:r>
            <w:r>
              <w:rPr>
                <w:lang w:val="en-GB"/>
              </w:rPr>
              <w:t>1986)</w:t>
            </w:r>
          </w:p>
        </w:tc>
        <w:tc>
          <w:tcPr>
            <w:tcW w:w="625" w:type="pct"/>
            <w:shd w:val="clear" w:color="auto" w:fill="FFFFFF"/>
            <w:vAlign w:val="center"/>
          </w:tcPr>
          <w:p w14:paraId="30A6E003" w14:textId="3922B1D5" w:rsidR="00682F10" w:rsidRDefault="00682F10" w:rsidP="00682F10">
            <w:pPr>
              <w:pStyle w:val="CETBodytext"/>
              <w:jc w:val="center"/>
              <w:rPr>
                <w:lang w:val="en-GB"/>
              </w:rPr>
            </w:pPr>
            <w:r>
              <w:rPr>
                <w:rFonts w:ascii="Calibri" w:hAnsi="Calibri" w:cs="Calibri"/>
                <w:szCs w:val="18"/>
                <w:lang w:val="en-GB"/>
              </w:rPr>
              <w:t>̶</w:t>
            </w:r>
          </w:p>
        </w:tc>
        <w:tc>
          <w:tcPr>
            <w:tcW w:w="625" w:type="pct"/>
            <w:shd w:val="clear" w:color="auto" w:fill="FFFFFF"/>
            <w:vAlign w:val="center"/>
          </w:tcPr>
          <w:p w14:paraId="1DD2645C" w14:textId="11276DAA" w:rsidR="00682F10" w:rsidRPr="00B57B36" w:rsidRDefault="00682F10" w:rsidP="00682F10">
            <w:pPr>
              <w:pStyle w:val="CETBodytext"/>
              <w:jc w:val="center"/>
              <w:rPr>
                <w:lang w:val="en-GB"/>
              </w:rPr>
            </w:pPr>
            <w:r>
              <w:rPr>
                <w:lang w:val="en-GB"/>
              </w:rPr>
              <w:t>-0.140831</w:t>
            </w:r>
          </w:p>
        </w:tc>
        <w:tc>
          <w:tcPr>
            <w:tcW w:w="625" w:type="pct"/>
            <w:shd w:val="clear" w:color="auto" w:fill="FFFFFF"/>
            <w:vAlign w:val="center"/>
          </w:tcPr>
          <w:p w14:paraId="2B60E042" w14:textId="48995582" w:rsidR="00682F10" w:rsidRPr="00B57B36" w:rsidRDefault="00682F10" w:rsidP="00682F10">
            <w:pPr>
              <w:pStyle w:val="CETBodytext"/>
              <w:ind w:right="-1"/>
              <w:jc w:val="center"/>
              <w:rPr>
                <w:rFonts w:cs="Arial"/>
                <w:szCs w:val="18"/>
                <w:lang w:val="en-GB"/>
              </w:rPr>
            </w:pPr>
            <w:r>
              <w:rPr>
                <w:rFonts w:ascii="Calibri" w:hAnsi="Calibri" w:cs="Calibri"/>
                <w:szCs w:val="18"/>
                <w:lang w:val="en-GB"/>
              </w:rPr>
              <w:t>̶</w:t>
            </w:r>
          </w:p>
        </w:tc>
        <w:tc>
          <w:tcPr>
            <w:tcW w:w="625" w:type="pct"/>
            <w:shd w:val="clear" w:color="auto" w:fill="FFFFFF"/>
            <w:vAlign w:val="center"/>
          </w:tcPr>
          <w:p w14:paraId="3E881EB7" w14:textId="61CD5921" w:rsidR="00682F10" w:rsidRPr="00B57B36" w:rsidRDefault="00682F10" w:rsidP="00682F10">
            <w:pPr>
              <w:pStyle w:val="CETBodytext"/>
              <w:ind w:right="-1"/>
              <w:jc w:val="center"/>
              <w:rPr>
                <w:rFonts w:cs="Arial"/>
                <w:szCs w:val="18"/>
                <w:lang w:val="en-GB"/>
              </w:rPr>
            </w:pPr>
            <w:r>
              <w:rPr>
                <w:rFonts w:ascii="Calibri" w:hAnsi="Calibri" w:cs="Calibri"/>
                <w:szCs w:val="18"/>
                <w:lang w:val="en-GB"/>
              </w:rPr>
              <w:t>̶</w:t>
            </w:r>
          </w:p>
        </w:tc>
        <w:tc>
          <w:tcPr>
            <w:tcW w:w="625" w:type="pct"/>
            <w:shd w:val="clear" w:color="auto" w:fill="FFFFFF"/>
            <w:vAlign w:val="center"/>
          </w:tcPr>
          <w:p w14:paraId="4C0D76ED" w14:textId="15B493E2" w:rsidR="00682F10" w:rsidRPr="00B57B36" w:rsidRDefault="00682F10" w:rsidP="00682F10">
            <w:pPr>
              <w:pStyle w:val="CETBodytext"/>
              <w:ind w:right="-1"/>
              <w:jc w:val="center"/>
              <w:rPr>
                <w:rFonts w:cs="Arial"/>
                <w:szCs w:val="18"/>
                <w:lang w:val="en-GB"/>
              </w:rPr>
            </w:pPr>
            <w:r>
              <w:rPr>
                <w:rFonts w:cs="Arial"/>
                <w:szCs w:val="18"/>
                <w:lang w:val="en-GB"/>
              </w:rPr>
              <w:t>0.0556068</w:t>
            </w:r>
          </w:p>
        </w:tc>
        <w:tc>
          <w:tcPr>
            <w:tcW w:w="625" w:type="pct"/>
            <w:shd w:val="clear" w:color="auto" w:fill="FFFFFF"/>
            <w:vAlign w:val="center"/>
          </w:tcPr>
          <w:p w14:paraId="3B983904" w14:textId="77EB0448" w:rsidR="00682F10" w:rsidRPr="00B57B36" w:rsidRDefault="00682F10" w:rsidP="00682F10">
            <w:pPr>
              <w:pStyle w:val="CETBodytext"/>
              <w:ind w:right="-1"/>
              <w:jc w:val="center"/>
              <w:rPr>
                <w:rFonts w:cs="Arial"/>
                <w:szCs w:val="18"/>
                <w:lang w:val="en-GB"/>
              </w:rPr>
            </w:pPr>
            <w:r w:rsidRPr="00682F10">
              <w:rPr>
                <w:rFonts w:cs="Arial"/>
                <w:szCs w:val="18"/>
                <w:lang w:val="en-GB"/>
              </w:rPr>
              <w:t>-0.0233716</w:t>
            </w:r>
          </w:p>
        </w:tc>
      </w:tr>
      <w:tr w:rsidR="00682F10" w:rsidRPr="00B57B36" w14:paraId="50D38377" w14:textId="7B39FE3E" w:rsidTr="00682F10">
        <w:trPr>
          <w:trHeight w:val="423"/>
        </w:trPr>
        <w:tc>
          <w:tcPr>
            <w:tcW w:w="625" w:type="pct"/>
            <w:vMerge/>
            <w:shd w:val="clear" w:color="auto" w:fill="FFFFFF"/>
            <w:vAlign w:val="center"/>
          </w:tcPr>
          <w:p w14:paraId="6BF339A8" w14:textId="77777777" w:rsidR="00682F10" w:rsidRPr="00B57B36" w:rsidRDefault="00682F10" w:rsidP="00682F10">
            <w:pPr>
              <w:pStyle w:val="CETBodytext"/>
              <w:ind w:right="-1"/>
              <w:jc w:val="center"/>
              <w:rPr>
                <w:rFonts w:cs="Arial"/>
                <w:szCs w:val="18"/>
                <w:lang w:val="en-GB"/>
              </w:rPr>
            </w:pPr>
          </w:p>
        </w:tc>
        <w:tc>
          <w:tcPr>
            <w:tcW w:w="625" w:type="pct"/>
            <w:shd w:val="clear" w:color="auto" w:fill="FFFFFF"/>
            <w:vAlign w:val="center"/>
          </w:tcPr>
          <w:p w14:paraId="6CF7DB1D" w14:textId="3AC8D13D" w:rsidR="00682F10" w:rsidRPr="00B57B36" w:rsidRDefault="00734B4D" w:rsidP="00682F10">
            <w:pPr>
              <w:pStyle w:val="CETBodytext"/>
              <w:ind w:right="-1"/>
              <w:jc w:val="center"/>
              <w:rPr>
                <w:rFonts w:cs="Arial"/>
                <w:szCs w:val="18"/>
                <w:lang w:val="en-GB"/>
              </w:rPr>
            </w:pPr>
            <w:r w:rsidRPr="00272F51">
              <w:rPr>
                <w:lang w:val="en-GB"/>
              </w:rPr>
              <w:t>Melhem et al.</w:t>
            </w:r>
            <w:r>
              <w:rPr>
                <w:lang w:val="en-GB"/>
              </w:rPr>
              <w:t xml:space="preserve"> (</w:t>
            </w:r>
            <w:r w:rsidRPr="00272F51">
              <w:rPr>
                <w:lang w:val="en-GB"/>
              </w:rPr>
              <w:t>1989</w:t>
            </w:r>
            <w:r>
              <w:rPr>
                <w:lang w:val="en-GB"/>
              </w:rPr>
              <w:t>)</w:t>
            </w:r>
          </w:p>
        </w:tc>
        <w:tc>
          <w:tcPr>
            <w:tcW w:w="625" w:type="pct"/>
            <w:shd w:val="clear" w:color="auto" w:fill="FFFFFF"/>
            <w:vAlign w:val="center"/>
          </w:tcPr>
          <w:p w14:paraId="6A82C85E" w14:textId="13EB6F2B" w:rsidR="00682F10" w:rsidRDefault="00682F10" w:rsidP="00682F10">
            <w:pPr>
              <w:pStyle w:val="CETBodytext"/>
              <w:ind w:right="-1"/>
              <w:jc w:val="center"/>
              <w:rPr>
                <w:rFonts w:ascii="Calibri" w:hAnsi="Calibri" w:cs="Calibri"/>
                <w:szCs w:val="18"/>
                <w:lang w:val="en-GB"/>
              </w:rPr>
            </w:pPr>
            <w:r>
              <w:rPr>
                <w:rFonts w:ascii="Calibri" w:hAnsi="Calibri" w:cs="Calibri"/>
                <w:szCs w:val="18"/>
                <w:lang w:val="en-GB"/>
              </w:rPr>
              <w:t>̶</w:t>
            </w:r>
          </w:p>
        </w:tc>
        <w:tc>
          <w:tcPr>
            <w:tcW w:w="625" w:type="pct"/>
            <w:shd w:val="clear" w:color="auto" w:fill="FFFFFF"/>
            <w:vAlign w:val="center"/>
          </w:tcPr>
          <w:p w14:paraId="7B9DD5C0" w14:textId="0CEC90FC" w:rsidR="00682F10" w:rsidRPr="00B57B36" w:rsidRDefault="00682F10" w:rsidP="00682F10">
            <w:pPr>
              <w:pStyle w:val="CETBodytext"/>
              <w:ind w:right="-1"/>
              <w:jc w:val="center"/>
              <w:rPr>
                <w:rFonts w:cs="Arial"/>
                <w:szCs w:val="18"/>
                <w:lang w:val="en-GB"/>
              </w:rPr>
            </w:pPr>
            <w:r>
              <w:rPr>
                <w:rFonts w:ascii="Calibri" w:hAnsi="Calibri" w:cs="Calibri"/>
                <w:szCs w:val="18"/>
                <w:lang w:val="en-GB"/>
              </w:rPr>
              <w:t>̶</w:t>
            </w:r>
          </w:p>
        </w:tc>
        <w:tc>
          <w:tcPr>
            <w:tcW w:w="625" w:type="pct"/>
            <w:shd w:val="clear" w:color="auto" w:fill="FFFFFF"/>
            <w:vAlign w:val="center"/>
          </w:tcPr>
          <w:p w14:paraId="711E2E71" w14:textId="29198A69" w:rsidR="00682F10" w:rsidRPr="00B57B36" w:rsidRDefault="00682F10" w:rsidP="00682F10">
            <w:pPr>
              <w:pStyle w:val="CETBodytext"/>
              <w:ind w:right="-1"/>
              <w:jc w:val="center"/>
              <w:rPr>
                <w:rFonts w:cs="Arial"/>
                <w:szCs w:val="18"/>
                <w:lang w:val="en-GB"/>
              </w:rPr>
            </w:pPr>
            <w:r w:rsidRPr="00682F10">
              <w:rPr>
                <w:rFonts w:cs="Arial"/>
                <w:szCs w:val="18"/>
                <w:lang w:val="en-GB"/>
              </w:rPr>
              <w:t>-0.149649</w:t>
            </w:r>
          </w:p>
        </w:tc>
        <w:tc>
          <w:tcPr>
            <w:tcW w:w="625" w:type="pct"/>
            <w:shd w:val="clear" w:color="auto" w:fill="FFFFFF"/>
            <w:vAlign w:val="center"/>
          </w:tcPr>
          <w:p w14:paraId="2DE8A375" w14:textId="28B9AE74" w:rsidR="00682F10" w:rsidRPr="00B57B36" w:rsidRDefault="00682F10" w:rsidP="00682F10">
            <w:pPr>
              <w:pStyle w:val="CETBodytext"/>
              <w:ind w:right="-1"/>
              <w:jc w:val="center"/>
              <w:rPr>
                <w:rFonts w:cs="Arial"/>
                <w:szCs w:val="18"/>
                <w:lang w:val="en-GB"/>
              </w:rPr>
            </w:pPr>
            <w:r w:rsidRPr="00682F10">
              <w:rPr>
                <w:rFonts w:cs="Arial"/>
                <w:szCs w:val="18"/>
                <w:lang w:val="en-GB"/>
              </w:rPr>
              <w:t>-1.0153</w:t>
            </w:r>
            <w:r>
              <w:rPr>
                <w:rFonts w:cs="Arial"/>
                <w:szCs w:val="18"/>
                <w:lang w:val="en-GB"/>
              </w:rPr>
              <w:t>00</w:t>
            </w:r>
          </w:p>
        </w:tc>
        <w:tc>
          <w:tcPr>
            <w:tcW w:w="625" w:type="pct"/>
            <w:shd w:val="clear" w:color="auto" w:fill="FFFFFF"/>
            <w:vAlign w:val="center"/>
          </w:tcPr>
          <w:p w14:paraId="7ADB80D6" w14:textId="4BDCAD12" w:rsidR="00682F10" w:rsidRPr="00B57B36" w:rsidRDefault="00682F10" w:rsidP="00682F10">
            <w:pPr>
              <w:pStyle w:val="CETBodytext"/>
              <w:ind w:right="-1"/>
              <w:jc w:val="center"/>
              <w:rPr>
                <w:rFonts w:cs="Arial"/>
                <w:szCs w:val="18"/>
                <w:lang w:val="en-GB"/>
              </w:rPr>
            </w:pPr>
            <w:r w:rsidRPr="00682F10">
              <w:rPr>
                <w:rFonts w:cs="Arial"/>
                <w:szCs w:val="18"/>
                <w:lang w:val="en-GB"/>
              </w:rPr>
              <w:t>0.0558869</w:t>
            </w:r>
          </w:p>
        </w:tc>
        <w:tc>
          <w:tcPr>
            <w:tcW w:w="625" w:type="pct"/>
            <w:shd w:val="clear" w:color="auto" w:fill="FFFFFF"/>
            <w:vAlign w:val="center"/>
          </w:tcPr>
          <w:p w14:paraId="51EA9CBC" w14:textId="5FD41328" w:rsidR="00682F10" w:rsidRPr="00B57B36" w:rsidRDefault="00682F10" w:rsidP="00682F10">
            <w:pPr>
              <w:pStyle w:val="CETBodytext"/>
              <w:ind w:right="-1"/>
              <w:jc w:val="center"/>
              <w:rPr>
                <w:rFonts w:cs="Arial"/>
                <w:szCs w:val="18"/>
                <w:lang w:val="en-GB"/>
              </w:rPr>
            </w:pPr>
            <w:r w:rsidRPr="00682F10">
              <w:rPr>
                <w:rFonts w:cs="Arial"/>
                <w:szCs w:val="18"/>
                <w:lang w:val="en-GB"/>
              </w:rPr>
              <w:t>-0.0238071</w:t>
            </w:r>
          </w:p>
        </w:tc>
      </w:tr>
      <w:tr w:rsidR="00682F10" w:rsidRPr="00B57B36" w14:paraId="31F43A26" w14:textId="77777777" w:rsidTr="00682F10">
        <w:trPr>
          <w:trHeight w:val="423"/>
        </w:trPr>
        <w:tc>
          <w:tcPr>
            <w:tcW w:w="625" w:type="pct"/>
            <w:vMerge w:val="restart"/>
            <w:shd w:val="clear" w:color="auto" w:fill="FFFFFF"/>
            <w:vAlign w:val="center"/>
          </w:tcPr>
          <w:p w14:paraId="04C985C3" w14:textId="18E9BFDC" w:rsidR="00682F10" w:rsidRPr="00B57B36" w:rsidRDefault="00682F10" w:rsidP="00682F10">
            <w:pPr>
              <w:pStyle w:val="CETBodytext"/>
              <w:ind w:right="-1"/>
              <w:jc w:val="center"/>
              <w:rPr>
                <w:rFonts w:cs="Arial"/>
                <w:szCs w:val="18"/>
                <w:lang w:val="en-GB"/>
              </w:rPr>
            </w:pPr>
            <w:r>
              <w:rPr>
                <w:rFonts w:cs="Arial"/>
                <w:szCs w:val="18"/>
                <w:lang w:val="en-GB"/>
              </w:rPr>
              <w:t>Clausius</w:t>
            </w:r>
          </w:p>
        </w:tc>
        <w:tc>
          <w:tcPr>
            <w:tcW w:w="625" w:type="pct"/>
            <w:shd w:val="clear" w:color="auto" w:fill="FFFFFF"/>
            <w:vAlign w:val="center"/>
          </w:tcPr>
          <w:p w14:paraId="421D4F39" w14:textId="0EB2AAFC" w:rsidR="00682F10" w:rsidRPr="00B57B36" w:rsidRDefault="00734B4D" w:rsidP="00682F10">
            <w:pPr>
              <w:pStyle w:val="CETBodytext"/>
              <w:ind w:right="-1"/>
              <w:jc w:val="center"/>
              <w:rPr>
                <w:rFonts w:cs="Arial"/>
                <w:szCs w:val="18"/>
                <w:lang w:val="en-GB"/>
              </w:rPr>
            </w:pPr>
            <w:proofErr w:type="spellStart"/>
            <w:r>
              <w:rPr>
                <w:lang w:val="en-GB"/>
              </w:rPr>
              <w:t>Stryjek</w:t>
            </w:r>
            <w:proofErr w:type="spellEnd"/>
            <w:r>
              <w:rPr>
                <w:lang w:val="en-GB"/>
              </w:rPr>
              <w:t xml:space="preserve"> and Vera (1986)</w:t>
            </w:r>
          </w:p>
        </w:tc>
        <w:tc>
          <w:tcPr>
            <w:tcW w:w="625" w:type="pct"/>
            <w:shd w:val="clear" w:color="auto" w:fill="FFFFFF"/>
            <w:vAlign w:val="center"/>
          </w:tcPr>
          <w:p w14:paraId="5FDFB09D" w14:textId="774F2F07" w:rsidR="00682F10" w:rsidRPr="00B57B36" w:rsidRDefault="00682F10" w:rsidP="00682F10">
            <w:pPr>
              <w:pStyle w:val="CETBodytext"/>
              <w:ind w:right="-1"/>
              <w:jc w:val="center"/>
              <w:rPr>
                <w:rFonts w:cs="Arial"/>
                <w:szCs w:val="18"/>
                <w:lang w:val="en-GB"/>
              </w:rPr>
            </w:pPr>
            <w:r w:rsidRPr="00682F10">
              <w:rPr>
                <w:rFonts w:cs="Arial"/>
                <w:szCs w:val="18"/>
                <w:lang w:val="en-GB"/>
              </w:rPr>
              <w:t>-0.140291</w:t>
            </w:r>
          </w:p>
        </w:tc>
        <w:tc>
          <w:tcPr>
            <w:tcW w:w="625" w:type="pct"/>
            <w:shd w:val="clear" w:color="auto" w:fill="FFFFFF"/>
            <w:vAlign w:val="center"/>
          </w:tcPr>
          <w:p w14:paraId="79751F30" w14:textId="6FD2C85A" w:rsidR="00682F10" w:rsidRPr="00B57B36" w:rsidRDefault="00682F10" w:rsidP="00682F10">
            <w:pPr>
              <w:pStyle w:val="CETBodytext"/>
              <w:ind w:right="-1"/>
              <w:jc w:val="center"/>
              <w:rPr>
                <w:rFonts w:cs="Arial"/>
                <w:szCs w:val="18"/>
                <w:lang w:val="en-GB"/>
              </w:rPr>
            </w:pPr>
            <w:r w:rsidRPr="00682F10">
              <w:rPr>
                <w:rFonts w:cs="Arial"/>
                <w:szCs w:val="18"/>
                <w:lang w:val="en-GB"/>
              </w:rPr>
              <w:t>-0.186449</w:t>
            </w:r>
          </w:p>
        </w:tc>
        <w:tc>
          <w:tcPr>
            <w:tcW w:w="625" w:type="pct"/>
            <w:shd w:val="clear" w:color="auto" w:fill="FFFFFF"/>
            <w:vAlign w:val="center"/>
          </w:tcPr>
          <w:p w14:paraId="1D3A5A58" w14:textId="20BDFBC8" w:rsidR="00682F10" w:rsidRPr="00B57B36" w:rsidRDefault="00682F10" w:rsidP="00682F10">
            <w:pPr>
              <w:pStyle w:val="CETBodytext"/>
              <w:ind w:right="-1"/>
              <w:jc w:val="center"/>
              <w:rPr>
                <w:rFonts w:cs="Arial"/>
                <w:szCs w:val="18"/>
                <w:lang w:val="en-GB"/>
              </w:rPr>
            </w:pPr>
            <w:r>
              <w:rPr>
                <w:rFonts w:ascii="Calibri" w:hAnsi="Calibri" w:cs="Calibri"/>
                <w:szCs w:val="18"/>
                <w:lang w:val="en-GB"/>
              </w:rPr>
              <w:t>̶</w:t>
            </w:r>
          </w:p>
        </w:tc>
        <w:tc>
          <w:tcPr>
            <w:tcW w:w="625" w:type="pct"/>
            <w:shd w:val="clear" w:color="auto" w:fill="FFFFFF"/>
            <w:vAlign w:val="center"/>
          </w:tcPr>
          <w:p w14:paraId="62A896A4" w14:textId="0CC70B30" w:rsidR="00682F10" w:rsidRPr="00B57B36" w:rsidRDefault="00682F10" w:rsidP="00682F10">
            <w:pPr>
              <w:pStyle w:val="CETBodytext"/>
              <w:ind w:right="-1"/>
              <w:jc w:val="center"/>
              <w:rPr>
                <w:rFonts w:cs="Arial"/>
                <w:szCs w:val="18"/>
                <w:lang w:val="en-GB"/>
              </w:rPr>
            </w:pPr>
            <w:r>
              <w:rPr>
                <w:rFonts w:ascii="Calibri" w:hAnsi="Calibri" w:cs="Calibri"/>
                <w:szCs w:val="18"/>
                <w:lang w:val="en-GB"/>
              </w:rPr>
              <w:t>̶</w:t>
            </w:r>
          </w:p>
        </w:tc>
        <w:tc>
          <w:tcPr>
            <w:tcW w:w="625" w:type="pct"/>
            <w:shd w:val="clear" w:color="auto" w:fill="FFFFFF"/>
            <w:vAlign w:val="center"/>
          </w:tcPr>
          <w:p w14:paraId="78A80603" w14:textId="4CEE442B" w:rsidR="00682F10" w:rsidRPr="00B57B36" w:rsidRDefault="00682F10" w:rsidP="00682F10">
            <w:pPr>
              <w:pStyle w:val="CETBodytext"/>
              <w:ind w:right="-1"/>
              <w:jc w:val="center"/>
              <w:rPr>
                <w:rFonts w:cs="Arial"/>
                <w:szCs w:val="18"/>
                <w:lang w:val="en-GB"/>
              </w:rPr>
            </w:pPr>
            <w:r w:rsidRPr="00682F10">
              <w:rPr>
                <w:rFonts w:cs="Arial"/>
                <w:szCs w:val="18"/>
                <w:lang w:val="en-GB"/>
              </w:rPr>
              <w:t>0.0753654</w:t>
            </w:r>
          </w:p>
        </w:tc>
        <w:tc>
          <w:tcPr>
            <w:tcW w:w="625" w:type="pct"/>
            <w:shd w:val="clear" w:color="auto" w:fill="FFFFFF"/>
            <w:vAlign w:val="center"/>
          </w:tcPr>
          <w:p w14:paraId="60FBABA1" w14:textId="43AB4BDF" w:rsidR="00682F10" w:rsidRPr="00B57B36" w:rsidRDefault="00682F10" w:rsidP="00682F10">
            <w:pPr>
              <w:pStyle w:val="CETBodytext"/>
              <w:ind w:right="-1"/>
              <w:jc w:val="center"/>
              <w:rPr>
                <w:rFonts w:cs="Arial"/>
                <w:szCs w:val="18"/>
                <w:lang w:val="en-GB"/>
              </w:rPr>
            </w:pPr>
            <w:r w:rsidRPr="00682F10">
              <w:rPr>
                <w:rFonts w:cs="Arial"/>
                <w:szCs w:val="18"/>
                <w:lang w:val="en-GB"/>
              </w:rPr>
              <w:t>-0.0201718</w:t>
            </w:r>
          </w:p>
        </w:tc>
      </w:tr>
      <w:tr w:rsidR="00363C15" w:rsidRPr="00B57B36" w14:paraId="77209CBA" w14:textId="77777777" w:rsidTr="00682F10">
        <w:trPr>
          <w:trHeight w:val="423"/>
        </w:trPr>
        <w:tc>
          <w:tcPr>
            <w:tcW w:w="625" w:type="pct"/>
            <w:vMerge/>
            <w:shd w:val="clear" w:color="auto" w:fill="FFFFFF"/>
            <w:vAlign w:val="center"/>
          </w:tcPr>
          <w:p w14:paraId="0167848C" w14:textId="77777777" w:rsidR="00363C15" w:rsidRPr="00B57B36" w:rsidRDefault="00363C15" w:rsidP="00363C15">
            <w:pPr>
              <w:pStyle w:val="CETBodytext"/>
              <w:ind w:right="-1"/>
              <w:jc w:val="center"/>
              <w:rPr>
                <w:rFonts w:cs="Arial"/>
                <w:szCs w:val="18"/>
                <w:lang w:val="en-GB"/>
              </w:rPr>
            </w:pPr>
          </w:p>
        </w:tc>
        <w:tc>
          <w:tcPr>
            <w:tcW w:w="625" w:type="pct"/>
            <w:shd w:val="clear" w:color="auto" w:fill="FFFFFF"/>
            <w:vAlign w:val="center"/>
          </w:tcPr>
          <w:p w14:paraId="7B549FEF" w14:textId="53D3749F" w:rsidR="00363C15" w:rsidRPr="00B57B36" w:rsidRDefault="00734B4D" w:rsidP="00363C15">
            <w:pPr>
              <w:pStyle w:val="CETBodytext"/>
              <w:ind w:right="-1"/>
              <w:jc w:val="center"/>
              <w:rPr>
                <w:rFonts w:cs="Arial"/>
                <w:szCs w:val="18"/>
                <w:lang w:val="en-GB"/>
              </w:rPr>
            </w:pPr>
            <w:r w:rsidRPr="00272F51">
              <w:rPr>
                <w:lang w:val="en-GB"/>
              </w:rPr>
              <w:t>Melhem et al.</w:t>
            </w:r>
            <w:r>
              <w:rPr>
                <w:lang w:val="en-GB"/>
              </w:rPr>
              <w:t xml:space="preserve"> (</w:t>
            </w:r>
            <w:r w:rsidRPr="00272F51">
              <w:rPr>
                <w:lang w:val="en-GB"/>
              </w:rPr>
              <w:t>1989</w:t>
            </w:r>
            <w:r>
              <w:rPr>
                <w:lang w:val="en-GB"/>
              </w:rPr>
              <w:t>)</w:t>
            </w:r>
          </w:p>
        </w:tc>
        <w:tc>
          <w:tcPr>
            <w:tcW w:w="625" w:type="pct"/>
            <w:shd w:val="clear" w:color="auto" w:fill="FFFFFF"/>
            <w:vAlign w:val="center"/>
          </w:tcPr>
          <w:p w14:paraId="1E3B593E" w14:textId="2803FCDA" w:rsidR="00363C15" w:rsidRDefault="00363C15" w:rsidP="00363C15">
            <w:pPr>
              <w:pStyle w:val="CETBodytext"/>
              <w:ind w:right="-1"/>
              <w:jc w:val="center"/>
              <w:rPr>
                <w:rFonts w:ascii="Calibri" w:hAnsi="Calibri" w:cs="Calibri"/>
                <w:szCs w:val="18"/>
                <w:lang w:val="en-GB"/>
              </w:rPr>
            </w:pPr>
            <w:r>
              <w:rPr>
                <w:rFonts w:ascii="Calibri" w:hAnsi="Calibri" w:cs="Calibri"/>
                <w:szCs w:val="18"/>
                <w:lang w:val="en-GB"/>
              </w:rPr>
              <w:t>̶</w:t>
            </w:r>
          </w:p>
        </w:tc>
        <w:tc>
          <w:tcPr>
            <w:tcW w:w="625" w:type="pct"/>
            <w:shd w:val="clear" w:color="auto" w:fill="FFFFFF"/>
            <w:vAlign w:val="center"/>
          </w:tcPr>
          <w:p w14:paraId="7888930D" w14:textId="2387725F" w:rsidR="00363C15" w:rsidRPr="00B57B36" w:rsidRDefault="00363C15" w:rsidP="00363C15">
            <w:pPr>
              <w:pStyle w:val="CETBodytext"/>
              <w:ind w:right="-1"/>
              <w:jc w:val="center"/>
              <w:rPr>
                <w:rFonts w:cs="Arial"/>
                <w:szCs w:val="18"/>
                <w:lang w:val="en-GB"/>
              </w:rPr>
            </w:pPr>
            <w:r>
              <w:rPr>
                <w:rFonts w:ascii="Calibri" w:hAnsi="Calibri" w:cs="Calibri"/>
                <w:szCs w:val="18"/>
                <w:lang w:val="en-GB"/>
              </w:rPr>
              <w:t>̶</w:t>
            </w:r>
          </w:p>
        </w:tc>
        <w:tc>
          <w:tcPr>
            <w:tcW w:w="625" w:type="pct"/>
            <w:shd w:val="clear" w:color="auto" w:fill="FFFFFF"/>
            <w:vAlign w:val="center"/>
          </w:tcPr>
          <w:p w14:paraId="2A7E4F70" w14:textId="6436F9DE" w:rsidR="00363C15" w:rsidRPr="00B57B36" w:rsidRDefault="00363C15" w:rsidP="00363C15">
            <w:pPr>
              <w:pStyle w:val="CETBodytext"/>
              <w:ind w:right="-1"/>
              <w:jc w:val="center"/>
              <w:rPr>
                <w:rFonts w:cs="Arial"/>
                <w:szCs w:val="18"/>
                <w:lang w:val="en-GB"/>
              </w:rPr>
            </w:pPr>
            <w:r w:rsidRPr="00363C15">
              <w:rPr>
                <w:rFonts w:cs="Arial"/>
                <w:szCs w:val="18"/>
                <w:lang w:val="en-GB"/>
              </w:rPr>
              <w:t>-0.05940</w:t>
            </w:r>
            <w:r>
              <w:rPr>
                <w:rFonts w:cs="Arial"/>
                <w:szCs w:val="18"/>
                <w:lang w:val="en-GB"/>
              </w:rPr>
              <w:t>3</w:t>
            </w:r>
          </w:p>
        </w:tc>
        <w:tc>
          <w:tcPr>
            <w:tcW w:w="625" w:type="pct"/>
            <w:shd w:val="clear" w:color="auto" w:fill="FFFFFF"/>
            <w:vAlign w:val="center"/>
          </w:tcPr>
          <w:p w14:paraId="4ABA3CF3" w14:textId="754E367F" w:rsidR="00363C15" w:rsidRPr="00B57B36" w:rsidRDefault="00363C15" w:rsidP="00363C15">
            <w:pPr>
              <w:pStyle w:val="CETBodytext"/>
              <w:ind w:right="-1"/>
              <w:jc w:val="center"/>
              <w:rPr>
                <w:rFonts w:cs="Arial"/>
                <w:szCs w:val="18"/>
                <w:lang w:val="en-GB"/>
              </w:rPr>
            </w:pPr>
            <w:r w:rsidRPr="00363C15">
              <w:rPr>
                <w:rFonts w:cs="Arial"/>
                <w:szCs w:val="18"/>
                <w:lang w:val="en-GB"/>
              </w:rPr>
              <w:t>-1.07817</w:t>
            </w:r>
            <w:r>
              <w:rPr>
                <w:rFonts w:cs="Arial"/>
                <w:szCs w:val="18"/>
                <w:lang w:val="en-GB"/>
              </w:rPr>
              <w:t>0</w:t>
            </w:r>
          </w:p>
        </w:tc>
        <w:tc>
          <w:tcPr>
            <w:tcW w:w="625" w:type="pct"/>
            <w:shd w:val="clear" w:color="auto" w:fill="FFFFFF"/>
            <w:vAlign w:val="center"/>
          </w:tcPr>
          <w:p w14:paraId="65C11822" w14:textId="1CCAC8AD" w:rsidR="00363C15" w:rsidRPr="00B57B36" w:rsidRDefault="00363C15" w:rsidP="00363C15">
            <w:pPr>
              <w:pStyle w:val="CETBodytext"/>
              <w:ind w:right="-1"/>
              <w:jc w:val="center"/>
              <w:rPr>
                <w:rFonts w:cs="Arial"/>
                <w:szCs w:val="18"/>
                <w:lang w:val="en-GB"/>
              </w:rPr>
            </w:pPr>
            <w:r w:rsidRPr="00363C15">
              <w:rPr>
                <w:rFonts w:cs="Arial"/>
                <w:szCs w:val="18"/>
                <w:lang w:val="en-GB"/>
              </w:rPr>
              <w:t>0.0761387</w:t>
            </w:r>
          </w:p>
        </w:tc>
        <w:tc>
          <w:tcPr>
            <w:tcW w:w="625" w:type="pct"/>
            <w:shd w:val="clear" w:color="auto" w:fill="FFFFFF"/>
            <w:vAlign w:val="center"/>
          </w:tcPr>
          <w:p w14:paraId="3BC7B2BC" w14:textId="73B70C9E" w:rsidR="00363C15" w:rsidRPr="00B57B36" w:rsidRDefault="00363C15" w:rsidP="00363C15">
            <w:pPr>
              <w:pStyle w:val="CETBodytext"/>
              <w:ind w:right="-1"/>
              <w:jc w:val="center"/>
              <w:rPr>
                <w:rFonts w:cs="Arial"/>
                <w:szCs w:val="18"/>
                <w:lang w:val="en-GB"/>
              </w:rPr>
            </w:pPr>
            <w:r w:rsidRPr="00363C15">
              <w:rPr>
                <w:rFonts w:cs="Arial"/>
                <w:szCs w:val="18"/>
                <w:lang w:val="en-GB"/>
              </w:rPr>
              <w:t>-0.0215796</w:t>
            </w:r>
          </w:p>
        </w:tc>
      </w:tr>
    </w:tbl>
    <w:p w14:paraId="33113603" w14:textId="77777777" w:rsidR="00DA3D96" w:rsidRPr="00DA3D96" w:rsidRDefault="00DA3D96" w:rsidP="00600535">
      <w:pPr>
        <w:pStyle w:val="CETBodytext"/>
        <w:rPr>
          <w:rStyle w:val="CETCaptionCarattere"/>
        </w:rPr>
      </w:pPr>
    </w:p>
    <w:p w14:paraId="6859DB16" w14:textId="77777777" w:rsidR="00DE27B6" w:rsidRDefault="00DE27B6" w:rsidP="00DE27B6">
      <w:pPr>
        <w:pStyle w:val="CETListbullets"/>
        <w:ind w:left="0" w:firstLine="0"/>
      </w:pPr>
    </w:p>
    <w:p w14:paraId="6784549F" w14:textId="548EB38A" w:rsidR="00DE27B6" w:rsidRDefault="00DE27B6" w:rsidP="00DE27B6">
      <w:pPr>
        <w:pStyle w:val="CETTabletitle"/>
      </w:pPr>
      <w:r w:rsidRPr="00B57B36">
        <w:t xml:space="preserve">Table </w:t>
      </w:r>
      <w:r>
        <w:t>2</w:t>
      </w:r>
      <w:r w:rsidRPr="00B57B36">
        <w:t xml:space="preserve">: </w:t>
      </w:r>
      <w:r>
        <w:t xml:space="preserve">Comparison between the present work and previous studies for Helium-4 </w:t>
      </w:r>
      <w:r w:rsidR="00E644F6">
        <w:t xml:space="preserve">vapour-liquid equilibrium </w:t>
      </w:r>
      <w:r>
        <w:t>modelling</w:t>
      </w:r>
    </w:p>
    <w:tbl>
      <w:tblPr>
        <w:tblW w:w="3431"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68"/>
        <w:gridCol w:w="2032"/>
        <w:gridCol w:w="2030"/>
      </w:tblGrid>
      <w:tr w:rsidR="004B4239" w:rsidRPr="00B57B36" w14:paraId="063DD054" w14:textId="77777777" w:rsidTr="008D42EE">
        <w:trPr>
          <w:trHeight w:val="267"/>
        </w:trPr>
        <w:tc>
          <w:tcPr>
            <w:tcW w:w="1632" w:type="pct"/>
            <w:tcBorders>
              <w:top w:val="single" w:sz="12" w:space="0" w:color="008000"/>
              <w:bottom w:val="single" w:sz="6" w:space="0" w:color="008000"/>
            </w:tcBorders>
            <w:shd w:val="clear" w:color="auto" w:fill="FFFFFF"/>
            <w:vAlign w:val="center"/>
          </w:tcPr>
          <w:p w14:paraId="132614B2" w14:textId="039D4560" w:rsidR="00DE27B6" w:rsidRPr="00B24AB7" w:rsidRDefault="00DE27B6" w:rsidP="00DE27B6">
            <w:pPr>
              <w:pStyle w:val="CETBodytext"/>
              <w:jc w:val="center"/>
              <w:rPr>
                <w:lang w:val="en-GB"/>
              </w:rPr>
            </w:pPr>
            <w:proofErr w:type="spellStart"/>
            <w:r w:rsidRPr="00B24AB7">
              <w:rPr>
                <w:lang w:val="en-GB"/>
              </w:rPr>
              <w:t>CEoS</w:t>
            </w:r>
            <w:proofErr w:type="spellEnd"/>
          </w:p>
        </w:tc>
        <w:tc>
          <w:tcPr>
            <w:tcW w:w="1685" w:type="pct"/>
            <w:tcBorders>
              <w:top w:val="single" w:sz="12" w:space="0" w:color="008000"/>
              <w:bottom w:val="single" w:sz="6" w:space="0" w:color="008000"/>
            </w:tcBorders>
            <w:shd w:val="clear" w:color="auto" w:fill="FFFFFF"/>
            <w:vAlign w:val="center"/>
          </w:tcPr>
          <w:p w14:paraId="36F4A770" w14:textId="4CC34958" w:rsidR="00DE27B6" w:rsidRPr="00B24AB7" w:rsidRDefault="00DE27B6" w:rsidP="00DE27B6">
            <w:pPr>
              <w:pStyle w:val="CETBodytext"/>
              <w:jc w:val="center"/>
              <w:rPr>
                <w:lang w:val="en-GB"/>
              </w:rPr>
            </w:pPr>
            <m:oMathPara>
              <m:oMath>
                <m:r>
                  <w:rPr>
                    <w:rFonts w:ascii="Cambria Math" w:hAnsi="Cambria Math"/>
                    <w:lang w:val="en-GB"/>
                  </w:rPr>
                  <m:t>α</m:t>
                </m:r>
              </m:oMath>
            </m:oMathPara>
          </w:p>
        </w:tc>
        <w:tc>
          <w:tcPr>
            <w:tcW w:w="1683" w:type="pct"/>
            <w:tcBorders>
              <w:top w:val="single" w:sz="12" w:space="0" w:color="008000"/>
              <w:bottom w:val="single" w:sz="6" w:space="0" w:color="008000"/>
            </w:tcBorders>
            <w:shd w:val="clear" w:color="auto" w:fill="FFFFFF"/>
            <w:vAlign w:val="center"/>
          </w:tcPr>
          <w:p w14:paraId="62C8450F" w14:textId="26A1ACDD" w:rsidR="00DE27B6" w:rsidRPr="00B24AB7" w:rsidRDefault="00775F74" w:rsidP="00DE27B6">
            <w:pPr>
              <w:pStyle w:val="CETBodytext"/>
              <w:jc w:val="center"/>
              <w:rPr>
                <w:lang w:val="en-GB"/>
              </w:rPr>
            </w:pPr>
            <w:r w:rsidRPr="00B24AB7">
              <w:rPr>
                <w:rFonts w:cs="Arial"/>
                <w:szCs w:val="18"/>
                <w:lang w:val="en-GB"/>
              </w:rPr>
              <w:t>AAD (</w:t>
            </w:r>
            <w:r w:rsidR="00DE27B6" w:rsidRPr="00B24AB7">
              <w:rPr>
                <w:rFonts w:cs="Arial"/>
                <w:szCs w:val="18"/>
                <w:lang w:val="en-GB"/>
              </w:rPr>
              <w:t>%)</w:t>
            </w:r>
          </w:p>
        </w:tc>
      </w:tr>
      <w:tr w:rsidR="004B4239" w:rsidRPr="00B57B36" w14:paraId="0CFC15E0" w14:textId="77777777" w:rsidTr="008D42EE">
        <w:trPr>
          <w:trHeight w:val="267"/>
        </w:trPr>
        <w:tc>
          <w:tcPr>
            <w:tcW w:w="1632" w:type="pct"/>
            <w:vMerge w:val="restart"/>
            <w:shd w:val="clear" w:color="auto" w:fill="FFFFFF"/>
            <w:vAlign w:val="center"/>
          </w:tcPr>
          <w:p w14:paraId="0C6DDA38" w14:textId="44BEDA18" w:rsidR="004B4239" w:rsidRPr="00B24AB7" w:rsidRDefault="004B4239" w:rsidP="00DE27B6">
            <w:pPr>
              <w:pStyle w:val="CETBodytext"/>
              <w:jc w:val="center"/>
              <w:rPr>
                <w:lang w:val="en-GB"/>
              </w:rPr>
            </w:pPr>
            <w:r w:rsidRPr="00B24AB7">
              <w:rPr>
                <w:lang w:val="en-GB"/>
              </w:rPr>
              <w:t>PR</w:t>
            </w:r>
          </w:p>
        </w:tc>
        <w:tc>
          <w:tcPr>
            <w:tcW w:w="1685" w:type="pct"/>
            <w:shd w:val="clear" w:color="auto" w:fill="FFFFFF"/>
            <w:vAlign w:val="center"/>
          </w:tcPr>
          <w:p w14:paraId="6D59568E" w14:textId="1BB884C6" w:rsidR="004B4239" w:rsidRPr="00B24AB7" w:rsidRDefault="00734B4D" w:rsidP="00DE27B6">
            <w:pPr>
              <w:pStyle w:val="CETBodytext"/>
              <w:jc w:val="center"/>
              <w:rPr>
                <w:lang w:val="en-GB"/>
              </w:rPr>
            </w:pPr>
            <w:proofErr w:type="spellStart"/>
            <w:r>
              <w:rPr>
                <w:lang w:val="en-GB"/>
              </w:rPr>
              <w:t>Stryjek</w:t>
            </w:r>
            <w:proofErr w:type="spellEnd"/>
            <w:r>
              <w:rPr>
                <w:lang w:val="en-GB"/>
              </w:rPr>
              <w:t xml:space="preserve"> and Vera (1986)</w:t>
            </w:r>
          </w:p>
        </w:tc>
        <w:tc>
          <w:tcPr>
            <w:tcW w:w="1683" w:type="pct"/>
            <w:shd w:val="clear" w:color="auto" w:fill="FFFFFF"/>
            <w:vAlign w:val="center"/>
          </w:tcPr>
          <w:p w14:paraId="175A78FA" w14:textId="14C6CF52" w:rsidR="004B4239" w:rsidRPr="00B24AB7" w:rsidRDefault="008D42EE" w:rsidP="00DE27B6">
            <w:pPr>
              <w:pStyle w:val="CETBodytext"/>
              <w:jc w:val="center"/>
              <w:rPr>
                <w:lang w:val="en-GB"/>
              </w:rPr>
            </w:pPr>
            <w:r>
              <w:rPr>
                <w:lang w:val="en-GB"/>
              </w:rPr>
              <w:t>0.23</w:t>
            </w:r>
          </w:p>
        </w:tc>
      </w:tr>
      <w:tr w:rsidR="004B4239" w:rsidRPr="00B57B36" w14:paraId="721E0303" w14:textId="77777777" w:rsidTr="008D42EE">
        <w:trPr>
          <w:trHeight w:val="267"/>
        </w:trPr>
        <w:tc>
          <w:tcPr>
            <w:tcW w:w="1632" w:type="pct"/>
            <w:vMerge/>
            <w:shd w:val="clear" w:color="auto" w:fill="FFFFFF"/>
            <w:vAlign w:val="center"/>
          </w:tcPr>
          <w:p w14:paraId="3DDFF284" w14:textId="77777777" w:rsidR="004B4239" w:rsidRPr="00B24AB7" w:rsidRDefault="004B4239" w:rsidP="00DE27B6">
            <w:pPr>
              <w:pStyle w:val="CETBodytext"/>
              <w:ind w:right="-1"/>
              <w:jc w:val="center"/>
              <w:rPr>
                <w:rFonts w:cs="Arial"/>
                <w:szCs w:val="18"/>
                <w:lang w:val="en-GB"/>
              </w:rPr>
            </w:pPr>
          </w:p>
        </w:tc>
        <w:tc>
          <w:tcPr>
            <w:tcW w:w="1685" w:type="pct"/>
            <w:shd w:val="clear" w:color="auto" w:fill="FFFFFF"/>
            <w:vAlign w:val="center"/>
          </w:tcPr>
          <w:p w14:paraId="53677803" w14:textId="74D99D7F" w:rsidR="004B4239" w:rsidRPr="00B24AB7" w:rsidRDefault="00734B4D" w:rsidP="00DE27B6">
            <w:pPr>
              <w:pStyle w:val="CETBodytext"/>
              <w:ind w:right="-1"/>
              <w:jc w:val="center"/>
              <w:rPr>
                <w:rFonts w:cs="Arial"/>
                <w:szCs w:val="18"/>
                <w:lang w:val="en-GB"/>
              </w:rPr>
            </w:pPr>
            <w:r w:rsidRPr="00272F51">
              <w:rPr>
                <w:lang w:val="en-GB"/>
              </w:rPr>
              <w:t>Melhem et al.</w:t>
            </w:r>
            <w:r>
              <w:rPr>
                <w:lang w:val="en-GB"/>
              </w:rPr>
              <w:t xml:space="preserve"> (</w:t>
            </w:r>
            <w:r w:rsidRPr="00272F51">
              <w:rPr>
                <w:lang w:val="en-GB"/>
              </w:rPr>
              <w:t>1989</w:t>
            </w:r>
            <w:r>
              <w:rPr>
                <w:lang w:val="en-GB"/>
              </w:rPr>
              <w:t>)</w:t>
            </w:r>
          </w:p>
        </w:tc>
        <w:tc>
          <w:tcPr>
            <w:tcW w:w="1683" w:type="pct"/>
            <w:shd w:val="clear" w:color="auto" w:fill="FFFFFF"/>
            <w:vAlign w:val="center"/>
          </w:tcPr>
          <w:p w14:paraId="4373DE8F" w14:textId="04EE81F9" w:rsidR="004B4239" w:rsidRPr="00B24AB7" w:rsidRDefault="008D42EE" w:rsidP="00DE27B6">
            <w:pPr>
              <w:pStyle w:val="CETBodytext"/>
              <w:ind w:right="-1"/>
              <w:jc w:val="center"/>
              <w:rPr>
                <w:rFonts w:cs="Arial"/>
                <w:szCs w:val="18"/>
                <w:lang w:val="en-GB"/>
              </w:rPr>
            </w:pPr>
            <w:r>
              <w:rPr>
                <w:rFonts w:cs="Arial"/>
                <w:szCs w:val="18"/>
                <w:lang w:val="en-GB"/>
              </w:rPr>
              <w:t>0.22</w:t>
            </w:r>
          </w:p>
        </w:tc>
      </w:tr>
      <w:tr w:rsidR="004B4239" w:rsidRPr="00B57B36" w14:paraId="3C46C9E1" w14:textId="77777777" w:rsidTr="008D42EE">
        <w:trPr>
          <w:trHeight w:val="267"/>
        </w:trPr>
        <w:tc>
          <w:tcPr>
            <w:tcW w:w="1632" w:type="pct"/>
            <w:vMerge w:val="restart"/>
            <w:shd w:val="clear" w:color="auto" w:fill="FFFFFF"/>
            <w:vAlign w:val="center"/>
          </w:tcPr>
          <w:p w14:paraId="5CA2D51B" w14:textId="273CDF6B" w:rsidR="004B4239" w:rsidRPr="00B24AB7" w:rsidRDefault="004B4239" w:rsidP="00DE27B6">
            <w:pPr>
              <w:pStyle w:val="CETBodytext"/>
              <w:ind w:right="-1"/>
              <w:jc w:val="center"/>
              <w:rPr>
                <w:rFonts w:cs="Arial"/>
                <w:szCs w:val="18"/>
                <w:lang w:val="en-GB"/>
              </w:rPr>
            </w:pPr>
            <w:r w:rsidRPr="00B24AB7">
              <w:rPr>
                <w:rFonts w:cs="Arial"/>
                <w:szCs w:val="18"/>
                <w:lang w:val="en-GB"/>
              </w:rPr>
              <w:t>Clausius</w:t>
            </w:r>
          </w:p>
        </w:tc>
        <w:tc>
          <w:tcPr>
            <w:tcW w:w="1685" w:type="pct"/>
            <w:shd w:val="clear" w:color="auto" w:fill="FFFFFF"/>
            <w:vAlign w:val="center"/>
          </w:tcPr>
          <w:p w14:paraId="6DD66464" w14:textId="443275AE" w:rsidR="004B4239" w:rsidRPr="00B24AB7" w:rsidRDefault="00734B4D" w:rsidP="00DE27B6">
            <w:pPr>
              <w:pStyle w:val="CETBodytext"/>
              <w:ind w:right="-1"/>
              <w:jc w:val="center"/>
              <w:rPr>
                <w:rFonts w:cs="Arial"/>
                <w:szCs w:val="18"/>
                <w:lang w:val="en-GB"/>
              </w:rPr>
            </w:pPr>
            <w:proofErr w:type="spellStart"/>
            <w:r>
              <w:rPr>
                <w:lang w:val="en-GB"/>
              </w:rPr>
              <w:t>Stryjek</w:t>
            </w:r>
            <w:proofErr w:type="spellEnd"/>
            <w:r>
              <w:rPr>
                <w:lang w:val="en-GB"/>
              </w:rPr>
              <w:t xml:space="preserve"> and Vera (1986)</w:t>
            </w:r>
          </w:p>
        </w:tc>
        <w:tc>
          <w:tcPr>
            <w:tcW w:w="1683" w:type="pct"/>
            <w:shd w:val="clear" w:color="auto" w:fill="FFFFFF"/>
            <w:vAlign w:val="center"/>
          </w:tcPr>
          <w:p w14:paraId="54D64CA2" w14:textId="20B16A13" w:rsidR="004B4239" w:rsidRPr="00B24AB7" w:rsidRDefault="008D42EE" w:rsidP="00DE27B6">
            <w:pPr>
              <w:pStyle w:val="CETBodytext"/>
              <w:ind w:right="-1"/>
              <w:jc w:val="center"/>
              <w:rPr>
                <w:rFonts w:cs="Arial"/>
                <w:szCs w:val="18"/>
                <w:lang w:val="en-GB"/>
              </w:rPr>
            </w:pPr>
            <w:r>
              <w:rPr>
                <w:rFonts w:cs="Arial"/>
                <w:szCs w:val="18"/>
                <w:lang w:val="en-GB"/>
              </w:rPr>
              <w:t>0.17</w:t>
            </w:r>
          </w:p>
        </w:tc>
      </w:tr>
      <w:tr w:rsidR="004B4239" w:rsidRPr="00B57B36" w14:paraId="6133BA39" w14:textId="77777777" w:rsidTr="008D42EE">
        <w:trPr>
          <w:trHeight w:val="267"/>
        </w:trPr>
        <w:tc>
          <w:tcPr>
            <w:tcW w:w="1632" w:type="pct"/>
            <w:vMerge/>
            <w:shd w:val="clear" w:color="auto" w:fill="FFFFFF"/>
            <w:vAlign w:val="center"/>
          </w:tcPr>
          <w:p w14:paraId="02BB8D37" w14:textId="77777777" w:rsidR="004B4239" w:rsidRPr="00B24AB7" w:rsidRDefault="004B4239" w:rsidP="00DE27B6">
            <w:pPr>
              <w:pStyle w:val="CETBodytext"/>
              <w:ind w:right="-1"/>
              <w:jc w:val="center"/>
              <w:rPr>
                <w:rFonts w:cs="Arial"/>
                <w:szCs w:val="18"/>
                <w:lang w:val="en-GB"/>
              </w:rPr>
            </w:pPr>
          </w:p>
        </w:tc>
        <w:tc>
          <w:tcPr>
            <w:tcW w:w="1685" w:type="pct"/>
            <w:shd w:val="clear" w:color="auto" w:fill="FFFFFF"/>
            <w:vAlign w:val="center"/>
          </w:tcPr>
          <w:p w14:paraId="70252D9A" w14:textId="5BC4B767" w:rsidR="004B4239" w:rsidRPr="00B24AB7" w:rsidRDefault="00734B4D" w:rsidP="00DE27B6">
            <w:pPr>
              <w:pStyle w:val="CETBodytext"/>
              <w:ind w:right="-1"/>
              <w:jc w:val="center"/>
              <w:rPr>
                <w:rFonts w:cs="Arial"/>
                <w:szCs w:val="18"/>
                <w:lang w:val="en-GB"/>
              </w:rPr>
            </w:pPr>
            <w:r w:rsidRPr="00272F51">
              <w:rPr>
                <w:lang w:val="en-GB"/>
              </w:rPr>
              <w:t>Melhem et al.</w:t>
            </w:r>
            <w:r>
              <w:rPr>
                <w:lang w:val="en-GB"/>
              </w:rPr>
              <w:t xml:space="preserve"> (</w:t>
            </w:r>
            <w:r w:rsidRPr="00272F51">
              <w:rPr>
                <w:lang w:val="en-GB"/>
              </w:rPr>
              <w:t>1989</w:t>
            </w:r>
            <w:r>
              <w:rPr>
                <w:lang w:val="en-GB"/>
              </w:rPr>
              <w:t>)</w:t>
            </w:r>
          </w:p>
        </w:tc>
        <w:tc>
          <w:tcPr>
            <w:tcW w:w="1683" w:type="pct"/>
            <w:shd w:val="clear" w:color="auto" w:fill="FFFFFF"/>
            <w:vAlign w:val="center"/>
          </w:tcPr>
          <w:p w14:paraId="5D5356BF" w14:textId="2809F47D" w:rsidR="004B4239" w:rsidRPr="00B24AB7" w:rsidRDefault="008D42EE" w:rsidP="00DE27B6">
            <w:pPr>
              <w:pStyle w:val="CETBodytext"/>
              <w:ind w:right="-1"/>
              <w:jc w:val="center"/>
              <w:rPr>
                <w:rFonts w:cs="Arial"/>
                <w:szCs w:val="18"/>
                <w:lang w:val="en-GB"/>
              </w:rPr>
            </w:pPr>
            <w:r>
              <w:rPr>
                <w:rFonts w:cs="Arial"/>
                <w:szCs w:val="18"/>
                <w:lang w:val="en-GB"/>
              </w:rPr>
              <w:t>0.32</w:t>
            </w:r>
          </w:p>
        </w:tc>
      </w:tr>
      <w:tr w:rsidR="005536EE" w:rsidRPr="00B57B36" w14:paraId="6A2C2016" w14:textId="77777777" w:rsidTr="005536EE">
        <w:trPr>
          <w:trHeight w:val="282"/>
        </w:trPr>
        <w:tc>
          <w:tcPr>
            <w:tcW w:w="1632" w:type="pct"/>
            <w:vMerge w:val="restart"/>
            <w:shd w:val="clear" w:color="auto" w:fill="FFFFFF"/>
            <w:vAlign w:val="center"/>
          </w:tcPr>
          <w:p w14:paraId="31EF70E9" w14:textId="77777777" w:rsidR="005536EE" w:rsidRPr="00B24AB7" w:rsidRDefault="005536EE" w:rsidP="00DE27B6">
            <w:pPr>
              <w:pStyle w:val="CETBodytext"/>
              <w:ind w:right="-1"/>
              <w:jc w:val="center"/>
              <w:rPr>
                <w:rFonts w:cs="Arial"/>
                <w:szCs w:val="18"/>
                <w:lang w:val="en-GB"/>
              </w:rPr>
            </w:pPr>
            <w:r w:rsidRPr="00B24AB7">
              <w:rPr>
                <w:rFonts w:cs="Arial"/>
                <w:szCs w:val="18"/>
                <w:lang w:val="en-GB"/>
              </w:rPr>
              <w:t>PR</w:t>
            </w:r>
          </w:p>
          <w:p w14:paraId="47A6E1CF" w14:textId="1186EEEB" w:rsidR="005536EE" w:rsidRPr="00B24AB7" w:rsidRDefault="00775F74" w:rsidP="00DE27B6">
            <w:pPr>
              <w:pStyle w:val="CETBodytext"/>
              <w:ind w:right="-1"/>
              <w:jc w:val="center"/>
              <w:rPr>
                <w:rFonts w:cs="Arial"/>
                <w:szCs w:val="18"/>
                <w:lang w:val="en-GB"/>
              </w:rPr>
            </w:pPr>
            <w:r>
              <w:rPr>
                <w:rFonts w:cs="Arial"/>
                <w:szCs w:val="18"/>
                <w:lang w:val="en-GB"/>
              </w:rPr>
              <w:t>(</w:t>
            </w:r>
            <w:r w:rsidR="005536EE" w:rsidRPr="00B24AB7">
              <w:rPr>
                <w:rFonts w:cs="Arial"/>
                <w:szCs w:val="18"/>
                <w:lang w:val="en-GB"/>
              </w:rPr>
              <w:t>Aasen et al</w:t>
            </w:r>
            <w:r>
              <w:rPr>
                <w:rFonts w:cs="Arial"/>
                <w:szCs w:val="18"/>
                <w:lang w:val="en-GB"/>
              </w:rPr>
              <w:t xml:space="preserve">., </w:t>
            </w:r>
            <w:r w:rsidR="005536EE" w:rsidRPr="00B24AB7">
              <w:rPr>
                <w:rFonts w:cs="Arial"/>
                <w:szCs w:val="18"/>
                <w:lang w:val="en-GB"/>
              </w:rPr>
              <w:t>2020)</w:t>
            </w:r>
          </w:p>
        </w:tc>
        <w:tc>
          <w:tcPr>
            <w:tcW w:w="1685" w:type="pct"/>
            <w:vMerge w:val="restart"/>
            <w:shd w:val="clear" w:color="auto" w:fill="FFFFFF"/>
            <w:vAlign w:val="center"/>
          </w:tcPr>
          <w:p w14:paraId="6831A1F5" w14:textId="36A68FAC" w:rsidR="005536EE" w:rsidRPr="00B24AB7" w:rsidRDefault="005536EE" w:rsidP="00DE27B6">
            <w:pPr>
              <w:pStyle w:val="CETBodytext"/>
              <w:ind w:right="-1"/>
              <w:jc w:val="center"/>
              <w:rPr>
                <w:rFonts w:cs="Arial"/>
                <w:szCs w:val="18"/>
                <w:lang w:val="en-GB"/>
              </w:rPr>
            </w:pPr>
            <w:proofErr w:type="spellStart"/>
            <w:r w:rsidRPr="00B24AB7">
              <w:rPr>
                <w:rFonts w:cs="Arial"/>
                <w:szCs w:val="18"/>
                <w:lang w:val="en-GB"/>
              </w:rPr>
              <w:t>Twu</w:t>
            </w:r>
            <w:proofErr w:type="spellEnd"/>
            <w:r w:rsidRPr="00B24AB7">
              <w:rPr>
                <w:rFonts w:cs="Arial"/>
                <w:szCs w:val="18"/>
                <w:lang w:val="en-GB"/>
              </w:rPr>
              <w:t xml:space="preserve"> et al. (</w:t>
            </w:r>
            <w:r>
              <w:rPr>
                <w:rFonts w:cs="Arial"/>
                <w:szCs w:val="18"/>
                <w:lang w:val="en-GB"/>
              </w:rPr>
              <w:t>1991)</w:t>
            </w:r>
          </w:p>
        </w:tc>
        <w:tc>
          <w:tcPr>
            <w:tcW w:w="1683" w:type="pct"/>
            <w:shd w:val="clear" w:color="auto" w:fill="FFFFFF"/>
            <w:vAlign w:val="center"/>
          </w:tcPr>
          <w:p w14:paraId="531F1316" w14:textId="6C353DAD" w:rsidR="005536EE" w:rsidRPr="00B24AB7" w:rsidRDefault="005536EE" w:rsidP="00DE27B6">
            <w:pPr>
              <w:pStyle w:val="CETBodytext"/>
              <w:ind w:right="-1"/>
              <w:jc w:val="center"/>
              <w:rPr>
                <w:rFonts w:cs="Arial"/>
                <w:szCs w:val="18"/>
                <w:lang w:val="en-GB"/>
              </w:rPr>
            </w:pPr>
            <w:r>
              <w:rPr>
                <w:rFonts w:cs="Arial"/>
                <w:szCs w:val="18"/>
                <w:lang w:val="en-GB"/>
              </w:rPr>
              <w:t>1.94</w:t>
            </w:r>
          </w:p>
        </w:tc>
      </w:tr>
      <w:tr w:rsidR="005536EE" w:rsidRPr="00B57B36" w14:paraId="0D659B04" w14:textId="77777777" w:rsidTr="008D42EE">
        <w:trPr>
          <w:trHeight w:val="282"/>
        </w:trPr>
        <w:tc>
          <w:tcPr>
            <w:tcW w:w="1632" w:type="pct"/>
            <w:vMerge/>
            <w:shd w:val="clear" w:color="auto" w:fill="FFFFFF"/>
            <w:vAlign w:val="center"/>
          </w:tcPr>
          <w:p w14:paraId="021C5CCD" w14:textId="77777777" w:rsidR="005536EE" w:rsidRPr="00B24AB7" w:rsidRDefault="005536EE" w:rsidP="00DE27B6">
            <w:pPr>
              <w:pStyle w:val="CETBodytext"/>
              <w:ind w:right="-1"/>
              <w:jc w:val="center"/>
              <w:rPr>
                <w:rFonts w:cs="Arial"/>
                <w:szCs w:val="18"/>
                <w:lang w:val="en-GB"/>
              </w:rPr>
            </w:pPr>
          </w:p>
        </w:tc>
        <w:tc>
          <w:tcPr>
            <w:tcW w:w="1685" w:type="pct"/>
            <w:vMerge/>
            <w:shd w:val="clear" w:color="auto" w:fill="FFFFFF"/>
            <w:vAlign w:val="center"/>
          </w:tcPr>
          <w:p w14:paraId="1520D39B" w14:textId="77777777" w:rsidR="005536EE" w:rsidRPr="00B24AB7" w:rsidRDefault="005536EE" w:rsidP="00DE27B6">
            <w:pPr>
              <w:pStyle w:val="CETBodytext"/>
              <w:ind w:right="-1"/>
              <w:jc w:val="center"/>
              <w:rPr>
                <w:rFonts w:cs="Arial"/>
                <w:szCs w:val="18"/>
                <w:lang w:val="en-GB"/>
              </w:rPr>
            </w:pPr>
          </w:p>
        </w:tc>
        <w:tc>
          <w:tcPr>
            <w:tcW w:w="1683" w:type="pct"/>
            <w:shd w:val="clear" w:color="auto" w:fill="FFFFFF"/>
            <w:vAlign w:val="center"/>
          </w:tcPr>
          <w:p w14:paraId="27629E74" w14:textId="0A600E23" w:rsidR="005536EE" w:rsidRPr="00B24AB7" w:rsidRDefault="005536EE" w:rsidP="00DE27B6">
            <w:pPr>
              <w:pStyle w:val="CETBodytext"/>
              <w:ind w:right="-1"/>
              <w:jc w:val="center"/>
              <w:rPr>
                <w:rFonts w:cs="Arial"/>
                <w:szCs w:val="18"/>
                <w:lang w:val="en-GB"/>
              </w:rPr>
            </w:pPr>
            <w:r>
              <w:rPr>
                <w:rFonts w:cs="Arial"/>
                <w:szCs w:val="18"/>
                <w:lang w:val="en-GB"/>
              </w:rPr>
              <w:t>2.52</w:t>
            </w:r>
          </w:p>
        </w:tc>
      </w:tr>
    </w:tbl>
    <w:p w14:paraId="02E1886A" w14:textId="78A9B986" w:rsidR="001B7C8D" w:rsidRPr="001B7C8D" w:rsidRDefault="001B7C8D" w:rsidP="001B7C8D">
      <w:pPr>
        <w:pStyle w:val="CETHeading1"/>
        <w:numPr>
          <w:ilvl w:val="0"/>
          <w:numId w:val="0"/>
        </w:numPr>
        <w:jc w:val="both"/>
        <w:rPr>
          <w:b w:val="0"/>
          <w:bCs/>
          <w:sz w:val="18"/>
          <w:szCs w:val="18"/>
        </w:rPr>
      </w:pPr>
      <w:r w:rsidRPr="00B41197">
        <w:rPr>
          <w:b w:val="0"/>
          <w:bCs/>
          <w:sz w:val="18"/>
          <w:szCs w:val="18"/>
        </w:rPr>
        <w:lastRenderedPageBreak/>
        <w:t xml:space="preserve">The </w:t>
      </w:r>
      <w:proofErr w:type="spellStart"/>
      <w:r w:rsidRPr="00B41197">
        <w:rPr>
          <w:b w:val="0"/>
          <w:bCs/>
          <w:sz w:val="18"/>
          <w:szCs w:val="18"/>
        </w:rPr>
        <w:t>Stryjek</w:t>
      </w:r>
      <w:proofErr w:type="spellEnd"/>
      <w:r w:rsidRPr="00B41197">
        <w:rPr>
          <w:b w:val="0"/>
          <w:bCs/>
          <w:sz w:val="18"/>
          <w:szCs w:val="18"/>
        </w:rPr>
        <w:t xml:space="preserve">-Vera alpha function, with its adjustable parameters, proved most effective in accurately capturing thermal dependence, particularly near the critical point. The Mathias volume translation was crucial for improving the representation of liquid phase density. The combination of the Clausius equation, </w:t>
      </w:r>
      <w:proofErr w:type="spellStart"/>
      <w:r>
        <w:rPr>
          <w:b w:val="0"/>
          <w:bCs/>
          <w:sz w:val="18"/>
          <w:szCs w:val="18"/>
        </w:rPr>
        <w:t>Stryjek</w:t>
      </w:r>
      <w:proofErr w:type="spellEnd"/>
      <w:r>
        <w:rPr>
          <w:b w:val="0"/>
          <w:bCs/>
          <w:sz w:val="18"/>
          <w:szCs w:val="18"/>
        </w:rPr>
        <w:t>-Vera</w:t>
      </w:r>
      <w:r w:rsidRPr="00B41197">
        <w:rPr>
          <w:b w:val="0"/>
          <w:bCs/>
          <w:sz w:val="18"/>
          <w:szCs w:val="18"/>
        </w:rPr>
        <w:t xml:space="preserve"> alpha</w:t>
      </w:r>
      <w:r>
        <w:rPr>
          <w:b w:val="0"/>
          <w:bCs/>
          <w:sz w:val="18"/>
          <w:szCs w:val="18"/>
        </w:rPr>
        <w:t xml:space="preserve"> function</w:t>
      </w:r>
      <w:r w:rsidRPr="00B41197">
        <w:rPr>
          <w:b w:val="0"/>
          <w:bCs/>
          <w:sz w:val="18"/>
          <w:szCs w:val="18"/>
        </w:rPr>
        <w:t>, and Mathias translation delivered the best fit, outperforming Peng-Robinson and Melhem’s alpha factor. Whil</w:t>
      </w:r>
      <w:r w:rsidR="005502B5">
        <w:rPr>
          <w:b w:val="0"/>
          <w:bCs/>
          <w:sz w:val="18"/>
          <w:szCs w:val="18"/>
        </w:rPr>
        <w:t>st</w:t>
      </w:r>
      <w:r w:rsidRPr="00B41197">
        <w:rPr>
          <w:b w:val="0"/>
          <w:bCs/>
          <w:sz w:val="18"/>
          <w:szCs w:val="18"/>
        </w:rPr>
        <w:t xml:space="preserve"> Peng-Robinson showed limitations near the critical point, the </w:t>
      </w:r>
      <w:proofErr w:type="spellStart"/>
      <w:r w:rsidRPr="00B41197">
        <w:rPr>
          <w:b w:val="0"/>
          <w:bCs/>
          <w:sz w:val="18"/>
          <w:szCs w:val="18"/>
        </w:rPr>
        <w:t>Stryjek</w:t>
      </w:r>
      <w:proofErr w:type="spellEnd"/>
      <w:r w:rsidRPr="00B41197">
        <w:rPr>
          <w:b w:val="0"/>
          <w:bCs/>
          <w:sz w:val="18"/>
          <w:szCs w:val="18"/>
        </w:rPr>
        <w:t>-Vera alpha function improved the fit, especially for the liquid phase. The Clausius equation, though less commonly used, provided better accuracy in certain temperature ranges due to an additional parameter that adjusts the attractive forces.</w:t>
      </w:r>
      <w:r>
        <w:rPr>
          <w:b w:val="0"/>
          <w:bCs/>
          <w:sz w:val="18"/>
          <w:szCs w:val="18"/>
        </w:rPr>
        <w:t xml:space="preserve"> </w:t>
      </w:r>
      <w:r w:rsidRPr="00B41197">
        <w:rPr>
          <w:b w:val="0"/>
          <w:bCs/>
          <w:sz w:val="18"/>
          <w:szCs w:val="18"/>
        </w:rPr>
        <w:t xml:space="preserve">These results are consistent with </w:t>
      </w:r>
      <w:r w:rsidR="005502B5">
        <w:rPr>
          <w:b w:val="0"/>
          <w:bCs/>
          <w:sz w:val="18"/>
          <w:szCs w:val="18"/>
        </w:rPr>
        <w:t xml:space="preserve">those obtained by </w:t>
      </w:r>
      <w:r w:rsidRPr="00B41197">
        <w:rPr>
          <w:b w:val="0"/>
          <w:bCs/>
          <w:sz w:val="18"/>
          <w:szCs w:val="18"/>
        </w:rPr>
        <w:t xml:space="preserve">Aasen et al. (2020), but the Clausius equation offers a promising alternative, enhancing the prediction of </w:t>
      </w:r>
      <w:r>
        <w:rPr>
          <w:b w:val="0"/>
          <w:bCs/>
          <w:sz w:val="18"/>
          <w:szCs w:val="18"/>
        </w:rPr>
        <w:t>H</w:t>
      </w:r>
      <w:r w:rsidRPr="00B41197">
        <w:rPr>
          <w:b w:val="0"/>
          <w:bCs/>
          <w:sz w:val="18"/>
          <w:szCs w:val="18"/>
        </w:rPr>
        <w:t>elium-4’s thermodynamic properties.</w:t>
      </w:r>
    </w:p>
    <w:p w14:paraId="7382C781" w14:textId="23B3A63F" w:rsidR="00600535" w:rsidRPr="00B57B36" w:rsidRDefault="00E77063" w:rsidP="002D3486">
      <w:pPr>
        <w:pStyle w:val="CETheadingx"/>
      </w:pPr>
      <w:r>
        <w:t>Predictions Below 2.17 K (Lambda Transition Point)</w:t>
      </w:r>
    </w:p>
    <w:p w14:paraId="040AA3CE" w14:textId="31BA1CC9" w:rsidR="00275AAB" w:rsidRDefault="00263350" w:rsidP="00275AAB">
      <w:pPr>
        <w:pStyle w:val="CETBodytext"/>
      </w:pPr>
      <w:r>
        <w:rPr>
          <w:lang w:val="en-GB"/>
        </w:rPr>
        <w:t>Following the optimisation of</w:t>
      </w:r>
      <w:r w:rsidRPr="00263350">
        <w:rPr>
          <w:lang w:val="en-GB"/>
        </w:rPr>
        <w:t xml:space="preserve"> the parameters of the two alpha functions (for both Clausius and PR), the alpha function that most accurately reproduced the equilibrium data was selected for each </w:t>
      </w:r>
      <w:proofErr w:type="spellStart"/>
      <w:r w:rsidRPr="00263350">
        <w:rPr>
          <w:lang w:val="en-GB"/>
        </w:rPr>
        <w:t>CEoS</w:t>
      </w:r>
      <w:proofErr w:type="spellEnd"/>
      <w:r w:rsidRPr="00263350">
        <w:rPr>
          <w:lang w:val="en-GB"/>
        </w:rPr>
        <w:t>. Using this alpha function and its optimi</w:t>
      </w:r>
      <w:r w:rsidR="00864AF9">
        <w:rPr>
          <w:lang w:val="en-GB"/>
        </w:rPr>
        <w:t>s</w:t>
      </w:r>
      <w:r w:rsidRPr="00263350">
        <w:rPr>
          <w:lang w:val="en-GB"/>
        </w:rPr>
        <w:t xml:space="preserve">ed parameters, its extrapolative and predictive capability to represent saturation pressure, liquid density, and </w:t>
      </w:r>
      <w:r w:rsidR="00864AF9">
        <w:rPr>
          <w:lang w:val="en-GB"/>
        </w:rPr>
        <w:t>vapour</w:t>
      </w:r>
      <w:r w:rsidRPr="00263350">
        <w:rPr>
          <w:lang w:val="en-GB"/>
        </w:rPr>
        <w:t xml:space="preserve"> density in the superfluid region</w:t>
      </w:r>
      <w:r w:rsidR="00864AF9">
        <w:rPr>
          <w:lang w:val="en-GB"/>
        </w:rPr>
        <w:t xml:space="preserve">, </w:t>
      </w:r>
      <w:r w:rsidRPr="00263350">
        <w:rPr>
          <w:lang w:val="en-GB"/>
        </w:rPr>
        <w:t xml:space="preserve">where Helium-4 exhibits quantum fluid </w:t>
      </w:r>
      <w:r w:rsidR="00C93273" w:rsidRPr="00263350">
        <w:rPr>
          <w:lang w:val="en-GB"/>
        </w:rPr>
        <w:t>behaviour</w:t>
      </w:r>
      <w:r w:rsidR="00864AF9">
        <w:rPr>
          <w:lang w:val="en-GB"/>
        </w:rPr>
        <w:t xml:space="preserve">, </w:t>
      </w:r>
      <w:r w:rsidRPr="00263350">
        <w:rPr>
          <w:lang w:val="en-GB"/>
        </w:rPr>
        <w:t xml:space="preserve">was evaluated. The experimental data necessary for this analysis were reported by Donnelly (Donnelly and </w:t>
      </w:r>
      <w:proofErr w:type="spellStart"/>
      <w:r w:rsidRPr="00263350">
        <w:rPr>
          <w:lang w:val="en-GB"/>
        </w:rPr>
        <w:t>Barenghi</w:t>
      </w:r>
      <w:proofErr w:type="spellEnd"/>
      <w:r w:rsidRPr="00263350">
        <w:rPr>
          <w:lang w:val="en-GB"/>
        </w:rPr>
        <w:t>, 1998) and McCarty (Arp and McCarty, 1989).</w:t>
      </w:r>
    </w:p>
    <w:p w14:paraId="68F7992E" w14:textId="154BB2BB" w:rsidR="00275AAB" w:rsidRDefault="00275AAB" w:rsidP="00275AAB">
      <w:pPr>
        <w:pStyle w:val="CETBodytext"/>
      </w:pPr>
    </w:p>
    <w:p w14:paraId="6C3999B4" w14:textId="1BE3CAC6" w:rsidR="00275AAB" w:rsidRDefault="00275AAB" w:rsidP="00275AAB">
      <w:pPr>
        <w:pStyle w:val="CETBodytext"/>
      </w:pPr>
    </w:p>
    <w:p w14:paraId="0A075A6C" w14:textId="2C249A92" w:rsidR="00275AAB" w:rsidRDefault="00EB16EA" w:rsidP="00275AAB">
      <w:pPr>
        <w:pStyle w:val="CETBodytext"/>
      </w:pPr>
      <w:r>
        <w:rPr>
          <w:noProof/>
        </w:rPr>
        <w:drawing>
          <wp:anchor distT="0" distB="0" distL="114300" distR="114300" simplePos="0" relativeHeight="251665408" behindDoc="0" locked="0" layoutInCell="1" allowOverlap="1" wp14:anchorId="61D6A35F" wp14:editId="4298C8CE">
            <wp:simplePos x="0" y="0"/>
            <wp:positionH relativeFrom="margin">
              <wp:posOffset>0</wp:posOffset>
            </wp:positionH>
            <wp:positionV relativeFrom="paragraph">
              <wp:posOffset>87630</wp:posOffset>
            </wp:positionV>
            <wp:extent cx="3959860" cy="3599815"/>
            <wp:effectExtent l="0" t="0" r="2540" b="635"/>
            <wp:wrapNone/>
            <wp:docPr id="1122517896" name="Picture 10" descr="A graph of a graph of a graph&#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517896" name="Picture 10" descr="A graph of a graph of a graph&#10;&#10;Description automatically generated with medium confidence"/>
                    <pic:cNvPicPr preferRelativeResize="0"/>
                  </pic:nvPicPr>
                  <pic:blipFill rotWithShape="1">
                    <a:blip r:embed="rId12"/>
                    <a:srcRect t="6680"/>
                    <a:stretch/>
                  </pic:blipFill>
                  <pic:spPr bwMode="auto">
                    <a:xfrm>
                      <a:off x="0" y="0"/>
                      <a:ext cx="3959860" cy="3599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F0CA34" w14:textId="7BC7696E" w:rsidR="00275AAB" w:rsidRDefault="00275AAB" w:rsidP="00275AAB">
      <w:pPr>
        <w:pStyle w:val="CETBodytext"/>
      </w:pPr>
    </w:p>
    <w:p w14:paraId="789EEEBA" w14:textId="375D84EF" w:rsidR="00275AAB" w:rsidRDefault="00275AAB" w:rsidP="00275AAB">
      <w:pPr>
        <w:pStyle w:val="CETBodytext"/>
      </w:pPr>
    </w:p>
    <w:p w14:paraId="2776D4D9" w14:textId="77777777" w:rsidR="00275AAB" w:rsidRDefault="00275AAB" w:rsidP="00275AAB">
      <w:pPr>
        <w:pStyle w:val="CETBodytext"/>
      </w:pPr>
    </w:p>
    <w:p w14:paraId="196ED1C5" w14:textId="4BFE11E8" w:rsidR="00275AAB" w:rsidRDefault="00275AAB" w:rsidP="00275AAB">
      <w:pPr>
        <w:pStyle w:val="CETBodytext"/>
      </w:pPr>
    </w:p>
    <w:p w14:paraId="78FE7991" w14:textId="77777777" w:rsidR="00275AAB" w:rsidRDefault="00275AAB" w:rsidP="00275AAB">
      <w:pPr>
        <w:pStyle w:val="CETBodytext"/>
      </w:pPr>
    </w:p>
    <w:p w14:paraId="40D8671C" w14:textId="04AF0CA3" w:rsidR="00275AAB" w:rsidRDefault="00275AAB" w:rsidP="00275AAB">
      <w:pPr>
        <w:pStyle w:val="CETBodytext"/>
      </w:pPr>
    </w:p>
    <w:p w14:paraId="7D373410" w14:textId="686BC957" w:rsidR="00275AAB" w:rsidRDefault="00275AAB" w:rsidP="00275AAB">
      <w:pPr>
        <w:pStyle w:val="CETBodytext"/>
      </w:pPr>
    </w:p>
    <w:p w14:paraId="15ADB6D4" w14:textId="77777777" w:rsidR="00275AAB" w:rsidRDefault="00275AAB" w:rsidP="00275AAB">
      <w:pPr>
        <w:pStyle w:val="CETBodytext"/>
      </w:pPr>
    </w:p>
    <w:p w14:paraId="231B4E79" w14:textId="55F7F99B" w:rsidR="00275AAB" w:rsidRDefault="00275AAB" w:rsidP="00275AAB">
      <w:pPr>
        <w:pStyle w:val="CETBodytext"/>
      </w:pPr>
    </w:p>
    <w:p w14:paraId="41DA6079" w14:textId="64309ADC" w:rsidR="00275AAB" w:rsidRDefault="00275AAB" w:rsidP="00275AAB">
      <w:pPr>
        <w:pStyle w:val="CETBodytext"/>
      </w:pPr>
    </w:p>
    <w:p w14:paraId="3EA14A90" w14:textId="23D23E54" w:rsidR="00275AAB" w:rsidRDefault="00275AAB" w:rsidP="00275AAB">
      <w:pPr>
        <w:pStyle w:val="CETBodytext"/>
      </w:pPr>
    </w:p>
    <w:p w14:paraId="3FA8D97A" w14:textId="77777777" w:rsidR="00275AAB" w:rsidRDefault="00275AAB" w:rsidP="00275AAB">
      <w:pPr>
        <w:pStyle w:val="CETBodytext"/>
      </w:pPr>
    </w:p>
    <w:p w14:paraId="1BEE5755" w14:textId="77777777" w:rsidR="00275AAB" w:rsidRDefault="00275AAB" w:rsidP="00275AAB">
      <w:pPr>
        <w:pStyle w:val="CETBodytext"/>
      </w:pPr>
    </w:p>
    <w:p w14:paraId="09609C32" w14:textId="77777777" w:rsidR="00275AAB" w:rsidRDefault="00275AAB" w:rsidP="00275AAB">
      <w:pPr>
        <w:pStyle w:val="CETBodytext"/>
      </w:pPr>
    </w:p>
    <w:p w14:paraId="074B9149" w14:textId="77777777" w:rsidR="00275AAB" w:rsidRDefault="00275AAB" w:rsidP="00275AAB">
      <w:pPr>
        <w:pStyle w:val="CETBodytext"/>
      </w:pPr>
    </w:p>
    <w:p w14:paraId="27EFDD3A" w14:textId="77777777" w:rsidR="00275AAB" w:rsidRDefault="00275AAB" w:rsidP="00275AAB">
      <w:pPr>
        <w:pStyle w:val="CETBodytext"/>
      </w:pPr>
    </w:p>
    <w:p w14:paraId="73A420DF" w14:textId="77777777" w:rsidR="00275AAB" w:rsidRDefault="00275AAB" w:rsidP="00275AAB">
      <w:pPr>
        <w:pStyle w:val="CETBodytext"/>
      </w:pPr>
    </w:p>
    <w:p w14:paraId="370346B6" w14:textId="1C80ECA4" w:rsidR="00275AAB" w:rsidRDefault="00275AAB" w:rsidP="00275AAB">
      <w:pPr>
        <w:pStyle w:val="CETBodytext"/>
      </w:pPr>
    </w:p>
    <w:p w14:paraId="40D02202" w14:textId="77777777" w:rsidR="00275AAB" w:rsidRDefault="00275AAB" w:rsidP="00275AAB">
      <w:pPr>
        <w:pStyle w:val="CETBodytext"/>
      </w:pPr>
    </w:p>
    <w:p w14:paraId="4C2C16B1" w14:textId="629DF4F2" w:rsidR="00275AAB" w:rsidRDefault="00275AAB" w:rsidP="00275AAB">
      <w:pPr>
        <w:pStyle w:val="CETBodytext"/>
      </w:pPr>
    </w:p>
    <w:p w14:paraId="18D3F637" w14:textId="52EB3813" w:rsidR="00275AAB" w:rsidRDefault="00275AAB" w:rsidP="00275AAB">
      <w:pPr>
        <w:pStyle w:val="CETBodytext"/>
      </w:pPr>
    </w:p>
    <w:p w14:paraId="7FFE961E" w14:textId="77777777" w:rsidR="000157CA" w:rsidRDefault="000157CA" w:rsidP="00275AAB">
      <w:pPr>
        <w:pStyle w:val="CETBodytext"/>
      </w:pPr>
    </w:p>
    <w:p w14:paraId="68858D91" w14:textId="2CB87149" w:rsidR="000157CA" w:rsidRDefault="000157CA" w:rsidP="00275AAB">
      <w:pPr>
        <w:pStyle w:val="CETBodytext"/>
      </w:pPr>
    </w:p>
    <w:p w14:paraId="773F9368" w14:textId="77777777" w:rsidR="000157CA" w:rsidRDefault="000157CA" w:rsidP="00275AAB">
      <w:pPr>
        <w:pStyle w:val="CETBodytext"/>
      </w:pPr>
    </w:p>
    <w:p w14:paraId="79A50432" w14:textId="77777777" w:rsidR="000157CA" w:rsidRDefault="000157CA" w:rsidP="00275AAB">
      <w:pPr>
        <w:pStyle w:val="CETBodytext"/>
      </w:pPr>
    </w:p>
    <w:p w14:paraId="633CAA6A" w14:textId="77777777" w:rsidR="00636870" w:rsidRDefault="00636870" w:rsidP="00BD01DE">
      <w:pPr>
        <w:pStyle w:val="Descripcin"/>
        <w:jc w:val="left"/>
        <w:rPr>
          <w:rStyle w:val="CETCaptionCarattere"/>
          <w:b w:val="0"/>
          <w:bCs w:val="0"/>
          <w:color w:val="auto"/>
        </w:rPr>
      </w:pPr>
    </w:p>
    <w:p w14:paraId="0703F346" w14:textId="4AA91B72" w:rsidR="00AD1F73" w:rsidRPr="00BD01DE" w:rsidRDefault="000157CA" w:rsidP="00BD01DE">
      <w:pPr>
        <w:pStyle w:val="Descripcin"/>
        <w:jc w:val="left"/>
        <w:rPr>
          <w:b w:val="0"/>
          <w:bCs w:val="0"/>
          <w:i/>
          <w:color w:val="auto"/>
          <w:szCs w:val="20"/>
        </w:rPr>
      </w:pPr>
      <w:r w:rsidRPr="00DA3D96">
        <w:rPr>
          <w:rStyle w:val="CETCaptionCarattere"/>
          <w:b w:val="0"/>
          <w:bCs w:val="0"/>
          <w:color w:val="auto"/>
        </w:rPr>
        <w:t xml:space="preserve">Figure </w:t>
      </w:r>
      <w:r w:rsidR="00EB16EA">
        <w:rPr>
          <w:rStyle w:val="CETCaptionCarattere"/>
          <w:b w:val="0"/>
          <w:bCs w:val="0"/>
          <w:color w:val="auto"/>
        </w:rPr>
        <w:t>3</w:t>
      </w:r>
      <w:r w:rsidRPr="00DA3D96">
        <w:rPr>
          <w:rStyle w:val="CETCaptionCarattere"/>
          <w:b w:val="0"/>
          <w:bCs w:val="0"/>
          <w:color w:val="auto"/>
        </w:rPr>
        <w:t xml:space="preserve">: </w:t>
      </w:r>
      <w:r w:rsidR="00EB16EA" w:rsidRPr="00EB16EA">
        <w:rPr>
          <w:rStyle w:val="CETCaptionCarattere"/>
          <w:b w:val="0"/>
          <w:bCs w:val="0"/>
          <w:color w:val="auto"/>
        </w:rPr>
        <w:t>Experimental and calculated data for Helium-4 below 2.17 K (superfluid region); PR-SV model</w:t>
      </w:r>
      <w:r w:rsidR="00EB16EA">
        <w:rPr>
          <w:rStyle w:val="CETCaptionCarattere"/>
          <w:b w:val="0"/>
          <w:bCs w:val="0"/>
          <w:color w:val="auto"/>
        </w:rPr>
        <w:t>. McCarty experimental data</w:t>
      </w:r>
    </w:p>
    <w:p w14:paraId="795A786A" w14:textId="72A25373" w:rsidR="00AD1F73" w:rsidRDefault="00AD1F73" w:rsidP="00275AAB">
      <w:pPr>
        <w:pStyle w:val="CETBodytext"/>
      </w:pPr>
    </w:p>
    <w:p w14:paraId="721F42D4" w14:textId="77777777" w:rsidR="00341C09" w:rsidRDefault="00341C09" w:rsidP="00275AAB">
      <w:pPr>
        <w:pStyle w:val="CETBodytext"/>
      </w:pPr>
    </w:p>
    <w:p w14:paraId="6A5167CF" w14:textId="2DFD4CFD" w:rsidR="00600535" w:rsidRPr="00B57B36" w:rsidRDefault="00600535" w:rsidP="00600535">
      <w:pPr>
        <w:pStyle w:val="CETTabletitle"/>
      </w:pPr>
      <w:r w:rsidRPr="00B57B36">
        <w:t xml:space="preserve">Table </w:t>
      </w:r>
      <w:r w:rsidR="006D3A36">
        <w:t>3</w:t>
      </w:r>
      <w:r w:rsidRPr="00B57B36">
        <w:t xml:space="preserve">: </w:t>
      </w:r>
      <w:r w:rsidR="006D3A36">
        <w:t>Average absolute deviations for predictions below 2.17 K (within the superfluidity region)</w:t>
      </w:r>
      <w:r w:rsidR="00F03E94">
        <w:t xml:space="preserve"> for Helium-4</w:t>
      </w:r>
    </w:p>
    <w:tbl>
      <w:tblPr>
        <w:tblW w:w="4162"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27"/>
        <w:gridCol w:w="1829"/>
        <w:gridCol w:w="1829"/>
        <w:gridCol w:w="1829"/>
      </w:tblGrid>
      <w:tr w:rsidR="00F03E94" w:rsidRPr="00B57B36" w14:paraId="4B29AA51" w14:textId="77777777" w:rsidTr="00937844">
        <w:trPr>
          <w:trHeight w:val="324"/>
        </w:trPr>
        <w:tc>
          <w:tcPr>
            <w:tcW w:w="1249" w:type="pct"/>
            <w:tcBorders>
              <w:top w:val="single" w:sz="12" w:space="0" w:color="008000"/>
              <w:bottom w:val="single" w:sz="6" w:space="0" w:color="008000"/>
            </w:tcBorders>
            <w:shd w:val="clear" w:color="auto" w:fill="FFFFFF"/>
            <w:vAlign w:val="center"/>
          </w:tcPr>
          <w:p w14:paraId="500859EC" w14:textId="184A208D" w:rsidR="00F03E94" w:rsidRPr="00B57B36" w:rsidRDefault="00F03E94" w:rsidP="00F03E94">
            <w:pPr>
              <w:pStyle w:val="CETBodytext"/>
              <w:jc w:val="center"/>
              <w:rPr>
                <w:lang w:val="en-GB"/>
              </w:rPr>
            </w:pPr>
            <w:proofErr w:type="spellStart"/>
            <w:r>
              <w:rPr>
                <w:lang w:val="en-GB"/>
              </w:rPr>
              <w:t>CEoS</w:t>
            </w:r>
            <w:proofErr w:type="spellEnd"/>
          </w:p>
        </w:tc>
        <w:tc>
          <w:tcPr>
            <w:tcW w:w="1250" w:type="pct"/>
            <w:tcBorders>
              <w:top w:val="single" w:sz="12" w:space="0" w:color="008000"/>
              <w:bottom w:val="single" w:sz="6" w:space="0" w:color="008000"/>
            </w:tcBorders>
            <w:shd w:val="clear" w:color="auto" w:fill="FFFFFF"/>
            <w:vAlign w:val="center"/>
          </w:tcPr>
          <w:p w14:paraId="6B6E97E3" w14:textId="5A669779" w:rsidR="00F03E94" w:rsidRPr="00B57B36" w:rsidRDefault="00F03E94" w:rsidP="00F03E94">
            <w:pPr>
              <w:pStyle w:val="CETBodytext"/>
              <w:jc w:val="center"/>
              <w:rPr>
                <w:lang w:val="en-GB"/>
              </w:rPr>
            </w:pPr>
            <m:oMathPara>
              <m:oMath>
                <m:r>
                  <w:rPr>
                    <w:rFonts w:ascii="Cambria Math" w:hAnsi="Cambria Math"/>
                    <w:lang w:val="en-GB"/>
                  </w:rPr>
                  <m:t>α</m:t>
                </m:r>
              </m:oMath>
            </m:oMathPara>
          </w:p>
        </w:tc>
        <w:tc>
          <w:tcPr>
            <w:tcW w:w="1250" w:type="pct"/>
            <w:tcBorders>
              <w:top w:val="single" w:sz="12" w:space="0" w:color="008000"/>
              <w:bottom w:val="single" w:sz="6" w:space="0" w:color="008000"/>
            </w:tcBorders>
            <w:shd w:val="clear" w:color="auto" w:fill="FFFFFF"/>
            <w:vAlign w:val="center"/>
          </w:tcPr>
          <w:p w14:paraId="0CC5C18D" w14:textId="53D0D81E" w:rsidR="00F03E94" w:rsidRPr="00B57B36" w:rsidRDefault="00F03E94" w:rsidP="00F03E94">
            <w:pPr>
              <w:pStyle w:val="CETBodytext"/>
              <w:jc w:val="center"/>
              <w:rPr>
                <w:lang w:val="en-GB"/>
              </w:rPr>
            </w:pPr>
            <w:r>
              <w:rPr>
                <w:lang w:val="en-GB"/>
              </w:rPr>
              <w:t>Source</w:t>
            </w:r>
          </w:p>
        </w:tc>
        <w:tc>
          <w:tcPr>
            <w:tcW w:w="1250" w:type="pct"/>
            <w:tcBorders>
              <w:top w:val="single" w:sz="12" w:space="0" w:color="008000"/>
              <w:bottom w:val="single" w:sz="6" w:space="0" w:color="008000"/>
            </w:tcBorders>
            <w:shd w:val="clear" w:color="auto" w:fill="FFFFFF"/>
            <w:vAlign w:val="center"/>
          </w:tcPr>
          <w:p w14:paraId="199EE8DC" w14:textId="0F37FDCC" w:rsidR="00F03E94" w:rsidRPr="00B57B36" w:rsidRDefault="00F03E94" w:rsidP="00F03E94">
            <w:pPr>
              <w:pStyle w:val="CETBodytext"/>
              <w:ind w:right="-1"/>
              <w:jc w:val="center"/>
              <w:rPr>
                <w:rFonts w:cs="Arial"/>
                <w:szCs w:val="18"/>
                <w:lang w:val="en-GB"/>
              </w:rPr>
            </w:pPr>
            <w:r>
              <w:rPr>
                <w:rFonts w:cs="Arial"/>
                <w:szCs w:val="18"/>
                <w:lang w:val="en-GB"/>
              </w:rPr>
              <w:t>AAD (%)</w:t>
            </w:r>
          </w:p>
        </w:tc>
      </w:tr>
      <w:tr w:rsidR="00734B4D" w:rsidRPr="00B57B36" w14:paraId="18FA68DB" w14:textId="77777777" w:rsidTr="00937844">
        <w:trPr>
          <w:trHeight w:val="324"/>
        </w:trPr>
        <w:tc>
          <w:tcPr>
            <w:tcW w:w="1249" w:type="pct"/>
            <w:shd w:val="clear" w:color="auto" w:fill="FFFFFF"/>
            <w:vAlign w:val="center"/>
          </w:tcPr>
          <w:p w14:paraId="1877D42D" w14:textId="68C2B41F" w:rsidR="00734B4D" w:rsidRPr="00B57B36" w:rsidRDefault="00734B4D" w:rsidP="00734B4D">
            <w:pPr>
              <w:pStyle w:val="CETBodytext"/>
              <w:jc w:val="center"/>
              <w:rPr>
                <w:lang w:val="en-GB"/>
              </w:rPr>
            </w:pPr>
            <w:r>
              <w:rPr>
                <w:lang w:val="en-GB"/>
              </w:rPr>
              <w:t>PR</w:t>
            </w:r>
          </w:p>
        </w:tc>
        <w:tc>
          <w:tcPr>
            <w:tcW w:w="1250" w:type="pct"/>
            <w:vMerge w:val="restart"/>
            <w:shd w:val="clear" w:color="auto" w:fill="FFFFFF"/>
            <w:vAlign w:val="center"/>
          </w:tcPr>
          <w:p w14:paraId="48136FAE" w14:textId="34D04C40" w:rsidR="00734B4D" w:rsidRPr="00B57B36" w:rsidRDefault="00734B4D" w:rsidP="00734B4D">
            <w:pPr>
              <w:pStyle w:val="CETBodytext"/>
              <w:jc w:val="center"/>
              <w:rPr>
                <w:lang w:val="en-GB"/>
              </w:rPr>
            </w:pPr>
            <w:proofErr w:type="spellStart"/>
            <w:r>
              <w:rPr>
                <w:lang w:val="en-GB"/>
              </w:rPr>
              <w:t>Stryjek</w:t>
            </w:r>
            <w:proofErr w:type="spellEnd"/>
            <w:r>
              <w:rPr>
                <w:lang w:val="en-GB"/>
              </w:rPr>
              <w:t xml:space="preserve"> and Vera (1986)</w:t>
            </w:r>
          </w:p>
        </w:tc>
        <w:tc>
          <w:tcPr>
            <w:tcW w:w="1250" w:type="pct"/>
            <w:vMerge w:val="restart"/>
            <w:shd w:val="clear" w:color="auto" w:fill="FFFFFF"/>
            <w:vAlign w:val="center"/>
          </w:tcPr>
          <w:p w14:paraId="2CB03BEE" w14:textId="7F7217FF" w:rsidR="00734B4D" w:rsidRPr="00B57B36" w:rsidRDefault="00734B4D" w:rsidP="00734B4D">
            <w:pPr>
              <w:pStyle w:val="CETBodytext"/>
              <w:jc w:val="center"/>
              <w:rPr>
                <w:lang w:val="en-GB"/>
              </w:rPr>
            </w:pPr>
            <w:r>
              <w:rPr>
                <w:lang w:val="en-GB"/>
              </w:rPr>
              <w:t xml:space="preserve">Donelly and </w:t>
            </w:r>
            <w:proofErr w:type="spellStart"/>
            <w:r>
              <w:rPr>
                <w:lang w:val="en-GB"/>
              </w:rPr>
              <w:t>Barenghi</w:t>
            </w:r>
            <w:proofErr w:type="spellEnd"/>
            <w:r>
              <w:rPr>
                <w:lang w:val="en-GB"/>
              </w:rPr>
              <w:t xml:space="preserve"> (1998)</w:t>
            </w:r>
          </w:p>
        </w:tc>
        <w:tc>
          <w:tcPr>
            <w:tcW w:w="1250" w:type="pct"/>
            <w:shd w:val="clear" w:color="auto" w:fill="FFFFFF"/>
            <w:vAlign w:val="center"/>
          </w:tcPr>
          <w:p w14:paraId="7FF7EB81" w14:textId="13AF951E" w:rsidR="00734B4D" w:rsidRPr="00B57B36" w:rsidRDefault="00734B4D" w:rsidP="00734B4D">
            <w:pPr>
              <w:pStyle w:val="CETBodytext"/>
              <w:ind w:right="-1"/>
              <w:jc w:val="center"/>
              <w:rPr>
                <w:rFonts w:cs="Arial"/>
                <w:szCs w:val="18"/>
                <w:lang w:val="en-GB"/>
              </w:rPr>
            </w:pPr>
            <w:r>
              <w:rPr>
                <w:rFonts w:cs="Arial"/>
                <w:szCs w:val="18"/>
                <w:lang w:val="en-GB"/>
              </w:rPr>
              <w:t>6.64</w:t>
            </w:r>
          </w:p>
        </w:tc>
      </w:tr>
      <w:tr w:rsidR="00734B4D" w:rsidRPr="00B57B36" w14:paraId="1777C522" w14:textId="77777777" w:rsidTr="00937844">
        <w:trPr>
          <w:trHeight w:val="324"/>
        </w:trPr>
        <w:tc>
          <w:tcPr>
            <w:tcW w:w="1249" w:type="pct"/>
            <w:shd w:val="clear" w:color="auto" w:fill="FFFFFF"/>
            <w:vAlign w:val="center"/>
          </w:tcPr>
          <w:p w14:paraId="59954EC2" w14:textId="13EF1C4D" w:rsidR="00734B4D" w:rsidRPr="00B57B36" w:rsidRDefault="00734B4D" w:rsidP="00734B4D">
            <w:pPr>
              <w:pStyle w:val="CETBodytext"/>
              <w:ind w:right="-1"/>
              <w:jc w:val="center"/>
              <w:rPr>
                <w:rFonts w:cs="Arial"/>
                <w:szCs w:val="18"/>
                <w:lang w:val="en-GB"/>
              </w:rPr>
            </w:pPr>
            <w:r>
              <w:rPr>
                <w:rFonts w:cs="Arial"/>
                <w:szCs w:val="18"/>
                <w:lang w:val="en-GB"/>
              </w:rPr>
              <w:t>Clausius</w:t>
            </w:r>
          </w:p>
        </w:tc>
        <w:tc>
          <w:tcPr>
            <w:tcW w:w="1250" w:type="pct"/>
            <w:vMerge/>
            <w:shd w:val="clear" w:color="auto" w:fill="FFFFFF"/>
            <w:vAlign w:val="center"/>
          </w:tcPr>
          <w:p w14:paraId="4FFB40F7" w14:textId="77777777" w:rsidR="00734B4D" w:rsidRPr="00B57B36" w:rsidRDefault="00734B4D" w:rsidP="00734B4D">
            <w:pPr>
              <w:pStyle w:val="CETBodytext"/>
              <w:ind w:right="-1"/>
              <w:jc w:val="center"/>
              <w:rPr>
                <w:rFonts w:cs="Arial"/>
                <w:szCs w:val="18"/>
                <w:lang w:val="en-GB"/>
              </w:rPr>
            </w:pPr>
          </w:p>
        </w:tc>
        <w:tc>
          <w:tcPr>
            <w:tcW w:w="1250" w:type="pct"/>
            <w:vMerge/>
            <w:shd w:val="clear" w:color="auto" w:fill="FFFFFF"/>
            <w:vAlign w:val="center"/>
          </w:tcPr>
          <w:p w14:paraId="74F8316C" w14:textId="2389E26E" w:rsidR="00734B4D" w:rsidRPr="00B57B36" w:rsidRDefault="00734B4D" w:rsidP="00734B4D">
            <w:pPr>
              <w:pStyle w:val="CETBodytext"/>
              <w:ind w:right="-1"/>
              <w:jc w:val="center"/>
              <w:rPr>
                <w:rFonts w:cs="Arial"/>
                <w:szCs w:val="18"/>
                <w:lang w:val="en-GB"/>
              </w:rPr>
            </w:pPr>
          </w:p>
        </w:tc>
        <w:tc>
          <w:tcPr>
            <w:tcW w:w="1250" w:type="pct"/>
            <w:shd w:val="clear" w:color="auto" w:fill="FFFFFF"/>
            <w:vAlign w:val="center"/>
          </w:tcPr>
          <w:p w14:paraId="708CF970" w14:textId="39C76D7D" w:rsidR="00734B4D" w:rsidRPr="00B57B36" w:rsidRDefault="00734B4D" w:rsidP="00734B4D">
            <w:pPr>
              <w:pStyle w:val="CETBodytext"/>
              <w:ind w:right="-1"/>
              <w:jc w:val="center"/>
              <w:rPr>
                <w:rFonts w:cs="Arial"/>
                <w:szCs w:val="18"/>
                <w:lang w:val="en-GB"/>
              </w:rPr>
            </w:pPr>
            <w:r>
              <w:rPr>
                <w:rFonts w:cs="Arial"/>
                <w:szCs w:val="18"/>
                <w:lang w:val="en-GB"/>
              </w:rPr>
              <w:t>7.08</w:t>
            </w:r>
          </w:p>
        </w:tc>
      </w:tr>
      <w:tr w:rsidR="00734B4D" w:rsidRPr="00B57B36" w14:paraId="4E20A266" w14:textId="77777777" w:rsidTr="00937844">
        <w:trPr>
          <w:trHeight w:val="324"/>
        </w:trPr>
        <w:tc>
          <w:tcPr>
            <w:tcW w:w="1249" w:type="pct"/>
            <w:shd w:val="clear" w:color="auto" w:fill="FFFFFF"/>
            <w:vAlign w:val="center"/>
          </w:tcPr>
          <w:p w14:paraId="0A8C7816" w14:textId="1E3B56C2" w:rsidR="00734B4D" w:rsidRPr="00B57B36" w:rsidRDefault="00734B4D" w:rsidP="00734B4D">
            <w:pPr>
              <w:pStyle w:val="CETBodytext"/>
              <w:ind w:right="-1"/>
              <w:jc w:val="center"/>
              <w:rPr>
                <w:rFonts w:cs="Arial"/>
                <w:szCs w:val="18"/>
                <w:lang w:val="en-GB"/>
              </w:rPr>
            </w:pPr>
            <w:r>
              <w:rPr>
                <w:rFonts w:cs="Arial"/>
                <w:szCs w:val="18"/>
                <w:lang w:val="en-GB"/>
              </w:rPr>
              <w:t>PR</w:t>
            </w:r>
          </w:p>
        </w:tc>
        <w:tc>
          <w:tcPr>
            <w:tcW w:w="1250" w:type="pct"/>
            <w:vMerge/>
            <w:shd w:val="clear" w:color="auto" w:fill="FFFFFF"/>
            <w:vAlign w:val="center"/>
          </w:tcPr>
          <w:p w14:paraId="49E7A3D5" w14:textId="77777777" w:rsidR="00734B4D" w:rsidRPr="00B57B36" w:rsidRDefault="00734B4D" w:rsidP="00734B4D">
            <w:pPr>
              <w:pStyle w:val="CETBodytext"/>
              <w:ind w:right="-1"/>
              <w:jc w:val="center"/>
              <w:rPr>
                <w:rFonts w:cs="Arial"/>
                <w:szCs w:val="18"/>
                <w:lang w:val="en-GB"/>
              </w:rPr>
            </w:pPr>
          </w:p>
        </w:tc>
        <w:tc>
          <w:tcPr>
            <w:tcW w:w="1250" w:type="pct"/>
            <w:vMerge w:val="restart"/>
            <w:shd w:val="clear" w:color="auto" w:fill="FFFFFF"/>
            <w:vAlign w:val="center"/>
          </w:tcPr>
          <w:p w14:paraId="5684F2ED" w14:textId="616B2607" w:rsidR="00734B4D" w:rsidRPr="00B57B36" w:rsidRDefault="00734B4D" w:rsidP="00734B4D">
            <w:pPr>
              <w:pStyle w:val="CETBodytext"/>
              <w:ind w:right="-1"/>
              <w:jc w:val="center"/>
              <w:rPr>
                <w:rFonts w:cs="Arial"/>
                <w:szCs w:val="18"/>
                <w:lang w:val="en-GB"/>
              </w:rPr>
            </w:pPr>
            <w:r>
              <w:rPr>
                <w:rFonts w:cs="Arial"/>
                <w:szCs w:val="18"/>
                <w:lang w:val="en-GB"/>
              </w:rPr>
              <w:t>Arp and McCarty (1989)</w:t>
            </w:r>
          </w:p>
        </w:tc>
        <w:tc>
          <w:tcPr>
            <w:tcW w:w="1250" w:type="pct"/>
            <w:shd w:val="clear" w:color="auto" w:fill="FFFFFF"/>
            <w:vAlign w:val="center"/>
          </w:tcPr>
          <w:p w14:paraId="4568520D" w14:textId="3C5804E6" w:rsidR="00734B4D" w:rsidRPr="00B57B36" w:rsidRDefault="00734B4D" w:rsidP="00734B4D">
            <w:pPr>
              <w:pStyle w:val="CETBodytext"/>
              <w:ind w:right="-1"/>
              <w:jc w:val="center"/>
              <w:rPr>
                <w:rFonts w:cs="Arial"/>
                <w:szCs w:val="18"/>
                <w:lang w:val="en-GB"/>
              </w:rPr>
            </w:pPr>
            <w:r>
              <w:rPr>
                <w:rFonts w:cs="Arial"/>
                <w:szCs w:val="18"/>
                <w:lang w:val="en-GB"/>
              </w:rPr>
              <w:t>5.00</w:t>
            </w:r>
          </w:p>
        </w:tc>
      </w:tr>
      <w:tr w:rsidR="00734B4D" w:rsidRPr="00B57B36" w14:paraId="351C2347" w14:textId="77777777" w:rsidTr="00937844">
        <w:trPr>
          <w:trHeight w:val="324"/>
        </w:trPr>
        <w:tc>
          <w:tcPr>
            <w:tcW w:w="1249" w:type="pct"/>
            <w:shd w:val="clear" w:color="auto" w:fill="FFFFFF"/>
            <w:vAlign w:val="center"/>
          </w:tcPr>
          <w:p w14:paraId="55030F8D" w14:textId="70847AEE" w:rsidR="00734B4D" w:rsidRPr="00B57B36" w:rsidRDefault="00734B4D" w:rsidP="00734B4D">
            <w:pPr>
              <w:pStyle w:val="CETBodytext"/>
              <w:ind w:right="-1"/>
              <w:jc w:val="center"/>
              <w:rPr>
                <w:rFonts w:cs="Arial"/>
                <w:szCs w:val="18"/>
                <w:lang w:val="en-GB"/>
              </w:rPr>
            </w:pPr>
            <w:r>
              <w:rPr>
                <w:rFonts w:cs="Arial"/>
                <w:szCs w:val="18"/>
                <w:lang w:val="en-GB"/>
              </w:rPr>
              <w:t>Clausius</w:t>
            </w:r>
          </w:p>
        </w:tc>
        <w:tc>
          <w:tcPr>
            <w:tcW w:w="1250" w:type="pct"/>
            <w:vMerge/>
            <w:shd w:val="clear" w:color="auto" w:fill="FFFFFF"/>
            <w:vAlign w:val="center"/>
          </w:tcPr>
          <w:p w14:paraId="71786EA9" w14:textId="77777777" w:rsidR="00734B4D" w:rsidRPr="00B57B36" w:rsidRDefault="00734B4D" w:rsidP="00734B4D">
            <w:pPr>
              <w:pStyle w:val="CETBodytext"/>
              <w:ind w:right="-1"/>
              <w:jc w:val="center"/>
              <w:rPr>
                <w:rFonts w:cs="Arial"/>
                <w:szCs w:val="18"/>
                <w:lang w:val="en-GB"/>
              </w:rPr>
            </w:pPr>
          </w:p>
        </w:tc>
        <w:tc>
          <w:tcPr>
            <w:tcW w:w="1250" w:type="pct"/>
            <w:vMerge/>
            <w:shd w:val="clear" w:color="auto" w:fill="FFFFFF"/>
            <w:vAlign w:val="center"/>
          </w:tcPr>
          <w:p w14:paraId="343A2C73" w14:textId="77777777" w:rsidR="00734B4D" w:rsidRPr="00B57B36" w:rsidRDefault="00734B4D" w:rsidP="00734B4D">
            <w:pPr>
              <w:pStyle w:val="CETBodytext"/>
              <w:ind w:right="-1"/>
              <w:jc w:val="center"/>
              <w:rPr>
                <w:rFonts w:cs="Arial"/>
                <w:szCs w:val="18"/>
                <w:lang w:val="en-GB"/>
              </w:rPr>
            </w:pPr>
          </w:p>
        </w:tc>
        <w:tc>
          <w:tcPr>
            <w:tcW w:w="1250" w:type="pct"/>
            <w:shd w:val="clear" w:color="auto" w:fill="FFFFFF"/>
            <w:vAlign w:val="center"/>
          </w:tcPr>
          <w:p w14:paraId="36C816B6" w14:textId="4A6CD6D0" w:rsidR="00734B4D" w:rsidRPr="00B57B36" w:rsidRDefault="00734B4D" w:rsidP="00734B4D">
            <w:pPr>
              <w:pStyle w:val="CETBodytext"/>
              <w:ind w:right="-1"/>
              <w:jc w:val="center"/>
              <w:rPr>
                <w:rFonts w:cs="Arial"/>
                <w:szCs w:val="18"/>
                <w:lang w:val="en-GB"/>
              </w:rPr>
            </w:pPr>
            <w:r>
              <w:rPr>
                <w:rFonts w:cs="Arial"/>
                <w:szCs w:val="18"/>
                <w:lang w:val="en-GB"/>
              </w:rPr>
              <w:t>5.35</w:t>
            </w:r>
          </w:p>
        </w:tc>
      </w:tr>
    </w:tbl>
    <w:p w14:paraId="7FC6B688" w14:textId="4E6C7080" w:rsidR="00F026BA" w:rsidRPr="00F026BA" w:rsidRDefault="00E65B68" w:rsidP="00F026BA">
      <w:pPr>
        <w:pStyle w:val="CETHeading1"/>
        <w:numPr>
          <w:ilvl w:val="0"/>
          <w:numId w:val="0"/>
        </w:numPr>
        <w:jc w:val="both"/>
        <w:rPr>
          <w:lang w:val="en-GB"/>
        </w:rPr>
      </w:pPr>
      <w:r w:rsidRPr="00E65B68">
        <w:rPr>
          <w:b w:val="0"/>
          <w:bCs/>
          <w:sz w:val="18"/>
          <w:szCs w:val="18"/>
          <w:lang w:val="en-GB"/>
        </w:rPr>
        <w:lastRenderedPageBreak/>
        <w:t xml:space="preserve">The pressure and density </w:t>
      </w:r>
      <w:r w:rsidR="00FC48A7">
        <w:rPr>
          <w:b w:val="0"/>
          <w:bCs/>
          <w:sz w:val="18"/>
          <w:szCs w:val="18"/>
          <w:lang w:val="en-GB"/>
        </w:rPr>
        <w:t>modelling</w:t>
      </w:r>
      <w:r w:rsidRPr="00E65B68">
        <w:rPr>
          <w:b w:val="0"/>
          <w:bCs/>
          <w:sz w:val="18"/>
          <w:szCs w:val="18"/>
          <w:lang w:val="en-GB"/>
        </w:rPr>
        <w:t xml:space="preserve"> of Helium-4 using the Peng-Robinson and Clausius equations highlighted notable differences </w:t>
      </w:r>
      <w:r w:rsidR="00FC48A7" w:rsidRPr="00FC48A7">
        <w:rPr>
          <w:b w:val="0"/>
          <w:bCs/>
          <w:sz w:val="18"/>
          <w:szCs w:val="18"/>
          <w:lang w:val="en-GB"/>
        </w:rPr>
        <w:t>in their representation of the fluid's thermodynamic behaviour</w:t>
      </w:r>
      <w:r w:rsidRPr="00E65B68">
        <w:rPr>
          <w:b w:val="0"/>
          <w:bCs/>
          <w:sz w:val="18"/>
          <w:szCs w:val="18"/>
          <w:lang w:val="en-GB"/>
        </w:rPr>
        <w:t xml:space="preserve">. The accuracy of the models was strongly influenced by the choice of </w:t>
      </w:r>
      <w:r>
        <w:rPr>
          <w:b w:val="0"/>
          <w:bCs/>
          <w:sz w:val="18"/>
          <w:szCs w:val="18"/>
          <w:lang w:val="en-GB"/>
        </w:rPr>
        <w:t xml:space="preserve">the </w:t>
      </w:r>
      <w:r w:rsidRPr="00E65B68">
        <w:rPr>
          <w:b w:val="0"/>
          <w:bCs/>
          <w:sz w:val="18"/>
          <w:szCs w:val="18"/>
          <w:lang w:val="en-GB"/>
        </w:rPr>
        <w:t>alpha function. Whilst the Peng-Robinson equation performed slightly better below 2.17 K, both approaches ultimately yielded similar results</w:t>
      </w:r>
      <w:r>
        <w:rPr>
          <w:b w:val="0"/>
          <w:bCs/>
          <w:sz w:val="18"/>
          <w:szCs w:val="18"/>
          <w:lang w:val="en-GB"/>
        </w:rPr>
        <w:t>.</w:t>
      </w:r>
    </w:p>
    <w:p w14:paraId="68D26B83" w14:textId="4B470CE6" w:rsidR="00600535" w:rsidRPr="00B57B36" w:rsidRDefault="00600535" w:rsidP="00600535">
      <w:pPr>
        <w:pStyle w:val="CETHeading1"/>
        <w:rPr>
          <w:lang w:val="en-GB"/>
        </w:rPr>
      </w:pPr>
      <w:r w:rsidRPr="00B57B36">
        <w:rPr>
          <w:lang w:val="en-GB"/>
        </w:rPr>
        <w:t>Conclusions</w:t>
      </w:r>
    </w:p>
    <w:p w14:paraId="7DF81371" w14:textId="352C5A63" w:rsidR="0035580F" w:rsidRDefault="00341C09" w:rsidP="00341C09">
      <w:pPr>
        <w:pStyle w:val="CETBodytext"/>
      </w:pPr>
      <w:r>
        <w:t xml:space="preserve">The models used were capable of adequately capturing phase transitions and critical </w:t>
      </w:r>
      <w:proofErr w:type="spellStart"/>
      <w:r w:rsidR="00EE1907">
        <w:t>behaviour</w:t>
      </w:r>
      <w:proofErr w:type="spellEnd"/>
      <w:r w:rsidR="00255608">
        <w:t>. However,</w:t>
      </w:r>
      <w:r>
        <w:t xml:space="preserve"> some deviations were noted in pressure predictions at temperatures near the triple point (transition temperature for superfluidity). This work shows that combining the Clausius equation with the </w:t>
      </w:r>
      <w:proofErr w:type="spellStart"/>
      <w:r>
        <w:t>Stryjek</w:t>
      </w:r>
      <w:proofErr w:type="spellEnd"/>
      <w:r>
        <w:t>-Vera alpha function and volume translation can account for the quantum effects present in helium-4, slightly outperforming the approach proposed by Aasen et al. (2020), who incorporate these effects into the co-volume.</w:t>
      </w:r>
    </w:p>
    <w:p w14:paraId="2203A82C" w14:textId="77777777" w:rsidR="002F5BB0" w:rsidRPr="00280FAF" w:rsidRDefault="002F5BB0" w:rsidP="002D3486">
      <w:pPr>
        <w:pStyle w:val="CETHeadingxx"/>
        <w:rPr>
          <w:lang w:val="en-GB"/>
        </w:rPr>
        <w:sectPr w:rsidR="002F5BB0" w:rsidRPr="00280FAF" w:rsidSect="002F5BB0">
          <w:type w:val="continuous"/>
          <w:pgSz w:w="11906" w:h="16838" w:code="9"/>
          <w:pgMar w:top="1701" w:right="1418" w:bottom="1701" w:left="1701" w:header="1701" w:footer="0" w:gutter="0"/>
          <w:cols w:space="708"/>
          <w:formProt w:val="0"/>
          <w:titlePg/>
          <w:docGrid w:linePitch="360"/>
        </w:sectPr>
      </w:pPr>
      <w:r>
        <w:t>Nomenclature</w:t>
      </w:r>
    </w:p>
    <w:p w14:paraId="13624B68" w14:textId="150B428F" w:rsidR="002F5BB0" w:rsidRPr="00280FAF" w:rsidRDefault="00571C07" w:rsidP="002F5BB0">
      <w:pPr>
        <w:pStyle w:val="CETBodytext"/>
        <w:jc w:val="left"/>
        <w:rPr>
          <w:rFonts w:eastAsia="SimSun"/>
        </w:rPr>
        <w:sectPr w:rsidR="002F5BB0" w:rsidRPr="00280FAF" w:rsidSect="002F5BB0">
          <w:type w:val="continuous"/>
          <w:pgSz w:w="11906" w:h="16838" w:code="9"/>
          <w:pgMar w:top="1701" w:right="1418" w:bottom="1701" w:left="1701" w:header="1701" w:footer="0" w:gutter="0"/>
          <w:cols w:space="708"/>
          <w:formProt w:val="0"/>
          <w:titlePg/>
          <w:docGrid w:linePitch="360"/>
        </w:sectPr>
      </w:pPr>
      <w:proofErr w:type="spellStart"/>
      <w:r>
        <w:rPr>
          <w:rFonts w:eastAsia="SimSun"/>
        </w:rPr>
        <w:t>CEoS</w:t>
      </w:r>
      <w:proofErr w:type="spellEnd"/>
      <w:r w:rsidR="002F5BB0" w:rsidRPr="00280FAF">
        <w:rPr>
          <w:rFonts w:eastAsia="SimSun"/>
        </w:rPr>
        <w:t xml:space="preserve"> – </w:t>
      </w:r>
      <w:r>
        <w:rPr>
          <w:rFonts w:eastAsia="SimSun"/>
        </w:rPr>
        <w:t>Cubic Equation of State</w:t>
      </w:r>
    </w:p>
    <w:p w14:paraId="3CF389AF" w14:textId="3D893744" w:rsidR="002F5BB0" w:rsidRPr="00280FAF" w:rsidRDefault="00571C07" w:rsidP="002F5BB0">
      <w:pPr>
        <w:pStyle w:val="CETBodytext"/>
        <w:jc w:val="left"/>
        <w:rPr>
          <w:rFonts w:eastAsia="SimSun"/>
        </w:rPr>
      </w:pPr>
      <w:r>
        <w:rPr>
          <w:rFonts w:eastAsia="SimSun"/>
        </w:rPr>
        <w:t>PR</w:t>
      </w:r>
      <w:r w:rsidR="002F5BB0" w:rsidRPr="00280FAF">
        <w:rPr>
          <w:rFonts w:eastAsia="SimSun"/>
        </w:rPr>
        <w:t xml:space="preserve"> – </w:t>
      </w:r>
      <w:r>
        <w:rPr>
          <w:rFonts w:eastAsia="SimSun"/>
        </w:rPr>
        <w:t>Peng-Robinson</w:t>
      </w:r>
    </w:p>
    <w:p w14:paraId="65F5C6B1" w14:textId="60A02C74" w:rsidR="002F5BB0" w:rsidRPr="006447E3" w:rsidRDefault="00571C07" w:rsidP="002F5BB0">
      <w:pPr>
        <w:pStyle w:val="CETBodytext"/>
        <w:jc w:val="left"/>
        <w:rPr>
          <w:rFonts w:eastAsia="SimSun"/>
        </w:rPr>
      </w:pPr>
      <w:r w:rsidRPr="006447E3">
        <w:rPr>
          <w:rFonts w:eastAsia="SimSun"/>
        </w:rPr>
        <w:t>SV</w:t>
      </w:r>
      <w:r w:rsidR="002F5BB0" w:rsidRPr="006447E3">
        <w:rPr>
          <w:rFonts w:eastAsia="SimSun"/>
        </w:rPr>
        <w:t xml:space="preserve"> – </w:t>
      </w:r>
      <w:proofErr w:type="spellStart"/>
      <w:r w:rsidRPr="006447E3">
        <w:rPr>
          <w:rFonts w:eastAsia="SimSun"/>
        </w:rPr>
        <w:t>Stryjek</w:t>
      </w:r>
      <w:proofErr w:type="spellEnd"/>
      <w:r w:rsidRPr="006447E3">
        <w:rPr>
          <w:rFonts w:eastAsia="SimSun"/>
        </w:rPr>
        <w:t>-Vera</w:t>
      </w:r>
    </w:p>
    <w:p w14:paraId="20D45ACE" w14:textId="05BEC38F" w:rsidR="002F5BB0" w:rsidRPr="00571C07" w:rsidRDefault="00571C07" w:rsidP="002F5BB0">
      <w:pPr>
        <w:pStyle w:val="CETBodytext"/>
        <w:jc w:val="left"/>
        <w:rPr>
          <w:rFonts w:eastAsia="SimSun"/>
        </w:rPr>
      </w:pPr>
      <w:r w:rsidRPr="00571C07">
        <w:rPr>
          <w:rFonts w:eastAsia="SimSun"/>
        </w:rPr>
        <w:t>AAD</w:t>
      </w:r>
      <w:r w:rsidR="002F5BB0" w:rsidRPr="00571C07">
        <w:rPr>
          <w:rFonts w:eastAsia="SimSun"/>
        </w:rPr>
        <w:t xml:space="preserve"> – </w:t>
      </w:r>
      <w:r w:rsidRPr="00571C07">
        <w:rPr>
          <w:rFonts w:eastAsia="SimSun"/>
        </w:rPr>
        <w:t>Average</w:t>
      </w:r>
      <w:r>
        <w:rPr>
          <w:rFonts w:eastAsia="SimSun"/>
        </w:rPr>
        <w:t xml:space="preserve"> Absolute Deviation</w:t>
      </w:r>
    </w:p>
    <w:p w14:paraId="0DAC56E6" w14:textId="2B3B4CB9" w:rsidR="002F5BB0" w:rsidRPr="00280FAF" w:rsidRDefault="00571C07" w:rsidP="002F5BB0">
      <w:pPr>
        <w:pStyle w:val="CETBodytext"/>
        <w:jc w:val="left"/>
        <w:rPr>
          <w:rFonts w:eastAsia="SimSun"/>
        </w:rPr>
      </w:pPr>
      <m:oMath>
        <m:r>
          <w:rPr>
            <w:rFonts w:ascii="Cambria Math" w:hAnsi="Cambria Math"/>
            <w:lang w:val="en-GB"/>
          </w:rPr>
          <m:t>α</m:t>
        </m:r>
      </m:oMath>
      <w:r w:rsidR="002F5BB0" w:rsidRPr="00280FAF">
        <w:rPr>
          <w:rFonts w:eastAsia="SimSun"/>
        </w:rPr>
        <w:t xml:space="preserve"> – </w:t>
      </w:r>
      <w:r>
        <w:rPr>
          <w:rFonts w:eastAsia="SimSun"/>
        </w:rPr>
        <w:t>Alpha</w:t>
      </w:r>
      <w:r w:rsidR="002E43A9">
        <w:rPr>
          <w:rFonts w:eastAsia="SimSun"/>
        </w:rPr>
        <w:t xml:space="preserve"> function</w:t>
      </w:r>
    </w:p>
    <w:p w14:paraId="278E62AA" w14:textId="2D0F7A2F" w:rsidR="002F5BB0" w:rsidRPr="00280FAF" w:rsidRDefault="00000000" w:rsidP="002F5BB0">
      <w:pPr>
        <w:pStyle w:val="CETBodytext"/>
        <w:jc w:val="left"/>
        <w:rPr>
          <w:rFonts w:eastAsia="SimSun"/>
        </w:rPr>
      </w:pPr>
      <m:oMath>
        <m:sSub>
          <m:sSubPr>
            <m:ctrlPr>
              <w:rPr>
                <w:rFonts w:ascii="Cambria Math" w:eastAsiaTheme="minorEastAsia" w:hAnsi="Cambria Math" w:cs="Arial"/>
                <w:i/>
                <w:lang w:val="en-GB"/>
              </w:rPr>
            </m:ctrlPr>
          </m:sSubPr>
          <m:e>
            <m:r>
              <w:rPr>
                <w:rFonts w:ascii="Cambria Math" w:eastAsiaTheme="minorEastAsia" w:hAnsi="Cambria Math" w:cs="Arial"/>
              </w:rPr>
              <m:t>κ</m:t>
            </m:r>
          </m:e>
          <m:sub>
            <m:r>
              <w:rPr>
                <w:rFonts w:ascii="Cambria Math" w:eastAsiaTheme="minorEastAsia" w:hAnsi="Cambria Math" w:cs="Arial"/>
              </w:rPr>
              <m:t>0</m:t>
            </m:r>
          </m:sub>
        </m:sSub>
        <m:r>
          <w:rPr>
            <w:rFonts w:ascii="Cambria Math" w:eastAsia="SimSun" w:hAnsi="Cambria Math"/>
            <w:lang w:val="en-GB"/>
          </w:rPr>
          <m:t xml:space="preserve">, </m:t>
        </m:r>
        <m:sSub>
          <m:sSubPr>
            <m:ctrlPr>
              <w:rPr>
                <w:rFonts w:ascii="Cambria Math" w:eastAsiaTheme="minorEastAsia" w:hAnsi="Cambria Math" w:cs="Arial"/>
                <w:i/>
                <w:lang w:val="en-GB"/>
              </w:rPr>
            </m:ctrlPr>
          </m:sSubPr>
          <m:e>
            <m:r>
              <w:rPr>
                <w:rFonts w:ascii="Cambria Math" w:eastAsiaTheme="minorEastAsia" w:hAnsi="Cambria Math" w:cs="Arial"/>
              </w:rPr>
              <m:t>κ</m:t>
            </m:r>
          </m:e>
          <m:sub>
            <m:r>
              <w:rPr>
                <w:rFonts w:ascii="Cambria Math" w:eastAsiaTheme="minorEastAsia" w:hAnsi="Cambria Math" w:cs="Arial"/>
              </w:rPr>
              <m:t>1</m:t>
            </m:r>
          </m:sub>
        </m:sSub>
      </m:oMath>
      <w:r w:rsidR="002F5BB0" w:rsidRPr="00280FAF">
        <w:rPr>
          <w:rFonts w:eastAsia="SimSun"/>
        </w:rPr>
        <w:t xml:space="preserve"> – </w:t>
      </w:r>
      <w:r w:rsidR="00571C07">
        <w:rPr>
          <w:rFonts w:eastAsia="SimSun"/>
        </w:rPr>
        <w:t xml:space="preserve">Adjustable parameters in the </w:t>
      </w:r>
      <w:proofErr w:type="spellStart"/>
      <w:r w:rsidR="00571C07">
        <w:rPr>
          <w:rFonts w:eastAsia="SimSun"/>
        </w:rPr>
        <w:t>S</w:t>
      </w:r>
      <w:r w:rsidR="00D6408B">
        <w:rPr>
          <w:rFonts w:eastAsia="SimSun"/>
        </w:rPr>
        <w:t>tryjek</w:t>
      </w:r>
      <w:proofErr w:type="spellEnd"/>
      <w:r w:rsidR="00D6408B">
        <w:rPr>
          <w:rFonts w:eastAsia="SimSun"/>
        </w:rPr>
        <w:t>-Vera</w:t>
      </w:r>
      <w:r w:rsidR="00571C07">
        <w:rPr>
          <w:rFonts w:eastAsia="SimSun"/>
        </w:rPr>
        <w:t xml:space="preserve"> alpha function</w:t>
      </w:r>
    </w:p>
    <w:p w14:paraId="1C6BD493" w14:textId="5CFF6D50" w:rsidR="002F5BB0" w:rsidRPr="00280FAF" w:rsidRDefault="00D6408B" w:rsidP="002F5BB0">
      <w:pPr>
        <w:pStyle w:val="CETBodytext"/>
        <w:jc w:val="left"/>
        <w:rPr>
          <w:rFonts w:eastAsia="SimSun"/>
        </w:rPr>
      </w:pPr>
      <m:oMath>
        <m:r>
          <w:rPr>
            <w:rFonts w:ascii="Cambria Math" w:eastAsiaTheme="minorEastAsia" w:hAnsi="Cambria Math" w:cs="Arial"/>
          </w:rPr>
          <m:t>M, N</m:t>
        </m:r>
      </m:oMath>
      <w:r w:rsidR="002F5BB0" w:rsidRPr="00280FAF">
        <w:rPr>
          <w:rFonts w:eastAsia="SimSun"/>
        </w:rPr>
        <w:t xml:space="preserve"> – </w:t>
      </w:r>
      <w:r>
        <w:rPr>
          <w:rFonts w:eastAsia="SimSun"/>
        </w:rPr>
        <w:t>Adjustable parameters in the Melhem alpha function</w:t>
      </w:r>
    </w:p>
    <w:p w14:paraId="19730919" w14:textId="0936AADD" w:rsidR="00571C07" w:rsidRPr="00280FAF" w:rsidRDefault="00000000" w:rsidP="002F5BB0">
      <w:pPr>
        <w:pStyle w:val="CETBodytext"/>
        <w:jc w:val="left"/>
        <w:rPr>
          <w:rFonts w:eastAsia="SimSun"/>
        </w:rPr>
      </w:pPr>
      <m:oMath>
        <m:sSub>
          <m:sSubPr>
            <m:ctrlPr>
              <w:rPr>
                <w:rFonts w:ascii="Cambria Math" w:hAnsi="Cambria Math" w:cs="Arial"/>
                <w:i/>
                <w:szCs w:val="18"/>
                <w:lang w:val="en-GB"/>
              </w:rPr>
            </m:ctrlPr>
          </m:sSubPr>
          <m:e>
            <m:r>
              <w:rPr>
                <w:rFonts w:ascii="Cambria Math" w:hAnsi="Cambria Math" w:cs="Arial"/>
                <w:szCs w:val="18"/>
                <w:lang w:val="en-GB"/>
              </w:rPr>
              <m:t>χ</m:t>
            </m:r>
          </m:e>
          <m:sub>
            <m:r>
              <w:rPr>
                <w:rFonts w:ascii="Cambria Math" w:hAnsi="Cambria Math" w:cs="Arial"/>
                <w:szCs w:val="18"/>
                <w:lang w:val="en-GB"/>
              </w:rPr>
              <m:t>0</m:t>
            </m:r>
          </m:sub>
        </m:sSub>
        <m:r>
          <w:rPr>
            <w:rFonts w:ascii="Cambria Math" w:eastAsia="SimSun" w:hAnsi="Cambria Math"/>
            <w:szCs w:val="18"/>
            <w:lang w:val="en-GB"/>
          </w:rPr>
          <m:t xml:space="preserve">, </m:t>
        </m:r>
        <m:sSub>
          <m:sSubPr>
            <m:ctrlPr>
              <w:rPr>
                <w:rFonts w:ascii="Cambria Math" w:hAnsi="Cambria Math" w:cs="Arial"/>
                <w:i/>
                <w:szCs w:val="18"/>
                <w:lang w:val="en-GB"/>
              </w:rPr>
            </m:ctrlPr>
          </m:sSubPr>
          <m:e>
            <m:r>
              <w:rPr>
                <w:rFonts w:ascii="Cambria Math" w:hAnsi="Cambria Math" w:cs="Arial"/>
                <w:szCs w:val="18"/>
                <w:lang w:val="en-GB"/>
              </w:rPr>
              <m:t>χ</m:t>
            </m:r>
          </m:e>
          <m:sub>
            <m:r>
              <w:rPr>
                <w:rFonts w:ascii="Cambria Math" w:hAnsi="Cambria Math" w:cs="Arial"/>
                <w:szCs w:val="18"/>
                <w:lang w:val="en-GB"/>
              </w:rPr>
              <m:t>1</m:t>
            </m:r>
          </m:sub>
        </m:sSub>
      </m:oMath>
      <w:r w:rsidR="002F5BB0" w:rsidRPr="00280FAF">
        <w:rPr>
          <w:rFonts w:eastAsia="SimSun"/>
        </w:rPr>
        <w:t xml:space="preserve"> – </w:t>
      </w:r>
      <w:r w:rsidR="00833817">
        <w:rPr>
          <w:rFonts w:eastAsia="SimSun"/>
        </w:rPr>
        <w:t>Adjustable parameters in the Mathias volume translation equation</w:t>
      </w:r>
    </w:p>
    <w:p w14:paraId="3744E786" w14:textId="0690F2F2" w:rsidR="002F5BB0" w:rsidRPr="009E513A" w:rsidRDefault="00000000" w:rsidP="002F5BB0">
      <w:pPr>
        <w:pStyle w:val="CETBodytext"/>
        <w:jc w:val="left"/>
        <w:rPr>
          <w:rFonts w:eastAsia="SimSun"/>
          <w:lang w:val="it-IT"/>
        </w:rPr>
      </w:pPr>
      <m:oMath>
        <m:sSub>
          <m:sSubPr>
            <m:ctrlPr>
              <w:rPr>
                <w:rFonts w:ascii="Cambria Math" w:eastAsiaTheme="minorEastAsia" w:hAnsi="Cambria Math" w:cs="Arial"/>
              </w:rPr>
            </m:ctrlPr>
          </m:sSubPr>
          <m:e>
            <m:r>
              <w:rPr>
                <w:rFonts w:ascii="Cambria Math" w:eastAsiaTheme="minorEastAsia" w:hAnsi="Cambria Math" w:cs="Arial"/>
              </w:rPr>
              <m:t>T</m:t>
            </m:r>
          </m:e>
          <m:sub>
            <m:r>
              <w:rPr>
                <w:rFonts w:ascii="Cambria Math" w:eastAsiaTheme="minorEastAsia" w:hAnsi="Cambria Math" w:cs="Arial"/>
              </w:rPr>
              <m:t>c</m:t>
            </m:r>
          </m:sub>
        </m:sSub>
      </m:oMath>
      <w:r w:rsidR="002F5BB0" w:rsidRPr="009E513A">
        <w:rPr>
          <w:rFonts w:eastAsia="SimSun"/>
          <w:lang w:val="it-IT"/>
        </w:rPr>
        <w:t xml:space="preserve"> – </w:t>
      </w:r>
      <w:r w:rsidR="009E513A" w:rsidRPr="009E513A">
        <w:rPr>
          <w:rFonts w:eastAsia="SimSun"/>
          <w:lang w:val="it-IT"/>
        </w:rPr>
        <w:t>Critical temperature</w:t>
      </w:r>
      <w:r w:rsidR="002F5BB0" w:rsidRPr="009E513A">
        <w:rPr>
          <w:rFonts w:eastAsia="SimSun"/>
          <w:lang w:val="it-IT"/>
        </w:rPr>
        <w:t>, K</w:t>
      </w:r>
    </w:p>
    <w:p w14:paraId="6972C3F0" w14:textId="789A1F21" w:rsidR="002F5BB0" w:rsidRPr="009E513A" w:rsidRDefault="00000000" w:rsidP="002F5BB0">
      <w:pPr>
        <w:pStyle w:val="CETBodytext"/>
        <w:jc w:val="left"/>
        <w:rPr>
          <w:rFonts w:eastAsia="SimSun"/>
          <w:lang w:val="it-IT"/>
        </w:rPr>
      </w:pPr>
      <m:oMath>
        <m:sSub>
          <m:sSubPr>
            <m:ctrlPr>
              <w:rPr>
                <w:rFonts w:ascii="Cambria Math" w:eastAsiaTheme="minorEastAsia" w:hAnsi="Cambria Math" w:cs="Arial"/>
              </w:rPr>
            </m:ctrlPr>
          </m:sSubPr>
          <m:e>
            <m:r>
              <w:rPr>
                <w:rFonts w:ascii="Cambria Math" w:eastAsiaTheme="minorEastAsia" w:hAnsi="Cambria Math" w:cs="Arial"/>
              </w:rPr>
              <m:t>P</m:t>
            </m:r>
          </m:e>
          <m:sub>
            <m:r>
              <w:rPr>
                <w:rFonts w:ascii="Cambria Math" w:eastAsiaTheme="minorEastAsia" w:hAnsi="Cambria Math" w:cs="Arial"/>
              </w:rPr>
              <m:t>c</m:t>
            </m:r>
          </m:sub>
        </m:sSub>
      </m:oMath>
      <w:r w:rsidR="002F5BB0" w:rsidRPr="009E513A">
        <w:rPr>
          <w:rFonts w:eastAsia="SimSun"/>
          <w:lang w:val="it-IT"/>
        </w:rPr>
        <w:t xml:space="preserve"> – </w:t>
      </w:r>
      <w:r w:rsidR="009E513A">
        <w:rPr>
          <w:rFonts w:eastAsia="SimSun"/>
          <w:lang w:val="it-IT"/>
        </w:rPr>
        <w:t>Critical pressure</w:t>
      </w:r>
      <w:r w:rsidR="002F5BB0" w:rsidRPr="009E513A">
        <w:rPr>
          <w:rFonts w:eastAsia="SimSun"/>
          <w:lang w:val="it-IT"/>
        </w:rPr>
        <w:t xml:space="preserve">, </w:t>
      </w:r>
      <w:r w:rsidR="009E513A">
        <w:rPr>
          <w:rFonts w:eastAsia="SimSun"/>
          <w:lang w:val="it-IT"/>
        </w:rPr>
        <w:t>bar</w:t>
      </w:r>
    </w:p>
    <w:p w14:paraId="72D3BA3B" w14:textId="465D13DF" w:rsidR="002F5BB0" w:rsidRPr="009E513A" w:rsidRDefault="00000000" w:rsidP="002F5BB0">
      <w:pPr>
        <w:pStyle w:val="CETBodytext"/>
        <w:jc w:val="left"/>
        <w:rPr>
          <w:rFonts w:eastAsia="SimSun"/>
          <w:lang w:val="it-IT"/>
        </w:rPr>
      </w:pPr>
      <m:oMath>
        <m:sSub>
          <m:sSubPr>
            <m:ctrlPr>
              <w:rPr>
                <w:rFonts w:ascii="Cambria Math" w:eastAsiaTheme="minorEastAsia" w:hAnsi="Cambria Math" w:cs="Arial"/>
              </w:rPr>
            </m:ctrlPr>
          </m:sSubPr>
          <m:e>
            <m:r>
              <w:rPr>
                <w:rFonts w:ascii="Cambria Math" w:eastAsiaTheme="minorEastAsia" w:hAnsi="Cambria Math" w:cs="Arial"/>
              </w:rPr>
              <m:t>V</m:t>
            </m:r>
          </m:e>
          <m:sub>
            <m:r>
              <w:rPr>
                <w:rFonts w:ascii="Cambria Math" w:eastAsiaTheme="minorEastAsia" w:hAnsi="Cambria Math" w:cs="Arial"/>
              </w:rPr>
              <m:t>c</m:t>
            </m:r>
          </m:sub>
        </m:sSub>
      </m:oMath>
      <w:r w:rsidR="002F5BB0" w:rsidRPr="009E513A">
        <w:rPr>
          <w:rFonts w:eastAsia="SimSun"/>
          <w:lang w:val="it-IT"/>
        </w:rPr>
        <w:t xml:space="preserve"> – </w:t>
      </w:r>
      <w:r w:rsidR="009E513A" w:rsidRPr="009E513A">
        <w:rPr>
          <w:rFonts w:eastAsia="SimSun"/>
          <w:lang w:val="it-IT"/>
        </w:rPr>
        <w:t>Critical molar volume</w:t>
      </w:r>
      <w:r w:rsidR="002F5BB0" w:rsidRPr="009E513A">
        <w:rPr>
          <w:rFonts w:eastAsia="SimSun"/>
          <w:lang w:val="it-IT"/>
        </w:rPr>
        <w:t xml:space="preserve">, </w:t>
      </w:r>
      <m:oMath>
        <m:f>
          <m:fPr>
            <m:type m:val="lin"/>
            <m:ctrlPr>
              <w:rPr>
                <w:rFonts w:ascii="Cambria Math" w:eastAsiaTheme="minorEastAsia" w:hAnsi="Cambria Math" w:cs="Arial"/>
                <w:i/>
              </w:rPr>
            </m:ctrlPr>
          </m:fPr>
          <m:num>
            <m:sSup>
              <m:sSupPr>
                <m:ctrlPr>
                  <w:rPr>
                    <w:rFonts w:ascii="Cambria Math" w:eastAsiaTheme="minorEastAsia" w:hAnsi="Cambria Math" w:cs="Arial"/>
                    <w:i/>
                  </w:rPr>
                </m:ctrlPr>
              </m:sSupPr>
              <m:e>
                <m:r>
                  <m:rPr>
                    <m:nor/>
                  </m:rPr>
                  <w:rPr>
                    <w:rFonts w:ascii="Cambria Math" w:eastAsiaTheme="minorEastAsia" w:hAnsi="Cambria Math" w:cs="Arial"/>
                    <w:lang w:val="it-IT"/>
                  </w:rPr>
                  <m:t>cm</m:t>
                </m:r>
              </m:e>
              <m:sup>
                <m:r>
                  <m:rPr>
                    <m:nor/>
                  </m:rPr>
                  <w:rPr>
                    <w:rFonts w:ascii="Cambria Math" w:eastAsiaTheme="minorEastAsia" w:hAnsi="Cambria Math" w:cs="Arial"/>
                    <w:lang w:val="it-IT"/>
                  </w:rPr>
                  <m:t>3</m:t>
                </m:r>
              </m:sup>
            </m:sSup>
          </m:num>
          <m:den>
            <m:r>
              <m:rPr>
                <m:nor/>
              </m:rPr>
              <w:rPr>
                <w:rFonts w:ascii="Cambria Math" w:eastAsiaTheme="minorEastAsia" w:hAnsi="Cambria Math" w:cs="Arial"/>
                <w:lang w:val="it-IT"/>
              </w:rPr>
              <m:t>mol</m:t>
            </m:r>
          </m:den>
        </m:f>
      </m:oMath>
    </w:p>
    <w:p w14:paraId="3F9C66CA" w14:textId="53103036" w:rsidR="002F5BB0" w:rsidRPr="009E513A" w:rsidRDefault="00000000" w:rsidP="002F5BB0">
      <w:pPr>
        <w:pStyle w:val="CETBodytext"/>
        <w:jc w:val="left"/>
        <w:rPr>
          <w:rFonts w:eastAsia="SimSun"/>
        </w:rPr>
      </w:pPr>
      <m:oMath>
        <m:sSub>
          <m:sSubPr>
            <m:ctrlPr>
              <w:rPr>
                <w:rFonts w:ascii="Cambria Math" w:eastAsiaTheme="minorEastAsia" w:hAnsi="Cambria Math" w:cs="Arial"/>
              </w:rPr>
            </m:ctrlPr>
          </m:sSubPr>
          <m:e>
            <m:r>
              <w:rPr>
                <w:rFonts w:ascii="Cambria Math" w:eastAsiaTheme="minorEastAsia" w:hAnsi="Cambria Math" w:cs="Arial"/>
              </w:rPr>
              <m:t>Z</m:t>
            </m:r>
          </m:e>
          <m:sub>
            <m:r>
              <w:rPr>
                <w:rFonts w:ascii="Cambria Math" w:eastAsiaTheme="minorEastAsia" w:hAnsi="Cambria Math" w:cs="Arial"/>
              </w:rPr>
              <m:t>c</m:t>
            </m:r>
          </m:sub>
        </m:sSub>
      </m:oMath>
      <w:r w:rsidR="002F5BB0" w:rsidRPr="009E513A">
        <w:rPr>
          <w:rFonts w:eastAsia="SimSun"/>
        </w:rPr>
        <w:t xml:space="preserve"> – </w:t>
      </w:r>
      <w:r w:rsidR="009E513A" w:rsidRPr="009E513A">
        <w:rPr>
          <w:rFonts w:eastAsia="SimSun"/>
        </w:rPr>
        <w:t>Compressibility factor</w:t>
      </w:r>
      <w:r w:rsidR="009E513A" w:rsidRPr="00280FAF">
        <w:rPr>
          <w:rFonts w:eastAsia="SimSun"/>
        </w:rPr>
        <w:t>,</w:t>
      </w:r>
      <w:r w:rsidR="009E513A">
        <w:rPr>
          <w:rFonts w:eastAsia="SimSun"/>
        </w:rPr>
        <w:t xml:space="preserve"> </w:t>
      </w:r>
      <w:r w:rsidR="009E513A" w:rsidRPr="00280FAF">
        <w:rPr>
          <w:rFonts w:eastAsia="SimSun"/>
        </w:rPr>
        <w:t>-</w:t>
      </w:r>
    </w:p>
    <w:p w14:paraId="6E2028E0" w14:textId="73A31BE8" w:rsidR="002F5BB0" w:rsidRPr="00280FAF" w:rsidRDefault="00000000" w:rsidP="002F5BB0">
      <w:pPr>
        <w:pStyle w:val="CETBodytext"/>
        <w:jc w:val="left"/>
        <w:rPr>
          <w:rFonts w:eastAsia="SimSun"/>
        </w:rPr>
      </w:pPr>
      <m:oMath>
        <m:sSub>
          <m:sSubPr>
            <m:ctrlPr>
              <w:rPr>
                <w:rFonts w:ascii="Cambria Math" w:eastAsiaTheme="minorEastAsia" w:hAnsi="Cambria Math" w:cs="Arial"/>
                <w:i/>
              </w:rPr>
            </m:ctrlPr>
          </m:sSubPr>
          <m:e>
            <m:r>
              <w:rPr>
                <w:rFonts w:ascii="Cambria Math" w:eastAsiaTheme="minorEastAsia" w:hAnsi="Cambria Math" w:cs="Arial"/>
              </w:rPr>
              <m:t>T</m:t>
            </m:r>
          </m:e>
          <m:sub>
            <m:r>
              <w:rPr>
                <w:rFonts w:ascii="Cambria Math" w:eastAsiaTheme="minorEastAsia" w:hAnsi="Cambria Math" w:cs="Arial"/>
              </w:rPr>
              <m:t>R</m:t>
            </m:r>
          </m:sub>
        </m:sSub>
      </m:oMath>
      <w:r w:rsidR="002F5BB0" w:rsidRPr="00280FAF">
        <w:rPr>
          <w:rFonts w:eastAsia="SimSun"/>
        </w:rPr>
        <w:t xml:space="preserve"> – </w:t>
      </w:r>
      <w:r w:rsidR="009E513A">
        <w:rPr>
          <w:rFonts w:eastAsia="SimSun"/>
        </w:rPr>
        <w:t>Reduced temperature</w:t>
      </w:r>
      <w:r w:rsidR="009E513A" w:rsidRPr="00280FAF">
        <w:rPr>
          <w:rFonts w:eastAsia="SimSun"/>
        </w:rPr>
        <w:t>,</w:t>
      </w:r>
      <w:r w:rsidR="009E513A">
        <w:rPr>
          <w:rFonts w:eastAsia="SimSun"/>
        </w:rPr>
        <w:t xml:space="preserve"> </w:t>
      </w:r>
      <w:r w:rsidR="009E513A" w:rsidRPr="00280FAF">
        <w:rPr>
          <w:rFonts w:eastAsia="SimSun"/>
        </w:rPr>
        <w:t>-</w:t>
      </w:r>
    </w:p>
    <w:p w14:paraId="62CCFCE1" w14:textId="61E79609" w:rsidR="002F5BB0" w:rsidRPr="00280FAF" w:rsidRDefault="009E513A" w:rsidP="002F5BB0">
      <w:pPr>
        <w:pStyle w:val="CETBodytext"/>
        <w:jc w:val="left"/>
        <w:rPr>
          <w:rFonts w:eastAsia="SimSun"/>
        </w:rPr>
      </w:pPr>
      <m:oMath>
        <m:r>
          <w:rPr>
            <w:rFonts w:ascii="Cambria Math" w:eastAsiaTheme="minorEastAsia" w:hAnsi="Cambria Math" w:cs="Arial"/>
            <w:szCs w:val="18"/>
          </w:rPr>
          <m:t>ω</m:t>
        </m:r>
      </m:oMath>
      <w:r w:rsidR="002F5BB0" w:rsidRPr="00280FAF">
        <w:rPr>
          <w:rFonts w:eastAsia="SimSun"/>
          <w:lang w:val="el-GR"/>
        </w:rPr>
        <w:t xml:space="preserve"> </w:t>
      </w:r>
      <w:r>
        <w:rPr>
          <w:rFonts w:eastAsia="SimSun"/>
          <w:lang w:val="el-GR"/>
        </w:rPr>
        <w:t>–</w:t>
      </w:r>
      <w:r w:rsidR="002F5BB0" w:rsidRPr="00280FAF">
        <w:rPr>
          <w:rFonts w:eastAsia="SimSun"/>
          <w:lang w:val="el-GR"/>
        </w:rPr>
        <w:t xml:space="preserve"> </w:t>
      </w:r>
      <w:r>
        <w:rPr>
          <w:rFonts w:eastAsia="SimSun"/>
        </w:rPr>
        <w:t>Acentric factor</w:t>
      </w:r>
      <w:r w:rsidRPr="00280FAF">
        <w:rPr>
          <w:rFonts w:eastAsia="SimSun"/>
        </w:rPr>
        <w:t>,</w:t>
      </w:r>
      <w:r>
        <w:rPr>
          <w:rFonts w:eastAsia="SimSun"/>
        </w:rPr>
        <w:t xml:space="preserve"> </w:t>
      </w:r>
      <w:r w:rsidRPr="00280FAF">
        <w:rPr>
          <w:rFonts w:eastAsia="SimSun"/>
        </w:rPr>
        <w:t>-</w:t>
      </w:r>
    </w:p>
    <w:p w14:paraId="5D700A78" w14:textId="61F6C3C2" w:rsidR="000758BB" w:rsidRDefault="00600535" w:rsidP="00DB09AC">
      <w:pPr>
        <w:pStyle w:val="CETReference"/>
      </w:pPr>
      <w:r w:rsidRPr="00B57B36">
        <w:t>References</w:t>
      </w:r>
    </w:p>
    <w:p w14:paraId="534ABF46" w14:textId="77777777" w:rsidR="00945890" w:rsidRDefault="00945890" w:rsidP="00945890">
      <w:pPr>
        <w:pStyle w:val="CETReferencetext"/>
        <w:rPr>
          <w:rFonts w:cs="Arial"/>
        </w:rPr>
      </w:pPr>
      <w:r w:rsidRPr="00DC2132">
        <w:t>Aasen A., Hammer M., Lasala S., Jaubert J.</w:t>
      </w:r>
      <w:r w:rsidRPr="00DC33C0">
        <w:t>-</w:t>
      </w:r>
      <w:r w:rsidRPr="00DC2132">
        <w:t xml:space="preserve">N., Wilhelmsen </w:t>
      </w:r>
      <w:r w:rsidRPr="00DC2132">
        <w:rPr>
          <w:rFonts w:cs="Arial"/>
        </w:rPr>
        <w:t>Ø., 2020, Accurate Q</w:t>
      </w:r>
      <w:r>
        <w:rPr>
          <w:rFonts w:cs="Arial"/>
        </w:rPr>
        <w:t>uantum-Corrected Cubic Equations of State for Helium, Neon, Hydrogen, Deuterium and Their Mixtures, Fluid Phase Equilibria, 524, 112790.</w:t>
      </w:r>
    </w:p>
    <w:p w14:paraId="678CEA83" w14:textId="521B9428" w:rsidR="00945890" w:rsidRPr="00A50522" w:rsidRDefault="00945890" w:rsidP="00945890">
      <w:pPr>
        <w:pStyle w:val="CETReferencetext"/>
        <w:rPr>
          <w:rFonts w:cs="Arial"/>
          <w:lang w:val="en-US"/>
        </w:rPr>
      </w:pPr>
      <w:r w:rsidRPr="00CD4F67">
        <w:rPr>
          <w:rFonts w:cs="Arial"/>
          <w:lang w:val="en-US"/>
        </w:rPr>
        <w:t>Arp</w:t>
      </w:r>
      <w:r w:rsidR="00513E32">
        <w:rPr>
          <w:rFonts w:cs="Arial"/>
          <w:lang w:val="en-US"/>
        </w:rPr>
        <w:t xml:space="preserve"> V., </w:t>
      </w:r>
      <w:r w:rsidRPr="00CD4F67">
        <w:rPr>
          <w:rFonts w:cs="Arial"/>
          <w:lang w:val="en-US"/>
        </w:rPr>
        <w:t>Mc</w:t>
      </w:r>
      <w:r w:rsidR="009D72BF">
        <w:rPr>
          <w:rFonts w:cs="Arial"/>
          <w:lang w:val="en-US"/>
        </w:rPr>
        <w:t>C</w:t>
      </w:r>
      <w:r w:rsidRPr="00CD4F67">
        <w:rPr>
          <w:rFonts w:cs="Arial"/>
          <w:lang w:val="en-US"/>
        </w:rPr>
        <w:t>art</w:t>
      </w:r>
      <w:r w:rsidR="00513E32">
        <w:rPr>
          <w:rFonts w:cs="Arial"/>
          <w:lang w:val="en-US"/>
        </w:rPr>
        <w:t>y R., 1989,</w:t>
      </w:r>
      <w:r w:rsidRPr="00CD4F67">
        <w:rPr>
          <w:rFonts w:cs="Arial"/>
          <w:lang w:val="en-US"/>
        </w:rPr>
        <w:t xml:space="preserve"> Thermophysical </w:t>
      </w:r>
      <w:r w:rsidR="00513E32">
        <w:rPr>
          <w:rFonts w:cs="Arial"/>
          <w:lang w:val="en-US"/>
        </w:rPr>
        <w:t>P</w:t>
      </w:r>
      <w:r w:rsidRPr="00CD4F67">
        <w:rPr>
          <w:rFonts w:cs="Arial"/>
          <w:lang w:val="en-US"/>
        </w:rPr>
        <w:t xml:space="preserve">roperties of Helium-4 from 0.8 to 1500 K with </w:t>
      </w:r>
      <w:r w:rsidR="00513E32">
        <w:rPr>
          <w:rFonts w:cs="Arial"/>
          <w:lang w:val="en-US"/>
        </w:rPr>
        <w:t>P</w:t>
      </w:r>
      <w:r w:rsidRPr="00CD4F67">
        <w:rPr>
          <w:rFonts w:cs="Arial"/>
          <w:lang w:val="en-US"/>
        </w:rPr>
        <w:t>ressures to 2000 MPa</w:t>
      </w:r>
      <w:r>
        <w:rPr>
          <w:rFonts w:cs="Arial"/>
          <w:lang w:val="en-US"/>
        </w:rPr>
        <w:t>, United States.</w:t>
      </w:r>
    </w:p>
    <w:p w14:paraId="692D56D5" w14:textId="77777777" w:rsidR="00513E32" w:rsidRPr="00DD5D7C" w:rsidRDefault="00513E32" w:rsidP="00513E32">
      <w:pPr>
        <w:pStyle w:val="CETReferencetext"/>
        <w:rPr>
          <w:rFonts w:cs="Arial"/>
          <w:lang w:val="en-US"/>
        </w:rPr>
      </w:pPr>
      <w:r w:rsidRPr="00D46D41">
        <w:rPr>
          <w:rFonts w:cs="Arial"/>
          <w:lang w:val="en-US"/>
        </w:rPr>
        <w:t xml:space="preserve">Clausius R., 1880, On the </w:t>
      </w:r>
      <w:proofErr w:type="spellStart"/>
      <w:r>
        <w:rPr>
          <w:rFonts w:cs="Arial"/>
          <w:lang w:val="en-US"/>
        </w:rPr>
        <w:t>B</w:t>
      </w:r>
      <w:r w:rsidRPr="00D46D41">
        <w:rPr>
          <w:rFonts w:cs="Arial"/>
          <w:lang w:val="en-US"/>
        </w:rPr>
        <w:t>ehaviour</w:t>
      </w:r>
      <w:proofErr w:type="spellEnd"/>
      <w:r w:rsidRPr="00D46D41">
        <w:rPr>
          <w:rFonts w:cs="Arial"/>
          <w:lang w:val="en-US"/>
        </w:rPr>
        <w:t xml:space="preserve"> of </w:t>
      </w:r>
      <w:r>
        <w:rPr>
          <w:rFonts w:cs="Arial"/>
          <w:lang w:val="en-US"/>
        </w:rPr>
        <w:t>C</w:t>
      </w:r>
      <w:r w:rsidRPr="00D46D41">
        <w:rPr>
          <w:rFonts w:cs="Arial"/>
          <w:lang w:val="en-US"/>
        </w:rPr>
        <w:t xml:space="preserve">arbonic </w:t>
      </w:r>
      <w:r>
        <w:rPr>
          <w:rFonts w:cs="Arial"/>
          <w:lang w:val="en-US"/>
        </w:rPr>
        <w:t>A</w:t>
      </w:r>
      <w:r w:rsidRPr="00D46D41">
        <w:rPr>
          <w:rFonts w:cs="Arial"/>
          <w:lang w:val="en-US"/>
        </w:rPr>
        <w:t xml:space="preserve">cid in </w:t>
      </w:r>
      <w:r>
        <w:rPr>
          <w:rFonts w:cs="Arial"/>
          <w:lang w:val="en-US"/>
        </w:rPr>
        <w:t>R</w:t>
      </w:r>
      <w:r w:rsidRPr="00D46D41">
        <w:rPr>
          <w:rFonts w:cs="Arial"/>
          <w:lang w:val="en-US"/>
        </w:rPr>
        <w:t xml:space="preserve">elation to </w:t>
      </w:r>
      <w:r>
        <w:rPr>
          <w:rFonts w:cs="Arial"/>
          <w:lang w:val="en-US"/>
        </w:rPr>
        <w:t>P</w:t>
      </w:r>
      <w:r w:rsidRPr="00D46D41">
        <w:rPr>
          <w:rFonts w:cs="Arial"/>
          <w:lang w:val="en-US"/>
        </w:rPr>
        <w:t xml:space="preserve">ressure, </w:t>
      </w:r>
      <w:r>
        <w:rPr>
          <w:rFonts w:cs="Arial"/>
          <w:lang w:val="en-US"/>
        </w:rPr>
        <w:t>V</w:t>
      </w:r>
      <w:r w:rsidRPr="00D46D41">
        <w:rPr>
          <w:rFonts w:cs="Arial"/>
          <w:lang w:val="en-US"/>
        </w:rPr>
        <w:t xml:space="preserve">olume and </w:t>
      </w:r>
      <w:r>
        <w:rPr>
          <w:rFonts w:cs="Arial"/>
          <w:lang w:val="en-US"/>
        </w:rPr>
        <w:t>T</w:t>
      </w:r>
      <w:r w:rsidRPr="00D46D41">
        <w:rPr>
          <w:rFonts w:cs="Arial"/>
          <w:lang w:val="en-US"/>
        </w:rPr>
        <w:t>emperature</w:t>
      </w:r>
      <w:r>
        <w:rPr>
          <w:rFonts w:cs="Arial"/>
          <w:lang w:val="en-US"/>
        </w:rPr>
        <w:t xml:space="preserve">, </w:t>
      </w:r>
      <w:r w:rsidRPr="00D46D41">
        <w:rPr>
          <w:rFonts w:cs="Arial"/>
          <w:lang w:val="en-US"/>
        </w:rPr>
        <w:t xml:space="preserve">Annalen Der </w:t>
      </w:r>
      <w:proofErr w:type="spellStart"/>
      <w:r w:rsidRPr="00D46D41">
        <w:rPr>
          <w:rFonts w:cs="Arial"/>
          <w:lang w:val="en-US"/>
        </w:rPr>
        <w:t>Physik</w:t>
      </w:r>
      <w:proofErr w:type="spellEnd"/>
      <w:r w:rsidRPr="00D46D41">
        <w:rPr>
          <w:rFonts w:cs="Arial"/>
          <w:lang w:val="en-US"/>
        </w:rPr>
        <w:t xml:space="preserve"> Und </w:t>
      </w:r>
      <w:proofErr w:type="spellStart"/>
      <w:r w:rsidRPr="00D46D41">
        <w:rPr>
          <w:rFonts w:cs="Arial"/>
          <w:lang w:val="en-US"/>
        </w:rPr>
        <w:t>Chemie</w:t>
      </w:r>
      <w:proofErr w:type="spellEnd"/>
      <w:r w:rsidRPr="00D46D41">
        <w:rPr>
          <w:rFonts w:cs="Arial"/>
          <w:lang w:val="en-US"/>
        </w:rPr>
        <w:t xml:space="preserve">, 245(3), 337–357. </w:t>
      </w:r>
      <w:r w:rsidRPr="00DD5D7C">
        <w:rPr>
          <w:rFonts w:cs="Arial"/>
          <w:lang w:val="en-US"/>
        </w:rPr>
        <w:t>(in German)</w:t>
      </w:r>
    </w:p>
    <w:p w14:paraId="0B691C79" w14:textId="77777777" w:rsidR="00513E32" w:rsidRDefault="00513E32" w:rsidP="00513E32">
      <w:pPr>
        <w:pStyle w:val="CETReferencetext"/>
        <w:rPr>
          <w:rFonts w:cs="Arial"/>
          <w:lang w:val="en-US"/>
        </w:rPr>
      </w:pPr>
      <w:r w:rsidRPr="00A50522">
        <w:rPr>
          <w:rFonts w:cs="Arial"/>
          <w:lang w:val="en-US"/>
        </w:rPr>
        <w:t xml:space="preserve">Donnelly R.J., </w:t>
      </w:r>
      <w:proofErr w:type="spellStart"/>
      <w:r w:rsidRPr="00A50522">
        <w:rPr>
          <w:rFonts w:cs="Arial"/>
          <w:lang w:val="en-US"/>
        </w:rPr>
        <w:t>Barenghi</w:t>
      </w:r>
      <w:proofErr w:type="spellEnd"/>
      <w:r w:rsidRPr="00A50522">
        <w:rPr>
          <w:rFonts w:cs="Arial"/>
          <w:lang w:val="en-US"/>
        </w:rPr>
        <w:t>, C.F.,</w:t>
      </w:r>
      <w:r>
        <w:rPr>
          <w:rFonts w:cs="Arial"/>
          <w:lang w:val="en-US"/>
        </w:rPr>
        <w:t xml:space="preserve"> 1998, </w:t>
      </w:r>
      <w:r w:rsidRPr="00A50522">
        <w:rPr>
          <w:rFonts w:cs="Arial"/>
          <w:lang w:val="en-US"/>
        </w:rPr>
        <w:t>The Observed Properties of Liquid Helium at the Saturated Vapor Pressure. Journal of Physical and Chemical Reference Data, 27(6), 1217–1274.</w:t>
      </w:r>
    </w:p>
    <w:p w14:paraId="1F928DA3" w14:textId="77777777" w:rsidR="00513E32" w:rsidRDefault="00513E32" w:rsidP="00513E32">
      <w:pPr>
        <w:pStyle w:val="CETReferencetext"/>
      </w:pPr>
      <w:r>
        <w:t>Gow A.S., 1993, A Modified Clausius Equation of State for Calculation of Multicomponent Refrigerant Vapor-Liquid Equilibria, Fluid Phase Equilibria, 90, 219</w:t>
      </w:r>
      <w:r w:rsidRPr="00DC33C0">
        <w:t>–</w:t>
      </w:r>
      <w:r>
        <w:t>249.</w:t>
      </w:r>
    </w:p>
    <w:p w14:paraId="129D9CC4" w14:textId="77777777" w:rsidR="00513E32" w:rsidRDefault="00513E32" w:rsidP="00513E32">
      <w:pPr>
        <w:pStyle w:val="CETReferencetext"/>
      </w:pPr>
      <w:r>
        <w:t xml:space="preserve">Mathias P.M., </w:t>
      </w:r>
      <w:proofErr w:type="spellStart"/>
      <w:r>
        <w:t>Naheiri</w:t>
      </w:r>
      <w:proofErr w:type="spellEnd"/>
      <w:r>
        <w:t xml:space="preserve"> T., Oh E.M., 1989, A Density Correction for the Peng-Robinson Equation of State, Fluid Phase Equilibria, 47, 77</w:t>
      </w:r>
      <w:r w:rsidRPr="00DC33C0">
        <w:t>–</w:t>
      </w:r>
      <w:r>
        <w:t>87.</w:t>
      </w:r>
    </w:p>
    <w:p w14:paraId="4393BA42" w14:textId="77777777" w:rsidR="00513E32" w:rsidRDefault="00513E32" w:rsidP="00513E32">
      <w:pPr>
        <w:pStyle w:val="CETReferencetext"/>
        <w:rPr>
          <w:rFonts w:cs="Arial"/>
          <w:lang w:val="en-US"/>
        </w:rPr>
      </w:pPr>
      <w:r w:rsidRPr="002D556E">
        <w:rPr>
          <w:rFonts w:cs="Arial"/>
          <w:lang w:val="en-US"/>
        </w:rPr>
        <w:t>Melhem</w:t>
      </w:r>
      <w:r>
        <w:rPr>
          <w:rFonts w:cs="Arial"/>
          <w:lang w:val="en-US"/>
        </w:rPr>
        <w:t xml:space="preserve"> </w:t>
      </w:r>
      <w:r w:rsidRPr="002D556E">
        <w:rPr>
          <w:rFonts w:cs="Arial"/>
          <w:lang w:val="en-US"/>
        </w:rPr>
        <w:t>G.A., Saini R.,</w:t>
      </w:r>
      <w:r>
        <w:rPr>
          <w:rFonts w:cs="Arial"/>
          <w:lang w:val="en-US"/>
        </w:rPr>
        <w:t xml:space="preserve"> </w:t>
      </w:r>
      <w:r w:rsidRPr="002D556E">
        <w:rPr>
          <w:rFonts w:cs="Arial"/>
          <w:lang w:val="en-US"/>
        </w:rPr>
        <w:t>Goodwin B.M.</w:t>
      </w:r>
      <w:r>
        <w:rPr>
          <w:rFonts w:cs="Arial"/>
          <w:lang w:val="en-US"/>
        </w:rPr>
        <w:t>, 1989,</w:t>
      </w:r>
      <w:r w:rsidRPr="002D556E">
        <w:rPr>
          <w:rFonts w:cs="Arial"/>
          <w:lang w:val="en-US"/>
        </w:rPr>
        <w:t xml:space="preserve"> A </w:t>
      </w:r>
      <w:r>
        <w:rPr>
          <w:rFonts w:cs="Arial"/>
          <w:lang w:val="en-US"/>
        </w:rPr>
        <w:t>M</w:t>
      </w:r>
      <w:r w:rsidRPr="002D556E">
        <w:rPr>
          <w:rFonts w:cs="Arial"/>
          <w:lang w:val="en-US"/>
        </w:rPr>
        <w:t xml:space="preserve">odified Peng-Robinson </w:t>
      </w:r>
      <w:r>
        <w:rPr>
          <w:rFonts w:cs="Arial"/>
          <w:lang w:val="en-US"/>
        </w:rPr>
        <w:t>E</w:t>
      </w:r>
      <w:r w:rsidRPr="002D556E">
        <w:rPr>
          <w:rFonts w:cs="Arial"/>
          <w:lang w:val="en-US"/>
        </w:rPr>
        <w:t xml:space="preserve">quation of </w:t>
      </w:r>
      <w:r>
        <w:rPr>
          <w:rFonts w:cs="Arial"/>
          <w:lang w:val="en-US"/>
        </w:rPr>
        <w:t>S</w:t>
      </w:r>
      <w:r w:rsidRPr="002D556E">
        <w:rPr>
          <w:rFonts w:cs="Arial"/>
          <w:lang w:val="en-US"/>
        </w:rPr>
        <w:t>tate</w:t>
      </w:r>
      <w:r>
        <w:rPr>
          <w:rFonts w:cs="Arial"/>
          <w:lang w:val="en-US"/>
        </w:rPr>
        <w:t xml:space="preserve">, </w:t>
      </w:r>
      <w:r w:rsidRPr="002D556E">
        <w:rPr>
          <w:rFonts w:cs="Arial"/>
          <w:lang w:val="en-US"/>
        </w:rPr>
        <w:t>Fluid Phase Equilibria, 47(2-3), 189–237.</w:t>
      </w:r>
    </w:p>
    <w:p w14:paraId="614EA720" w14:textId="77777777" w:rsidR="006D3A36" w:rsidRDefault="006D3A36" w:rsidP="006D3A36">
      <w:pPr>
        <w:pStyle w:val="CETReferencetext"/>
      </w:pPr>
      <w:r w:rsidRPr="00E509B2">
        <w:t>Peng D.Y.</w:t>
      </w:r>
      <w:r>
        <w:t>,</w:t>
      </w:r>
      <w:r w:rsidRPr="00E509B2">
        <w:t xml:space="preserve"> Robinson D.B., 1976, A New Two-Constant Equation of State</w:t>
      </w:r>
      <w:r>
        <w:t>,</w:t>
      </w:r>
      <w:r w:rsidRPr="00E509B2">
        <w:t xml:space="preserve"> </w:t>
      </w:r>
      <w:r>
        <w:t xml:space="preserve">Industrial and Engineering Chemistry Fundamentals, </w:t>
      </w:r>
      <w:r w:rsidRPr="00E509B2">
        <w:t>15, 59</w:t>
      </w:r>
      <w:r w:rsidRPr="00DC33C0">
        <w:t>–</w:t>
      </w:r>
      <w:r>
        <w:t>64</w:t>
      </w:r>
      <w:r w:rsidRPr="00E509B2">
        <w:t>.</w:t>
      </w:r>
    </w:p>
    <w:p w14:paraId="216E6E5D" w14:textId="77777777" w:rsidR="006D3A36" w:rsidRDefault="006D3A36" w:rsidP="006D3A36">
      <w:pPr>
        <w:pStyle w:val="CETReferencetext"/>
      </w:pPr>
      <w:r w:rsidRPr="00DC33C0">
        <w:t>Soave G., 1972, Equilibrium Constants from a Modified Redlich-Kwong Equation of State, Chemical Engineering Science, 27, 1197–1203.</w:t>
      </w:r>
    </w:p>
    <w:p w14:paraId="42619FAF" w14:textId="6E4DB0F7" w:rsidR="006D3A36" w:rsidRDefault="006D3A36" w:rsidP="000758BB">
      <w:pPr>
        <w:pStyle w:val="CETReferencetext"/>
      </w:pPr>
      <w:proofErr w:type="spellStart"/>
      <w:r>
        <w:t>Stryjek</w:t>
      </w:r>
      <w:proofErr w:type="spellEnd"/>
      <w:r>
        <w:t xml:space="preserve"> R., Vera J.H., 1986, PRSV: </w:t>
      </w:r>
      <w:r w:rsidR="000758BB">
        <w:t>An Improved Peng</w:t>
      </w:r>
      <w:r w:rsidR="000758BB" w:rsidRPr="00DC33C0">
        <w:t>-</w:t>
      </w:r>
      <w:r w:rsidR="000758BB">
        <w:t>Robinson Equation of State for Pure Compounds and Mixtures</w:t>
      </w:r>
      <w:r>
        <w:t>,</w:t>
      </w:r>
      <w:r w:rsidR="000758BB">
        <w:t xml:space="preserve"> </w:t>
      </w:r>
      <w:r>
        <w:t xml:space="preserve">The Canadian Journal of Chemical Engineering, 64, </w:t>
      </w:r>
      <w:r w:rsidR="000758BB">
        <w:t>323</w:t>
      </w:r>
      <w:r w:rsidR="000758BB" w:rsidRPr="00DC33C0">
        <w:t>–</w:t>
      </w:r>
      <w:r w:rsidR="000758BB">
        <w:t>333</w:t>
      </w:r>
      <w:r>
        <w:t>.</w:t>
      </w:r>
    </w:p>
    <w:p w14:paraId="7598CB6D" w14:textId="0BF48F5A" w:rsidR="00945890" w:rsidRPr="00A50522" w:rsidRDefault="007F65E8">
      <w:pPr>
        <w:pStyle w:val="CETReferencetext"/>
        <w:rPr>
          <w:rFonts w:cs="Arial"/>
          <w:lang w:val="en-US"/>
        </w:rPr>
      </w:pPr>
      <w:proofErr w:type="spellStart"/>
      <w:r>
        <w:rPr>
          <w:rFonts w:cs="Arial"/>
          <w:lang w:val="en-US"/>
        </w:rPr>
        <w:t>Twu</w:t>
      </w:r>
      <w:proofErr w:type="spellEnd"/>
      <w:r>
        <w:rPr>
          <w:rFonts w:cs="Arial"/>
          <w:lang w:val="en-US"/>
        </w:rPr>
        <w:t xml:space="preserve"> C.H., Bluck D., Cunningham J.R., Coon J.E</w:t>
      </w:r>
      <w:r w:rsidR="007A57F9">
        <w:rPr>
          <w:rFonts w:cs="Arial"/>
          <w:lang w:val="en-US"/>
        </w:rPr>
        <w:t>.</w:t>
      </w:r>
      <w:r>
        <w:rPr>
          <w:rFonts w:cs="Arial"/>
          <w:lang w:val="en-US"/>
        </w:rPr>
        <w:t>,</w:t>
      </w:r>
      <w:r w:rsidR="007A57F9">
        <w:rPr>
          <w:rFonts w:cs="Arial"/>
          <w:lang w:val="en-US"/>
        </w:rPr>
        <w:t xml:space="preserve"> </w:t>
      </w:r>
      <w:r>
        <w:rPr>
          <w:rFonts w:cs="Arial"/>
          <w:lang w:val="en-US"/>
        </w:rPr>
        <w:t xml:space="preserve">1991, A Cubic Equation of State with a New Alpha Function and a New Mixing Rule, Fluid Phase Equilibria, 69, </w:t>
      </w:r>
      <w:r>
        <w:t>33</w:t>
      </w:r>
      <w:r w:rsidRPr="00DC33C0">
        <w:t>–</w:t>
      </w:r>
      <w:r w:rsidR="009B156B">
        <w:t>50</w:t>
      </w:r>
      <w:r>
        <w:t>.</w:t>
      </w:r>
    </w:p>
    <w:sectPr w:rsidR="00945890" w:rsidRPr="00A5052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CB8F8" w14:textId="77777777" w:rsidR="00326F83" w:rsidRDefault="00326F83" w:rsidP="004F5E36">
      <w:r>
        <w:separator/>
      </w:r>
    </w:p>
  </w:endnote>
  <w:endnote w:type="continuationSeparator" w:id="0">
    <w:p w14:paraId="5DE62968" w14:textId="77777777" w:rsidR="00326F83" w:rsidRDefault="00326F8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MU Serif">
    <w:panose1 w:val="02000603000000000000"/>
    <w:charset w:val="00"/>
    <w:family w:val="auto"/>
    <w:pitch w:val="variable"/>
    <w:sig w:usb0="E10002FF" w:usb1="5201E9EB" w:usb2="02020004"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4D9FC" w14:textId="77777777" w:rsidR="00326F83" w:rsidRDefault="00326F83" w:rsidP="004F5E36">
      <w:r>
        <w:separator/>
      </w:r>
    </w:p>
  </w:footnote>
  <w:footnote w:type="continuationSeparator" w:id="0">
    <w:p w14:paraId="7A5A7740" w14:textId="77777777" w:rsidR="00326F83" w:rsidRDefault="00326F8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6B8C7CA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57CA"/>
    <w:rsid w:val="0003148D"/>
    <w:rsid w:val="00031EEC"/>
    <w:rsid w:val="00034F19"/>
    <w:rsid w:val="00051566"/>
    <w:rsid w:val="000562A9"/>
    <w:rsid w:val="00062963"/>
    <w:rsid w:val="00062A9A"/>
    <w:rsid w:val="00065058"/>
    <w:rsid w:val="00071109"/>
    <w:rsid w:val="000758BB"/>
    <w:rsid w:val="00086C39"/>
    <w:rsid w:val="00087D07"/>
    <w:rsid w:val="00093D85"/>
    <w:rsid w:val="000A03B2"/>
    <w:rsid w:val="000A2B84"/>
    <w:rsid w:val="000A6A6B"/>
    <w:rsid w:val="000C77A3"/>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2AA7"/>
    <w:rsid w:val="00184AD6"/>
    <w:rsid w:val="001A4AF7"/>
    <w:rsid w:val="001B0349"/>
    <w:rsid w:val="001B1E93"/>
    <w:rsid w:val="001B65C1"/>
    <w:rsid w:val="001B7C8D"/>
    <w:rsid w:val="001C260F"/>
    <w:rsid w:val="001C5C3A"/>
    <w:rsid w:val="001C643B"/>
    <w:rsid w:val="001C684B"/>
    <w:rsid w:val="001D0CFB"/>
    <w:rsid w:val="001D21AF"/>
    <w:rsid w:val="001D3D32"/>
    <w:rsid w:val="001D53FC"/>
    <w:rsid w:val="001F42A5"/>
    <w:rsid w:val="001F7B9D"/>
    <w:rsid w:val="00201C93"/>
    <w:rsid w:val="002129FF"/>
    <w:rsid w:val="002224B4"/>
    <w:rsid w:val="002447EF"/>
    <w:rsid w:val="00251550"/>
    <w:rsid w:val="00255608"/>
    <w:rsid w:val="00263350"/>
    <w:rsid w:val="00263B05"/>
    <w:rsid w:val="0027221A"/>
    <w:rsid w:val="00272F51"/>
    <w:rsid w:val="00275AAB"/>
    <w:rsid w:val="00275B61"/>
    <w:rsid w:val="00280FAF"/>
    <w:rsid w:val="00282656"/>
    <w:rsid w:val="00296B83"/>
    <w:rsid w:val="002B4015"/>
    <w:rsid w:val="002B78CE"/>
    <w:rsid w:val="002C2FB6"/>
    <w:rsid w:val="002D3486"/>
    <w:rsid w:val="002D556E"/>
    <w:rsid w:val="002E43A9"/>
    <w:rsid w:val="002E5FA7"/>
    <w:rsid w:val="002E6AA0"/>
    <w:rsid w:val="002F3309"/>
    <w:rsid w:val="002F5BB0"/>
    <w:rsid w:val="003008CE"/>
    <w:rsid w:val="003009B7"/>
    <w:rsid w:val="00300E56"/>
    <w:rsid w:val="0030152C"/>
    <w:rsid w:val="0030469C"/>
    <w:rsid w:val="00304CE8"/>
    <w:rsid w:val="00321CA6"/>
    <w:rsid w:val="00323763"/>
    <w:rsid w:val="00323C5F"/>
    <w:rsid w:val="00326F83"/>
    <w:rsid w:val="00334C09"/>
    <w:rsid w:val="00341C09"/>
    <w:rsid w:val="00344566"/>
    <w:rsid w:val="0035580F"/>
    <w:rsid w:val="00363C15"/>
    <w:rsid w:val="003723D4"/>
    <w:rsid w:val="00381905"/>
    <w:rsid w:val="00384CC8"/>
    <w:rsid w:val="003871FD"/>
    <w:rsid w:val="003A1E30"/>
    <w:rsid w:val="003A2829"/>
    <w:rsid w:val="003A7D1C"/>
    <w:rsid w:val="003B304B"/>
    <w:rsid w:val="003B3146"/>
    <w:rsid w:val="003B49CD"/>
    <w:rsid w:val="003D1E02"/>
    <w:rsid w:val="003F015E"/>
    <w:rsid w:val="003F2471"/>
    <w:rsid w:val="00400414"/>
    <w:rsid w:val="0040203E"/>
    <w:rsid w:val="00406D79"/>
    <w:rsid w:val="0041446B"/>
    <w:rsid w:val="0044071E"/>
    <w:rsid w:val="0044329C"/>
    <w:rsid w:val="00451EDC"/>
    <w:rsid w:val="00453E24"/>
    <w:rsid w:val="00457456"/>
    <w:rsid w:val="004577FE"/>
    <w:rsid w:val="00457B9C"/>
    <w:rsid w:val="0046164A"/>
    <w:rsid w:val="004628D2"/>
    <w:rsid w:val="00462DCD"/>
    <w:rsid w:val="00462E61"/>
    <w:rsid w:val="004648AD"/>
    <w:rsid w:val="004703A9"/>
    <w:rsid w:val="004760DE"/>
    <w:rsid w:val="004763D7"/>
    <w:rsid w:val="0048562E"/>
    <w:rsid w:val="004A004E"/>
    <w:rsid w:val="004A24CF"/>
    <w:rsid w:val="004B4239"/>
    <w:rsid w:val="004C3D1D"/>
    <w:rsid w:val="004C3D84"/>
    <w:rsid w:val="004C7913"/>
    <w:rsid w:val="004E4DD6"/>
    <w:rsid w:val="004F5E36"/>
    <w:rsid w:val="00507B47"/>
    <w:rsid w:val="00507BEF"/>
    <w:rsid w:val="00507CC9"/>
    <w:rsid w:val="005119A5"/>
    <w:rsid w:val="00513E32"/>
    <w:rsid w:val="005278B7"/>
    <w:rsid w:val="00532016"/>
    <w:rsid w:val="005346C8"/>
    <w:rsid w:val="0053749D"/>
    <w:rsid w:val="00543E7D"/>
    <w:rsid w:val="00547A68"/>
    <w:rsid w:val="005502B5"/>
    <w:rsid w:val="00552F6A"/>
    <w:rsid w:val="005531C9"/>
    <w:rsid w:val="005536EE"/>
    <w:rsid w:val="00554879"/>
    <w:rsid w:val="005649D8"/>
    <w:rsid w:val="00570C43"/>
    <w:rsid w:val="00571C07"/>
    <w:rsid w:val="00592274"/>
    <w:rsid w:val="005B2110"/>
    <w:rsid w:val="005B350B"/>
    <w:rsid w:val="005B61E6"/>
    <w:rsid w:val="005C77E1"/>
    <w:rsid w:val="005D668A"/>
    <w:rsid w:val="005D6A2F"/>
    <w:rsid w:val="005E0592"/>
    <w:rsid w:val="005E1A82"/>
    <w:rsid w:val="005E794C"/>
    <w:rsid w:val="005F0A28"/>
    <w:rsid w:val="005F0E5E"/>
    <w:rsid w:val="00600535"/>
    <w:rsid w:val="00610CD6"/>
    <w:rsid w:val="00617A6B"/>
    <w:rsid w:val="00620DEE"/>
    <w:rsid w:val="00621F92"/>
    <w:rsid w:val="0062280A"/>
    <w:rsid w:val="006231E1"/>
    <w:rsid w:val="00625639"/>
    <w:rsid w:val="00626342"/>
    <w:rsid w:val="00631B33"/>
    <w:rsid w:val="00636870"/>
    <w:rsid w:val="00636A58"/>
    <w:rsid w:val="0064184D"/>
    <w:rsid w:val="006422CC"/>
    <w:rsid w:val="006447E3"/>
    <w:rsid w:val="00651D18"/>
    <w:rsid w:val="00660E3E"/>
    <w:rsid w:val="00662E74"/>
    <w:rsid w:val="00680C23"/>
    <w:rsid w:val="00682F10"/>
    <w:rsid w:val="00683E23"/>
    <w:rsid w:val="00693766"/>
    <w:rsid w:val="006A3281"/>
    <w:rsid w:val="006A6DE5"/>
    <w:rsid w:val="006B4888"/>
    <w:rsid w:val="006C2E45"/>
    <w:rsid w:val="006C359C"/>
    <w:rsid w:val="006C5579"/>
    <w:rsid w:val="006D3A36"/>
    <w:rsid w:val="006D6E8B"/>
    <w:rsid w:val="006D7209"/>
    <w:rsid w:val="006E737D"/>
    <w:rsid w:val="00707AAC"/>
    <w:rsid w:val="00707DD1"/>
    <w:rsid w:val="00713973"/>
    <w:rsid w:val="00720A24"/>
    <w:rsid w:val="00732386"/>
    <w:rsid w:val="00734B4D"/>
    <w:rsid w:val="0073514D"/>
    <w:rsid w:val="007447F3"/>
    <w:rsid w:val="0075499F"/>
    <w:rsid w:val="007661C8"/>
    <w:rsid w:val="0077098D"/>
    <w:rsid w:val="00775F74"/>
    <w:rsid w:val="00785BF9"/>
    <w:rsid w:val="007931FA"/>
    <w:rsid w:val="00797ADA"/>
    <w:rsid w:val="007A393A"/>
    <w:rsid w:val="007A4861"/>
    <w:rsid w:val="007A57F9"/>
    <w:rsid w:val="007A7BBA"/>
    <w:rsid w:val="007B0C50"/>
    <w:rsid w:val="007B48F9"/>
    <w:rsid w:val="007B6980"/>
    <w:rsid w:val="007C1A43"/>
    <w:rsid w:val="007D0951"/>
    <w:rsid w:val="007D610D"/>
    <w:rsid w:val="007F5689"/>
    <w:rsid w:val="007F65E8"/>
    <w:rsid w:val="0080013E"/>
    <w:rsid w:val="00801759"/>
    <w:rsid w:val="00813288"/>
    <w:rsid w:val="008168FC"/>
    <w:rsid w:val="0082494E"/>
    <w:rsid w:val="00830996"/>
    <w:rsid w:val="00833817"/>
    <w:rsid w:val="008345F1"/>
    <w:rsid w:val="00864AF9"/>
    <w:rsid w:val="00865B07"/>
    <w:rsid w:val="008667EA"/>
    <w:rsid w:val="0087637F"/>
    <w:rsid w:val="00892AD5"/>
    <w:rsid w:val="008A1512"/>
    <w:rsid w:val="008C5689"/>
    <w:rsid w:val="008C6505"/>
    <w:rsid w:val="008D32B9"/>
    <w:rsid w:val="008D42EE"/>
    <w:rsid w:val="008D433B"/>
    <w:rsid w:val="008D4A16"/>
    <w:rsid w:val="008E5084"/>
    <w:rsid w:val="008E5401"/>
    <w:rsid w:val="008E566E"/>
    <w:rsid w:val="0090161A"/>
    <w:rsid w:val="00901EB6"/>
    <w:rsid w:val="009041F8"/>
    <w:rsid w:val="00904C62"/>
    <w:rsid w:val="009112BD"/>
    <w:rsid w:val="00922BA8"/>
    <w:rsid w:val="00924DAC"/>
    <w:rsid w:val="00927058"/>
    <w:rsid w:val="00937844"/>
    <w:rsid w:val="00942750"/>
    <w:rsid w:val="009450CE"/>
    <w:rsid w:val="00945890"/>
    <w:rsid w:val="009459BB"/>
    <w:rsid w:val="00947179"/>
    <w:rsid w:val="009507B7"/>
    <w:rsid w:val="0095164B"/>
    <w:rsid w:val="00954090"/>
    <w:rsid w:val="009573E7"/>
    <w:rsid w:val="00963E05"/>
    <w:rsid w:val="00964A45"/>
    <w:rsid w:val="00967843"/>
    <w:rsid w:val="00967D54"/>
    <w:rsid w:val="00970F58"/>
    <w:rsid w:val="00971028"/>
    <w:rsid w:val="0097427B"/>
    <w:rsid w:val="009839AD"/>
    <w:rsid w:val="0099351B"/>
    <w:rsid w:val="00993B84"/>
    <w:rsid w:val="00994C6A"/>
    <w:rsid w:val="00996483"/>
    <w:rsid w:val="00996F5A"/>
    <w:rsid w:val="009B041A"/>
    <w:rsid w:val="009B156B"/>
    <w:rsid w:val="009B6E57"/>
    <w:rsid w:val="009C37C3"/>
    <w:rsid w:val="009C7C86"/>
    <w:rsid w:val="009D2FF7"/>
    <w:rsid w:val="009D72BF"/>
    <w:rsid w:val="009E513A"/>
    <w:rsid w:val="009E7884"/>
    <w:rsid w:val="009E788A"/>
    <w:rsid w:val="009F0E08"/>
    <w:rsid w:val="00A079AE"/>
    <w:rsid w:val="00A1763D"/>
    <w:rsid w:val="00A17CEC"/>
    <w:rsid w:val="00A226DF"/>
    <w:rsid w:val="00A27EF0"/>
    <w:rsid w:val="00A4112E"/>
    <w:rsid w:val="00A42361"/>
    <w:rsid w:val="00A50522"/>
    <w:rsid w:val="00A50B20"/>
    <w:rsid w:val="00A51390"/>
    <w:rsid w:val="00A53587"/>
    <w:rsid w:val="00A60D13"/>
    <w:rsid w:val="00A7223D"/>
    <w:rsid w:val="00A72745"/>
    <w:rsid w:val="00A76EFC"/>
    <w:rsid w:val="00A87D50"/>
    <w:rsid w:val="00A91010"/>
    <w:rsid w:val="00A91B56"/>
    <w:rsid w:val="00A97F29"/>
    <w:rsid w:val="00AA702E"/>
    <w:rsid w:val="00AA7D26"/>
    <w:rsid w:val="00AB0964"/>
    <w:rsid w:val="00AB1957"/>
    <w:rsid w:val="00AB5011"/>
    <w:rsid w:val="00AC0D43"/>
    <w:rsid w:val="00AC7368"/>
    <w:rsid w:val="00AD16B9"/>
    <w:rsid w:val="00AD1F73"/>
    <w:rsid w:val="00AE26C8"/>
    <w:rsid w:val="00AE377D"/>
    <w:rsid w:val="00AF0EBA"/>
    <w:rsid w:val="00AF2463"/>
    <w:rsid w:val="00AF749F"/>
    <w:rsid w:val="00B02C8A"/>
    <w:rsid w:val="00B17FBD"/>
    <w:rsid w:val="00B24AB7"/>
    <w:rsid w:val="00B315A6"/>
    <w:rsid w:val="00B31813"/>
    <w:rsid w:val="00B33365"/>
    <w:rsid w:val="00B413F6"/>
    <w:rsid w:val="00B57B36"/>
    <w:rsid w:val="00B57E6F"/>
    <w:rsid w:val="00B61632"/>
    <w:rsid w:val="00B8686D"/>
    <w:rsid w:val="00B8732B"/>
    <w:rsid w:val="00B93F69"/>
    <w:rsid w:val="00BB1DDC"/>
    <w:rsid w:val="00BC0088"/>
    <w:rsid w:val="00BC30C9"/>
    <w:rsid w:val="00BD01DE"/>
    <w:rsid w:val="00BD077D"/>
    <w:rsid w:val="00BE3E58"/>
    <w:rsid w:val="00BF13CE"/>
    <w:rsid w:val="00C01616"/>
    <w:rsid w:val="00C0162B"/>
    <w:rsid w:val="00C068ED"/>
    <w:rsid w:val="00C22E0C"/>
    <w:rsid w:val="00C345B1"/>
    <w:rsid w:val="00C40142"/>
    <w:rsid w:val="00C41AA5"/>
    <w:rsid w:val="00C458AE"/>
    <w:rsid w:val="00C52C3C"/>
    <w:rsid w:val="00C57182"/>
    <w:rsid w:val="00C57863"/>
    <w:rsid w:val="00C640AF"/>
    <w:rsid w:val="00C655FD"/>
    <w:rsid w:val="00C75407"/>
    <w:rsid w:val="00C841C6"/>
    <w:rsid w:val="00C865C3"/>
    <w:rsid w:val="00C870A8"/>
    <w:rsid w:val="00C93273"/>
    <w:rsid w:val="00C94434"/>
    <w:rsid w:val="00CA0D75"/>
    <w:rsid w:val="00CA1C95"/>
    <w:rsid w:val="00CA5A9C"/>
    <w:rsid w:val="00CC4C20"/>
    <w:rsid w:val="00CD3517"/>
    <w:rsid w:val="00CD4F67"/>
    <w:rsid w:val="00CD587B"/>
    <w:rsid w:val="00CD5FE2"/>
    <w:rsid w:val="00CE5615"/>
    <w:rsid w:val="00CE7C68"/>
    <w:rsid w:val="00CF7CD7"/>
    <w:rsid w:val="00D02B4C"/>
    <w:rsid w:val="00D040C4"/>
    <w:rsid w:val="00D14A10"/>
    <w:rsid w:val="00D164B8"/>
    <w:rsid w:val="00D20AD1"/>
    <w:rsid w:val="00D2582C"/>
    <w:rsid w:val="00D340A1"/>
    <w:rsid w:val="00D46B7E"/>
    <w:rsid w:val="00D46D41"/>
    <w:rsid w:val="00D57C84"/>
    <w:rsid w:val="00D6057D"/>
    <w:rsid w:val="00D6408B"/>
    <w:rsid w:val="00D71640"/>
    <w:rsid w:val="00D72285"/>
    <w:rsid w:val="00D836C5"/>
    <w:rsid w:val="00D84576"/>
    <w:rsid w:val="00DA1399"/>
    <w:rsid w:val="00DA24C6"/>
    <w:rsid w:val="00DA3D96"/>
    <w:rsid w:val="00DA4D7B"/>
    <w:rsid w:val="00DB09AC"/>
    <w:rsid w:val="00DC2132"/>
    <w:rsid w:val="00DC2840"/>
    <w:rsid w:val="00DC73EE"/>
    <w:rsid w:val="00DD271C"/>
    <w:rsid w:val="00DD5D7C"/>
    <w:rsid w:val="00DE264A"/>
    <w:rsid w:val="00DE27B6"/>
    <w:rsid w:val="00DF5072"/>
    <w:rsid w:val="00DF6D98"/>
    <w:rsid w:val="00E02D18"/>
    <w:rsid w:val="00E041E7"/>
    <w:rsid w:val="00E14A94"/>
    <w:rsid w:val="00E23CA1"/>
    <w:rsid w:val="00E409A8"/>
    <w:rsid w:val="00E50C12"/>
    <w:rsid w:val="00E644F6"/>
    <w:rsid w:val="00E65B68"/>
    <w:rsid w:val="00E65B91"/>
    <w:rsid w:val="00E7209D"/>
    <w:rsid w:val="00E72EAD"/>
    <w:rsid w:val="00E77063"/>
    <w:rsid w:val="00E77223"/>
    <w:rsid w:val="00E77BD2"/>
    <w:rsid w:val="00E8528B"/>
    <w:rsid w:val="00E85B94"/>
    <w:rsid w:val="00E978D0"/>
    <w:rsid w:val="00EA4613"/>
    <w:rsid w:val="00EA7F91"/>
    <w:rsid w:val="00EB04FF"/>
    <w:rsid w:val="00EB1523"/>
    <w:rsid w:val="00EB16EA"/>
    <w:rsid w:val="00EB2009"/>
    <w:rsid w:val="00EB58CC"/>
    <w:rsid w:val="00EC0E49"/>
    <w:rsid w:val="00EC101F"/>
    <w:rsid w:val="00EC1D9F"/>
    <w:rsid w:val="00EE0131"/>
    <w:rsid w:val="00EE17B0"/>
    <w:rsid w:val="00EE1907"/>
    <w:rsid w:val="00EF06D9"/>
    <w:rsid w:val="00EF0819"/>
    <w:rsid w:val="00F026BA"/>
    <w:rsid w:val="00F03E94"/>
    <w:rsid w:val="00F3049E"/>
    <w:rsid w:val="00F30C64"/>
    <w:rsid w:val="00F320ED"/>
    <w:rsid w:val="00F32BA2"/>
    <w:rsid w:val="00F32CDB"/>
    <w:rsid w:val="00F41EE4"/>
    <w:rsid w:val="00F565FE"/>
    <w:rsid w:val="00F63A70"/>
    <w:rsid w:val="00F63D8C"/>
    <w:rsid w:val="00F7534E"/>
    <w:rsid w:val="00F93EDF"/>
    <w:rsid w:val="00FA1802"/>
    <w:rsid w:val="00FA21D0"/>
    <w:rsid w:val="00FA5F5F"/>
    <w:rsid w:val="00FA6910"/>
    <w:rsid w:val="00FB730C"/>
    <w:rsid w:val="00FC2695"/>
    <w:rsid w:val="00FC3E03"/>
    <w:rsid w:val="00FC3FC1"/>
    <w:rsid w:val="00FC48A7"/>
    <w:rsid w:val="00FE4F3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D3486"/>
    <w:pPr>
      <w:keepNext/>
      <w:numPr>
        <w:ilvl w:val="2"/>
        <w:numId w:val="1"/>
      </w:numPr>
      <w:suppressAutoHyphens/>
      <w:spacing w:before="120" w:after="120" w:line="264"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D348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090461">
      <w:bodyDiv w:val="1"/>
      <w:marLeft w:val="0"/>
      <w:marRight w:val="0"/>
      <w:marTop w:val="0"/>
      <w:marBottom w:val="0"/>
      <w:divBdr>
        <w:top w:val="none" w:sz="0" w:space="0" w:color="auto"/>
        <w:left w:val="none" w:sz="0" w:space="0" w:color="auto"/>
        <w:bottom w:val="none" w:sz="0" w:space="0" w:color="auto"/>
        <w:right w:val="none" w:sz="0" w:space="0" w:color="auto"/>
      </w:divBdr>
    </w:div>
    <w:div w:id="144206611">
      <w:bodyDiv w:val="1"/>
      <w:marLeft w:val="0"/>
      <w:marRight w:val="0"/>
      <w:marTop w:val="0"/>
      <w:marBottom w:val="0"/>
      <w:divBdr>
        <w:top w:val="none" w:sz="0" w:space="0" w:color="auto"/>
        <w:left w:val="none" w:sz="0" w:space="0" w:color="auto"/>
        <w:bottom w:val="none" w:sz="0" w:space="0" w:color="auto"/>
        <w:right w:val="none" w:sz="0" w:space="0" w:color="auto"/>
      </w:divBdr>
    </w:div>
    <w:div w:id="182478147">
      <w:bodyDiv w:val="1"/>
      <w:marLeft w:val="0"/>
      <w:marRight w:val="0"/>
      <w:marTop w:val="0"/>
      <w:marBottom w:val="0"/>
      <w:divBdr>
        <w:top w:val="none" w:sz="0" w:space="0" w:color="auto"/>
        <w:left w:val="none" w:sz="0" w:space="0" w:color="auto"/>
        <w:bottom w:val="none" w:sz="0" w:space="0" w:color="auto"/>
        <w:right w:val="none" w:sz="0" w:space="0" w:color="auto"/>
      </w:divBdr>
    </w:div>
    <w:div w:id="262350232">
      <w:bodyDiv w:val="1"/>
      <w:marLeft w:val="0"/>
      <w:marRight w:val="0"/>
      <w:marTop w:val="0"/>
      <w:marBottom w:val="0"/>
      <w:divBdr>
        <w:top w:val="none" w:sz="0" w:space="0" w:color="auto"/>
        <w:left w:val="none" w:sz="0" w:space="0" w:color="auto"/>
        <w:bottom w:val="none" w:sz="0" w:space="0" w:color="auto"/>
        <w:right w:val="none" w:sz="0" w:space="0" w:color="auto"/>
      </w:divBdr>
    </w:div>
    <w:div w:id="476192555">
      <w:bodyDiv w:val="1"/>
      <w:marLeft w:val="0"/>
      <w:marRight w:val="0"/>
      <w:marTop w:val="0"/>
      <w:marBottom w:val="0"/>
      <w:divBdr>
        <w:top w:val="none" w:sz="0" w:space="0" w:color="auto"/>
        <w:left w:val="none" w:sz="0" w:space="0" w:color="auto"/>
        <w:bottom w:val="none" w:sz="0" w:space="0" w:color="auto"/>
        <w:right w:val="none" w:sz="0" w:space="0" w:color="auto"/>
      </w:divBdr>
    </w:div>
    <w:div w:id="54737890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31">
      <w:bodyDiv w:val="1"/>
      <w:marLeft w:val="0"/>
      <w:marRight w:val="0"/>
      <w:marTop w:val="0"/>
      <w:marBottom w:val="0"/>
      <w:divBdr>
        <w:top w:val="none" w:sz="0" w:space="0" w:color="auto"/>
        <w:left w:val="none" w:sz="0" w:space="0" w:color="auto"/>
        <w:bottom w:val="none" w:sz="0" w:space="0" w:color="auto"/>
        <w:right w:val="none" w:sz="0" w:space="0" w:color="auto"/>
      </w:divBdr>
    </w:div>
    <w:div w:id="1137649408">
      <w:bodyDiv w:val="1"/>
      <w:marLeft w:val="0"/>
      <w:marRight w:val="0"/>
      <w:marTop w:val="0"/>
      <w:marBottom w:val="0"/>
      <w:divBdr>
        <w:top w:val="none" w:sz="0" w:space="0" w:color="auto"/>
        <w:left w:val="none" w:sz="0" w:space="0" w:color="auto"/>
        <w:bottom w:val="none" w:sz="0" w:space="0" w:color="auto"/>
        <w:right w:val="none" w:sz="0" w:space="0" w:color="auto"/>
      </w:divBdr>
    </w:div>
    <w:div w:id="1169637622">
      <w:bodyDiv w:val="1"/>
      <w:marLeft w:val="0"/>
      <w:marRight w:val="0"/>
      <w:marTop w:val="0"/>
      <w:marBottom w:val="0"/>
      <w:divBdr>
        <w:top w:val="none" w:sz="0" w:space="0" w:color="auto"/>
        <w:left w:val="none" w:sz="0" w:space="0" w:color="auto"/>
        <w:bottom w:val="none" w:sz="0" w:space="0" w:color="auto"/>
        <w:right w:val="none" w:sz="0" w:space="0" w:color="auto"/>
      </w:divBdr>
    </w:div>
    <w:div w:id="1183711445">
      <w:bodyDiv w:val="1"/>
      <w:marLeft w:val="0"/>
      <w:marRight w:val="0"/>
      <w:marTop w:val="0"/>
      <w:marBottom w:val="0"/>
      <w:divBdr>
        <w:top w:val="none" w:sz="0" w:space="0" w:color="auto"/>
        <w:left w:val="none" w:sz="0" w:space="0" w:color="auto"/>
        <w:bottom w:val="none" w:sz="0" w:space="0" w:color="auto"/>
        <w:right w:val="none" w:sz="0" w:space="0" w:color="auto"/>
      </w:divBdr>
    </w:div>
    <w:div w:id="1270360238">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30870684">
      <w:bodyDiv w:val="1"/>
      <w:marLeft w:val="0"/>
      <w:marRight w:val="0"/>
      <w:marTop w:val="0"/>
      <w:marBottom w:val="0"/>
      <w:divBdr>
        <w:top w:val="none" w:sz="0" w:space="0" w:color="auto"/>
        <w:left w:val="none" w:sz="0" w:space="0" w:color="auto"/>
        <w:bottom w:val="none" w:sz="0" w:space="0" w:color="auto"/>
        <w:right w:val="none" w:sz="0" w:space="0" w:color="auto"/>
      </w:divBdr>
      <w:divsChild>
        <w:div w:id="1819612521">
          <w:marLeft w:val="0"/>
          <w:marRight w:val="0"/>
          <w:marTop w:val="0"/>
          <w:marBottom w:val="0"/>
          <w:divBdr>
            <w:top w:val="none" w:sz="0" w:space="0" w:color="auto"/>
            <w:left w:val="none" w:sz="0" w:space="0" w:color="auto"/>
            <w:bottom w:val="none" w:sz="0" w:space="0" w:color="auto"/>
            <w:right w:val="none" w:sz="0" w:space="0" w:color="auto"/>
          </w:divBdr>
        </w:div>
        <w:div w:id="1547334783">
          <w:marLeft w:val="0"/>
          <w:marRight w:val="0"/>
          <w:marTop w:val="0"/>
          <w:marBottom w:val="0"/>
          <w:divBdr>
            <w:top w:val="none" w:sz="0" w:space="0" w:color="auto"/>
            <w:left w:val="none" w:sz="0" w:space="0" w:color="auto"/>
            <w:bottom w:val="none" w:sz="0" w:space="0" w:color="auto"/>
            <w:right w:val="none" w:sz="0" w:space="0" w:color="auto"/>
          </w:divBdr>
        </w:div>
      </w:divsChild>
    </w:div>
    <w:div w:id="1612542626">
      <w:bodyDiv w:val="1"/>
      <w:marLeft w:val="0"/>
      <w:marRight w:val="0"/>
      <w:marTop w:val="0"/>
      <w:marBottom w:val="0"/>
      <w:divBdr>
        <w:top w:val="none" w:sz="0" w:space="0" w:color="auto"/>
        <w:left w:val="none" w:sz="0" w:space="0" w:color="auto"/>
        <w:bottom w:val="none" w:sz="0" w:space="0" w:color="auto"/>
        <w:right w:val="none" w:sz="0" w:space="0" w:color="auto"/>
      </w:divBdr>
    </w:div>
    <w:div w:id="1615021179">
      <w:bodyDiv w:val="1"/>
      <w:marLeft w:val="0"/>
      <w:marRight w:val="0"/>
      <w:marTop w:val="0"/>
      <w:marBottom w:val="0"/>
      <w:divBdr>
        <w:top w:val="none" w:sz="0" w:space="0" w:color="auto"/>
        <w:left w:val="none" w:sz="0" w:space="0" w:color="auto"/>
        <w:bottom w:val="none" w:sz="0" w:space="0" w:color="auto"/>
        <w:right w:val="none" w:sz="0" w:space="0" w:color="auto"/>
      </w:divBdr>
      <w:divsChild>
        <w:div w:id="1172454768">
          <w:marLeft w:val="0"/>
          <w:marRight w:val="0"/>
          <w:marTop w:val="0"/>
          <w:marBottom w:val="0"/>
          <w:divBdr>
            <w:top w:val="none" w:sz="0" w:space="0" w:color="auto"/>
            <w:left w:val="none" w:sz="0" w:space="0" w:color="auto"/>
            <w:bottom w:val="none" w:sz="0" w:space="0" w:color="auto"/>
            <w:right w:val="none" w:sz="0" w:space="0" w:color="auto"/>
          </w:divBdr>
        </w:div>
        <w:div w:id="243223069">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55309">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06386005">
      <w:bodyDiv w:val="1"/>
      <w:marLeft w:val="0"/>
      <w:marRight w:val="0"/>
      <w:marTop w:val="0"/>
      <w:marBottom w:val="0"/>
      <w:divBdr>
        <w:top w:val="none" w:sz="0" w:space="0" w:color="auto"/>
        <w:left w:val="none" w:sz="0" w:space="0" w:color="auto"/>
        <w:bottom w:val="none" w:sz="0" w:space="0" w:color="auto"/>
        <w:right w:val="none" w:sz="0" w:space="0" w:color="auto"/>
      </w:divBdr>
    </w:div>
    <w:div w:id="1977100874">
      <w:bodyDiv w:val="1"/>
      <w:marLeft w:val="0"/>
      <w:marRight w:val="0"/>
      <w:marTop w:val="0"/>
      <w:marBottom w:val="0"/>
      <w:divBdr>
        <w:top w:val="none" w:sz="0" w:space="0" w:color="auto"/>
        <w:left w:val="none" w:sz="0" w:space="0" w:color="auto"/>
        <w:bottom w:val="none" w:sz="0" w:space="0" w:color="auto"/>
        <w:right w:val="none" w:sz="0" w:space="0" w:color="auto"/>
      </w:divBdr>
    </w:div>
    <w:div w:id="200763106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6</Pages>
  <Words>2071</Words>
  <Characters>12471</Characters>
  <Application>Microsoft Office Word</Application>
  <DocSecurity>0</DocSecurity>
  <Lines>402</Lines>
  <Paragraphs>193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Valeria Villegas</cp:lastModifiedBy>
  <cp:revision>140</cp:revision>
  <cp:lastPrinted>2015-05-12T18:31:00Z</cp:lastPrinted>
  <dcterms:created xsi:type="dcterms:W3CDTF">2024-02-20T10:29:00Z</dcterms:created>
  <dcterms:modified xsi:type="dcterms:W3CDTF">2025-04-12T08:46:00Z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1fbbc263b7419b74ec9da85436f31d10a32af133f9a96f93658f5df613c6f66a</vt:lpwstr>
  </property>
</Properties>
</file>