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28049B" w14:paraId="2A131A54" w14:textId="77777777" w:rsidTr="00EC0ED3">
        <w:trPr>
          <w:trHeight w:val="852"/>
          <w:jc w:val="center"/>
        </w:trPr>
        <w:tc>
          <w:tcPr>
            <w:tcW w:w="6940" w:type="dxa"/>
            <w:vMerge w:val="restart"/>
            <w:tcBorders>
              <w:right w:val="single" w:sz="4" w:space="0" w:color="auto"/>
            </w:tcBorders>
          </w:tcPr>
          <w:p w14:paraId="38C3D2BA" w14:textId="77777777" w:rsidR="000A03B2" w:rsidRPr="0028049B" w:rsidRDefault="000A03B2" w:rsidP="00DE264A">
            <w:pPr>
              <w:tabs>
                <w:tab w:val="left" w:pos="-108"/>
              </w:tabs>
              <w:ind w:left="-108"/>
              <w:jc w:val="left"/>
              <w:rPr>
                <w:rFonts w:cs="Arial"/>
                <w:b/>
                <w:bCs/>
                <w:i/>
                <w:iCs/>
                <w:color w:val="000066"/>
                <w:sz w:val="12"/>
                <w:szCs w:val="12"/>
                <w:lang w:val="en-GB" w:eastAsia="it-IT"/>
              </w:rPr>
            </w:pPr>
            <w:bookmarkStart w:id="0" w:name="_Hlk145068772"/>
            <w:r w:rsidRPr="0028049B">
              <w:rPr>
                <w:rFonts w:ascii="AdvP6960" w:hAnsi="AdvP6960" w:cs="AdvP6960"/>
                <w:noProof/>
                <w:color w:val="241F20"/>
                <w:szCs w:val="18"/>
                <w:lang w:val="en-GB"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28049B">
              <w:rPr>
                <w:rFonts w:ascii="AdvP6960" w:hAnsi="AdvP6960" w:cs="AdvP6960"/>
                <w:color w:val="241F20"/>
                <w:szCs w:val="18"/>
                <w:lang w:val="en-GB" w:eastAsia="it-IT"/>
              </w:rPr>
              <w:t xml:space="preserve"> </w:t>
            </w:r>
            <w:r w:rsidRPr="0028049B">
              <w:rPr>
                <w:rFonts w:cs="Arial"/>
                <w:b/>
                <w:bCs/>
                <w:i/>
                <w:iCs/>
                <w:color w:val="000066"/>
                <w:sz w:val="24"/>
                <w:szCs w:val="24"/>
                <w:lang w:val="en-GB" w:eastAsia="it-IT"/>
              </w:rPr>
              <w:t>CHEMICAL ENGINEERING</w:t>
            </w:r>
            <w:r w:rsidRPr="0028049B">
              <w:rPr>
                <w:rFonts w:cs="Arial"/>
                <w:b/>
                <w:bCs/>
                <w:i/>
                <w:iCs/>
                <w:color w:val="0033FF"/>
                <w:sz w:val="24"/>
                <w:szCs w:val="24"/>
                <w:lang w:val="en-GB" w:eastAsia="it-IT"/>
              </w:rPr>
              <w:t xml:space="preserve"> </w:t>
            </w:r>
            <w:r w:rsidRPr="0028049B">
              <w:rPr>
                <w:rFonts w:cs="Arial"/>
                <w:b/>
                <w:bCs/>
                <w:i/>
                <w:iCs/>
                <w:color w:val="666666"/>
                <w:sz w:val="24"/>
                <w:szCs w:val="24"/>
                <w:lang w:val="en-GB" w:eastAsia="it-IT"/>
              </w:rPr>
              <w:t>TRANSACTIONS</w:t>
            </w:r>
            <w:r w:rsidRPr="0028049B">
              <w:rPr>
                <w:color w:val="333333"/>
                <w:sz w:val="24"/>
                <w:szCs w:val="24"/>
                <w:lang w:val="en-GB" w:eastAsia="it-IT"/>
              </w:rPr>
              <w:t xml:space="preserve"> </w:t>
            </w:r>
            <w:r w:rsidRPr="0028049B">
              <w:rPr>
                <w:rFonts w:cs="Arial"/>
                <w:b/>
                <w:bCs/>
                <w:i/>
                <w:iCs/>
                <w:color w:val="000066"/>
                <w:sz w:val="27"/>
                <w:szCs w:val="27"/>
                <w:lang w:val="en-GB" w:eastAsia="it-IT"/>
              </w:rPr>
              <w:br/>
            </w:r>
          </w:p>
          <w:p w14:paraId="4B780582" w14:textId="693F4213" w:rsidR="000A03B2" w:rsidRPr="0028049B" w:rsidRDefault="00A76EFC" w:rsidP="001D21AF">
            <w:pPr>
              <w:tabs>
                <w:tab w:val="left" w:pos="-108"/>
              </w:tabs>
              <w:ind w:left="-108"/>
              <w:rPr>
                <w:rFonts w:cs="Arial"/>
                <w:b/>
                <w:bCs/>
                <w:i/>
                <w:iCs/>
                <w:color w:val="000066"/>
                <w:sz w:val="22"/>
                <w:szCs w:val="22"/>
                <w:lang w:val="en-GB" w:eastAsia="it-IT"/>
              </w:rPr>
            </w:pPr>
            <w:r w:rsidRPr="0028049B">
              <w:rPr>
                <w:rFonts w:cs="Arial"/>
                <w:b/>
                <w:bCs/>
                <w:i/>
                <w:iCs/>
                <w:color w:val="000066"/>
                <w:sz w:val="22"/>
                <w:szCs w:val="22"/>
                <w:lang w:val="en-GB" w:eastAsia="it-IT"/>
              </w:rPr>
              <w:t>VOL.</w:t>
            </w:r>
            <w:r w:rsidR="00785BF9" w:rsidRPr="0028049B">
              <w:rPr>
                <w:rFonts w:cs="Arial"/>
                <w:b/>
                <w:bCs/>
                <w:i/>
                <w:iCs/>
                <w:color w:val="000066"/>
                <w:sz w:val="22"/>
                <w:szCs w:val="22"/>
                <w:lang w:val="en-GB" w:eastAsia="it-IT"/>
              </w:rPr>
              <w:t xml:space="preserve"> </w:t>
            </w:r>
            <w:r w:rsidR="0025541B" w:rsidRPr="0028049B">
              <w:rPr>
                <w:rFonts w:cs="Arial"/>
                <w:b/>
                <w:bCs/>
                <w:i/>
                <w:iCs/>
                <w:color w:val="000066"/>
                <w:sz w:val="22"/>
                <w:szCs w:val="22"/>
                <w:lang w:val="en-GB" w:eastAsia="it-IT"/>
              </w:rPr>
              <w:t>113</w:t>
            </w:r>
            <w:r w:rsidR="007B48F9" w:rsidRPr="0028049B">
              <w:rPr>
                <w:rFonts w:cs="Arial"/>
                <w:b/>
                <w:bCs/>
                <w:i/>
                <w:iCs/>
                <w:color w:val="000066"/>
                <w:sz w:val="22"/>
                <w:szCs w:val="22"/>
                <w:lang w:val="en-GB" w:eastAsia="it-IT"/>
              </w:rPr>
              <w:t>,</w:t>
            </w:r>
            <w:r w:rsidR="00FA5F5F" w:rsidRPr="0028049B">
              <w:rPr>
                <w:rFonts w:cs="Arial"/>
                <w:b/>
                <w:bCs/>
                <w:i/>
                <w:iCs/>
                <w:color w:val="000066"/>
                <w:sz w:val="22"/>
                <w:szCs w:val="22"/>
                <w:lang w:val="en-GB" w:eastAsia="it-IT"/>
              </w:rPr>
              <w:t xml:space="preserve"> </w:t>
            </w:r>
            <w:r w:rsidR="0030152C" w:rsidRPr="0028049B">
              <w:rPr>
                <w:rFonts w:cs="Arial"/>
                <w:b/>
                <w:bCs/>
                <w:i/>
                <w:iCs/>
                <w:color w:val="000066"/>
                <w:sz w:val="22"/>
                <w:szCs w:val="22"/>
                <w:lang w:val="en-GB" w:eastAsia="it-IT"/>
              </w:rPr>
              <w:t>202</w:t>
            </w:r>
            <w:r w:rsidR="00994C6A" w:rsidRPr="0028049B">
              <w:rPr>
                <w:rFonts w:cs="Arial"/>
                <w:b/>
                <w:bCs/>
                <w:i/>
                <w:iCs/>
                <w:color w:val="000066"/>
                <w:sz w:val="22"/>
                <w:szCs w:val="22"/>
                <w:lang w:val="en-GB" w:eastAsia="it-IT"/>
              </w:rPr>
              <w:t>5</w:t>
            </w:r>
          </w:p>
        </w:tc>
        <w:tc>
          <w:tcPr>
            <w:tcW w:w="1842" w:type="dxa"/>
            <w:tcBorders>
              <w:left w:val="single" w:sz="4" w:space="0" w:color="auto"/>
              <w:bottom w:val="nil"/>
              <w:right w:val="single" w:sz="4" w:space="0" w:color="auto"/>
            </w:tcBorders>
          </w:tcPr>
          <w:p w14:paraId="56782132" w14:textId="77777777" w:rsidR="000A03B2" w:rsidRPr="0028049B" w:rsidRDefault="000A03B2" w:rsidP="00CD5FE2">
            <w:pPr>
              <w:spacing w:line="140" w:lineRule="atLeast"/>
              <w:jc w:val="right"/>
              <w:rPr>
                <w:rFonts w:cs="Arial"/>
                <w:sz w:val="14"/>
                <w:szCs w:val="14"/>
                <w:lang w:val="en-GB"/>
              </w:rPr>
            </w:pPr>
            <w:r w:rsidRPr="0028049B">
              <w:rPr>
                <w:rFonts w:cs="Arial"/>
                <w:sz w:val="14"/>
                <w:szCs w:val="14"/>
                <w:lang w:val="en-GB"/>
              </w:rPr>
              <w:t>A publication of</w:t>
            </w:r>
          </w:p>
          <w:p w14:paraId="599E5441" w14:textId="77777777" w:rsidR="000A03B2" w:rsidRPr="0028049B" w:rsidRDefault="000A03B2" w:rsidP="00CD5FE2">
            <w:pPr>
              <w:jc w:val="right"/>
              <w:rPr>
                <w:lang w:val="en-GB"/>
              </w:rPr>
            </w:pPr>
            <w:r w:rsidRPr="0028049B">
              <w:rPr>
                <w:noProof/>
                <w:lang w:val="en-GB"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28049B" w14:paraId="380FA3CD" w14:textId="77777777" w:rsidTr="00EC0ED3">
        <w:trPr>
          <w:trHeight w:val="567"/>
          <w:jc w:val="center"/>
        </w:trPr>
        <w:tc>
          <w:tcPr>
            <w:tcW w:w="6940" w:type="dxa"/>
            <w:vMerge/>
            <w:tcBorders>
              <w:right w:val="single" w:sz="4" w:space="0" w:color="auto"/>
            </w:tcBorders>
          </w:tcPr>
          <w:p w14:paraId="39E5E4C1" w14:textId="77777777" w:rsidR="000A03B2" w:rsidRPr="0028049B" w:rsidRDefault="000A03B2" w:rsidP="00CD5FE2">
            <w:pPr>
              <w:tabs>
                <w:tab w:val="left" w:pos="-108"/>
              </w:tabs>
              <w:rPr>
                <w:lang w:val="en-GB"/>
              </w:rPr>
            </w:pPr>
          </w:p>
        </w:tc>
        <w:tc>
          <w:tcPr>
            <w:tcW w:w="1842" w:type="dxa"/>
            <w:tcBorders>
              <w:left w:val="single" w:sz="4" w:space="0" w:color="auto"/>
              <w:bottom w:val="nil"/>
              <w:right w:val="single" w:sz="4" w:space="0" w:color="auto"/>
            </w:tcBorders>
          </w:tcPr>
          <w:p w14:paraId="43858A98" w14:textId="77777777" w:rsidR="000A03B2" w:rsidRPr="0028049B" w:rsidRDefault="000A03B2" w:rsidP="00CD5FE2">
            <w:pPr>
              <w:spacing w:line="140" w:lineRule="atLeast"/>
              <w:jc w:val="right"/>
              <w:rPr>
                <w:rFonts w:cs="Arial"/>
                <w:sz w:val="14"/>
                <w:szCs w:val="14"/>
                <w:lang w:val="en-GB"/>
              </w:rPr>
            </w:pPr>
            <w:r w:rsidRPr="0028049B">
              <w:rPr>
                <w:rFonts w:cs="Arial"/>
                <w:sz w:val="14"/>
                <w:szCs w:val="14"/>
                <w:lang w:val="en-GB"/>
              </w:rPr>
              <w:t>The Italian Association</w:t>
            </w:r>
          </w:p>
          <w:p w14:paraId="7522B1D2" w14:textId="77777777" w:rsidR="000A03B2" w:rsidRPr="0028049B" w:rsidRDefault="000A03B2" w:rsidP="00CD5FE2">
            <w:pPr>
              <w:spacing w:line="140" w:lineRule="atLeast"/>
              <w:jc w:val="right"/>
              <w:rPr>
                <w:rFonts w:cs="Arial"/>
                <w:sz w:val="14"/>
                <w:szCs w:val="14"/>
                <w:lang w:val="en-GB"/>
              </w:rPr>
            </w:pPr>
            <w:r w:rsidRPr="0028049B">
              <w:rPr>
                <w:rFonts w:cs="Arial"/>
                <w:sz w:val="14"/>
                <w:szCs w:val="14"/>
                <w:lang w:val="en-GB"/>
              </w:rPr>
              <w:t>of Chemical Engineering</w:t>
            </w:r>
          </w:p>
          <w:p w14:paraId="4F0CC5DE" w14:textId="47FDB2FC" w:rsidR="000A03B2" w:rsidRPr="0028049B" w:rsidRDefault="000D0268" w:rsidP="00CD5FE2">
            <w:pPr>
              <w:spacing w:line="140" w:lineRule="atLeast"/>
              <w:jc w:val="right"/>
              <w:rPr>
                <w:rFonts w:cs="Arial"/>
                <w:sz w:val="13"/>
                <w:szCs w:val="13"/>
                <w:lang w:val="en-GB"/>
              </w:rPr>
            </w:pPr>
            <w:r w:rsidRPr="0028049B">
              <w:rPr>
                <w:rFonts w:cs="Arial"/>
                <w:sz w:val="13"/>
                <w:szCs w:val="13"/>
                <w:lang w:val="en-GB"/>
              </w:rPr>
              <w:t>Online at www.cetjournal.it</w:t>
            </w:r>
          </w:p>
        </w:tc>
      </w:tr>
      <w:tr w:rsidR="000A03B2" w:rsidRPr="0028049B" w14:paraId="2D1B7169" w14:textId="77777777" w:rsidTr="00EC0ED3">
        <w:trPr>
          <w:trHeight w:val="68"/>
          <w:jc w:val="center"/>
        </w:trPr>
        <w:tc>
          <w:tcPr>
            <w:tcW w:w="8782" w:type="dxa"/>
            <w:gridSpan w:val="2"/>
          </w:tcPr>
          <w:p w14:paraId="1D8DD3C9" w14:textId="4D56D2AD" w:rsidR="00AA7D26" w:rsidRPr="00271D57" w:rsidRDefault="00AA7D26" w:rsidP="007D610D">
            <w:pPr>
              <w:ind w:left="-107"/>
              <w:outlineLvl w:val="2"/>
              <w:rPr>
                <w:rFonts w:ascii="Tahoma" w:hAnsi="Tahoma" w:cs="Tahoma"/>
                <w:color w:val="000000"/>
                <w:sz w:val="14"/>
                <w:szCs w:val="14"/>
                <w:shd w:val="clear" w:color="auto" w:fill="FFFFFF"/>
                <w:lang w:val="it-IT"/>
              </w:rPr>
            </w:pPr>
            <w:r w:rsidRPr="00271D57">
              <w:rPr>
                <w:rFonts w:ascii="Tahoma" w:hAnsi="Tahoma" w:cs="Tahoma"/>
                <w:iCs/>
                <w:color w:val="333333"/>
                <w:sz w:val="14"/>
                <w:szCs w:val="14"/>
                <w:lang w:val="it-IT" w:eastAsia="it-IT"/>
              </w:rPr>
              <w:t>Guest Editors:</w:t>
            </w:r>
            <w:r w:rsidR="007D610D" w:rsidRPr="00271D57">
              <w:rPr>
                <w:rFonts w:ascii="Aptos" w:eastAsiaTheme="minorHAnsi" w:hAnsi="Aptos" w:cs="Aptos"/>
                <w:sz w:val="22"/>
                <w:szCs w:val="22"/>
                <w:lang w:val="it-IT"/>
                <w14:ligatures w14:val="standardContextual"/>
              </w:rPr>
              <w:t xml:space="preserve"> </w:t>
            </w:r>
            <w:r w:rsidR="007D610D" w:rsidRPr="00271D57">
              <w:rPr>
                <w:rFonts w:ascii="Tahoma" w:hAnsi="Tahoma" w:cs="Tahoma"/>
                <w:color w:val="000000"/>
                <w:sz w:val="14"/>
                <w:szCs w:val="14"/>
                <w:shd w:val="clear" w:color="auto" w:fill="FFFFFF"/>
                <w:lang w:val="it-IT"/>
              </w:rPr>
              <w:t>Fabrizio Bezzo, Gabriele Pannocchia, Almerinda di Benedetto</w:t>
            </w:r>
          </w:p>
          <w:p w14:paraId="1B0F1814" w14:textId="7C54DC3A" w:rsidR="000A03B2" w:rsidRPr="0028049B" w:rsidRDefault="00AA7D26" w:rsidP="00AA7D26">
            <w:pPr>
              <w:tabs>
                <w:tab w:val="left" w:pos="-108"/>
              </w:tabs>
              <w:spacing w:line="140" w:lineRule="atLeast"/>
              <w:ind w:left="-107"/>
              <w:jc w:val="left"/>
              <w:rPr>
                <w:lang w:val="en-GB"/>
              </w:rPr>
            </w:pPr>
            <w:r w:rsidRPr="0028049B">
              <w:rPr>
                <w:rFonts w:ascii="Tahoma" w:hAnsi="Tahoma" w:cs="Tahoma"/>
                <w:iCs/>
                <w:color w:val="333333"/>
                <w:sz w:val="14"/>
                <w:szCs w:val="14"/>
                <w:lang w:val="en-GB" w:eastAsia="it-IT"/>
              </w:rPr>
              <w:t>Copyright © 202</w:t>
            </w:r>
            <w:r w:rsidR="00994C6A" w:rsidRPr="0028049B">
              <w:rPr>
                <w:rFonts w:ascii="Tahoma" w:hAnsi="Tahoma" w:cs="Tahoma"/>
                <w:iCs/>
                <w:color w:val="333333"/>
                <w:sz w:val="14"/>
                <w:szCs w:val="14"/>
                <w:lang w:val="en-GB" w:eastAsia="it-IT"/>
              </w:rPr>
              <w:t>5</w:t>
            </w:r>
            <w:r w:rsidRPr="0028049B">
              <w:rPr>
                <w:rFonts w:ascii="Tahoma" w:hAnsi="Tahoma" w:cs="Tahoma"/>
                <w:iCs/>
                <w:color w:val="333333"/>
                <w:sz w:val="14"/>
                <w:szCs w:val="14"/>
                <w:lang w:val="en-GB" w:eastAsia="it-IT"/>
              </w:rPr>
              <w:t xml:space="preserve">, AIDIC </w:t>
            </w:r>
            <w:proofErr w:type="spellStart"/>
            <w:r w:rsidRPr="0028049B">
              <w:rPr>
                <w:rFonts w:ascii="Tahoma" w:hAnsi="Tahoma" w:cs="Tahoma"/>
                <w:iCs/>
                <w:color w:val="333333"/>
                <w:sz w:val="14"/>
                <w:szCs w:val="14"/>
                <w:lang w:val="en-GB" w:eastAsia="it-IT"/>
              </w:rPr>
              <w:t>Servizi</w:t>
            </w:r>
            <w:proofErr w:type="spellEnd"/>
            <w:r w:rsidRPr="0028049B">
              <w:rPr>
                <w:rFonts w:ascii="Tahoma" w:hAnsi="Tahoma" w:cs="Tahoma"/>
                <w:iCs/>
                <w:color w:val="333333"/>
                <w:sz w:val="14"/>
                <w:szCs w:val="14"/>
                <w:lang w:val="en-GB" w:eastAsia="it-IT"/>
              </w:rPr>
              <w:t xml:space="preserve"> </w:t>
            </w:r>
            <w:proofErr w:type="spellStart"/>
            <w:r w:rsidRPr="0028049B">
              <w:rPr>
                <w:rFonts w:ascii="Tahoma" w:hAnsi="Tahoma" w:cs="Tahoma"/>
                <w:iCs/>
                <w:color w:val="333333"/>
                <w:sz w:val="14"/>
                <w:szCs w:val="14"/>
                <w:lang w:val="en-GB" w:eastAsia="it-IT"/>
              </w:rPr>
              <w:t>S.r.l</w:t>
            </w:r>
            <w:proofErr w:type="spellEnd"/>
            <w:r w:rsidRPr="0028049B">
              <w:rPr>
                <w:rFonts w:ascii="Tahoma" w:hAnsi="Tahoma" w:cs="Tahoma"/>
                <w:iCs/>
                <w:color w:val="333333"/>
                <w:sz w:val="14"/>
                <w:szCs w:val="14"/>
                <w:lang w:val="en-GB" w:eastAsia="it-IT"/>
              </w:rPr>
              <w:t>.</w:t>
            </w:r>
            <w:r w:rsidRPr="0028049B">
              <w:rPr>
                <w:rFonts w:ascii="Tahoma" w:hAnsi="Tahoma" w:cs="Tahoma"/>
                <w:iCs/>
                <w:color w:val="333333"/>
                <w:sz w:val="14"/>
                <w:szCs w:val="14"/>
                <w:lang w:val="en-GB" w:eastAsia="it-IT"/>
              </w:rPr>
              <w:br/>
            </w:r>
            <w:r w:rsidRPr="0028049B">
              <w:rPr>
                <w:rFonts w:ascii="Tahoma" w:hAnsi="Tahoma" w:cs="Tahoma"/>
                <w:b/>
                <w:iCs/>
                <w:color w:val="000000"/>
                <w:sz w:val="14"/>
                <w:szCs w:val="14"/>
                <w:lang w:val="en-GB" w:eastAsia="it-IT"/>
              </w:rPr>
              <w:t>ISBN</w:t>
            </w:r>
            <w:r w:rsidRPr="0028049B">
              <w:rPr>
                <w:rFonts w:ascii="Tahoma" w:hAnsi="Tahoma" w:cs="Tahoma"/>
                <w:iCs/>
                <w:color w:val="000000"/>
                <w:sz w:val="14"/>
                <w:szCs w:val="14"/>
                <w:lang w:val="en-GB" w:eastAsia="it-IT"/>
              </w:rPr>
              <w:t xml:space="preserve"> </w:t>
            </w:r>
            <w:r w:rsidR="003B49CD" w:rsidRPr="0028049B">
              <w:rPr>
                <w:rFonts w:ascii="Tahoma" w:hAnsi="Tahoma" w:cs="Tahoma"/>
                <w:sz w:val="14"/>
                <w:szCs w:val="14"/>
                <w:lang w:val="en-GB"/>
              </w:rPr>
              <w:t>979-12-81206-1</w:t>
            </w:r>
            <w:r w:rsidR="00994C6A" w:rsidRPr="0028049B">
              <w:rPr>
                <w:rFonts w:ascii="Tahoma" w:hAnsi="Tahoma" w:cs="Tahoma"/>
                <w:sz w:val="14"/>
                <w:szCs w:val="14"/>
                <w:lang w:val="en-GB"/>
              </w:rPr>
              <w:t>7</w:t>
            </w:r>
            <w:r w:rsidR="003B49CD" w:rsidRPr="0028049B">
              <w:rPr>
                <w:rFonts w:ascii="Tahoma" w:hAnsi="Tahoma" w:cs="Tahoma"/>
                <w:sz w:val="14"/>
                <w:szCs w:val="14"/>
                <w:lang w:val="en-GB"/>
              </w:rPr>
              <w:t>-</w:t>
            </w:r>
            <w:r w:rsidR="00994C6A" w:rsidRPr="0028049B">
              <w:rPr>
                <w:rFonts w:ascii="Tahoma" w:hAnsi="Tahoma" w:cs="Tahoma"/>
                <w:sz w:val="14"/>
                <w:szCs w:val="14"/>
                <w:lang w:val="en-GB"/>
              </w:rPr>
              <w:t>5</w:t>
            </w:r>
            <w:r w:rsidRPr="0028049B">
              <w:rPr>
                <w:rFonts w:ascii="Tahoma" w:hAnsi="Tahoma" w:cs="Tahoma"/>
                <w:iCs/>
                <w:color w:val="333333"/>
                <w:sz w:val="14"/>
                <w:szCs w:val="14"/>
                <w:lang w:val="en-GB" w:eastAsia="it-IT"/>
              </w:rPr>
              <w:t xml:space="preserve">; </w:t>
            </w:r>
            <w:r w:rsidRPr="0028049B">
              <w:rPr>
                <w:rFonts w:ascii="Tahoma" w:hAnsi="Tahoma" w:cs="Tahoma"/>
                <w:b/>
                <w:iCs/>
                <w:color w:val="333333"/>
                <w:sz w:val="14"/>
                <w:szCs w:val="14"/>
                <w:lang w:val="en-GB" w:eastAsia="it-IT"/>
              </w:rPr>
              <w:t>ISSN</w:t>
            </w:r>
            <w:r w:rsidRPr="0028049B">
              <w:rPr>
                <w:rFonts w:ascii="Tahoma" w:hAnsi="Tahoma" w:cs="Tahoma"/>
                <w:iCs/>
                <w:color w:val="333333"/>
                <w:sz w:val="14"/>
                <w:szCs w:val="14"/>
                <w:lang w:val="en-GB" w:eastAsia="it-IT"/>
              </w:rPr>
              <w:t xml:space="preserve"> 2283-9216</w:t>
            </w:r>
          </w:p>
        </w:tc>
      </w:tr>
      <w:bookmarkEnd w:id="0"/>
    </w:tbl>
    <w:p w14:paraId="6E76CAB4" w14:textId="77777777" w:rsidR="00EC0ED3" w:rsidRPr="0028049B" w:rsidRDefault="00EC0ED3" w:rsidP="00B57E6F">
      <w:pPr>
        <w:pStyle w:val="CETAuthors"/>
        <w:rPr>
          <w:noProof w:val="0"/>
          <w:sz w:val="32"/>
        </w:rPr>
      </w:pPr>
    </w:p>
    <w:p w14:paraId="7AEE291C" w14:textId="1DAC1A39" w:rsidR="00EC0ED3" w:rsidRPr="0028049B" w:rsidRDefault="00EC0ED3" w:rsidP="00B57E6F">
      <w:pPr>
        <w:pStyle w:val="CETAuthors"/>
        <w:rPr>
          <w:noProof w:val="0"/>
          <w:sz w:val="32"/>
        </w:rPr>
      </w:pPr>
      <w:r w:rsidRPr="0028049B">
        <w:rPr>
          <w:noProof w:val="0"/>
          <w:sz w:val="32"/>
        </w:rPr>
        <w:t>Activation of dinitrogen molecule (N</w:t>
      </w:r>
      <w:r w:rsidRPr="0028049B">
        <w:rPr>
          <w:noProof w:val="0"/>
          <w:sz w:val="32"/>
          <w:vertAlign w:val="subscript"/>
        </w:rPr>
        <w:t>2</w:t>
      </w:r>
      <w:r w:rsidRPr="0028049B">
        <w:rPr>
          <w:noProof w:val="0"/>
          <w:sz w:val="32"/>
        </w:rPr>
        <w:t>) in unconventional electrochemical reactors for ammonia production</w:t>
      </w:r>
    </w:p>
    <w:p w14:paraId="0488FED2" w14:textId="6B5E3249" w:rsidR="00B57E6F" w:rsidRPr="00271D57" w:rsidRDefault="00EC0ED3" w:rsidP="00B57E6F">
      <w:pPr>
        <w:pStyle w:val="CETAuthors"/>
        <w:rPr>
          <w:noProof w:val="0"/>
          <w:lang w:val="it-IT"/>
        </w:rPr>
      </w:pPr>
      <w:r w:rsidRPr="00271D57">
        <w:rPr>
          <w:noProof w:val="0"/>
          <w:lang w:val="it-IT"/>
        </w:rPr>
        <w:t>Matteo Miceli</w:t>
      </w:r>
      <w:r w:rsidRPr="00271D57">
        <w:rPr>
          <w:noProof w:val="0"/>
          <w:vertAlign w:val="superscript"/>
          <w:lang w:val="it-IT"/>
        </w:rPr>
        <w:t>*</w:t>
      </w:r>
      <w:r w:rsidRPr="00271D57">
        <w:rPr>
          <w:noProof w:val="0"/>
          <w:lang w:val="it-IT"/>
        </w:rPr>
        <w:t xml:space="preserve">, Francesco Tavella, Daniele Giusi, </w:t>
      </w:r>
      <w:proofErr w:type="spellStart"/>
      <w:r w:rsidRPr="00271D57">
        <w:rPr>
          <w:noProof w:val="0"/>
          <w:lang w:val="it-IT"/>
        </w:rPr>
        <w:t>Muluken</w:t>
      </w:r>
      <w:proofErr w:type="spellEnd"/>
      <w:r w:rsidRPr="00271D57">
        <w:rPr>
          <w:noProof w:val="0"/>
          <w:lang w:val="it-IT"/>
        </w:rPr>
        <w:t xml:space="preserve"> </w:t>
      </w:r>
      <w:proofErr w:type="spellStart"/>
      <w:r w:rsidRPr="00271D57">
        <w:rPr>
          <w:noProof w:val="0"/>
          <w:lang w:val="it-IT"/>
        </w:rPr>
        <w:t>E</w:t>
      </w:r>
      <w:r w:rsidR="00561182" w:rsidRPr="00271D57">
        <w:rPr>
          <w:noProof w:val="0"/>
          <w:lang w:val="it-IT"/>
        </w:rPr>
        <w:t>shetu</w:t>
      </w:r>
      <w:proofErr w:type="spellEnd"/>
      <w:r w:rsidRPr="00271D57">
        <w:rPr>
          <w:noProof w:val="0"/>
          <w:lang w:val="it-IT"/>
        </w:rPr>
        <w:t xml:space="preserve"> </w:t>
      </w:r>
      <w:proofErr w:type="spellStart"/>
      <w:r w:rsidRPr="00271D57">
        <w:rPr>
          <w:noProof w:val="0"/>
          <w:lang w:val="it-IT"/>
        </w:rPr>
        <w:t>Tefera</w:t>
      </w:r>
      <w:proofErr w:type="spellEnd"/>
      <w:r w:rsidRPr="00271D57">
        <w:rPr>
          <w:noProof w:val="0"/>
          <w:lang w:val="it-IT"/>
        </w:rPr>
        <w:t>, Marco F</w:t>
      </w:r>
      <w:r w:rsidR="00561182" w:rsidRPr="00271D57">
        <w:rPr>
          <w:noProof w:val="0"/>
          <w:lang w:val="it-IT"/>
        </w:rPr>
        <w:t>rancesco</w:t>
      </w:r>
      <w:r w:rsidRPr="00271D57">
        <w:rPr>
          <w:noProof w:val="0"/>
          <w:lang w:val="it-IT"/>
        </w:rPr>
        <w:t xml:space="preserve"> Torre, </w:t>
      </w:r>
      <w:proofErr w:type="spellStart"/>
      <w:r w:rsidRPr="00271D57">
        <w:rPr>
          <w:noProof w:val="0"/>
          <w:lang w:val="it-IT"/>
        </w:rPr>
        <w:t>Siglinda</w:t>
      </w:r>
      <w:proofErr w:type="spellEnd"/>
      <w:r w:rsidRPr="00271D57">
        <w:rPr>
          <w:noProof w:val="0"/>
          <w:lang w:val="it-IT"/>
        </w:rPr>
        <w:t xml:space="preserve"> Perathoner, Gabriele Centi, Claudio </w:t>
      </w:r>
      <w:proofErr w:type="spellStart"/>
      <w:r w:rsidRPr="00271D57">
        <w:rPr>
          <w:noProof w:val="0"/>
          <w:lang w:val="it-IT"/>
        </w:rPr>
        <w:t>Ampelli</w:t>
      </w:r>
      <w:proofErr w:type="spellEnd"/>
    </w:p>
    <w:p w14:paraId="3D72B0B0" w14:textId="2119B670" w:rsidR="00B57E6F" w:rsidRPr="0028049B" w:rsidRDefault="007601C1" w:rsidP="00B57E6F">
      <w:pPr>
        <w:pStyle w:val="CETAddress"/>
        <w:rPr>
          <w:noProof w:val="0"/>
        </w:rPr>
      </w:pPr>
      <w:r w:rsidRPr="007601C1">
        <w:rPr>
          <w:noProof w:val="0"/>
          <w:lang w:val="en-US"/>
        </w:rPr>
        <w:t>Department of Chemical, Biological, Pharmaceutical and Environmental Sciences (</w:t>
      </w:r>
      <w:proofErr w:type="spellStart"/>
      <w:r w:rsidRPr="007601C1">
        <w:rPr>
          <w:noProof w:val="0"/>
          <w:lang w:val="en-US"/>
        </w:rPr>
        <w:t>ChiBioFarAm</w:t>
      </w:r>
      <w:proofErr w:type="spellEnd"/>
      <w:r w:rsidRPr="007601C1">
        <w:rPr>
          <w:noProof w:val="0"/>
          <w:lang w:val="en-US"/>
        </w:rPr>
        <w:t xml:space="preserve">) – University of Messina, ERIC </w:t>
      </w:r>
      <w:proofErr w:type="spellStart"/>
      <w:r w:rsidRPr="007601C1">
        <w:rPr>
          <w:noProof w:val="0"/>
          <w:lang w:val="en-US"/>
        </w:rPr>
        <w:t>aisbl</w:t>
      </w:r>
      <w:proofErr w:type="spellEnd"/>
      <w:r w:rsidRPr="007601C1">
        <w:rPr>
          <w:noProof w:val="0"/>
          <w:lang w:val="en-US"/>
        </w:rPr>
        <w:t xml:space="preserve"> and CASPE/INSTM, </w:t>
      </w:r>
      <w:proofErr w:type="spellStart"/>
      <w:proofErr w:type="gramStart"/>
      <w:r w:rsidRPr="007601C1">
        <w:rPr>
          <w:noProof w:val="0"/>
          <w:lang w:val="en-US"/>
        </w:rPr>
        <w:t>v.le</w:t>
      </w:r>
      <w:proofErr w:type="spellEnd"/>
      <w:proofErr w:type="gramEnd"/>
      <w:r w:rsidRPr="007601C1">
        <w:rPr>
          <w:noProof w:val="0"/>
          <w:lang w:val="en-US"/>
        </w:rPr>
        <w:t xml:space="preserve"> F. Stagno </w:t>
      </w:r>
      <w:proofErr w:type="spellStart"/>
      <w:r w:rsidRPr="007601C1">
        <w:rPr>
          <w:noProof w:val="0"/>
          <w:lang w:val="en-US"/>
        </w:rPr>
        <w:t>d'Alcontres</w:t>
      </w:r>
      <w:proofErr w:type="spellEnd"/>
      <w:r w:rsidRPr="007601C1">
        <w:rPr>
          <w:noProof w:val="0"/>
          <w:lang w:val="en-US"/>
        </w:rPr>
        <w:t>, 31 – 98166 Messina, Italy</w:t>
      </w:r>
    </w:p>
    <w:p w14:paraId="6E3CC7B3" w14:textId="2B8DCFBF" w:rsidR="00150E6B" w:rsidRPr="0028049B" w:rsidRDefault="00EC0ED3" w:rsidP="00374217">
      <w:pPr>
        <w:pStyle w:val="CETemail"/>
        <w:rPr>
          <w:noProof w:val="0"/>
        </w:rPr>
      </w:pPr>
      <w:r w:rsidRPr="0028049B">
        <w:rPr>
          <w:noProof w:val="0"/>
        </w:rPr>
        <w:t>matmiceli@unime.it</w:t>
      </w:r>
    </w:p>
    <w:p w14:paraId="7A3072D5" w14:textId="1B5D8460" w:rsidR="00150E6B" w:rsidRPr="0028049B" w:rsidRDefault="000A3009" w:rsidP="00600535">
      <w:pPr>
        <w:pStyle w:val="CETBodytext"/>
        <w:rPr>
          <w:lang w:val="en-GB"/>
        </w:rPr>
      </w:pPr>
      <w:r w:rsidRPr="0028049B">
        <w:rPr>
          <w:lang w:val="en-GB"/>
        </w:rPr>
        <w:t xml:space="preserve">In this study, we present the development of a </w:t>
      </w:r>
      <w:r w:rsidR="00E02D47" w:rsidRPr="0028049B">
        <w:rPr>
          <w:lang w:val="en-GB"/>
        </w:rPr>
        <w:t xml:space="preserve">novel </w:t>
      </w:r>
      <w:r w:rsidRPr="0028049B">
        <w:rPr>
          <w:lang w:val="en-GB"/>
        </w:rPr>
        <w:t>electrochemical device designed for the nitrogen reduction reaction (NRR) process, which operates under unconventional conditions.</w:t>
      </w:r>
      <w:r w:rsidR="00160D83" w:rsidRPr="0028049B">
        <w:rPr>
          <w:lang w:val="en-GB"/>
        </w:rPr>
        <w:t xml:space="preserve"> This zero-gap flow cell </w:t>
      </w:r>
      <w:r w:rsidR="00F958C0">
        <w:rPr>
          <w:lang w:val="en-GB"/>
        </w:rPr>
        <w:t>works</w:t>
      </w:r>
      <w:r w:rsidR="00F958C0" w:rsidRPr="0028049B">
        <w:rPr>
          <w:lang w:val="en-GB"/>
        </w:rPr>
        <w:t xml:space="preserve"> </w:t>
      </w:r>
      <w:r w:rsidR="00160D83" w:rsidRPr="0028049B">
        <w:rPr>
          <w:lang w:val="en-GB"/>
        </w:rPr>
        <w:t>without a liquid electrolyte in the cathod</w:t>
      </w:r>
      <w:r w:rsidR="00EC2DB1" w:rsidRPr="0028049B">
        <w:rPr>
          <w:lang w:val="en-GB"/>
        </w:rPr>
        <w:t>ic</w:t>
      </w:r>
      <w:r w:rsidR="00160D83" w:rsidRPr="0028049B">
        <w:rPr>
          <w:lang w:val="en-GB"/>
        </w:rPr>
        <w:t xml:space="preserve"> </w:t>
      </w:r>
      <w:r w:rsidR="00EC2DB1" w:rsidRPr="0028049B">
        <w:rPr>
          <w:lang w:val="en-GB"/>
        </w:rPr>
        <w:t xml:space="preserve">section and </w:t>
      </w:r>
      <w:r w:rsidR="007456EF" w:rsidRPr="0028049B">
        <w:rPr>
          <w:lang w:val="en-GB"/>
        </w:rPr>
        <w:t>incorporate</w:t>
      </w:r>
      <w:r w:rsidR="00734CBA" w:rsidRPr="0028049B">
        <w:rPr>
          <w:lang w:val="en-GB"/>
        </w:rPr>
        <w:t>s</w:t>
      </w:r>
      <w:r w:rsidR="00160D83" w:rsidRPr="0028049B">
        <w:rPr>
          <w:lang w:val="en-GB"/>
        </w:rPr>
        <w:t xml:space="preserve"> novel electrocatalysts </w:t>
      </w:r>
      <w:r w:rsidR="00CD7881" w:rsidRPr="0028049B">
        <w:rPr>
          <w:lang w:val="en-GB"/>
        </w:rPr>
        <w:t>integrated into</w:t>
      </w:r>
      <w:r w:rsidR="00160D83" w:rsidRPr="0028049B">
        <w:rPr>
          <w:lang w:val="en-GB"/>
        </w:rPr>
        <w:t xml:space="preserve"> </w:t>
      </w:r>
      <w:r w:rsidR="00F9076E">
        <w:rPr>
          <w:lang w:val="en-GB"/>
        </w:rPr>
        <w:t>gas diffusion</w:t>
      </w:r>
      <w:r w:rsidR="00160D83" w:rsidRPr="0028049B">
        <w:rPr>
          <w:lang w:val="en-GB"/>
        </w:rPr>
        <w:t xml:space="preserve"> electrodes (GDEs). Specifically, the electrocatalysts are based on ruthenium (Ru), deposited on alumina (Al</w:t>
      </w:r>
      <w:r w:rsidR="00160D83" w:rsidRPr="0028049B">
        <w:rPr>
          <w:vertAlign w:val="subscript"/>
          <w:lang w:val="en-GB"/>
        </w:rPr>
        <w:t>2</w:t>
      </w:r>
      <w:r w:rsidR="00160D83" w:rsidRPr="0028049B">
        <w:rPr>
          <w:lang w:val="en-GB"/>
        </w:rPr>
        <w:t>O</w:t>
      </w:r>
      <w:r w:rsidR="00160D83" w:rsidRPr="0028049B">
        <w:rPr>
          <w:vertAlign w:val="subscript"/>
          <w:lang w:val="en-GB"/>
        </w:rPr>
        <w:t>3</w:t>
      </w:r>
      <w:r w:rsidR="00160D83" w:rsidRPr="0028049B">
        <w:rPr>
          <w:lang w:val="en-GB"/>
        </w:rPr>
        <w:t xml:space="preserve">) or carbon nanotubes (CNTs). </w:t>
      </w:r>
      <w:r w:rsidR="008B0CE4" w:rsidRPr="0028049B">
        <w:rPr>
          <w:lang w:val="en-GB"/>
        </w:rPr>
        <w:t xml:space="preserve">A key </w:t>
      </w:r>
      <w:r w:rsidR="0039123C" w:rsidRPr="0028049B">
        <w:rPr>
          <w:lang w:val="en-GB"/>
        </w:rPr>
        <w:t>objective</w:t>
      </w:r>
      <w:r w:rsidR="00160D83" w:rsidRPr="0028049B">
        <w:rPr>
          <w:lang w:val="en-GB"/>
        </w:rPr>
        <w:t xml:space="preserve"> </w:t>
      </w:r>
      <w:r w:rsidR="00000ED9" w:rsidRPr="0028049B">
        <w:rPr>
          <w:lang w:val="en-GB"/>
        </w:rPr>
        <w:t xml:space="preserve">of this study </w:t>
      </w:r>
      <w:r w:rsidR="00734BFA" w:rsidRPr="0028049B">
        <w:rPr>
          <w:lang w:val="en-GB"/>
        </w:rPr>
        <w:t xml:space="preserve">is </w:t>
      </w:r>
      <w:r w:rsidR="00000ED9" w:rsidRPr="0028049B">
        <w:rPr>
          <w:lang w:val="en-GB"/>
        </w:rPr>
        <w:t xml:space="preserve">to evaluate the </w:t>
      </w:r>
      <w:r w:rsidR="00E1076D" w:rsidRPr="0028049B">
        <w:rPr>
          <w:lang w:val="en-GB"/>
        </w:rPr>
        <w:t xml:space="preserve">partial or </w:t>
      </w:r>
      <w:r w:rsidR="00000ED9" w:rsidRPr="0028049B">
        <w:rPr>
          <w:lang w:val="en-GB"/>
        </w:rPr>
        <w:t xml:space="preserve">total replacement of Ru with a more abundant and </w:t>
      </w:r>
      <w:r w:rsidR="00E1076D" w:rsidRPr="0028049B">
        <w:rPr>
          <w:lang w:val="en-GB"/>
        </w:rPr>
        <w:t>cost-effective</w:t>
      </w:r>
      <w:r w:rsidR="00000ED9" w:rsidRPr="0028049B">
        <w:rPr>
          <w:lang w:val="en-GB"/>
        </w:rPr>
        <w:t xml:space="preserve"> material</w:t>
      </w:r>
      <w:r w:rsidR="00E1076D" w:rsidRPr="0028049B">
        <w:rPr>
          <w:lang w:val="en-GB"/>
        </w:rPr>
        <w:t>,</w:t>
      </w:r>
      <w:r w:rsidR="00000ED9" w:rsidRPr="0028049B">
        <w:rPr>
          <w:lang w:val="en-GB"/>
        </w:rPr>
        <w:t xml:space="preserve"> such as iron (Fe).</w:t>
      </w:r>
      <w:r w:rsidR="00426A9E" w:rsidRPr="0028049B">
        <w:rPr>
          <w:lang w:val="en-GB"/>
        </w:rPr>
        <w:t xml:space="preserve"> The productivity of the produced NH</w:t>
      </w:r>
      <w:r w:rsidR="00426A9E" w:rsidRPr="0028049B">
        <w:rPr>
          <w:vertAlign w:val="subscript"/>
          <w:lang w:val="en-GB"/>
        </w:rPr>
        <w:t xml:space="preserve">3 </w:t>
      </w:r>
      <w:r w:rsidR="00426A9E" w:rsidRPr="0028049B">
        <w:rPr>
          <w:lang w:val="en-GB"/>
        </w:rPr>
        <w:t>(</w:t>
      </w:r>
      <w:r w:rsidR="00426A9E" w:rsidRPr="0028049B">
        <w:rPr>
          <w:rFonts w:cs="Arial"/>
          <w:szCs w:val="18"/>
          <w:lang w:val="en-GB"/>
        </w:rPr>
        <w:t xml:space="preserve">in </w:t>
      </w:r>
      <w:r w:rsidR="00426A9E" w:rsidRPr="0028049B">
        <w:rPr>
          <w:rFonts w:ascii="Symbol" w:hAnsi="Symbol" w:cs="Arial"/>
          <w:szCs w:val="18"/>
          <w:lang w:val="en-GB"/>
        </w:rPr>
        <w:t>m</w:t>
      </w:r>
      <w:r w:rsidR="00426A9E" w:rsidRPr="0028049B">
        <w:rPr>
          <w:rFonts w:cs="Arial"/>
          <w:szCs w:val="18"/>
          <w:lang w:val="en-GB"/>
        </w:rPr>
        <w:t>g mg</w:t>
      </w:r>
      <w:r w:rsidR="00426A9E" w:rsidRPr="0028049B">
        <w:rPr>
          <w:rFonts w:cs="Arial"/>
          <w:szCs w:val="18"/>
          <w:vertAlign w:val="subscript"/>
          <w:lang w:val="en-GB"/>
        </w:rPr>
        <w:t>cat</w:t>
      </w:r>
      <w:r w:rsidR="00426A9E" w:rsidRPr="0028049B">
        <w:rPr>
          <w:rFonts w:cs="Arial"/>
          <w:szCs w:val="18"/>
          <w:vertAlign w:val="superscript"/>
          <w:lang w:val="en-GB"/>
        </w:rPr>
        <w:t>-1</w:t>
      </w:r>
      <w:r w:rsidR="00426A9E" w:rsidRPr="0028049B">
        <w:rPr>
          <w:rFonts w:cs="Arial"/>
          <w:szCs w:val="18"/>
          <w:lang w:val="en-GB"/>
        </w:rPr>
        <w:t xml:space="preserve"> h</w:t>
      </w:r>
      <w:r w:rsidR="00426A9E" w:rsidRPr="0028049B">
        <w:rPr>
          <w:rFonts w:cs="Arial"/>
          <w:szCs w:val="18"/>
          <w:vertAlign w:val="superscript"/>
          <w:lang w:val="en-GB"/>
        </w:rPr>
        <w:t>-1</w:t>
      </w:r>
      <w:r w:rsidR="00426A9E" w:rsidRPr="0028049B">
        <w:rPr>
          <w:lang w:val="en-GB"/>
        </w:rPr>
        <w:t>)</w:t>
      </w:r>
      <w:r w:rsidR="00D32545" w:rsidRPr="0028049B">
        <w:rPr>
          <w:lang w:val="en-GB"/>
        </w:rPr>
        <w:t xml:space="preserve"> </w:t>
      </w:r>
      <w:r w:rsidR="00BF2CF3" w:rsidRPr="0028049B">
        <w:rPr>
          <w:lang w:val="en-GB"/>
        </w:rPr>
        <w:t xml:space="preserve">and the Faradaic </w:t>
      </w:r>
      <w:r w:rsidR="00434926" w:rsidRPr="0028049B">
        <w:rPr>
          <w:lang w:val="en-GB"/>
        </w:rPr>
        <w:t>Efficiency</w:t>
      </w:r>
      <w:r w:rsidR="00BF2CF3" w:rsidRPr="0028049B">
        <w:rPr>
          <w:lang w:val="en-GB"/>
        </w:rPr>
        <w:t xml:space="preserve"> (</w:t>
      </w:r>
      <w:r w:rsidR="00EC2DB1" w:rsidRPr="0028049B">
        <w:rPr>
          <w:lang w:val="en-GB"/>
        </w:rPr>
        <w:t>FE</w:t>
      </w:r>
      <w:r w:rsidR="00BF2CF3" w:rsidRPr="0028049B">
        <w:rPr>
          <w:lang w:val="en-GB"/>
        </w:rPr>
        <w:t xml:space="preserve">) </w:t>
      </w:r>
      <w:r w:rsidR="000E1C3C" w:rsidRPr="0028049B">
        <w:rPr>
          <w:lang w:val="en-GB"/>
        </w:rPr>
        <w:t>are</w:t>
      </w:r>
      <w:r w:rsidR="00237E44" w:rsidRPr="0028049B">
        <w:rPr>
          <w:lang w:val="en-GB"/>
        </w:rPr>
        <w:t xml:space="preserve"> provided and</w:t>
      </w:r>
      <w:r w:rsidR="00426A9E" w:rsidRPr="0028049B">
        <w:rPr>
          <w:lang w:val="en-GB"/>
        </w:rPr>
        <w:t xml:space="preserve"> discussed</w:t>
      </w:r>
      <w:r w:rsidR="00473C1E" w:rsidRPr="0028049B">
        <w:rPr>
          <w:lang w:val="en-GB"/>
        </w:rPr>
        <w:t>.</w:t>
      </w:r>
      <w:r w:rsidR="0017678F" w:rsidRPr="0028049B">
        <w:rPr>
          <w:lang w:val="en-GB"/>
        </w:rPr>
        <w:t xml:space="preserve"> </w:t>
      </w:r>
      <w:r w:rsidR="003E0151" w:rsidRPr="0028049B">
        <w:rPr>
          <w:lang w:val="en-GB"/>
        </w:rPr>
        <w:t xml:space="preserve">Another important aspect of this work is </w:t>
      </w:r>
      <w:r w:rsidR="00217BA6">
        <w:rPr>
          <w:lang w:val="en-GB"/>
        </w:rPr>
        <w:t>how</w:t>
      </w:r>
      <w:r w:rsidR="003E0151" w:rsidRPr="0028049B">
        <w:rPr>
          <w:lang w:val="en-GB"/>
        </w:rPr>
        <w:t xml:space="preserve"> ammonia contamination </w:t>
      </w:r>
      <w:r w:rsidR="00734BFA" w:rsidRPr="0028049B">
        <w:rPr>
          <w:lang w:val="en-GB"/>
        </w:rPr>
        <w:t xml:space="preserve">is </w:t>
      </w:r>
      <w:r w:rsidR="003E0151" w:rsidRPr="0028049B">
        <w:rPr>
          <w:lang w:val="en-GB"/>
        </w:rPr>
        <w:t xml:space="preserve">addressed, using a cheaper but still rigorous protocol than </w:t>
      </w:r>
      <w:r w:rsidR="00734BFA" w:rsidRPr="0028049B">
        <w:rPr>
          <w:lang w:val="en-GB"/>
        </w:rPr>
        <w:t>the one</w:t>
      </w:r>
      <w:r w:rsidR="00FA0B91" w:rsidRPr="0028049B">
        <w:rPr>
          <w:lang w:val="en-GB"/>
        </w:rPr>
        <w:t xml:space="preserve"> </w:t>
      </w:r>
      <w:r w:rsidR="003E0151" w:rsidRPr="0028049B">
        <w:rPr>
          <w:lang w:val="en-GB"/>
        </w:rPr>
        <w:t xml:space="preserve">reported in the literature using </w:t>
      </w:r>
      <w:r w:rsidR="00FA0B91" w:rsidRPr="0028049B">
        <w:rPr>
          <w:lang w:val="en-GB"/>
        </w:rPr>
        <w:t xml:space="preserve">expensive </w:t>
      </w:r>
      <w:r w:rsidR="00A67703" w:rsidRPr="0028049B">
        <w:rPr>
          <w:lang w:val="en-GB"/>
        </w:rPr>
        <w:t>labelled</w:t>
      </w:r>
      <w:r w:rsidR="003E0151" w:rsidRPr="0028049B">
        <w:rPr>
          <w:lang w:val="en-GB"/>
        </w:rPr>
        <w:t xml:space="preserve"> nitrogen </w:t>
      </w:r>
      <w:r w:rsidR="005A2042" w:rsidRPr="0028049B">
        <w:rPr>
          <w:lang w:val="en-GB"/>
        </w:rPr>
        <w:t>(N</w:t>
      </w:r>
      <w:r w:rsidR="002E68CD" w:rsidRPr="0028049B">
        <w:rPr>
          <w:vertAlign w:val="superscript"/>
          <w:lang w:val="en-GB"/>
        </w:rPr>
        <w:t>15</w:t>
      </w:r>
      <w:r w:rsidR="005A2042" w:rsidRPr="0028049B">
        <w:rPr>
          <w:lang w:val="en-GB"/>
        </w:rPr>
        <w:t>)</w:t>
      </w:r>
      <w:r w:rsidR="002E68CD" w:rsidRPr="0028049B">
        <w:rPr>
          <w:lang w:val="en-GB"/>
        </w:rPr>
        <w:t xml:space="preserve">. </w:t>
      </w:r>
      <w:r w:rsidR="00FA0B91" w:rsidRPr="0028049B">
        <w:rPr>
          <w:lang w:val="en-GB"/>
        </w:rPr>
        <w:t xml:space="preserve">Results show that </w:t>
      </w:r>
      <w:r w:rsidR="00FA7531" w:rsidRPr="0028049B">
        <w:rPr>
          <w:lang w:val="en-GB"/>
        </w:rPr>
        <w:t>c</w:t>
      </w:r>
      <w:r w:rsidR="006B4D29" w:rsidRPr="0028049B">
        <w:rPr>
          <w:lang w:val="en-GB"/>
        </w:rPr>
        <w:t>ell</w:t>
      </w:r>
      <w:r w:rsidR="0017678F" w:rsidRPr="0028049B">
        <w:rPr>
          <w:lang w:val="en-GB"/>
        </w:rPr>
        <w:t xml:space="preserve"> design plays a key </w:t>
      </w:r>
      <w:r w:rsidR="005E5EDF" w:rsidRPr="0028049B">
        <w:rPr>
          <w:lang w:val="en-GB"/>
        </w:rPr>
        <w:t>role,</w:t>
      </w:r>
      <w:r w:rsidR="0017678F" w:rsidRPr="0028049B">
        <w:rPr>
          <w:lang w:val="en-GB"/>
        </w:rPr>
        <w:t xml:space="preserve"> and the partial substitution of an abundant material (Fe) brings benefits, compared with the common noble metals reported in the literature</w:t>
      </w:r>
      <w:r w:rsidR="007C38FF" w:rsidRPr="0028049B">
        <w:rPr>
          <w:lang w:val="en-GB"/>
        </w:rPr>
        <w:t>.</w:t>
      </w:r>
      <w:r w:rsidR="0017678F" w:rsidRPr="0028049B">
        <w:rPr>
          <w:lang w:val="en-GB"/>
        </w:rPr>
        <w:t xml:space="preserve"> Furthermore, this contribution </w:t>
      </w:r>
      <w:r w:rsidR="00782F05" w:rsidRPr="0028049B">
        <w:rPr>
          <w:lang w:val="en-GB"/>
        </w:rPr>
        <w:t xml:space="preserve">identifies </w:t>
      </w:r>
      <w:r w:rsidR="0017678F" w:rsidRPr="0028049B">
        <w:rPr>
          <w:lang w:val="en-GB"/>
        </w:rPr>
        <w:t xml:space="preserve">the critical aspects to be addressed, </w:t>
      </w:r>
      <w:r w:rsidR="005E5EDF" w:rsidRPr="0028049B">
        <w:rPr>
          <w:lang w:val="en-GB"/>
        </w:rPr>
        <w:t>emphasizing the need for</w:t>
      </w:r>
      <w:r w:rsidR="00193548" w:rsidRPr="0028049B">
        <w:rPr>
          <w:lang w:val="en-GB"/>
        </w:rPr>
        <w:t xml:space="preserve"> breakthrough</w:t>
      </w:r>
      <w:r w:rsidR="005E5EDF" w:rsidRPr="0028049B">
        <w:rPr>
          <w:lang w:val="en-GB"/>
        </w:rPr>
        <w:t>s</w:t>
      </w:r>
      <w:r w:rsidR="00193548" w:rsidRPr="0028049B">
        <w:rPr>
          <w:lang w:val="en-GB"/>
        </w:rPr>
        <w:t xml:space="preserve"> to enhance performance in this highly challenging </w:t>
      </w:r>
      <w:r w:rsidR="00F2233A">
        <w:rPr>
          <w:lang w:val="en-GB"/>
        </w:rPr>
        <w:t>process</w:t>
      </w:r>
      <w:r w:rsidR="0017678F" w:rsidRPr="0028049B">
        <w:rPr>
          <w:lang w:val="en-GB"/>
        </w:rPr>
        <w:t>.</w:t>
      </w:r>
    </w:p>
    <w:p w14:paraId="6784E023" w14:textId="77777777" w:rsidR="007E15A9" w:rsidRPr="0028049B" w:rsidRDefault="007E15A9" w:rsidP="00BD1349">
      <w:pPr>
        <w:pStyle w:val="CETHeading1"/>
        <w:jc w:val="both"/>
        <w:rPr>
          <w:lang w:val="en-GB"/>
        </w:rPr>
      </w:pPr>
      <w:r w:rsidRPr="0028049B">
        <w:rPr>
          <w:lang w:val="en-GB"/>
        </w:rPr>
        <w:t>Introduction</w:t>
      </w:r>
    </w:p>
    <w:p w14:paraId="2C528964" w14:textId="7BA73C52" w:rsidR="00C05B81" w:rsidRDefault="007B4BF8" w:rsidP="0017216E">
      <w:pPr>
        <w:pStyle w:val="CETBodytext"/>
        <w:rPr>
          <w:lang w:val="en-GB"/>
        </w:rPr>
      </w:pPr>
      <w:r w:rsidRPr="0028049B">
        <w:rPr>
          <w:lang w:val="en-GB"/>
        </w:rPr>
        <w:t xml:space="preserve">Nitrogen reduction </w:t>
      </w:r>
      <w:r w:rsidR="00960290">
        <w:rPr>
          <w:lang w:val="en-GB"/>
        </w:rPr>
        <w:t xml:space="preserve">reaction (NRR) </w:t>
      </w:r>
      <w:r w:rsidRPr="0028049B">
        <w:rPr>
          <w:lang w:val="en-GB"/>
        </w:rPr>
        <w:t xml:space="preserve">is a </w:t>
      </w:r>
      <w:r w:rsidR="000069C2" w:rsidRPr="0028049B">
        <w:rPr>
          <w:lang w:val="en-GB"/>
        </w:rPr>
        <w:t xml:space="preserve">today’s </w:t>
      </w:r>
      <w:r w:rsidRPr="0028049B">
        <w:rPr>
          <w:lang w:val="en-GB"/>
        </w:rPr>
        <w:t xml:space="preserve">challenge to meet the growing demand for ammonia. The Haber Bosh process is the only current industrial-scale </w:t>
      </w:r>
      <w:r w:rsidR="000069C2" w:rsidRPr="0028049B">
        <w:rPr>
          <w:lang w:val="en-GB"/>
        </w:rPr>
        <w:t xml:space="preserve">ammonia </w:t>
      </w:r>
      <w:r w:rsidRPr="0028049B">
        <w:rPr>
          <w:lang w:val="en-GB"/>
        </w:rPr>
        <w:t>production system</w:t>
      </w:r>
      <w:r w:rsidR="00483B7C" w:rsidRPr="0028049B">
        <w:rPr>
          <w:lang w:val="en-GB"/>
        </w:rPr>
        <w:t>,</w:t>
      </w:r>
      <w:r w:rsidR="00225782" w:rsidRPr="0028049B">
        <w:rPr>
          <w:lang w:val="en-GB"/>
        </w:rPr>
        <w:t xml:space="preserve"> operating</w:t>
      </w:r>
      <w:r w:rsidRPr="0028049B">
        <w:rPr>
          <w:lang w:val="en-GB"/>
        </w:rPr>
        <w:t xml:space="preserve"> at high pressures and temperatures</w:t>
      </w:r>
      <w:r w:rsidR="000476CD" w:rsidRPr="0028049B">
        <w:rPr>
          <w:lang w:val="en-GB"/>
        </w:rPr>
        <w:t xml:space="preserve"> (20−40 MPa, 400−600 °C)</w:t>
      </w:r>
      <w:r w:rsidRPr="0028049B">
        <w:rPr>
          <w:lang w:val="en-GB"/>
        </w:rPr>
        <w:t xml:space="preserve">. </w:t>
      </w:r>
      <w:r w:rsidR="003D25D5" w:rsidRPr="0028049B">
        <w:rPr>
          <w:lang w:val="en-GB"/>
        </w:rPr>
        <w:t>T</w:t>
      </w:r>
      <w:r w:rsidRPr="0028049B">
        <w:rPr>
          <w:lang w:val="en-GB"/>
        </w:rPr>
        <w:t xml:space="preserve">his process is highly </w:t>
      </w:r>
      <w:r w:rsidR="00C53DCB" w:rsidRPr="0028049B">
        <w:rPr>
          <w:lang w:val="en-GB"/>
        </w:rPr>
        <w:t>energy intensive</w:t>
      </w:r>
      <w:r w:rsidRPr="0028049B">
        <w:rPr>
          <w:lang w:val="en-GB"/>
        </w:rPr>
        <w:t xml:space="preserve"> as it consumes 1% of global energy production</w:t>
      </w:r>
      <w:r w:rsidR="003A58F9" w:rsidRPr="0028049B">
        <w:rPr>
          <w:lang w:val="en-GB"/>
        </w:rPr>
        <w:t xml:space="preserve"> (</w:t>
      </w:r>
      <w:r w:rsidR="006709EB" w:rsidRPr="0028049B">
        <w:rPr>
          <w:lang w:val="en-GB"/>
        </w:rPr>
        <w:t>Schrock, 2006</w:t>
      </w:r>
      <w:r w:rsidR="003A58F9" w:rsidRPr="0028049B">
        <w:rPr>
          <w:lang w:val="en-GB"/>
        </w:rPr>
        <w:t>)</w:t>
      </w:r>
      <w:r w:rsidRPr="0028049B">
        <w:rPr>
          <w:lang w:val="en-GB"/>
        </w:rPr>
        <w:t xml:space="preserve"> and emits millions of tons of CO</w:t>
      </w:r>
      <w:r w:rsidRPr="0028049B">
        <w:rPr>
          <w:vertAlign w:val="subscript"/>
          <w:lang w:val="en-GB"/>
        </w:rPr>
        <w:t>2</w:t>
      </w:r>
      <w:r w:rsidRPr="0028049B">
        <w:rPr>
          <w:lang w:val="en-GB"/>
        </w:rPr>
        <w:t xml:space="preserve"> into the atmosphere </w:t>
      </w:r>
      <w:r w:rsidR="00AC1A85" w:rsidRPr="0028049B">
        <w:rPr>
          <w:lang w:val="en-GB"/>
        </w:rPr>
        <w:t>(</w:t>
      </w:r>
      <w:r w:rsidR="006709EB" w:rsidRPr="0028049B">
        <w:rPr>
          <w:lang w:val="en-GB"/>
        </w:rPr>
        <w:t>Rafiqul et al., 2005</w:t>
      </w:r>
      <w:r w:rsidR="00AC1A85" w:rsidRPr="0028049B">
        <w:rPr>
          <w:lang w:val="en-GB"/>
        </w:rPr>
        <w:t>)</w:t>
      </w:r>
      <w:r w:rsidR="00075CB2" w:rsidRPr="0028049B">
        <w:rPr>
          <w:lang w:val="en-GB"/>
        </w:rPr>
        <w:t xml:space="preserve"> </w:t>
      </w:r>
      <w:r w:rsidR="00C924BE" w:rsidRPr="0028049B">
        <w:rPr>
          <w:lang w:val="en-GB"/>
        </w:rPr>
        <w:t>despite th</w:t>
      </w:r>
      <w:r w:rsidRPr="0028049B">
        <w:rPr>
          <w:lang w:val="en-GB"/>
        </w:rPr>
        <w:t xml:space="preserve">e Haber Bosh reactor and the process itself </w:t>
      </w:r>
      <w:r w:rsidR="00C924BE" w:rsidRPr="0028049B">
        <w:rPr>
          <w:lang w:val="en-GB"/>
        </w:rPr>
        <w:t>being</w:t>
      </w:r>
      <w:r w:rsidRPr="0028049B">
        <w:rPr>
          <w:lang w:val="en-GB"/>
        </w:rPr>
        <w:t xml:space="preserve"> highly engineered and optimized (</w:t>
      </w:r>
      <w:r w:rsidR="00EA03CD">
        <w:rPr>
          <w:lang w:val="en-GB"/>
        </w:rPr>
        <w:t>Rowenhorst</w:t>
      </w:r>
      <w:r w:rsidR="00EA03CD" w:rsidRPr="0028049B">
        <w:rPr>
          <w:lang w:val="en-GB"/>
        </w:rPr>
        <w:t xml:space="preserve"> </w:t>
      </w:r>
      <w:r w:rsidR="00261FC8" w:rsidRPr="0028049B">
        <w:rPr>
          <w:lang w:val="en-GB"/>
        </w:rPr>
        <w:t xml:space="preserve">et al., </w:t>
      </w:r>
      <w:r w:rsidR="00EA03CD" w:rsidRPr="0028049B">
        <w:rPr>
          <w:lang w:val="en-GB"/>
        </w:rPr>
        <w:t>202</w:t>
      </w:r>
      <w:r w:rsidR="00EA03CD">
        <w:rPr>
          <w:lang w:val="en-GB"/>
        </w:rPr>
        <w:t>1</w:t>
      </w:r>
      <w:r w:rsidRPr="0028049B">
        <w:rPr>
          <w:lang w:val="en-GB"/>
        </w:rPr>
        <w:t xml:space="preserve">). </w:t>
      </w:r>
      <w:r w:rsidR="00C91477" w:rsidRPr="00FC1739">
        <w:rPr>
          <w:lang w:val="en-GB"/>
        </w:rPr>
        <w:t xml:space="preserve">For this reason, </w:t>
      </w:r>
      <w:r w:rsidR="00CC218B">
        <w:rPr>
          <w:lang w:val="en-GB"/>
        </w:rPr>
        <w:t xml:space="preserve">the </w:t>
      </w:r>
      <w:r w:rsidR="00395382" w:rsidRPr="00FC1739">
        <w:rPr>
          <w:lang w:val="en-GB"/>
        </w:rPr>
        <w:t xml:space="preserve">challenge </w:t>
      </w:r>
      <w:r w:rsidRPr="00FC1739">
        <w:rPr>
          <w:lang w:val="en-GB"/>
        </w:rPr>
        <w:t>is to find an emerging technology that allows ammonia to be obtained in a more sustainable</w:t>
      </w:r>
      <w:r w:rsidR="00CC218B">
        <w:rPr>
          <w:lang w:val="en-GB"/>
        </w:rPr>
        <w:t xml:space="preserve"> and decentralized</w:t>
      </w:r>
      <w:r w:rsidRPr="00FC1739">
        <w:rPr>
          <w:lang w:val="en-GB"/>
        </w:rPr>
        <w:t xml:space="preserve"> way</w:t>
      </w:r>
      <w:r w:rsidRPr="0028049B">
        <w:rPr>
          <w:lang w:val="en-GB"/>
        </w:rPr>
        <w:t xml:space="preserve">. </w:t>
      </w:r>
      <w:r w:rsidR="00622E89" w:rsidRPr="0028049B">
        <w:rPr>
          <w:lang w:val="en-GB"/>
        </w:rPr>
        <w:t>A</w:t>
      </w:r>
      <w:r w:rsidRPr="0028049B">
        <w:rPr>
          <w:lang w:val="en-GB"/>
        </w:rPr>
        <w:t xml:space="preserve">mong the various innovative </w:t>
      </w:r>
      <w:r w:rsidR="0057607D">
        <w:rPr>
          <w:lang w:val="en-GB"/>
        </w:rPr>
        <w:t>approaches to ammonia</w:t>
      </w:r>
      <w:r w:rsidRPr="0028049B">
        <w:rPr>
          <w:lang w:val="en-GB"/>
        </w:rPr>
        <w:t xml:space="preserve"> production</w:t>
      </w:r>
      <w:r w:rsidR="0057607D">
        <w:rPr>
          <w:lang w:val="en-GB"/>
        </w:rPr>
        <w:t>,</w:t>
      </w:r>
      <w:r w:rsidRPr="0028049B">
        <w:rPr>
          <w:lang w:val="en-GB"/>
        </w:rPr>
        <w:t xml:space="preserve"> there are electrocatalytic processes that exploit electrical energy to </w:t>
      </w:r>
      <w:r w:rsidR="00B752D3">
        <w:rPr>
          <w:lang w:val="en-GB"/>
        </w:rPr>
        <w:t>drive</w:t>
      </w:r>
      <w:r w:rsidR="00B752D3" w:rsidRPr="0028049B">
        <w:rPr>
          <w:lang w:val="en-GB"/>
        </w:rPr>
        <w:t xml:space="preserve"> </w:t>
      </w:r>
      <w:r w:rsidRPr="0028049B">
        <w:rPr>
          <w:lang w:val="en-GB"/>
        </w:rPr>
        <w:t>the reactions</w:t>
      </w:r>
      <w:r w:rsidR="00807318">
        <w:rPr>
          <w:lang w:val="en-GB"/>
        </w:rPr>
        <w:t xml:space="preserve"> and</w:t>
      </w:r>
      <w:r w:rsidRPr="0028049B">
        <w:rPr>
          <w:lang w:val="en-GB"/>
        </w:rPr>
        <w:t xml:space="preserve"> can be perfectly integrated with the current energy transition</w:t>
      </w:r>
      <w:r w:rsidR="00A32A21">
        <w:rPr>
          <w:lang w:val="en-GB"/>
        </w:rPr>
        <w:t>,</w:t>
      </w:r>
      <w:r w:rsidR="007F2A89" w:rsidRPr="0028049B">
        <w:rPr>
          <w:lang w:val="en-GB"/>
        </w:rPr>
        <w:t xml:space="preserve"> although the electrocatalysis</w:t>
      </w:r>
      <w:r w:rsidR="00102738" w:rsidRPr="0028049B">
        <w:rPr>
          <w:lang w:val="en-GB"/>
        </w:rPr>
        <w:t xml:space="preserve"> </w:t>
      </w:r>
      <w:r w:rsidR="00C547E4" w:rsidRPr="0028049B">
        <w:rPr>
          <w:lang w:val="en-GB"/>
        </w:rPr>
        <w:t>remains</w:t>
      </w:r>
      <w:r w:rsidR="00102738" w:rsidRPr="0028049B">
        <w:rPr>
          <w:lang w:val="en-GB"/>
        </w:rPr>
        <w:t xml:space="preserve"> far from industrial standards</w:t>
      </w:r>
      <w:r w:rsidR="00172A6B" w:rsidRPr="0028049B">
        <w:rPr>
          <w:lang w:val="en-GB"/>
        </w:rPr>
        <w:t xml:space="preserve"> (Tavella et al., 2022)</w:t>
      </w:r>
      <w:r w:rsidRPr="0028049B">
        <w:rPr>
          <w:lang w:val="en-GB"/>
        </w:rPr>
        <w:t xml:space="preserve">. </w:t>
      </w:r>
      <w:r w:rsidR="0068240B" w:rsidRPr="0028049B">
        <w:rPr>
          <w:lang w:val="en-GB"/>
        </w:rPr>
        <w:t>T</w:t>
      </w:r>
      <w:r w:rsidRPr="0028049B">
        <w:rPr>
          <w:lang w:val="en-GB"/>
        </w:rPr>
        <w:t>he main problems of e</w:t>
      </w:r>
      <w:r w:rsidR="009B5EA1" w:rsidRPr="0028049B">
        <w:rPr>
          <w:lang w:val="en-GB"/>
        </w:rPr>
        <w:t xml:space="preserve">lectrochemical </w:t>
      </w:r>
      <w:r w:rsidRPr="0028049B">
        <w:rPr>
          <w:lang w:val="en-GB"/>
        </w:rPr>
        <w:t>NRR are the low solubility of nitrogen in the aqueous medium and the concurrent hydrogen</w:t>
      </w:r>
      <w:r w:rsidR="00807318">
        <w:rPr>
          <w:lang w:val="en-GB"/>
        </w:rPr>
        <w:t xml:space="preserve"> evolution</w:t>
      </w:r>
      <w:r w:rsidRPr="0028049B">
        <w:rPr>
          <w:lang w:val="en-GB"/>
        </w:rPr>
        <w:t xml:space="preserve"> reaction (HER).</w:t>
      </w:r>
    </w:p>
    <w:p w14:paraId="0E4B8D25" w14:textId="73F1BB25" w:rsidR="0017216E" w:rsidRPr="0028049B" w:rsidRDefault="007B4BF8" w:rsidP="0017216E">
      <w:pPr>
        <w:pStyle w:val="CETBodytext"/>
        <w:rPr>
          <w:lang w:val="en-GB"/>
        </w:rPr>
      </w:pPr>
      <w:r w:rsidRPr="0028049B">
        <w:rPr>
          <w:lang w:val="en-GB"/>
        </w:rPr>
        <w:t>Reactors that operate without electrolyte have recently attracted attention</w:t>
      </w:r>
      <w:r w:rsidR="006A4A7C">
        <w:rPr>
          <w:lang w:val="en-GB"/>
        </w:rPr>
        <w:t>. T</w:t>
      </w:r>
      <w:r w:rsidR="005675F5" w:rsidRPr="0028049B">
        <w:rPr>
          <w:lang w:val="en-GB"/>
        </w:rPr>
        <w:t xml:space="preserve">his </w:t>
      </w:r>
      <w:r w:rsidR="006A4A7C">
        <w:rPr>
          <w:lang w:val="en-GB"/>
        </w:rPr>
        <w:t>work</w:t>
      </w:r>
      <w:r w:rsidR="005675F5" w:rsidRPr="0028049B">
        <w:rPr>
          <w:lang w:val="en-GB"/>
        </w:rPr>
        <w:t xml:space="preserve"> aims</w:t>
      </w:r>
      <w:r w:rsidRPr="0028049B">
        <w:rPr>
          <w:lang w:val="en-GB"/>
        </w:rPr>
        <w:t xml:space="preserve"> to compare the performance of noble and non-noble metals</w:t>
      </w:r>
      <w:r w:rsidR="00207A9A">
        <w:rPr>
          <w:lang w:val="en-GB"/>
        </w:rPr>
        <w:t xml:space="preserve"> when processed </w:t>
      </w:r>
      <w:r w:rsidR="00C05B81">
        <w:rPr>
          <w:lang w:val="en-GB"/>
        </w:rPr>
        <w:t xml:space="preserve">in these innovative gas-phase </w:t>
      </w:r>
      <w:r w:rsidR="00207A9A">
        <w:rPr>
          <w:lang w:val="en-GB"/>
        </w:rPr>
        <w:t xml:space="preserve">electrochemical </w:t>
      </w:r>
      <w:r w:rsidR="00C05B81">
        <w:rPr>
          <w:lang w:val="en-GB"/>
        </w:rPr>
        <w:t>devi</w:t>
      </w:r>
      <w:r w:rsidR="00207A9A">
        <w:rPr>
          <w:lang w:val="en-GB"/>
        </w:rPr>
        <w:t>c</w:t>
      </w:r>
      <w:r w:rsidR="00C05B81">
        <w:rPr>
          <w:lang w:val="en-GB"/>
        </w:rPr>
        <w:t>es.</w:t>
      </w:r>
      <w:r w:rsidRPr="0028049B">
        <w:rPr>
          <w:lang w:val="en-GB"/>
        </w:rPr>
        <w:t xml:space="preserve"> Ruthenium </w:t>
      </w:r>
      <w:r w:rsidR="00207A9A">
        <w:rPr>
          <w:lang w:val="en-GB"/>
        </w:rPr>
        <w:t xml:space="preserve">(Ru) </w:t>
      </w:r>
      <w:r w:rsidRPr="0028049B">
        <w:rPr>
          <w:lang w:val="en-GB"/>
        </w:rPr>
        <w:t xml:space="preserve">and Iron </w:t>
      </w:r>
      <w:r w:rsidR="00207A9A">
        <w:rPr>
          <w:lang w:val="en-GB"/>
        </w:rPr>
        <w:t xml:space="preserve">(Fe) </w:t>
      </w:r>
      <w:r w:rsidRPr="0028049B">
        <w:rPr>
          <w:lang w:val="en-GB"/>
        </w:rPr>
        <w:t>are found at the top of the volcano plot</w:t>
      </w:r>
      <w:r w:rsidR="00C86581" w:rsidRPr="0028049B">
        <w:rPr>
          <w:lang w:val="en-GB"/>
        </w:rPr>
        <w:t xml:space="preserve"> (</w:t>
      </w:r>
      <w:r w:rsidR="000050B8" w:rsidRPr="0028049B">
        <w:rPr>
          <w:lang w:val="en-GB"/>
        </w:rPr>
        <w:t>Guo et al., 2019</w:t>
      </w:r>
      <w:r w:rsidR="00C86581" w:rsidRPr="0028049B">
        <w:rPr>
          <w:lang w:val="en-GB"/>
        </w:rPr>
        <w:t>)</w:t>
      </w:r>
      <w:r w:rsidRPr="0028049B">
        <w:rPr>
          <w:lang w:val="en-GB"/>
        </w:rPr>
        <w:t xml:space="preserve"> and therefore </w:t>
      </w:r>
      <w:r w:rsidR="0002045C" w:rsidRPr="0028049B">
        <w:rPr>
          <w:lang w:val="en-GB"/>
        </w:rPr>
        <w:t>have a greater affinity</w:t>
      </w:r>
      <w:r w:rsidR="00F76CE2" w:rsidRPr="0028049B">
        <w:rPr>
          <w:lang w:val="en-GB"/>
        </w:rPr>
        <w:t xml:space="preserve"> for</w:t>
      </w:r>
      <w:r w:rsidRPr="0028049B">
        <w:rPr>
          <w:lang w:val="en-GB"/>
        </w:rPr>
        <w:t xml:space="preserve"> the </w:t>
      </w:r>
      <w:r w:rsidR="00207A9A">
        <w:rPr>
          <w:lang w:val="en-GB"/>
        </w:rPr>
        <w:t>di</w:t>
      </w:r>
      <w:r w:rsidRPr="0028049B">
        <w:rPr>
          <w:lang w:val="en-GB"/>
        </w:rPr>
        <w:t>nitrogen molecule, whose triple bond</w:t>
      </w:r>
      <w:r w:rsidR="00D44036" w:rsidRPr="0028049B">
        <w:rPr>
          <w:lang w:val="en-GB"/>
        </w:rPr>
        <w:t xml:space="preserve"> (945 kJ mol</w:t>
      </w:r>
      <w:r w:rsidR="00D44036" w:rsidRPr="0028049B">
        <w:rPr>
          <w:vertAlign w:val="superscript"/>
          <w:lang w:val="en-GB"/>
        </w:rPr>
        <w:t>-1</w:t>
      </w:r>
      <w:r w:rsidR="00D44036" w:rsidRPr="0028049B">
        <w:rPr>
          <w:lang w:val="en-GB"/>
        </w:rPr>
        <w:t>)</w:t>
      </w:r>
      <w:r w:rsidRPr="0028049B">
        <w:rPr>
          <w:lang w:val="en-GB"/>
        </w:rPr>
        <w:t xml:space="preserve"> is difficult to break </w:t>
      </w:r>
      <w:r w:rsidR="00D3229A" w:rsidRPr="0028049B">
        <w:rPr>
          <w:lang w:val="en-GB"/>
        </w:rPr>
        <w:t>(</w:t>
      </w:r>
      <w:r w:rsidR="004520FB" w:rsidRPr="0028049B">
        <w:rPr>
          <w:lang w:val="en-GB"/>
        </w:rPr>
        <w:t>Li et al.,</w:t>
      </w:r>
      <w:r w:rsidR="00E0351C" w:rsidRPr="0028049B">
        <w:rPr>
          <w:lang w:val="en-GB"/>
        </w:rPr>
        <w:t xml:space="preserve"> 2022</w:t>
      </w:r>
      <w:r w:rsidR="00D3229A" w:rsidRPr="0028049B">
        <w:rPr>
          <w:lang w:val="en-GB"/>
        </w:rPr>
        <w:t>)</w:t>
      </w:r>
      <w:r w:rsidR="001837E6" w:rsidRPr="0028049B">
        <w:rPr>
          <w:lang w:val="en-GB"/>
        </w:rPr>
        <w:t>.</w:t>
      </w:r>
      <w:r w:rsidR="00AD62F1" w:rsidRPr="0028049B">
        <w:rPr>
          <w:lang w:val="en-GB"/>
        </w:rPr>
        <w:t xml:space="preserve"> In the literature</w:t>
      </w:r>
      <w:r w:rsidR="00D44036" w:rsidRPr="0028049B">
        <w:rPr>
          <w:lang w:val="en-GB"/>
        </w:rPr>
        <w:t>,</w:t>
      </w:r>
      <w:r w:rsidR="00AD62F1" w:rsidRPr="0028049B">
        <w:rPr>
          <w:lang w:val="en-GB"/>
        </w:rPr>
        <w:t xml:space="preserve"> many works use CNTs as conductive supports specially doped with nanoparticles</w:t>
      </w:r>
      <w:r w:rsidR="000D215C" w:rsidRPr="0028049B">
        <w:rPr>
          <w:lang w:val="en-GB"/>
        </w:rPr>
        <w:t xml:space="preserve"> (Chen et al., 2017)</w:t>
      </w:r>
      <w:r w:rsidR="00AD62F1" w:rsidRPr="0028049B">
        <w:rPr>
          <w:lang w:val="en-GB"/>
        </w:rPr>
        <w:t>, such as Fe</w:t>
      </w:r>
      <w:r w:rsidR="00AD62F1" w:rsidRPr="0028049B">
        <w:rPr>
          <w:vertAlign w:val="subscript"/>
          <w:lang w:val="en-GB"/>
        </w:rPr>
        <w:t>2</w:t>
      </w:r>
      <w:r w:rsidR="00AD62F1" w:rsidRPr="0028049B">
        <w:rPr>
          <w:lang w:val="en-GB"/>
        </w:rPr>
        <w:t>O</w:t>
      </w:r>
      <w:r w:rsidR="00AD62F1" w:rsidRPr="0028049B">
        <w:rPr>
          <w:vertAlign w:val="subscript"/>
          <w:lang w:val="en-GB"/>
        </w:rPr>
        <w:t>3</w:t>
      </w:r>
      <w:r w:rsidR="00AD62F1" w:rsidRPr="0028049B">
        <w:rPr>
          <w:lang w:val="en-GB"/>
        </w:rPr>
        <w:t xml:space="preserve"> or Ru, while metal doped </w:t>
      </w:r>
      <w:r w:rsidR="00AD62F1" w:rsidRPr="0028049B">
        <w:rPr>
          <w:rFonts w:ascii="Symbol" w:hAnsi="Symbol"/>
          <w:lang w:val="en-GB"/>
        </w:rPr>
        <w:t>a</w:t>
      </w:r>
      <w:r w:rsidR="00AD62F1" w:rsidRPr="0028049B">
        <w:rPr>
          <w:lang w:val="en-GB"/>
        </w:rPr>
        <w:t>-alumina</w:t>
      </w:r>
      <w:r w:rsidR="002A1C89">
        <w:rPr>
          <w:lang w:val="en-GB"/>
        </w:rPr>
        <w:t xml:space="preserve"> has been</w:t>
      </w:r>
      <w:r w:rsidR="00AD62F1" w:rsidRPr="0028049B">
        <w:rPr>
          <w:lang w:val="en-GB"/>
        </w:rPr>
        <w:t xml:space="preserve"> </w:t>
      </w:r>
      <w:r w:rsidR="00BB53F0">
        <w:rPr>
          <w:lang w:val="en-GB"/>
        </w:rPr>
        <w:t xml:space="preserve">mainly </w:t>
      </w:r>
      <w:r w:rsidR="00245D0A" w:rsidRPr="0028049B">
        <w:rPr>
          <w:lang w:val="en-GB"/>
        </w:rPr>
        <w:t>reported for thermal catalysis and plasma catalysis</w:t>
      </w:r>
      <w:r w:rsidR="00245D0A">
        <w:rPr>
          <w:lang w:val="en-GB"/>
        </w:rPr>
        <w:t xml:space="preserve">, but </w:t>
      </w:r>
      <w:r w:rsidR="008A05D0" w:rsidRPr="0028049B">
        <w:rPr>
          <w:lang w:val="en-GB"/>
        </w:rPr>
        <w:t>less for electrocatalysis</w:t>
      </w:r>
      <w:r w:rsidR="00D725F4">
        <w:rPr>
          <w:lang w:val="en-GB"/>
        </w:rPr>
        <w:t>.</w:t>
      </w:r>
    </w:p>
    <w:p w14:paraId="07891B2D" w14:textId="2C4E674D" w:rsidR="00374217" w:rsidRPr="0028049B" w:rsidRDefault="0017216E" w:rsidP="0017216E">
      <w:pPr>
        <w:pStyle w:val="CETBodytext"/>
        <w:rPr>
          <w:lang w:val="en-GB"/>
        </w:rPr>
      </w:pPr>
      <w:r w:rsidRPr="0028049B">
        <w:rPr>
          <w:lang w:val="en-GB"/>
        </w:rPr>
        <w:t xml:space="preserve">Numerous studies highlight how the analysis protocol is important to avoid false positives in the detection of ammonium </w:t>
      </w:r>
      <w:r w:rsidR="00BB53F0">
        <w:rPr>
          <w:lang w:val="en-GB"/>
        </w:rPr>
        <w:t xml:space="preserve">ion </w:t>
      </w:r>
      <w:r w:rsidRPr="0028049B">
        <w:rPr>
          <w:lang w:val="en-GB"/>
        </w:rPr>
        <w:t xml:space="preserve">in relation to the low productivity in water and the numerous sources of contamination. For this reason, the most rigorous protocols foresee high analysis costs for the use of </w:t>
      </w:r>
      <w:r w:rsidR="00A67703" w:rsidRPr="0028049B">
        <w:rPr>
          <w:lang w:val="en-GB"/>
        </w:rPr>
        <w:t>labelled</w:t>
      </w:r>
      <w:r w:rsidRPr="0028049B">
        <w:rPr>
          <w:lang w:val="en-GB"/>
        </w:rPr>
        <w:t xml:space="preserve"> nitrogen, but this is </w:t>
      </w:r>
      <w:r w:rsidRPr="0028049B">
        <w:rPr>
          <w:lang w:val="en-GB"/>
        </w:rPr>
        <w:lastRenderedPageBreak/>
        <w:t xml:space="preserve">unsustainable for research purposes. </w:t>
      </w:r>
      <w:r w:rsidR="007D3C42" w:rsidRPr="007D3C42">
        <w:rPr>
          <w:lang w:val="en-GB"/>
        </w:rPr>
        <w:t xml:space="preserve">A </w:t>
      </w:r>
      <w:r w:rsidR="007D3C42">
        <w:rPr>
          <w:lang w:val="en-GB"/>
        </w:rPr>
        <w:t xml:space="preserve">new </w:t>
      </w:r>
      <w:r w:rsidR="007D3C42" w:rsidRPr="007D3C42">
        <w:rPr>
          <w:lang w:val="en-GB"/>
        </w:rPr>
        <w:t>protocol is also discussed, offering improved cost-effectiveness and ease of use while maintaining a high degree of rigor.</w:t>
      </w:r>
    </w:p>
    <w:p w14:paraId="45B8A2D7" w14:textId="092868E8" w:rsidR="0017216E" w:rsidRPr="0028049B" w:rsidRDefault="009F4F79" w:rsidP="00465761">
      <w:pPr>
        <w:pStyle w:val="CETBodytext"/>
        <w:rPr>
          <w:lang w:val="en-GB"/>
        </w:rPr>
      </w:pPr>
      <w:r w:rsidRPr="0028049B">
        <w:rPr>
          <w:lang w:val="en-GB"/>
        </w:rPr>
        <w:t xml:space="preserve">To achieve gas-phase conditions (also known as electrolyte-less or zero-gap conditions), a membrane electrode assembly (MEA) can be used, </w:t>
      </w:r>
      <w:proofErr w:type="gramStart"/>
      <w:r w:rsidRPr="0028049B">
        <w:rPr>
          <w:lang w:val="en-GB"/>
        </w:rPr>
        <w:t>similar to</w:t>
      </w:r>
      <w:proofErr w:type="gramEnd"/>
      <w:r w:rsidRPr="0028049B">
        <w:rPr>
          <w:lang w:val="en-GB"/>
        </w:rPr>
        <w:t xml:space="preserve"> fuel cell technology</w:t>
      </w:r>
      <w:r w:rsidR="00C07B04" w:rsidRPr="0028049B">
        <w:rPr>
          <w:lang w:val="en-GB"/>
        </w:rPr>
        <w:t xml:space="preserve"> (</w:t>
      </w:r>
      <w:proofErr w:type="spellStart"/>
      <w:r w:rsidR="00C07B04" w:rsidRPr="0028049B">
        <w:rPr>
          <w:lang w:val="en-GB"/>
        </w:rPr>
        <w:t>Ampelli</w:t>
      </w:r>
      <w:proofErr w:type="spellEnd"/>
      <w:r w:rsidR="00C07B04" w:rsidRPr="0028049B">
        <w:rPr>
          <w:lang w:val="en-GB"/>
        </w:rPr>
        <w:t>, 2020)</w:t>
      </w:r>
      <w:r w:rsidRPr="0028049B">
        <w:rPr>
          <w:lang w:val="en-GB"/>
        </w:rPr>
        <w:t>. Th</w:t>
      </w:r>
      <w:r w:rsidR="00F62F28">
        <w:rPr>
          <w:lang w:val="en-GB"/>
        </w:rPr>
        <w:t xml:space="preserve">e MEA </w:t>
      </w:r>
      <w:r w:rsidRPr="0028049B">
        <w:rPr>
          <w:lang w:val="en-GB"/>
        </w:rPr>
        <w:t>involves coupling the catalyst with an ion-exchange membrane to create a solid electrolyte, replacing the liquid cathodic compartment (Park et al., 2023</w:t>
      </w:r>
      <w:r w:rsidRPr="00FC1739">
        <w:rPr>
          <w:lang w:val="en-GB"/>
        </w:rPr>
        <w:t xml:space="preserve">). Factors such as </w:t>
      </w:r>
      <w:proofErr w:type="spellStart"/>
      <w:r w:rsidRPr="00FC1739">
        <w:rPr>
          <w:lang w:val="en-GB"/>
        </w:rPr>
        <w:t>i</w:t>
      </w:r>
      <w:proofErr w:type="spellEnd"/>
      <w:r w:rsidRPr="00FC1739">
        <w:rPr>
          <w:lang w:val="en-GB"/>
        </w:rPr>
        <w:t>) increased N</w:t>
      </w:r>
      <w:r w:rsidRPr="00FC1739">
        <w:rPr>
          <w:vertAlign w:val="subscript"/>
          <w:lang w:val="en-GB"/>
        </w:rPr>
        <w:t>2</w:t>
      </w:r>
      <w:r w:rsidRPr="00FC1739">
        <w:rPr>
          <w:lang w:val="en-GB"/>
        </w:rPr>
        <w:t xml:space="preserve"> concentration on the electrode surface and ii) regulated proton mobility in the catalyst/membrane interface enable catalytic surface reactions to </w:t>
      </w:r>
      <w:r w:rsidR="00511EA6" w:rsidRPr="00FC1739">
        <w:rPr>
          <w:lang w:val="en-GB"/>
        </w:rPr>
        <w:t xml:space="preserve">form </w:t>
      </w:r>
      <w:r w:rsidRPr="00FC1739">
        <w:rPr>
          <w:lang w:val="en-GB"/>
        </w:rPr>
        <w:t>ammonia while limiting hydrogen (H</w:t>
      </w:r>
      <w:r w:rsidRPr="00FC1739">
        <w:rPr>
          <w:vertAlign w:val="subscript"/>
          <w:lang w:val="en-GB"/>
        </w:rPr>
        <w:t>2</w:t>
      </w:r>
      <w:r w:rsidRPr="00FC1739">
        <w:rPr>
          <w:lang w:val="en-GB"/>
        </w:rPr>
        <w:t>) generation</w:t>
      </w:r>
      <w:r w:rsidRPr="0028049B">
        <w:rPr>
          <w:lang w:val="en-GB"/>
        </w:rPr>
        <w:t>.</w:t>
      </w:r>
      <w:r w:rsidR="006B638F" w:rsidRPr="0028049B">
        <w:rPr>
          <w:lang w:val="en-GB"/>
        </w:rPr>
        <w:t xml:space="preserve"> Engineering the </w:t>
      </w:r>
      <w:r w:rsidR="00DF3044">
        <w:rPr>
          <w:lang w:val="en-GB"/>
        </w:rPr>
        <w:t>electrochemical reactor and related electrodes</w:t>
      </w:r>
      <w:r w:rsidR="006B638F" w:rsidRPr="0028049B">
        <w:rPr>
          <w:lang w:val="en-GB"/>
        </w:rPr>
        <w:t xml:space="preserve"> can lead to drastic changes in selectivity and </w:t>
      </w:r>
      <w:r w:rsidR="008455F7">
        <w:rPr>
          <w:lang w:val="en-GB"/>
        </w:rPr>
        <w:t xml:space="preserve">a </w:t>
      </w:r>
      <w:r w:rsidR="00DB675D">
        <w:rPr>
          <w:lang w:val="en-GB"/>
        </w:rPr>
        <w:t>decrease of</w:t>
      </w:r>
      <w:r w:rsidR="006B638F" w:rsidRPr="0028049B">
        <w:rPr>
          <w:lang w:val="en-GB"/>
        </w:rPr>
        <w:t xml:space="preserve"> </w:t>
      </w:r>
      <w:r w:rsidR="00DB675D">
        <w:rPr>
          <w:lang w:val="en-GB"/>
        </w:rPr>
        <w:t>H</w:t>
      </w:r>
      <w:r w:rsidR="00DB675D" w:rsidRPr="00271D57">
        <w:rPr>
          <w:vertAlign w:val="subscript"/>
          <w:lang w:val="en-GB"/>
        </w:rPr>
        <w:t>2</w:t>
      </w:r>
      <w:r w:rsidR="006B638F" w:rsidRPr="0028049B">
        <w:rPr>
          <w:lang w:val="en-GB"/>
        </w:rPr>
        <w:t xml:space="preserve"> production as a side reaction.</w:t>
      </w:r>
      <w:r w:rsidR="00DA1152">
        <w:rPr>
          <w:lang w:val="en-GB"/>
        </w:rPr>
        <w:t xml:space="preserve"> </w:t>
      </w:r>
      <w:r w:rsidR="004961A7">
        <w:rPr>
          <w:lang w:val="en-GB"/>
        </w:rPr>
        <w:t>Specifically, t</w:t>
      </w:r>
      <w:r w:rsidR="006B638F" w:rsidRPr="0028049B">
        <w:rPr>
          <w:lang w:val="en-GB"/>
        </w:rPr>
        <w:t xml:space="preserve">his </w:t>
      </w:r>
      <w:r w:rsidR="006E4210">
        <w:rPr>
          <w:lang w:val="en-GB"/>
        </w:rPr>
        <w:t>depends on</w:t>
      </w:r>
      <w:r w:rsidR="006B638F" w:rsidRPr="0028049B">
        <w:rPr>
          <w:lang w:val="en-GB"/>
        </w:rPr>
        <w:t xml:space="preserve"> mass and charge transfer phenomena at the electrode interface. </w:t>
      </w:r>
      <w:r w:rsidR="00465761" w:rsidRPr="0028049B">
        <w:rPr>
          <w:lang w:val="en-GB"/>
        </w:rPr>
        <w:t>In</w:t>
      </w:r>
      <w:r w:rsidR="006B638F" w:rsidRPr="0028049B">
        <w:rPr>
          <w:lang w:val="en-GB"/>
        </w:rPr>
        <w:t xml:space="preserve"> this </w:t>
      </w:r>
      <w:r w:rsidR="00DA1152">
        <w:rPr>
          <w:lang w:val="en-GB"/>
        </w:rPr>
        <w:t>view</w:t>
      </w:r>
      <w:r w:rsidR="00465761" w:rsidRPr="0028049B">
        <w:rPr>
          <w:lang w:val="en-GB"/>
        </w:rPr>
        <w:t>,</w:t>
      </w:r>
      <w:r w:rsidR="006B638F" w:rsidRPr="0028049B">
        <w:rPr>
          <w:lang w:val="en-GB"/>
        </w:rPr>
        <w:t xml:space="preserve"> the performance of different catalysts doped with noble metals</w:t>
      </w:r>
      <w:r w:rsidR="00DA1152">
        <w:rPr>
          <w:lang w:val="en-GB"/>
        </w:rPr>
        <w:t xml:space="preserve"> are compared</w:t>
      </w:r>
      <w:r w:rsidR="00B42B06">
        <w:rPr>
          <w:lang w:val="en-GB"/>
        </w:rPr>
        <w:t xml:space="preserve"> and the</w:t>
      </w:r>
      <w:r w:rsidR="006B638F" w:rsidRPr="0028049B">
        <w:rPr>
          <w:lang w:val="en-GB"/>
        </w:rPr>
        <w:t xml:space="preserve"> total or partial replacement with more abundant metals will be compared.</w:t>
      </w:r>
      <w:r w:rsidR="00465761" w:rsidRPr="0028049B">
        <w:rPr>
          <w:lang w:val="en-GB"/>
        </w:rPr>
        <w:t xml:space="preserve"> This configuration, in addition to allowing a continuous supply of </w:t>
      </w:r>
      <w:r w:rsidR="00277B5C">
        <w:rPr>
          <w:lang w:val="en-GB"/>
        </w:rPr>
        <w:t>nitrogen</w:t>
      </w:r>
      <w:r w:rsidR="00465761" w:rsidRPr="0028049B">
        <w:rPr>
          <w:lang w:val="en-GB"/>
        </w:rPr>
        <w:t xml:space="preserve"> species onto the electrocatalytic surface, has the advantage of </w:t>
      </w:r>
      <w:proofErr w:type="spellStart"/>
      <w:r w:rsidR="00465761" w:rsidRPr="0028049B">
        <w:rPr>
          <w:lang w:val="en-GB"/>
        </w:rPr>
        <w:t>i</w:t>
      </w:r>
      <w:proofErr w:type="spellEnd"/>
      <w:r w:rsidR="00465761" w:rsidRPr="0028049B">
        <w:rPr>
          <w:lang w:val="en-GB"/>
        </w:rPr>
        <w:t>) allowing to design compact and scalable systems to an industrial level; ii) limiting the diffusion processes present in the liquid phase and iii) easy recovery of the liquid products.</w:t>
      </w:r>
    </w:p>
    <w:p w14:paraId="2B93C66E" w14:textId="57B19532" w:rsidR="00A427A5" w:rsidRPr="0028049B" w:rsidRDefault="00A427A5" w:rsidP="00A427A5">
      <w:pPr>
        <w:pStyle w:val="CETHeading1"/>
        <w:rPr>
          <w:lang w:val="en-GB"/>
        </w:rPr>
      </w:pPr>
      <w:r w:rsidRPr="0028049B">
        <w:rPr>
          <w:lang w:val="en-GB"/>
        </w:rPr>
        <w:t>Experimental</w:t>
      </w:r>
    </w:p>
    <w:p w14:paraId="352F922A" w14:textId="2EEDA098" w:rsidR="000159C7" w:rsidRPr="0028049B" w:rsidRDefault="000159C7" w:rsidP="00037E38">
      <w:pPr>
        <w:pStyle w:val="CETheadingx"/>
        <w:rPr>
          <w:lang w:val="en-GB"/>
        </w:rPr>
      </w:pPr>
      <w:r w:rsidRPr="0028049B">
        <w:rPr>
          <w:lang w:val="en-GB"/>
        </w:rPr>
        <w:t>Al</w:t>
      </w:r>
      <w:r w:rsidRPr="0028049B">
        <w:rPr>
          <w:vertAlign w:val="subscript"/>
          <w:lang w:val="en-GB"/>
        </w:rPr>
        <w:t>2</w:t>
      </w:r>
      <w:r w:rsidRPr="0028049B">
        <w:rPr>
          <w:lang w:val="en-GB"/>
        </w:rPr>
        <w:t>O</w:t>
      </w:r>
      <w:r w:rsidRPr="0028049B">
        <w:rPr>
          <w:vertAlign w:val="subscript"/>
          <w:lang w:val="en-GB"/>
        </w:rPr>
        <w:t>3</w:t>
      </w:r>
      <w:r w:rsidR="00073012" w:rsidRPr="0028049B">
        <w:rPr>
          <w:lang w:val="en-GB"/>
        </w:rPr>
        <w:t xml:space="preserve">-based </w:t>
      </w:r>
      <w:r w:rsidRPr="0028049B">
        <w:rPr>
          <w:lang w:val="en-GB"/>
        </w:rPr>
        <w:t>catalysts preparation</w:t>
      </w:r>
    </w:p>
    <w:p w14:paraId="3E486BDA" w14:textId="4C6CF2AE" w:rsidR="00852B0C" w:rsidRPr="0028049B" w:rsidRDefault="00037E38" w:rsidP="00852B0C">
      <w:pPr>
        <w:pStyle w:val="CETBodytext"/>
        <w:spacing w:before="120"/>
        <w:rPr>
          <w:lang w:val="en-GB"/>
        </w:rPr>
      </w:pPr>
      <w:r w:rsidRPr="0028049B">
        <w:rPr>
          <w:lang w:val="en-GB"/>
        </w:rPr>
        <w:t xml:space="preserve">Blank </w:t>
      </w:r>
      <w:r w:rsidRPr="0028049B">
        <w:rPr>
          <w:rFonts w:ascii="Symbol" w:hAnsi="Symbol"/>
          <w:lang w:val="en-GB"/>
        </w:rPr>
        <w:t>a</w:t>
      </w:r>
      <w:r w:rsidRPr="0028049B">
        <w:rPr>
          <w:lang w:val="en-GB"/>
        </w:rPr>
        <w:t>-alumina pellets (</w:t>
      </w:r>
      <w:proofErr w:type="spellStart"/>
      <w:r w:rsidRPr="0028049B">
        <w:rPr>
          <w:lang w:val="en-GB"/>
        </w:rPr>
        <w:t>MaTeck</w:t>
      </w:r>
      <w:proofErr w:type="spellEnd"/>
      <w:r w:rsidRPr="0028049B">
        <w:rPr>
          <w:lang w:val="en-GB"/>
        </w:rPr>
        <w:t>) with a surface area of 0.18 m</w:t>
      </w:r>
      <w:r w:rsidRPr="0028049B">
        <w:rPr>
          <w:vertAlign w:val="superscript"/>
          <w:lang w:val="en-GB"/>
        </w:rPr>
        <w:t>2</w:t>
      </w:r>
      <w:r w:rsidRPr="0028049B">
        <w:rPr>
          <w:lang w:val="en-GB"/>
        </w:rPr>
        <w:t xml:space="preserve"> g</w:t>
      </w:r>
      <w:r w:rsidRPr="0028049B">
        <w:rPr>
          <w:vertAlign w:val="superscript"/>
          <w:lang w:val="en-GB"/>
        </w:rPr>
        <w:t>-1</w:t>
      </w:r>
      <w:r w:rsidRPr="0028049B">
        <w:rPr>
          <w:lang w:val="en-GB"/>
        </w:rPr>
        <w:t xml:space="preserve"> were purchased, smashed, and separated by mechanical milling and sieving in the range of 250-355 </w:t>
      </w:r>
      <w:r w:rsidRPr="0028049B">
        <w:rPr>
          <w:rFonts w:ascii="Symbol" w:hAnsi="Symbol"/>
          <w:lang w:val="en-GB"/>
        </w:rPr>
        <w:t>m</w:t>
      </w:r>
      <w:r w:rsidRPr="0028049B">
        <w:rPr>
          <w:lang w:val="en-GB"/>
        </w:rPr>
        <w:t>m.</w:t>
      </w:r>
    </w:p>
    <w:p w14:paraId="42783750" w14:textId="77777777" w:rsidR="00F17818" w:rsidRPr="0028049B" w:rsidRDefault="00F17818" w:rsidP="00852B0C">
      <w:pPr>
        <w:pStyle w:val="CETBodytext"/>
        <w:spacing w:before="120"/>
        <w:rPr>
          <w:b/>
          <w:bCs/>
          <w:lang w:val="en-GB"/>
        </w:rPr>
      </w:pPr>
      <w:r w:rsidRPr="0028049B">
        <w:rPr>
          <w:b/>
          <w:bCs/>
          <w:lang w:val="en-GB"/>
        </w:rPr>
        <w:t xml:space="preserve">2.1.1 </w:t>
      </w:r>
      <w:r w:rsidR="005010E7" w:rsidRPr="0028049B">
        <w:rPr>
          <w:b/>
          <w:bCs/>
          <w:lang w:val="en-GB"/>
        </w:rPr>
        <w:t>Ru/Al</w:t>
      </w:r>
      <w:r w:rsidR="005010E7" w:rsidRPr="0028049B">
        <w:rPr>
          <w:b/>
          <w:bCs/>
          <w:vertAlign w:val="subscript"/>
          <w:lang w:val="en-GB"/>
        </w:rPr>
        <w:t>2</w:t>
      </w:r>
      <w:r w:rsidR="005010E7" w:rsidRPr="0028049B">
        <w:rPr>
          <w:b/>
          <w:bCs/>
          <w:lang w:val="en-GB"/>
        </w:rPr>
        <w:t>O</w:t>
      </w:r>
      <w:r w:rsidR="005010E7" w:rsidRPr="0028049B">
        <w:rPr>
          <w:b/>
          <w:bCs/>
          <w:vertAlign w:val="subscript"/>
          <w:lang w:val="en-GB"/>
        </w:rPr>
        <w:t>3</w:t>
      </w:r>
    </w:p>
    <w:p w14:paraId="50FFB3F4" w14:textId="2E4A7385" w:rsidR="00852B0C" w:rsidRPr="0028049B" w:rsidRDefault="00F17818" w:rsidP="00852B0C">
      <w:pPr>
        <w:pStyle w:val="CETBodytext"/>
        <w:spacing w:before="120"/>
        <w:rPr>
          <w:lang w:val="en-GB"/>
        </w:rPr>
      </w:pPr>
      <w:r w:rsidRPr="0028049B">
        <w:rPr>
          <w:lang w:val="en-GB"/>
        </w:rPr>
        <w:t>T</w:t>
      </w:r>
      <w:r w:rsidR="005010E7" w:rsidRPr="0028049B">
        <w:rPr>
          <w:lang w:val="en-GB"/>
        </w:rPr>
        <w:t xml:space="preserve">he </w:t>
      </w:r>
      <w:r w:rsidR="0081172F" w:rsidRPr="0028049B">
        <w:rPr>
          <w:rFonts w:ascii="Symbol" w:hAnsi="Symbol"/>
          <w:lang w:val="en-GB"/>
        </w:rPr>
        <w:t>a</w:t>
      </w:r>
      <w:r w:rsidR="0081172F" w:rsidRPr="0028049B">
        <w:rPr>
          <w:lang w:val="en-GB"/>
        </w:rPr>
        <w:t xml:space="preserve">-alumina </w:t>
      </w:r>
      <w:r w:rsidR="005010E7" w:rsidRPr="0028049B">
        <w:rPr>
          <w:lang w:val="en-GB"/>
        </w:rPr>
        <w:t xml:space="preserve">(0.95 g) and </w:t>
      </w:r>
      <w:proofErr w:type="gramStart"/>
      <w:r w:rsidR="005010E7" w:rsidRPr="0028049B">
        <w:rPr>
          <w:lang w:val="en-GB"/>
        </w:rPr>
        <w:t>Ruthenium(</w:t>
      </w:r>
      <w:proofErr w:type="gramEnd"/>
      <w:r w:rsidR="005010E7" w:rsidRPr="0028049B">
        <w:rPr>
          <w:lang w:val="en-GB"/>
        </w:rPr>
        <w:t xml:space="preserve">III) chloride hydrate (0.1316 g, </w:t>
      </w:r>
      <w:r w:rsidR="00C7697A" w:rsidRPr="0028049B">
        <w:rPr>
          <w:lang w:val="en-GB"/>
        </w:rPr>
        <w:t>RuCl</w:t>
      </w:r>
      <w:r w:rsidR="00C7697A" w:rsidRPr="0028049B">
        <w:rPr>
          <w:vertAlign w:val="subscript"/>
          <w:lang w:val="en-GB"/>
        </w:rPr>
        <w:t>3</w:t>
      </w:r>
      <w:r w:rsidR="00C7697A" w:rsidRPr="0028049B">
        <w:rPr>
          <w:rFonts w:ascii="Segoe UI Symbol" w:hAnsi="Segoe UI Symbol" w:cs="Segoe UI Symbol"/>
          <w:lang w:val="en-GB"/>
        </w:rPr>
        <w:t>⸱</w:t>
      </w:r>
      <w:r w:rsidR="00C7697A" w:rsidRPr="0028049B">
        <w:rPr>
          <w:lang w:val="en-GB"/>
        </w:rPr>
        <w:t>xH</w:t>
      </w:r>
      <w:r w:rsidR="00C7697A" w:rsidRPr="0028049B">
        <w:rPr>
          <w:vertAlign w:val="subscript"/>
          <w:lang w:val="en-GB"/>
        </w:rPr>
        <w:t>2</w:t>
      </w:r>
      <w:r w:rsidR="00C7697A" w:rsidRPr="0028049B">
        <w:rPr>
          <w:lang w:val="en-GB"/>
        </w:rPr>
        <w:t>O</w:t>
      </w:r>
      <w:r w:rsidR="005010E7" w:rsidRPr="0028049B">
        <w:rPr>
          <w:lang w:val="en-GB"/>
        </w:rPr>
        <w:t>, Ru basis, 38.0-42.0%) were used to make an aqueous suspension (25 mL ultrapure H</w:t>
      </w:r>
      <w:r w:rsidR="005010E7" w:rsidRPr="0028049B">
        <w:rPr>
          <w:vertAlign w:val="subscript"/>
          <w:lang w:val="en-GB"/>
        </w:rPr>
        <w:t>2</w:t>
      </w:r>
      <w:r w:rsidR="005010E7" w:rsidRPr="0028049B">
        <w:rPr>
          <w:lang w:val="en-GB"/>
        </w:rPr>
        <w:t xml:space="preserve">O) for the wet impregnation process. After one hour of impregnation, the sample was dried overnight and then calcined in air at 400 </w:t>
      </w:r>
      <w:r w:rsidR="005010E7" w:rsidRPr="0028049B">
        <w:rPr>
          <w:rFonts w:cs="Arial"/>
          <w:lang w:val="en-GB"/>
        </w:rPr>
        <w:t>°</w:t>
      </w:r>
      <w:r w:rsidR="005010E7" w:rsidRPr="0028049B">
        <w:rPr>
          <w:lang w:val="en-GB"/>
        </w:rPr>
        <w:t xml:space="preserve">C for </w:t>
      </w:r>
      <w:proofErr w:type="gramStart"/>
      <w:r w:rsidR="005010E7" w:rsidRPr="0028049B">
        <w:rPr>
          <w:lang w:val="en-GB"/>
        </w:rPr>
        <w:t>4</w:t>
      </w:r>
      <w:r w:rsidR="00A25631">
        <w:rPr>
          <w:lang w:val="en-GB"/>
        </w:rPr>
        <w:t xml:space="preserve"> </w:t>
      </w:r>
      <w:r w:rsidR="005010E7" w:rsidRPr="0028049B">
        <w:rPr>
          <w:lang w:val="en-GB"/>
        </w:rPr>
        <w:t>h, and</w:t>
      </w:r>
      <w:proofErr w:type="gramEnd"/>
      <w:r w:rsidR="005010E7" w:rsidRPr="0028049B">
        <w:rPr>
          <w:lang w:val="en-GB"/>
        </w:rPr>
        <w:t xml:space="preserve"> finally reduced at 400 </w:t>
      </w:r>
      <w:r w:rsidR="005010E7" w:rsidRPr="0028049B">
        <w:rPr>
          <w:rFonts w:cs="Arial"/>
          <w:lang w:val="en-GB"/>
        </w:rPr>
        <w:t>°</w:t>
      </w:r>
      <w:r w:rsidR="005010E7" w:rsidRPr="0028049B">
        <w:rPr>
          <w:lang w:val="en-GB"/>
        </w:rPr>
        <w:t>C in a tubular furnace under H</w:t>
      </w:r>
      <w:r w:rsidR="005010E7" w:rsidRPr="0028049B">
        <w:rPr>
          <w:vertAlign w:val="subscript"/>
          <w:lang w:val="en-GB"/>
        </w:rPr>
        <w:t>2</w:t>
      </w:r>
      <w:r w:rsidR="005010E7" w:rsidRPr="0028049B">
        <w:rPr>
          <w:lang w:val="en-GB"/>
        </w:rPr>
        <w:t xml:space="preserve"> and </w:t>
      </w:r>
      <w:proofErr w:type="spellStart"/>
      <w:r w:rsidR="005010E7" w:rsidRPr="0028049B">
        <w:rPr>
          <w:lang w:val="en-GB"/>
        </w:rPr>
        <w:t>Ar</w:t>
      </w:r>
      <w:proofErr w:type="spellEnd"/>
      <w:r w:rsidR="005010E7" w:rsidRPr="0028049B">
        <w:rPr>
          <w:lang w:val="en-GB"/>
        </w:rPr>
        <w:t xml:space="preserve"> flow for 4 h. </w:t>
      </w:r>
      <w:r w:rsidR="00FE68F0">
        <w:rPr>
          <w:lang w:val="en-GB"/>
        </w:rPr>
        <w:t xml:space="preserve">A </w:t>
      </w:r>
      <w:r w:rsidR="004B39CF">
        <w:rPr>
          <w:lang w:val="en-GB"/>
        </w:rPr>
        <w:t xml:space="preserve">metal </w:t>
      </w:r>
      <w:r w:rsidR="00FE68F0">
        <w:rPr>
          <w:lang w:val="en-GB"/>
        </w:rPr>
        <w:t xml:space="preserve">loading </w:t>
      </w:r>
      <w:r w:rsidR="004B39CF">
        <w:rPr>
          <w:lang w:val="en-GB"/>
        </w:rPr>
        <w:t xml:space="preserve">of </w:t>
      </w:r>
      <w:r w:rsidR="004B39CF" w:rsidRPr="0028049B">
        <w:rPr>
          <w:lang w:val="en-GB"/>
        </w:rPr>
        <w:t>5</w:t>
      </w:r>
      <w:r w:rsidR="004B39CF">
        <w:rPr>
          <w:lang w:val="en-GB"/>
        </w:rPr>
        <w:t xml:space="preserve"> wt.</w:t>
      </w:r>
      <w:r w:rsidR="004B39CF" w:rsidRPr="0028049B">
        <w:rPr>
          <w:lang w:val="en-GB"/>
        </w:rPr>
        <w:t>%</w:t>
      </w:r>
      <w:r w:rsidR="00C7697A" w:rsidRPr="0028049B">
        <w:rPr>
          <w:lang w:val="en-GB"/>
        </w:rPr>
        <w:t xml:space="preserve"> </w:t>
      </w:r>
      <w:r w:rsidR="005010E7" w:rsidRPr="0028049B">
        <w:rPr>
          <w:lang w:val="en-GB"/>
        </w:rPr>
        <w:t>Ru</w:t>
      </w:r>
      <w:r w:rsidR="00C7697A" w:rsidRPr="0028049B">
        <w:rPr>
          <w:lang w:val="en-GB"/>
        </w:rPr>
        <w:t>/</w:t>
      </w:r>
      <w:r w:rsidR="005010E7" w:rsidRPr="0028049B">
        <w:rPr>
          <w:lang w:val="en-GB"/>
        </w:rPr>
        <w:t>Al</w:t>
      </w:r>
      <w:r w:rsidR="005010E7" w:rsidRPr="0028049B">
        <w:rPr>
          <w:vertAlign w:val="subscript"/>
          <w:lang w:val="en-GB"/>
        </w:rPr>
        <w:t>2</w:t>
      </w:r>
      <w:r w:rsidR="005010E7" w:rsidRPr="0028049B">
        <w:rPr>
          <w:lang w:val="en-GB"/>
        </w:rPr>
        <w:t>O</w:t>
      </w:r>
      <w:r w:rsidR="005010E7" w:rsidRPr="0028049B">
        <w:rPr>
          <w:vertAlign w:val="subscript"/>
          <w:lang w:val="en-GB"/>
        </w:rPr>
        <w:t>3</w:t>
      </w:r>
      <w:r w:rsidR="005010E7" w:rsidRPr="0028049B">
        <w:rPr>
          <w:lang w:val="en-GB"/>
        </w:rPr>
        <w:t xml:space="preserve"> was obtained.</w:t>
      </w:r>
    </w:p>
    <w:p w14:paraId="09FDDBE9" w14:textId="77777777" w:rsidR="00F17818" w:rsidRPr="0028049B" w:rsidRDefault="00F17818" w:rsidP="00852B0C">
      <w:pPr>
        <w:pStyle w:val="CETBodytext"/>
        <w:spacing w:before="120"/>
        <w:rPr>
          <w:b/>
          <w:bCs/>
          <w:vertAlign w:val="subscript"/>
          <w:lang w:val="en-GB"/>
        </w:rPr>
      </w:pPr>
      <w:r w:rsidRPr="0028049B">
        <w:rPr>
          <w:b/>
          <w:bCs/>
          <w:lang w:val="en-GB"/>
        </w:rPr>
        <w:t xml:space="preserve">2.1.2 </w:t>
      </w:r>
      <w:r w:rsidR="005010E7" w:rsidRPr="0028049B">
        <w:rPr>
          <w:b/>
          <w:bCs/>
          <w:lang w:val="en-GB"/>
        </w:rPr>
        <w:t>Ru-Fe/</w:t>
      </w:r>
      <w:r w:rsidR="001263D0" w:rsidRPr="0028049B">
        <w:rPr>
          <w:b/>
          <w:bCs/>
          <w:lang w:val="en-GB"/>
        </w:rPr>
        <w:t>Al</w:t>
      </w:r>
      <w:r w:rsidR="001263D0" w:rsidRPr="0028049B">
        <w:rPr>
          <w:b/>
          <w:bCs/>
          <w:vertAlign w:val="subscript"/>
          <w:lang w:val="en-GB"/>
        </w:rPr>
        <w:t>2</w:t>
      </w:r>
      <w:r w:rsidR="001263D0" w:rsidRPr="0028049B">
        <w:rPr>
          <w:b/>
          <w:bCs/>
          <w:lang w:val="en-GB"/>
        </w:rPr>
        <w:t>O</w:t>
      </w:r>
      <w:r w:rsidR="001263D0" w:rsidRPr="0028049B">
        <w:rPr>
          <w:b/>
          <w:bCs/>
          <w:vertAlign w:val="subscript"/>
          <w:lang w:val="en-GB"/>
        </w:rPr>
        <w:t>3</w:t>
      </w:r>
    </w:p>
    <w:p w14:paraId="26D0ED63" w14:textId="77C3DCA2" w:rsidR="00852B0C" w:rsidRPr="0028049B" w:rsidRDefault="00F17818" w:rsidP="00852B0C">
      <w:pPr>
        <w:pStyle w:val="CETBodytext"/>
        <w:spacing w:before="120"/>
        <w:rPr>
          <w:lang w:val="en-GB"/>
        </w:rPr>
      </w:pPr>
      <w:r w:rsidRPr="0028049B">
        <w:rPr>
          <w:lang w:val="en-GB"/>
        </w:rPr>
        <w:t>T</w:t>
      </w:r>
      <w:r w:rsidR="005010E7" w:rsidRPr="0028049B">
        <w:rPr>
          <w:lang w:val="en-GB"/>
        </w:rPr>
        <w:t xml:space="preserve">he </w:t>
      </w:r>
      <w:r w:rsidR="0081172F" w:rsidRPr="0028049B">
        <w:rPr>
          <w:rFonts w:ascii="Symbol" w:hAnsi="Symbol"/>
          <w:lang w:val="en-GB"/>
        </w:rPr>
        <w:t>a</w:t>
      </w:r>
      <w:r w:rsidR="0081172F" w:rsidRPr="0028049B">
        <w:rPr>
          <w:lang w:val="en-GB"/>
        </w:rPr>
        <w:t xml:space="preserve">-alumina </w:t>
      </w:r>
      <w:r w:rsidR="005010E7" w:rsidRPr="0028049B">
        <w:rPr>
          <w:lang w:val="en-GB"/>
        </w:rPr>
        <w:t xml:space="preserve">(1.90 g), </w:t>
      </w:r>
      <w:proofErr w:type="gramStart"/>
      <w:r w:rsidR="005010E7" w:rsidRPr="0028049B">
        <w:rPr>
          <w:lang w:val="en-GB"/>
        </w:rPr>
        <w:t>Ruthenium(</w:t>
      </w:r>
      <w:proofErr w:type="gramEnd"/>
      <w:r w:rsidR="005010E7" w:rsidRPr="0028049B">
        <w:rPr>
          <w:lang w:val="en-GB"/>
        </w:rPr>
        <w:t>III) chloride hydrate (0.256 g, RuCl</w:t>
      </w:r>
      <w:r w:rsidR="005010E7" w:rsidRPr="0028049B">
        <w:rPr>
          <w:vertAlign w:val="subscript"/>
          <w:lang w:val="en-GB"/>
        </w:rPr>
        <w:t>3</w:t>
      </w:r>
      <w:r w:rsidR="005010E7" w:rsidRPr="0028049B">
        <w:rPr>
          <w:rFonts w:ascii="Segoe UI Symbol" w:hAnsi="Segoe UI Symbol" w:cs="Segoe UI Symbol"/>
          <w:lang w:val="en-GB"/>
        </w:rPr>
        <w:t>⸱</w:t>
      </w:r>
      <w:r w:rsidR="005010E7" w:rsidRPr="0028049B">
        <w:rPr>
          <w:lang w:val="en-GB"/>
        </w:rPr>
        <w:t>xH</w:t>
      </w:r>
      <w:r w:rsidR="005010E7" w:rsidRPr="0028049B">
        <w:rPr>
          <w:vertAlign w:val="subscript"/>
          <w:lang w:val="en-GB"/>
        </w:rPr>
        <w:t>2</w:t>
      </w:r>
      <w:r w:rsidR="005010E7" w:rsidRPr="0028049B">
        <w:rPr>
          <w:lang w:val="en-GB"/>
        </w:rPr>
        <w:t>O, Ru basis, 38.0-42.0%) and iron(III) nitrate nonahydrate (0.361 g, Fe(NO</w:t>
      </w:r>
      <w:r w:rsidR="005010E7" w:rsidRPr="0028049B">
        <w:rPr>
          <w:vertAlign w:val="subscript"/>
          <w:lang w:val="en-GB"/>
        </w:rPr>
        <w:t>3</w:t>
      </w:r>
      <w:r w:rsidR="005010E7" w:rsidRPr="0028049B">
        <w:rPr>
          <w:lang w:val="en-GB"/>
        </w:rPr>
        <w:t>)</w:t>
      </w:r>
      <w:r w:rsidR="005010E7" w:rsidRPr="0028049B">
        <w:rPr>
          <w:vertAlign w:val="subscript"/>
          <w:lang w:val="en-GB"/>
        </w:rPr>
        <w:t>3</w:t>
      </w:r>
      <w:r w:rsidR="005010E7" w:rsidRPr="0028049B">
        <w:rPr>
          <w:rFonts w:ascii="Segoe UI Symbol" w:hAnsi="Segoe UI Symbol" w:cs="Segoe UI Symbol"/>
          <w:lang w:val="en-GB"/>
        </w:rPr>
        <w:t>⸱</w:t>
      </w:r>
      <w:r w:rsidR="005010E7" w:rsidRPr="0028049B">
        <w:rPr>
          <w:lang w:val="en-GB"/>
        </w:rPr>
        <w:t>9H</w:t>
      </w:r>
      <w:r w:rsidR="005010E7" w:rsidRPr="0028049B">
        <w:rPr>
          <w:vertAlign w:val="subscript"/>
          <w:lang w:val="en-GB"/>
        </w:rPr>
        <w:t>2</w:t>
      </w:r>
      <w:r w:rsidR="005010E7" w:rsidRPr="0028049B">
        <w:rPr>
          <w:lang w:val="en-GB"/>
        </w:rPr>
        <w:t xml:space="preserve">O, </w:t>
      </w:r>
      <w:r w:rsidR="005010E7" w:rsidRPr="0028049B">
        <w:rPr>
          <w:rFonts w:cs="Arial"/>
          <w:lang w:val="en-GB"/>
        </w:rPr>
        <w:t>≥</w:t>
      </w:r>
      <w:r w:rsidR="005010E7" w:rsidRPr="0028049B">
        <w:rPr>
          <w:lang w:val="en-GB"/>
        </w:rPr>
        <w:t xml:space="preserve"> 99.95% trace metals basis) were used to make an aqueous suspension (25 mL ultrapure H</w:t>
      </w:r>
      <w:r w:rsidR="005010E7" w:rsidRPr="0028049B">
        <w:rPr>
          <w:vertAlign w:val="subscript"/>
          <w:lang w:val="en-GB"/>
        </w:rPr>
        <w:t>2</w:t>
      </w:r>
      <w:r w:rsidR="005010E7" w:rsidRPr="0028049B">
        <w:rPr>
          <w:lang w:val="en-GB"/>
        </w:rPr>
        <w:t xml:space="preserve">O) for the wet impregnation process. After one hour of impregnation, the sample was dried overnight, then calcined in air at 400 </w:t>
      </w:r>
      <w:r w:rsidR="005010E7" w:rsidRPr="0028049B">
        <w:rPr>
          <w:rFonts w:cs="Arial"/>
          <w:lang w:val="en-GB"/>
        </w:rPr>
        <w:t>°</w:t>
      </w:r>
      <w:r w:rsidR="005010E7" w:rsidRPr="0028049B">
        <w:rPr>
          <w:lang w:val="en-GB"/>
        </w:rPr>
        <w:t>C for 4</w:t>
      </w:r>
      <w:r w:rsidR="0011439C">
        <w:rPr>
          <w:lang w:val="en-GB"/>
        </w:rPr>
        <w:t xml:space="preserve"> </w:t>
      </w:r>
      <w:r w:rsidR="005010E7" w:rsidRPr="0028049B">
        <w:rPr>
          <w:lang w:val="en-GB"/>
        </w:rPr>
        <w:t xml:space="preserve">h, and finally reduced at 400 </w:t>
      </w:r>
      <w:r w:rsidR="005010E7" w:rsidRPr="0028049B">
        <w:rPr>
          <w:rFonts w:cs="Arial"/>
          <w:lang w:val="en-GB"/>
        </w:rPr>
        <w:t>°</w:t>
      </w:r>
      <w:r w:rsidR="005010E7" w:rsidRPr="0028049B">
        <w:rPr>
          <w:lang w:val="en-GB"/>
        </w:rPr>
        <w:t>C in a tubular furnace under H</w:t>
      </w:r>
      <w:r w:rsidR="005010E7" w:rsidRPr="0028049B">
        <w:rPr>
          <w:vertAlign w:val="subscript"/>
          <w:lang w:val="en-GB"/>
        </w:rPr>
        <w:t>2</w:t>
      </w:r>
      <w:r w:rsidR="005010E7" w:rsidRPr="0028049B">
        <w:rPr>
          <w:lang w:val="en-GB"/>
        </w:rPr>
        <w:t xml:space="preserve"> and </w:t>
      </w:r>
      <w:proofErr w:type="spellStart"/>
      <w:r w:rsidR="005010E7" w:rsidRPr="0028049B">
        <w:rPr>
          <w:lang w:val="en-GB"/>
        </w:rPr>
        <w:t>Ar</w:t>
      </w:r>
      <w:proofErr w:type="spellEnd"/>
      <w:r w:rsidR="005010E7" w:rsidRPr="0028049B">
        <w:rPr>
          <w:lang w:val="en-GB"/>
        </w:rPr>
        <w:t xml:space="preserve"> flow for 4 h. The </w:t>
      </w:r>
      <w:r w:rsidR="00512B1F">
        <w:rPr>
          <w:lang w:val="en-GB"/>
        </w:rPr>
        <w:t xml:space="preserve">final metal loading of </w:t>
      </w:r>
      <w:r w:rsidR="005010E7" w:rsidRPr="0028049B">
        <w:rPr>
          <w:lang w:val="en-GB"/>
        </w:rPr>
        <w:t>Ru</w:t>
      </w:r>
      <w:r w:rsidR="00C7697A" w:rsidRPr="0028049B">
        <w:rPr>
          <w:lang w:val="en-GB"/>
        </w:rPr>
        <w:t>-Fe/</w:t>
      </w:r>
      <w:r w:rsidR="005010E7" w:rsidRPr="0028049B">
        <w:rPr>
          <w:lang w:val="en-GB"/>
        </w:rPr>
        <w:t>Al</w:t>
      </w:r>
      <w:r w:rsidR="005010E7" w:rsidRPr="0028049B">
        <w:rPr>
          <w:vertAlign w:val="subscript"/>
          <w:lang w:val="en-GB"/>
        </w:rPr>
        <w:t>2</w:t>
      </w:r>
      <w:r w:rsidR="005010E7" w:rsidRPr="0028049B">
        <w:rPr>
          <w:lang w:val="en-GB"/>
        </w:rPr>
        <w:t>O</w:t>
      </w:r>
      <w:r w:rsidR="005010E7" w:rsidRPr="0028049B">
        <w:rPr>
          <w:vertAlign w:val="subscript"/>
          <w:lang w:val="en-GB"/>
        </w:rPr>
        <w:t>3</w:t>
      </w:r>
      <w:r w:rsidR="005010E7" w:rsidRPr="0028049B">
        <w:rPr>
          <w:lang w:val="en-GB"/>
        </w:rPr>
        <w:t xml:space="preserve"> </w:t>
      </w:r>
      <w:r w:rsidR="00512B1F">
        <w:rPr>
          <w:lang w:val="en-GB"/>
        </w:rPr>
        <w:t xml:space="preserve">was </w:t>
      </w:r>
      <w:r w:rsidR="005010E7" w:rsidRPr="0028049B">
        <w:rPr>
          <w:lang w:val="en-GB"/>
        </w:rPr>
        <w:t>2.5</w:t>
      </w:r>
      <w:r w:rsidR="00FE10F6">
        <w:rPr>
          <w:lang w:val="en-GB"/>
        </w:rPr>
        <w:t xml:space="preserve"> wt.</w:t>
      </w:r>
      <w:r w:rsidR="005010E7" w:rsidRPr="0028049B">
        <w:rPr>
          <w:lang w:val="en-GB"/>
        </w:rPr>
        <w:t xml:space="preserve">% </w:t>
      </w:r>
      <w:r w:rsidR="00512B1F">
        <w:rPr>
          <w:lang w:val="en-GB"/>
        </w:rPr>
        <w:t xml:space="preserve">for iron </w:t>
      </w:r>
      <w:r w:rsidR="005010E7" w:rsidRPr="0028049B">
        <w:rPr>
          <w:lang w:val="en-GB"/>
        </w:rPr>
        <w:t xml:space="preserve">and </w:t>
      </w:r>
      <w:r w:rsidR="00FE10F6">
        <w:rPr>
          <w:lang w:val="en-GB"/>
        </w:rPr>
        <w:t>2.5 wt.% for r</w:t>
      </w:r>
      <w:r w:rsidR="005010E7" w:rsidRPr="0028049B">
        <w:rPr>
          <w:lang w:val="en-GB"/>
        </w:rPr>
        <w:t>uthenium.</w:t>
      </w:r>
    </w:p>
    <w:p w14:paraId="50091D34" w14:textId="22221246" w:rsidR="00863147" w:rsidRPr="0028049B" w:rsidRDefault="00863147" w:rsidP="00852B0C">
      <w:pPr>
        <w:pStyle w:val="CETBodytext"/>
        <w:spacing w:before="120"/>
        <w:rPr>
          <w:b/>
          <w:bCs/>
          <w:lang w:val="en-GB"/>
        </w:rPr>
      </w:pPr>
      <w:r w:rsidRPr="0028049B">
        <w:rPr>
          <w:b/>
          <w:bCs/>
          <w:lang w:val="en-GB"/>
        </w:rPr>
        <w:t xml:space="preserve">2.1.3 </w:t>
      </w:r>
      <w:r w:rsidR="005010E7" w:rsidRPr="0028049B">
        <w:rPr>
          <w:b/>
          <w:bCs/>
          <w:lang w:val="en-GB"/>
        </w:rPr>
        <w:t>Fe</w:t>
      </w:r>
      <w:r w:rsidR="005010E7" w:rsidRPr="0028049B">
        <w:rPr>
          <w:b/>
          <w:bCs/>
          <w:vertAlign w:val="subscript"/>
          <w:lang w:val="en-GB"/>
        </w:rPr>
        <w:t>2</w:t>
      </w:r>
      <w:r w:rsidR="005010E7" w:rsidRPr="0028049B">
        <w:rPr>
          <w:b/>
          <w:bCs/>
          <w:lang w:val="en-GB"/>
        </w:rPr>
        <w:t>O</w:t>
      </w:r>
      <w:r w:rsidR="005010E7" w:rsidRPr="0028049B">
        <w:rPr>
          <w:b/>
          <w:bCs/>
          <w:vertAlign w:val="subscript"/>
          <w:lang w:val="en-GB"/>
        </w:rPr>
        <w:t>3</w:t>
      </w:r>
      <w:r w:rsidR="005010E7" w:rsidRPr="0028049B">
        <w:rPr>
          <w:b/>
          <w:bCs/>
          <w:lang w:val="en-GB"/>
        </w:rPr>
        <w:t>/</w:t>
      </w:r>
      <w:r w:rsidR="001263D0" w:rsidRPr="0028049B">
        <w:rPr>
          <w:b/>
          <w:bCs/>
          <w:lang w:val="en-GB"/>
        </w:rPr>
        <w:t>Al</w:t>
      </w:r>
      <w:r w:rsidR="001263D0" w:rsidRPr="0028049B">
        <w:rPr>
          <w:b/>
          <w:bCs/>
          <w:vertAlign w:val="subscript"/>
          <w:lang w:val="en-GB"/>
        </w:rPr>
        <w:t>2</w:t>
      </w:r>
      <w:r w:rsidR="001263D0" w:rsidRPr="0028049B">
        <w:rPr>
          <w:b/>
          <w:bCs/>
          <w:lang w:val="en-GB"/>
        </w:rPr>
        <w:t>O</w:t>
      </w:r>
      <w:r w:rsidR="001263D0" w:rsidRPr="0028049B">
        <w:rPr>
          <w:b/>
          <w:bCs/>
          <w:vertAlign w:val="subscript"/>
          <w:lang w:val="en-GB"/>
        </w:rPr>
        <w:t>3</w:t>
      </w:r>
    </w:p>
    <w:p w14:paraId="604E7C6A" w14:textId="450D51ED" w:rsidR="00852B0C" w:rsidRPr="0028049B" w:rsidRDefault="00863147" w:rsidP="00852B0C">
      <w:pPr>
        <w:pStyle w:val="CETBodytext"/>
        <w:spacing w:before="120"/>
        <w:rPr>
          <w:lang w:val="en-GB"/>
        </w:rPr>
      </w:pPr>
      <w:r w:rsidRPr="0028049B">
        <w:rPr>
          <w:lang w:val="en-GB"/>
        </w:rPr>
        <w:t>T</w:t>
      </w:r>
      <w:r w:rsidR="005010E7" w:rsidRPr="0028049B">
        <w:rPr>
          <w:lang w:val="en-GB"/>
        </w:rPr>
        <w:t xml:space="preserve">he </w:t>
      </w:r>
      <w:r w:rsidR="0081172F" w:rsidRPr="0028049B">
        <w:rPr>
          <w:rFonts w:ascii="Symbol" w:hAnsi="Symbol"/>
          <w:lang w:val="en-GB"/>
        </w:rPr>
        <w:t>a</w:t>
      </w:r>
      <w:r w:rsidR="0081172F" w:rsidRPr="0028049B">
        <w:rPr>
          <w:lang w:val="en-GB"/>
        </w:rPr>
        <w:t xml:space="preserve">-alumina </w:t>
      </w:r>
      <w:r w:rsidR="005010E7" w:rsidRPr="0028049B">
        <w:rPr>
          <w:lang w:val="en-GB"/>
        </w:rPr>
        <w:t xml:space="preserve">(0.903 g) and Fe-precursor, </w:t>
      </w:r>
      <w:proofErr w:type="gramStart"/>
      <w:r w:rsidR="005010E7" w:rsidRPr="0028049B">
        <w:rPr>
          <w:lang w:val="en-GB"/>
        </w:rPr>
        <w:t>iron(</w:t>
      </w:r>
      <w:proofErr w:type="gramEnd"/>
      <w:r w:rsidR="005010E7" w:rsidRPr="0028049B">
        <w:rPr>
          <w:lang w:val="en-GB"/>
        </w:rPr>
        <w:t>III) nitrate nonahydrate (0.253 g, Fe(NO</w:t>
      </w:r>
      <w:r w:rsidR="005010E7" w:rsidRPr="0028049B">
        <w:rPr>
          <w:vertAlign w:val="subscript"/>
          <w:lang w:val="en-GB"/>
        </w:rPr>
        <w:t>3</w:t>
      </w:r>
      <w:r w:rsidR="005010E7" w:rsidRPr="0028049B">
        <w:rPr>
          <w:lang w:val="en-GB"/>
        </w:rPr>
        <w:t>)3</w:t>
      </w:r>
      <w:r w:rsidR="005010E7" w:rsidRPr="0028049B">
        <w:rPr>
          <w:rFonts w:ascii="Segoe UI Symbol" w:hAnsi="Segoe UI Symbol" w:cs="Segoe UI Symbol"/>
          <w:lang w:val="en-GB"/>
        </w:rPr>
        <w:t>⸱</w:t>
      </w:r>
      <w:r w:rsidR="005010E7" w:rsidRPr="0028049B">
        <w:rPr>
          <w:lang w:val="en-GB"/>
        </w:rPr>
        <w:t>9H</w:t>
      </w:r>
      <w:r w:rsidR="005010E7" w:rsidRPr="0028049B">
        <w:rPr>
          <w:vertAlign w:val="subscript"/>
          <w:lang w:val="en-GB"/>
        </w:rPr>
        <w:t>2</w:t>
      </w:r>
      <w:r w:rsidR="005010E7" w:rsidRPr="0028049B">
        <w:rPr>
          <w:lang w:val="en-GB"/>
        </w:rPr>
        <w:t xml:space="preserve">O, </w:t>
      </w:r>
      <w:r w:rsidR="005010E7" w:rsidRPr="0028049B">
        <w:rPr>
          <w:rFonts w:cs="Arial"/>
          <w:lang w:val="en-GB"/>
        </w:rPr>
        <w:t>≥</w:t>
      </w:r>
      <w:r w:rsidR="005010E7" w:rsidRPr="0028049B">
        <w:rPr>
          <w:lang w:val="en-GB"/>
        </w:rPr>
        <w:t xml:space="preserve"> 99.95% trace metals basis), were suspended in 25 mL of deionized water with 1 mL of Ethylene Glycol; then</w:t>
      </w:r>
      <w:r w:rsidR="00A43FC7">
        <w:rPr>
          <w:lang w:val="en-GB"/>
        </w:rPr>
        <w:t>,</w:t>
      </w:r>
      <w:r w:rsidR="005010E7" w:rsidRPr="0028049B">
        <w:rPr>
          <w:lang w:val="en-GB"/>
        </w:rPr>
        <w:t xml:space="preserve"> the mixture was sonicated for 30 minutes, and the pH was adjusted to 8 with a 5% ammonium hydroxide solution. Afterwards, the solvent was eliminated by drying at 120 </w:t>
      </w:r>
      <w:r w:rsidR="005010E7" w:rsidRPr="0028049B">
        <w:rPr>
          <w:rFonts w:cs="Arial"/>
          <w:lang w:val="en-GB"/>
        </w:rPr>
        <w:t>°</w:t>
      </w:r>
      <w:r w:rsidR="005010E7" w:rsidRPr="0028049B">
        <w:rPr>
          <w:lang w:val="en-GB"/>
        </w:rPr>
        <w:t>C overnight. The obtained powder was calcined for 2 h at 400</w:t>
      </w:r>
      <w:r w:rsidR="005010E7" w:rsidRPr="0028049B">
        <w:rPr>
          <w:rFonts w:cs="Arial"/>
          <w:lang w:val="en-GB"/>
        </w:rPr>
        <w:t>°</w:t>
      </w:r>
      <w:r w:rsidR="005010E7" w:rsidRPr="0028049B">
        <w:rPr>
          <w:lang w:val="en-GB"/>
        </w:rPr>
        <w:t xml:space="preserve">C in a horizontal tubular furnace under </w:t>
      </w:r>
      <w:proofErr w:type="spellStart"/>
      <w:r w:rsidR="005010E7" w:rsidRPr="0028049B">
        <w:rPr>
          <w:lang w:val="en-GB"/>
        </w:rPr>
        <w:t>Ar</w:t>
      </w:r>
      <w:proofErr w:type="spellEnd"/>
      <w:r w:rsidR="005010E7" w:rsidRPr="0028049B">
        <w:rPr>
          <w:lang w:val="en-GB"/>
        </w:rPr>
        <w:t xml:space="preserve"> flow. </w:t>
      </w:r>
      <w:r w:rsidR="008A7331">
        <w:rPr>
          <w:lang w:val="en-GB"/>
        </w:rPr>
        <w:t xml:space="preserve">A metal loading </w:t>
      </w:r>
      <w:r w:rsidR="00B000BC">
        <w:rPr>
          <w:lang w:val="en-GB"/>
        </w:rPr>
        <w:t xml:space="preserve">of </w:t>
      </w:r>
      <w:r w:rsidR="008A7331">
        <w:rPr>
          <w:lang w:val="en-GB"/>
        </w:rPr>
        <w:t>5 wt.% was f</w:t>
      </w:r>
      <w:r w:rsidR="00B000BC">
        <w:rPr>
          <w:lang w:val="en-GB"/>
        </w:rPr>
        <w:t xml:space="preserve">inally </w:t>
      </w:r>
      <w:r w:rsidR="005010E7" w:rsidRPr="0028049B">
        <w:rPr>
          <w:lang w:val="en-GB"/>
        </w:rPr>
        <w:t>obtained</w:t>
      </w:r>
      <w:r w:rsidR="00852B0C" w:rsidRPr="0028049B">
        <w:rPr>
          <w:lang w:val="en-GB"/>
        </w:rPr>
        <w:t>.</w:t>
      </w:r>
    </w:p>
    <w:p w14:paraId="50BBCD74" w14:textId="4B83D3A7" w:rsidR="00073012" w:rsidRPr="0028049B" w:rsidRDefault="00073012" w:rsidP="00616047">
      <w:pPr>
        <w:pStyle w:val="CETheadingx"/>
        <w:rPr>
          <w:lang w:val="en-GB"/>
        </w:rPr>
      </w:pPr>
      <w:r w:rsidRPr="0028049B">
        <w:rPr>
          <w:lang w:val="en-GB"/>
        </w:rPr>
        <w:t>CNTs-based catalysts preparation</w:t>
      </w:r>
    </w:p>
    <w:p w14:paraId="322A233A" w14:textId="0748852C" w:rsidR="00E06258" w:rsidRPr="0028049B" w:rsidRDefault="00E06258" w:rsidP="00E06258">
      <w:pPr>
        <w:pStyle w:val="CETBodytext"/>
        <w:rPr>
          <w:lang w:val="en-GB"/>
        </w:rPr>
      </w:pPr>
      <w:r w:rsidRPr="0028049B">
        <w:rPr>
          <w:lang w:val="en-GB"/>
        </w:rPr>
        <w:t xml:space="preserve">The functionalization of CNTs consists of a pre-treatment of commercial CNTs (Pyrograph-III, PR-24XT) with </w:t>
      </w:r>
      <w:r w:rsidRPr="00FC1739">
        <w:rPr>
          <w:lang w:val="en-GB"/>
        </w:rPr>
        <w:t>Nitric Acid (conc. 65%), 50 mL for 1</w:t>
      </w:r>
      <w:r w:rsidR="00AA4E49" w:rsidRPr="00FC1739">
        <w:rPr>
          <w:lang w:val="en-GB"/>
        </w:rPr>
        <w:t xml:space="preserve"> </w:t>
      </w:r>
      <w:r w:rsidRPr="00FC1739">
        <w:rPr>
          <w:lang w:val="en-GB"/>
        </w:rPr>
        <w:t>g of CNTs, in order to create oxygen functionalities</w:t>
      </w:r>
      <w:r w:rsidR="00E87E81" w:rsidRPr="00095C0E">
        <w:rPr>
          <w:lang w:val="en-GB"/>
        </w:rPr>
        <w:t xml:space="preserve"> </w:t>
      </w:r>
      <w:r w:rsidR="00E87E81" w:rsidRPr="00FC1739">
        <w:rPr>
          <w:lang w:val="en-GB"/>
        </w:rPr>
        <w:t xml:space="preserve">as reported by Hirsh, A. and </w:t>
      </w:r>
      <w:proofErr w:type="spellStart"/>
      <w:r w:rsidR="00E87E81" w:rsidRPr="00FC1739">
        <w:rPr>
          <w:lang w:val="en-GB"/>
        </w:rPr>
        <w:t>Volstrowsky</w:t>
      </w:r>
      <w:proofErr w:type="spellEnd"/>
      <w:r w:rsidR="00E87E81" w:rsidRPr="00FC1739">
        <w:rPr>
          <w:lang w:val="en-GB"/>
        </w:rPr>
        <w:t xml:space="preserve">, O. (2005), </w:t>
      </w:r>
      <w:r w:rsidR="008A26D3">
        <w:rPr>
          <w:lang w:val="en-GB"/>
        </w:rPr>
        <w:t xml:space="preserve">hereafter </w:t>
      </w:r>
      <w:r w:rsidR="000D2F4A" w:rsidRPr="0028049B">
        <w:rPr>
          <w:lang w:val="en-GB"/>
        </w:rPr>
        <w:t>called CNTs</w:t>
      </w:r>
      <w:r w:rsidR="008A26D3" w:rsidRPr="008A26D3">
        <w:rPr>
          <w:lang w:val="en-GB"/>
        </w:rPr>
        <w:t xml:space="preserve"> </w:t>
      </w:r>
      <w:r w:rsidR="008A26D3" w:rsidRPr="0028049B">
        <w:rPr>
          <w:lang w:val="en-GB"/>
        </w:rPr>
        <w:t>for simplicity</w:t>
      </w:r>
      <w:r w:rsidRPr="0028049B">
        <w:rPr>
          <w:lang w:val="en-GB"/>
        </w:rPr>
        <w:t>, then treated at 120 °C for 2 h in a reflux apparatus</w:t>
      </w:r>
      <w:r w:rsidR="00C7697A" w:rsidRPr="0028049B">
        <w:rPr>
          <w:lang w:val="en-GB"/>
        </w:rPr>
        <w:t xml:space="preserve"> </w:t>
      </w:r>
      <w:r w:rsidR="00F43ABF" w:rsidRPr="0028049B">
        <w:rPr>
          <w:lang w:val="en-GB"/>
        </w:rPr>
        <w:t>(Chen et al., 2020).</w:t>
      </w:r>
      <w:r w:rsidRPr="0028049B">
        <w:rPr>
          <w:lang w:val="en-GB"/>
        </w:rPr>
        <w:t xml:space="preserve"> The suspension was filtered and washed with deionized water until neutral </w:t>
      </w:r>
      <w:proofErr w:type="spellStart"/>
      <w:r w:rsidRPr="0028049B">
        <w:rPr>
          <w:lang w:val="en-GB"/>
        </w:rPr>
        <w:t>pH.</w:t>
      </w:r>
      <w:proofErr w:type="spellEnd"/>
      <w:r w:rsidRPr="0028049B">
        <w:rPr>
          <w:lang w:val="en-GB"/>
        </w:rPr>
        <w:t xml:space="preserve"> The sample was dried at 80°C overnight.</w:t>
      </w:r>
    </w:p>
    <w:p w14:paraId="151A0442" w14:textId="77777777" w:rsidR="009438B7" w:rsidRPr="0028049B" w:rsidRDefault="009438B7" w:rsidP="00E06258">
      <w:pPr>
        <w:pStyle w:val="CETBodytext"/>
        <w:rPr>
          <w:b/>
          <w:bCs/>
          <w:lang w:val="en-GB"/>
        </w:rPr>
      </w:pPr>
    </w:p>
    <w:p w14:paraId="5A69A297" w14:textId="4A255426" w:rsidR="00A04DF2" w:rsidRPr="0028049B" w:rsidRDefault="00A04DF2" w:rsidP="00E06258">
      <w:pPr>
        <w:pStyle w:val="CETBodytext"/>
        <w:rPr>
          <w:b/>
          <w:bCs/>
          <w:lang w:val="en-GB"/>
        </w:rPr>
      </w:pPr>
      <w:r w:rsidRPr="0028049B">
        <w:rPr>
          <w:b/>
          <w:bCs/>
          <w:lang w:val="en-GB"/>
        </w:rPr>
        <w:t xml:space="preserve">2.2.1 </w:t>
      </w:r>
      <w:r w:rsidR="00E06258" w:rsidRPr="0028049B">
        <w:rPr>
          <w:b/>
          <w:bCs/>
          <w:lang w:val="en-GB"/>
        </w:rPr>
        <w:t>Ru/CNTs</w:t>
      </w:r>
    </w:p>
    <w:p w14:paraId="11A0DB6A" w14:textId="1FE07A37" w:rsidR="00E43A41" w:rsidRPr="0028049B" w:rsidRDefault="00A04DF2" w:rsidP="00E06258">
      <w:pPr>
        <w:pStyle w:val="CETBodytext"/>
        <w:rPr>
          <w:lang w:val="en-GB"/>
        </w:rPr>
      </w:pPr>
      <w:r w:rsidRPr="0028049B">
        <w:rPr>
          <w:lang w:val="en-GB"/>
        </w:rPr>
        <w:t>T</w:t>
      </w:r>
      <w:r w:rsidR="00E06258" w:rsidRPr="0028049B">
        <w:rPr>
          <w:lang w:val="en-GB"/>
        </w:rPr>
        <w:t xml:space="preserve">he CNTs (0.425 g) and Ru-precursor, </w:t>
      </w:r>
      <w:proofErr w:type="gramStart"/>
      <w:r w:rsidR="00E06258" w:rsidRPr="0028049B">
        <w:rPr>
          <w:lang w:val="en-GB"/>
        </w:rPr>
        <w:t>Ruthenium(</w:t>
      </w:r>
      <w:proofErr w:type="gramEnd"/>
      <w:r w:rsidR="00E06258" w:rsidRPr="0028049B">
        <w:rPr>
          <w:lang w:val="en-GB"/>
        </w:rPr>
        <w:t xml:space="preserve">III) chloride hydrate (0.128 g, </w:t>
      </w:r>
      <w:r w:rsidR="009E22B9" w:rsidRPr="0028049B">
        <w:rPr>
          <w:lang w:val="en-GB"/>
        </w:rPr>
        <w:t>RuCl</w:t>
      </w:r>
      <w:r w:rsidR="009E22B9" w:rsidRPr="0028049B">
        <w:rPr>
          <w:vertAlign w:val="subscript"/>
          <w:lang w:val="en-GB"/>
        </w:rPr>
        <w:t>3</w:t>
      </w:r>
      <w:r w:rsidR="009E22B9" w:rsidRPr="0028049B">
        <w:rPr>
          <w:rFonts w:ascii="Segoe UI Symbol" w:hAnsi="Segoe UI Symbol" w:cs="Segoe UI Symbol"/>
          <w:lang w:val="en-GB"/>
        </w:rPr>
        <w:t>⸱</w:t>
      </w:r>
      <w:r w:rsidR="009E22B9" w:rsidRPr="0028049B">
        <w:rPr>
          <w:lang w:val="en-GB"/>
        </w:rPr>
        <w:t>xH</w:t>
      </w:r>
      <w:r w:rsidR="009E22B9" w:rsidRPr="0028049B">
        <w:rPr>
          <w:vertAlign w:val="subscript"/>
          <w:lang w:val="en-GB"/>
        </w:rPr>
        <w:t>2</w:t>
      </w:r>
      <w:r w:rsidR="009E22B9" w:rsidRPr="0028049B">
        <w:rPr>
          <w:lang w:val="en-GB"/>
        </w:rPr>
        <w:t>O</w:t>
      </w:r>
      <w:r w:rsidR="00E06258" w:rsidRPr="0028049B">
        <w:rPr>
          <w:lang w:val="en-GB"/>
        </w:rPr>
        <w:t>, Ru basis, 38.0-42.0%) were dissolved in 25 mL of deionized water, then the mixture was stirred for 1.5h. After</w:t>
      </w:r>
      <w:r w:rsidR="00480C79">
        <w:rPr>
          <w:lang w:val="en-GB"/>
        </w:rPr>
        <w:t>wards</w:t>
      </w:r>
      <w:r w:rsidR="00E06258" w:rsidRPr="0028049B">
        <w:rPr>
          <w:lang w:val="en-GB"/>
        </w:rPr>
        <w:t xml:space="preserve">, the solvent was eliminated by drying at 120 </w:t>
      </w:r>
      <w:r w:rsidR="00E06258" w:rsidRPr="0028049B">
        <w:rPr>
          <w:rFonts w:cs="Arial"/>
          <w:lang w:val="en-GB"/>
        </w:rPr>
        <w:t>°</w:t>
      </w:r>
      <w:r w:rsidR="00E06258" w:rsidRPr="0028049B">
        <w:rPr>
          <w:lang w:val="en-GB"/>
        </w:rPr>
        <w:t>C overnight. The obtained powder was calcined for 4 h at 400</w:t>
      </w:r>
      <w:r w:rsidR="00E06258" w:rsidRPr="0028049B">
        <w:rPr>
          <w:rFonts w:cs="Arial"/>
          <w:lang w:val="en-GB"/>
        </w:rPr>
        <w:t>°</w:t>
      </w:r>
      <w:r w:rsidR="00E06258" w:rsidRPr="0028049B">
        <w:rPr>
          <w:lang w:val="en-GB"/>
        </w:rPr>
        <w:t>C in a horizontal tubular furnace under H</w:t>
      </w:r>
      <w:r w:rsidR="00E06258" w:rsidRPr="0028049B">
        <w:rPr>
          <w:vertAlign w:val="subscript"/>
          <w:lang w:val="en-GB"/>
        </w:rPr>
        <w:t>2</w:t>
      </w:r>
      <w:r w:rsidR="00E06258" w:rsidRPr="0028049B">
        <w:rPr>
          <w:lang w:val="en-GB"/>
        </w:rPr>
        <w:t xml:space="preserve"> and </w:t>
      </w:r>
      <w:proofErr w:type="spellStart"/>
      <w:r w:rsidR="00E06258" w:rsidRPr="0028049B">
        <w:rPr>
          <w:lang w:val="en-GB"/>
        </w:rPr>
        <w:t>Ar</w:t>
      </w:r>
      <w:proofErr w:type="spellEnd"/>
      <w:r w:rsidR="00E06258" w:rsidRPr="0028049B">
        <w:rPr>
          <w:lang w:val="en-GB"/>
        </w:rPr>
        <w:t xml:space="preserve"> flows. The Ru-CNTs</w:t>
      </w:r>
      <w:r w:rsidR="00480C79">
        <w:rPr>
          <w:lang w:val="en-GB"/>
        </w:rPr>
        <w:t xml:space="preserve"> sample</w:t>
      </w:r>
      <w:r w:rsidR="00E06258" w:rsidRPr="0028049B">
        <w:rPr>
          <w:lang w:val="en-GB"/>
        </w:rPr>
        <w:t xml:space="preserve"> was obtained </w:t>
      </w:r>
      <w:r w:rsidR="00147F5F">
        <w:rPr>
          <w:lang w:val="en-GB"/>
        </w:rPr>
        <w:t xml:space="preserve">with a final metal loading of </w:t>
      </w:r>
      <w:r w:rsidR="00E06258" w:rsidRPr="0028049B">
        <w:rPr>
          <w:lang w:val="en-GB"/>
        </w:rPr>
        <w:t>5</w:t>
      </w:r>
      <w:r w:rsidR="00147F5F">
        <w:rPr>
          <w:lang w:val="en-GB"/>
        </w:rPr>
        <w:t xml:space="preserve"> wt.</w:t>
      </w:r>
      <w:r w:rsidR="00E06258" w:rsidRPr="0028049B">
        <w:rPr>
          <w:lang w:val="en-GB"/>
        </w:rPr>
        <w:t>%.</w:t>
      </w:r>
    </w:p>
    <w:p w14:paraId="37760F15" w14:textId="77777777" w:rsidR="00BE3DEB" w:rsidRDefault="00BE3DEB" w:rsidP="00E06258">
      <w:pPr>
        <w:pStyle w:val="CETBodytext"/>
        <w:rPr>
          <w:b/>
          <w:bCs/>
          <w:lang w:val="en-GB"/>
        </w:rPr>
      </w:pPr>
    </w:p>
    <w:p w14:paraId="697DB528" w14:textId="77777777" w:rsidR="00147F5F" w:rsidRDefault="00147F5F" w:rsidP="00E06258">
      <w:pPr>
        <w:pStyle w:val="CETBodytext"/>
        <w:rPr>
          <w:b/>
          <w:bCs/>
          <w:lang w:val="en-GB"/>
        </w:rPr>
      </w:pPr>
    </w:p>
    <w:p w14:paraId="615081FF" w14:textId="77777777" w:rsidR="00147F5F" w:rsidRDefault="00147F5F" w:rsidP="00E06258">
      <w:pPr>
        <w:pStyle w:val="CETBodytext"/>
        <w:rPr>
          <w:b/>
          <w:bCs/>
          <w:lang w:val="en-GB"/>
        </w:rPr>
      </w:pPr>
    </w:p>
    <w:p w14:paraId="271AE543" w14:textId="77777777" w:rsidR="00147F5F" w:rsidRPr="0028049B" w:rsidRDefault="00147F5F" w:rsidP="00E06258">
      <w:pPr>
        <w:pStyle w:val="CETBodytext"/>
        <w:rPr>
          <w:b/>
          <w:bCs/>
          <w:lang w:val="en-GB"/>
        </w:rPr>
      </w:pPr>
    </w:p>
    <w:p w14:paraId="20E26538" w14:textId="4517077D" w:rsidR="00A04DF2" w:rsidRPr="0028049B" w:rsidRDefault="00A04DF2" w:rsidP="00852B0C">
      <w:pPr>
        <w:pStyle w:val="CETBodytext"/>
        <w:spacing w:before="120"/>
        <w:rPr>
          <w:b/>
          <w:bCs/>
          <w:lang w:val="en-GB"/>
        </w:rPr>
      </w:pPr>
      <w:r w:rsidRPr="0028049B">
        <w:rPr>
          <w:b/>
          <w:bCs/>
          <w:lang w:val="en-GB"/>
        </w:rPr>
        <w:lastRenderedPageBreak/>
        <w:t xml:space="preserve">2.2.2 </w:t>
      </w:r>
      <w:r w:rsidR="00E06258" w:rsidRPr="0028049B">
        <w:rPr>
          <w:b/>
          <w:bCs/>
          <w:lang w:val="en-GB"/>
        </w:rPr>
        <w:t>Ru-Fe/CNTs</w:t>
      </w:r>
      <w:r w:rsidRPr="0028049B">
        <w:rPr>
          <w:b/>
          <w:bCs/>
          <w:lang w:val="en-GB"/>
        </w:rPr>
        <w:t xml:space="preserve"> </w:t>
      </w:r>
    </w:p>
    <w:p w14:paraId="2FF2D1A0" w14:textId="6A9A4538" w:rsidR="00E43A41" w:rsidRPr="00737259" w:rsidRDefault="00A04DF2" w:rsidP="00852B0C">
      <w:pPr>
        <w:pStyle w:val="CETBodytext"/>
        <w:spacing w:before="120"/>
      </w:pPr>
      <w:r w:rsidRPr="0028049B">
        <w:rPr>
          <w:lang w:val="en-GB"/>
        </w:rPr>
        <w:t>T</w:t>
      </w:r>
      <w:r w:rsidR="00E06258" w:rsidRPr="0028049B">
        <w:rPr>
          <w:lang w:val="en-GB"/>
        </w:rPr>
        <w:t>he CNT</w:t>
      </w:r>
      <w:r w:rsidR="000D2F4A" w:rsidRPr="0028049B">
        <w:rPr>
          <w:lang w:val="en-GB"/>
        </w:rPr>
        <w:t>s</w:t>
      </w:r>
      <w:r w:rsidR="00E06258" w:rsidRPr="0028049B">
        <w:rPr>
          <w:lang w:val="en-GB"/>
        </w:rPr>
        <w:t xml:space="preserve"> (0.95 g) and Ru-precursor, </w:t>
      </w:r>
      <w:proofErr w:type="gramStart"/>
      <w:r w:rsidR="00E06258" w:rsidRPr="0028049B">
        <w:rPr>
          <w:lang w:val="en-GB"/>
        </w:rPr>
        <w:t>Ruthenium(</w:t>
      </w:r>
      <w:proofErr w:type="gramEnd"/>
      <w:r w:rsidR="00E06258" w:rsidRPr="0028049B">
        <w:rPr>
          <w:lang w:val="en-GB"/>
        </w:rPr>
        <w:t xml:space="preserve">III) chloride hydrate (0.180 g, </w:t>
      </w:r>
      <w:r w:rsidR="009E22B9" w:rsidRPr="0028049B">
        <w:rPr>
          <w:lang w:val="en-GB"/>
        </w:rPr>
        <w:t>RuCl</w:t>
      </w:r>
      <w:r w:rsidR="009E22B9" w:rsidRPr="0028049B">
        <w:rPr>
          <w:vertAlign w:val="subscript"/>
          <w:lang w:val="en-GB"/>
        </w:rPr>
        <w:t>3</w:t>
      </w:r>
      <w:r w:rsidR="009E22B9" w:rsidRPr="0028049B">
        <w:rPr>
          <w:rFonts w:ascii="Segoe UI Symbol" w:hAnsi="Segoe UI Symbol" w:cs="Segoe UI Symbol"/>
          <w:lang w:val="en-GB"/>
        </w:rPr>
        <w:t>⸱</w:t>
      </w:r>
      <w:r w:rsidR="009E22B9" w:rsidRPr="0028049B">
        <w:rPr>
          <w:lang w:val="en-GB"/>
        </w:rPr>
        <w:t>xH</w:t>
      </w:r>
      <w:r w:rsidR="009E22B9" w:rsidRPr="0028049B">
        <w:rPr>
          <w:vertAlign w:val="subscript"/>
          <w:lang w:val="en-GB"/>
        </w:rPr>
        <w:t>2</w:t>
      </w:r>
      <w:r w:rsidR="009E22B9" w:rsidRPr="0028049B">
        <w:rPr>
          <w:lang w:val="en-GB"/>
        </w:rPr>
        <w:t>O</w:t>
      </w:r>
      <w:r w:rsidR="00E06258" w:rsidRPr="0028049B">
        <w:rPr>
          <w:lang w:val="en-GB"/>
        </w:rPr>
        <w:t xml:space="preserve">, Ru basis, 35.0-40.0%) and </w:t>
      </w:r>
      <w:r w:rsidR="00E06258" w:rsidRPr="00FC1739">
        <w:rPr>
          <w:lang w:val="en-GB"/>
        </w:rPr>
        <w:t xml:space="preserve">iron(III) chloride hexahydrate </w:t>
      </w:r>
      <w:r w:rsidR="00E06258" w:rsidRPr="0028049B">
        <w:rPr>
          <w:lang w:val="en-GB"/>
        </w:rPr>
        <w:t>(0.121 g, FeCl</w:t>
      </w:r>
      <w:r w:rsidR="00E06258" w:rsidRPr="0028049B">
        <w:rPr>
          <w:vertAlign w:val="subscript"/>
          <w:lang w:val="en-GB"/>
        </w:rPr>
        <w:t>3</w:t>
      </w:r>
      <w:r w:rsidR="00E06258" w:rsidRPr="0028049B">
        <w:rPr>
          <w:rFonts w:ascii="Segoe UI Symbol" w:hAnsi="Segoe UI Symbol" w:cs="Segoe UI Symbol"/>
          <w:lang w:val="en-GB"/>
        </w:rPr>
        <w:t>⸱</w:t>
      </w:r>
      <w:r w:rsidR="00E06258" w:rsidRPr="0028049B">
        <w:rPr>
          <w:lang w:val="en-GB"/>
        </w:rPr>
        <w:t>6H</w:t>
      </w:r>
      <w:r w:rsidR="00E06258" w:rsidRPr="0028049B">
        <w:rPr>
          <w:vertAlign w:val="subscript"/>
          <w:lang w:val="en-GB"/>
        </w:rPr>
        <w:t>2</w:t>
      </w:r>
      <w:r w:rsidR="00E06258" w:rsidRPr="0028049B">
        <w:rPr>
          <w:lang w:val="en-GB"/>
        </w:rPr>
        <w:t>O) were dissolved in 25 mL of deionized water, then the mixture was stirred for 1.5</w:t>
      </w:r>
      <w:r w:rsidR="00280853">
        <w:rPr>
          <w:lang w:val="en-GB"/>
        </w:rPr>
        <w:t xml:space="preserve"> </w:t>
      </w:r>
      <w:r w:rsidR="00E06258" w:rsidRPr="0028049B">
        <w:rPr>
          <w:lang w:val="en-GB"/>
        </w:rPr>
        <w:t>h. After</w:t>
      </w:r>
      <w:r w:rsidR="00280853">
        <w:rPr>
          <w:lang w:val="en-GB"/>
        </w:rPr>
        <w:t>wards</w:t>
      </w:r>
      <w:r w:rsidR="00E06258" w:rsidRPr="0028049B">
        <w:rPr>
          <w:lang w:val="en-GB"/>
        </w:rPr>
        <w:t xml:space="preserve">, the solvent was eliminated by drying at 120 </w:t>
      </w:r>
      <w:r w:rsidR="00E06258" w:rsidRPr="0028049B">
        <w:rPr>
          <w:rFonts w:cs="Arial"/>
          <w:lang w:val="en-GB"/>
        </w:rPr>
        <w:t>°</w:t>
      </w:r>
      <w:r w:rsidR="00E06258" w:rsidRPr="0028049B">
        <w:rPr>
          <w:lang w:val="en-GB"/>
        </w:rPr>
        <w:t>C overnight. The obtained powder was calcined for 4 h at 400</w:t>
      </w:r>
      <w:r w:rsidR="00E06258" w:rsidRPr="0028049B">
        <w:rPr>
          <w:rFonts w:cs="Arial"/>
          <w:lang w:val="en-GB"/>
        </w:rPr>
        <w:t>°</w:t>
      </w:r>
      <w:r w:rsidR="00E06258" w:rsidRPr="0028049B">
        <w:rPr>
          <w:lang w:val="en-GB"/>
        </w:rPr>
        <w:t>C in a horizontal tubular furnace under H</w:t>
      </w:r>
      <w:r w:rsidR="00E06258" w:rsidRPr="00271D57">
        <w:rPr>
          <w:vertAlign w:val="subscript"/>
          <w:lang w:val="en-GB"/>
        </w:rPr>
        <w:t>2</w:t>
      </w:r>
      <w:r w:rsidR="00E06258" w:rsidRPr="0028049B">
        <w:rPr>
          <w:lang w:val="en-GB"/>
        </w:rPr>
        <w:t xml:space="preserve"> and </w:t>
      </w:r>
      <w:proofErr w:type="spellStart"/>
      <w:r w:rsidR="00E06258" w:rsidRPr="0028049B">
        <w:rPr>
          <w:lang w:val="en-GB"/>
        </w:rPr>
        <w:t>Ar</w:t>
      </w:r>
      <w:proofErr w:type="spellEnd"/>
      <w:r w:rsidR="00E06258" w:rsidRPr="0028049B">
        <w:rPr>
          <w:lang w:val="en-GB"/>
        </w:rPr>
        <w:t xml:space="preserve"> flows. The Ru</w:t>
      </w:r>
      <w:r w:rsidR="00B87A0C" w:rsidRPr="0028049B">
        <w:rPr>
          <w:lang w:val="en-GB"/>
        </w:rPr>
        <w:t>-</w:t>
      </w:r>
      <w:r w:rsidR="00E06258" w:rsidRPr="0028049B">
        <w:rPr>
          <w:lang w:val="en-GB"/>
        </w:rPr>
        <w:t>Fe</w:t>
      </w:r>
      <w:r w:rsidR="00B87A0C" w:rsidRPr="0028049B">
        <w:rPr>
          <w:lang w:val="en-GB"/>
        </w:rPr>
        <w:t>/</w:t>
      </w:r>
      <w:r w:rsidR="00E06258" w:rsidRPr="0028049B">
        <w:rPr>
          <w:lang w:val="en-GB"/>
        </w:rPr>
        <w:t xml:space="preserve">CNTs was </w:t>
      </w:r>
      <w:r w:rsidR="00280853">
        <w:rPr>
          <w:lang w:val="en-GB"/>
        </w:rPr>
        <w:t xml:space="preserve">finally </w:t>
      </w:r>
      <w:r w:rsidR="00E06258" w:rsidRPr="0028049B">
        <w:rPr>
          <w:lang w:val="en-GB"/>
        </w:rPr>
        <w:t xml:space="preserve">obtained </w:t>
      </w:r>
      <w:r w:rsidR="00CA1A4A">
        <w:rPr>
          <w:lang w:val="en-GB"/>
        </w:rPr>
        <w:t>with</w:t>
      </w:r>
      <w:r w:rsidR="00E06258" w:rsidRPr="0028049B">
        <w:rPr>
          <w:lang w:val="en-GB"/>
        </w:rPr>
        <w:t xml:space="preserve"> 2.5</w:t>
      </w:r>
      <w:r w:rsidR="00CA1A4A">
        <w:rPr>
          <w:lang w:val="en-GB"/>
        </w:rPr>
        <w:t xml:space="preserve"> wt.</w:t>
      </w:r>
      <w:r w:rsidR="00E06258" w:rsidRPr="0028049B">
        <w:rPr>
          <w:lang w:val="en-GB"/>
        </w:rPr>
        <w:t xml:space="preserve">% </w:t>
      </w:r>
      <w:r w:rsidR="00CA1A4A">
        <w:rPr>
          <w:lang w:val="en-GB"/>
        </w:rPr>
        <w:t xml:space="preserve">iron </w:t>
      </w:r>
      <w:r w:rsidR="00E06258" w:rsidRPr="0028049B">
        <w:rPr>
          <w:lang w:val="en-GB"/>
        </w:rPr>
        <w:t>and 2.5</w:t>
      </w:r>
      <w:r w:rsidR="00CA1A4A">
        <w:rPr>
          <w:lang w:val="en-GB"/>
        </w:rPr>
        <w:t xml:space="preserve"> wt.</w:t>
      </w:r>
      <w:r w:rsidR="00E06258" w:rsidRPr="0028049B">
        <w:rPr>
          <w:lang w:val="en-GB"/>
        </w:rPr>
        <w:t xml:space="preserve">% </w:t>
      </w:r>
      <w:r w:rsidR="00CA1A4A">
        <w:rPr>
          <w:lang w:val="en-GB"/>
        </w:rPr>
        <w:t>r</w:t>
      </w:r>
      <w:r w:rsidR="00CA1A4A" w:rsidRPr="0028049B">
        <w:rPr>
          <w:lang w:val="en-GB"/>
        </w:rPr>
        <w:t>uthenium</w:t>
      </w:r>
      <w:r w:rsidR="00E06258" w:rsidRPr="0028049B">
        <w:rPr>
          <w:lang w:val="en-GB"/>
        </w:rPr>
        <w:t>.</w:t>
      </w:r>
    </w:p>
    <w:p w14:paraId="6E558703" w14:textId="77777777" w:rsidR="009438B7" w:rsidRPr="0028049B" w:rsidRDefault="009438B7" w:rsidP="00E06258">
      <w:pPr>
        <w:pStyle w:val="CETBodytext"/>
        <w:rPr>
          <w:b/>
          <w:bCs/>
          <w:lang w:val="en-GB"/>
        </w:rPr>
      </w:pPr>
    </w:p>
    <w:p w14:paraId="50821AE3" w14:textId="0B419749" w:rsidR="007414FB" w:rsidRPr="0028049B" w:rsidRDefault="007414FB" w:rsidP="00E06258">
      <w:pPr>
        <w:pStyle w:val="CETBodytext"/>
        <w:rPr>
          <w:b/>
          <w:bCs/>
          <w:lang w:val="en-GB"/>
        </w:rPr>
      </w:pPr>
      <w:r w:rsidRPr="0028049B">
        <w:rPr>
          <w:b/>
          <w:bCs/>
          <w:lang w:val="en-GB"/>
        </w:rPr>
        <w:t xml:space="preserve">2.2.3 </w:t>
      </w:r>
      <w:r w:rsidR="00E06258" w:rsidRPr="0028049B">
        <w:rPr>
          <w:b/>
          <w:bCs/>
          <w:lang w:val="en-GB"/>
        </w:rPr>
        <w:t>Fe</w:t>
      </w:r>
      <w:r w:rsidR="00E06258" w:rsidRPr="0028049B">
        <w:rPr>
          <w:b/>
          <w:bCs/>
          <w:vertAlign w:val="subscript"/>
          <w:lang w:val="en-GB"/>
        </w:rPr>
        <w:t>2</w:t>
      </w:r>
      <w:r w:rsidR="00E06258" w:rsidRPr="0028049B">
        <w:rPr>
          <w:b/>
          <w:bCs/>
          <w:lang w:val="en-GB"/>
        </w:rPr>
        <w:t>O</w:t>
      </w:r>
      <w:r w:rsidR="00E06258" w:rsidRPr="0028049B">
        <w:rPr>
          <w:b/>
          <w:bCs/>
          <w:vertAlign w:val="subscript"/>
          <w:lang w:val="en-GB"/>
        </w:rPr>
        <w:t>3</w:t>
      </w:r>
      <w:r w:rsidR="00E06258" w:rsidRPr="0028049B">
        <w:rPr>
          <w:b/>
          <w:bCs/>
          <w:lang w:val="en-GB"/>
        </w:rPr>
        <w:t>/CNTs</w:t>
      </w:r>
    </w:p>
    <w:p w14:paraId="2530E41E" w14:textId="0E9FBE4F" w:rsidR="00C6146C" w:rsidRPr="0028049B" w:rsidRDefault="00E06258" w:rsidP="00852B0C">
      <w:pPr>
        <w:pStyle w:val="CETBodytext"/>
        <w:spacing w:before="120"/>
        <w:rPr>
          <w:lang w:val="en-GB"/>
        </w:rPr>
      </w:pPr>
      <w:r w:rsidRPr="0028049B">
        <w:rPr>
          <w:lang w:val="en-GB"/>
        </w:rPr>
        <w:t xml:space="preserve">The CNTs (0.7 g) and Fe-precursor, </w:t>
      </w:r>
      <w:proofErr w:type="gramStart"/>
      <w:r w:rsidRPr="0028049B">
        <w:rPr>
          <w:lang w:val="en-GB"/>
        </w:rPr>
        <w:t>Iron(</w:t>
      </w:r>
      <w:proofErr w:type="gramEnd"/>
      <w:r w:rsidRPr="0028049B">
        <w:rPr>
          <w:lang w:val="en-GB"/>
        </w:rPr>
        <w:t xml:space="preserve">III) nitrate nonahydrate (1.515 g, </w:t>
      </w:r>
      <w:r w:rsidR="009E22B9" w:rsidRPr="0028049B">
        <w:rPr>
          <w:lang w:val="en-GB"/>
        </w:rPr>
        <w:t>Fe(NO</w:t>
      </w:r>
      <w:r w:rsidR="009E22B9" w:rsidRPr="0028049B">
        <w:rPr>
          <w:vertAlign w:val="subscript"/>
          <w:lang w:val="en-GB"/>
        </w:rPr>
        <w:t>3</w:t>
      </w:r>
      <w:r w:rsidR="009E22B9" w:rsidRPr="0028049B">
        <w:rPr>
          <w:lang w:val="en-GB"/>
        </w:rPr>
        <w:t>)</w:t>
      </w:r>
      <w:r w:rsidR="009E22B9" w:rsidRPr="0028049B">
        <w:rPr>
          <w:vertAlign w:val="subscript"/>
          <w:lang w:val="en-GB"/>
        </w:rPr>
        <w:t>3</w:t>
      </w:r>
      <w:r w:rsidR="009E22B9" w:rsidRPr="0028049B">
        <w:rPr>
          <w:rFonts w:ascii="Segoe UI Symbol" w:hAnsi="Segoe UI Symbol" w:cs="Segoe UI Symbol"/>
          <w:lang w:val="en-GB"/>
        </w:rPr>
        <w:t>⸱</w:t>
      </w:r>
      <w:r w:rsidR="009E22B9" w:rsidRPr="0028049B">
        <w:rPr>
          <w:lang w:val="en-GB"/>
        </w:rPr>
        <w:t>9H</w:t>
      </w:r>
      <w:r w:rsidR="009E22B9" w:rsidRPr="0028049B">
        <w:rPr>
          <w:vertAlign w:val="subscript"/>
          <w:lang w:val="en-GB"/>
        </w:rPr>
        <w:t>2</w:t>
      </w:r>
      <w:r w:rsidR="009E22B9" w:rsidRPr="0028049B">
        <w:rPr>
          <w:lang w:val="en-GB"/>
        </w:rPr>
        <w:t>O</w:t>
      </w:r>
      <w:r w:rsidRPr="0028049B">
        <w:rPr>
          <w:lang w:val="en-GB"/>
        </w:rPr>
        <w:t xml:space="preserve">, </w:t>
      </w:r>
      <w:r w:rsidRPr="0028049B">
        <w:rPr>
          <w:rFonts w:cs="Arial"/>
          <w:lang w:val="en-GB"/>
        </w:rPr>
        <w:t>≥</w:t>
      </w:r>
      <w:r w:rsidRPr="0028049B">
        <w:rPr>
          <w:lang w:val="en-GB"/>
        </w:rPr>
        <w:t xml:space="preserve"> 99.95% trace metals basis), were dissolved in 25 mL of deionized water with 1 mL of Ethylene Glycol, then the mixture was sonicated for 30 minutes, and the pH was adjusted to 8 with a 5% ammonium hydroxide solution. Afterward, the solvent was eliminated by drying at 120 </w:t>
      </w:r>
      <w:r w:rsidRPr="0028049B">
        <w:rPr>
          <w:rFonts w:cs="Arial"/>
          <w:lang w:val="en-GB"/>
        </w:rPr>
        <w:t>°</w:t>
      </w:r>
      <w:r w:rsidRPr="0028049B">
        <w:rPr>
          <w:lang w:val="en-GB"/>
        </w:rPr>
        <w:t>C overnight. The obtained powder was calcined for 2 h at 400</w:t>
      </w:r>
      <w:r w:rsidRPr="0028049B">
        <w:rPr>
          <w:rFonts w:cs="Arial"/>
          <w:lang w:val="en-GB"/>
        </w:rPr>
        <w:t>°</w:t>
      </w:r>
      <w:r w:rsidRPr="0028049B">
        <w:rPr>
          <w:lang w:val="en-GB"/>
        </w:rPr>
        <w:t>C in a horizontal tubular furnace under He flows. The Fe</w:t>
      </w:r>
      <w:r w:rsidRPr="0028049B">
        <w:rPr>
          <w:vertAlign w:val="subscript"/>
          <w:lang w:val="en-GB"/>
        </w:rPr>
        <w:t>2</w:t>
      </w:r>
      <w:r w:rsidRPr="0028049B">
        <w:rPr>
          <w:lang w:val="en-GB"/>
        </w:rPr>
        <w:t>O</w:t>
      </w:r>
      <w:r w:rsidRPr="0028049B">
        <w:rPr>
          <w:vertAlign w:val="subscript"/>
          <w:lang w:val="en-GB"/>
        </w:rPr>
        <w:t>3</w:t>
      </w:r>
      <w:r w:rsidRPr="0028049B">
        <w:rPr>
          <w:lang w:val="en-GB"/>
        </w:rPr>
        <w:t>-CNT</w:t>
      </w:r>
      <w:r w:rsidR="00B87A0C" w:rsidRPr="0028049B">
        <w:rPr>
          <w:lang w:val="en-GB"/>
        </w:rPr>
        <w:t>s</w:t>
      </w:r>
      <w:r w:rsidRPr="0028049B">
        <w:rPr>
          <w:lang w:val="en-GB"/>
        </w:rPr>
        <w:t xml:space="preserve"> was </w:t>
      </w:r>
      <w:r w:rsidR="00D07708">
        <w:rPr>
          <w:lang w:val="en-GB"/>
        </w:rPr>
        <w:t xml:space="preserve">finally </w:t>
      </w:r>
      <w:r w:rsidR="00124D06" w:rsidRPr="0028049B">
        <w:rPr>
          <w:lang w:val="en-GB"/>
        </w:rPr>
        <w:t xml:space="preserve">obtained </w:t>
      </w:r>
      <w:r w:rsidR="00D07708">
        <w:rPr>
          <w:lang w:val="en-GB"/>
        </w:rPr>
        <w:t xml:space="preserve">with </w:t>
      </w:r>
      <w:r w:rsidRPr="0028049B">
        <w:rPr>
          <w:lang w:val="en-GB"/>
        </w:rPr>
        <w:t>30</w:t>
      </w:r>
      <w:r w:rsidR="00300EBB">
        <w:rPr>
          <w:lang w:val="en-GB"/>
        </w:rPr>
        <w:t xml:space="preserve"> wt.</w:t>
      </w:r>
      <w:r w:rsidRPr="0028049B">
        <w:rPr>
          <w:lang w:val="en-GB"/>
        </w:rPr>
        <w:t>%</w:t>
      </w:r>
      <w:r w:rsidR="00D07708">
        <w:rPr>
          <w:lang w:val="en-GB"/>
        </w:rPr>
        <w:t xml:space="preserve"> </w:t>
      </w:r>
      <w:r w:rsidR="00300EBB">
        <w:rPr>
          <w:lang w:val="en-GB"/>
        </w:rPr>
        <w:t>metal loading</w:t>
      </w:r>
      <w:r w:rsidRPr="0028049B">
        <w:rPr>
          <w:lang w:val="en-GB"/>
        </w:rPr>
        <w:t>.</w:t>
      </w:r>
    </w:p>
    <w:p w14:paraId="5F9B231C" w14:textId="7BED25EE" w:rsidR="000159C7" w:rsidRPr="0028049B" w:rsidRDefault="000159C7" w:rsidP="00616047">
      <w:pPr>
        <w:pStyle w:val="CETheadingx"/>
        <w:rPr>
          <w:lang w:val="en-GB"/>
        </w:rPr>
      </w:pPr>
      <w:r w:rsidRPr="0028049B">
        <w:rPr>
          <w:lang w:val="en-GB"/>
        </w:rPr>
        <w:t>Electrode preparation</w:t>
      </w:r>
    </w:p>
    <w:p w14:paraId="7C859F7B" w14:textId="0D0F99B9" w:rsidR="008E1DDB" w:rsidRPr="00FC1739" w:rsidRDefault="00D136D7" w:rsidP="008E1DDB">
      <w:pPr>
        <w:pStyle w:val="CETBodytext"/>
        <w:rPr>
          <w:lang w:val="en-GB"/>
        </w:rPr>
      </w:pPr>
      <w:r w:rsidRPr="0028049B">
        <w:rPr>
          <w:lang w:val="en-GB"/>
        </w:rPr>
        <w:t>In the electrode fabrication process</w:t>
      </w:r>
      <w:r w:rsidR="008915A7">
        <w:rPr>
          <w:lang w:val="en-GB"/>
        </w:rPr>
        <w:t>,</w:t>
      </w:r>
      <w:r w:rsidR="00A82115" w:rsidRPr="0028049B">
        <w:rPr>
          <w:lang w:val="en-GB"/>
        </w:rPr>
        <w:t xml:space="preserve"> a</w:t>
      </w:r>
      <w:r w:rsidR="00C6146C" w:rsidRPr="0028049B">
        <w:rPr>
          <w:lang w:val="en-GB"/>
        </w:rPr>
        <w:t xml:space="preserve"> commercial gas-diffusion layer (GDL), specifically the </w:t>
      </w:r>
      <w:proofErr w:type="spellStart"/>
      <w:r w:rsidR="00C6146C" w:rsidRPr="0028049B">
        <w:rPr>
          <w:lang w:val="en-GB"/>
        </w:rPr>
        <w:t>Sigracet</w:t>
      </w:r>
      <w:proofErr w:type="spellEnd"/>
      <w:r w:rsidR="00C6146C" w:rsidRPr="0028049B">
        <w:rPr>
          <w:lang w:val="en-GB"/>
        </w:rPr>
        <w:t xml:space="preserve"> GDL 39BB,</w:t>
      </w:r>
      <w:r w:rsidR="00DC2509" w:rsidRPr="0028049B">
        <w:rPr>
          <w:lang w:val="en-GB"/>
        </w:rPr>
        <w:t xml:space="preserve"> and a </w:t>
      </w:r>
      <w:proofErr w:type="spellStart"/>
      <w:r w:rsidR="00DC2509" w:rsidRPr="0028049B">
        <w:rPr>
          <w:lang w:val="en-GB"/>
        </w:rPr>
        <w:t>Nafion</w:t>
      </w:r>
      <w:proofErr w:type="spellEnd"/>
      <w:r w:rsidR="00DC2509" w:rsidRPr="0028049B">
        <w:rPr>
          <w:lang w:val="en-GB"/>
        </w:rPr>
        <w:t xml:space="preserve">® membrane </w:t>
      </w:r>
      <w:r w:rsidR="008915A7">
        <w:rPr>
          <w:lang w:val="en-GB"/>
        </w:rPr>
        <w:t>N</w:t>
      </w:r>
      <w:r w:rsidR="00DC2509" w:rsidRPr="0028049B">
        <w:rPr>
          <w:lang w:val="en-GB"/>
        </w:rPr>
        <w:t>115</w:t>
      </w:r>
      <w:r w:rsidR="00C6146C" w:rsidRPr="0028049B">
        <w:rPr>
          <w:lang w:val="en-GB"/>
        </w:rPr>
        <w:t xml:space="preserve"> </w:t>
      </w:r>
      <w:r w:rsidR="00DC2509" w:rsidRPr="0028049B">
        <w:rPr>
          <w:lang w:val="en-GB"/>
        </w:rPr>
        <w:t xml:space="preserve">were </w:t>
      </w:r>
      <w:r w:rsidR="00C6146C" w:rsidRPr="0028049B">
        <w:rPr>
          <w:lang w:val="en-GB"/>
        </w:rPr>
        <w:t>provided by SGL Group, and a 10 wt</w:t>
      </w:r>
      <w:r w:rsidR="008915A7">
        <w:rPr>
          <w:lang w:val="en-GB"/>
        </w:rPr>
        <w:t>.</w:t>
      </w:r>
      <w:r w:rsidR="00C6146C" w:rsidRPr="0028049B">
        <w:rPr>
          <w:lang w:val="en-GB"/>
        </w:rPr>
        <w:t xml:space="preserve">% weight </w:t>
      </w:r>
      <w:proofErr w:type="spellStart"/>
      <w:r w:rsidR="00C6146C" w:rsidRPr="0028049B">
        <w:rPr>
          <w:lang w:val="en-GB"/>
        </w:rPr>
        <w:t>Nafion</w:t>
      </w:r>
      <w:proofErr w:type="spellEnd"/>
      <w:r w:rsidR="00C6146C" w:rsidRPr="0028049B">
        <w:rPr>
          <w:lang w:val="en-GB"/>
        </w:rPr>
        <w:t xml:space="preserve"> solution </w:t>
      </w:r>
      <w:r w:rsidR="00A82115" w:rsidRPr="0028049B">
        <w:rPr>
          <w:lang w:val="en-GB"/>
        </w:rPr>
        <w:t>used</w:t>
      </w:r>
      <w:r w:rsidR="00C6146C" w:rsidRPr="0028049B">
        <w:rPr>
          <w:lang w:val="en-GB"/>
        </w:rPr>
        <w:t xml:space="preserve">. </w:t>
      </w:r>
      <w:r w:rsidR="00C438D5" w:rsidRPr="0028049B">
        <w:rPr>
          <w:lang w:val="en-GB"/>
        </w:rPr>
        <w:t>T</w:t>
      </w:r>
      <w:r w:rsidR="008E1DDB" w:rsidRPr="0028049B">
        <w:rPr>
          <w:lang w:val="en-GB"/>
        </w:rPr>
        <w:t xml:space="preserve">he </w:t>
      </w:r>
      <w:r w:rsidR="007E759C" w:rsidRPr="0028049B">
        <w:rPr>
          <w:lang w:val="en-GB"/>
        </w:rPr>
        <w:t>ink preparation</w:t>
      </w:r>
      <w:r w:rsidR="005F715B" w:rsidRPr="0028049B">
        <w:rPr>
          <w:lang w:val="en-GB"/>
        </w:rPr>
        <w:t xml:space="preserve"> consisted </w:t>
      </w:r>
      <w:r w:rsidR="00480031" w:rsidRPr="0028049B">
        <w:rPr>
          <w:lang w:val="en-GB"/>
        </w:rPr>
        <w:t>in</w:t>
      </w:r>
      <w:r w:rsidR="005F715B" w:rsidRPr="0028049B">
        <w:rPr>
          <w:lang w:val="en-GB"/>
        </w:rPr>
        <w:t xml:space="preserve"> a sonication of</w:t>
      </w:r>
      <w:r w:rsidR="008E1DDB" w:rsidRPr="0028049B">
        <w:rPr>
          <w:lang w:val="en-GB"/>
        </w:rPr>
        <w:t xml:space="preserve"> 50 mg of catalyst, 8 mL of isopropanol, and 50 </w:t>
      </w:r>
      <w:r w:rsidR="008E1DDB" w:rsidRPr="0028049B">
        <w:rPr>
          <w:rFonts w:ascii="Symbol" w:hAnsi="Symbol"/>
          <w:lang w:val="en-GB"/>
        </w:rPr>
        <w:t></w:t>
      </w:r>
      <w:r w:rsidR="008E1DDB" w:rsidRPr="0028049B">
        <w:rPr>
          <w:lang w:val="en-GB"/>
        </w:rPr>
        <w:t>L of a perfluorinated</w:t>
      </w:r>
      <w:r w:rsidR="00FB307B">
        <w:rPr>
          <w:lang w:val="en-GB"/>
        </w:rPr>
        <w:t xml:space="preserve"> (10 wt.%)</w:t>
      </w:r>
      <w:r w:rsidR="008E1DDB" w:rsidRPr="0028049B">
        <w:rPr>
          <w:lang w:val="en-GB"/>
        </w:rPr>
        <w:t xml:space="preserve"> </w:t>
      </w:r>
      <w:proofErr w:type="spellStart"/>
      <w:r w:rsidR="008E1DDB" w:rsidRPr="0028049B">
        <w:rPr>
          <w:lang w:val="en-GB"/>
        </w:rPr>
        <w:t>Nafion</w:t>
      </w:r>
      <w:proofErr w:type="spellEnd"/>
      <w:r w:rsidR="008E1DDB" w:rsidRPr="0028049B">
        <w:rPr>
          <w:lang w:val="en-GB"/>
        </w:rPr>
        <w:t xml:space="preserve"> </w:t>
      </w:r>
      <w:r w:rsidR="008E1DDB" w:rsidRPr="00FC1739">
        <w:rPr>
          <w:lang w:val="en-GB"/>
        </w:rPr>
        <w:t>solution</w:t>
      </w:r>
      <w:r w:rsidR="00FB307B">
        <w:rPr>
          <w:lang w:val="en-GB"/>
        </w:rPr>
        <w:t>,</w:t>
      </w:r>
      <w:r w:rsidR="008E1DDB" w:rsidRPr="00FC1739">
        <w:rPr>
          <w:lang w:val="en-GB"/>
        </w:rPr>
        <w:t xml:space="preserve"> </w:t>
      </w:r>
      <w:r w:rsidR="0086222E" w:rsidRPr="00FC1739">
        <w:rPr>
          <w:lang w:val="en-GB"/>
        </w:rPr>
        <w:t>for</w:t>
      </w:r>
      <w:r w:rsidR="008E1DDB" w:rsidRPr="00FC1739">
        <w:rPr>
          <w:lang w:val="en-GB"/>
        </w:rPr>
        <w:t xml:space="preserve"> 30 minutes until a uniform and homogeneous mixture was attained. Subsequently, </w:t>
      </w:r>
      <w:r w:rsidR="00EE6582" w:rsidRPr="00FC1739">
        <w:rPr>
          <w:lang w:val="en-GB"/>
        </w:rPr>
        <w:t>the prepared</w:t>
      </w:r>
      <w:r w:rsidR="008E1DDB" w:rsidRPr="00FC1739">
        <w:rPr>
          <w:lang w:val="en-GB"/>
        </w:rPr>
        <w:t xml:space="preserve"> ink was applied via spray</w:t>
      </w:r>
      <w:r w:rsidR="00C438D5" w:rsidRPr="00FC1739">
        <w:rPr>
          <w:lang w:val="en-GB"/>
        </w:rPr>
        <w:t xml:space="preserve"> </w:t>
      </w:r>
      <w:r w:rsidR="008E1DDB" w:rsidRPr="00FC1739">
        <w:rPr>
          <w:lang w:val="en-GB"/>
        </w:rPr>
        <w:t>coating and deposited across a</w:t>
      </w:r>
      <w:r w:rsidR="00CF2B3F" w:rsidRPr="00FC1739">
        <w:rPr>
          <w:lang w:val="en-GB"/>
        </w:rPr>
        <w:t xml:space="preserve"> 25 cm</w:t>
      </w:r>
      <w:r w:rsidR="00CF2B3F" w:rsidRPr="00FC1739">
        <w:rPr>
          <w:vertAlign w:val="superscript"/>
          <w:lang w:val="en-GB"/>
        </w:rPr>
        <w:t>2</w:t>
      </w:r>
      <w:r w:rsidR="008E1DDB" w:rsidRPr="00FC1739">
        <w:rPr>
          <w:lang w:val="en-GB"/>
        </w:rPr>
        <w:t xml:space="preserve"> area. Once the load </w:t>
      </w:r>
      <w:r w:rsidR="008915A7" w:rsidRPr="00FC1739">
        <w:rPr>
          <w:lang w:val="en-GB"/>
        </w:rPr>
        <w:t>is</w:t>
      </w:r>
      <w:r w:rsidR="008E1DDB" w:rsidRPr="00FC1739">
        <w:rPr>
          <w:lang w:val="en-GB"/>
        </w:rPr>
        <w:t xml:space="preserve"> reached, the catalyst is cut into a round shape (20 mm diameter</w:t>
      </w:r>
      <w:r w:rsidR="00480031" w:rsidRPr="00FC1739">
        <w:rPr>
          <w:lang w:val="en-GB"/>
        </w:rPr>
        <w:t>) and</w:t>
      </w:r>
      <w:r w:rsidR="008E1DDB" w:rsidRPr="00FC1739">
        <w:rPr>
          <w:lang w:val="en-GB"/>
        </w:rPr>
        <w:t xml:space="preserve"> hot-pressed for 15 s at 130°C with a purified </w:t>
      </w:r>
      <w:proofErr w:type="spellStart"/>
      <w:r w:rsidR="008E1DDB" w:rsidRPr="00FC1739">
        <w:rPr>
          <w:lang w:val="en-GB"/>
        </w:rPr>
        <w:t>Nafion</w:t>
      </w:r>
      <w:proofErr w:type="spellEnd"/>
      <w:r w:rsidR="008E1DDB" w:rsidRPr="00FC1739">
        <w:rPr>
          <w:lang w:val="en-GB"/>
        </w:rPr>
        <w:t xml:space="preserve"> membrane (Membrane Electrode Assembly - MEA)</w:t>
      </w:r>
      <w:r w:rsidR="004D2332" w:rsidRPr="00FC1739">
        <w:rPr>
          <w:lang w:val="en-GB"/>
        </w:rPr>
        <w:t>. All the chemical reagents used in this study were of analytical grade without any purification.</w:t>
      </w:r>
    </w:p>
    <w:p w14:paraId="1205FC26" w14:textId="44C69386" w:rsidR="002A5F5C" w:rsidRPr="00FC1739" w:rsidRDefault="002A5F5C" w:rsidP="00616047">
      <w:pPr>
        <w:pStyle w:val="CETheadingx"/>
        <w:rPr>
          <w:lang w:val="en-GB"/>
        </w:rPr>
      </w:pPr>
      <w:r w:rsidRPr="00FC1739">
        <w:rPr>
          <w:lang w:val="en-GB"/>
        </w:rPr>
        <w:t>Electrochemical device</w:t>
      </w:r>
    </w:p>
    <w:p w14:paraId="1F45A427" w14:textId="7F118C5A" w:rsidR="00A72049" w:rsidRPr="0028049B" w:rsidRDefault="00BE422D" w:rsidP="004349B1">
      <w:pPr>
        <w:pStyle w:val="CETBodytext"/>
        <w:rPr>
          <w:lang w:val="en-GB"/>
        </w:rPr>
      </w:pPr>
      <w:r w:rsidRPr="00FC1739">
        <w:rPr>
          <w:lang w:val="en-GB"/>
        </w:rPr>
        <w:t xml:space="preserve">The electrocatalytic tests were conducted using a gas-phase cell reactor (refer to </w:t>
      </w:r>
      <w:r w:rsidR="008B27C2" w:rsidRPr="00FC1739">
        <w:rPr>
          <w:lang w:val="en-GB"/>
        </w:rPr>
        <w:t>F</w:t>
      </w:r>
      <w:r w:rsidRPr="00FC1739">
        <w:rPr>
          <w:lang w:val="en-GB"/>
        </w:rPr>
        <w:t xml:space="preserve">igure </w:t>
      </w:r>
      <w:r w:rsidR="000924DE" w:rsidRPr="00FC1739">
        <w:rPr>
          <w:lang w:val="en-GB"/>
        </w:rPr>
        <w:t>1</w:t>
      </w:r>
      <w:r w:rsidRPr="00FC1739">
        <w:rPr>
          <w:lang w:val="en-GB"/>
        </w:rPr>
        <w:t>). The flow reactor operates under room temperature and atmospheric pressure.</w:t>
      </w:r>
      <w:r w:rsidR="00830248" w:rsidRPr="00FC1739">
        <w:rPr>
          <w:lang w:val="en-GB"/>
        </w:rPr>
        <w:t xml:space="preserve"> The</w:t>
      </w:r>
      <w:r w:rsidR="00076A31" w:rsidRPr="00FC1739">
        <w:rPr>
          <w:lang w:val="en-GB"/>
        </w:rPr>
        <w:t xml:space="preserve"> </w:t>
      </w:r>
      <w:r w:rsidR="006930F5" w:rsidRPr="00FC1739">
        <w:rPr>
          <w:lang w:val="en-GB"/>
        </w:rPr>
        <w:t xml:space="preserve">gas-phase </w:t>
      </w:r>
      <w:r w:rsidR="00830248" w:rsidRPr="00FC1739">
        <w:rPr>
          <w:lang w:val="en-GB"/>
        </w:rPr>
        <w:t>reactor cons</w:t>
      </w:r>
      <w:r w:rsidR="006930F5" w:rsidRPr="00FC1739">
        <w:rPr>
          <w:lang w:val="en-GB"/>
        </w:rPr>
        <w:t xml:space="preserve">ists of </w:t>
      </w:r>
      <w:proofErr w:type="spellStart"/>
      <w:r w:rsidR="00504E54" w:rsidRPr="00FC1739">
        <w:rPr>
          <w:lang w:val="en-GB"/>
        </w:rPr>
        <w:t>i</w:t>
      </w:r>
      <w:proofErr w:type="spellEnd"/>
      <w:r w:rsidR="00504E54" w:rsidRPr="00FC1739">
        <w:rPr>
          <w:lang w:val="en-GB"/>
        </w:rPr>
        <w:t xml:space="preserve">) </w:t>
      </w:r>
      <w:r w:rsidR="006930F5" w:rsidRPr="00FC1739">
        <w:rPr>
          <w:lang w:val="en-GB"/>
        </w:rPr>
        <w:t>a cathode compartment</w:t>
      </w:r>
      <w:r w:rsidR="00076A31" w:rsidRPr="00FC1739">
        <w:rPr>
          <w:lang w:val="en-GB"/>
        </w:rPr>
        <w:t xml:space="preserve"> made of </w:t>
      </w:r>
      <w:r w:rsidR="002713FF" w:rsidRPr="00FC1739">
        <w:rPr>
          <w:lang w:val="en-GB"/>
        </w:rPr>
        <w:t>a gas-chamber in which the N</w:t>
      </w:r>
      <w:r w:rsidR="002713FF" w:rsidRPr="00FC1739">
        <w:rPr>
          <w:vertAlign w:val="subscript"/>
          <w:lang w:val="en-GB"/>
        </w:rPr>
        <w:t>2</w:t>
      </w:r>
      <w:r w:rsidR="002713FF" w:rsidRPr="00FC1739">
        <w:rPr>
          <w:lang w:val="en-GB"/>
        </w:rPr>
        <w:t xml:space="preserve"> flows through the GDL</w:t>
      </w:r>
      <w:r w:rsidR="002671F8" w:rsidRPr="00FC1739">
        <w:rPr>
          <w:lang w:val="en-GB"/>
        </w:rPr>
        <w:t xml:space="preserve">, </w:t>
      </w:r>
      <w:r w:rsidR="00504E54" w:rsidRPr="00FC1739">
        <w:rPr>
          <w:lang w:val="en-GB"/>
        </w:rPr>
        <w:t xml:space="preserve">ii) </w:t>
      </w:r>
      <w:r w:rsidR="002671F8" w:rsidRPr="00FC1739">
        <w:rPr>
          <w:lang w:val="en-GB"/>
        </w:rPr>
        <w:t xml:space="preserve">the </w:t>
      </w:r>
      <w:r w:rsidR="00B256B2" w:rsidRPr="00FC1739">
        <w:rPr>
          <w:lang w:val="en-GB"/>
        </w:rPr>
        <w:t xml:space="preserve">deposited catalyst and </w:t>
      </w:r>
      <w:r w:rsidR="00504E54" w:rsidRPr="00FC1739">
        <w:rPr>
          <w:lang w:val="en-GB"/>
        </w:rPr>
        <w:t xml:space="preserve">iii) </w:t>
      </w:r>
      <w:r w:rsidR="00B256B2" w:rsidRPr="00FC1739">
        <w:rPr>
          <w:lang w:val="en-GB"/>
        </w:rPr>
        <w:t>the proton</w:t>
      </w:r>
      <w:r w:rsidR="00504E54" w:rsidRPr="00FC1739">
        <w:rPr>
          <w:lang w:val="en-GB"/>
        </w:rPr>
        <w:t>-</w:t>
      </w:r>
      <w:r w:rsidR="00B256B2" w:rsidRPr="00FC1739">
        <w:rPr>
          <w:lang w:val="en-GB"/>
        </w:rPr>
        <w:t>exchange membrane (Nafion</w:t>
      </w:r>
      <w:r w:rsidR="00B66B36" w:rsidRPr="00FC1739">
        <w:rPr>
          <w:lang w:val="en-GB"/>
        </w:rPr>
        <w:t xml:space="preserve">®115), assembled to form the MEA (see </w:t>
      </w:r>
      <w:r w:rsidR="008B27C2" w:rsidRPr="00FC1739">
        <w:rPr>
          <w:lang w:val="en-GB"/>
        </w:rPr>
        <w:t>F</w:t>
      </w:r>
      <w:r w:rsidR="00B66B36" w:rsidRPr="00FC1739">
        <w:rPr>
          <w:lang w:val="en-GB"/>
        </w:rPr>
        <w:t xml:space="preserve">igure </w:t>
      </w:r>
      <w:r w:rsidR="000924DE" w:rsidRPr="00FC1739">
        <w:rPr>
          <w:lang w:val="en-GB"/>
        </w:rPr>
        <w:t>1</w:t>
      </w:r>
      <w:r w:rsidR="00B66B36" w:rsidRPr="00FC1739">
        <w:rPr>
          <w:lang w:val="en-GB"/>
        </w:rPr>
        <w:t>)</w:t>
      </w:r>
      <w:r w:rsidR="007D23B6" w:rsidRPr="00FC1739">
        <w:rPr>
          <w:lang w:val="en-GB"/>
        </w:rPr>
        <w:t xml:space="preserve"> to form the working electrode (WE)</w:t>
      </w:r>
      <w:r w:rsidR="00700F2C" w:rsidRPr="00FC1739">
        <w:rPr>
          <w:lang w:val="en-GB"/>
        </w:rPr>
        <w:t>. The N</w:t>
      </w:r>
      <w:r w:rsidR="00700F2C" w:rsidRPr="00FC1739">
        <w:rPr>
          <w:vertAlign w:val="subscript"/>
          <w:lang w:val="en-GB"/>
        </w:rPr>
        <w:t>2</w:t>
      </w:r>
      <w:r w:rsidR="00700F2C" w:rsidRPr="00FC1739">
        <w:rPr>
          <w:lang w:val="en-GB"/>
        </w:rPr>
        <w:t xml:space="preserve"> </w:t>
      </w:r>
      <w:r w:rsidR="00124D06" w:rsidRPr="00FC1739">
        <w:rPr>
          <w:lang w:val="en-GB"/>
        </w:rPr>
        <w:t>adsorbs</w:t>
      </w:r>
      <w:r w:rsidR="00700F2C" w:rsidRPr="00FC1739">
        <w:rPr>
          <w:lang w:val="en-GB"/>
        </w:rPr>
        <w:t xml:space="preserve"> on the catalyst surface and reacts with the protons diffusing from the proton-exchange membrane</w:t>
      </w:r>
      <w:r w:rsidR="00683CA4" w:rsidRPr="00FC1739">
        <w:rPr>
          <w:lang w:val="en-GB"/>
        </w:rPr>
        <w:t xml:space="preserve"> (Tavella et al., 2022)</w:t>
      </w:r>
      <w:r w:rsidR="00700F2C" w:rsidRPr="00FC1739">
        <w:rPr>
          <w:lang w:val="en-GB"/>
        </w:rPr>
        <w:t>. The membrane guarantees separation with the anodic compartment filled with N</w:t>
      </w:r>
      <w:r w:rsidR="00700F2C" w:rsidRPr="00FC1739">
        <w:rPr>
          <w:vertAlign w:val="subscript"/>
          <w:lang w:val="en-GB"/>
        </w:rPr>
        <w:t>2</w:t>
      </w:r>
      <w:r w:rsidR="00700F2C" w:rsidRPr="00FC1739">
        <w:rPr>
          <w:lang w:val="en-GB"/>
        </w:rPr>
        <w:t>-saturated N</w:t>
      </w:r>
      <w:r w:rsidR="007C47B4" w:rsidRPr="00FC1739">
        <w:rPr>
          <w:lang w:val="en-GB"/>
        </w:rPr>
        <w:t>a</w:t>
      </w:r>
      <w:r w:rsidR="00700F2C" w:rsidRPr="00FC1739">
        <w:rPr>
          <w:vertAlign w:val="subscript"/>
          <w:lang w:val="en-GB"/>
        </w:rPr>
        <w:t>2</w:t>
      </w:r>
      <w:r w:rsidR="00700F2C" w:rsidRPr="00FC1739">
        <w:rPr>
          <w:lang w:val="en-GB"/>
        </w:rPr>
        <w:t>SO</w:t>
      </w:r>
      <w:r w:rsidR="00700F2C" w:rsidRPr="00FC1739">
        <w:rPr>
          <w:vertAlign w:val="subscript"/>
          <w:lang w:val="en-GB"/>
        </w:rPr>
        <w:t>4</w:t>
      </w:r>
      <w:r w:rsidR="00700F2C" w:rsidRPr="00FC1739">
        <w:rPr>
          <w:lang w:val="en-GB"/>
        </w:rPr>
        <w:t xml:space="preserve"> </w:t>
      </w:r>
      <w:r w:rsidR="00504E54" w:rsidRPr="00FC1739">
        <w:rPr>
          <w:lang w:val="en-GB"/>
        </w:rPr>
        <w:t>aqueo</w:t>
      </w:r>
      <w:r w:rsidR="008D2629" w:rsidRPr="00FC1739">
        <w:rPr>
          <w:lang w:val="en-GB"/>
        </w:rPr>
        <w:t xml:space="preserve">us </w:t>
      </w:r>
      <w:r w:rsidR="00700F2C" w:rsidRPr="00FC1739">
        <w:rPr>
          <w:lang w:val="en-GB"/>
        </w:rPr>
        <w:t>solution</w:t>
      </w:r>
      <w:r w:rsidR="00700F2C" w:rsidRPr="0028049B">
        <w:rPr>
          <w:lang w:val="en-GB"/>
        </w:rPr>
        <w:t>, in which a commercial Pt electrode</w:t>
      </w:r>
      <w:r w:rsidR="00535CC5" w:rsidRPr="0028049B">
        <w:rPr>
          <w:lang w:val="en-GB"/>
        </w:rPr>
        <w:t xml:space="preserve"> </w:t>
      </w:r>
      <w:r w:rsidR="00124D06" w:rsidRPr="0028049B">
        <w:rPr>
          <w:lang w:val="en-GB"/>
        </w:rPr>
        <w:t>acts</w:t>
      </w:r>
      <w:r w:rsidR="00535CC5" w:rsidRPr="0028049B">
        <w:rPr>
          <w:lang w:val="en-GB"/>
        </w:rPr>
        <w:t xml:space="preserve"> as a counter electrode (CE)</w:t>
      </w:r>
      <w:r w:rsidR="00700F2C" w:rsidRPr="0028049B">
        <w:rPr>
          <w:lang w:val="en-GB"/>
        </w:rPr>
        <w:t xml:space="preserve"> and Ag/AgCl (3.0M </w:t>
      </w:r>
      <w:proofErr w:type="spellStart"/>
      <w:r w:rsidR="00700F2C" w:rsidRPr="0028049B">
        <w:rPr>
          <w:lang w:val="en-GB"/>
        </w:rPr>
        <w:t>KCl</w:t>
      </w:r>
      <w:proofErr w:type="spellEnd"/>
      <w:r w:rsidR="00700F2C" w:rsidRPr="0028049B">
        <w:rPr>
          <w:lang w:val="en-GB"/>
        </w:rPr>
        <w:t xml:space="preserve">) </w:t>
      </w:r>
      <w:r w:rsidR="008D2629">
        <w:rPr>
          <w:lang w:val="en-GB"/>
        </w:rPr>
        <w:t xml:space="preserve">electrode as the </w:t>
      </w:r>
      <w:r w:rsidR="00535CC5" w:rsidRPr="0028049B">
        <w:rPr>
          <w:lang w:val="en-GB"/>
        </w:rPr>
        <w:t>reference (RE)</w:t>
      </w:r>
      <w:r w:rsidR="004349B1" w:rsidRPr="0028049B">
        <w:rPr>
          <w:lang w:val="en-GB"/>
        </w:rPr>
        <w:t xml:space="preserve">. The gas products diffuse back into the gas chamber and are absorbed in a dilute solution of sulfuric acid (0.001 M) that </w:t>
      </w:r>
      <w:r w:rsidR="00124D06" w:rsidRPr="0028049B">
        <w:rPr>
          <w:lang w:val="en-GB"/>
        </w:rPr>
        <w:t>acts</w:t>
      </w:r>
      <w:r w:rsidR="004349B1" w:rsidRPr="0028049B">
        <w:rPr>
          <w:lang w:val="en-GB"/>
        </w:rPr>
        <w:t xml:space="preserve"> as a trap</w:t>
      </w:r>
      <w:r w:rsidR="00B53FBF" w:rsidRPr="0028049B">
        <w:rPr>
          <w:lang w:val="en-GB"/>
        </w:rPr>
        <w:t xml:space="preserve"> for the produced NH</w:t>
      </w:r>
      <w:r w:rsidR="00B53FBF" w:rsidRPr="0028049B">
        <w:rPr>
          <w:vertAlign w:val="subscript"/>
          <w:lang w:val="en-GB"/>
        </w:rPr>
        <w:t>3</w:t>
      </w:r>
      <w:r w:rsidR="00B53FBF" w:rsidRPr="0028049B">
        <w:rPr>
          <w:lang w:val="en-GB"/>
        </w:rPr>
        <w:t>.</w:t>
      </w:r>
      <w:r w:rsidR="00F22BBB" w:rsidRPr="0028049B">
        <w:rPr>
          <w:lang w:val="en-GB"/>
        </w:rPr>
        <w:t xml:space="preserve"> At the end of the test, the </w:t>
      </w:r>
      <w:r w:rsidR="00B87820" w:rsidRPr="0028049B">
        <w:rPr>
          <w:lang w:val="en-GB"/>
        </w:rPr>
        <w:t xml:space="preserve">trap </w:t>
      </w:r>
      <w:r w:rsidR="00F22BBB" w:rsidRPr="0028049B">
        <w:rPr>
          <w:lang w:val="en-GB"/>
        </w:rPr>
        <w:t xml:space="preserve">solution was </w:t>
      </w:r>
      <w:r w:rsidR="008D2629" w:rsidRPr="0028049B">
        <w:rPr>
          <w:lang w:val="en-GB"/>
        </w:rPr>
        <w:t>analysed</w:t>
      </w:r>
      <w:r w:rsidR="00F22BBB" w:rsidRPr="0028049B">
        <w:rPr>
          <w:lang w:val="en-GB"/>
        </w:rPr>
        <w:t xml:space="preserve"> using the </w:t>
      </w:r>
      <w:r w:rsidR="005A4584" w:rsidRPr="0028049B">
        <w:rPr>
          <w:lang w:val="en-GB"/>
        </w:rPr>
        <w:t xml:space="preserve">Ion Chromatography (IC, </w:t>
      </w:r>
      <w:r w:rsidR="00601E5D" w:rsidRPr="0028049B">
        <w:rPr>
          <w:lang w:val="en-GB"/>
        </w:rPr>
        <w:t>cationic column)</w:t>
      </w:r>
      <w:r w:rsidR="00124D06" w:rsidRPr="0028049B">
        <w:rPr>
          <w:lang w:val="en-GB"/>
        </w:rPr>
        <w:t>,</w:t>
      </w:r>
      <w:r w:rsidR="00004BF9" w:rsidRPr="0028049B">
        <w:rPr>
          <w:lang w:val="en-GB"/>
        </w:rPr>
        <w:t xml:space="preserve"> and the electrol</w:t>
      </w:r>
      <w:r w:rsidR="00F57C4B" w:rsidRPr="0028049B">
        <w:rPr>
          <w:lang w:val="en-GB"/>
        </w:rPr>
        <w:t xml:space="preserve">yte was </w:t>
      </w:r>
      <w:r w:rsidR="008B27C2" w:rsidRPr="0028049B">
        <w:rPr>
          <w:lang w:val="en-GB"/>
        </w:rPr>
        <w:t>analysed</w:t>
      </w:r>
      <w:r w:rsidR="00F57C4B" w:rsidRPr="0028049B">
        <w:rPr>
          <w:lang w:val="en-GB"/>
        </w:rPr>
        <w:t xml:space="preserve"> using the </w:t>
      </w:r>
      <w:r w:rsidR="00E0675A" w:rsidRPr="0028049B">
        <w:rPr>
          <w:lang w:val="en-GB"/>
        </w:rPr>
        <w:t>Salicylic</w:t>
      </w:r>
      <w:r w:rsidR="00F57C4B" w:rsidRPr="0028049B">
        <w:rPr>
          <w:lang w:val="en-GB"/>
        </w:rPr>
        <w:t xml:space="preserve"> method</w:t>
      </w:r>
      <w:r w:rsidR="00E0675A" w:rsidRPr="0028049B">
        <w:rPr>
          <w:lang w:val="en-GB"/>
        </w:rPr>
        <w:t xml:space="preserve"> (UV-Vis, Jasco 570)</w:t>
      </w:r>
      <w:r w:rsidR="00FE2036" w:rsidRPr="0028049B">
        <w:rPr>
          <w:lang w:val="en-GB"/>
        </w:rPr>
        <w:t>.</w:t>
      </w:r>
    </w:p>
    <w:p w14:paraId="582BB70F" w14:textId="77777777" w:rsidR="00B52E73" w:rsidRPr="0028049B" w:rsidRDefault="00B52E73" w:rsidP="004349B1">
      <w:pPr>
        <w:pStyle w:val="CETBodytext"/>
        <w:rPr>
          <w:lang w:val="en-GB"/>
        </w:rPr>
      </w:pPr>
    </w:p>
    <w:p w14:paraId="5748B37E" w14:textId="77777777" w:rsidR="001C11A2" w:rsidRPr="0028049B" w:rsidRDefault="001C11A2" w:rsidP="004349B1">
      <w:pPr>
        <w:pStyle w:val="CETBodytext"/>
        <w:rPr>
          <w:lang w:val="en-GB"/>
        </w:rPr>
      </w:pPr>
    </w:p>
    <w:p w14:paraId="4C6CFA0F" w14:textId="4B5FAC8E" w:rsidR="00A72049" w:rsidRPr="0028049B" w:rsidRDefault="00AB0B11" w:rsidP="004349B1">
      <w:pPr>
        <w:pStyle w:val="CETBodytext"/>
        <w:rPr>
          <w:lang w:val="en-GB"/>
        </w:rPr>
      </w:pPr>
      <w:r w:rsidRPr="0028049B">
        <w:rPr>
          <w:b/>
          <w:bCs/>
          <w:lang w:val="en-GB"/>
        </w:rPr>
        <w:t>a)</w:t>
      </w:r>
      <w:r w:rsidR="00271D57" w:rsidRPr="00271D57">
        <w:rPr>
          <w:noProof/>
          <w:lang w:val="en-GB"/>
        </w:rPr>
        <w:t xml:space="preserve"> </w:t>
      </w:r>
      <w:r w:rsidR="00271D57">
        <w:rPr>
          <w:noProof/>
          <w:lang w:val="en-GB"/>
        </w:rPr>
        <w:drawing>
          <wp:inline distT="0" distB="0" distL="0" distR="0" wp14:anchorId="7F7678EC" wp14:editId="0281CA0D">
            <wp:extent cx="2628000" cy="1493350"/>
            <wp:effectExtent l="0" t="0" r="1270" b="0"/>
            <wp:docPr id="1001881103" name="Immagine 5" descr="Immagine che contiene schermata, testo, Policromi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81103" name="Immagine 5" descr="Immagine che contiene schermata, testo, Policromia, design&#10;&#10;Descrizione generata automa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r="11337"/>
                    <a:stretch/>
                  </pic:blipFill>
                  <pic:spPr bwMode="auto">
                    <a:xfrm>
                      <a:off x="0" y="0"/>
                      <a:ext cx="2628000" cy="1493350"/>
                    </a:xfrm>
                    <a:prstGeom prst="rect">
                      <a:avLst/>
                    </a:prstGeom>
                    <a:noFill/>
                    <a:ln>
                      <a:noFill/>
                    </a:ln>
                    <a:extLst>
                      <a:ext uri="{53640926-AAD7-44D8-BBD7-CCE9431645EC}">
                        <a14:shadowObscured xmlns:a14="http://schemas.microsoft.com/office/drawing/2010/main"/>
                      </a:ext>
                    </a:extLst>
                  </pic:spPr>
                </pic:pic>
              </a:graphicData>
            </a:graphic>
          </wp:inline>
        </w:drawing>
      </w:r>
      <w:r w:rsidR="005455E1" w:rsidRPr="0028049B">
        <w:rPr>
          <w:lang w:val="en-GB"/>
        </w:rPr>
        <w:t xml:space="preserve"> </w:t>
      </w:r>
      <w:r w:rsidRPr="0028049B">
        <w:rPr>
          <w:lang w:val="en-GB"/>
        </w:rPr>
        <w:t xml:space="preserve"> </w:t>
      </w:r>
      <w:r w:rsidRPr="0028049B">
        <w:rPr>
          <w:b/>
          <w:bCs/>
          <w:lang w:val="en-GB"/>
        </w:rPr>
        <w:t>b)</w:t>
      </w:r>
      <w:r w:rsidR="003F12CF" w:rsidRPr="0028049B">
        <w:rPr>
          <w:lang w:val="en-GB"/>
        </w:rPr>
        <w:t xml:space="preserve">  </w:t>
      </w:r>
      <w:r w:rsidR="00313CF0" w:rsidRPr="0028049B">
        <w:rPr>
          <w:noProof/>
          <w:lang w:val="en-GB"/>
        </w:rPr>
        <w:drawing>
          <wp:inline distT="0" distB="0" distL="0" distR="0" wp14:anchorId="11F0E02F" wp14:editId="31F59960">
            <wp:extent cx="2155316" cy="1476000"/>
            <wp:effectExtent l="0" t="0" r="0" b="0"/>
            <wp:docPr id="9612543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5316" cy="1476000"/>
                    </a:xfrm>
                    <a:prstGeom prst="rect">
                      <a:avLst/>
                    </a:prstGeom>
                    <a:noFill/>
                  </pic:spPr>
                </pic:pic>
              </a:graphicData>
            </a:graphic>
          </wp:inline>
        </w:drawing>
      </w:r>
    </w:p>
    <w:p w14:paraId="506FC748" w14:textId="77777777" w:rsidR="001700D3" w:rsidRPr="0028049B" w:rsidRDefault="001700D3" w:rsidP="004349B1">
      <w:pPr>
        <w:pStyle w:val="CETBodytext"/>
        <w:rPr>
          <w:rStyle w:val="CETCaptionCarattere"/>
        </w:rPr>
      </w:pPr>
    </w:p>
    <w:p w14:paraId="2B672621" w14:textId="56F65F78" w:rsidR="001B2A4B" w:rsidRPr="0028049B" w:rsidRDefault="001B2A4B" w:rsidP="004349B1">
      <w:pPr>
        <w:pStyle w:val="CETBodytext"/>
        <w:rPr>
          <w:lang w:val="en-GB"/>
        </w:rPr>
      </w:pPr>
      <w:r w:rsidRPr="0028049B">
        <w:rPr>
          <w:rStyle w:val="CETCaptionCarattere"/>
        </w:rPr>
        <w:t xml:space="preserve">Figure </w:t>
      </w:r>
      <w:r w:rsidR="000924DE" w:rsidRPr="0028049B">
        <w:rPr>
          <w:rStyle w:val="CETCaptionCarattere"/>
        </w:rPr>
        <w:t>1</w:t>
      </w:r>
      <w:r w:rsidRPr="0028049B">
        <w:rPr>
          <w:rStyle w:val="CETCaptionCarattere"/>
        </w:rPr>
        <w:t xml:space="preserve">: </w:t>
      </w:r>
      <w:r w:rsidR="006C5B68" w:rsidRPr="0028049B">
        <w:rPr>
          <w:rStyle w:val="CETCaptionCarattere"/>
        </w:rPr>
        <w:t xml:space="preserve">a) </w:t>
      </w:r>
      <w:r w:rsidR="003A730B" w:rsidRPr="0028049B">
        <w:rPr>
          <w:rStyle w:val="CETCaptionCarattere"/>
        </w:rPr>
        <w:t>Gas-phase assembly</w:t>
      </w:r>
      <w:r w:rsidR="006C5B68" w:rsidRPr="0028049B">
        <w:rPr>
          <w:rStyle w:val="CETCaptionCarattere"/>
        </w:rPr>
        <w:t>.</w:t>
      </w:r>
      <w:r w:rsidR="00756569" w:rsidRPr="0028049B">
        <w:rPr>
          <w:lang w:val="en-GB"/>
        </w:rPr>
        <w:t xml:space="preserve"> </w:t>
      </w:r>
      <w:r w:rsidR="00BA10EC" w:rsidRPr="0028049B">
        <w:rPr>
          <w:i/>
          <w:lang w:val="en-GB"/>
        </w:rPr>
        <w:t xml:space="preserve">Black, </w:t>
      </w:r>
      <w:r w:rsidR="00CF5661" w:rsidRPr="0028049B">
        <w:rPr>
          <w:i/>
          <w:lang w:val="en-GB"/>
        </w:rPr>
        <w:t>orange</w:t>
      </w:r>
      <w:r w:rsidR="002E4401" w:rsidRPr="0028049B">
        <w:rPr>
          <w:i/>
          <w:lang w:val="en-GB"/>
        </w:rPr>
        <w:t>,</w:t>
      </w:r>
      <w:r w:rsidR="00BA10EC" w:rsidRPr="0028049B">
        <w:rPr>
          <w:i/>
          <w:lang w:val="en-GB"/>
        </w:rPr>
        <w:t xml:space="preserve"> and </w:t>
      </w:r>
      <w:r w:rsidR="005455E1" w:rsidRPr="0028049B">
        <w:rPr>
          <w:i/>
          <w:lang w:val="en-GB"/>
        </w:rPr>
        <w:t>yellow</w:t>
      </w:r>
      <w:r w:rsidR="00BA10EC" w:rsidRPr="0028049B">
        <w:rPr>
          <w:i/>
          <w:lang w:val="en-GB"/>
        </w:rPr>
        <w:t xml:space="preserve"> circles refer to GDL, catalyst</w:t>
      </w:r>
      <w:r w:rsidR="005455E1" w:rsidRPr="0028049B">
        <w:rPr>
          <w:i/>
          <w:lang w:val="en-GB"/>
        </w:rPr>
        <w:t>,</w:t>
      </w:r>
      <w:r w:rsidR="00BA10EC" w:rsidRPr="0028049B">
        <w:rPr>
          <w:i/>
          <w:lang w:val="en-GB"/>
        </w:rPr>
        <w:t xml:space="preserve"> and membrane, respectively</w:t>
      </w:r>
      <w:r w:rsidR="009E5861" w:rsidRPr="0028049B">
        <w:rPr>
          <w:i/>
          <w:lang w:val="en-GB"/>
        </w:rPr>
        <w:t>, and b</w:t>
      </w:r>
      <w:r w:rsidR="00BA10EC" w:rsidRPr="0028049B">
        <w:rPr>
          <w:i/>
          <w:lang w:val="en-GB"/>
        </w:rPr>
        <w:t>)</w:t>
      </w:r>
      <w:r w:rsidR="00420E18" w:rsidRPr="0028049B">
        <w:rPr>
          <w:rStyle w:val="CETCaptionCarattere"/>
        </w:rPr>
        <w:t xml:space="preserve"> exploded depiction of the cell.</w:t>
      </w:r>
    </w:p>
    <w:p w14:paraId="1059DB71" w14:textId="556AF5DE" w:rsidR="002A5F5C" w:rsidRPr="0028049B" w:rsidRDefault="002A5F5C" w:rsidP="002A5F5C">
      <w:pPr>
        <w:pStyle w:val="CETHeading1"/>
        <w:rPr>
          <w:lang w:val="en-GB"/>
        </w:rPr>
      </w:pPr>
      <w:r w:rsidRPr="0028049B">
        <w:rPr>
          <w:lang w:val="en-GB"/>
        </w:rPr>
        <w:lastRenderedPageBreak/>
        <w:t>Results and Discussion</w:t>
      </w:r>
    </w:p>
    <w:p w14:paraId="0A13CD74" w14:textId="184B2F9D" w:rsidR="004008DE" w:rsidRPr="0028049B" w:rsidRDefault="004008DE" w:rsidP="00616047">
      <w:pPr>
        <w:pStyle w:val="CETheadingx"/>
        <w:rPr>
          <w:lang w:val="en-GB"/>
        </w:rPr>
      </w:pPr>
      <w:r w:rsidRPr="0028049B">
        <w:rPr>
          <w:lang w:val="en-GB"/>
        </w:rPr>
        <w:t>X-Ray diffraction (XRD) analysis</w:t>
      </w:r>
    </w:p>
    <w:p w14:paraId="6D227EC9" w14:textId="45DF4627" w:rsidR="00E96AE3" w:rsidRPr="0028049B" w:rsidRDefault="007E7368" w:rsidP="00EF0C3C">
      <w:pPr>
        <w:pStyle w:val="CETBodytext"/>
        <w:jc w:val="left"/>
        <w:rPr>
          <w:lang w:val="en-GB"/>
        </w:rPr>
      </w:pPr>
      <w:r w:rsidRPr="0028049B">
        <w:rPr>
          <w:lang w:val="en-GB"/>
        </w:rPr>
        <w:t xml:space="preserve"> </w:t>
      </w:r>
      <w:r w:rsidR="003D15AE" w:rsidRPr="0028049B">
        <w:rPr>
          <w:noProof/>
          <w:lang w:val="en-GB"/>
        </w:rPr>
        <w:drawing>
          <wp:inline distT="0" distB="0" distL="0" distR="0" wp14:anchorId="11887D85" wp14:editId="79B05EF3">
            <wp:extent cx="2560252" cy="2052000"/>
            <wp:effectExtent l="0" t="0" r="0" b="0"/>
            <wp:docPr id="41478067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8978" t="7849" r="7515"/>
                    <a:stretch/>
                  </pic:blipFill>
                  <pic:spPr bwMode="auto">
                    <a:xfrm>
                      <a:off x="0" y="0"/>
                      <a:ext cx="2560252" cy="2052000"/>
                    </a:xfrm>
                    <a:prstGeom prst="rect">
                      <a:avLst/>
                    </a:prstGeom>
                    <a:noFill/>
                    <a:ln>
                      <a:noFill/>
                    </a:ln>
                    <a:extLst>
                      <a:ext uri="{53640926-AAD7-44D8-BBD7-CCE9431645EC}">
                        <a14:shadowObscured xmlns:a14="http://schemas.microsoft.com/office/drawing/2010/main"/>
                      </a:ext>
                    </a:extLst>
                  </pic:spPr>
                </pic:pic>
              </a:graphicData>
            </a:graphic>
          </wp:inline>
        </w:drawing>
      </w:r>
      <w:r w:rsidR="001E5F3F" w:rsidRPr="0028049B">
        <w:rPr>
          <w:lang w:val="en-GB"/>
        </w:rPr>
        <w:t xml:space="preserve"> </w:t>
      </w:r>
      <w:r w:rsidR="00F9148D" w:rsidRPr="0028049B">
        <w:rPr>
          <w:noProof/>
          <w:lang w:val="en-GB"/>
        </w:rPr>
        <w:drawing>
          <wp:inline distT="0" distB="0" distL="0" distR="0" wp14:anchorId="0267A660" wp14:editId="034DE208">
            <wp:extent cx="2625339" cy="2052000"/>
            <wp:effectExtent l="0" t="0" r="0" b="0"/>
            <wp:docPr id="41213695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8266" t="8438" r="6653"/>
                    <a:stretch/>
                  </pic:blipFill>
                  <pic:spPr bwMode="auto">
                    <a:xfrm>
                      <a:off x="0" y="0"/>
                      <a:ext cx="2625339" cy="2052000"/>
                    </a:xfrm>
                    <a:prstGeom prst="rect">
                      <a:avLst/>
                    </a:prstGeom>
                    <a:noFill/>
                    <a:ln>
                      <a:noFill/>
                    </a:ln>
                    <a:extLst>
                      <a:ext uri="{53640926-AAD7-44D8-BBD7-CCE9431645EC}">
                        <a14:shadowObscured xmlns:a14="http://schemas.microsoft.com/office/drawing/2010/main"/>
                      </a:ext>
                    </a:extLst>
                  </pic:spPr>
                </pic:pic>
              </a:graphicData>
            </a:graphic>
          </wp:inline>
        </w:drawing>
      </w:r>
    </w:p>
    <w:p w14:paraId="6B9E3B86" w14:textId="311A0BDB" w:rsidR="0017292E" w:rsidRPr="0028049B" w:rsidRDefault="001E5F3F" w:rsidP="00EF0C3C">
      <w:pPr>
        <w:pStyle w:val="CETBodytext"/>
        <w:jc w:val="left"/>
        <w:rPr>
          <w:rStyle w:val="CETCaptionCarattere"/>
        </w:rPr>
      </w:pPr>
      <w:r w:rsidRPr="0028049B">
        <w:rPr>
          <w:rStyle w:val="CETCaptionCarattere"/>
        </w:rPr>
        <w:t xml:space="preserve">Figure </w:t>
      </w:r>
      <w:r w:rsidR="002E4401" w:rsidRPr="0028049B">
        <w:rPr>
          <w:rStyle w:val="CETCaptionCarattere"/>
        </w:rPr>
        <w:t>2</w:t>
      </w:r>
      <w:r w:rsidRPr="0028049B">
        <w:rPr>
          <w:rStyle w:val="CETCaptionCarattere"/>
        </w:rPr>
        <w:t xml:space="preserve">: </w:t>
      </w:r>
      <w:r w:rsidR="004238D1" w:rsidRPr="0028049B">
        <w:rPr>
          <w:rStyle w:val="CETCaptionCarattere"/>
        </w:rPr>
        <w:t>XRD patterns for a) Al</w:t>
      </w:r>
      <w:r w:rsidR="004238D1" w:rsidRPr="0028049B">
        <w:rPr>
          <w:rStyle w:val="CETCaptionCarattere"/>
          <w:vertAlign w:val="subscript"/>
        </w:rPr>
        <w:t>2</w:t>
      </w:r>
      <w:r w:rsidR="004238D1" w:rsidRPr="0028049B">
        <w:rPr>
          <w:rStyle w:val="CETCaptionCarattere"/>
        </w:rPr>
        <w:t>O</w:t>
      </w:r>
      <w:r w:rsidR="004238D1" w:rsidRPr="0028049B">
        <w:rPr>
          <w:rStyle w:val="CETCaptionCarattere"/>
          <w:vertAlign w:val="subscript"/>
        </w:rPr>
        <w:t>3</w:t>
      </w:r>
      <w:r w:rsidR="004238D1" w:rsidRPr="0028049B">
        <w:rPr>
          <w:rStyle w:val="CETCaptionCarattere"/>
        </w:rPr>
        <w:t>-based catalysts</w:t>
      </w:r>
      <w:r w:rsidR="00B43A25" w:rsidRPr="0028049B">
        <w:rPr>
          <w:rStyle w:val="CETCaptionCarattere"/>
        </w:rPr>
        <w:t xml:space="preserve"> </w:t>
      </w:r>
      <w:r w:rsidR="004238D1" w:rsidRPr="0028049B">
        <w:rPr>
          <w:rStyle w:val="CETCaptionCarattere"/>
        </w:rPr>
        <w:t>and b) CNTs-based catalysts.</w:t>
      </w:r>
      <w:r w:rsidR="00F17B0A" w:rsidRPr="0028049B">
        <w:rPr>
          <w:rStyle w:val="CETCaptionCarattere"/>
        </w:rPr>
        <w:t xml:space="preserve"> </w:t>
      </w:r>
      <w:r w:rsidR="00412DE8" w:rsidRPr="0028049B">
        <w:rPr>
          <w:rStyle w:val="CETCaptionCarattere"/>
        </w:rPr>
        <w:t xml:space="preserve">In figure </w:t>
      </w:r>
      <w:r w:rsidR="00B43A25" w:rsidRPr="0028049B">
        <w:rPr>
          <w:rStyle w:val="CETCaptionCarattere"/>
        </w:rPr>
        <w:t>(</w:t>
      </w:r>
      <w:r w:rsidR="00412DE8" w:rsidRPr="0028049B">
        <w:rPr>
          <w:rStyle w:val="CETCaptionCarattere"/>
          <w:rFonts w:cs="Arial"/>
        </w:rPr>
        <w:t>■</w:t>
      </w:r>
      <w:r w:rsidR="00B43A25" w:rsidRPr="0028049B">
        <w:rPr>
          <w:rStyle w:val="CETCaptionCarattere"/>
        </w:rPr>
        <w:t>)</w:t>
      </w:r>
      <w:r w:rsidR="00412DE8" w:rsidRPr="0028049B">
        <w:rPr>
          <w:rStyle w:val="CETCaptionCarattere"/>
        </w:rPr>
        <w:t xml:space="preserve"> Ruthenium</w:t>
      </w:r>
      <w:r w:rsidR="00B43A25" w:rsidRPr="0028049B">
        <w:rPr>
          <w:rStyle w:val="CETCaptionCarattere"/>
        </w:rPr>
        <w:t>, (</w:t>
      </w:r>
      <w:proofErr w:type="gramStart"/>
      <w:r w:rsidR="00412DE8" w:rsidRPr="0028049B">
        <w:rPr>
          <w:rStyle w:val="CETCaptionCarattere"/>
          <w:rFonts w:cs="Arial"/>
        </w:rPr>
        <w:t>●</w:t>
      </w:r>
      <w:r w:rsidR="00B43A25" w:rsidRPr="0028049B">
        <w:rPr>
          <w:rStyle w:val="CETCaptionCarattere"/>
        </w:rPr>
        <w:t>)</w:t>
      </w:r>
      <w:r w:rsidR="00412DE8" w:rsidRPr="0028049B">
        <w:rPr>
          <w:rStyle w:val="CETCaptionCarattere"/>
        </w:rPr>
        <w:t>Fe</w:t>
      </w:r>
      <w:proofErr w:type="gramEnd"/>
      <w:r w:rsidR="00412DE8" w:rsidRPr="0028049B">
        <w:rPr>
          <w:rStyle w:val="CETCaptionCarattere"/>
          <w:vertAlign w:val="subscript"/>
        </w:rPr>
        <w:t>2</w:t>
      </w:r>
      <w:r w:rsidR="00412DE8" w:rsidRPr="0028049B">
        <w:rPr>
          <w:rStyle w:val="CETCaptionCarattere"/>
        </w:rPr>
        <w:t>O</w:t>
      </w:r>
      <w:r w:rsidR="00412DE8" w:rsidRPr="0028049B">
        <w:rPr>
          <w:rStyle w:val="CETCaptionCarattere"/>
          <w:vertAlign w:val="subscript"/>
        </w:rPr>
        <w:t>3</w:t>
      </w:r>
      <w:r w:rsidR="00B43A25" w:rsidRPr="0028049B">
        <w:rPr>
          <w:rStyle w:val="CETCaptionCarattere"/>
        </w:rPr>
        <w:t>,</w:t>
      </w:r>
      <w:r w:rsidR="00412DE8" w:rsidRPr="0028049B">
        <w:rPr>
          <w:rStyle w:val="CETCaptionCarattere"/>
        </w:rPr>
        <w:t xml:space="preserve"> </w:t>
      </w:r>
      <w:r w:rsidR="00B43A25" w:rsidRPr="0028049B">
        <w:rPr>
          <w:rStyle w:val="CETCaptionCarattere"/>
        </w:rPr>
        <w:t>(</w:t>
      </w:r>
      <w:r w:rsidR="00412DE8" w:rsidRPr="0028049B">
        <w:rPr>
          <w:rStyle w:val="CETCaptionCarattere"/>
          <w:rFonts w:cs="Arial"/>
        </w:rPr>
        <w:t>▲</w:t>
      </w:r>
      <w:r w:rsidR="00B43A25" w:rsidRPr="0028049B">
        <w:rPr>
          <w:rStyle w:val="CETCaptionCarattere"/>
        </w:rPr>
        <w:t>)</w:t>
      </w:r>
      <w:r w:rsidR="00412DE8" w:rsidRPr="0028049B">
        <w:rPr>
          <w:rStyle w:val="CETCaptionCarattere"/>
        </w:rPr>
        <w:t xml:space="preserve"> Al</w:t>
      </w:r>
      <w:r w:rsidR="00412DE8" w:rsidRPr="0028049B">
        <w:rPr>
          <w:rStyle w:val="CETCaptionCarattere"/>
          <w:vertAlign w:val="subscript"/>
        </w:rPr>
        <w:t>2</w:t>
      </w:r>
      <w:r w:rsidR="00412DE8" w:rsidRPr="0028049B">
        <w:rPr>
          <w:rStyle w:val="CETCaptionCarattere"/>
        </w:rPr>
        <w:t>O</w:t>
      </w:r>
      <w:r w:rsidR="00412DE8" w:rsidRPr="0028049B">
        <w:rPr>
          <w:rStyle w:val="CETCaptionCarattere"/>
          <w:vertAlign w:val="subscript"/>
        </w:rPr>
        <w:t>3</w:t>
      </w:r>
      <w:r w:rsidR="00B43A25" w:rsidRPr="0028049B">
        <w:rPr>
          <w:rStyle w:val="CETCaptionCarattere"/>
        </w:rPr>
        <w:t xml:space="preserve"> and (</w:t>
      </w:r>
      <w:r w:rsidR="00412DE8" w:rsidRPr="0028049B">
        <w:rPr>
          <w:rStyle w:val="CETCaptionCarattere"/>
          <w:rFonts w:cs="Arial"/>
        </w:rPr>
        <w:t>▼</w:t>
      </w:r>
      <w:r w:rsidR="00B43A25" w:rsidRPr="0028049B">
        <w:rPr>
          <w:rStyle w:val="CETCaptionCarattere"/>
        </w:rPr>
        <w:t>)</w:t>
      </w:r>
      <w:r w:rsidR="00412DE8" w:rsidRPr="0028049B">
        <w:rPr>
          <w:rStyle w:val="CETCaptionCarattere"/>
        </w:rPr>
        <w:t xml:space="preserve"> CNTs respectively</w:t>
      </w:r>
      <w:r w:rsidR="00F17B0A" w:rsidRPr="0028049B">
        <w:rPr>
          <w:rStyle w:val="CETCaptionCarattere"/>
        </w:rPr>
        <w:t>.</w:t>
      </w:r>
    </w:p>
    <w:p w14:paraId="1A6D2643" w14:textId="77777777" w:rsidR="0017292E" w:rsidRPr="0028049B" w:rsidRDefault="0017292E" w:rsidP="00EF0C3C">
      <w:pPr>
        <w:pStyle w:val="CETBodytext"/>
        <w:jc w:val="left"/>
        <w:rPr>
          <w:i/>
          <w:lang w:val="en-GB"/>
        </w:rPr>
      </w:pPr>
    </w:p>
    <w:p w14:paraId="7165E638" w14:textId="2C18D02D" w:rsidR="00D60529" w:rsidRPr="0028049B" w:rsidRDefault="00616047" w:rsidP="00616047">
      <w:pPr>
        <w:pStyle w:val="CETBodytext"/>
        <w:rPr>
          <w:lang w:val="en-GB"/>
        </w:rPr>
      </w:pPr>
      <w:r w:rsidRPr="0028049B">
        <w:rPr>
          <w:lang w:val="en-GB"/>
        </w:rPr>
        <w:t xml:space="preserve">Figure </w:t>
      </w:r>
      <w:r w:rsidR="002E4401" w:rsidRPr="0028049B">
        <w:rPr>
          <w:lang w:val="en-GB"/>
        </w:rPr>
        <w:t>2</w:t>
      </w:r>
      <w:r w:rsidRPr="0028049B">
        <w:rPr>
          <w:lang w:val="en-GB"/>
        </w:rPr>
        <w:t xml:space="preserve">a </w:t>
      </w:r>
      <w:r w:rsidR="002E4401" w:rsidRPr="0028049B">
        <w:rPr>
          <w:lang w:val="en-GB"/>
        </w:rPr>
        <w:t>shows</w:t>
      </w:r>
      <w:r w:rsidR="008260E9" w:rsidRPr="0028049B">
        <w:rPr>
          <w:lang w:val="en-GB"/>
        </w:rPr>
        <w:t xml:space="preserve"> the Alumina-based catalysts. T</w:t>
      </w:r>
      <w:r w:rsidRPr="0028049B">
        <w:rPr>
          <w:lang w:val="en-GB"/>
        </w:rPr>
        <w:t>he d</w:t>
      </w:r>
      <w:r w:rsidR="00EF0C3C" w:rsidRPr="0028049B">
        <w:rPr>
          <w:lang w:val="en-GB"/>
        </w:rPr>
        <w:t xml:space="preserve">iffraction peaks at 2Θ =25.58, 35.16, 37.78, 43.36, 52.56, 57.51, 59.75, 61.32, 66.53, 68.22, 70.43, 74.32, 76.89, 77.25 </w:t>
      </w:r>
      <w:r w:rsidR="0034338C" w:rsidRPr="0028049B">
        <w:rPr>
          <w:lang w:val="en-GB"/>
        </w:rPr>
        <w:t>are related to</w:t>
      </w:r>
      <w:r w:rsidR="00EF0C3C" w:rsidRPr="0028049B">
        <w:rPr>
          <w:lang w:val="en-GB"/>
        </w:rPr>
        <w:t xml:space="preserve"> </w:t>
      </w:r>
      <w:r w:rsidR="00EF0C3C" w:rsidRPr="0028049B">
        <w:rPr>
          <w:rFonts w:ascii="Symbol" w:hAnsi="Symbol"/>
          <w:lang w:val="en-GB"/>
        </w:rPr>
        <w:t></w:t>
      </w:r>
      <w:r w:rsidR="00EF0C3C" w:rsidRPr="0028049B">
        <w:rPr>
          <w:lang w:val="en-GB"/>
        </w:rPr>
        <w:t>-Al</w:t>
      </w:r>
      <w:r w:rsidR="00EF0C3C" w:rsidRPr="0028049B">
        <w:rPr>
          <w:vertAlign w:val="subscript"/>
          <w:lang w:val="en-GB"/>
        </w:rPr>
        <w:t>2</w:t>
      </w:r>
      <w:r w:rsidR="00EF0C3C" w:rsidRPr="0028049B">
        <w:rPr>
          <w:lang w:val="en-GB"/>
        </w:rPr>
        <w:t>O</w:t>
      </w:r>
      <w:r w:rsidR="00EF0C3C" w:rsidRPr="0028049B">
        <w:rPr>
          <w:vertAlign w:val="subscript"/>
          <w:lang w:val="en-GB"/>
        </w:rPr>
        <w:t>3</w:t>
      </w:r>
      <w:r w:rsidR="00EF0C3C" w:rsidRPr="0028049B">
        <w:rPr>
          <w:lang w:val="en-GB"/>
        </w:rPr>
        <w:t xml:space="preserve"> (International </w:t>
      </w:r>
      <w:proofErr w:type="spellStart"/>
      <w:r w:rsidR="00EF0C3C" w:rsidRPr="0028049B">
        <w:rPr>
          <w:lang w:val="en-GB"/>
        </w:rPr>
        <w:t>Center</w:t>
      </w:r>
      <w:proofErr w:type="spellEnd"/>
      <w:r w:rsidR="00EF0C3C" w:rsidRPr="0028049B">
        <w:rPr>
          <w:lang w:val="en-GB"/>
        </w:rPr>
        <w:t xml:space="preserve"> of Diffraction Data </w:t>
      </w:r>
      <w:r w:rsidR="00A07605">
        <w:rPr>
          <w:lang w:val="en-GB"/>
        </w:rPr>
        <w:t>-</w:t>
      </w:r>
      <w:r w:rsidR="00EF0C3C" w:rsidRPr="0028049B">
        <w:rPr>
          <w:lang w:val="en-GB"/>
        </w:rPr>
        <w:t>ICDD</w:t>
      </w:r>
      <w:r w:rsidR="00A07605">
        <w:rPr>
          <w:lang w:val="en-GB"/>
        </w:rPr>
        <w:t>-</w:t>
      </w:r>
      <w:r w:rsidR="00EF0C3C" w:rsidRPr="0028049B">
        <w:rPr>
          <w:lang w:val="en-GB"/>
        </w:rPr>
        <w:t xml:space="preserve"> of card number 00–010–0173 of α- Al</w:t>
      </w:r>
      <w:r w:rsidR="00EF0C3C" w:rsidRPr="0028049B">
        <w:rPr>
          <w:vertAlign w:val="subscript"/>
          <w:lang w:val="en-GB"/>
        </w:rPr>
        <w:t>2</w:t>
      </w:r>
      <w:r w:rsidR="00EF0C3C" w:rsidRPr="0028049B">
        <w:rPr>
          <w:lang w:val="en-GB"/>
        </w:rPr>
        <w:t>O</w:t>
      </w:r>
      <w:r w:rsidR="00EF0C3C" w:rsidRPr="0028049B">
        <w:rPr>
          <w:vertAlign w:val="subscript"/>
          <w:lang w:val="en-GB"/>
        </w:rPr>
        <w:t>3</w:t>
      </w:r>
      <w:r w:rsidR="00EF0C3C" w:rsidRPr="0028049B">
        <w:rPr>
          <w:lang w:val="en-GB"/>
        </w:rPr>
        <w:t>) correspond</w:t>
      </w:r>
      <w:r w:rsidR="00A07605">
        <w:rPr>
          <w:lang w:val="en-GB"/>
        </w:rPr>
        <w:t>ing</w:t>
      </w:r>
      <w:r w:rsidR="00EF0C3C" w:rsidRPr="0028049B">
        <w:rPr>
          <w:lang w:val="en-GB"/>
        </w:rPr>
        <w:t xml:space="preserve"> to the (0 1 2), (1 0 4), (1 1 0), (1 1 3), (0 2 4), (1 1 6), (2 1 1), (0 1 8), (2 1 4), (3 0 0), (1 2 5), (2 0 8), (1 0 10) and (1 1 9) planes, respectively (</w:t>
      </w:r>
      <w:r w:rsidR="00AB5720" w:rsidRPr="0028049B">
        <w:rPr>
          <w:lang w:val="en-GB"/>
        </w:rPr>
        <w:t>green</w:t>
      </w:r>
      <w:r w:rsidR="00EF0C3C" w:rsidRPr="0028049B">
        <w:rPr>
          <w:lang w:val="en-GB"/>
        </w:rPr>
        <w:t xml:space="preserve"> line in </w:t>
      </w:r>
      <w:r w:rsidR="00A07605">
        <w:rPr>
          <w:lang w:val="en-GB"/>
        </w:rPr>
        <w:t>F</w:t>
      </w:r>
      <w:r w:rsidR="00EF0C3C" w:rsidRPr="0028049B">
        <w:rPr>
          <w:lang w:val="en-GB"/>
        </w:rPr>
        <w:t>igure 2</w:t>
      </w:r>
      <w:r w:rsidR="002E4401" w:rsidRPr="0028049B">
        <w:rPr>
          <w:lang w:val="en-GB"/>
        </w:rPr>
        <w:t>a</w:t>
      </w:r>
      <w:r w:rsidR="00EF0C3C" w:rsidRPr="0028049B">
        <w:rPr>
          <w:lang w:val="en-GB"/>
        </w:rPr>
        <w:t>).</w:t>
      </w:r>
      <w:r w:rsidR="00DC62B0" w:rsidRPr="0028049B">
        <w:rPr>
          <w:lang w:val="en-GB"/>
        </w:rPr>
        <w:t xml:space="preserve"> Diffraction peaks at 2Θ = 38.41, 42.18, 44.04, 58.36, 69.47, 78.41, for Ruthenium (JCPDS card no. 89-3942) correspond to the (1 0 0), (0 0 2), (1 0 1), (1 0 2), (1 1 0) and (1 0 3) planes, respectively (</w:t>
      </w:r>
      <w:r w:rsidR="005707CA" w:rsidRPr="0028049B">
        <w:rPr>
          <w:lang w:val="en-GB"/>
        </w:rPr>
        <w:t>black</w:t>
      </w:r>
      <w:r w:rsidR="00DC62B0" w:rsidRPr="0028049B">
        <w:rPr>
          <w:lang w:val="en-GB"/>
        </w:rPr>
        <w:t xml:space="preserve"> line in </w:t>
      </w:r>
      <w:r w:rsidR="00531A53">
        <w:rPr>
          <w:lang w:val="en-GB"/>
        </w:rPr>
        <w:t>F</w:t>
      </w:r>
      <w:r w:rsidR="00DC62B0" w:rsidRPr="0028049B">
        <w:rPr>
          <w:lang w:val="en-GB"/>
        </w:rPr>
        <w:t>igure 2</w:t>
      </w:r>
      <w:r w:rsidR="004B70CD" w:rsidRPr="0028049B">
        <w:rPr>
          <w:lang w:val="en-GB"/>
        </w:rPr>
        <w:t>a</w:t>
      </w:r>
      <w:r w:rsidR="00DC62B0" w:rsidRPr="0028049B">
        <w:rPr>
          <w:lang w:val="en-GB"/>
        </w:rPr>
        <w:t>).</w:t>
      </w:r>
      <w:r w:rsidR="00167D3B" w:rsidRPr="0028049B">
        <w:rPr>
          <w:lang w:val="en-GB"/>
        </w:rPr>
        <w:t xml:space="preserve"> </w:t>
      </w:r>
      <w:r w:rsidR="008C49EC" w:rsidRPr="0028049B">
        <w:rPr>
          <w:lang w:val="en-GB"/>
        </w:rPr>
        <w:t>Fe</w:t>
      </w:r>
      <w:r w:rsidR="008C49EC" w:rsidRPr="0028049B">
        <w:rPr>
          <w:vertAlign w:val="subscript"/>
          <w:lang w:val="en-GB"/>
        </w:rPr>
        <w:t>2</w:t>
      </w:r>
      <w:r w:rsidR="008C49EC" w:rsidRPr="0028049B">
        <w:rPr>
          <w:lang w:val="en-GB"/>
        </w:rPr>
        <w:t>O</w:t>
      </w:r>
      <w:r w:rsidR="008C49EC" w:rsidRPr="0028049B">
        <w:rPr>
          <w:vertAlign w:val="subscript"/>
          <w:lang w:val="en-GB"/>
        </w:rPr>
        <w:t xml:space="preserve">3 </w:t>
      </w:r>
      <w:r w:rsidR="00167D3B" w:rsidRPr="0028049B">
        <w:rPr>
          <w:lang w:val="en-GB"/>
        </w:rPr>
        <w:t xml:space="preserve">and Ru-Fe are not detectable from XRD but </w:t>
      </w:r>
      <w:r w:rsidR="004B70CD" w:rsidRPr="0028049B">
        <w:rPr>
          <w:lang w:val="en-GB"/>
        </w:rPr>
        <w:t xml:space="preserve">are </w:t>
      </w:r>
      <w:r w:rsidR="00167D3B" w:rsidRPr="0028049B">
        <w:rPr>
          <w:lang w:val="en-GB"/>
        </w:rPr>
        <w:t xml:space="preserve">confirmed by </w:t>
      </w:r>
      <w:r w:rsidR="007D3D20" w:rsidRPr="0028049B">
        <w:rPr>
          <w:lang w:val="en-GB"/>
        </w:rPr>
        <w:t xml:space="preserve">Energy Dispersive X-ray (EDX) </w:t>
      </w:r>
      <w:r w:rsidR="00167D3B" w:rsidRPr="0028049B">
        <w:rPr>
          <w:lang w:val="en-GB"/>
        </w:rPr>
        <w:t>analysis.</w:t>
      </w:r>
      <w:r w:rsidR="00015DFB" w:rsidRPr="0028049B">
        <w:rPr>
          <w:lang w:val="en-GB"/>
        </w:rPr>
        <w:t xml:space="preserve"> </w:t>
      </w:r>
      <w:r w:rsidR="00D60529" w:rsidRPr="0028049B">
        <w:rPr>
          <w:lang w:val="en-GB"/>
        </w:rPr>
        <w:t xml:space="preserve">Figure </w:t>
      </w:r>
      <w:r w:rsidR="004B70CD" w:rsidRPr="0028049B">
        <w:rPr>
          <w:lang w:val="en-GB"/>
        </w:rPr>
        <w:t>2</w:t>
      </w:r>
      <w:r w:rsidR="00D60529" w:rsidRPr="0028049B">
        <w:rPr>
          <w:lang w:val="en-GB"/>
        </w:rPr>
        <w:t>b</w:t>
      </w:r>
      <w:r w:rsidR="005707CA" w:rsidRPr="0028049B">
        <w:rPr>
          <w:lang w:val="en-GB"/>
        </w:rPr>
        <w:t>,</w:t>
      </w:r>
      <w:r w:rsidR="00D60529" w:rsidRPr="0028049B">
        <w:rPr>
          <w:lang w:val="en-GB"/>
        </w:rPr>
        <w:t xml:space="preserve"> </w:t>
      </w:r>
      <w:r w:rsidR="004B70CD" w:rsidRPr="0028049B">
        <w:rPr>
          <w:lang w:val="en-GB"/>
        </w:rPr>
        <w:t>shows</w:t>
      </w:r>
      <w:r w:rsidR="00D60529" w:rsidRPr="0028049B">
        <w:rPr>
          <w:lang w:val="en-GB"/>
        </w:rPr>
        <w:t xml:space="preserve"> the CNTs-based catalyst</w:t>
      </w:r>
      <w:r w:rsidR="00125A2B" w:rsidRPr="0028049B">
        <w:rPr>
          <w:lang w:val="en-GB"/>
        </w:rPr>
        <w:t>.</w:t>
      </w:r>
      <w:r w:rsidR="006E5AA2" w:rsidRPr="0028049B">
        <w:rPr>
          <w:lang w:val="en-GB"/>
        </w:rPr>
        <w:t xml:space="preserve"> CNTs characteristic peaks at 2Θ = 2</w:t>
      </w:r>
      <w:r w:rsidR="00F0324D" w:rsidRPr="0028049B">
        <w:rPr>
          <w:lang w:val="en-GB"/>
        </w:rPr>
        <w:t>6</w:t>
      </w:r>
      <w:r w:rsidR="006E5AA2" w:rsidRPr="0028049B">
        <w:rPr>
          <w:lang w:val="en-GB"/>
        </w:rPr>
        <w:t>, 42, and 48 are related to (0</w:t>
      </w:r>
      <w:r w:rsidR="00A8552A">
        <w:rPr>
          <w:lang w:val="en-GB"/>
        </w:rPr>
        <w:t xml:space="preserve"> </w:t>
      </w:r>
      <w:r w:rsidR="006E5AA2" w:rsidRPr="0028049B">
        <w:rPr>
          <w:lang w:val="en-GB"/>
        </w:rPr>
        <w:t>0</w:t>
      </w:r>
      <w:r w:rsidR="00A8552A">
        <w:rPr>
          <w:lang w:val="en-GB"/>
        </w:rPr>
        <w:t xml:space="preserve"> </w:t>
      </w:r>
      <w:r w:rsidR="006E5AA2" w:rsidRPr="0028049B">
        <w:rPr>
          <w:lang w:val="en-GB"/>
        </w:rPr>
        <w:t>2), (1</w:t>
      </w:r>
      <w:r w:rsidR="00A8552A">
        <w:rPr>
          <w:lang w:val="en-GB"/>
        </w:rPr>
        <w:t xml:space="preserve"> </w:t>
      </w:r>
      <w:r w:rsidR="006E5AA2" w:rsidRPr="0028049B">
        <w:rPr>
          <w:lang w:val="en-GB"/>
        </w:rPr>
        <w:t>0</w:t>
      </w:r>
      <w:r w:rsidR="00A8552A">
        <w:rPr>
          <w:lang w:val="en-GB"/>
        </w:rPr>
        <w:t xml:space="preserve"> </w:t>
      </w:r>
      <w:r w:rsidR="006E5AA2" w:rsidRPr="0028049B">
        <w:rPr>
          <w:lang w:val="en-GB"/>
        </w:rPr>
        <w:t>0), and (1</w:t>
      </w:r>
      <w:r w:rsidR="00A8552A">
        <w:rPr>
          <w:lang w:val="en-GB"/>
        </w:rPr>
        <w:t xml:space="preserve"> </w:t>
      </w:r>
      <w:r w:rsidR="006E5AA2" w:rsidRPr="0028049B">
        <w:rPr>
          <w:lang w:val="en-GB"/>
        </w:rPr>
        <w:t>0</w:t>
      </w:r>
      <w:r w:rsidR="00A8552A">
        <w:rPr>
          <w:lang w:val="en-GB"/>
        </w:rPr>
        <w:t xml:space="preserve"> </w:t>
      </w:r>
      <w:r w:rsidR="006E5AA2" w:rsidRPr="0028049B">
        <w:rPr>
          <w:lang w:val="en-GB"/>
        </w:rPr>
        <w:t>1)</w:t>
      </w:r>
      <w:r w:rsidR="00A8552A">
        <w:rPr>
          <w:lang w:val="en-GB"/>
        </w:rPr>
        <w:t xml:space="preserve"> planes</w:t>
      </w:r>
      <w:r w:rsidR="006E5AA2" w:rsidRPr="0028049B">
        <w:rPr>
          <w:lang w:val="en-GB"/>
        </w:rPr>
        <w:t>, respectively</w:t>
      </w:r>
      <w:r w:rsidR="00A8552A">
        <w:rPr>
          <w:lang w:val="en-GB"/>
        </w:rPr>
        <w:t>. F</w:t>
      </w:r>
      <w:r w:rsidR="00125A2B" w:rsidRPr="0028049B">
        <w:rPr>
          <w:lang w:val="en-GB"/>
        </w:rPr>
        <w:t>or Fe</w:t>
      </w:r>
      <w:r w:rsidR="00125A2B" w:rsidRPr="0028049B">
        <w:rPr>
          <w:vertAlign w:val="subscript"/>
          <w:lang w:val="en-GB"/>
        </w:rPr>
        <w:t>2</w:t>
      </w:r>
      <w:r w:rsidR="00125A2B" w:rsidRPr="0028049B">
        <w:rPr>
          <w:lang w:val="en-GB"/>
        </w:rPr>
        <w:t>O</w:t>
      </w:r>
      <w:r w:rsidR="00125A2B" w:rsidRPr="0028049B">
        <w:rPr>
          <w:vertAlign w:val="subscript"/>
          <w:lang w:val="en-GB"/>
        </w:rPr>
        <w:t>3</w:t>
      </w:r>
      <w:r w:rsidR="00125A2B" w:rsidRPr="0028049B">
        <w:rPr>
          <w:lang w:val="en-GB"/>
        </w:rPr>
        <w:t xml:space="preserve">, it </w:t>
      </w:r>
      <w:r w:rsidR="00A8569D">
        <w:rPr>
          <w:lang w:val="en-GB"/>
        </w:rPr>
        <w:t>can be observed</w:t>
      </w:r>
      <w:r w:rsidR="00125A2B" w:rsidRPr="0028049B">
        <w:rPr>
          <w:lang w:val="en-GB"/>
        </w:rPr>
        <w:t xml:space="preserve"> the peaks at 2Θ =30.3, 35.6, 43.3, 53.8, 57.1 and 62.8, corresponding to (2 2 0), (3 1 1), (4 0 0), (4 2 2), (5 1 1) and (4 4 0) planes (</w:t>
      </w:r>
      <w:r w:rsidR="00323835" w:rsidRPr="0028049B">
        <w:rPr>
          <w:lang w:val="en-GB"/>
        </w:rPr>
        <w:t>blue</w:t>
      </w:r>
      <w:r w:rsidR="00125A2B" w:rsidRPr="0028049B">
        <w:rPr>
          <w:lang w:val="en-GB"/>
        </w:rPr>
        <w:t xml:space="preserve"> line in </w:t>
      </w:r>
      <w:r w:rsidR="00531A53">
        <w:rPr>
          <w:lang w:val="en-GB"/>
        </w:rPr>
        <w:t>F</w:t>
      </w:r>
      <w:r w:rsidR="00125A2B" w:rsidRPr="0028049B">
        <w:rPr>
          <w:lang w:val="en-GB"/>
        </w:rPr>
        <w:t>igure 2</w:t>
      </w:r>
      <w:r w:rsidR="00EC2DB1" w:rsidRPr="0028049B">
        <w:rPr>
          <w:lang w:val="en-GB"/>
        </w:rPr>
        <w:t>b</w:t>
      </w:r>
      <w:r w:rsidR="00125A2B" w:rsidRPr="0028049B">
        <w:rPr>
          <w:lang w:val="en-GB"/>
        </w:rPr>
        <w:t>)</w:t>
      </w:r>
      <w:r w:rsidR="00531A53">
        <w:rPr>
          <w:lang w:val="en-GB"/>
        </w:rPr>
        <w:t>,</w:t>
      </w:r>
      <w:r w:rsidR="00125A2B" w:rsidRPr="0028049B">
        <w:rPr>
          <w:lang w:val="en-GB"/>
        </w:rPr>
        <w:t xml:space="preserve"> confirming the presence of γ-</w:t>
      </w:r>
      <w:r w:rsidR="008C49EC" w:rsidRPr="0028049B">
        <w:rPr>
          <w:lang w:val="en-GB"/>
        </w:rPr>
        <w:t xml:space="preserve"> Fe</w:t>
      </w:r>
      <w:r w:rsidR="008C49EC" w:rsidRPr="0028049B">
        <w:rPr>
          <w:vertAlign w:val="subscript"/>
          <w:lang w:val="en-GB"/>
        </w:rPr>
        <w:t>2</w:t>
      </w:r>
      <w:r w:rsidR="008C49EC" w:rsidRPr="0028049B">
        <w:rPr>
          <w:lang w:val="en-GB"/>
        </w:rPr>
        <w:t>O</w:t>
      </w:r>
      <w:r w:rsidR="008C49EC" w:rsidRPr="0028049B">
        <w:rPr>
          <w:vertAlign w:val="subscript"/>
          <w:lang w:val="en-GB"/>
        </w:rPr>
        <w:t>3</w:t>
      </w:r>
      <w:r w:rsidR="00A5213C" w:rsidRPr="00271D57">
        <w:rPr>
          <w:lang w:val="en-GB"/>
        </w:rPr>
        <w:t xml:space="preserve"> </w:t>
      </w:r>
      <w:r w:rsidR="00125A2B" w:rsidRPr="0028049B">
        <w:rPr>
          <w:lang w:val="en-GB"/>
        </w:rPr>
        <w:t xml:space="preserve">phase </w:t>
      </w:r>
      <w:r w:rsidR="006370A2" w:rsidRPr="0028049B">
        <w:rPr>
          <w:lang w:val="en-GB"/>
        </w:rPr>
        <w:t>(</w:t>
      </w:r>
      <w:proofErr w:type="spellStart"/>
      <w:r w:rsidR="006370A2" w:rsidRPr="0028049B">
        <w:rPr>
          <w:lang w:val="en-GB"/>
        </w:rPr>
        <w:t>Shaoo</w:t>
      </w:r>
      <w:proofErr w:type="spellEnd"/>
      <w:r w:rsidR="006370A2" w:rsidRPr="0028049B">
        <w:rPr>
          <w:lang w:val="en-GB"/>
        </w:rPr>
        <w:t xml:space="preserve"> et al., 2010)</w:t>
      </w:r>
      <w:r w:rsidR="006D5DF3" w:rsidRPr="0028049B">
        <w:rPr>
          <w:lang w:val="en-GB"/>
        </w:rPr>
        <w:t xml:space="preserve">. </w:t>
      </w:r>
      <w:r w:rsidR="00151A49" w:rsidRPr="0028049B">
        <w:rPr>
          <w:lang w:val="en-GB"/>
        </w:rPr>
        <w:t>In addition</w:t>
      </w:r>
      <w:r w:rsidR="0015545A" w:rsidRPr="0028049B">
        <w:rPr>
          <w:lang w:val="en-GB"/>
        </w:rPr>
        <w:t xml:space="preserve"> to the</w:t>
      </w:r>
      <w:r w:rsidR="006D5DF3" w:rsidRPr="0028049B">
        <w:rPr>
          <w:lang w:val="en-GB"/>
        </w:rPr>
        <w:t xml:space="preserve"> </w:t>
      </w:r>
      <w:r w:rsidR="00531A53">
        <w:rPr>
          <w:lang w:val="en-GB"/>
        </w:rPr>
        <w:t>r</w:t>
      </w:r>
      <w:r w:rsidR="00531A53" w:rsidRPr="0028049B">
        <w:rPr>
          <w:lang w:val="en-GB"/>
        </w:rPr>
        <w:t xml:space="preserve">uthenium </w:t>
      </w:r>
      <w:r w:rsidR="0015545A" w:rsidRPr="0028049B">
        <w:rPr>
          <w:lang w:val="en-GB"/>
        </w:rPr>
        <w:t>spectra</w:t>
      </w:r>
      <w:r w:rsidR="006D5DF3" w:rsidRPr="0028049B">
        <w:rPr>
          <w:lang w:val="en-GB"/>
        </w:rPr>
        <w:t xml:space="preserve"> already mentioned above, three extra peaks </w:t>
      </w:r>
      <w:r w:rsidR="003A1F91">
        <w:rPr>
          <w:lang w:val="en-GB"/>
        </w:rPr>
        <w:t xml:space="preserve">exist </w:t>
      </w:r>
      <w:r w:rsidR="006D5DF3" w:rsidRPr="0028049B">
        <w:rPr>
          <w:lang w:val="en-GB"/>
        </w:rPr>
        <w:t>at 2Θ = 82.28, 84.73 and 86.01, corresponding to (2 0 0), (1 1 2) and (2 0 1) planes, respectively (</w:t>
      </w:r>
      <w:r w:rsidR="00323835" w:rsidRPr="0028049B">
        <w:rPr>
          <w:lang w:val="en-GB"/>
        </w:rPr>
        <w:t>black</w:t>
      </w:r>
      <w:r w:rsidR="006D5DF3" w:rsidRPr="0028049B">
        <w:rPr>
          <w:lang w:val="en-GB"/>
        </w:rPr>
        <w:t xml:space="preserve"> line in </w:t>
      </w:r>
      <w:r w:rsidR="001B3377">
        <w:rPr>
          <w:lang w:val="en-GB"/>
        </w:rPr>
        <w:t>F</w:t>
      </w:r>
      <w:r w:rsidR="006D5DF3" w:rsidRPr="0028049B">
        <w:rPr>
          <w:lang w:val="en-GB"/>
        </w:rPr>
        <w:t>igure 2</w:t>
      </w:r>
      <w:r w:rsidR="00323835" w:rsidRPr="0028049B">
        <w:rPr>
          <w:lang w:val="en-GB"/>
        </w:rPr>
        <w:t>b</w:t>
      </w:r>
      <w:r w:rsidR="006D5DF3" w:rsidRPr="0028049B">
        <w:rPr>
          <w:lang w:val="en-GB"/>
        </w:rPr>
        <w:t>)</w:t>
      </w:r>
      <w:r w:rsidR="00167D3B" w:rsidRPr="0028049B">
        <w:rPr>
          <w:lang w:val="en-GB"/>
        </w:rPr>
        <w:t xml:space="preserve">. </w:t>
      </w:r>
      <w:r w:rsidR="007B42E7" w:rsidRPr="0028049B">
        <w:rPr>
          <w:lang w:val="en-GB"/>
        </w:rPr>
        <w:t>Ru-Fe was not detected by XRD but was confirmed through Energy Dispersive X-ray (EDX) analysis on both</w:t>
      </w:r>
      <w:r w:rsidR="00763EA1" w:rsidRPr="0028049B">
        <w:rPr>
          <w:i/>
          <w:iCs/>
          <w:lang w:val="en-GB"/>
        </w:rPr>
        <w:t xml:space="preserve"> </w:t>
      </w:r>
      <w:r w:rsidR="00763EA1" w:rsidRPr="0028049B">
        <w:rPr>
          <w:rStyle w:val="CETCaptionCarattere"/>
          <w:i w:val="0"/>
          <w:iCs/>
        </w:rPr>
        <w:t>Al</w:t>
      </w:r>
      <w:r w:rsidR="00763EA1" w:rsidRPr="0028049B">
        <w:rPr>
          <w:rStyle w:val="CETCaptionCarattere"/>
          <w:i w:val="0"/>
          <w:iCs/>
          <w:vertAlign w:val="subscript"/>
        </w:rPr>
        <w:t>2</w:t>
      </w:r>
      <w:r w:rsidR="00763EA1" w:rsidRPr="0028049B">
        <w:rPr>
          <w:rStyle w:val="CETCaptionCarattere"/>
          <w:i w:val="0"/>
          <w:iCs/>
        </w:rPr>
        <w:t>O</w:t>
      </w:r>
      <w:r w:rsidR="00763EA1" w:rsidRPr="0028049B">
        <w:rPr>
          <w:rStyle w:val="CETCaptionCarattere"/>
          <w:i w:val="0"/>
          <w:iCs/>
          <w:vertAlign w:val="subscript"/>
        </w:rPr>
        <w:t>3</w:t>
      </w:r>
      <w:r w:rsidR="00763EA1" w:rsidRPr="0028049B">
        <w:rPr>
          <w:rStyle w:val="CETCaptionCarattere"/>
          <w:i w:val="0"/>
          <w:iCs/>
        </w:rPr>
        <w:t xml:space="preserve"> and CNTs</w:t>
      </w:r>
      <w:r w:rsidR="00763EA1" w:rsidRPr="0028049B">
        <w:rPr>
          <w:lang w:val="en-GB"/>
        </w:rPr>
        <w:t xml:space="preserve"> supports</w:t>
      </w:r>
      <w:r w:rsidR="00257F02" w:rsidRPr="0028049B">
        <w:rPr>
          <w:lang w:val="en-GB"/>
        </w:rPr>
        <w:t xml:space="preserve"> as shown in Figure 3</w:t>
      </w:r>
      <w:r w:rsidR="00763EA1" w:rsidRPr="0028049B">
        <w:rPr>
          <w:lang w:val="en-GB"/>
        </w:rPr>
        <w:t>a and 3b</w:t>
      </w:r>
      <w:r w:rsidR="003A1F91">
        <w:rPr>
          <w:lang w:val="en-GB"/>
        </w:rPr>
        <w:t>,</w:t>
      </w:r>
      <w:r w:rsidR="007B42E7" w:rsidRPr="0028049B">
        <w:rPr>
          <w:lang w:val="en-GB"/>
        </w:rPr>
        <w:t xml:space="preserve"> respectively</w:t>
      </w:r>
      <w:r w:rsidR="00167D3B" w:rsidRPr="0028049B">
        <w:rPr>
          <w:lang w:val="en-GB"/>
        </w:rPr>
        <w:t>.</w:t>
      </w:r>
    </w:p>
    <w:p w14:paraId="63ADD617" w14:textId="77777777" w:rsidR="00257F02" w:rsidRPr="0028049B" w:rsidRDefault="00257F02" w:rsidP="00616047">
      <w:pPr>
        <w:pStyle w:val="CETBodytext"/>
        <w:rPr>
          <w:lang w:val="en-GB"/>
        </w:rPr>
      </w:pPr>
    </w:p>
    <w:p w14:paraId="05AF3AB1" w14:textId="77AE7B33" w:rsidR="00BD25D4" w:rsidRPr="0028049B" w:rsidRDefault="004F4A15" w:rsidP="00616047">
      <w:pPr>
        <w:pStyle w:val="CETBodytext"/>
        <w:rPr>
          <w:lang w:val="en-GB"/>
        </w:rPr>
      </w:pPr>
      <w:r w:rsidRPr="0028049B">
        <w:rPr>
          <w:noProof/>
          <w:lang w:val="en-GB"/>
        </w:rPr>
        <mc:AlternateContent>
          <mc:Choice Requires="wps">
            <w:drawing>
              <wp:anchor distT="0" distB="0" distL="114300" distR="114300" simplePos="0" relativeHeight="251661312" behindDoc="0" locked="0" layoutInCell="1" allowOverlap="1" wp14:anchorId="16D34C8D" wp14:editId="286B0DEE">
                <wp:simplePos x="0" y="0"/>
                <wp:positionH relativeFrom="column">
                  <wp:posOffset>4916474</wp:posOffset>
                </wp:positionH>
                <wp:positionV relativeFrom="paragraph">
                  <wp:posOffset>62709</wp:posOffset>
                </wp:positionV>
                <wp:extent cx="684397" cy="431956"/>
                <wp:effectExtent l="0" t="0" r="0" b="6350"/>
                <wp:wrapNone/>
                <wp:docPr id="1038633759" name="Casella di testo 4"/>
                <wp:cNvGraphicFramePr/>
                <a:graphic xmlns:a="http://schemas.openxmlformats.org/drawingml/2006/main">
                  <a:graphicData uri="http://schemas.microsoft.com/office/word/2010/wordprocessingShape">
                    <wps:wsp>
                      <wps:cNvSpPr txBox="1"/>
                      <wps:spPr>
                        <a:xfrm>
                          <a:off x="0" y="0"/>
                          <a:ext cx="684397" cy="431956"/>
                        </a:xfrm>
                        <a:prstGeom prst="rect">
                          <a:avLst/>
                        </a:prstGeom>
                        <a:noFill/>
                        <a:ln w="6350">
                          <a:noFill/>
                        </a:ln>
                      </wps:spPr>
                      <wps:txbx>
                        <w:txbxContent>
                          <w:p w14:paraId="6A1CFB77" w14:textId="24CAC95A" w:rsidR="004F4A15" w:rsidRPr="004F4A15" w:rsidRDefault="004F4A15" w:rsidP="004F4A15">
                            <w:pPr>
                              <w:rPr>
                                <w:rFonts w:cs="Arial"/>
                                <w:b/>
                                <w:bCs/>
                                <w:lang w:val="it-IT"/>
                              </w:rPr>
                            </w:pPr>
                            <w:r>
                              <w:rPr>
                                <w:rFonts w:cs="Arial"/>
                                <w:b/>
                                <w:bCs/>
                                <w:lang w:val="it-IT"/>
                              </w:rPr>
                              <w:t>b</w:t>
                            </w:r>
                            <w:r w:rsidRPr="004F4A15">
                              <w:rPr>
                                <w:rFonts w:cs="Arial"/>
                                <w:b/>
                                <w:bCs/>
                                <w:lang w:val="it-I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34C8D" id="_x0000_t202" coordsize="21600,21600" o:spt="202" path="m,l,21600r21600,l21600,xe">
                <v:stroke joinstyle="miter"/>
                <v:path gradientshapeok="t" o:connecttype="rect"/>
              </v:shapetype>
              <v:shape id="Casella di testo 4" o:spid="_x0000_s1026" type="#_x0000_t202" style="position:absolute;left:0;text-align:left;margin-left:387.1pt;margin-top:4.95pt;width:53.9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yEFgIAACs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" filled="f" stroked="f" strokeweight=".5pt">
                <v:textbox>
                  <w:txbxContent>
                    <w:p w14:paraId="6A1CFB77" w14:textId="24CAC95A" w:rsidR="004F4A15" w:rsidRPr="004F4A15" w:rsidRDefault="004F4A15" w:rsidP="004F4A15">
                      <w:pPr>
                        <w:rPr>
                          <w:rFonts w:cs="Arial"/>
                          <w:b/>
                          <w:bCs/>
                          <w:lang w:val="it-IT"/>
                        </w:rPr>
                      </w:pPr>
                      <w:r>
                        <w:rPr>
                          <w:rFonts w:cs="Arial"/>
                          <w:b/>
                          <w:bCs/>
                          <w:lang w:val="it-IT"/>
                        </w:rPr>
                        <w:t>b</w:t>
                      </w:r>
                      <w:r w:rsidRPr="004F4A15">
                        <w:rPr>
                          <w:rFonts w:cs="Arial"/>
                          <w:b/>
                          <w:bCs/>
                          <w:lang w:val="it-IT"/>
                        </w:rPr>
                        <w:t>)</w:t>
                      </w:r>
                    </w:p>
                  </w:txbxContent>
                </v:textbox>
              </v:shape>
            </w:pict>
          </mc:Fallback>
        </mc:AlternateContent>
      </w:r>
      <w:r w:rsidRPr="0028049B">
        <w:rPr>
          <w:noProof/>
          <w:lang w:val="en-GB"/>
        </w:rPr>
        <mc:AlternateContent>
          <mc:Choice Requires="wps">
            <w:drawing>
              <wp:anchor distT="0" distB="0" distL="114300" distR="114300" simplePos="0" relativeHeight="251659264" behindDoc="0" locked="0" layoutInCell="1" allowOverlap="1" wp14:anchorId="3ED1AB0A" wp14:editId="50CA9A06">
                <wp:simplePos x="0" y="0"/>
                <wp:positionH relativeFrom="column">
                  <wp:posOffset>2308193</wp:posOffset>
                </wp:positionH>
                <wp:positionV relativeFrom="paragraph">
                  <wp:posOffset>107408</wp:posOffset>
                </wp:positionV>
                <wp:extent cx="684397" cy="431956"/>
                <wp:effectExtent l="0" t="0" r="0" b="6350"/>
                <wp:wrapNone/>
                <wp:docPr id="1609675888" name="Casella di testo 4"/>
                <wp:cNvGraphicFramePr/>
                <a:graphic xmlns:a="http://schemas.openxmlformats.org/drawingml/2006/main">
                  <a:graphicData uri="http://schemas.microsoft.com/office/word/2010/wordprocessingShape">
                    <wps:wsp>
                      <wps:cNvSpPr txBox="1"/>
                      <wps:spPr>
                        <a:xfrm>
                          <a:off x="0" y="0"/>
                          <a:ext cx="684397" cy="431956"/>
                        </a:xfrm>
                        <a:prstGeom prst="rect">
                          <a:avLst/>
                        </a:prstGeom>
                        <a:noFill/>
                        <a:ln w="6350">
                          <a:noFill/>
                        </a:ln>
                      </wps:spPr>
                      <wps:txbx>
                        <w:txbxContent>
                          <w:p w14:paraId="6F463CBF" w14:textId="71EDF7D3" w:rsidR="004F4A15" w:rsidRPr="004F4A15" w:rsidRDefault="004F4A15">
                            <w:pPr>
                              <w:rPr>
                                <w:rFonts w:cs="Arial"/>
                                <w:b/>
                                <w:bCs/>
                                <w:lang w:val="it-IT"/>
                              </w:rPr>
                            </w:pPr>
                            <w:r w:rsidRPr="004F4A15">
                              <w:rPr>
                                <w:rFonts w:cs="Arial"/>
                                <w:b/>
                                <w:bCs/>
                                <w:lang w:val="it-I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1AB0A" id="_x0000_s1027" type="#_x0000_t202" style="position:absolute;left:0;text-align:left;margin-left:181.75pt;margin-top:8.45pt;width:53.9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" filled="f" stroked="f" strokeweight=".5pt">
                <v:textbox>
                  <w:txbxContent>
                    <w:p w14:paraId="6F463CBF" w14:textId="71EDF7D3" w:rsidR="004F4A15" w:rsidRPr="004F4A15" w:rsidRDefault="004F4A15">
                      <w:pPr>
                        <w:rPr>
                          <w:rFonts w:cs="Arial"/>
                          <w:b/>
                          <w:bCs/>
                          <w:lang w:val="it-IT"/>
                        </w:rPr>
                      </w:pPr>
                      <w:r w:rsidRPr="004F4A15">
                        <w:rPr>
                          <w:rFonts w:cs="Arial"/>
                          <w:b/>
                          <w:bCs/>
                          <w:lang w:val="it-IT"/>
                        </w:rPr>
                        <w:t>a)</w:t>
                      </w:r>
                    </w:p>
                  </w:txbxContent>
                </v:textbox>
              </v:shape>
            </w:pict>
          </mc:Fallback>
        </mc:AlternateContent>
      </w:r>
      <w:r w:rsidR="0013615B" w:rsidRPr="0028049B">
        <w:rPr>
          <w:noProof/>
          <w:lang w:val="en-GB"/>
        </w:rPr>
        <w:drawing>
          <wp:inline distT="0" distB="0" distL="0" distR="0" wp14:anchorId="52D1695C" wp14:editId="71474778">
            <wp:extent cx="2701003" cy="1080000"/>
            <wp:effectExtent l="0" t="0" r="4445" b="6350"/>
            <wp:docPr id="112359858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1003" cy="1080000"/>
                    </a:xfrm>
                    <a:prstGeom prst="rect">
                      <a:avLst/>
                    </a:prstGeom>
                    <a:noFill/>
                  </pic:spPr>
                </pic:pic>
              </a:graphicData>
            </a:graphic>
          </wp:inline>
        </w:drawing>
      </w:r>
      <w:r w:rsidRPr="0028049B">
        <w:rPr>
          <w:lang w:val="en-GB"/>
        </w:rPr>
        <w:t xml:space="preserve"> </w:t>
      </w:r>
      <w:r w:rsidR="00FB3CEF" w:rsidRPr="0028049B">
        <w:rPr>
          <w:noProof/>
          <w:lang w:val="en-GB"/>
        </w:rPr>
        <w:drawing>
          <wp:inline distT="0" distB="0" distL="0" distR="0" wp14:anchorId="2BBDDAAA" wp14:editId="1FF38996">
            <wp:extent cx="2424196" cy="1080000"/>
            <wp:effectExtent l="0" t="0" r="0" b="6350"/>
            <wp:docPr id="2732851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4196" cy="1080000"/>
                    </a:xfrm>
                    <a:prstGeom prst="rect">
                      <a:avLst/>
                    </a:prstGeom>
                    <a:noFill/>
                  </pic:spPr>
                </pic:pic>
              </a:graphicData>
            </a:graphic>
          </wp:inline>
        </w:drawing>
      </w:r>
    </w:p>
    <w:p w14:paraId="117776C4" w14:textId="13F1CB38" w:rsidR="005F79B9" w:rsidRPr="0028049B" w:rsidRDefault="005F79B9" w:rsidP="005F79B9">
      <w:pPr>
        <w:pStyle w:val="CETBodytext"/>
        <w:jc w:val="left"/>
        <w:rPr>
          <w:i/>
          <w:lang w:val="en-GB"/>
        </w:rPr>
      </w:pPr>
      <w:r w:rsidRPr="0028049B">
        <w:rPr>
          <w:rStyle w:val="CETCaptionCarattere"/>
        </w:rPr>
        <w:t>Figure 3: EDX pattern for Ruthenium</w:t>
      </w:r>
      <w:r w:rsidR="00D87C0A" w:rsidRPr="0028049B">
        <w:rPr>
          <w:rStyle w:val="CETCaptionCarattere"/>
        </w:rPr>
        <w:t>-Iron on</w:t>
      </w:r>
      <w:r w:rsidRPr="0028049B">
        <w:rPr>
          <w:rStyle w:val="CETCaptionCarattere"/>
        </w:rPr>
        <w:t xml:space="preserve"> </w:t>
      </w:r>
      <w:r w:rsidR="00C043E6" w:rsidRPr="0028049B">
        <w:rPr>
          <w:rStyle w:val="CETCaptionCarattere"/>
        </w:rPr>
        <w:t xml:space="preserve">a) </w:t>
      </w:r>
      <w:r w:rsidRPr="0028049B">
        <w:rPr>
          <w:rStyle w:val="CETCaptionCarattere"/>
        </w:rPr>
        <w:t>Al</w:t>
      </w:r>
      <w:r w:rsidRPr="0028049B">
        <w:rPr>
          <w:rStyle w:val="CETCaptionCarattere"/>
          <w:vertAlign w:val="subscript"/>
        </w:rPr>
        <w:t>2</w:t>
      </w:r>
      <w:r w:rsidRPr="0028049B">
        <w:rPr>
          <w:rStyle w:val="CETCaptionCarattere"/>
        </w:rPr>
        <w:t>O</w:t>
      </w:r>
      <w:r w:rsidRPr="0028049B">
        <w:rPr>
          <w:rStyle w:val="CETCaptionCarattere"/>
          <w:vertAlign w:val="subscript"/>
        </w:rPr>
        <w:t>3</w:t>
      </w:r>
      <w:r w:rsidR="00C043E6" w:rsidRPr="0028049B">
        <w:rPr>
          <w:rStyle w:val="CETCaptionCarattere"/>
        </w:rPr>
        <w:t xml:space="preserve"> and b) CNTs</w:t>
      </w:r>
      <w:r w:rsidRPr="0028049B">
        <w:rPr>
          <w:rStyle w:val="CETCaptionCarattere"/>
        </w:rPr>
        <w:t xml:space="preserve"> </w:t>
      </w:r>
      <w:r w:rsidR="00D87C0A" w:rsidRPr="0028049B">
        <w:rPr>
          <w:rStyle w:val="CETCaptionCarattere"/>
        </w:rPr>
        <w:t xml:space="preserve">with </w:t>
      </w:r>
      <w:r w:rsidR="00CE29C2" w:rsidRPr="0028049B">
        <w:rPr>
          <w:rStyle w:val="CETCaptionCarattere"/>
        </w:rPr>
        <w:t>Atomic percentage</w:t>
      </w:r>
      <w:r w:rsidR="009E54F8" w:rsidRPr="0028049B">
        <w:rPr>
          <w:rStyle w:val="CETCaptionCarattere"/>
        </w:rPr>
        <w:t xml:space="preserve"> of metals</w:t>
      </w:r>
      <w:r w:rsidRPr="0028049B">
        <w:rPr>
          <w:rStyle w:val="CETCaptionCarattere"/>
        </w:rPr>
        <w:t>.</w:t>
      </w:r>
    </w:p>
    <w:p w14:paraId="13105876" w14:textId="2EEEB66A" w:rsidR="00AD040D" w:rsidRPr="0028049B" w:rsidRDefault="0020754D" w:rsidP="00616047">
      <w:pPr>
        <w:pStyle w:val="CETheadingx"/>
        <w:rPr>
          <w:lang w:val="en-GB"/>
        </w:rPr>
      </w:pPr>
      <w:r w:rsidRPr="0028049B">
        <w:rPr>
          <w:lang w:val="en-GB"/>
        </w:rPr>
        <w:t>N</w:t>
      </w:r>
      <w:r w:rsidRPr="0028049B">
        <w:rPr>
          <w:vertAlign w:val="subscript"/>
          <w:lang w:val="en-GB"/>
        </w:rPr>
        <w:t>2</w:t>
      </w:r>
      <w:r w:rsidRPr="0028049B">
        <w:rPr>
          <w:lang w:val="en-GB"/>
        </w:rPr>
        <w:t xml:space="preserve"> </w:t>
      </w:r>
      <w:r w:rsidR="00AD040D" w:rsidRPr="0028049B">
        <w:rPr>
          <w:lang w:val="en-GB"/>
        </w:rPr>
        <w:t>Reduction tests</w:t>
      </w:r>
    </w:p>
    <w:p w14:paraId="1CC15CA0" w14:textId="2A890774" w:rsidR="00897FD7" w:rsidRPr="0028049B" w:rsidRDefault="000E5559" w:rsidP="00C43915">
      <w:pPr>
        <w:pStyle w:val="CETBodytext"/>
        <w:rPr>
          <w:lang w:val="en-GB"/>
        </w:rPr>
      </w:pPr>
      <w:r w:rsidRPr="0028049B">
        <w:rPr>
          <w:lang w:val="en-GB"/>
        </w:rPr>
        <w:t>The Al</w:t>
      </w:r>
      <w:r w:rsidRPr="0028049B">
        <w:rPr>
          <w:vertAlign w:val="subscript"/>
          <w:lang w:val="en-GB"/>
        </w:rPr>
        <w:t>2</w:t>
      </w:r>
      <w:r w:rsidRPr="0028049B">
        <w:rPr>
          <w:lang w:val="en-GB"/>
        </w:rPr>
        <w:t>O</w:t>
      </w:r>
      <w:r w:rsidRPr="0028049B">
        <w:rPr>
          <w:vertAlign w:val="subscript"/>
          <w:lang w:val="en-GB"/>
        </w:rPr>
        <w:t>3</w:t>
      </w:r>
      <w:r w:rsidRPr="0028049B">
        <w:rPr>
          <w:lang w:val="en-GB"/>
        </w:rPr>
        <w:t xml:space="preserve"> and CNTs-based </w:t>
      </w:r>
      <w:r w:rsidR="00DB4705">
        <w:rPr>
          <w:lang w:val="en-GB"/>
        </w:rPr>
        <w:t>electrodes</w:t>
      </w:r>
      <w:r w:rsidR="00DB4705" w:rsidRPr="0028049B">
        <w:rPr>
          <w:lang w:val="en-GB"/>
        </w:rPr>
        <w:t xml:space="preserve"> </w:t>
      </w:r>
      <w:r w:rsidRPr="0028049B">
        <w:rPr>
          <w:lang w:val="en-GB"/>
        </w:rPr>
        <w:t>were tested in the gas</w:t>
      </w:r>
      <w:r w:rsidR="00995944">
        <w:rPr>
          <w:lang w:val="en-GB"/>
        </w:rPr>
        <w:t>-</w:t>
      </w:r>
      <w:r w:rsidRPr="0028049B">
        <w:rPr>
          <w:lang w:val="en-GB"/>
        </w:rPr>
        <w:t>phase</w:t>
      </w:r>
      <w:r w:rsidR="006D7025" w:rsidRPr="0028049B">
        <w:rPr>
          <w:lang w:val="en-GB"/>
        </w:rPr>
        <w:t xml:space="preserve"> system. </w:t>
      </w:r>
      <w:r w:rsidR="00995944">
        <w:rPr>
          <w:lang w:val="en-GB"/>
        </w:rPr>
        <w:t xml:space="preserve">Before testing, </w:t>
      </w:r>
      <w:r w:rsidR="00C6496E" w:rsidRPr="0028049B">
        <w:rPr>
          <w:lang w:val="en-GB"/>
        </w:rPr>
        <w:t xml:space="preserve">a rigid electrochemical protocol </w:t>
      </w:r>
      <w:r w:rsidR="00995944" w:rsidRPr="0028049B">
        <w:rPr>
          <w:lang w:val="en-GB"/>
        </w:rPr>
        <w:t>was performed</w:t>
      </w:r>
      <w:r w:rsidR="00995944">
        <w:rPr>
          <w:lang w:val="en-GB"/>
        </w:rPr>
        <w:t>,</w:t>
      </w:r>
      <w:r w:rsidR="00995944" w:rsidRPr="0028049B">
        <w:rPr>
          <w:lang w:val="en-GB"/>
        </w:rPr>
        <w:t xml:space="preserve"> </w:t>
      </w:r>
      <w:r w:rsidR="00C6496E" w:rsidRPr="0028049B">
        <w:rPr>
          <w:lang w:val="en-GB"/>
        </w:rPr>
        <w:t xml:space="preserve">consisting of </w:t>
      </w:r>
      <w:proofErr w:type="spellStart"/>
      <w:r w:rsidR="00C6496E" w:rsidRPr="0028049B">
        <w:rPr>
          <w:lang w:val="en-GB"/>
        </w:rPr>
        <w:t>i</w:t>
      </w:r>
      <w:proofErr w:type="spellEnd"/>
      <w:r w:rsidR="00C6496E" w:rsidRPr="0028049B">
        <w:rPr>
          <w:lang w:val="en-GB"/>
        </w:rPr>
        <w:t xml:space="preserve">) </w:t>
      </w:r>
      <w:r w:rsidR="00363014" w:rsidRPr="0028049B">
        <w:rPr>
          <w:lang w:val="en-GB"/>
        </w:rPr>
        <w:t>decontamination process</w:t>
      </w:r>
      <w:r w:rsidR="008D4E88" w:rsidRPr="0028049B">
        <w:rPr>
          <w:lang w:val="en-GB"/>
        </w:rPr>
        <w:t xml:space="preserve"> and</w:t>
      </w:r>
      <w:r w:rsidR="00363014" w:rsidRPr="0028049B">
        <w:rPr>
          <w:lang w:val="en-GB"/>
        </w:rPr>
        <w:t xml:space="preserve"> ii)</w:t>
      </w:r>
      <w:r w:rsidR="008D4E88" w:rsidRPr="0028049B">
        <w:rPr>
          <w:lang w:val="en-GB"/>
        </w:rPr>
        <w:t xml:space="preserve"> </w:t>
      </w:r>
      <w:r w:rsidR="00BE637F" w:rsidRPr="0028049B">
        <w:rPr>
          <w:lang w:val="en-GB"/>
        </w:rPr>
        <w:t>a chrono-amperometry (CA) at the desi</w:t>
      </w:r>
      <w:r w:rsidR="00594A18" w:rsidRPr="0028049B">
        <w:rPr>
          <w:lang w:val="en-GB"/>
        </w:rPr>
        <w:t>red set potential. The investigated potential</w:t>
      </w:r>
      <w:r w:rsidR="00995944">
        <w:rPr>
          <w:lang w:val="en-GB"/>
        </w:rPr>
        <w:t>s range</w:t>
      </w:r>
      <w:r w:rsidR="00770AE0" w:rsidRPr="0028049B">
        <w:rPr>
          <w:lang w:val="en-GB"/>
        </w:rPr>
        <w:t xml:space="preserve"> from -0.1</w:t>
      </w:r>
      <w:r w:rsidR="00995944">
        <w:rPr>
          <w:lang w:val="en-GB"/>
        </w:rPr>
        <w:t xml:space="preserve"> </w:t>
      </w:r>
      <w:r w:rsidR="00770AE0" w:rsidRPr="0028049B">
        <w:rPr>
          <w:lang w:val="en-GB"/>
        </w:rPr>
        <w:t>to -0.8</w:t>
      </w:r>
      <w:r w:rsidR="00995944">
        <w:rPr>
          <w:lang w:val="en-GB"/>
        </w:rPr>
        <w:t xml:space="preserve"> </w:t>
      </w:r>
      <w:r w:rsidR="00770AE0" w:rsidRPr="0028049B">
        <w:rPr>
          <w:lang w:val="en-GB"/>
        </w:rPr>
        <w:t>V vs</w:t>
      </w:r>
      <w:r w:rsidR="00995944">
        <w:rPr>
          <w:lang w:val="en-GB"/>
        </w:rPr>
        <w:t>.</w:t>
      </w:r>
      <w:r w:rsidR="00770AE0" w:rsidRPr="0028049B">
        <w:rPr>
          <w:lang w:val="en-GB"/>
        </w:rPr>
        <w:t xml:space="preserve"> RHE. </w:t>
      </w:r>
      <w:r w:rsidR="00EA70D7" w:rsidRPr="0028049B">
        <w:rPr>
          <w:lang w:val="en-GB"/>
        </w:rPr>
        <w:t xml:space="preserve">The selection of potential increments was based on preliminary tests, </w:t>
      </w:r>
      <w:proofErr w:type="gramStart"/>
      <w:r w:rsidR="00223BD8">
        <w:rPr>
          <w:lang w:val="en-GB"/>
        </w:rPr>
        <w:t xml:space="preserve">in order </w:t>
      </w:r>
      <w:r w:rsidR="00EA70D7" w:rsidRPr="0028049B">
        <w:rPr>
          <w:lang w:val="en-GB"/>
        </w:rPr>
        <w:t>to</w:t>
      </w:r>
      <w:proofErr w:type="gramEnd"/>
      <w:r w:rsidR="00EA70D7" w:rsidRPr="0028049B">
        <w:rPr>
          <w:lang w:val="en-GB"/>
        </w:rPr>
        <w:t xml:space="preserve"> operate at optimal current</w:t>
      </w:r>
      <w:r w:rsidR="00283D16">
        <w:rPr>
          <w:lang w:val="en-GB"/>
        </w:rPr>
        <w:t xml:space="preserve"> densitie</w:t>
      </w:r>
      <w:r w:rsidR="00EA70D7" w:rsidRPr="0028049B">
        <w:rPr>
          <w:lang w:val="en-GB"/>
        </w:rPr>
        <w:t xml:space="preserve">s </w:t>
      </w:r>
      <w:r w:rsidR="003604A5">
        <w:rPr>
          <w:lang w:val="en-GB"/>
        </w:rPr>
        <w:t>from</w:t>
      </w:r>
      <w:r w:rsidR="003604A5" w:rsidRPr="0028049B">
        <w:rPr>
          <w:lang w:val="en-GB"/>
        </w:rPr>
        <w:t xml:space="preserve"> </w:t>
      </w:r>
      <w:r w:rsidR="00322F2B">
        <w:rPr>
          <w:lang w:val="en-GB"/>
        </w:rPr>
        <w:t>-</w:t>
      </w:r>
      <w:r w:rsidR="00EA70D7" w:rsidRPr="0028049B">
        <w:rPr>
          <w:lang w:val="en-GB"/>
        </w:rPr>
        <w:t>100</w:t>
      </w:r>
      <w:r w:rsidR="003604A5">
        <w:rPr>
          <w:lang w:val="en-GB"/>
        </w:rPr>
        <w:t xml:space="preserve"> to</w:t>
      </w:r>
      <w:r w:rsidR="00322F2B">
        <w:rPr>
          <w:lang w:val="en-GB"/>
        </w:rPr>
        <w:t xml:space="preserve"> </w:t>
      </w:r>
      <w:r w:rsidR="00EA70D7" w:rsidRPr="0028049B">
        <w:rPr>
          <w:lang w:val="en-GB"/>
        </w:rPr>
        <w:t>-</w:t>
      </w:r>
      <w:r w:rsidR="00961964" w:rsidRPr="0028049B">
        <w:rPr>
          <w:lang w:val="en-GB"/>
        </w:rPr>
        <w:t>4</w:t>
      </w:r>
      <w:r w:rsidR="00EA70D7" w:rsidRPr="0028049B">
        <w:rPr>
          <w:lang w:val="en-GB"/>
        </w:rPr>
        <w:t xml:space="preserve">00 </w:t>
      </w:r>
      <w:r w:rsidR="00EA70D7" w:rsidRPr="0028049B">
        <w:rPr>
          <w:rFonts w:ascii="Symbol" w:hAnsi="Symbol"/>
          <w:lang w:val="en-GB"/>
        </w:rPr>
        <w:t></w:t>
      </w:r>
      <w:r w:rsidR="00EA70D7" w:rsidRPr="0028049B">
        <w:rPr>
          <w:lang w:val="en-GB"/>
        </w:rPr>
        <w:t>A cm</w:t>
      </w:r>
      <w:r w:rsidR="00EA70D7" w:rsidRPr="0028049B">
        <w:rPr>
          <w:vertAlign w:val="superscript"/>
          <w:lang w:val="en-GB"/>
        </w:rPr>
        <w:t>-2</w:t>
      </w:r>
      <w:r w:rsidR="00EA70D7" w:rsidRPr="0028049B">
        <w:rPr>
          <w:lang w:val="en-GB"/>
        </w:rPr>
        <w:t>, which is the range where the onset potential of the reaction occurs, just before the hydrogen evolution reaction (HER) becomes predominant.</w:t>
      </w:r>
      <w:r w:rsidR="00272195" w:rsidRPr="0028049B">
        <w:rPr>
          <w:lang w:val="en-GB"/>
        </w:rPr>
        <w:t xml:space="preserve"> The decontamination process was conducted by applying a low potential (-0.1</w:t>
      </w:r>
      <w:r w:rsidR="00562499">
        <w:rPr>
          <w:lang w:val="en-GB"/>
        </w:rPr>
        <w:t xml:space="preserve"> </w:t>
      </w:r>
      <w:r w:rsidR="00272195" w:rsidRPr="0028049B">
        <w:rPr>
          <w:lang w:val="en-GB"/>
        </w:rPr>
        <w:t xml:space="preserve">V vs RHE) for a duration of 60 minutes. </w:t>
      </w:r>
      <w:r w:rsidR="006E3C7A" w:rsidRPr="0028049B">
        <w:rPr>
          <w:lang w:val="en-GB"/>
        </w:rPr>
        <w:t xml:space="preserve">This procedure was essential for the removal of any nitrogen contamination (e.g., </w:t>
      </w:r>
      <w:r w:rsidR="00514D19">
        <w:rPr>
          <w:lang w:val="en-GB"/>
        </w:rPr>
        <w:t xml:space="preserve">ammonia or other N-compounds </w:t>
      </w:r>
      <w:r w:rsidR="006E3C7A" w:rsidRPr="0028049B">
        <w:rPr>
          <w:lang w:val="en-GB"/>
        </w:rPr>
        <w:t>adher</w:t>
      </w:r>
      <w:r w:rsidR="004F5593">
        <w:rPr>
          <w:lang w:val="en-GB"/>
        </w:rPr>
        <w:t>ed</w:t>
      </w:r>
      <w:r w:rsidR="006E3C7A" w:rsidRPr="0028049B">
        <w:rPr>
          <w:lang w:val="en-GB"/>
        </w:rPr>
        <w:t xml:space="preserve"> to the electrode surface during deposition or adsorb</w:t>
      </w:r>
      <w:r w:rsidR="004F5593">
        <w:rPr>
          <w:lang w:val="en-GB"/>
        </w:rPr>
        <w:t xml:space="preserve">ed </w:t>
      </w:r>
      <w:r w:rsidR="006E3C7A" w:rsidRPr="0028049B">
        <w:rPr>
          <w:lang w:val="en-GB"/>
        </w:rPr>
        <w:t xml:space="preserve">to the </w:t>
      </w:r>
      <w:proofErr w:type="spellStart"/>
      <w:r w:rsidR="006E3C7A" w:rsidRPr="0028049B">
        <w:rPr>
          <w:lang w:val="en-GB"/>
        </w:rPr>
        <w:t>Nafion</w:t>
      </w:r>
      <w:proofErr w:type="spellEnd"/>
      <w:r w:rsidR="006E3C7A" w:rsidRPr="0028049B">
        <w:rPr>
          <w:lang w:val="en-GB"/>
        </w:rPr>
        <w:t xml:space="preserve"> membrane) not originating from the nitrogen present in the reactant gas.</w:t>
      </w:r>
      <w:r w:rsidR="00272195" w:rsidRPr="0028049B">
        <w:rPr>
          <w:lang w:val="en-GB"/>
        </w:rPr>
        <w:t xml:space="preserve"> Furthermore, </w:t>
      </w:r>
      <w:r w:rsidR="00AA4F04" w:rsidRPr="0028049B">
        <w:rPr>
          <w:lang w:val="en-GB"/>
        </w:rPr>
        <w:t>before</w:t>
      </w:r>
      <w:r w:rsidR="00272195" w:rsidRPr="0028049B">
        <w:rPr>
          <w:lang w:val="en-GB"/>
        </w:rPr>
        <w:t xml:space="preserve"> testing, the electrolyte and the sulphuric acid trap were subjected to analysis using the spectrophotometric method and the ion chromatograph, respectively. These analyses were performed to ensure the absence of ammonium. </w:t>
      </w:r>
      <w:r w:rsidR="00790F17" w:rsidRPr="0028049B">
        <w:rPr>
          <w:lang w:val="en-GB"/>
        </w:rPr>
        <w:t xml:space="preserve">The entire apparatus employed for the experiment maintained a gas-tight </w:t>
      </w:r>
      <w:r w:rsidR="00790F17" w:rsidRPr="0028049B">
        <w:rPr>
          <w:lang w:val="en-GB"/>
        </w:rPr>
        <w:lastRenderedPageBreak/>
        <w:t>environment and the decontamination value</w:t>
      </w:r>
      <w:r w:rsidR="00365089">
        <w:rPr>
          <w:lang w:val="en-GB"/>
        </w:rPr>
        <w:t>s</w:t>
      </w:r>
      <w:r w:rsidR="00790F17" w:rsidRPr="0028049B">
        <w:rPr>
          <w:lang w:val="en-GB"/>
        </w:rPr>
        <w:t xml:space="preserve"> ha</w:t>
      </w:r>
      <w:r w:rsidR="00365089">
        <w:rPr>
          <w:lang w:val="en-GB"/>
        </w:rPr>
        <w:t>ve</w:t>
      </w:r>
      <w:r w:rsidR="00790F17" w:rsidRPr="0028049B">
        <w:rPr>
          <w:lang w:val="en-GB"/>
        </w:rPr>
        <w:t xml:space="preserve"> been voluntarily omitted for simplicity</w:t>
      </w:r>
      <w:r w:rsidR="00272195" w:rsidRPr="0028049B">
        <w:rPr>
          <w:lang w:val="en-GB"/>
        </w:rPr>
        <w:t>.</w:t>
      </w:r>
      <w:r w:rsidR="00914E8F" w:rsidRPr="0028049B">
        <w:rPr>
          <w:lang w:val="en-GB"/>
        </w:rPr>
        <w:t xml:space="preserve"> The purpose of this work is to </w:t>
      </w:r>
      <w:r w:rsidR="00B57110">
        <w:rPr>
          <w:lang w:val="en-GB"/>
        </w:rPr>
        <w:t>evaluate</w:t>
      </w:r>
      <w:r w:rsidR="00B57110" w:rsidRPr="0028049B">
        <w:rPr>
          <w:lang w:val="en-GB"/>
        </w:rPr>
        <w:t xml:space="preserve"> </w:t>
      </w:r>
      <w:r w:rsidR="00914E8F" w:rsidRPr="0028049B">
        <w:rPr>
          <w:lang w:val="en-GB"/>
        </w:rPr>
        <w:t xml:space="preserve">the </w:t>
      </w:r>
      <w:r w:rsidR="00F45C4E">
        <w:rPr>
          <w:lang w:val="en-GB"/>
        </w:rPr>
        <w:t>option</w:t>
      </w:r>
      <w:r w:rsidR="00F45C4E" w:rsidRPr="0028049B">
        <w:rPr>
          <w:lang w:val="en-GB"/>
        </w:rPr>
        <w:t xml:space="preserve"> </w:t>
      </w:r>
      <w:r w:rsidR="00914E8F" w:rsidRPr="0028049B">
        <w:rPr>
          <w:lang w:val="en-GB"/>
        </w:rPr>
        <w:t xml:space="preserve">of partial or total </w:t>
      </w:r>
      <w:r w:rsidR="00F87EEC" w:rsidRPr="0028049B">
        <w:rPr>
          <w:lang w:val="en-GB"/>
        </w:rPr>
        <w:t>replacement</w:t>
      </w:r>
      <w:r w:rsidR="003011AC" w:rsidRPr="0028049B">
        <w:rPr>
          <w:lang w:val="en-GB"/>
        </w:rPr>
        <w:t xml:space="preserve"> of noble metals with more </w:t>
      </w:r>
      <w:r w:rsidR="00B81BD6" w:rsidRPr="0028049B">
        <w:rPr>
          <w:lang w:val="en-GB"/>
        </w:rPr>
        <w:t>earth-abundant</w:t>
      </w:r>
      <w:r w:rsidR="003011AC" w:rsidRPr="0028049B">
        <w:rPr>
          <w:lang w:val="en-GB"/>
        </w:rPr>
        <w:t xml:space="preserve"> material</w:t>
      </w:r>
      <w:r w:rsidR="00A46D87">
        <w:rPr>
          <w:lang w:val="en-GB"/>
        </w:rPr>
        <w:t>s</w:t>
      </w:r>
      <w:r w:rsidR="00ED2E58" w:rsidRPr="0028049B">
        <w:rPr>
          <w:lang w:val="en-GB"/>
        </w:rPr>
        <w:t xml:space="preserve">. </w:t>
      </w:r>
      <w:r w:rsidR="00A46D87">
        <w:rPr>
          <w:lang w:val="en-GB"/>
        </w:rPr>
        <w:t>F</w:t>
      </w:r>
      <w:r w:rsidR="00ED2E58" w:rsidRPr="0028049B">
        <w:rPr>
          <w:lang w:val="en-GB"/>
        </w:rPr>
        <w:t>igure</w:t>
      </w:r>
      <w:r w:rsidR="0078723E">
        <w:rPr>
          <w:lang w:val="en-GB"/>
        </w:rPr>
        <w:t>s</w:t>
      </w:r>
      <w:r w:rsidR="00ED2E58" w:rsidRPr="0028049B">
        <w:rPr>
          <w:lang w:val="en-GB"/>
        </w:rPr>
        <w:t xml:space="preserve"> </w:t>
      </w:r>
      <w:r w:rsidR="001E7A1D" w:rsidRPr="0028049B">
        <w:rPr>
          <w:lang w:val="en-GB"/>
        </w:rPr>
        <w:t>4</w:t>
      </w:r>
      <w:r w:rsidR="00ED2E58" w:rsidRPr="0028049B">
        <w:rPr>
          <w:lang w:val="en-GB"/>
        </w:rPr>
        <w:t xml:space="preserve">a and </w:t>
      </w:r>
      <w:r w:rsidR="001E7A1D" w:rsidRPr="0028049B">
        <w:rPr>
          <w:lang w:val="en-GB"/>
        </w:rPr>
        <w:t>4</w:t>
      </w:r>
      <w:r w:rsidR="00ED2E58" w:rsidRPr="0028049B">
        <w:rPr>
          <w:lang w:val="en-GB"/>
        </w:rPr>
        <w:t xml:space="preserve">b </w:t>
      </w:r>
      <w:r w:rsidR="00D33ABC" w:rsidRPr="0028049B">
        <w:rPr>
          <w:lang w:val="en-GB"/>
        </w:rPr>
        <w:t>show</w:t>
      </w:r>
      <w:r w:rsidR="00ED2E58" w:rsidRPr="0028049B">
        <w:rPr>
          <w:lang w:val="en-GB"/>
        </w:rPr>
        <w:t xml:space="preserve"> the </w:t>
      </w:r>
      <w:r w:rsidR="008D5EDF" w:rsidRPr="0028049B">
        <w:rPr>
          <w:lang w:val="en-GB"/>
        </w:rPr>
        <w:t xml:space="preserve">production of ammonia </w:t>
      </w:r>
      <w:r w:rsidR="005E4D85" w:rsidRPr="0028049B">
        <w:rPr>
          <w:lang w:val="en-GB"/>
        </w:rPr>
        <w:t>expressed</w:t>
      </w:r>
      <w:r w:rsidR="008D5EDF" w:rsidRPr="0028049B">
        <w:rPr>
          <w:lang w:val="en-GB"/>
        </w:rPr>
        <w:t xml:space="preserve"> in </w:t>
      </w:r>
      <w:r w:rsidR="008D5EDF" w:rsidRPr="0028049B">
        <w:rPr>
          <w:rFonts w:ascii="Symbol" w:hAnsi="Symbol" w:cs="Arial"/>
          <w:szCs w:val="18"/>
          <w:lang w:val="en-GB"/>
        </w:rPr>
        <w:t>m</w:t>
      </w:r>
      <w:r w:rsidR="008D5EDF" w:rsidRPr="0028049B">
        <w:rPr>
          <w:rFonts w:cs="Arial"/>
          <w:szCs w:val="18"/>
          <w:lang w:val="en-GB"/>
        </w:rPr>
        <w:t>g mg</w:t>
      </w:r>
      <w:r w:rsidR="008D5EDF" w:rsidRPr="0028049B">
        <w:rPr>
          <w:rFonts w:cs="Arial"/>
          <w:szCs w:val="18"/>
          <w:vertAlign w:val="subscript"/>
          <w:lang w:val="en-GB"/>
        </w:rPr>
        <w:t>cat</w:t>
      </w:r>
      <w:r w:rsidR="008D5EDF" w:rsidRPr="0028049B">
        <w:rPr>
          <w:rFonts w:cs="Arial"/>
          <w:szCs w:val="18"/>
          <w:vertAlign w:val="superscript"/>
          <w:lang w:val="en-GB"/>
        </w:rPr>
        <w:t>-1</w:t>
      </w:r>
      <w:r w:rsidR="008D5EDF" w:rsidRPr="0028049B">
        <w:rPr>
          <w:rFonts w:cs="Arial"/>
          <w:szCs w:val="18"/>
          <w:lang w:val="en-GB"/>
        </w:rPr>
        <w:t xml:space="preserve"> h</w:t>
      </w:r>
      <w:r w:rsidR="008D5EDF" w:rsidRPr="0028049B">
        <w:rPr>
          <w:rFonts w:cs="Arial"/>
          <w:szCs w:val="18"/>
          <w:vertAlign w:val="superscript"/>
          <w:lang w:val="en-GB"/>
        </w:rPr>
        <w:t>-1</w:t>
      </w:r>
      <w:r w:rsidR="007B7114" w:rsidRPr="0028049B">
        <w:rPr>
          <w:rFonts w:cs="Arial"/>
          <w:szCs w:val="18"/>
          <w:vertAlign w:val="superscript"/>
          <w:lang w:val="en-GB"/>
        </w:rPr>
        <w:t xml:space="preserve"> </w:t>
      </w:r>
      <w:r w:rsidR="007B7114" w:rsidRPr="0028049B">
        <w:rPr>
          <w:rFonts w:cs="Arial"/>
          <w:szCs w:val="18"/>
          <w:lang w:val="en-GB"/>
        </w:rPr>
        <w:t xml:space="preserve">for </w:t>
      </w:r>
      <w:r w:rsidR="00FC6DB1" w:rsidRPr="0028049B">
        <w:rPr>
          <w:lang w:val="en-GB"/>
        </w:rPr>
        <w:t>Al</w:t>
      </w:r>
      <w:r w:rsidR="00FC6DB1" w:rsidRPr="0028049B">
        <w:rPr>
          <w:vertAlign w:val="subscript"/>
          <w:lang w:val="en-GB"/>
        </w:rPr>
        <w:t>2</w:t>
      </w:r>
      <w:r w:rsidR="00FC6DB1" w:rsidRPr="0028049B">
        <w:rPr>
          <w:lang w:val="en-GB"/>
        </w:rPr>
        <w:t>O</w:t>
      </w:r>
      <w:r w:rsidR="00FC6DB1" w:rsidRPr="0028049B">
        <w:rPr>
          <w:vertAlign w:val="subscript"/>
          <w:lang w:val="en-GB"/>
        </w:rPr>
        <w:t>3</w:t>
      </w:r>
      <w:r w:rsidR="007B7114" w:rsidRPr="0028049B">
        <w:rPr>
          <w:rFonts w:cs="Arial"/>
          <w:szCs w:val="18"/>
          <w:lang w:val="en-GB"/>
        </w:rPr>
        <w:t xml:space="preserve"> and CNTs-based </w:t>
      </w:r>
      <w:r w:rsidR="009102D7">
        <w:rPr>
          <w:rFonts w:cs="Arial"/>
          <w:szCs w:val="18"/>
          <w:lang w:val="en-GB"/>
        </w:rPr>
        <w:t>electrodes</w:t>
      </w:r>
      <w:r w:rsidR="0078723E">
        <w:rPr>
          <w:rFonts w:cs="Arial"/>
          <w:szCs w:val="18"/>
          <w:lang w:val="en-GB"/>
        </w:rPr>
        <w:t>,</w:t>
      </w:r>
      <w:r w:rsidR="007B7114" w:rsidRPr="0028049B">
        <w:rPr>
          <w:rFonts w:cs="Arial"/>
          <w:szCs w:val="18"/>
          <w:lang w:val="en-GB"/>
        </w:rPr>
        <w:t xml:space="preserve"> respectively</w:t>
      </w:r>
      <w:r w:rsidR="0078723E">
        <w:rPr>
          <w:rFonts w:cs="Arial"/>
          <w:szCs w:val="18"/>
          <w:lang w:val="en-GB"/>
        </w:rPr>
        <w:t>,</w:t>
      </w:r>
      <w:r w:rsidR="00EF5800" w:rsidRPr="0028049B">
        <w:rPr>
          <w:rFonts w:cs="Arial"/>
          <w:szCs w:val="18"/>
          <w:lang w:val="en-GB"/>
        </w:rPr>
        <w:t xml:space="preserve"> at different applied </w:t>
      </w:r>
      <w:r w:rsidR="00D33ABC" w:rsidRPr="0028049B">
        <w:rPr>
          <w:rFonts w:cs="Arial"/>
          <w:szCs w:val="18"/>
          <w:lang w:val="en-GB"/>
        </w:rPr>
        <w:t>potentials</w:t>
      </w:r>
      <w:r w:rsidR="00EF5800" w:rsidRPr="0028049B">
        <w:rPr>
          <w:rFonts w:cs="Arial"/>
          <w:szCs w:val="18"/>
          <w:lang w:val="en-GB"/>
        </w:rPr>
        <w:t>.</w:t>
      </w:r>
      <w:r w:rsidR="00891EAC" w:rsidRPr="0028049B">
        <w:rPr>
          <w:rFonts w:cs="Arial"/>
          <w:szCs w:val="18"/>
          <w:lang w:val="en-GB"/>
        </w:rPr>
        <w:t xml:space="preserve"> </w:t>
      </w:r>
      <w:r w:rsidR="006836C5" w:rsidRPr="0028049B">
        <w:rPr>
          <w:rFonts w:cs="Arial"/>
          <w:szCs w:val="18"/>
          <w:lang w:val="en-GB"/>
        </w:rPr>
        <w:t>During the tests n</w:t>
      </w:r>
      <w:r w:rsidR="00891EAC" w:rsidRPr="0028049B">
        <w:rPr>
          <w:rFonts w:cs="Arial"/>
          <w:szCs w:val="18"/>
          <w:lang w:val="en-GB"/>
        </w:rPr>
        <w:t>o ammonia was detected in liquid phase (anodic compartment),</w:t>
      </w:r>
      <w:r w:rsidR="009102D7">
        <w:rPr>
          <w:rFonts w:cs="Arial"/>
          <w:szCs w:val="18"/>
          <w:lang w:val="en-GB"/>
        </w:rPr>
        <w:t xml:space="preserve"> and</w:t>
      </w:r>
      <w:r w:rsidR="00891EAC" w:rsidRPr="0028049B">
        <w:rPr>
          <w:rFonts w:cs="Arial"/>
          <w:szCs w:val="18"/>
          <w:lang w:val="en-GB"/>
        </w:rPr>
        <w:t xml:space="preserve"> the </w:t>
      </w:r>
      <w:r w:rsidR="006836C5" w:rsidRPr="0028049B">
        <w:rPr>
          <w:rFonts w:cs="Arial"/>
          <w:szCs w:val="18"/>
          <w:lang w:val="en-GB"/>
        </w:rPr>
        <w:t>totality of reduced nitrogen was detected in the gas phase trap</w:t>
      </w:r>
      <w:r w:rsidR="00971113" w:rsidRPr="0028049B">
        <w:rPr>
          <w:rFonts w:cs="Arial"/>
          <w:szCs w:val="18"/>
          <w:lang w:val="en-GB"/>
        </w:rPr>
        <w:t xml:space="preserve"> (cathode)</w:t>
      </w:r>
      <w:r w:rsidR="006836C5" w:rsidRPr="0028049B">
        <w:rPr>
          <w:rFonts w:cs="Arial"/>
          <w:szCs w:val="18"/>
          <w:lang w:val="en-GB"/>
        </w:rPr>
        <w:t>.</w:t>
      </w:r>
    </w:p>
    <w:p w14:paraId="413C8C20" w14:textId="0089D634" w:rsidR="009632F1" w:rsidRPr="0028049B" w:rsidRDefault="00CD3A61" w:rsidP="00C43915">
      <w:pPr>
        <w:pStyle w:val="CETBodytext"/>
        <w:rPr>
          <w:lang w:val="en-GB"/>
        </w:rPr>
      </w:pPr>
      <w:r w:rsidRPr="0028049B">
        <w:rPr>
          <w:noProof/>
          <w:lang w:val="en-GB"/>
        </w:rPr>
        <mc:AlternateContent>
          <mc:Choice Requires="wps">
            <w:drawing>
              <wp:anchor distT="0" distB="0" distL="114300" distR="114300" simplePos="0" relativeHeight="251665408" behindDoc="0" locked="0" layoutInCell="1" allowOverlap="1" wp14:anchorId="42EB35C6" wp14:editId="6C009381">
                <wp:simplePos x="0" y="0"/>
                <wp:positionH relativeFrom="column">
                  <wp:posOffset>3116342</wp:posOffset>
                </wp:positionH>
                <wp:positionV relativeFrom="paragraph">
                  <wp:posOffset>206040</wp:posOffset>
                </wp:positionV>
                <wp:extent cx="684397" cy="431956"/>
                <wp:effectExtent l="0" t="0" r="0" b="6350"/>
                <wp:wrapNone/>
                <wp:docPr id="1794605674" name="Casella di testo 4"/>
                <wp:cNvGraphicFramePr/>
                <a:graphic xmlns:a="http://schemas.openxmlformats.org/drawingml/2006/main">
                  <a:graphicData uri="http://schemas.microsoft.com/office/word/2010/wordprocessingShape">
                    <wps:wsp>
                      <wps:cNvSpPr txBox="1"/>
                      <wps:spPr>
                        <a:xfrm>
                          <a:off x="0" y="0"/>
                          <a:ext cx="684397" cy="431956"/>
                        </a:xfrm>
                        <a:prstGeom prst="rect">
                          <a:avLst/>
                        </a:prstGeom>
                        <a:noFill/>
                        <a:ln w="6350">
                          <a:noFill/>
                        </a:ln>
                      </wps:spPr>
                      <wps:txbx>
                        <w:txbxContent>
                          <w:p w14:paraId="28C4322D" w14:textId="28BFC5FD" w:rsidR="00CD3A61" w:rsidRPr="004F4A15" w:rsidRDefault="00CD3A61" w:rsidP="00CD3A61">
                            <w:pPr>
                              <w:rPr>
                                <w:rFonts w:cs="Arial"/>
                                <w:b/>
                                <w:bCs/>
                                <w:lang w:val="it-IT"/>
                              </w:rPr>
                            </w:pPr>
                            <w:r>
                              <w:rPr>
                                <w:rFonts w:cs="Arial"/>
                                <w:b/>
                                <w:bCs/>
                                <w:lang w:val="it-IT"/>
                              </w:rPr>
                              <w:t>b</w:t>
                            </w:r>
                            <w:r w:rsidRPr="004F4A15">
                              <w:rPr>
                                <w:rFonts w:cs="Arial"/>
                                <w:b/>
                                <w:bCs/>
                                <w:lang w:val="it-I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B35C6" id="_x0000_s1028" type="#_x0000_t202" style="position:absolute;left:0;text-align:left;margin-left:245.4pt;margin-top:16.2pt;width:53.9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" filled="f" stroked="f" strokeweight=".5pt">
                <v:textbox>
                  <w:txbxContent>
                    <w:p w14:paraId="28C4322D" w14:textId="28BFC5FD" w:rsidR="00CD3A61" w:rsidRPr="004F4A15" w:rsidRDefault="00CD3A61" w:rsidP="00CD3A61">
                      <w:pPr>
                        <w:rPr>
                          <w:rFonts w:cs="Arial"/>
                          <w:b/>
                          <w:bCs/>
                          <w:lang w:val="it-IT"/>
                        </w:rPr>
                      </w:pPr>
                      <w:r>
                        <w:rPr>
                          <w:rFonts w:cs="Arial"/>
                          <w:b/>
                          <w:bCs/>
                          <w:lang w:val="it-IT"/>
                        </w:rPr>
                        <w:t>b</w:t>
                      </w:r>
                      <w:r w:rsidRPr="004F4A15">
                        <w:rPr>
                          <w:rFonts w:cs="Arial"/>
                          <w:b/>
                          <w:bCs/>
                          <w:lang w:val="it-IT"/>
                        </w:rPr>
                        <w:t>)</w:t>
                      </w:r>
                    </w:p>
                  </w:txbxContent>
                </v:textbox>
              </v:shape>
            </w:pict>
          </mc:Fallback>
        </mc:AlternateContent>
      </w:r>
      <w:r w:rsidRPr="0028049B">
        <w:rPr>
          <w:noProof/>
          <w:lang w:val="en-GB"/>
        </w:rPr>
        <mc:AlternateContent>
          <mc:Choice Requires="wps">
            <w:drawing>
              <wp:anchor distT="0" distB="0" distL="114300" distR="114300" simplePos="0" relativeHeight="251663360" behindDoc="0" locked="0" layoutInCell="1" allowOverlap="1" wp14:anchorId="483EE916" wp14:editId="6CFF87D6">
                <wp:simplePos x="0" y="0"/>
                <wp:positionH relativeFrom="column">
                  <wp:posOffset>445754</wp:posOffset>
                </wp:positionH>
                <wp:positionV relativeFrom="paragraph">
                  <wp:posOffset>206126</wp:posOffset>
                </wp:positionV>
                <wp:extent cx="684397" cy="431956"/>
                <wp:effectExtent l="0" t="0" r="0" b="6350"/>
                <wp:wrapNone/>
                <wp:docPr id="2093956901" name="Casella di testo 4"/>
                <wp:cNvGraphicFramePr/>
                <a:graphic xmlns:a="http://schemas.openxmlformats.org/drawingml/2006/main">
                  <a:graphicData uri="http://schemas.microsoft.com/office/word/2010/wordprocessingShape">
                    <wps:wsp>
                      <wps:cNvSpPr txBox="1"/>
                      <wps:spPr>
                        <a:xfrm>
                          <a:off x="0" y="0"/>
                          <a:ext cx="684397" cy="431956"/>
                        </a:xfrm>
                        <a:prstGeom prst="rect">
                          <a:avLst/>
                        </a:prstGeom>
                        <a:noFill/>
                        <a:ln w="6350">
                          <a:noFill/>
                        </a:ln>
                      </wps:spPr>
                      <wps:txbx>
                        <w:txbxContent>
                          <w:p w14:paraId="28EE29BA" w14:textId="77777777" w:rsidR="00CD3A61" w:rsidRPr="004F4A15" w:rsidRDefault="00CD3A61" w:rsidP="00CD3A61">
                            <w:pPr>
                              <w:rPr>
                                <w:rFonts w:cs="Arial"/>
                                <w:b/>
                                <w:bCs/>
                                <w:lang w:val="it-IT"/>
                              </w:rPr>
                            </w:pPr>
                            <w:r w:rsidRPr="004F4A15">
                              <w:rPr>
                                <w:rFonts w:cs="Arial"/>
                                <w:b/>
                                <w:bCs/>
                                <w:lang w:val="it-I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EE916" id="_x0000_s1029" type="#_x0000_t202" style="position:absolute;left:0;text-align:left;margin-left:35.1pt;margin-top:16.25pt;width:53.9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" filled="f" stroked="f" strokeweight=".5pt">
                <v:textbox>
                  <w:txbxContent>
                    <w:p w14:paraId="28EE29BA" w14:textId="77777777" w:rsidR="00CD3A61" w:rsidRPr="004F4A15" w:rsidRDefault="00CD3A61" w:rsidP="00CD3A61">
                      <w:pPr>
                        <w:rPr>
                          <w:rFonts w:cs="Arial"/>
                          <w:b/>
                          <w:bCs/>
                          <w:lang w:val="it-IT"/>
                        </w:rPr>
                      </w:pPr>
                      <w:r w:rsidRPr="004F4A15">
                        <w:rPr>
                          <w:rFonts w:cs="Arial"/>
                          <w:b/>
                          <w:bCs/>
                          <w:lang w:val="it-IT"/>
                        </w:rPr>
                        <w:t>a)</w:t>
                      </w:r>
                    </w:p>
                  </w:txbxContent>
                </v:textbox>
              </v:shape>
            </w:pict>
          </mc:Fallback>
        </mc:AlternateContent>
      </w:r>
      <w:r w:rsidR="00A46BFD" w:rsidRPr="0028049B">
        <w:rPr>
          <w:noProof/>
          <w:lang w:val="en-GB"/>
        </w:rPr>
        <w:drawing>
          <wp:inline distT="0" distB="0" distL="0" distR="0" wp14:anchorId="10A310F6" wp14:editId="1602C5A0">
            <wp:extent cx="2631004" cy="2159635"/>
            <wp:effectExtent l="0" t="0" r="0" b="0"/>
            <wp:docPr id="4986777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6661"/>
                    <a:stretch/>
                  </pic:blipFill>
                  <pic:spPr bwMode="auto">
                    <a:xfrm>
                      <a:off x="0" y="0"/>
                      <a:ext cx="2631449" cy="2160000"/>
                    </a:xfrm>
                    <a:prstGeom prst="rect">
                      <a:avLst/>
                    </a:prstGeom>
                    <a:noFill/>
                    <a:ln>
                      <a:noFill/>
                    </a:ln>
                    <a:extLst>
                      <a:ext uri="{53640926-AAD7-44D8-BBD7-CCE9431645EC}">
                        <a14:shadowObscured xmlns:a14="http://schemas.microsoft.com/office/drawing/2010/main"/>
                      </a:ext>
                    </a:extLst>
                  </pic:spPr>
                </pic:pic>
              </a:graphicData>
            </a:graphic>
          </wp:inline>
        </w:drawing>
      </w:r>
      <w:r w:rsidR="00BE0073" w:rsidRPr="0028049B">
        <w:rPr>
          <w:lang w:val="en-GB"/>
        </w:rPr>
        <w:t xml:space="preserve"> </w:t>
      </w:r>
      <w:r w:rsidR="001B4F77" w:rsidRPr="0028049B">
        <w:rPr>
          <w:noProof/>
          <w:lang w:val="en-GB"/>
        </w:rPr>
        <w:drawing>
          <wp:inline distT="0" distB="0" distL="0" distR="0" wp14:anchorId="4D6D1133" wp14:editId="4B7E2721">
            <wp:extent cx="2819237" cy="2160000"/>
            <wp:effectExtent l="0" t="0" r="0" b="0"/>
            <wp:docPr id="214080466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9237" cy="2160000"/>
                    </a:xfrm>
                    <a:prstGeom prst="rect">
                      <a:avLst/>
                    </a:prstGeom>
                    <a:noFill/>
                    <a:ln>
                      <a:noFill/>
                    </a:ln>
                  </pic:spPr>
                </pic:pic>
              </a:graphicData>
            </a:graphic>
          </wp:inline>
        </w:drawing>
      </w:r>
    </w:p>
    <w:p w14:paraId="5B7F3F0E" w14:textId="0C43FE1A" w:rsidR="0017292E" w:rsidRPr="0028049B" w:rsidRDefault="00EF5800" w:rsidP="00283575">
      <w:pPr>
        <w:pStyle w:val="CETBodytext"/>
        <w:jc w:val="left"/>
        <w:rPr>
          <w:rStyle w:val="CETCaptionCarattere"/>
        </w:rPr>
      </w:pPr>
      <w:r w:rsidRPr="0028049B">
        <w:rPr>
          <w:rStyle w:val="CETCaptionCarattere"/>
        </w:rPr>
        <w:t xml:space="preserve">Figure </w:t>
      </w:r>
      <w:r w:rsidR="001E7A1D" w:rsidRPr="0028049B">
        <w:rPr>
          <w:rStyle w:val="CETCaptionCarattere"/>
        </w:rPr>
        <w:t>4</w:t>
      </w:r>
      <w:r w:rsidRPr="0028049B">
        <w:rPr>
          <w:rStyle w:val="CETCaptionCarattere"/>
        </w:rPr>
        <w:t xml:space="preserve">: </w:t>
      </w:r>
      <w:r w:rsidR="008F5CD3" w:rsidRPr="0028049B">
        <w:rPr>
          <w:rStyle w:val="CETCaptionCarattere"/>
        </w:rPr>
        <w:t xml:space="preserve">Ammonia production for </w:t>
      </w:r>
      <w:r w:rsidRPr="0028049B">
        <w:rPr>
          <w:rStyle w:val="CETCaptionCarattere"/>
        </w:rPr>
        <w:t>a) Al</w:t>
      </w:r>
      <w:r w:rsidRPr="0028049B">
        <w:rPr>
          <w:rStyle w:val="CETCaptionCarattere"/>
          <w:vertAlign w:val="subscript"/>
        </w:rPr>
        <w:t>2</w:t>
      </w:r>
      <w:r w:rsidRPr="0028049B">
        <w:rPr>
          <w:rStyle w:val="CETCaptionCarattere"/>
        </w:rPr>
        <w:t>O</w:t>
      </w:r>
      <w:r w:rsidRPr="0028049B">
        <w:rPr>
          <w:rStyle w:val="CETCaptionCarattere"/>
          <w:vertAlign w:val="subscript"/>
        </w:rPr>
        <w:t>3</w:t>
      </w:r>
      <w:r w:rsidRPr="0028049B">
        <w:rPr>
          <w:rStyle w:val="CETCaptionCarattere"/>
        </w:rPr>
        <w:t>-based catalysts and b) for CNTs-based catalysts.</w:t>
      </w:r>
    </w:p>
    <w:p w14:paraId="010B406E" w14:textId="77777777" w:rsidR="00C8225C" w:rsidRPr="0028049B" w:rsidRDefault="00C8225C" w:rsidP="00283575">
      <w:pPr>
        <w:pStyle w:val="CETBodytext"/>
        <w:jc w:val="left"/>
        <w:rPr>
          <w:i/>
          <w:lang w:val="en-GB"/>
        </w:rPr>
      </w:pPr>
    </w:p>
    <w:p w14:paraId="17C13D16" w14:textId="338FB645" w:rsidR="00CC0786" w:rsidRDefault="004065E1" w:rsidP="004065E1">
      <w:pPr>
        <w:pStyle w:val="CETBodytext"/>
        <w:rPr>
          <w:lang w:val="en-GB"/>
        </w:rPr>
      </w:pPr>
      <w:r w:rsidRPr="0028049B">
        <w:rPr>
          <w:lang w:val="en-GB"/>
        </w:rPr>
        <w:t xml:space="preserve">The results shown in </w:t>
      </w:r>
      <w:r w:rsidR="00A842B6">
        <w:rPr>
          <w:lang w:val="en-GB"/>
        </w:rPr>
        <w:t>F</w:t>
      </w:r>
      <w:r w:rsidRPr="0028049B">
        <w:rPr>
          <w:lang w:val="en-GB"/>
        </w:rPr>
        <w:t xml:space="preserve">igure </w:t>
      </w:r>
      <w:r w:rsidR="001E7A1D" w:rsidRPr="0028049B">
        <w:rPr>
          <w:lang w:val="en-GB"/>
        </w:rPr>
        <w:t>4</w:t>
      </w:r>
      <w:r w:rsidRPr="0028049B">
        <w:rPr>
          <w:lang w:val="en-GB"/>
        </w:rPr>
        <w:t>a for alumina-based catalysts denote a predominantly best performance in gas-phase, in terms of ammonia productivity at -0.3</w:t>
      </w:r>
      <w:r w:rsidR="00A842B6">
        <w:rPr>
          <w:lang w:val="en-GB"/>
        </w:rPr>
        <w:t xml:space="preserve"> </w:t>
      </w:r>
      <w:r w:rsidRPr="0028049B">
        <w:rPr>
          <w:lang w:val="en-GB"/>
        </w:rPr>
        <w:t>V vs</w:t>
      </w:r>
      <w:r w:rsidR="00A842B6">
        <w:rPr>
          <w:lang w:val="en-GB"/>
        </w:rPr>
        <w:t>.</w:t>
      </w:r>
      <w:r w:rsidRPr="0028049B">
        <w:rPr>
          <w:lang w:val="en-GB"/>
        </w:rPr>
        <w:t xml:space="preserve"> RHE with the co-doped catalyst Ru-Fe/Al</w:t>
      </w:r>
      <w:r w:rsidRPr="0028049B">
        <w:rPr>
          <w:vertAlign w:val="subscript"/>
          <w:lang w:val="en-GB"/>
        </w:rPr>
        <w:t>2</w:t>
      </w:r>
      <w:r w:rsidRPr="0028049B">
        <w:rPr>
          <w:lang w:val="en-GB"/>
        </w:rPr>
        <w:t>O</w:t>
      </w:r>
      <w:r w:rsidRPr="0028049B">
        <w:rPr>
          <w:vertAlign w:val="subscript"/>
          <w:lang w:val="en-GB"/>
        </w:rPr>
        <w:t>3</w:t>
      </w:r>
      <w:r w:rsidR="00097F5F">
        <w:rPr>
          <w:lang w:val="en-GB"/>
        </w:rPr>
        <w:t xml:space="preserve">, </w:t>
      </w:r>
      <w:r w:rsidRPr="0028049B">
        <w:rPr>
          <w:lang w:val="en-GB"/>
        </w:rPr>
        <w:t>yielded the highest observed catalytic performance (1.1</w:t>
      </w:r>
      <w:r w:rsidR="006A3F07" w:rsidRPr="0028049B">
        <w:rPr>
          <w:lang w:val="en-GB"/>
        </w:rPr>
        <w:t>6</w:t>
      </w:r>
      <w:r w:rsidRPr="0028049B">
        <w:rPr>
          <w:lang w:val="en-GB"/>
        </w:rPr>
        <w:t xml:space="preserve"> </w:t>
      </w:r>
      <w:r w:rsidRPr="0028049B">
        <w:rPr>
          <w:rFonts w:ascii="Symbol" w:hAnsi="Symbol"/>
          <w:lang w:val="en-GB"/>
        </w:rPr>
        <w:t></w:t>
      </w:r>
      <w:r w:rsidRPr="0028049B">
        <w:rPr>
          <w:lang w:val="en-GB"/>
        </w:rPr>
        <w:t>g mg</w:t>
      </w:r>
      <w:r w:rsidRPr="0028049B">
        <w:rPr>
          <w:vertAlign w:val="subscript"/>
          <w:lang w:val="en-GB"/>
        </w:rPr>
        <w:t>cat</w:t>
      </w:r>
      <w:r w:rsidRPr="0028049B">
        <w:rPr>
          <w:vertAlign w:val="superscript"/>
          <w:lang w:val="en-GB"/>
        </w:rPr>
        <w:t>-1</w:t>
      </w:r>
      <w:r w:rsidRPr="0028049B">
        <w:rPr>
          <w:lang w:val="en-GB"/>
        </w:rPr>
        <w:t xml:space="preserve"> h</w:t>
      </w:r>
      <w:r w:rsidRPr="0028049B">
        <w:rPr>
          <w:vertAlign w:val="superscript"/>
          <w:lang w:val="en-GB"/>
        </w:rPr>
        <w:t>-1</w:t>
      </w:r>
      <w:r w:rsidRPr="0028049B">
        <w:rPr>
          <w:lang w:val="en-GB"/>
        </w:rPr>
        <w:t>) with a Faradaic Efficiency (FE) of 0.5</w:t>
      </w:r>
      <w:r w:rsidR="006A3F07" w:rsidRPr="0028049B">
        <w:rPr>
          <w:lang w:val="en-GB"/>
        </w:rPr>
        <w:t>5</w:t>
      </w:r>
      <w:r w:rsidRPr="0028049B">
        <w:rPr>
          <w:lang w:val="en-GB"/>
        </w:rPr>
        <w:t xml:space="preserve">% and a current density of </w:t>
      </w:r>
      <w:r w:rsidR="00322F2B">
        <w:rPr>
          <w:lang w:val="en-GB"/>
        </w:rPr>
        <w:t>-</w:t>
      </w:r>
      <w:r w:rsidRPr="0028049B">
        <w:rPr>
          <w:lang w:val="en-GB"/>
        </w:rPr>
        <w:t xml:space="preserve">294 </w:t>
      </w:r>
      <w:r w:rsidRPr="0028049B">
        <w:rPr>
          <w:rFonts w:ascii="Symbol" w:hAnsi="Symbol"/>
          <w:lang w:val="en-GB"/>
        </w:rPr>
        <w:t></w:t>
      </w:r>
      <w:r w:rsidRPr="0028049B">
        <w:rPr>
          <w:lang w:val="en-GB"/>
        </w:rPr>
        <w:t>A cm</w:t>
      </w:r>
      <w:r w:rsidRPr="0028049B">
        <w:rPr>
          <w:vertAlign w:val="superscript"/>
          <w:lang w:val="en-GB"/>
        </w:rPr>
        <w:t>-2</w:t>
      </w:r>
      <w:r w:rsidRPr="0028049B">
        <w:rPr>
          <w:lang w:val="en-GB"/>
        </w:rPr>
        <w:t xml:space="preserve">  at -0.3 V vs</w:t>
      </w:r>
      <w:r w:rsidR="00097F5F">
        <w:rPr>
          <w:lang w:val="en-GB"/>
        </w:rPr>
        <w:t>.</w:t>
      </w:r>
      <w:r w:rsidRPr="0028049B">
        <w:rPr>
          <w:lang w:val="en-GB"/>
        </w:rPr>
        <w:t xml:space="preserve"> RHE. In </w:t>
      </w:r>
      <w:r w:rsidR="00097F5F">
        <w:rPr>
          <w:lang w:val="en-GB"/>
        </w:rPr>
        <w:t>F</w:t>
      </w:r>
      <w:r w:rsidRPr="0028049B">
        <w:rPr>
          <w:lang w:val="en-GB"/>
        </w:rPr>
        <w:t xml:space="preserve">igure </w:t>
      </w:r>
      <w:r w:rsidR="001E7A1D" w:rsidRPr="0028049B">
        <w:rPr>
          <w:lang w:val="en-GB"/>
        </w:rPr>
        <w:t>4</w:t>
      </w:r>
      <w:r w:rsidRPr="0028049B">
        <w:rPr>
          <w:lang w:val="en-GB"/>
        </w:rPr>
        <w:t>b for functionalized-</w:t>
      </w:r>
      <w:r w:rsidR="00097F5F">
        <w:rPr>
          <w:lang w:val="en-GB"/>
        </w:rPr>
        <w:t>CNTs</w:t>
      </w:r>
      <w:r w:rsidRPr="0028049B">
        <w:rPr>
          <w:lang w:val="en-GB"/>
        </w:rPr>
        <w:t>-based catalysts</w:t>
      </w:r>
      <w:r w:rsidR="00097F5F">
        <w:rPr>
          <w:lang w:val="en-GB"/>
        </w:rPr>
        <w:t>,</w:t>
      </w:r>
      <w:r w:rsidRPr="0028049B">
        <w:rPr>
          <w:lang w:val="en-GB"/>
        </w:rPr>
        <w:t xml:space="preserve"> Fe</w:t>
      </w:r>
      <w:r w:rsidRPr="0028049B">
        <w:rPr>
          <w:vertAlign w:val="subscript"/>
          <w:lang w:val="en-GB"/>
        </w:rPr>
        <w:t>2</w:t>
      </w:r>
      <w:r w:rsidRPr="0028049B">
        <w:rPr>
          <w:lang w:val="en-GB"/>
        </w:rPr>
        <w:t>O</w:t>
      </w:r>
      <w:r w:rsidR="009F3808" w:rsidRPr="0028049B">
        <w:rPr>
          <w:vertAlign w:val="subscript"/>
          <w:lang w:val="en-GB"/>
        </w:rPr>
        <w:t>3</w:t>
      </w:r>
      <w:r w:rsidRPr="0028049B">
        <w:rPr>
          <w:lang w:val="en-GB"/>
        </w:rPr>
        <w:t>/CNTs shows the best performance of 0.6</w:t>
      </w:r>
      <w:r w:rsidR="006E4BC1" w:rsidRPr="0028049B">
        <w:rPr>
          <w:lang w:val="en-GB"/>
        </w:rPr>
        <w:t>2</w:t>
      </w:r>
      <w:r w:rsidRPr="0028049B">
        <w:rPr>
          <w:lang w:val="en-GB"/>
        </w:rPr>
        <w:t xml:space="preserve"> </w:t>
      </w:r>
      <w:r w:rsidRPr="0028049B">
        <w:rPr>
          <w:rFonts w:ascii="Symbol" w:hAnsi="Symbol"/>
          <w:lang w:val="en-GB"/>
        </w:rPr>
        <w:t></w:t>
      </w:r>
      <w:r w:rsidRPr="0028049B">
        <w:rPr>
          <w:lang w:val="en-GB"/>
        </w:rPr>
        <w:t>g mg</w:t>
      </w:r>
      <w:r w:rsidRPr="0028049B">
        <w:rPr>
          <w:vertAlign w:val="subscript"/>
          <w:lang w:val="en-GB"/>
        </w:rPr>
        <w:t>cat</w:t>
      </w:r>
      <w:r w:rsidRPr="0028049B">
        <w:rPr>
          <w:vertAlign w:val="superscript"/>
          <w:lang w:val="en-GB"/>
        </w:rPr>
        <w:t>-1</w:t>
      </w:r>
      <w:r w:rsidRPr="0028049B">
        <w:rPr>
          <w:lang w:val="en-GB"/>
        </w:rPr>
        <w:t xml:space="preserve"> h</w:t>
      </w:r>
      <w:r w:rsidRPr="0028049B">
        <w:rPr>
          <w:vertAlign w:val="superscript"/>
          <w:lang w:val="en-GB"/>
        </w:rPr>
        <w:t>-1</w:t>
      </w:r>
      <w:r w:rsidRPr="0028049B">
        <w:rPr>
          <w:lang w:val="en-GB"/>
        </w:rPr>
        <w:t xml:space="preserve"> with a FE of 1.5% and a current density</w:t>
      </w:r>
      <w:r w:rsidR="00097F5F">
        <w:rPr>
          <w:lang w:val="en-GB"/>
        </w:rPr>
        <w:t xml:space="preserve"> of</w:t>
      </w:r>
      <w:r w:rsidRPr="0028049B">
        <w:rPr>
          <w:lang w:val="en-GB"/>
        </w:rPr>
        <w:t xml:space="preserve"> </w:t>
      </w:r>
      <w:r w:rsidR="00322F2B">
        <w:rPr>
          <w:lang w:val="en-GB"/>
        </w:rPr>
        <w:t>-</w:t>
      </w:r>
      <w:r w:rsidRPr="0028049B">
        <w:rPr>
          <w:lang w:val="en-GB"/>
        </w:rPr>
        <w:t>4</w:t>
      </w:r>
      <w:r w:rsidR="00BC273C" w:rsidRPr="0028049B">
        <w:rPr>
          <w:lang w:val="en-GB"/>
        </w:rPr>
        <w:t>0</w:t>
      </w:r>
      <w:r w:rsidRPr="0028049B">
        <w:rPr>
          <w:lang w:val="en-GB"/>
        </w:rPr>
        <w:t xml:space="preserve"> </w:t>
      </w:r>
      <w:r w:rsidRPr="0028049B">
        <w:rPr>
          <w:rFonts w:ascii="Symbol" w:hAnsi="Symbol"/>
          <w:lang w:val="en-GB"/>
        </w:rPr>
        <w:t></w:t>
      </w:r>
      <w:r w:rsidRPr="0028049B">
        <w:rPr>
          <w:lang w:val="en-GB"/>
        </w:rPr>
        <w:t>A cm</w:t>
      </w:r>
      <w:r w:rsidRPr="0028049B">
        <w:rPr>
          <w:vertAlign w:val="superscript"/>
          <w:lang w:val="en-GB"/>
        </w:rPr>
        <w:t>-2</w:t>
      </w:r>
      <w:r w:rsidRPr="0028049B">
        <w:rPr>
          <w:lang w:val="en-GB"/>
        </w:rPr>
        <w:t xml:space="preserve"> at -0.3</w:t>
      </w:r>
      <w:r w:rsidR="00097F5F">
        <w:rPr>
          <w:lang w:val="en-GB"/>
        </w:rPr>
        <w:t xml:space="preserve"> </w:t>
      </w:r>
      <w:r w:rsidRPr="0028049B">
        <w:rPr>
          <w:lang w:val="en-GB"/>
        </w:rPr>
        <w:t>V vs</w:t>
      </w:r>
      <w:r w:rsidR="00097F5F">
        <w:rPr>
          <w:lang w:val="en-GB"/>
        </w:rPr>
        <w:t>.</w:t>
      </w:r>
      <w:r w:rsidRPr="0028049B">
        <w:rPr>
          <w:lang w:val="en-GB"/>
        </w:rPr>
        <w:t xml:space="preserve"> RHE. Productivity in Ru-Fe co-doped alumina catalyst is 1.</w:t>
      </w:r>
      <w:r w:rsidR="00525AF1" w:rsidRPr="0028049B">
        <w:rPr>
          <w:lang w:val="en-GB"/>
        </w:rPr>
        <w:t>87</w:t>
      </w:r>
      <w:r w:rsidRPr="0028049B">
        <w:rPr>
          <w:lang w:val="en-GB"/>
        </w:rPr>
        <w:t xml:space="preserve"> times more than Iron (III) oxide on CNTs. The presence of ruthenium reduces the onset potential, while </w:t>
      </w:r>
      <w:r w:rsidR="00BC54CD" w:rsidRPr="0028049B">
        <w:rPr>
          <w:lang w:val="en-GB"/>
        </w:rPr>
        <w:t>iron</w:t>
      </w:r>
      <w:r w:rsidRPr="0028049B">
        <w:rPr>
          <w:lang w:val="en-GB"/>
        </w:rPr>
        <w:t xml:space="preserve"> enhances productivity. In the case of alumina, the partial substitution results in beneficial effects on productivity and the main values for produced ammonia are reported in table 1.</w:t>
      </w:r>
    </w:p>
    <w:p w14:paraId="39CC9BA5" w14:textId="77777777" w:rsidR="00141337" w:rsidRPr="0028049B" w:rsidRDefault="00141337" w:rsidP="00141337">
      <w:pPr>
        <w:pStyle w:val="CETBodytext"/>
        <w:rPr>
          <w:lang w:val="en-GB"/>
        </w:rPr>
      </w:pPr>
    </w:p>
    <w:p w14:paraId="797BDDAF" w14:textId="77777777" w:rsidR="00141337" w:rsidRPr="0028049B" w:rsidRDefault="00141337" w:rsidP="00141337">
      <w:pPr>
        <w:pStyle w:val="CETBodytext"/>
        <w:rPr>
          <w:lang w:val="en-GB"/>
        </w:rPr>
      </w:pPr>
      <w:r w:rsidRPr="0028049B">
        <w:rPr>
          <w:i/>
          <w:lang w:val="en-GB"/>
        </w:rPr>
        <w:t>Table 1: Comparison of the best catalyst results for electrochemical approach</w:t>
      </w:r>
    </w:p>
    <w:tbl>
      <w:tblPr>
        <w:tblpPr w:leftFromText="141" w:rightFromText="141" w:vertAnchor="text" w:horzAnchor="margin" w:tblpY="165"/>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88"/>
        <w:gridCol w:w="1447"/>
        <w:gridCol w:w="1560"/>
      </w:tblGrid>
      <w:tr w:rsidR="00141337" w:rsidRPr="0028049B" w14:paraId="1B6225CC" w14:textId="77777777" w:rsidTr="005E6AF9">
        <w:tc>
          <w:tcPr>
            <w:tcW w:w="1388" w:type="dxa"/>
            <w:tcBorders>
              <w:top w:val="single" w:sz="12" w:space="0" w:color="008000"/>
              <w:bottom w:val="single" w:sz="6" w:space="0" w:color="008000"/>
            </w:tcBorders>
            <w:shd w:val="clear" w:color="auto" w:fill="FFFFFF"/>
          </w:tcPr>
          <w:p w14:paraId="1FF46D20" w14:textId="77777777" w:rsidR="00141337" w:rsidRPr="0028049B" w:rsidRDefault="00141337" w:rsidP="005E6AF9">
            <w:pPr>
              <w:pStyle w:val="CETBodytext"/>
              <w:jc w:val="center"/>
              <w:rPr>
                <w:b/>
                <w:bCs/>
                <w:lang w:val="en-GB"/>
              </w:rPr>
            </w:pPr>
            <w:r w:rsidRPr="0028049B">
              <w:rPr>
                <w:b/>
                <w:bCs/>
                <w:lang w:val="en-GB"/>
              </w:rPr>
              <w:t>Catalysts</w:t>
            </w:r>
          </w:p>
        </w:tc>
        <w:tc>
          <w:tcPr>
            <w:tcW w:w="1447" w:type="dxa"/>
            <w:tcBorders>
              <w:top w:val="single" w:sz="12" w:space="0" w:color="008000"/>
              <w:bottom w:val="single" w:sz="6" w:space="0" w:color="008000"/>
            </w:tcBorders>
            <w:shd w:val="clear" w:color="auto" w:fill="FFFFFF"/>
          </w:tcPr>
          <w:p w14:paraId="7F0B237C" w14:textId="77777777" w:rsidR="00141337" w:rsidRPr="0028049B" w:rsidRDefault="00141337" w:rsidP="005E6AF9">
            <w:pPr>
              <w:pStyle w:val="CETBodytext"/>
              <w:jc w:val="center"/>
              <w:rPr>
                <w:lang w:val="en-GB"/>
              </w:rPr>
            </w:pPr>
            <w:r w:rsidRPr="0028049B">
              <w:rPr>
                <w:lang w:val="en-GB"/>
              </w:rPr>
              <w:t>NH</w:t>
            </w:r>
            <w:r w:rsidRPr="0028049B">
              <w:rPr>
                <w:vertAlign w:val="subscript"/>
                <w:lang w:val="en-GB"/>
              </w:rPr>
              <w:t>3</w:t>
            </w:r>
            <w:r w:rsidRPr="0028049B">
              <w:rPr>
                <w:lang w:val="en-GB"/>
              </w:rPr>
              <w:t xml:space="preserve"> Productivity</w:t>
            </w:r>
          </w:p>
          <w:p w14:paraId="695D5B75" w14:textId="77777777" w:rsidR="00141337" w:rsidRPr="0028049B" w:rsidRDefault="00141337" w:rsidP="005E6AF9">
            <w:pPr>
              <w:pStyle w:val="CETBodytext"/>
              <w:jc w:val="center"/>
              <w:rPr>
                <w:lang w:val="en-GB"/>
              </w:rPr>
            </w:pPr>
            <w:r w:rsidRPr="0028049B">
              <w:rPr>
                <w:lang w:val="en-GB"/>
              </w:rPr>
              <w:t>(</w:t>
            </w:r>
            <w:r w:rsidRPr="0028049B">
              <w:rPr>
                <w:rFonts w:ascii="Symbol" w:hAnsi="Symbol"/>
                <w:lang w:val="en-GB"/>
              </w:rPr>
              <w:t>m</w:t>
            </w:r>
            <w:r w:rsidRPr="0028049B">
              <w:rPr>
                <w:lang w:val="en-GB"/>
              </w:rPr>
              <w:t>g mg</w:t>
            </w:r>
            <w:r w:rsidRPr="0028049B">
              <w:rPr>
                <w:vertAlign w:val="subscript"/>
                <w:lang w:val="en-GB"/>
              </w:rPr>
              <w:t>cat</w:t>
            </w:r>
            <w:r w:rsidRPr="0028049B">
              <w:rPr>
                <w:vertAlign w:val="superscript"/>
                <w:lang w:val="en-GB"/>
              </w:rPr>
              <w:t>-1</w:t>
            </w:r>
            <w:r w:rsidRPr="0028049B">
              <w:rPr>
                <w:lang w:val="en-GB"/>
              </w:rPr>
              <w:t xml:space="preserve"> h</w:t>
            </w:r>
            <w:r w:rsidRPr="0028049B">
              <w:rPr>
                <w:vertAlign w:val="superscript"/>
                <w:lang w:val="en-GB"/>
              </w:rPr>
              <w:t>-1</w:t>
            </w:r>
            <w:r w:rsidRPr="0028049B">
              <w:rPr>
                <w:lang w:val="en-GB"/>
              </w:rPr>
              <w:t>)</w:t>
            </w:r>
          </w:p>
        </w:tc>
        <w:tc>
          <w:tcPr>
            <w:tcW w:w="1560" w:type="dxa"/>
            <w:tcBorders>
              <w:top w:val="single" w:sz="12" w:space="0" w:color="008000"/>
              <w:bottom w:val="single" w:sz="6" w:space="0" w:color="008000"/>
            </w:tcBorders>
            <w:shd w:val="clear" w:color="auto" w:fill="FFFFFF"/>
          </w:tcPr>
          <w:p w14:paraId="3D8A8AD2" w14:textId="77777777" w:rsidR="00141337" w:rsidRPr="0028049B" w:rsidRDefault="00141337" w:rsidP="005E6AF9">
            <w:pPr>
              <w:pStyle w:val="CETBodytext"/>
              <w:jc w:val="center"/>
              <w:rPr>
                <w:lang w:val="en-GB"/>
              </w:rPr>
            </w:pPr>
            <w:r w:rsidRPr="0028049B">
              <w:rPr>
                <w:lang w:val="en-GB"/>
              </w:rPr>
              <w:t>Faradaic Efficiency</w:t>
            </w:r>
          </w:p>
          <w:p w14:paraId="06FC62AC" w14:textId="77777777" w:rsidR="00141337" w:rsidRPr="0028049B" w:rsidRDefault="00141337" w:rsidP="005E6AF9">
            <w:pPr>
              <w:pStyle w:val="CETBodytext"/>
              <w:jc w:val="center"/>
              <w:rPr>
                <w:lang w:val="en-GB"/>
              </w:rPr>
            </w:pPr>
            <w:r w:rsidRPr="0028049B">
              <w:rPr>
                <w:lang w:val="en-GB"/>
              </w:rPr>
              <w:t>(%)</w:t>
            </w:r>
          </w:p>
        </w:tc>
      </w:tr>
      <w:tr w:rsidR="00141337" w:rsidRPr="0028049B" w14:paraId="24B6CE82" w14:textId="77777777" w:rsidTr="005E6AF9">
        <w:tc>
          <w:tcPr>
            <w:tcW w:w="1388" w:type="dxa"/>
            <w:shd w:val="clear" w:color="auto" w:fill="FFFFFF"/>
          </w:tcPr>
          <w:p w14:paraId="1F50B743" w14:textId="77777777" w:rsidR="00141337" w:rsidRPr="0028049B" w:rsidRDefault="00141337" w:rsidP="005E6AF9">
            <w:pPr>
              <w:pStyle w:val="CETBodytext"/>
              <w:jc w:val="center"/>
              <w:rPr>
                <w:b/>
                <w:bCs/>
                <w:lang w:val="en-GB"/>
              </w:rPr>
            </w:pPr>
            <w:r w:rsidRPr="0028049B">
              <w:rPr>
                <w:b/>
                <w:bCs/>
                <w:lang w:val="en-GB"/>
              </w:rPr>
              <w:t>Ru-Fe / Al</w:t>
            </w:r>
            <w:r w:rsidRPr="0028049B">
              <w:rPr>
                <w:b/>
                <w:bCs/>
                <w:vertAlign w:val="subscript"/>
                <w:lang w:val="en-GB"/>
              </w:rPr>
              <w:t>2</w:t>
            </w:r>
            <w:r w:rsidRPr="0028049B">
              <w:rPr>
                <w:b/>
                <w:bCs/>
                <w:lang w:val="en-GB"/>
              </w:rPr>
              <w:t>O</w:t>
            </w:r>
            <w:r w:rsidRPr="0028049B">
              <w:rPr>
                <w:b/>
                <w:bCs/>
                <w:vertAlign w:val="subscript"/>
                <w:lang w:val="en-GB"/>
              </w:rPr>
              <w:t>3</w:t>
            </w:r>
          </w:p>
        </w:tc>
        <w:tc>
          <w:tcPr>
            <w:tcW w:w="1447" w:type="dxa"/>
            <w:shd w:val="clear" w:color="auto" w:fill="FFFFFF"/>
          </w:tcPr>
          <w:p w14:paraId="769348FF" w14:textId="77777777" w:rsidR="00141337" w:rsidRPr="0028049B" w:rsidRDefault="00141337" w:rsidP="005E6AF9">
            <w:pPr>
              <w:pStyle w:val="CETBodytext"/>
              <w:jc w:val="center"/>
              <w:rPr>
                <w:lang w:val="en-GB"/>
              </w:rPr>
            </w:pPr>
            <w:r w:rsidRPr="0028049B">
              <w:rPr>
                <w:lang w:val="en-GB"/>
              </w:rPr>
              <w:t>1.16</w:t>
            </w:r>
          </w:p>
        </w:tc>
        <w:tc>
          <w:tcPr>
            <w:tcW w:w="1560" w:type="dxa"/>
            <w:shd w:val="clear" w:color="auto" w:fill="FFFFFF"/>
          </w:tcPr>
          <w:p w14:paraId="0B645FAB" w14:textId="77777777" w:rsidR="00141337" w:rsidRPr="0028049B" w:rsidRDefault="00141337" w:rsidP="005E6AF9">
            <w:pPr>
              <w:pStyle w:val="CETBodytext"/>
              <w:jc w:val="center"/>
              <w:rPr>
                <w:lang w:val="en-GB"/>
              </w:rPr>
            </w:pPr>
            <w:r w:rsidRPr="0028049B">
              <w:rPr>
                <w:lang w:val="en-GB"/>
              </w:rPr>
              <w:t>0.55</w:t>
            </w:r>
          </w:p>
        </w:tc>
      </w:tr>
      <w:tr w:rsidR="00141337" w:rsidRPr="0028049B" w14:paraId="55B634C1" w14:textId="77777777" w:rsidTr="005E6AF9">
        <w:tc>
          <w:tcPr>
            <w:tcW w:w="1388" w:type="dxa"/>
            <w:shd w:val="clear" w:color="auto" w:fill="FFFFFF"/>
          </w:tcPr>
          <w:p w14:paraId="141D0B39" w14:textId="77777777" w:rsidR="00141337" w:rsidRPr="0028049B" w:rsidRDefault="00141337" w:rsidP="005E6AF9">
            <w:pPr>
              <w:pStyle w:val="CETBodytext"/>
              <w:jc w:val="center"/>
              <w:rPr>
                <w:b/>
                <w:bCs/>
                <w:lang w:val="en-GB"/>
              </w:rPr>
            </w:pPr>
            <w:r w:rsidRPr="0028049B">
              <w:rPr>
                <w:b/>
                <w:bCs/>
                <w:lang w:val="en-GB"/>
              </w:rPr>
              <w:t>Fe</w:t>
            </w:r>
            <w:r w:rsidRPr="0028049B">
              <w:rPr>
                <w:b/>
                <w:bCs/>
                <w:vertAlign w:val="subscript"/>
                <w:lang w:val="en-GB"/>
              </w:rPr>
              <w:t>2</w:t>
            </w:r>
            <w:r w:rsidRPr="0028049B">
              <w:rPr>
                <w:b/>
                <w:bCs/>
                <w:lang w:val="en-GB"/>
              </w:rPr>
              <w:t>O</w:t>
            </w:r>
            <w:r w:rsidRPr="0028049B">
              <w:rPr>
                <w:b/>
                <w:bCs/>
                <w:vertAlign w:val="subscript"/>
                <w:lang w:val="en-GB"/>
              </w:rPr>
              <w:t xml:space="preserve">3 </w:t>
            </w:r>
            <w:r w:rsidRPr="0028049B">
              <w:rPr>
                <w:b/>
                <w:bCs/>
                <w:lang w:val="en-GB"/>
              </w:rPr>
              <w:t>/ CNTs</w:t>
            </w:r>
          </w:p>
        </w:tc>
        <w:tc>
          <w:tcPr>
            <w:tcW w:w="1447" w:type="dxa"/>
            <w:shd w:val="clear" w:color="auto" w:fill="FFFFFF"/>
          </w:tcPr>
          <w:p w14:paraId="394453D0" w14:textId="77777777" w:rsidR="00141337" w:rsidRPr="0028049B" w:rsidRDefault="00141337" w:rsidP="005E6AF9">
            <w:pPr>
              <w:pStyle w:val="CETBodytext"/>
              <w:jc w:val="center"/>
              <w:rPr>
                <w:lang w:val="en-GB"/>
              </w:rPr>
            </w:pPr>
            <w:r w:rsidRPr="0028049B">
              <w:rPr>
                <w:lang w:val="en-GB"/>
              </w:rPr>
              <w:t>0.62</w:t>
            </w:r>
          </w:p>
        </w:tc>
        <w:tc>
          <w:tcPr>
            <w:tcW w:w="1560" w:type="dxa"/>
            <w:shd w:val="clear" w:color="auto" w:fill="FFFFFF"/>
          </w:tcPr>
          <w:p w14:paraId="0D501EB1" w14:textId="77777777" w:rsidR="00141337" w:rsidRPr="0028049B" w:rsidRDefault="00141337" w:rsidP="005E6AF9">
            <w:pPr>
              <w:pStyle w:val="CETBodytext"/>
              <w:jc w:val="center"/>
              <w:rPr>
                <w:lang w:val="en-GB"/>
              </w:rPr>
            </w:pPr>
            <w:r w:rsidRPr="0028049B">
              <w:rPr>
                <w:lang w:val="en-GB"/>
              </w:rPr>
              <w:t>1.85</w:t>
            </w:r>
          </w:p>
        </w:tc>
      </w:tr>
    </w:tbl>
    <w:p w14:paraId="4A12C2C1" w14:textId="77777777" w:rsidR="00141337" w:rsidRDefault="00141337" w:rsidP="00141337">
      <w:pPr>
        <w:pStyle w:val="CETBodytext"/>
        <w:rPr>
          <w:i/>
          <w:lang w:val="en-GB"/>
        </w:rPr>
      </w:pPr>
    </w:p>
    <w:p w14:paraId="4CC63C81" w14:textId="77777777" w:rsidR="00141337" w:rsidRPr="0028049B" w:rsidRDefault="00141337" w:rsidP="00141337">
      <w:pPr>
        <w:pStyle w:val="CETBodytext"/>
        <w:rPr>
          <w:i/>
          <w:lang w:val="en-GB"/>
        </w:rPr>
      </w:pPr>
    </w:p>
    <w:p w14:paraId="6C0C0B42" w14:textId="77777777" w:rsidR="00141337" w:rsidRPr="0028049B" w:rsidRDefault="00141337" w:rsidP="00141337">
      <w:pPr>
        <w:pStyle w:val="CETBodytext"/>
        <w:rPr>
          <w:i/>
          <w:lang w:val="en-GB"/>
        </w:rPr>
      </w:pPr>
    </w:p>
    <w:p w14:paraId="2518E07C" w14:textId="77777777" w:rsidR="00141337" w:rsidRPr="00554D33" w:rsidRDefault="00141337" w:rsidP="00141337">
      <w:pPr>
        <w:pStyle w:val="CETBodytext"/>
        <w:rPr>
          <w:lang w:val="en-GB"/>
        </w:rPr>
      </w:pPr>
    </w:p>
    <w:p w14:paraId="4668B21D" w14:textId="77777777" w:rsidR="00141337" w:rsidRPr="00554D33" w:rsidRDefault="00141337" w:rsidP="00141337">
      <w:pPr>
        <w:pStyle w:val="CETBodytext"/>
        <w:rPr>
          <w:lang w:val="en-GB"/>
        </w:rPr>
      </w:pPr>
    </w:p>
    <w:p w14:paraId="3985DDCC" w14:textId="77777777" w:rsidR="00141337" w:rsidRPr="00554D33" w:rsidRDefault="00141337" w:rsidP="00141337">
      <w:pPr>
        <w:pStyle w:val="CETBodytext"/>
        <w:rPr>
          <w:lang w:val="en-GB"/>
        </w:rPr>
      </w:pPr>
    </w:p>
    <w:p w14:paraId="5E9408F6" w14:textId="77777777" w:rsidR="00141337" w:rsidRDefault="00141337" w:rsidP="004065E1">
      <w:pPr>
        <w:pStyle w:val="CETBodytext"/>
        <w:rPr>
          <w:lang w:val="en-GB"/>
        </w:rPr>
      </w:pPr>
    </w:p>
    <w:p w14:paraId="076FAA0B" w14:textId="10249494" w:rsidR="00554D33" w:rsidRDefault="00554D33" w:rsidP="00554D33">
      <w:pPr>
        <w:pStyle w:val="CETBodytext"/>
        <w:rPr>
          <w:lang w:val="en-GB"/>
        </w:rPr>
      </w:pPr>
      <w:r w:rsidRPr="0028049B">
        <w:rPr>
          <w:lang w:val="en-GB"/>
        </w:rPr>
        <w:t xml:space="preserve">As </w:t>
      </w:r>
      <w:r w:rsidR="00C43628">
        <w:rPr>
          <w:lang w:val="en-GB"/>
        </w:rPr>
        <w:t>reported</w:t>
      </w:r>
      <w:r w:rsidRPr="0028049B">
        <w:rPr>
          <w:lang w:val="en-GB"/>
        </w:rPr>
        <w:t xml:space="preserve"> by Chen et al. (2020), the application of a low potential can change the structure of the active site by forming the active species </w:t>
      </w:r>
      <w:r w:rsidRPr="0028049B">
        <w:rPr>
          <w:rFonts w:ascii="Symbol" w:hAnsi="Symbol"/>
          <w:lang w:val="en-GB"/>
        </w:rPr>
        <w:t></w:t>
      </w:r>
      <w:r w:rsidRPr="0028049B">
        <w:rPr>
          <w:lang w:val="en-GB"/>
        </w:rPr>
        <w:t>-</w:t>
      </w:r>
      <w:proofErr w:type="spellStart"/>
      <w:r w:rsidRPr="0028049B">
        <w:rPr>
          <w:lang w:val="en-GB"/>
        </w:rPr>
        <w:t>FeOOH</w:t>
      </w:r>
      <w:proofErr w:type="spellEnd"/>
      <w:r w:rsidRPr="0028049B">
        <w:rPr>
          <w:lang w:val="en-GB"/>
        </w:rPr>
        <w:t xml:space="preserve"> (Lepidocrocite) from γ-Fe</w:t>
      </w:r>
      <w:r w:rsidRPr="0028049B">
        <w:rPr>
          <w:vertAlign w:val="subscript"/>
          <w:lang w:val="en-GB"/>
        </w:rPr>
        <w:t>2</w:t>
      </w:r>
      <w:r w:rsidRPr="0028049B">
        <w:rPr>
          <w:lang w:val="en-GB"/>
        </w:rPr>
        <w:t>O</w:t>
      </w:r>
      <w:r w:rsidRPr="0028049B">
        <w:rPr>
          <w:vertAlign w:val="subscript"/>
          <w:lang w:val="en-GB"/>
        </w:rPr>
        <w:t>3</w:t>
      </w:r>
      <w:r w:rsidRPr="0028049B">
        <w:rPr>
          <w:lang w:val="en-GB"/>
        </w:rPr>
        <w:t xml:space="preserve"> phase found in XRD characterization. The active </w:t>
      </w:r>
      <w:r w:rsidRPr="0028049B">
        <w:rPr>
          <w:rFonts w:ascii="Symbol" w:hAnsi="Symbol"/>
          <w:lang w:val="en-GB"/>
        </w:rPr>
        <w:t></w:t>
      </w:r>
      <w:r w:rsidRPr="0028049B">
        <w:rPr>
          <w:lang w:val="en-GB"/>
        </w:rPr>
        <w:t>-</w:t>
      </w:r>
      <w:proofErr w:type="spellStart"/>
      <w:r w:rsidRPr="0028049B">
        <w:rPr>
          <w:lang w:val="en-GB"/>
        </w:rPr>
        <w:t>FeOOH</w:t>
      </w:r>
      <w:proofErr w:type="spellEnd"/>
      <w:r w:rsidRPr="0028049B">
        <w:rPr>
          <w:lang w:val="en-GB"/>
        </w:rPr>
        <w:t xml:space="preserve"> </w:t>
      </w:r>
      <w:proofErr w:type="gramStart"/>
      <w:r w:rsidRPr="0028049B">
        <w:rPr>
          <w:lang w:val="en-GB"/>
        </w:rPr>
        <w:t>is able to</w:t>
      </w:r>
      <w:proofErr w:type="gramEnd"/>
      <w:r w:rsidRPr="0028049B">
        <w:rPr>
          <w:lang w:val="en-GB"/>
        </w:rPr>
        <w:t xml:space="preserve"> promote the reaction in agreement also with the example found in nature with Nitrogenase </w:t>
      </w:r>
      <w:proofErr w:type="spellStart"/>
      <w:r w:rsidRPr="0028049B">
        <w:rPr>
          <w:lang w:val="en-GB"/>
        </w:rPr>
        <w:t>FeMo</w:t>
      </w:r>
      <w:proofErr w:type="spellEnd"/>
      <w:r w:rsidRPr="0028049B">
        <w:rPr>
          <w:lang w:val="en-GB"/>
        </w:rPr>
        <w:t>-cofactor (</w:t>
      </w:r>
      <w:proofErr w:type="spellStart"/>
      <w:r w:rsidRPr="0028049B">
        <w:rPr>
          <w:lang w:val="en-GB"/>
        </w:rPr>
        <w:t>Einsle</w:t>
      </w:r>
      <w:proofErr w:type="spellEnd"/>
      <w:r w:rsidRPr="0028049B">
        <w:rPr>
          <w:lang w:val="en-GB"/>
        </w:rPr>
        <w:t>, 2014). Moreover Liu et al.</w:t>
      </w:r>
      <w:r w:rsidR="00C43628">
        <w:rPr>
          <w:lang w:val="en-GB"/>
        </w:rPr>
        <w:t xml:space="preserve"> (</w:t>
      </w:r>
      <w:r w:rsidRPr="0028049B">
        <w:rPr>
          <w:lang w:val="en-GB"/>
        </w:rPr>
        <w:t>2023</w:t>
      </w:r>
      <w:r w:rsidR="00C43628">
        <w:rPr>
          <w:lang w:val="en-GB"/>
        </w:rPr>
        <w:t>)</w:t>
      </w:r>
      <w:r w:rsidRPr="0028049B">
        <w:rPr>
          <w:lang w:val="en-GB"/>
        </w:rPr>
        <w:t xml:space="preserve"> observed a similar behaviour with Fe-Ru bimetallic catalyst prepared by atomically dispersing the metals on Metal Organic Frameworks (MOFs) by wetness incipient impregnation. When comparing the adsorption and desorption energies by DFT calculations, the presence of atomically dispersed Fe and Ru reduces the N</w:t>
      </w:r>
      <w:r w:rsidRPr="0028049B">
        <w:rPr>
          <w:vertAlign w:val="subscript"/>
          <w:lang w:val="en-GB"/>
        </w:rPr>
        <w:t>2</w:t>
      </w:r>
      <w:r w:rsidRPr="0028049B">
        <w:rPr>
          <w:lang w:val="en-GB"/>
        </w:rPr>
        <w:t xml:space="preserve">-Fe reaction path by reducing the adsorption/desorption energies without being detected by XRD analysis. These results emphasize the need for further research to reach industrial competitiveness and highlight the key role of </w:t>
      </w:r>
      <w:r w:rsidR="00C9197E">
        <w:rPr>
          <w:lang w:val="en-GB"/>
        </w:rPr>
        <w:t xml:space="preserve">electrode and </w:t>
      </w:r>
      <w:r w:rsidRPr="0028049B">
        <w:rPr>
          <w:lang w:val="en-GB"/>
        </w:rPr>
        <w:t>reactor engineering in this advancement (</w:t>
      </w:r>
      <w:proofErr w:type="spellStart"/>
      <w:r w:rsidRPr="0028049B">
        <w:rPr>
          <w:lang w:val="en-GB"/>
        </w:rPr>
        <w:t>Rouwenhorst</w:t>
      </w:r>
      <w:proofErr w:type="spellEnd"/>
      <w:r w:rsidRPr="0028049B">
        <w:rPr>
          <w:lang w:val="en-GB"/>
        </w:rPr>
        <w:t xml:space="preserve"> et al., 2021). The electrochemical NRR future efforts should be addressed to </w:t>
      </w:r>
      <w:proofErr w:type="spellStart"/>
      <w:r w:rsidRPr="0028049B">
        <w:rPr>
          <w:lang w:val="en-GB"/>
        </w:rPr>
        <w:t>i</w:t>
      </w:r>
      <w:proofErr w:type="spellEnd"/>
      <w:r w:rsidRPr="0028049B">
        <w:rPr>
          <w:lang w:val="en-GB"/>
        </w:rPr>
        <w:t>) increase the maximum productivity compared to the state of the art, ii) increase the mechanical and chemical stability of the catalysts over time, iii) increase the energy efficiency of the process, vi) reduce the use of critical materials having priority for sustainability. Also, the us</w:t>
      </w:r>
      <w:r w:rsidR="000D072C">
        <w:rPr>
          <w:lang w:val="en-GB"/>
        </w:rPr>
        <w:t>e</w:t>
      </w:r>
      <w:r w:rsidRPr="0028049B">
        <w:rPr>
          <w:lang w:val="en-GB"/>
        </w:rPr>
        <w:t xml:space="preserve"> of a different reaction media such as organic environment (</w:t>
      </w:r>
      <w:proofErr w:type="spellStart"/>
      <w:r w:rsidRPr="0028049B">
        <w:rPr>
          <w:lang w:val="en-GB"/>
        </w:rPr>
        <w:t>Ampelli</w:t>
      </w:r>
      <w:proofErr w:type="spellEnd"/>
      <w:r w:rsidRPr="0028049B">
        <w:rPr>
          <w:lang w:val="en-GB"/>
        </w:rPr>
        <w:t xml:space="preserve">, 2020) or </w:t>
      </w:r>
      <w:r w:rsidR="000D072C" w:rsidRPr="0028049B">
        <w:rPr>
          <w:lang w:val="en-GB"/>
        </w:rPr>
        <w:t xml:space="preserve">ionic </w:t>
      </w:r>
      <w:r w:rsidRPr="0028049B">
        <w:rPr>
          <w:lang w:val="en-GB"/>
        </w:rPr>
        <w:t>liquid (Tian et al., 2022) minimizing the proton activity respect to aqueous media, could reduce the side reaction of</w:t>
      </w:r>
      <w:r w:rsidR="000D072C">
        <w:rPr>
          <w:lang w:val="en-GB"/>
        </w:rPr>
        <w:t xml:space="preserve"> HER</w:t>
      </w:r>
      <w:r w:rsidRPr="0028049B">
        <w:rPr>
          <w:lang w:val="en-GB"/>
        </w:rPr>
        <w:t>. Only by incorporating innovative technologies and methodologies</w:t>
      </w:r>
      <w:r w:rsidR="00F27E39">
        <w:rPr>
          <w:lang w:val="en-GB"/>
        </w:rPr>
        <w:t>,</w:t>
      </w:r>
      <w:r w:rsidRPr="0028049B">
        <w:rPr>
          <w:lang w:val="en-GB"/>
        </w:rPr>
        <w:t xml:space="preserve"> new paths </w:t>
      </w:r>
      <w:r w:rsidR="00F27E39">
        <w:rPr>
          <w:lang w:val="en-GB"/>
        </w:rPr>
        <w:t xml:space="preserve">can </w:t>
      </w:r>
      <w:r w:rsidRPr="0028049B">
        <w:rPr>
          <w:lang w:val="en-GB"/>
        </w:rPr>
        <w:t xml:space="preserve">be opened for substantial improvements in the </w:t>
      </w:r>
      <w:r w:rsidR="00F27E39">
        <w:rPr>
          <w:lang w:val="en-GB"/>
        </w:rPr>
        <w:t>NRR</w:t>
      </w:r>
      <w:r w:rsidRPr="0028049B">
        <w:rPr>
          <w:lang w:val="en-GB"/>
        </w:rPr>
        <w:t xml:space="preserve"> driven by </w:t>
      </w:r>
      <w:r w:rsidR="00F27E39">
        <w:rPr>
          <w:lang w:val="en-GB"/>
        </w:rPr>
        <w:t xml:space="preserve">renewable </w:t>
      </w:r>
      <w:r w:rsidRPr="0028049B">
        <w:rPr>
          <w:lang w:val="en-GB"/>
        </w:rPr>
        <w:t>electricity.</w:t>
      </w:r>
    </w:p>
    <w:p w14:paraId="13732607" w14:textId="1316A568" w:rsidR="006476F1" w:rsidRPr="0028049B" w:rsidRDefault="006476F1" w:rsidP="006476F1">
      <w:pPr>
        <w:pStyle w:val="CETHeading1"/>
        <w:rPr>
          <w:lang w:val="en-GB"/>
        </w:rPr>
      </w:pPr>
      <w:r w:rsidRPr="0028049B">
        <w:rPr>
          <w:lang w:val="en-GB"/>
        </w:rPr>
        <w:lastRenderedPageBreak/>
        <w:t>Conclusions</w:t>
      </w:r>
    </w:p>
    <w:p w14:paraId="006616B7" w14:textId="7D1DD166" w:rsidR="00283986" w:rsidRPr="0028049B" w:rsidRDefault="00283986" w:rsidP="0017029A">
      <w:pPr>
        <w:pStyle w:val="CETBodytext"/>
        <w:rPr>
          <w:lang w:val="en-GB"/>
        </w:rPr>
      </w:pPr>
      <w:r w:rsidRPr="0028049B">
        <w:rPr>
          <w:lang w:val="en-GB"/>
        </w:rPr>
        <w:t xml:space="preserve">The </w:t>
      </w:r>
      <w:r w:rsidR="00EA053B">
        <w:rPr>
          <w:lang w:val="en-GB"/>
        </w:rPr>
        <w:t xml:space="preserve">electrocatalytic </w:t>
      </w:r>
      <w:r w:rsidR="00DC49A8" w:rsidRPr="0028049B">
        <w:rPr>
          <w:lang w:val="en-GB"/>
        </w:rPr>
        <w:t>behaviour</w:t>
      </w:r>
      <w:r w:rsidRPr="0028049B">
        <w:rPr>
          <w:lang w:val="en-GB"/>
        </w:rPr>
        <w:t xml:space="preserve"> </w:t>
      </w:r>
      <w:r w:rsidR="006D7F37">
        <w:rPr>
          <w:lang w:val="en-GB"/>
        </w:rPr>
        <w:t xml:space="preserve">of </w:t>
      </w:r>
      <w:r w:rsidR="006D7F37" w:rsidRPr="0028049B">
        <w:rPr>
          <w:lang w:val="en-GB"/>
        </w:rPr>
        <w:t>Ru</w:t>
      </w:r>
      <w:r w:rsidR="006D7F37">
        <w:rPr>
          <w:lang w:val="en-GB"/>
        </w:rPr>
        <w:t xml:space="preserve"> </w:t>
      </w:r>
      <w:r w:rsidR="00EA053B">
        <w:rPr>
          <w:lang w:val="en-GB"/>
        </w:rPr>
        <w:t xml:space="preserve">and/or Fe-doped </w:t>
      </w:r>
      <w:r w:rsidR="006D7F37" w:rsidRPr="0028049B">
        <w:rPr>
          <w:lang w:val="en-GB"/>
        </w:rPr>
        <w:t>alumina (Al</w:t>
      </w:r>
      <w:r w:rsidR="006D7F37" w:rsidRPr="0028049B">
        <w:rPr>
          <w:vertAlign w:val="subscript"/>
          <w:lang w:val="en-GB"/>
        </w:rPr>
        <w:t>2</w:t>
      </w:r>
      <w:r w:rsidR="006D7F37" w:rsidRPr="0028049B">
        <w:rPr>
          <w:lang w:val="en-GB"/>
        </w:rPr>
        <w:t>O</w:t>
      </w:r>
      <w:r w:rsidR="006D7F37" w:rsidRPr="0028049B">
        <w:rPr>
          <w:vertAlign w:val="subscript"/>
          <w:lang w:val="en-GB"/>
        </w:rPr>
        <w:t>3</w:t>
      </w:r>
      <w:r w:rsidR="006D7F37" w:rsidRPr="0028049B">
        <w:rPr>
          <w:lang w:val="en-GB"/>
        </w:rPr>
        <w:t>) or carbon nanotubes (CNTs)</w:t>
      </w:r>
      <w:r w:rsidR="00EA053B">
        <w:rPr>
          <w:lang w:val="en-GB"/>
        </w:rPr>
        <w:t xml:space="preserve"> </w:t>
      </w:r>
      <w:r w:rsidRPr="0028049B">
        <w:rPr>
          <w:lang w:val="en-GB"/>
        </w:rPr>
        <w:t xml:space="preserve">was evaluated in </w:t>
      </w:r>
      <w:r w:rsidR="00500828">
        <w:rPr>
          <w:lang w:val="en-GB"/>
        </w:rPr>
        <w:t xml:space="preserve">the Nitrogen Reduction Reaction (NRR) </w:t>
      </w:r>
      <w:r w:rsidRPr="0028049B">
        <w:rPr>
          <w:lang w:val="en-GB"/>
        </w:rPr>
        <w:t xml:space="preserve">in combination with a gas-diffusion layer (GDL) </w:t>
      </w:r>
      <w:r w:rsidR="00500828">
        <w:rPr>
          <w:lang w:val="en-GB"/>
        </w:rPr>
        <w:t xml:space="preserve">to form </w:t>
      </w:r>
      <w:r w:rsidR="00FA0608">
        <w:rPr>
          <w:lang w:val="en-GB"/>
        </w:rPr>
        <w:t>novel gas-diffusion electrodes</w:t>
      </w:r>
      <w:r w:rsidRPr="0028049B">
        <w:rPr>
          <w:lang w:val="en-GB"/>
        </w:rPr>
        <w:t>, using custom reactors of advanced design, working in gas phase (i.e. electrolyte-less conditions)</w:t>
      </w:r>
      <w:r w:rsidR="00404647">
        <w:rPr>
          <w:lang w:val="en-GB"/>
        </w:rPr>
        <w:t xml:space="preserve"> to </w:t>
      </w:r>
      <w:r w:rsidRPr="0028049B">
        <w:rPr>
          <w:lang w:val="en-GB"/>
        </w:rPr>
        <w:t>overcome the low solubility of nitrogen in aqueous media</w:t>
      </w:r>
      <w:r w:rsidR="00B92FDE">
        <w:rPr>
          <w:lang w:val="en-GB"/>
        </w:rPr>
        <w:t xml:space="preserve">. </w:t>
      </w:r>
      <w:r w:rsidRPr="0028049B">
        <w:rPr>
          <w:lang w:val="en-GB"/>
        </w:rPr>
        <w:t>In the case of catalysts based on carbon nanotubes (CNTs), they showed similar activity, such</w:t>
      </w:r>
      <w:r w:rsidR="00892927" w:rsidRPr="0028049B">
        <w:rPr>
          <w:lang w:val="en-GB"/>
        </w:rPr>
        <w:t xml:space="preserve"> as Fe</w:t>
      </w:r>
      <w:r w:rsidR="00892927" w:rsidRPr="0028049B">
        <w:rPr>
          <w:vertAlign w:val="subscript"/>
          <w:lang w:val="en-GB"/>
        </w:rPr>
        <w:t>2</w:t>
      </w:r>
      <w:r w:rsidR="00892927" w:rsidRPr="0028049B">
        <w:rPr>
          <w:lang w:val="en-GB"/>
        </w:rPr>
        <w:t>O</w:t>
      </w:r>
      <w:r w:rsidR="00892927" w:rsidRPr="0028049B">
        <w:rPr>
          <w:vertAlign w:val="subscript"/>
          <w:lang w:val="en-GB"/>
        </w:rPr>
        <w:t>3</w:t>
      </w:r>
      <w:r w:rsidR="00892927" w:rsidRPr="0028049B">
        <w:rPr>
          <w:lang w:val="en-GB"/>
        </w:rPr>
        <w:t xml:space="preserve"> in comparison to Ru and Ru-Fe co-doped variants. On the contrary, alumina-based catalysts showcased distinctive trends. Specifically, doping with Ru provided higher catalytic performance compared to Fe</w:t>
      </w:r>
      <w:r w:rsidR="00892927" w:rsidRPr="0028049B">
        <w:rPr>
          <w:vertAlign w:val="subscript"/>
          <w:lang w:val="en-GB"/>
        </w:rPr>
        <w:t>2</w:t>
      </w:r>
      <w:r w:rsidR="00892927" w:rsidRPr="0028049B">
        <w:rPr>
          <w:lang w:val="en-GB"/>
        </w:rPr>
        <w:t>O</w:t>
      </w:r>
      <w:r w:rsidR="00892927" w:rsidRPr="0028049B">
        <w:rPr>
          <w:vertAlign w:val="subscript"/>
          <w:lang w:val="en-GB"/>
        </w:rPr>
        <w:t>3</w:t>
      </w:r>
      <w:r w:rsidR="00892927" w:rsidRPr="0028049B">
        <w:rPr>
          <w:lang w:val="en-GB"/>
        </w:rPr>
        <w:t>, while the substitution of Fe with Ru in a co-doped configuration (Ru-Fe/Al</w:t>
      </w:r>
      <w:r w:rsidR="00892927" w:rsidRPr="0028049B">
        <w:rPr>
          <w:vertAlign w:val="subscript"/>
          <w:lang w:val="en-GB"/>
        </w:rPr>
        <w:t>2</w:t>
      </w:r>
      <w:r w:rsidR="00892927" w:rsidRPr="0028049B">
        <w:rPr>
          <w:lang w:val="en-GB"/>
        </w:rPr>
        <w:t>O</w:t>
      </w:r>
      <w:r w:rsidR="00892927" w:rsidRPr="0028049B">
        <w:rPr>
          <w:vertAlign w:val="subscript"/>
          <w:lang w:val="en-GB"/>
        </w:rPr>
        <w:t>3</w:t>
      </w:r>
      <w:r w:rsidR="00892927" w:rsidRPr="0028049B">
        <w:rPr>
          <w:lang w:val="en-GB"/>
        </w:rPr>
        <w:t>) yielded the highest observed catalytic performance of 1.</w:t>
      </w:r>
      <w:r w:rsidR="00525AF1" w:rsidRPr="0028049B">
        <w:rPr>
          <w:lang w:val="en-GB"/>
        </w:rPr>
        <w:t>16</w:t>
      </w:r>
      <w:r w:rsidR="00892927" w:rsidRPr="0028049B">
        <w:rPr>
          <w:lang w:val="en-GB"/>
        </w:rPr>
        <w:t xml:space="preserve"> </w:t>
      </w:r>
      <w:r w:rsidR="00892927" w:rsidRPr="0028049B">
        <w:rPr>
          <w:rFonts w:ascii="Symbol" w:hAnsi="Symbol"/>
          <w:lang w:val="en-GB"/>
        </w:rPr>
        <w:t></w:t>
      </w:r>
      <w:r w:rsidR="00892927" w:rsidRPr="0028049B">
        <w:rPr>
          <w:lang w:val="en-GB"/>
        </w:rPr>
        <w:t>g mg</w:t>
      </w:r>
      <w:r w:rsidR="00892927" w:rsidRPr="0028049B">
        <w:rPr>
          <w:vertAlign w:val="subscript"/>
          <w:lang w:val="en-GB"/>
        </w:rPr>
        <w:t>cat</w:t>
      </w:r>
      <w:r w:rsidR="00D569BA" w:rsidRPr="0028049B">
        <w:rPr>
          <w:vertAlign w:val="superscript"/>
          <w:lang w:val="en-GB"/>
        </w:rPr>
        <w:t>-1</w:t>
      </w:r>
      <w:r w:rsidR="00892927" w:rsidRPr="0028049B">
        <w:rPr>
          <w:lang w:val="en-GB"/>
        </w:rPr>
        <w:t xml:space="preserve"> h</w:t>
      </w:r>
      <w:r w:rsidR="00267005" w:rsidRPr="0028049B">
        <w:rPr>
          <w:vertAlign w:val="superscript"/>
          <w:lang w:val="en-GB"/>
        </w:rPr>
        <w:t>-1</w:t>
      </w:r>
      <w:r w:rsidR="00892927" w:rsidRPr="0028049B">
        <w:rPr>
          <w:lang w:val="en-GB"/>
        </w:rPr>
        <w:t xml:space="preserve">, and a current density of </w:t>
      </w:r>
      <w:r w:rsidR="00322F2B">
        <w:rPr>
          <w:lang w:val="en-GB"/>
        </w:rPr>
        <w:t>-</w:t>
      </w:r>
      <w:r w:rsidR="00892927" w:rsidRPr="0028049B">
        <w:rPr>
          <w:lang w:val="en-GB"/>
        </w:rPr>
        <w:t xml:space="preserve">294 </w:t>
      </w:r>
      <w:r w:rsidR="00892927" w:rsidRPr="0028049B">
        <w:rPr>
          <w:rFonts w:ascii="Symbol" w:hAnsi="Symbol"/>
          <w:lang w:val="en-GB"/>
        </w:rPr>
        <w:t></w:t>
      </w:r>
      <w:r w:rsidR="00892927" w:rsidRPr="0028049B">
        <w:rPr>
          <w:lang w:val="en-GB"/>
        </w:rPr>
        <w:t>A cm</w:t>
      </w:r>
      <w:r w:rsidR="00267005" w:rsidRPr="0028049B">
        <w:rPr>
          <w:vertAlign w:val="superscript"/>
          <w:lang w:val="en-GB"/>
        </w:rPr>
        <w:t>-2</w:t>
      </w:r>
      <w:r w:rsidR="00892927" w:rsidRPr="0028049B">
        <w:rPr>
          <w:lang w:val="en-GB"/>
        </w:rPr>
        <w:t xml:space="preserve"> at -0.3 V vs RHE. It is evident that, partially replacing </w:t>
      </w:r>
      <w:r w:rsidR="00660065" w:rsidRPr="0028049B">
        <w:rPr>
          <w:lang w:val="en-GB"/>
        </w:rPr>
        <w:t>an</w:t>
      </w:r>
      <w:r w:rsidR="00892927" w:rsidRPr="0028049B">
        <w:rPr>
          <w:lang w:val="en-GB"/>
        </w:rPr>
        <w:t xml:space="preserve"> expensive metal (such as Ru) with a less expensive one (Fe) brings benefits</w:t>
      </w:r>
      <w:r w:rsidR="00B2195A">
        <w:rPr>
          <w:lang w:val="en-GB"/>
        </w:rPr>
        <w:t>.</w:t>
      </w:r>
      <w:r w:rsidR="00892927" w:rsidRPr="0028049B">
        <w:rPr>
          <w:lang w:val="en-GB"/>
        </w:rPr>
        <w:t xml:space="preserve"> Among all the samples, Fe</w:t>
      </w:r>
      <w:r w:rsidR="00892927" w:rsidRPr="0028049B">
        <w:rPr>
          <w:vertAlign w:val="subscript"/>
          <w:lang w:val="en-GB"/>
        </w:rPr>
        <w:t>2</w:t>
      </w:r>
      <w:r w:rsidR="00892927" w:rsidRPr="0028049B">
        <w:rPr>
          <w:lang w:val="en-GB"/>
        </w:rPr>
        <w:t>O</w:t>
      </w:r>
      <w:r w:rsidR="00892927" w:rsidRPr="0028049B">
        <w:rPr>
          <w:vertAlign w:val="subscript"/>
          <w:lang w:val="en-GB"/>
        </w:rPr>
        <w:t>3</w:t>
      </w:r>
      <w:r w:rsidR="00892927" w:rsidRPr="0028049B">
        <w:rPr>
          <w:lang w:val="en-GB"/>
        </w:rPr>
        <w:t>/CNTs showed the best performance of 0.6</w:t>
      </w:r>
      <w:r w:rsidR="00525AF1" w:rsidRPr="0028049B">
        <w:rPr>
          <w:lang w:val="en-GB"/>
        </w:rPr>
        <w:t>2</w:t>
      </w:r>
      <w:r w:rsidR="00892927" w:rsidRPr="0028049B">
        <w:rPr>
          <w:lang w:val="en-GB"/>
        </w:rPr>
        <w:t xml:space="preserve"> </w:t>
      </w:r>
      <w:r w:rsidR="00892927" w:rsidRPr="0028049B">
        <w:rPr>
          <w:rFonts w:ascii="Symbol" w:hAnsi="Symbol"/>
          <w:lang w:val="en-GB"/>
        </w:rPr>
        <w:t></w:t>
      </w:r>
      <w:r w:rsidR="00892927" w:rsidRPr="0028049B">
        <w:rPr>
          <w:lang w:val="en-GB"/>
        </w:rPr>
        <w:t>g mg</w:t>
      </w:r>
      <w:r w:rsidR="00892927" w:rsidRPr="0028049B">
        <w:rPr>
          <w:vertAlign w:val="subscript"/>
          <w:lang w:val="en-GB"/>
        </w:rPr>
        <w:t>cat</w:t>
      </w:r>
      <w:r w:rsidR="00F82137" w:rsidRPr="0028049B">
        <w:rPr>
          <w:vertAlign w:val="superscript"/>
          <w:lang w:val="en-GB"/>
        </w:rPr>
        <w:t>-1</w:t>
      </w:r>
      <w:r w:rsidR="00892927" w:rsidRPr="0028049B">
        <w:rPr>
          <w:lang w:val="en-GB"/>
        </w:rPr>
        <w:t xml:space="preserve"> h</w:t>
      </w:r>
      <w:r w:rsidR="00F82137" w:rsidRPr="0028049B">
        <w:rPr>
          <w:vertAlign w:val="superscript"/>
          <w:lang w:val="en-GB"/>
        </w:rPr>
        <w:t>-1</w:t>
      </w:r>
      <w:r w:rsidR="00892927" w:rsidRPr="0028049B">
        <w:rPr>
          <w:lang w:val="en-GB"/>
        </w:rPr>
        <w:t xml:space="preserve"> and a current density</w:t>
      </w:r>
      <w:r w:rsidR="00F42BBB" w:rsidRPr="0028049B">
        <w:rPr>
          <w:lang w:val="en-GB"/>
        </w:rPr>
        <w:t xml:space="preserve"> </w:t>
      </w:r>
      <w:r w:rsidR="00660065" w:rsidRPr="0028049B">
        <w:rPr>
          <w:lang w:val="en-GB"/>
        </w:rPr>
        <w:t xml:space="preserve">of </w:t>
      </w:r>
      <w:r w:rsidR="00322F2B">
        <w:rPr>
          <w:lang w:val="en-GB"/>
        </w:rPr>
        <w:t>-</w:t>
      </w:r>
      <w:r w:rsidR="00F42BBB" w:rsidRPr="0028049B">
        <w:rPr>
          <w:lang w:val="en-GB"/>
        </w:rPr>
        <w:t xml:space="preserve">40 </w:t>
      </w:r>
      <w:r w:rsidR="00F42BBB" w:rsidRPr="0028049B">
        <w:rPr>
          <w:rFonts w:ascii="Symbol" w:hAnsi="Symbol"/>
          <w:lang w:val="en-GB"/>
        </w:rPr>
        <w:t></w:t>
      </w:r>
      <w:r w:rsidR="00F42BBB" w:rsidRPr="0028049B">
        <w:rPr>
          <w:lang w:val="en-GB"/>
        </w:rPr>
        <w:t>A cm</w:t>
      </w:r>
      <w:r w:rsidR="00884141" w:rsidRPr="0028049B">
        <w:rPr>
          <w:vertAlign w:val="superscript"/>
          <w:lang w:val="en-GB"/>
        </w:rPr>
        <w:t>-2</w:t>
      </w:r>
      <w:r w:rsidR="00884141" w:rsidRPr="0028049B">
        <w:rPr>
          <w:lang w:val="en-GB"/>
        </w:rPr>
        <w:t xml:space="preserve"> </w:t>
      </w:r>
      <w:r w:rsidR="00F42BBB" w:rsidRPr="0028049B">
        <w:rPr>
          <w:lang w:val="en-GB"/>
        </w:rPr>
        <w:t>at -0.3 V vs RHE.</w:t>
      </w:r>
      <w:r w:rsidR="00402780">
        <w:rPr>
          <w:lang w:val="en-GB"/>
        </w:rPr>
        <w:t xml:space="preserve"> </w:t>
      </w:r>
      <w:r w:rsidR="00F95DC0" w:rsidRPr="00F95DC0">
        <w:rPr>
          <w:lang w:val="en-GB"/>
        </w:rPr>
        <w:t>Although H</w:t>
      </w:r>
      <w:r w:rsidR="00F95DC0" w:rsidRPr="00F95DC0">
        <w:rPr>
          <w:rFonts w:ascii="Cambria Math" w:hAnsi="Cambria Math" w:cs="Cambria Math"/>
          <w:lang w:val="en-GB"/>
        </w:rPr>
        <w:t>₂</w:t>
      </w:r>
      <w:r w:rsidR="00F95DC0" w:rsidRPr="00F95DC0">
        <w:rPr>
          <w:lang w:val="en-GB"/>
        </w:rPr>
        <w:t xml:space="preserve"> is the predominant product observed in these experiments, this study has provided insights into the potential range in which NRR occurs in relation to the electrocatalyst used. Ongoing research aims to reduce H</w:t>
      </w:r>
      <w:r w:rsidR="00F95DC0" w:rsidRPr="00F95DC0">
        <w:rPr>
          <w:rFonts w:ascii="Cambria Math" w:hAnsi="Cambria Math" w:cs="Cambria Math"/>
          <w:lang w:val="en-GB"/>
        </w:rPr>
        <w:t>₂</w:t>
      </w:r>
      <w:r w:rsidR="00F95DC0" w:rsidRPr="00F95DC0">
        <w:rPr>
          <w:lang w:val="en-GB"/>
        </w:rPr>
        <w:t xml:space="preserve"> production in favour of NRR by engineering the electrode to modulate wettability properties, thereby controlling proton accessibility to the catalytic active sites.</w:t>
      </w:r>
    </w:p>
    <w:p w14:paraId="1E6A0A85" w14:textId="77777777" w:rsidR="00EA03CD" w:rsidRDefault="00EA03CD" w:rsidP="006476F1">
      <w:pPr>
        <w:pStyle w:val="CETBodytext"/>
        <w:rPr>
          <w:b/>
          <w:bCs/>
          <w:lang w:val="en-GB"/>
        </w:rPr>
      </w:pPr>
    </w:p>
    <w:p w14:paraId="1BE0F425" w14:textId="6C83FC11" w:rsidR="006476F1" w:rsidRPr="0028049B" w:rsidRDefault="00983EED" w:rsidP="006476F1">
      <w:pPr>
        <w:pStyle w:val="CETBodytext"/>
        <w:rPr>
          <w:b/>
          <w:bCs/>
          <w:lang w:val="en-GB"/>
        </w:rPr>
      </w:pPr>
      <w:r w:rsidRPr="0028049B">
        <w:rPr>
          <w:b/>
          <w:bCs/>
          <w:lang w:val="en-GB"/>
        </w:rPr>
        <w:t>Acknowledgments</w:t>
      </w:r>
    </w:p>
    <w:p w14:paraId="38716827" w14:textId="173CBB78" w:rsidR="005177A4" w:rsidRDefault="005177A4" w:rsidP="002A5F5C">
      <w:pPr>
        <w:pStyle w:val="CETBodytext"/>
        <w:rPr>
          <w:lang w:val="en-GB"/>
        </w:rPr>
      </w:pPr>
      <w:r w:rsidRPr="005177A4">
        <w:rPr>
          <w:lang w:val="en-GB"/>
        </w:rPr>
        <w:t>This work was funded by the European Union - Next Generation EU, Mission 4 Component 1 CUP J53D23007700006 through the PRIN 2022 Project HYDREAM (ID: 2022YXHXH5), which is gratefully acknowledged.</w:t>
      </w:r>
    </w:p>
    <w:p w14:paraId="1BE4761D" w14:textId="77777777" w:rsidR="005177A4" w:rsidRDefault="005177A4" w:rsidP="002A5F5C">
      <w:pPr>
        <w:pStyle w:val="CETBodytext"/>
        <w:rPr>
          <w:b/>
          <w:bCs/>
          <w:lang w:val="en-GB"/>
        </w:rPr>
      </w:pPr>
    </w:p>
    <w:p w14:paraId="4DC9BA36" w14:textId="07DE09BD" w:rsidR="00622E89" w:rsidRPr="0028049B" w:rsidRDefault="00281A89" w:rsidP="002A5F5C">
      <w:pPr>
        <w:pStyle w:val="CETBodytext"/>
        <w:rPr>
          <w:b/>
          <w:bCs/>
          <w:lang w:val="en-GB"/>
        </w:rPr>
      </w:pPr>
      <w:r w:rsidRPr="0028049B">
        <w:rPr>
          <w:b/>
          <w:bCs/>
          <w:lang w:val="en-GB"/>
        </w:rPr>
        <w:t>References</w:t>
      </w:r>
    </w:p>
    <w:p w14:paraId="0B5016CF" w14:textId="73C29D2B" w:rsidR="00537FF8" w:rsidRPr="0028049B" w:rsidRDefault="00537FF8" w:rsidP="001B45D6">
      <w:pPr>
        <w:pStyle w:val="CETBodytext"/>
        <w:spacing w:line="240" w:lineRule="auto"/>
        <w:ind w:left="284" w:hanging="284"/>
        <w:rPr>
          <w:lang w:val="en-GB"/>
        </w:rPr>
      </w:pPr>
      <w:proofErr w:type="spellStart"/>
      <w:r w:rsidRPr="0028049B">
        <w:rPr>
          <w:lang w:val="en-GB"/>
        </w:rPr>
        <w:t>Ampelli</w:t>
      </w:r>
      <w:proofErr w:type="spellEnd"/>
      <w:r w:rsidRPr="0028049B">
        <w:rPr>
          <w:lang w:val="en-GB"/>
        </w:rPr>
        <w:t>, C.</w:t>
      </w:r>
      <w:r w:rsidR="0094376E">
        <w:rPr>
          <w:lang w:val="en-GB"/>
        </w:rPr>
        <w:t xml:space="preserve">, </w:t>
      </w:r>
      <w:r w:rsidRPr="0028049B">
        <w:rPr>
          <w:lang w:val="en-GB"/>
        </w:rPr>
        <w:t>2020</w:t>
      </w:r>
      <w:r w:rsidR="0094376E">
        <w:rPr>
          <w:lang w:val="en-GB"/>
        </w:rPr>
        <w:t xml:space="preserve">, </w:t>
      </w:r>
      <w:r w:rsidRPr="0028049B">
        <w:rPr>
          <w:lang w:val="en-GB"/>
        </w:rPr>
        <w:t>Electrode design for ammonia synthesis</w:t>
      </w:r>
      <w:r w:rsidR="0092639A">
        <w:rPr>
          <w:lang w:val="en-GB"/>
        </w:rPr>
        <w:t>,</w:t>
      </w:r>
      <w:r w:rsidRPr="0028049B">
        <w:rPr>
          <w:lang w:val="en-GB"/>
        </w:rPr>
        <w:t xml:space="preserve"> </w:t>
      </w:r>
      <w:r w:rsidRPr="0094376E">
        <w:rPr>
          <w:lang w:val="en-GB"/>
        </w:rPr>
        <w:t>Nature Catalysis</w:t>
      </w:r>
      <w:r w:rsidRPr="0028049B">
        <w:rPr>
          <w:lang w:val="en-GB"/>
        </w:rPr>
        <w:t>, 3(5), 420–421.</w:t>
      </w:r>
    </w:p>
    <w:p w14:paraId="1A87CC8E" w14:textId="055B41BA" w:rsidR="00537FF8" w:rsidRPr="0028049B" w:rsidRDefault="00537FF8" w:rsidP="001B45D6">
      <w:pPr>
        <w:pStyle w:val="CETBodytext"/>
        <w:spacing w:line="240" w:lineRule="auto"/>
        <w:ind w:left="284" w:hanging="284"/>
        <w:rPr>
          <w:lang w:val="en-GB"/>
        </w:rPr>
      </w:pPr>
      <w:r w:rsidRPr="0028049B">
        <w:rPr>
          <w:lang w:val="en-GB"/>
        </w:rPr>
        <w:t xml:space="preserve">Chen, S., Perathoner, S., </w:t>
      </w:r>
      <w:proofErr w:type="spellStart"/>
      <w:r w:rsidRPr="0028049B">
        <w:rPr>
          <w:lang w:val="en-GB"/>
        </w:rPr>
        <w:t>Ampelli</w:t>
      </w:r>
      <w:proofErr w:type="spellEnd"/>
      <w:r w:rsidRPr="0028049B">
        <w:rPr>
          <w:lang w:val="en-GB"/>
        </w:rPr>
        <w:t>, C., Mebrahtu, C., Su, D. and Centi, G.</w:t>
      </w:r>
      <w:r w:rsidR="0094376E">
        <w:rPr>
          <w:lang w:val="en-GB"/>
        </w:rPr>
        <w:t>,</w:t>
      </w:r>
      <w:r w:rsidRPr="0028049B">
        <w:rPr>
          <w:lang w:val="en-GB"/>
        </w:rPr>
        <w:t xml:space="preserve"> 2017</w:t>
      </w:r>
      <w:r w:rsidR="0094376E">
        <w:rPr>
          <w:lang w:val="en-GB"/>
        </w:rPr>
        <w:t>,</w:t>
      </w:r>
      <w:r w:rsidRPr="0028049B">
        <w:rPr>
          <w:lang w:val="en-GB"/>
        </w:rPr>
        <w:t xml:space="preserve"> Room-Temperature Electrocatalytic Synthesis of NH</w:t>
      </w:r>
      <w:r w:rsidRPr="0028049B">
        <w:rPr>
          <w:vertAlign w:val="subscript"/>
          <w:lang w:val="en-GB"/>
        </w:rPr>
        <w:t>3</w:t>
      </w:r>
      <w:r w:rsidRPr="0028049B">
        <w:rPr>
          <w:lang w:val="en-GB"/>
        </w:rPr>
        <w:t xml:space="preserve"> from H</w:t>
      </w:r>
      <w:r w:rsidRPr="0028049B">
        <w:rPr>
          <w:vertAlign w:val="subscript"/>
          <w:lang w:val="en-GB"/>
        </w:rPr>
        <w:t>2</w:t>
      </w:r>
      <w:r w:rsidRPr="0028049B">
        <w:rPr>
          <w:lang w:val="en-GB"/>
        </w:rPr>
        <w:t>O and N</w:t>
      </w:r>
      <w:r w:rsidRPr="0028049B">
        <w:rPr>
          <w:vertAlign w:val="subscript"/>
          <w:lang w:val="en-GB"/>
        </w:rPr>
        <w:t>2</w:t>
      </w:r>
      <w:r w:rsidRPr="0028049B">
        <w:rPr>
          <w:lang w:val="en-GB"/>
        </w:rPr>
        <w:t xml:space="preserve"> in a Gas–Liquid–Solid Three-Phase Reactor</w:t>
      </w:r>
      <w:r w:rsidR="0092639A">
        <w:rPr>
          <w:lang w:val="en-GB"/>
        </w:rPr>
        <w:t>,</w:t>
      </w:r>
      <w:r w:rsidRPr="0028049B">
        <w:rPr>
          <w:lang w:val="en-GB"/>
        </w:rPr>
        <w:t xml:space="preserve"> </w:t>
      </w:r>
      <w:r w:rsidRPr="0094376E">
        <w:rPr>
          <w:lang w:val="en-GB"/>
        </w:rPr>
        <w:t>ACS Sustainable Chemistry &amp; Engineering</w:t>
      </w:r>
      <w:r w:rsidRPr="0028049B">
        <w:rPr>
          <w:lang w:val="en-GB"/>
        </w:rPr>
        <w:t>, 5(8), 7393–7400.</w:t>
      </w:r>
    </w:p>
    <w:p w14:paraId="66BF36C1" w14:textId="3A33EC99" w:rsidR="00537FF8" w:rsidRPr="0028049B" w:rsidRDefault="00537FF8" w:rsidP="001B45D6">
      <w:pPr>
        <w:pStyle w:val="CETBodytext"/>
        <w:spacing w:line="240" w:lineRule="auto"/>
        <w:ind w:left="284" w:hanging="284"/>
        <w:rPr>
          <w:lang w:val="en-GB"/>
        </w:rPr>
      </w:pPr>
      <w:r w:rsidRPr="0028049B">
        <w:rPr>
          <w:lang w:val="en-GB"/>
        </w:rPr>
        <w:t xml:space="preserve">Chen, S., Perathoner, S., </w:t>
      </w:r>
      <w:proofErr w:type="spellStart"/>
      <w:r w:rsidRPr="0028049B">
        <w:rPr>
          <w:lang w:val="en-GB"/>
        </w:rPr>
        <w:t>Ampelli</w:t>
      </w:r>
      <w:proofErr w:type="spellEnd"/>
      <w:r w:rsidRPr="0028049B">
        <w:rPr>
          <w:lang w:val="en-GB"/>
        </w:rPr>
        <w:t>, C., Wei, H., Abate, S., Zhang, B. and Centi, G.</w:t>
      </w:r>
      <w:r w:rsidR="0094376E">
        <w:rPr>
          <w:lang w:val="en-GB"/>
        </w:rPr>
        <w:t xml:space="preserve">, </w:t>
      </w:r>
      <w:r w:rsidRPr="0028049B">
        <w:rPr>
          <w:lang w:val="en-GB"/>
        </w:rPr>
        <w:t>2020</w:t>
      </w:r>
      <w:r w:rsidR="0094376E">
        <w:rPr>
          <w:lang w:val="en-GB"/>
        </w:rPr>
        <w:t>,</w:t>
      </w:r>
      <w:r w:rsidRPr="0028049B">
        <w:rPr>
          <w:lang w:val="en-GB"/>
        </w:rPr>
        <w:t xml:space="preserve"> Enhanced performance in the direct electrocatalytic synthesis of ammonia from N</w:t>
      </w:r>
      <w:r w:rsidRPr="0028049B">
        <w:rPr>
          <w:vertAlign w:val="subscript"/>
          <w:lang w:val="en-GB"/>
        </w:rPr>
        <w:t>2</w:t>
      </w:r>
      <w:r w:rsidRPr="0028049B">
        <w:rPr>
          <w:lang w:val="en-GB"/>
        </w:rPr>
        <w:t xml:space="preserve"> and H</w:t>
      </w:r>
      <w:r w:rsidRPr="0028049B">
        <w:rPr>
          <w:vertAlign w:val="subscript"/>
          <w:lang w:val="en-GB"/>
        </w:rPr>
        <w:t>2</w:t>
      </w:r>
      <w:r w:rsidRPr="0028049B">
        <w:rPr>
          <w:lang w:val="en-GB"/>
        </w:rPr>
        <w:t>O by an in-situ electrochemical activation of CNT-supported iron oxide nanoparticles</w:t>
      </w:r>
      <w:r w:rsidR="0092639A">
        <w:rPr>
          <w:lang w:val="en-GB"/>
        </w:rPr>
        <w:t>,</w:t>
      </w:r>
      <w:r w:rsidRPr="0028049B">
        <w:rPr>
          <w:lang w:val="en-GB"/>
        </w:rPr>
        <w:t xml:space="preserve"> </w:t>
      </w:r>
      <w:r w:rsidRPr="0094376E">
        <w:rPr>
          <w:lang w:val="en-GB"/>
        </w:rPr>
        <w:t>Journal of Energy Chemistry</w:t>
      </w:r>
      <w:r w:rsidRPr="0028049B">
        <w:rPr>
          <w:lang w:val="en-GB"/>
        </w:rPr>
        <w:t>, 49, 22–32.</w:t>
      </w:r>
    </w:p>
    <w:p w14:paraId="50A47BC7" w14:textId="33481F6F" w:rsidR="00537FF8" w:rsidRPr="0028049B" w:rsidRDefault="00537FF8" w:rsidP="001B45D6">
      <w:pPr>
        <w:pStyle w:val="CETBodytext"/>
        <w:spacing w:line="240" w:lineRule="auto"/>
        <w:ind w:left="284" w:hanging="284"/>
        <w:rPr>
          <w:lang w:val="en-GB"/>
        </w:rPr>
      </w:pPr>
      <w:proofErr w:type="spellStart"/>
      <w:r w:rsidRPr="0028049B">
        <w:rPr>
          <w:lang w:val="en-GB"/>
        </w:rPr>
        <w:t>Einsle</w:t>
      </w:r>
      <w:proofErr w:type="spellEnd"/>
      <w:r w:rsidRPr="0028049B">
        <w:rPr>
          <w:lang w:val="en-GB"/>
        </w:rPr>
        <w:t>, O.</w:t>
      </w:r>
      <w:r w:rsidR="0094376E">
        <w:rPr>
          <w:lang w:val="en-GB"/>
        </w:rPr>
        <w:t xml:space="preserve">, </w:t>
      </w:r>
      <w:r w:rsidRPr="0028049B">
        <w:rPr>
          <w:lang w:val="en-GB"/>
        </w:rPr>
        <w:t>2014</w:t>
      </w:r>
      <w:r w:rsidR="0094376E">
        <w:rPr>
          <w:lang w:val="en-GB"/>
        </w:rPr>
        <w:t>,</w:t>
      </w:r>
      <w:r w:rsidRPr="0028049B">
        <w:rPr>
          <w:lang w:val="en-GB"/>
        </w:rPr>
        <w:t xml:space="preserve"> Nitrogenase </w:t>
      </w:r>
      <w:proofErr w:type="spellStart"/>
      <w:r w:rsidRPr="0028049B">
        <w:rPr>
          <w:lang w:val="en-GB"/>
        </w:rPr>
        <w:t>FeMo</w:t>
      </w:r>
      <w:proofErr w:type="spellEnd"/>
      <w:r w:rsidRPr="0028049B">
        <w:rPr>
          <w:lang w:val="en-GB"/>
        </w:rPr>
        <w:t xml:space="preserve"> cofactor: an atomic structure in three simple steps</w:t>
      </w:r>
      <w:r w:rsidR="0092639A">
        <w:rPr>
          <w:lang w:val="en-GB"/>
        </w:rPr>
        <w:t>,</w:t>
      </w:r>
      <w:r w:rsidRPr="0028049B">
        <w:rPr>
          <w:lang w:val="en-GB"/>
        </w:rPr>
        <w:t xml:space="preserve"> </w:t>
      </w:r>
      <w:r w:rsidRPr="0094376E">
        <w:rPr>
          <w:lang w:val="en-GB"/>
        </w:rPr>
        <w:t xml:space="preserve">JBIC Journal of Biological Inorganic Chemistry, </w:t>
      </w:r>
      <w:r w:rsidRPr="0028049B">
        <w:rPr>
          <w:lang w:val="en-GB"/>
        </w:rPr>
        <w:t>19(6), 737–745.</w:t>
      </w:r>
    </w:p>
    <w:p w14:paraId="512D7030" w14:textId="2C5C234F" w:rsidR="00537FF8" w:rsidRPr="0028049B" w:rsidRDefault="00537FF8" w:rsidP="00E531BD">
      <w:pPr>
        <w:pStyle w:val="CETBodytext"/>
        <w:ind w:left="284" w:hanging="284"/>
        <w:rPr>
          <w:lang w:val="en-GB"/>
        </w:rPr>
      </w:pPr>
      <w:r w:rsidRPr="0028049B">
        <w:rPr>
          <w:lang w:val="en-GB"/>
        </w:rPr>
        <w:t xml:space="preserve">Giusi, D., Miceli, M., Genovese, C., Centi, G., Perathoner, S. and </w:t>
      </w:r>
      <w:proofErr w:type="spellStart"/>
      <w:r w:rsidRPr="0028049B">
        <w:rPr>
          <w:lang w:val="en-GB"/>
        </w:rPr>
        <w:t>Ampelli</w:t>
      </w:r>
      <w:proofErr w:type="spellEnd"/>
      <w:r w:rsidRPr="0028049B">
        <w:rPr>
          <w:lang w:val="en-GB"/>
        </w:rPr>
        <w:t>, C.</w:t>
      </w:r>
      <w:r w:rsidR="0094376E">
        <w:rPr>
          <w:lang w:val="en-GB"/>
        </w:rPr>
        <w:t xml:space="preserve">, </w:t>
      </w:r>
      <w:r w:rsidRPr="0028049B">
        <w:rPr>
          <w:lang w:val="en-GB"/>
        </w:rPr>
        <w:t>2022</w:t>
      </w:r>
      <w:proofErr w:type="gramStart"/>
      <w:r w:rsidR="0094376E">
        <w:rPr>
          <w:lang w:val="en-GB"/>
        </w:rPr>
        <w:t>,</w:t>
      </w:r>
      <w:r w:rsidRPr="0028049B">
        <w:rPr>
          <w:lang w:val="en-GB"/>
        </w:rPr>
        <w:t xml:space="preserve"> </w:t>
      </w:r>
      <w:r w:rsidR="0094376E">
        <w:rPr>
          <w:lang w:val="en-GB"/>
        </w:rPr>
        <w:t>,</w:t>
      </w:r>
      <w:r w:rsidRPr="0028049B">
        <w:rPr>
          <w:lang w:val="en-GB"/>
        </w:rPr>
        <w:t>In</w:t>
      </w:r>
      <w:proofErr w:type="gramEnd"/>
      <w:r w:rsidRPr="0028049B">
        <w:rPr>
          <w:lang w:val="en-GB"/>
        </w:rPr>
        <w:t xml:space="preserve"> situ electrochemical characterization of </w:t>
      </w:r>
      <w:proofErr w:type="spellStart"/>
      <w:r w:rsidRPr="0028049B">
        <w:rPr>
          <w:lang w:val="en-GB"/>
        </w:rPr>
        <w:t>Cu</w:t>
      </w:r>
      <w:r w:rsidRPr="0028049B">
        <w:rPr>
          <w:vertAlign w:val="subscript"/>
          <w:lang w:val="en-GB"/>
        </w:rPr>
        <w:t>x</w:t>
      </w:r>
      <w:r w:rsidRPr="0028049B">
        <w:rPr>
          <w:lang w:val="en-GB"/>
        </w:rPr>
        <w:t>O</w:t>
      </w:r>
      <w:proofErr w:type="spellEnd"/>
      <w:r w:rsidRPr="0028049B">
        <w:rPr>
          <w:lang w:val="en-GB"/>
        </w:rPr>
        <w:t>-based gas-diffusion electrodes (GDEs) for CO</w:t>
      </w:r>
      <w:r w:rsidRPr="0028049B">
        <w:rPr>
          <w:vertAlign w:val="subscript"/>
          <w:lang w:val="en-GB"/>
        </w:rPr>
        <w:t>2</w:t>
      </w:r>
      <w:r w:rsidRPr="0028049B">
        <w:rPr>
          <w:lang w:val="en-GB"/>
        </w:rPr>
        <w:t xml:space="preserve"> electrocatalytic reduction in presence and absence of liquid electrolyte and relationship with C</w:t>
      </w:r>
      <w:r w:rsidRPr="0028049B">
        <w:rPr>
          <w:vertAlign w:val="subscript"/>
          <w:lang w:val="en-GB"/>
        </w:rPr>
        <w:t>2+</w:t>
      </w:r>
      <w:r w:rsidRPr="0028049B">
        <w:rPr>
          <w:lang w:val="en-GB"/>
        </w:rPr>
        <w:t xml:space="preserve"> products formation</w:t>
      </w:r>
      <w:r w:rsidR="0092639A">
        <w:rPr>
          <w:lang w:val="en-GB"/>
        </w:rPr>
        <w:t>,</w:t>
      </w:r>
      <w:r w:rsidRPr="0028049B">
        <w:rPr>
          <w:lang w:val="en-GB"/>
        </w:rPr>
        <w:t xml:space="preserve"> </w:t>
      </w:r>
      <w:r w:rsidRPr="0094376E">
        <w:rPr>
          <w:lang w:val="en-GB"/>
        </w:rPr>
        <w:t>Applied Catalysis B: Environmental,</w:t>
      </w:r>
      <w:r w:rsidRPr="0028049B">
        <w:rPr>
          <w:lang w:val="en-GB"/>
        </w:rPr>
        <w:t xml:space="preserve"> 318, 121845.</w:t>
      </w:r>
    </w:p>
    <w:p w14:paraId="5735B4AF" w14:textId="2C9A361F" w:rsidR="00537FF8" w:rsidRPr="0028049B" w:rsidRDefault="00537FF8" w:rsidP="001B45D6">
      <w:pPr>
        <w:pStyle w:val="CETBodytext"/>
        <w:spacing w:line="240" w:lineRule="auto"/>
        <w:ind w:left="284" w:hanging="284"/>
        <w:rPr>
          <w:lang w:val="en-GB"/>
        </w:rPr>
      </w:pPr>
      <w:r w:rsidRPr="00737259">
        <w:t>Guo, X.-X., Du, H., Qu, F. and Li, J.</w:t>
      </w:r>
      <w:r w:rsidR="0094376E">
        <w:t>,</w:t>
      </w:r>
      <w:r w:rsidRPr="00737259">
        <w:t xml:space="preserve"> 2019</w:t>
      </w:r>
      <w:r w:rsidR="0094376E">
        <w:t>,</w:t>
      </w:r>
      <w:r w:rsidRPr="00737259">
        <w:t xml:space="preserve"> </w:t>
      </w:r>
      <w:r w:rsidRPr="0028049B">
        <w:rPr>
          <w:lang w:val="en-GB"/>
        </w:rPr>
        <w:t>Recent progress in electrocatalytic nitrogen reduction</w:t>
      </w:r>
      <w:r w:rsidR="0092639A">
        <w:rPr>
          <w:lang w:val="en-GB"/>
        </w:rPr>
        <w:t>,</w:t>
      </w:r>
      <w:r w:rsidRPr="0028049B">
        <w:rPr>
          <w:lang w:val="en-GB"/>
        </w:rPr>
        <w:t xml:space="preserve"> </w:t>
      </w:r>
      <w:r w:rsidRPr="0094376E">
        <w:rPr>
          <w:lang w:val="en-GB"/>
        </w:rPr>
        <w:t xml:space="preserve">Journal of materials chemistry. </w:t>
      </w:r>
      <w:proofErr w:type="gramStart"/>
      <w:r w:rsidRPr="0094376E">
        <w:rPr>
          <w:lang w:val="en-GB"/>
        </w:rPr>
        <w:t>A,</w:t>
      </w:r>
      <w:proofErr w:type="gramEnd"/>
      <w:r w:rsidRPr="0094376E">
        <w:rPr>
          <w:lang w:val="en-GB"/>
        </w:rPr>
        <w:t xml:space="preserve"> Materials for energy and sustainability</w:t>
      </w:r>
      <w:r w:rsidRPr="0028049B">
        <w:rPr>
          <w:lang w:val="en-GB"/>
        </w:rPr>
        <w:t>, 7(8), 3531–3543.</w:t>
      </w:r>
    </w:p>
    <w:p w14:paraId="42616FD8" w14:textId="49203DFC" w:rsidR="00537FF8" w:rsidRPr="00E87E81" w:rsidRDefault="00537FF8" w:rsidP="001D6203">
      <w:pPr>
        <w:pStyle w:val="CETBodytext"/>
        <w:spacing w:line="240" w:lineRule="auto"/>
        <w:ind w:left="284" w:hanging="284"/>
        <w:rPr>
          <w:lang w:val="en-GB"/>
        </w:rPr>
      </w:pPr>
      <w:r w:rsidRPr="00E87E81">
        <w:rPr>
          <w:lang w:val="en-GB"/>
        </w:rPr>
        <w:t xml:space="preserve">Hirsch, A. and </w:t>
      </w:r>
      <w:proofErr w:type="spellStart"/>
      <w:r w:rsidRPr="00E87E81">
        <w:rPr>
          <w:lang w:val="en-GB"/>
        </w:rPr>
        <w:t>Vostrowsky</w:t>
      </w:r>
      <w:proofErr w:type="spellEnd"/>
      <w:r w:rsidRPr="00E87E81">
        <w:rPr>
          <w:lang w:val="en-GB"/>
        </w:rPr>
        <w:t>, O.</w:t>
      </w:r>
      <w:r w:rsidR="0094376E">
        <w:rPr>
          <w:lang w:val="en-GB"/>
        </w:rPr>
        <w:t xml:space="preserve">, </w:t>
      </w:r>
      <w:r w:rsidRPr="00E87E81">
        <w:rPr>
          <w:lang w:val="en-GB"/>
        </w:rPr>
        <w:t>2005</w:t>
      </w:r>
      <w:r w:rsidR="0094376E">
        <w:rPr>
          <w:lang w:val="en-GB"/>
        </w:rPr>
        <w:t>,</w:t>
      </w:r>
      <w:r w:rsidRPr="00E87E81">
        <w:rPr>
          <w:lang w:val="en-GB"/>
        </w:rPr>
        <w:t xml:space="preserve"> Functionalization of Carbon Nanotubes</w:t>
      </w:r>
      <w:r w:rsidR="0094376E">
        <w:rPr>
          <w:lang w:val="en-GB"/>
        </w:rPr>
        <w:t>,</w:t>
      </w:r>
      <w:r w:rsidRPr="00E87E81">
        <w:rPr>
          <w:lang w:val="en-GB"/>
        </w:rPr>
        <w:t xml:space="preserve"> </w:t>
      </w:r>
      <w:r w:rsidRPr="0094376E">
        <w:rPr>
          <w:lang w:val="en-GB"/>
        </w:rPr>
        <w:t>Topics in current chemistry,</w:t>
      </w:r>
      <w:r w:rsidRPr="00E87E81">
        <w:rPr>
          <w:lang w:val="en-GB"/>
        </w:rPr>
        <w:t xml:space="preserve"> 193–237.</w:t>
      </w:r>
    </w:p>
    <w:p w14:paraId="2F0C9C3E" w14:textId="18F7C05C" w:rsidR="00537FF8" w:rsidRPr="0028049B" w:rsidRDefault="00537FF8" w:rsidP="001B45D6">
      <w:pPr>
        <w:pStyle w:val="CETBodytext"/>
        <w:spacing w:line="240" w:lineRule="auto"/>
        <w:ind w:left="284" w:hanging="284"/>
        <w:rPr>
          <w:lang w:val="en-GB"/>
        </w:rPr>
      </w:pPr>
      <w:r w:rsidRPr="0028049B">
        <w:rPr>
          <w:lang w:val="en-GB"/>
        </w:rPr>
        <w:t>Li, D., Zan, L., Chen, S., Shi, Z.-J., Chen, P., Xi, Z. and Deng, D.</w:t>
      </w:r>
      <w:r w:rsidR="0094376E">
        <w:rPr>
          <w:lang w:val="en-GB"/>
        </w:rPr>
        <w:t>,</w:t>
      </w:r>
      <w:r w:rsidRPr="0028049B">
        <w:rPr>
          <w:lang w:val="en-GB"/>
        </w:rPr>
        <w:t xml:space="preserve"> 2022</w:t>
      </w:r>
      <w:r w:rsidR="0094376E">
        <w:rPr>
          <w:lang w:val="en-GB"/>
        </w:rPr>
        <w:t>,</w:t>
      </w:r>
      <w:r w:rsidRPr="0028049B">
        <w:rPr>
          <w:lang w:val="en-GB"/>
        </w:rPr>
        <w:t xml:space="preserve"> Direct conversion of N</w:t>
      </w:r>
      <w:r w:rsidRPr="0028049B">
        <w:rPr>
          <w:vertAlign w:val="subscript"/>
          <w:lang w:val="en-GB"/>
        </w:rPr>
        <w:t>2</w:t>
      </w:r>
      <w:r w:rsidRPr="0028049B">
        <w:rPr>
          <w:lang w:val="en-GB"/>
        </w:rPr>
        <w:t xml:space="preserve"> and O</w:t>
      </w:r>
      <w:r w:rsidRPr="0028049B">
        <w:rPr>
          <w:vertAlign w:val="subscript"/>
          <w:lang w:val="en-GB"/>
        </w:rPr>
        <w:t>2</w:t>
      </w:r>
      <w:r w:rsidRPr="0028049B">
        <w:rPr>
          <w:lang w:val="en-GB"/>
        </w:rPr>
        <w:t>: status, challenge, and perspective</w:t>
      </w:r>
      <w:r w:rsidR="0094376E">
        <w:rPr>
          <w:lang w:val="en-GB"/>
        </w:rPr>
        <w:t>,</w:t>
      </w:r>
      <w:r w:rsidRPr="0028049B">
        <w:rPr>
          <w:lang w:val="en-GB"/>
        </w:rPr>
        <w:t> </w:t>
      </w:r>
      <w:r w:rsidRPr="00737259">
        <w:rPr>
          <w:lang w:val="en-GB"/>
        </w:rPr>
        <w:t>National Science Review</w:t>
      </w:r>
      <w:r w:rsidR="0094376E">
        <w:rPr>
          <w:lang w:val="en-GB"/>
        </w:rPr>
        <w:t xml:space="preserve">, 9(12), </w:t>
      </w:r>
      <w:r w:rsidR="0094376E" w:rsidRPr="0094376E">
        <w:rPr>
          <w:lang w:val="en-GB"/>
        </w:rPr>
        <w:t>2095-5138</w:t>
      </w:r>
      <w:r w:rsidR="0094376E">
        <w:rPr>
          <w:lang w:val="en-GB"/>
        </w:rPr>
        <w:t>.</w:t>
      </w:r>
    </w:p>
    <w:p w14:paraId="11D2CA26" w14:textId="567E3A4B" w:rsidR="00537FF8" w:rsidRPr="0028049B" w:rsidRDefault="00537FF8" w:rsidP="003F2A52">
      <w:pPr>
        <w:pStyle w:val="CETBodytext"/>
        <w:spacing w:line="240" w:lineRule="auto"/>
        <w:ind w:left="284" w:hanging="284"/>
        <w:rPr>
          <w:lang w:val="en-GB"/>
        </w:rPr>
      </w:pPr>
      <w:r w:rsidRPr="0028049B">
        <w:rPr>
          <w:lang w:val="en-GB"/>
        </w:rPr>
        <w:t>Liu, M., Zhang, S., Chen, M., Zhou, S. and Wu, L.</w:t>
      </w:r>
      <w:r w:rsidR="00DD64E6">
        <w:rPr>
          <w:lang w:val="en-GB"/>
        </w:rPr>
        <w:t>,</w:t>
      </w:r>
      <w:r w:rsidRPr="0028049B">
        <w:rPr>
          <w:lang w:val="en-GB"/>
        </w:rPr>
        <w:t xml:space="preserve"> 2023</w:t>
      </w:r>
      <w:r w:rsidR="00DD64E6">
        <w:rPr>
          <w:lang w:val="en-GB"/>
        </w:rPr>
        <w:t>,</w:t>
      </w:r>
      <w:r w:rsidRPr="0028049B">
        <w:rPr>
          <w:lang w:val="en-GB"/>
        </w:rPr>
        <w:t xml:space="preserve"> An isolated bimetallic Fe–Ru single-atom catalyst for efficient electrochemical nitrogen reduction</w:t>
      </w:r>
      <w:r w:rsidR="0092639A">
        <w:rPr>
          <w:lang w:val="en-GB"/>
        </w:rPr>
        <w:t>,</w:t>
      </w:r>
      <w:r w:rsidRPr="0028049B">
        <w:rPr>
          <w:lang w:val="en-GB"/>
        </w:rPr>
        <w:t xml:space="preserve"> </w:t>
      </w:r>
      <w:r w:rsidRPr="00DD64E6">
        <w:rPr>
          <w:lang w:val="en-GB"/>
        </w:rPr>
        <w:t>Journal of Materials Chemistry A</w:t>
      </w:r>
      <w:r w:rsidR="00DD64E6">
        <w:rPr>
          <w:lang w:val="en-GB"/>
        </w:rPr>
        <w:t>,</w:t>
      </w:r>
      <w:r w:rsidRPr="0028049B">
        <w:rPr>
          <w:lang w:val="en-GB"/>
        </w:rPr>
        <w:t xml:space="preserve"> 11(27), 14900–14910. </w:t>
      </w:r>
    </w:p>
    <w:p w14:paraId="5EA1BC31" w14:textId="08BE533F" w:rsidR="00537FF8" w:rsidRPr="0028049B" w:rsidRDefault="00537FF8" w:rsidP="001B45D6">
      <w:pPr>
        <w:pStyle w:val="CETBodytext"/>
        <w:spacing w:line="240" w:lineRule="auto"/>
        <w:ind w:left="284" w:hanging="284"/>
        <w:rPr>
          <w:lang w:val="en-GB"/>
        </w:rPr>
      </w:pPr>
      <w:r w:rsidRPr="0028049B">
        <w:rPr>
          <w:lang w:val="en-GB"/>
        </w:rPr>
        <w:t>Park, J., Ko, Y. J., Lim, C., Kim, H., Min, B. K., Lee, K. Y., Koh, J. H., Oh, H. S., &amp; Lee, W. H.</w:t>
      </w:r>
      <w:r w:rsidR="00DD64E6">
        <w:rPr>
          <w:lang w:val="en-GB"/>
        </w:rPr>
        <w:t>,</w:t>
      </w:r>
      <w:r w:rsidRPr="0028049B">
        <w:rPr>
          <w:lang w:val="en-GB"/>
        </w:rPr>
        <w:t xml:space="preserve"> 2023</w:t>
      </w:r>
      <w:r w:rsidR="00DD64E6">
        <w:rPr>
          <w:lang w:val="en-GB"/>
        </w:rPr>
        <w:t>,</w:t>
      </w:r>
      <w:r w:rsidRPr="0028049B">
        <w:rPr>
          <w:lang w:val="en-GB"/>
        </w:rPr>
        <w:t xml:space="preserve"> Strategies for CO</w:t>
      </w:r>
      <w:r w:rsidRPr="0028049B">
        <w:rPr>
          <w:vertAlign w:val="subscript"/>
          <w:lang w:val="en-GB"/>
        </w:rPr>
        <w:t>2</w:t>
      </w:r>
      <w:r w:rsidRPr="0028049B">
        <w:rPr>
          <w:lang w:val="en-GB"/>
        </w:rPr>
        <w:t xml:space="preserve"> electroreduction in cation exchange membrane electrode assembly</w:t>
      </w:r>
      <w:r w:rsidR="0092639A">
        <w:rPr>
          <w:lang w:val="en-GB"/>
        </w:rPr>
        <w:t>,</w:t>
      </w:r>
      <w:r w:rsidRPr="0028049B">
        <w:rPr>
          <w:lang w:val="en-GB"/>
        </w:rPr>
        <w:t xml:space="preserve"> </w:t>
      </w:r>
      <w:r w:rsidRPr="00DD64E6">
        <w:rPr>
          <w:lang w:val="en-GB"/>
        </w:rPr>
        <w:t>Chemical Engineering Journal</w:t>
      </w:r>
      <w:r w:rsidRPr="0028049B">
        <w:rPr>
          <w:lang w:val="en-GB"/>
        </w:rPr>
        <w:t>, 453,</w:t>
      </w:r>
      <w:r w:rsidR="00DD64E6">
        <w:rPr>
          <w:lang w:val="en-GB"/>
        </w:rPr>
        <w:t xml:space="preserve"> </w:t>
      </w:r>
      <w:r w:rsidRPr="0028049B">
        <w:rPr>
          <w:lang w:val="en-GB"/>
        </w:rPr>
        <w:t>139826–139826.</w:t>
      </w:r>
    </w:p>
    <w:p w14:paraId="7DBD79F7" w14:textId="1F90E709" w:rsidR="00537FF8" w:rsidRPr="0028049B" w:rsidRDefault="00537FF8" w:rsidP="001B45D6">
      <w:pPr>
        <w:pStyle w:val="CETBodytext"/>
        <w:spacing w:line="240" w:lineRule="auto"/>
        <w:ind w:left="284" w:hanging="284"/>
        <w:rPr>
          <w:lang w:val="en-GB"/>
        </w:rPr>
      </w:pPr>
      <w:r w:rsidRPr="0028049B">
        <w:rPr>
          <w:lang w:val="en-GB"/>
        </w:rPr>
        <w:t>Rafiqul, I., Weber, C., Lehmann, B. and Voss, A.</w:t>
      </w:r>
      <w:r w:rsidR="00DD64E6">
        <w:rPr>
          <w:lang w:val="en-GB"/>
        </w:rPr>
        <w:t>,</w:t>
      </w:r>
      <w:r w:rsidRPr="0028049B">
        <w:rPr>
          <w:lang w:val="en-GB"/>
        </w:rPr>
        <w:t xml:space="preserve"> 2005</w:t>
      </w:r>
      <w:r w:rsidR="00DD64E6">
        <w:rPr>
          <w:lang w:val="en-GB"/>
        </w:rPr>
        <w:t>,</w:t>
      </w:r>
      <w:r w:rsidRPr="0028049B">
        <w:rPr>
          <w:lang w:val="en-GB"/>
        </w:rPr>
        <w:t xml:space="preserve"> Energy efficiency improvements in ammonia production—perspectives and uncertainties</w:t>
      </w:r>
      <w:r w:rsidR="0092639A">
        <w:rPr>
          <w:lang w:val="en-GB"/>
        </w:rPr>
        <w:t>,</w:t>
      </w:r>
      <w:r w:rsidRPr="0028049B">
        <w:rPr>
          <w:lang w:val="en-GB"/>
        </w:rPr>
        <w:t xml:space="preserve"> </w:t>
      </w:r>
      <w:r w:rsidRPr="00DD64E6">
        <w:rPr>
          <w:lang w:val="en-GB"/>
        </w:rPr>
        <w:t>Energy</w:t>
      </w:r>
      <w:r w:rsidRPr="0028049B">
        <w:rPr>
          <w:lang w:val="en-GB"/>
        </w:rPr>
        <w:t>, 30(13), 2487–2504.</w:t>
      </w:r>
    </w:p>
    <w:p w14:paraId="68FCF496" w14:textId="40A95DD9" w:rsidR="00537FF8" w:rsidRPr="0028049B" w:rsidRDefault="00537FF8" w:rsidP="00951B89">
      <w:pPr>
        <w:pStyle w:val="CETBodytext"/>
        <w:spacing w:line="240" w:lineRule="auto"/>
        <w:ind w:left="284" w:hanging="284"/>
        <w:rPr>
          <w:lang w:val="en-GB"/>
        </w:rPr>
      </w:pPr>
      <w:proofErr w:type="spellStart"/>
      <w:r w:rsidRPr="0028049B">
        <w:rPr>
          <w:lang w:val="en-GB"/>
        </w:rPr>
        <w:t>Rouwenhorst</w:t>
      </w:r>
      <w:proofErr w:type="spellEnd"/>
      <w:r w:rsidRPr="0028049B">
        <w:rPr>
          <w:lang w:val="en-GB"/>
        </w:rPr>
        <w:t>, K.H.R., Krzywda, P.M., Benes, N.E., Mul, G. and Lefferts, L.</w:t>
      </w:r>
      <w:r w:rsidR="00DD64E6">
        <w:rPr>
          <w:lang w:val="en-GB"/>
        </w:rPr>
        <w:t>,</w:t>
      </w:r>
      <w:r w:rsidRPr="0028049B">
        <w:rPr>
          <w:lang w:val="en-GB"/>
        </w:rPr>
        <w:t xml:space="preserve"> 2021</w:t>
      </w:r>
      <w:r w:rsidR="00DD64E6">
        <w:rPr>
          <w:lang w:val="en-GB"/>
        </w:rPr>
        <w:t>,</w:t>
      </w:r>
      <w:r w:rsidRPr="0028049B">
        <w:rPr>
          <w:lang w:val="en-GB"/>
        </w:rPr>
        <w:t xml:space="preserve"> Ammonia Production Technologies</w:t>
      </w:r>
      <w:r w:rsidR="0092639A">
        <w:rPr>
          <w:lang w:val="en-GB"/>
        </w:rPr>
        <w:t>,</w:t>
      </w:r>
      <w:r w:rsidRPr="00DD64E6">
        <w:rPr>
          <w:lang w:val="en-GB"/>
        </w:rPr>
        <w:t> Techno-Economic Challenges of Green Ammonia as an Energy Vector</w:t>
      </w:r>
      <w:r w:rsidRPr="0028049B">
        <w:rPr>
          <w:lang w:val="en-GB"/>
        </w:rPr>
        <w:t>, 41–83.</w:t>
      </w:r>
    </w:p>
    <w:p w14:paraId="4B400212" w14:textId="79FB6E49" w:rsidR="00537FF8" w:rsidRPr="0028049B" w:rsidRDefault="00537FF8" w:rsidP="001B45D6">
      <w:pPr>
        <w:pStyle w:val="CETBodytext"/>
        <w:spacing w:line="240" w:lineRule="auto"/>
        <w:ind w:left="284" w:hanging="284"/>
        <w:rPr>
          <w:lang w:val="en-GB"/>
        </w:rPr>
      </w:pPr>
      <w:r w:rsidRPr="0028049B">
        <w:rPr>
          <w:lang w:val="en-GB"/>
        </w:rPr>
        <w:t>Sahoo, S. K., Agarwal, K., Singh, A. K., Polke, B. G., and Raha, K. C.</w:t>
      </w:r>
      <w:r w:rsidR="00DD64E6">
        <w:rPr>
          <w:lang w:val="en-GB"/>
        </w:rPr>
        <w:t>,</w:t>
      </w:r>
      <w:r w:rsidRPr="0028049B">
        <w:rPr>
          <w:lang w:val="en-GB"/>
        </w:rPr>
        <w:t xml:space="preserve"> 2011</w:t>
      </w:r>
      <w:r w:rsidR="00DD64E6">
        <w:rPr>
          <w:lang w:val="en-GB"/>
        </w:rPr>
        <w:t>,</w:t>
      </w:r>
      <w:r w:rsidRPr="0028049B">
        <w:rPr>
          <w:lang w:val="en-GB"/>
        </w:rPr>
        <w:t xml:space="preserve"> Characterization of γ</w:t>
      </w:r>
      <w:proofErr w:type="gramStart"/>
      <w:r w:rsidRPr="0028049B">
        <w:rPr>
          <w:lang w:val="en-GB"/>
        </w:rPr>
        <w:t>-  and</w:t>
      </w:r>
      <w:proofErr w:type="gramEnd"/>
      <w:r w:rsidRPr="0028049B">
        <w:rPr>
          <w:lang w:val="en-GB"/>
        </w:rPr>
        <w:t xml:space="preserve">  α-Fe</w:t>
      </w:r>
      <w:r w:rsidRPr="0028049B">
        <w:rPr>
          <w:vertAlign w:val="subscript"/>
          <w:lang w:val="en-GB"/>
        </w:rPr>
        <w:t>2</w:t>
      </w:r>
      <w:r w:rsidRPr="0028049B">
        <w:rPr>
          <w:lang w:val="en-GB"/>
        </w:rPr>
        <w:t>O</w:t>
      </w:r>
      <w:r w:rsidRPr="0028049B">
        <w:rPr>
          <w:vertAlign w:val="subscript"/>
          <w:lang w:val="en-GB"/>
        </w:rPr>
        <w:t>3</w:t>
      </w:r>
      <w:r w:rsidRPr="0028049B">
        <w:rPr>
          <w:lang w:val="en-GB"/>
        </w:rPr>
        <w:t xml:space="preserve"> nano  powders synthesized  by  emulsion precipitation-calcination route and rheological behaviour of α-Fe</w:t>
      </w:r>
      <w:r w:rsidRPr="0028049B">
        <w:rPr>
          <w:vertAlign w:val="subscript"/>
          <w:lang w:val="en-GB"/>
        </w:rPr>
        <w:t>2</w:t>
      </w:r>
      <w:r w:rsidRPr="0028049B">
        <w:rPr>
          <w:lang w:val="en-GB"/>
        </w:rPr>
        <w:t>O</w:t>
      </w:r>
      <w:r w:rsidRPr="0028049B">
        <w:rPr>
          <w:vertAlign w:val="subscript"/>
          <w:lang w:val="en-GB"/>
        </w:rPr>
        <w:t>3</w:t>
      </w:r>
      <w:r w:rsidR="0092639A">
        <w:rPr>
          <w:lang w:val="en-GB"/>
        </w:rPr>
        <w:t>,</w:t>
      </w:r>
      <w:r w:rsidRPr="0028049B">
        <w:rPr>
          <w:lang w:val="en-GB"/>
        </w:rPr>
        <w:t xml:space="preserve"> </w:t>
      </w:r>
      <w:r w:rsidRPr="00DD64E6">
        <w:rPr>
          <w:lang w:val="en-GB"/>
        </w:rPr>
        <w:t>International Journal of Engineering, Science and Technology</w:t>
      </w:r>
      <w:r w:rsidRPr="0028049B">
        <w:rPr>
          <w:lang w:val="en-GB"/>
        </w:rPr>
        <w:t>, 2(8).</w:t>
      </w:r>
    </w:p>
    <w:p w14:paraId="719C55BC" w14:textId="4EDE943C" w:rsidR="00537FF8" w:rsidRPr="0028049B" w:rsidRDefault="00537FF8" w:rsidP="001B45D6">
      <w:pPr>
        <w:pStyle w:val="CETBodytext"/>
        <w:spacing w:line="240" w:lineRule="auto"/>
        <w:ind w:left="284" w:hanging="284"/>
        <w:rPr>
          <w:lang w:val="en-GB"/>
        </w:rPr>
      </w:pPr>
      <w:r w:rsidRPr="0028049B">
        <w:rPr>
          <w:lang w:val="en-GB"/>
        </w:rPr>
        <w:t>Schrock, R.R.</w:t>
      </w:r>
      <w:r w:rsidR="00DD64E6">
        <w:rPr>
          <w:lang w:val="en-GB"/>
        </w:rPr>
        <w:t>,</w:t>
      </w:r>
      <w:r w:rsidRPr="0028049B">
        <w:rPr>
          <w:lang w:val="en-GB"/>
        </w:rPr>
        <w:t xml:space="preserve"> 2006</w:t>
      </w:r>
      <w:r w:rsidR="00DD64E6">
        <w:rPr>
          <w:lang w:val="en-GB"/>
        </w:rPr>
        <w:t>,</w:t>
      </w:r>
      <w:r w:rsidRPr="0028049B">
        <w:rPr>
          <w:lang w:val="en-GB"/>
        </w:rPr>
        <w:t xml:space="preserve"> Reduction of dinitrogen</w:t>
      </w:r>
      <w:r w:rsidR="0092639A">
        <w:rPr>
          <w:lang w:val="en-GB"/>
        </w:rPr>
        <w:t>,</w:t>
      </w:r>
      <w:r w:rsidRPr="0028049B">
        <w:rPr>
          <w:lang w:val="en-GB"/>
        </w:rPr>
        <w:t xml:space="preserve"> </w:t>
      </w:r>
      <w:r w:rsidRPr="00DD64E6">
        <w:rPr>
          <w:lang w:val="en-GB"/>
        </w:rPr>
        <w:t>Proceedings of the National Academy of Sciences,</w:t>
      </w:r>
      <w:r w:rsidRPr="0028049B">
        <w:rPr>
          <w:lang w:val="en-GB"/>
        </w:rPr>
        <w:t xml:space="preserve"> 103(46), 17087–17087</w:t>
      </w:r>
    </w:p>
    <w:p w14:paraId="15920E67" w14:textId="4C92311A" w:rsidR="00537FF8" w:rsidRPr="0028049B" w:rsidRDefault="00537FF8" w:rsidP="001B45D6">
      <w:pPr>
        <w:pStyle w:val="CETBodytext"/>
        <w:spacing w:line="240" w:lineRule="auto"/>
        <w:ind w:left="284" w:hanging="284"/>
        <w:rPr>
          <w:lang w:val="en-GB"/>
        </w:rPr>
      </w:pPr>
      <w:r w:rsidRPr="00737259">
        <w:t xml:space="preserve">Tavella, F., Giusi, D. and </w:t>
      </w:r>
      <w:proofErr w:type="spellStart"/>
      <w:r w:rsidRPr="00737259">
        <w:t>Ampelli</w:t>
      </w:r>
      <w:proofErr w:type="spellEnd"/>
      <w:r w:rsidRPr="00737259">
        <w:t>, C.</w:t>
      </w:r>
      <w:r w:rsidR="00DD64E6">
        <w:t>,</w:t>
      </w:r>
      <w:r w:rsidRPr="00737259">
        <w:t xml:space="preserve"> 2022</w:t>
      </w:r>
      <w:r w:rsidR="00DD64E6">
        <w:t>,</w:t>
      </w:r>
      <w:r w:rsidRPr="00737259">
        <w:t xml:space="preserve"> </w:t>
      </w:r>
      <w:r w:rsidRPr="0028049B">
        <w:rPr>
          <w:lang w:val="en-GB"/>
        </w:rPr>
        <w:t>Nitrogen reduction reaction to ammonia at ambient conditions: A short review analysis of the critical factors limiting electrocatalytic performance</w:t>
      </w:r>
      <w:r w:rsidR="0092639A">
        <w:rPr>
          <w:lang w:val="en-GB"/>
        </w:rPr>
        <w:t>,</w:t>
      </w:r>
      <w:r w:rsidRPr="0028049B">
        <w:rPr>
          <w:lang w:val="en-GB"/>
        </w:rPr>
        <w:t xml:space="preserve"> </w:t>
      </w:r>
      <w:r w:rsidRPr="00DD64E6">
        <w:rPr>
          <w:lang w:val="en-GB"/>
        </w:rPr>
        <w:t>Current Opinion in Green and Sustainable Chemistry</w:t>
      </w:r>
      <w:r w:rsidRPr="0028049B">
        <w:rPr>
          <w:lang w:val="en-GB"/>
        </w:rPr>
        <w:t>, 35, 100604.</w:t>
      </w:r>
    </w:p>
    <w:p w14:paraId="1F3F37B2" w14:textId="465DF33B" w:rsidR="00537FF8" w:rsidRPr="0028049B" w:rsidRDefault="00537FF8" w:rsidP="00297B7B">
      <w:pPr>
        <w:pStyle w:val="CETBodytext"/>
        <w:spacing w:line="240" w:lineRule="auto"/>
        <w:ind w:left="284" w:hanging="284"/>
        <w:rPr>
          <w:lang w:val="en-GB"/>
        </w:rPr>
      </w:pPr>
      <w:r w:rsidRPr="0028049B">
        <w:rPr>
          <w:lang w:val="en-GB"/>
        </w:rPr>
        <w:t>Tian, Y., Liu, Y., Wang, H., Liu, L. and Hu, W.</w:t>
      </w:r>
      <w:r w:rsidR="00DD64E6">
        <w:rPr>
          <w:lang w:val="en-GB"/>
        </w:rPr>
        <w:t>,</w:t>
      </w:r>
      <w:r w:rsidRPr="0028049B">
        <w:rPr>
          <w:lang w:val="en-GB"/>
        </w:rPr>
        <w:t xml:space="preserve"> 2022</w:t>
      </w:r>
      <w:r w:rsidR="00DD64E6">
        <w:rPr>
          <w:lang w:val="en-GB"/>
        </w:rPr>
        <w:t xml:space="preserve">, </w:t>
      </w:r>
      <w:r w:rsidRPr="0028049B">
        <w:rPr>
          <w:lang w:val="en-GB"/>
        </w:rPr>
        <w:t>Electrocatalytic Reduction of Nitrogen to Ammonia in Ionic Liquids</w:t>
      </w:r>
      <w:r w:rsidR="00DD64E6">
        <w:rPr>
          <w:lang w:val="en-GB"/>
        </w:rPr>
        <w:t>,</w:t>
      </w:r>
      <w:r w:rsidRPr="0028049B">
        <w:rPr>
          <w:lang w:val="en-GB"/>
        </w:rPr>
        <w:t xml:space="preserve"> </w:t>
      </w:r>
      <w:r w:rsidRPr="00DD64E6">
        <w:rPr>
          <w:lang w:val="en-GB"/>
        </w:rPr>
        <w:t>ACS Sustainable Chemistry &amp; Engineering</w:t>
      </w:r>
      <w:r w:rsidRPr="0028049B">
        <w:rPr>
          <w:lang w:val="en-GB"/>
        </w:rPr>
        <w:t>, 10(14), 4345–4358. ‌</w:t>
      </w:r>
    </w:p>
    <w:sectPr w:rsidR="00537FF8" w:rsidRPr="0028049B"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A2D0F" w14:textId="77777777" w:rsidR="00912DAC" w:rsidRPr="008D1ABC" w:rsidRDefault="00912DAC" w:rsidP="004F5E36">
      <w:r w:rsidRPr="008D1ABC">
        <w:separator/>
      </w:r>
    </w:p>
  </w:endnote>
  <w:endnote w:type="continuationSeparator" w:id="0">
    <w:p w14:paraId="0D36124D" w14:textId="77777777" w:rsidR="00912DAC" w:rsidRPr="008D1ABC" w:rsidRDefault="00912DAC" w:rsidP="004F5E36">
      <w:r w:rsidRPr="008D1ABC">
        <w:continuationSeparator/>
      </w:r>
    </w:p>
  </w:endnote>
  <w:endnote w:type="continuationNotice" w:id="1">
    <w:p w14:paraId="436AE773" w14:textId="77777777" w:rsidR="00912DAC" w:rsidRDefault="00912D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BEA84" w14:textId="77777777" w:rsidR="00912DAC" w:rsidRPr="008D1ABC" w:rsidRDefault="00912DAC" w:rsidP="004F5E36">
      <w:r w:rsidRPr="008D1ABC">
        <w:separator/>
      </w:r>
    </w:p>
  </w:footnote>
  <w:footnote w:type="continuationSeparator" w:id="0">
    <w:p w14:paraId="2A8646D7" w14:textId="77777777" w:rsidR="00912DAC" w:rsidRPr="008D1ABC" w:rsidRDefault="00912DAC" w:rsidP="004F5E36">
      <w:r w:rsidRPr="008D1ABC">
        <w:continuationSeparator/>
      </w:r>
    </w:p>
  </w:footnote>
  <w:footnote w:type="continuationNotice" w:id="1">
    <w:p w14:paraId="6887CBB9" w14:textId="77777777" w:rsidR="00912DAC" w:rsidRDefault="00912DA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1145040"/>
    <w:multiLevelType w:val="hybridMultilevel"/>
    <w:tmpl w:val="BAA4A252"/>
    <w:lvl w:ilvl="0" w:tplc="BEB25D68">
      <w:start w:val="1"/>
      <w:numFmt w:val="bullet"/>
      <w:lvlText w:val=""/>
      <w:lvlJc w:val="left"/>
      <w:pPr>
        <w:ind w:left="720" w:hanging="360"/>
      </w:pPr>
      <w:rPr>
        <w:rFonts w:ascii="Symbol" w:hAnsi="Symbol"/>
      </w:rPr>
    </w:lvl>
    <w:lvl w:ilvl="1" w:tplc="F29288F0">
      <w:start w:val="1"/>
      <w:numFmt w:val="bullet"/>
      <w:lvlText w:val=""/>
      <w:lvlJc w:val="left"/>
      <w:pPr>
        <w:ind w:left="720" w:hanging="360"/>
      </w:pPr>
      <w:rPr>
        <w:rFonts w:ascii="Symbol" w:hAnsi="Symbol"/>
      </w:rPr>
    </w:lvl>
    <w:lvl w:ilvl="2" w:tplc="DC0899C6">
      <w:start w:val="1"/>
      <w:numFmt w:val="bullet"/>
      <w:lvlText w:val=""/>
      <w:lvlJc w:val="left"/>
      <w:pPr>
        <w:ind w:left="720" w:hanging="360"/>
      </w:pPr>
      <w:rPr>
        <w:rFonts w:ascii="Symbol" w:hAnsi="Symbol"/>
      </w:rPr>
    </w:lvl>
    <w:lvl w:ilvl="3" w:tplc="D16C9E9C">
      <w:start w:val="1"/>
      <w:numFmt w:val="bullet"/>
      <w:lvlText w:val=""/>
      <w:lvlJc w:val="left"/>
      <w:pPr>
        <w:ind w:left="720" w:hanging="360"/>
      </w:pPr>
      <w:rPr>
        <w:rFonts w:ascii="Symbol" w:hAnsi="Symbol"/>
      </w:rPr>
    </w:lvl>
    <w:lvl w:ilvl="4" w:tplc="2D324748">
      <w:start w:val="1"/>
      <w:numFmt w:val="bullet"/>
      <w:lvlText w:val=""/>
      <w:lvlJc w:val="left"/>
      <w:pPr>
        <w:ind w:left="720" w:hanging="360"/>
      </w:pPr>
      <w:rPr>
        <w:rFonts w:ascii="Symbol" w:hAnsi="Symbol"/>
      </w:rPr>
    </w:lvl>
    <w:lvl w:ilvl="5" w:tplc="0B9A865A">
      <w:start w:val="1"/>
      <w:numFmt w:val="bullet"/>
      <w:lvlText w:val=""/>
      <w:lvlJc w:val="left"/>
      <w:pPr>
        <w:ind w:left="720" w:hanging="360"/>
      </w:pPr>
      <w:rPr>
        <w:rFonts w:ascii="Symbol" w:hAnsi="Symbol"/>
      </w:rPr>
    </w:lvl>
    <w:lvl w:ilvl="6" w:tplc="A8A070BE">
      <w:start w:val="1"/>
      <w:numFmt w:val="bullet"/>
      <w:lvlText w:val=""/>
      <w:lvlJc w:val="left"/>
      <w:pPr>
        <w:ind w:left="720" w:hanging="360"/>
      </w:pPr>
      <w:rPr>
        <w:rFonts w:ascii="Symbol" w:hAnsi="Symbol"/>
      </w:rPr>
    </w:lvl>
    <w:lvl w:ilvl="7" w:tplc="C220C194">
      <w:start w:val="1"/>
      <w:numFmt w:val="bullet"/>
      <w:lvlText w:val=""/>
      <w:lvlJc w:val="left"/>
      <w:pPr>
        <w:ind w:left="720" w:hanging="360"/>
      </w:pPr>
      <w:rPr>
        <w:rFonts w:ascii="Symbol" w:hAnsi="Symbol"/>
      </w:rPr>
    </w:lvl>
    <w:lvl w:ilvl="8" w:tplc="057E193A">
      <w:start w:val="1"/>
      <w:numFmt w:val="bullet"/>
      <w:lvlText w:val=""/>
      <w:lvlJc w:val="left"/>
      <w:pPr>
        <w:ind w:left="720" w:hanging="360"/>
      </w:pPr>
      <w:rPr>
        <w:rFonts w:ascii="Symbol" w:hAnsi="Symbol"/>
      </w:rPr>
    </w:lvl>
  </w:abstractNum>
  <w:abstractNum w:abstractNumId="11" w15:restartNumberingAfterBreak="0">
    <w:nsid w:val="11E235F0"/>
    <w:multiLevelType w:val="hybridMultilevel"/>
    <w:tmpl w:val="F3AA6A44"/>
    <w:lvl w:ilvl="0" w:tplc="1D349606">
      <w:start w:val="1"/>
      <w:numFmt w:val="bullet"/>
      <w:lvlText w:val=""/>
      <w:lvlJc w:val="left"/>
      <w:pPr>
        <w:ind w:left="720" w:hanging="360"/>
      </w:pPr>
      <w:rPr>
        <w:rFonts w:ascii="Symbol" w:hAnsi="Symbol"/>
      </w:rPr>
    </w:lvl>
    <w:lvl w:ilvl="1" w:tplc="EE04AAEC">
      <w:start w:val="1"/>
      <w:numFmt w:val="bullet"/>
      <w:lvlText w:val=""/>
      <w:lvlJc w:val="left"/>
      <w:pPr>
        <w:ind w:left="720" w:hanging="360"/>
      </w:pPr>
      <w:rPr>
        <w:rFonts w:ascii="Symbol" w:hAnsi="Symbol"/>
      </w:rPr>
    </w:lvl>
    <w:lvl w:ilvl="2" w:tplc="982C3C46">
      <w:start w:val="1"/>
      <w:numFmt w:val="bullet"/>
      <w:lvlText w:val=""/>
      <w:lvlJc w:val="left"/>
      <w:pPr>
        <w:ind w:left="720" w:hanging="360"/>
      </w:pPr>
      <w:rPr>
        <w:rFonts w:ascii="Symbol" w:hAnsi="Symbol"/>
      </w:rPr>
    </w:lvl>
    <w:lvl w:ilvl="3" w:tplc="A36623AA">
      <w:start w:val="1"/>
      <w:numFmt w:val="bullet"/>
      <w:lvlText w:val=""/>
      <w:lvlJc w:val="left"/>
      <w:pPr>
        <w:ind w:left="720" w:hanging="360"/>
      </w:pPr>
      <w:rPr>
        <w:rFonts w:ascii="Symbol" w:hAnsi="Symbol"/>
      </w:rPr>
    </w:lvl>
    <w:lvl w:ilvl="4" w:tplc="8216EA0A">
      <w:start w:val="1"/>
      <w:numFmt w:val="bullet"/>
      <w:lvlText w:val=""/>
      <w:lvlJc w:val="left"/>
      <w:pPr>
        <w:ind w:left="720" w:hanging="360"/>
      </w:pPr>
      <w:rPr>
        <w:rFonts w:ascii="Symbol" w:hAnsi="Symbol"/>
      </w:rPr>
    </w:lvl>
    <w:lvl w:ilvl="5" w:tplc="29B21BD4">
      <w:start w:val="1"/>
      <w:numFmt w:val="bullet"/>
      <w:lvlText w:val=""/>
      <w:lvlJc w:val="left"/>
      <w:pPr>
        <w:ind w:left="720" w:hanging="360"/>
      </w:pPr>
      <w:rPr>
        <w:rFonts w:ascii="Symbol" w:hAnsi="Symbol"/>
      </w:rPr>
    </w:lvl>
    <w:lvl w:ilvl="6" w:tplc="E724F944">
      <w:start w:val="1"/>
      <w:numFmt w:val="bullet"/>
      <w:lvlText w:val=""/>
      <w:lvlJc w:val="left"/>
      <w:pPr>
        <w:ind w:left="720" w:hanging="360"/>
      </w:pPr>
      <w:rPr>
        <w:rFonts w:ascii="Symbol" w:hAnsi="Symbol"/>
      </w:rPr>
    </w:lvl>
    <w:lvl w:ilvl="7" w:tplc="67E8A4A0">
      <w:start w:val="1"/>
      <w:numFmt w:val="bullet"/>
      <w:lvlText w:val=""/>
      <w:lvlJc w:val="left"/>
      <w:pPr>
        <w:ind w:left="720" w:hanging="360"/>
      </w:pPr>
      <w:rPr>
        <w:rFonts w:ascii="Symbol" w:hAnsi="Symbol"/>
      </w:rPr>
    </w:lvl>
    <w:lvl w:ilvl="8" w:tplc="30E4E30E">
      <w:start w:val="1"/>
      <w:numFmt w:val="bullet"/>
      <w:lvlText w:val=""/>
      <w:lvlJc w:val="left"/>
      <w:pPr>
        <w:ind w:left="720" w:hanging="360"/>
      </w:pPr>
      <w:rPr>
        <w:rFonts w:ascii="Symbol" w:hAnsi="Symbol"/>
      </w:rPr>
    </w:lvl>
  </w:abstractNum>
  <w:abstractNum w:abstractNumId="12"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38217E"/>
    <w:multiLevelType w:val="multilevel"/>
    <w:tmpl w:val="91E4711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4A86AA9"/>
    <w:multiLevelType w:val="hybridMultilevel"/>
    <w:tmpl w:val="14184A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6E4187"/>
    <w:multiLevelType w:val="hybridMultilevel"/>
    <w:tmpl w:val="2BF247FE"/>
    <w:lvl w:ilvl="0" w:tplc="55F2AA72">
      <w:start w:val="1"/>
      <w:numFmt w:val="bullet"/>
      <w:lvlText w:val=""/>
      <w:lvlJc w:val="left"/>
      <w:pPr>
        <w:ind w:left="720" w:hanging="360"/>
      </w:pPr>
      <w:rPr>
        <w:rFonts w:ascii="Symbol" w:hAnsi="Symbol"/>
      </w:rPr>
    </w:lvl>
    <w:lvl w:ilvl="1" w:tplc="6E9028C6">
      <w:start w:val="1"/>
      <w:numFmt w:val="bullet"/>
      <w:lvlText w:val=""/>
      <w:lvlJc w:val="left"/>
      <w:pPr>
        <w:ind w:left="720" w:hanging="360"/>
      </w:pPr>
      <w:rPr>
        <w:rFonts w:ascii="Symbol" w:hAnsi="Symbol"/>
      </w:rPr>
    </w:lvl>
    <w:lvl w:ilvl="2" w:tplc="797AD6C2">
      <w:start w:val="1"/>
      <w:numFmt w:val="bullet"/>
      <w:lvlText w:val=""/>
      <w:lvlJc w:val="left"/>
      <w:pPr>
        <w:ind w:left="720" w:hanging="360"/>
      </w:pPr>
      <w:rPr>
        <w:rFonts w:ascii="Symbol" w:hAnsi="Symbol"/>
      </w:rPr>
    </w:lvl>
    <w:lvl w:ilvl="3" w:tplc="59D84FEE">
      <w:start w:val="1"/>
      <w:numFmt w:val="bullet"/>
      <w:lvlText w:val=""/>
      <w:lvlJc w:val="left"/>
      <w:pPr>
        <w:ind w:left="720" w:hanging="360"/>
      </w:pPr>
      <w:rPr>
        <w:rFonts w:ascii="Symbol" w:hAnsi="Symbol"/>
      </w:rPr>
    </w:lvl>
    <w:lvl w:ilvl="4" w:tplc="B26EB66A">
      <w:start w:val="1"/>
      <w:numFmt w:val="bullet"/>
      <w:lvlText w:val=""/>
      <w:lvlJc w:val="left"/>
      <w:pPr>
        <w:ind w:left="720" w:hanging="360"/>
      </w:pPr>
      <w:rPr>
        <w:rFonts w:ascii="Symbol" w:hAnsi="Symbol"/>
      </w:rPr>
    </w:lvl>
    <w:lvl w:ilvl="5" w:tplc="86FE27AE">
      <w:start w:val="1"/>
      <w:numFmt w:val="bullet"/>
      <w:lvlText w:val=""/>
      <w:lvlJc w:val="left"/>
      <w:pPr>
        <w:ind w:left="720" w:hanging="360"/>
      </w:pPr>
      <w:rPr>
        <w:rFonts w:ascii="Symbol" w:hAnsi="Symbol"/>
      </w:rPr>
    </w:lvl>
    <w:lvl w:ilvl="6" w:tplc="8CB21B0E">
      <w:start w:val="1"/>
      <w:numFmt w:val="bullet"/>
      <w:lvlText w:val=""/>
      <w:lvlJc w:val="left"/>
      <w:pPr>
        <w:ind w:left="720" w:hanging="360"/>
      </w:pPr>
      <w:rPr>
        <w:rFonts w:ascii="Symbol" w:hAnsi="Symbol"/>
      </w:rPr>
    </w:lvl>
    <w:lvl w:ilvl="7" w:tplc="7110FAAC">
      <w:start w:val="1"/>
      <w:numFmt w:val="bullet"/>
      <w:lvlText w:val=""/>
      <w:lvlJc w:val="left"/>
      <w:pPr>
        <w:ind w:left="720" w:hanging="360"/>
      </w:pPr>
      <w:rPr>
        <w:rFonts w:ascii="Symbol" w:hAnsi="Symbol"/>
      </w:rPr>
    </w:lvl>
    <w:lvl w:ilvl="8" w:tplc="44C0E2C2">
      <w:start w:val="1"/>
      <w:numFmt w:val="bullet"/>
      <w:lvlText w:val=""/>
      <w:lvlJc w:val="left"/>
      <w:pPr>
        <w:ind w:left="720" w:hanging="360"/>
      </w:pPr>
      <w:rPr>
        <w:rFonts w:ascii="Symbol" w:hAnsi="Symbol"/>
      </w:r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C818FB"/>
    <w:multiLevelType w:val="hybridMultilevel"/>
    <w:tmpl w:val="01D6C9FE"/>
    <w:lvl w:ilvl="0" w:tplc="9C0293CC">
      <w:start w:val="1"/>
      <w:numFmt w:val="bullet"/>
      <w:lvlText w:val=""/>
      <w:lvlJc w:val="left"/>
      <w:pPr>
        <w:ind w:left="1080" w:hanging="360"/>
      </w:pPr>
      <w:rPr>
        <w:rFonts w:ascii="Symbol" w:hAnsi="Symbol"/>
      </w:rPr>
    </w:lvl>
    <w:lvl w:ilvl="1" w:tplc="868E82B8">
      <w:start w:val="1"/>
      <w:numFmt w:val="bullet"/>
      <w:lvlText w:val=""/>
      <w:lvlJc w:val="left"/>
      <w:pPr>
        <w:ind w:left="1080" w:hanging="360"/>
      </w:pPr>
      <w:rPr>
        <w:rFonts w:ascii="Symbol" w:hAnsi="Symbol"/>
      </w:rPr>
    </w:lvl>
    <w:lvl w:ilvl="2" w:tplc="482C19F8">
      <w:start w:val="1"/>
      <w:numFmt w:val="bullet"/>
      <w:lvlText w:val=""/>
      <w:lvlJc w:val="left"/>
      <w:pPr>
        <w:ind w:left="1080" w:hanging="360"/>
      </w:pPr>
      <w:rPr>
        <w:rFonts w:ascii="Symbol" w:hAnsi="Symbol"/>
      </w:rPr>
    </w:lvl>
    <w:lvl w:ilvl="3" w:tplc="92D0C7B8">
      <w:start w:val="1"/>
      <w:numFmt w:val="bullet"/>
      <w:lvlText w:val=""/>
      <w:lvlJc w:val="left"/>
      <w:pPr>
        <w:ind w:left="1080" w:hanging="360"/>
      </w:pPr>
      <w:rPr>
        <w:rFonts w:ascii="Symbol" w:hAnsi="Symbol"/>
      </w:rPr>
    </w:lvl>
    <w:lvl w:ilvl="4" w:tplc="93F6BA28">
      <w:start w:val="1"/>
      <w:numFmt w:val="bullet"/>
      <w:lvlText w:val=""/>
      <w:lvlJc w:val="left"/>
      <w:pPr>
        <w:ind w:left="1080" w:hanging="360"/>
      </w:pPr>
      <w:rPr>
        <w:rFonts w:ascii="Symbol" w:hAnsi="Symbol"/>
      </w:rPr>
    </w:lvl>
    <w:lvl w:ilvl="5" w:tplc="1E8AF612">
      <w:start w:val="1"/>
      <w:numFmt w:val="bullet"/>
      <w:lvlText w:val=""/>
      <w:lvlJc w:val="left"/>
      <w:pPr>
        <w:ind w:left="1080" w:hanging="360"/>
      </w:pPr>
      <w:rPr>
        <w:rFonts w:ascii="Symbol" w:hAnsi="Symbol"/>
      </w:rPr>
    </w:lvl>
    <w:lvl w:ilvl="6" w:tplc="C1904A36">
      <w:start w:val="1"/>
      <w:numFmt w:val="bullet"/>
      <w:lvlText w:val=""/>
      <w:lvlJc w:val="left"/>
      <w:pPr>
        <w:ind w:left="1080" w:hanging="360"/>
      </w:pPr>
      <w:rPr>
        <w:rFonts w:ascii="Symbol" w:hAnsi="Symbol"/>
      </w:rPr>
    </w:lvl>
    <w:lvl w:ilvl="7" w:tplc="8C34310A">
      <w:start w:val="1"/>
      <w:numFmt w:val="bullet"/>
      <w:lvlText w:val=""/>
      <w:lvlJc w:val="left"/>
      <w:pPr>
        <w:ind w:left="1080" w:hanging="360"/>
      </w:pPr>
      <w:rPr>
        <w:rFonts w:ascii="Symbol" w:hAnsi="Symbol"/>
      </w:rPr>
    </w:lvl>
    <w:lvl w:ilvl="8" w:tplc="AA3646BC">
      <w:start w:val="1"/>
      <w:numFmt w:val="bullet"/>
      <w:lvlText w:val=""/>
      <w:lvlJc w:val="left"/>
      <w:pPr>
        <w:ind w:left="1080" w:hanging="360"/>
      </w:pPr>
      <w:rPr>
        <w:rFonts w:ascii="Symbol" w:hAnsi="Symbol"/>
      </w:rPr>
    </w:lvl>
  </w:abstractNum>
  <w:abstractNum w:abstractNumId="23" w15:restartNumberingAfterBreak="0">
    <w:nsid w:val="55270A08"/>
    <w:multiLevelType w:val="hybridMultilevel"/>
    <w:tmpl w:val="0DA49798"/>
    <w:lvl w:ilvl="0" w:tplc="4CACF8EE">
      <w:start w:val="1"/>
      <w:numFmt w:val="bullet"/>
      <w:lvlText w:val=""/>
      <w:lvlJc w:val="left"/>
      <w:pPr>
        <w:ind w:left="720" w:hanging="360"/>
      </w:pPr>
      <w:rPr>
        <w:rFonts w:ascii="Symbol" w:hAnsi="Symbol"/>
      </w:rPr>
    </w:lvl>
    <w:lvl w:ilvl="1" w:tplc="712C4870">
      <w:start w:val="1"/>
      <w:numFmt w:val="bullet"/>
      <w:lvlText w:val=""/>
      <w:lvlJc w:val="left"/>
      <w:pPr>
        <w:ind w:left="720" w:hanging="360"/>
      </w:pPr>
      <w:rPr>
        <w:rFonts w:ascii="Symbol" w:hAnsi="Symbol"/>
      </w:rPr>
    </w:lvl>
    <w:lvl w:ilvl="2" w:tplc="429E3BE2">
      <w:start w:val="1"/>
      <w:numFmt w:val="bullet"/>
      <w:lvlText w:val=""/>
      <w:lvlJc w:val="left"/>
      <w:pPr>
        <w:ind w:left="720" w:hanging="360"/>
      </w:pPr>
      <w:rPr>
        <w:rFonts w:ascii="Symbol" w:hAnsi="Symbol"/>
      </w:rPr>
    </w:lvl>
    <w:lvl w:ilvl="3" w:tplc="D910F1F0">
      <w:start w:val="1"/>
      <w:numFmt w:val="bullet"/>
      <w:lvlText w:val=""/>
      <w:lvlJc w:val="left"/>
      <w:pPr>
        <w:ind w:left="720" w:hanging="360"/>
      </w:pPr>
      <w:rPr>
        <w:rFonts w:ascii="Symbol" w:hAnsi="Symbol"/>
      </w:rPr>
    </w:lvl>
    <w:lvl w:ilvl="4" w:tplc="257200CA">
      <w:start w:val="1"/>
      <w:numFmt w:val="bullet"/>
      <w:lvlText w:val=""/>
      <w:lvlJc w:val="left"/>
      <w:pPr>
        <w:ind w:left="720" w:hanging="360"/>
      </w:pPr>
      <w:rPr>
        <w:rFonts w:ascii="Symbol" w:hAnsi="Symbol"/>
      </w:rPr>
    </w:lvl>
    <w:lvl w:ilvl="5" w:tplc="9474AEF0">
      <w:start w:val="1"/>
      <w:numFmt w:val="bullet"/>
      <w:lvlText w:val=""/>
      <w:lvlJc w:val="left"/>
      <w:pPr>
        <w:ind w:left="720" w:hanging="360"/>
      </w:pPr>
      <w:rPr>
        <w:rFonts w:ascii="Symbol" w:hAnsi="Symbol"/>
      </w:rPr>
    </w:lvl>
    <w:lvl w:ilvl="6" w:tplc="DDC204EE">
      <w:start w:val="1"/>
      <w:numFmt w:val="bullet"/>
      <w:lvlText w:val=""/>
      <w:lvlJc w:val="left"/>
      <w:pPr>
        <w:ind w:left="720" w:hanging="360"/>
      </w:pPr>
      <w:rPr>
        <w:rFonts w:ascii="Symbol" w:hAnsi="Symbol"/>
      </w:rPr>
    </w:lvl>
    <w:lvl w:ilvl="7" w:tplc="632AC24A">
      <w:start w:val="1"/>
      <w:numFmt w:val="bullet"/>
      <w:lvlText w:val=""/>
      <w:lvlJc w:val="left"/>
      <w:pPr>
        <w:ind w:left="720" w:hanging="360"/>
      </w:pPr>
      <w:rPr>
        <w:rFonts w:ascii="Symbol" w:hAnsi="Symbol"/>
      </w:rPr>
    </w:lvl>
    <w:lvl w:ilvl="8" w:tplc="3F006870">
      <w:start w:val="1"/>
      <w:numFmt w:val="bullet"/>
      <w:lvlText w:val=""/>
      <w:lvlJc w:val="left"/>
      <w:pPr>
        <w:ind w:left="720" w:hanging="360"/>
      </w:pPr>
      <w:rPr>
        <w:rFonts w:ascii="Symbol" w:hAnsi="Symbol"/>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3"/>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4"/>
  </w:num>
  <w:num w:numId="13" w16cid:durableId="695733619">
    <w:abstractNumId w:val="16"/>
  </w:num>
  <w:num w:numId="14" w16cid:durableId="145903400">
    <w:abstractNumId w:val="25"/>
  </w:num>
  <w:num w:numId="15" w16cid:durableId="19162326">
    <w:abstractNumId w:val="27"/>
  </w:num>
  <w:num w:numId="16" w16cid:durableId="1977102699">
    <w:abstractNumId w:val="26"/>
  </w:num>
  <w:num w:numId="17" w16cid:durableId="860774865">
    <w:abstractNumId w:val="15"/>
  </w:num>
  <w:num w:numId="18" w16cid:durableId="313221457">
    <w:abstractNumId w:val="16"/>
    <w:lvlOverride w:ilvl="0">
      <w:startOverride w:val="1"/>
    </w:lvlOverride>
  </w:num>
  <w:num w:numId="19" w16cid:durableId="534971577">
    <w:abstractNumId w:val="21"/>
  </w:num>
  <w:num w:numId="20" w16cid:durableId="1150947773">
    <w:abstractNumId w:val="20"/>
  </w:num>
  <w:num w:numId="21" w16cid:durableId="124660497">
    <w:abstractNumId w:val="18"/>
  </w:num>
  <w:num w:numId="22" w16cid:durableId="2099861471">
    <w:abstractNumId w:val="17"/>
  </w:num>
  <w:num w:numId="23" w16cid:durableId="84351335">
    <w:abstractNumId w:val="12"/>
  </w:num>
  <w:num w:numId="24" w16cid:durableId="103576974">
    <w:abstractNumId w:val="14"/>
  </w:num>
  <w:num w:numId="25" w16cid:durableId="112871053">
    <w:abstractNumId w:val="22"/>
  </w:num>
  <w:num w:numId="26" w16cid:durableId="133642477">
    <w:abstractNumId w:val="11"/>
  </w:num>
  <w:num w:numId="27" w16cid:durableId="1897426210">
    <w:abstractNumId w:val="19"/>
  </w:num>
  <w:num w:numId="28" w16cid:durableId="139884609">
    <w:abstractNumId w:val="23"/>
  </w:num>
  <w:num w:numId="29" w16cid:durableId="147213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E7E"/>
    <w:rsid w:val="00000ED9"/>
    <w:rsid w:val="000027C0"/>
    <w:rsid w:val="000033FD"/>
    <w:rsid w:val="00004BF9"/>
    <w:rsid w:val="000050B8"/>
    <w:rsid w:val="000052FB"/>
    <w:rsid w:val="00005A19"/>
    <w:rsid w:val="00005BCC"/>
    <w:rsid w:val="000069C2"/>
    <w:rsid w:val="00010001"/>
    <w:rsid w:val="000117CB"/>
    <w:rsid w:val="00015165"/>
    <w:rsid w:val="000159C7"/>
    <w:rsid w:val="00015DFB"/>
    <w:rsid w:val="0002045C"/>
    <w:rsid w:val="00022E9E"/>
    <w:rsid w:val="000264D2"/>
    <w:rsid w:val="000264EA"/>
    <w:rsid w:val="00030943"/>
    <w:rsid w:val="0003148D"/>
    <w:rsid w:val="00031EEC"/>
    <w:rsid w:val="00034DC5"/>
    <w:rsid w:val="00037E38"/>
    <w:rsid w:val="000409AD"/>
    <w:rsid w:val="00044E2B"/>
    <w:rsid w:val="000476CD"/>
    <w:rsid w:val="00051566"/>
    <w:rsid w:val="00054E10"/>
    <w:rsid w:val="000562A9"/>
    <w:rsid w:val="00056401"/>
    <w:rsid w:val="00056535"/>
    <w:rsid w:val="000578AA"/>
    <w:rsid w:val="00062A9A"/>
    <w:rsid w:val="00064389"/>
    <w:rsid w:val="00065058"/>
    <w:rsid w:val="0007126E"/>
    <w:rsid w:val="00072ACD"/>
    <w:rsid w:val="00072B1D"/>
    <w:rsid w:val="00073012"/>
    <w:rsid w:val="000736EE"/>
    <w:rsid w:val="00075CB2"/>
    <w:rsid w:val="00076A31"/>
    <w:rsid w:val="00086116"/>
    <w:rsid w:val="00086C39"/>
    <w:rsid w:val="00087F56"/>
    <w:rsid w:val="000924DE"/>
    <w:rsid w:val="00097F5F"/>
    <w:rsid w:val="000A03B2"/>
    <w:rsid w:val="000A03D7"/>
    <w:rsid w:val="000A3009"/>
    <w:rsid w:val="000A3311"/>
    <w:rsid w:val="000A5A4B"/>
    <w:rsid w:val="000A6C16"/>
    <w:rsid w:val="000B4984"/>
    <w:rsid w:val="000C35B5"/>
    <w:rsid w:val="000D0268"/>
    <w:rsid w:val="000D072C"/>
    <w:rsid w:val="000D215C"/>
    <w:rsid w:val="000D2F4A"/>
    <w:rsid w:val="000D2F51"/>
    <w:rsid w:val="000D34BE"/>
    <w:rsid w:val="000E0B3C"/>
    <w:rsid w:val="000E102F"/>
    <w:rsid w:val="000E1268"/>
    <w:rsid w:val="000E1C3C"/>
    <w:rsid w:val="000E326D"/>
    <w:rsid w:val="000E36F1"/>
    <w:rsid w:val="000E3A73"/>
    <w:rsid w:val="000E414A"/>
    <w:rsid w:val="000E5559"/>
    <w:rsid w:val="000E75FD"/>
    <w:rsid w:val="000F093C"/>
    <w:rsid w:val="000F572E"/>
    <w:rsid w:val="000F787B"/>
    <w:rsid w:val="000F788D"/>
    <w:rsid w:val="00102738"/>
    <w:rsid w:val="0010781E"/>
    <w:rsid w:val="001111EF"/>
    <w:rsid w:val="0011439C"/>
    <w:rsid w:val="0012091F"/>
    <w:rsid w:val="00124248"/>
    <w:rsid w:val="00124D06"/>
    <w:rsid w:val="00125A2B"/>
    <w:rsid w:val="001263D0"/>
    <w:rsid w:val="00126BC2"/>
    <w:rsid w:val="001308B6"/>
    <w:rsid w:val="0013121F"/>
    <w:rsid w:val="00131FE6"/>
    <w:rsid w:val="0013263F"/>
    <w:rsid w:val="001331DF"/>
    <w:rsid w:val="00134DE4"/>
    <w:rsid w:val="00135CD4"/>
    <w:rsid w:val="0013615B"/>
    <w:rsid w:val="00137D48"/>
    <w:rsid w:val="0014034D"/>
    <w:rsid w:val="00140FE3"/>
    <w:rsid w:val="00141337"/>
    <w:rsid w:val="0014414D"/>
    <w:rsid w:val="00144D16"/>
    <w:rsid w:val="001457F5"/>
    <w:rsid w:val="00147F5F"/>
    <w:rsid w:val="00150E59"/>
    <w:rsid w:val="00150E6B"/>
    <w:rsid w:val="00151A49"/>
    <w:rsid w:val="00152DE3"/>
    <w:rsid w:val="0015545A"/>
    <w:rsid w:val="00160CF4"/>
    <w:rsid w:val="00160D83"/>
    <w:rsid w:val="00164289"/>
    <w:rsid w:val="0016498A"/>
    <w:rsid w:val="00164CF9"/>
    <w:rsid w:val="001667A6"/>
    <w:rsid w:val="00167C47"/>
    <w:rsid w:val="00167D3B"/>
    <w:rsid w:val="001700D3"/>
    <w:rsid w:val="0017029A"/>
    <w:rsid w:val="0017216E"/>
    <w:rsid w:val="0017292E"/>
    <w:rsid w:val="00172A6B"/>
    <w:rsid w:val="00172CCF"/>
    <w:rsid w:val="0017678F"/>
    <w:rsid w:val="0018027E"/>
    <w:rsid w:val="0018171E"/>
    <w:rsid w:val="001837E6"/>
    <w:rsid w:val="00184AD6"/>
    <w:rsid w:val="00193548"/>
    <w:rsid w:val="00197191"/>
    <w:rsid w:val="001A101B"/>
    <w:rsid w:val="001A4AF7"/>
    <w:rsid w:val="001A786B"/>
    <w:rsid w:val="001B0349"/>
    <w:rsid w:val="001B1E93"/>
    <w:rsid w:val="001B2A4B"/>
    <w:rsid w:val="001B3377"/>
    <w:rsid w:val="001B44A7"/>
    <w:rsid w:val="001B45D6"/>
    <w:rsid w:val="001B4F77"/>
    <w:rsid w:val="001B65C1"/>
    <w:rsid w:val="001C11A2"/>
    <w:rsid w:val="001C260F"/>
    <w:rsid w:val="001C2DB7"/>
    <w:rsid w:val="001C5316"/>
    <w:rsid w:val="001C5C3A"/>
    <w:rsid w:val="001C684B"/>
    <w:rsid w:val="001D0C47"/>
    <w:rsid w:val="001D0CFB"/>
    <w:rsid w:val="001D21AF"/>
    <w:rsid w:val="001D53FC"/>
    <w:rsid w:val="001D6203"/>
    <w:rsid w:val="001E3EB9"/>
    <w:rsid w:val="001E4BA5"/>
    <w:rsid w:val="001E5F3F"/>
    <w:rsid w:val="001E7479"/>
    <w:rsid w:val="001E7A1D"/>
    <w:rsid w:val="001F1CD4"/>
    <w:rsid w:val="001F24E7"/>
    <w:rsid w:val="001F3A65"/>
    <w:rsid w:val="001F42A5"/>
    <w:rsid w:val="001F5343"/>
    <w:rsid w:val="001F7B9D"/>
    <w:rsid w:val="00201C93"/>
    <w:rsid w:val="0020754D"/>
    <w:rsid w:val="00207A9A"/>
    <w:rsid w:val="00211693"/>
    <w:rsid w:val="002118CB"/>
    <w:rsid w:val="00216EB0"/>
    <w:rsid w:val="00217BA6"/>
    <w:rsid w:val="002218B2"/>
    <w:rsid w:val="00221E71"/>
    <w:rsid w:val="002224B4"/>
    <w:rsid w:val="00223BD8"/>
    <w:rsid w:val="00225782"/>
    <w:rsid w:val="00232F7F"/>
    <w:rsid w:val="0023671E"/>
    <w:rsid w:val="00237E44"/>
    <w:rsid w:val="002447EF"/>
    <w:rsid w:val="002459D5"/>
    <w:rsid w:val="00245D0A"/>
    <w:rsid w:val="00251550"/>
    <w:rsid w:val="0025483E"/>
    <w:rsid w:val="0025541B"/>
    <w:rsid w:val="00256111"/>
    <w:rsid w:val="00257F02"/>
    <w:rsid w:val="00261FC8"/>
    <w:rsid w:val="00263B05"/>
    <w:rsid w:val="00267005"/>
    <w:rsid w:val="002671F8"/>
    <w:rsid w:val="00271152"/>
    <w:rsid w:val="002713FF"/>
    <w:rsid w:val="00271D57"/>
    <w:rsid w:val="00272195"/>
    <w:rsid w:val="0027221A"/>
    <w:rsid w:val="00275B61"/>
    <w:rsid w:val="00277B5C"/>
    <w:rsid w:val="0028049B"/>
    <w:rsid w:val="00280853"/>
    <w:rsid w:val="00280FAF"/>
    <w:rsid w:val="00281A89"/>
    <w:rsid w:val="00282656"/>
    <w:rsid w:val="00283575"/>
    <w:rsid w:val="00283986"/>
    <w:rsid w:val="00283D16"/>
    <w:rsid w:val="00291DEC"/>
    <w:rsid w:val="00296B83"/>
    <w:rsid w:val="00297B7B"/>
    <w:rsid w:val="002A1C89"/>
    <w:rsid w:val="002A5F5C"/>
    <w:rsid w:val="002A798C"/>
    <w:rsid w:val="002B0D3E"/>
    <w:rsid w:val="002B3C03"/>
    <w:rsid w:val="002B4015"/>
    <w:rsid w:val="002B78CE"/>
    <w:rsid w:val="002C2C55"/>
    <w:rsid w:val="002C2FB6"/>
    <w:rsid w:val="002C57D7"/>
    <w:rsid w:val="002E01EF"/>
    <w:rsid w:val="002E3F67"/>
    <w:rsid w:val="002E4401"/>
    <w:rsid w:val="002E5FA7"/>
    <w:rsid w:val="002E68CD"/>
    <w:rsid w:val="002F3103"/>
    <w:rsid w:val="002F3309"/>
    <w:rsid w:val="002F43C1"/>
    <w:rsid w:val="002F7DDA"/>
    <w:rsid w:val="002F7EF4"/>
    <w:rsid w:val="003008CE"/>
    <w:rsid w:val="003009B7"/>
    <w:rsid w:val="00300E56"/>
    <w:rsid w:val="00300EBB"/>
    <w:rsid w:val="003011AC"/>
    <w:rsid w:val="0030152C"/>
    <w:rsid w:val="0030469C"/>
    <w:rsid w:val="00313CC4"/>
    <w:rsid w:val="00313CF0"/>
    <w:rsid w:val="00321CA6"/>
    <w:rsid w:val="00322F2B"/>
    <w:rsid w:val="00323763"/>
    <w:rsid w:val="00323835"/>
    <w:rsid w:val="00323C5F"/>
    <w:rsid w:val="003261D1"/>
    <w:rsid w:val="0032704E"/>
    <w:rsid w:val="003316F5"/>
    <w:rsid w:val="00334C09"/>
    <w:rsid w:val="00342C16"/>
    <w:rsid w:val="0034338C"/>
    <w:rsid w:val="00356A77"/>
    <w:rsid w:val="003604A5"/>
    <w:rsid w:val="00360A9F"/>
    <w:rsid w:val="00363014"/>
    <w:rsid w:val="00364661"/>
    <w:rsid w:val="00365089"/>
    <w:rsid w:val="00365318"/>
    <w:rsid w:val="003723D4"/>
    <w:rsid w:val="00374217"/>
    <w:rsid w:val="00376692"/>
    <w:rsid w:val="003766AD"/>
    <w:rsid w:val="00380A66"/>
    <w:rsid w:val="00381905"/>
    <w:rsid w:val="00382AB9"/>
    <w:rsid w:val="00383067"/>
    <w:rsid w:val="003831A1"/>
    <w:rsid w:val="0038351B"/>
    <w:rsid w:val="00384CC8"/>
    <w:rsid w:val="003871FD"/>
    <w:rsid w:val="00390B9B"/>
    <w:rsid w:val="0039123C"/>
    <w:rsid w:val="00392C3F"/>
    <w:rsid w:val="00394A29"/>
    <w:rsid w:val="00395382"/>
    <w:rsid w:val="00396860"/>
    <w:rsid w:val="003A10DA"/>
    <w:rsid w:val="003A1E30"/>
    <w:rsid w:val="003A1F91"/>
    <w:rsid w:val="003A2829"/>
    <w:rsid w:val="003A301E"/>
    <w:rsid w:val="003A58F9"/>
    <w:rsid w:val="003A730B"/>
    <w:rsid w:val="003A7D1C"/>
    <w:rsid w:val="003B304B"/>
    <w:rsid w:val="003B3146"/>
    <w:rsid w:val="003B49CD"/>
    <w:rsid w:val="003B60CC"/>
    <w:rsid w:val="003B6691"/>
    <w:rsid w:val="003C2372"/>
    <w:rsid w:val="003D15AE"/>
    <w:rsid w:val="003D1E02"/>
    <w:rsid w:val="003D25D5"/>
    <w:rsid w:val="003D4494"/>
    <w:rsid w:val="003D7E3E"/>
    <w:rsid w:val="003E0151"/>
    <w:rsid w:val="003E37CB"/>
    <w:rsid w:val="003E7FA4"/>
    <w:rsid w:val="003F015E"/>
    <w:rsid w:val="003F12CF"/>
    <w:rsid w:val="003F2A52"/>
    <w:rsid w:val="00400414"/>
    <w:rsid w:val="004008DE"/>
    <w:rsid w:val="00402780"/>
    <w:rsid w:val="00404647"/>
    <w:rsid w:val="004065E1"/>
    <w:rsid w:val="00412DE8"/>
    <w:rsid w:val="0041446B"/>
    <w:rsid w:val="004157AD"/>
    <w:rsid w:val="00417916"/>
    <w:rsid w:val="00417B10"/>
    <w:rsid w:val="00420E18"/>
    <w:rsid w:val="004238D1"/>
    <w:rsid w:val="0042394C"/>
    <w:rsid w:val="00426A9E"/>
    <w:rsid w:val="0043410A"/>
    <w:rsid w:val="00434926"/>
    <w:rsid w:val="004349B1"/>
    <w:rsid w:val="004377C1"/>
    <w:rsid w:val="0044071E"/>
    <w:rsid w:val="0044329C"/>
    <w:rsid w:val="00443B41"/>
    <w:rsid w:val="00445300"/>
    <w:rsid w:val="00446BD5"/>
    <w:rsid w:val="00447FF5"/>
    <w:rsid w:val="004520FB"/>
    <w:rsid w:val="00453E24"/>
    <w:rsid w:val="00454294"/>
    <w:rsid w:val="00457456"/>
    <w:rsid w:val="004577FE"/>
    <w:rsid w:val="00457B9C"/>
    <w:rsid w:val="00457C8D"/>
    <w:rsid w:val="0046164A"/>
    <w:rsid w:val="0046205A"/>
    <w:rsid w:val="004628D2"/>
    <w:rsid w:val="00462DCD"/>
    <w:rsid w:val="00463B86"/>
    <w:rsid w:val="004648AD"/>
    <w:rsid w:val="00465761"/>
    <w:rsid w:val="004668B1"/>
    <w:rsid w:val="004673B8"/>
    <w:rsid w:val="004700AF"/>
    <w:rsid w:val="004703A9"/>
    <w:rsid w:val="00473C1E"/>
    <w:rsid w:val="004760DE"/>
    <w:rsid w:val="00476256"/>
    <w:rsid w:val="004763D7"/>
    <w:rsid w:val="00480031"/>
    <w:rsid w:val="00480C79"/>
    <w:rsid w:val="00483B7C"/>
    <w:rsid w:val="00490193"/>
    <w:rsid w:val="00491A48"/>
    <w:rsid w:val="004961A7"/>
    <w:rsid w:val="004A004E"/>
    <w:rsid w:val="004A05BC"/>
    <w:rsid w:val="004A0F04"/>
    <w:rsid w:val="004A24CF"/>
    <w:rsid w:val="004A4BD3"/>
    <w:rsid w:val="004B1728"/>
    <w:rsid w:val="004B20AA"/>
    <w:rsid w:val="004B39CF"/>
    <w:rsid w:val="004B41C9"/>
    <w:rsid w:val="004B5EFA"/>
    <w:rsid w:val="004B66F6"/>
    <w:rsid w:val="004B6F88"/>
    <w:rsid w:val="004B70CD"/>
    <w:rsid w:val="004C3D1D"/>
    <w:rsid w:val="004C3D84"/>
    <w:rsid w:val="004C7913"/>
    <w:rsid w:val="004D0288"/>
    <w:rsid w:val="004D2332"/>
    <w:rsid w:val="004D597B"/>
    <w:rsid w:val="004E2A9F"/>
    <w:rsid w:val="004E2D8C"/>
    <w:rsid w:val="004E3173"/>
    <w:rsid w:val="004E4DD6"/>
    <w:rsid w:val="004E5342"/>
    <w:rsid w:val="004E7CAD"/>
    <w:rsid w:val="004F157B"/>
    <w:rsid w:val="004F3DD3"/>
    <w:rsid w:val="004F4A15"/>
    <w:rsid w:val="004F5593"/>
    <w:rsid w:val="004F5E36"/>
    <w:rsid w:val="00500828"/>
    <w:rsid w:val="005010E7"/>
    <w:rsid w:val="00504BC2"/>
    <w:rsid w:val="00504E54"/>
    <w:rsid w:val="00506530"/>
    <w:rsid w:val="00507B47"/>
    <w:rsid w:val="00507BA0"/>
    <w:rsid w:val="00507BEF"/>
    <w:rsid w:val="00507CC9"/>
    <w:rsid w:val="005119A5"/>
    <w:rsid w:val="00511EA6"/>
    <w:rsid w:val="00512B1F"/>
    <w:rsid w:val="005137F9"/>
    <w:rsid w:val="00514D19"/>
    <w:rsid w:val="005177A4"/>
    <w:rsid w:val="005253CD"/>
    <w:rsid w:val="00525AF1"/>
    <w:rsid w:val="005278B7"/>
    <w:rsid w:val="00531A53"/>
    <w:rsid w:val="00532016"/>
    <w:rsid w:val="00533924"/>
    <w:rsid w:val="005346C8"/>
    <w:rsid w:val="00535CC5"/>
    <w:rsid w:val="00537FF8"/>
    <w:rsid w:val="005406CD"/>
    <w:rsid w:val="00541481"/>
    <w:rsid w:val="00541F06"/>
    <w:rsid w:val="00543E7D"/>
    <w:rsid w:val="005455E1"/>
    <w:rsid w:val="00545C52"/>
    <w:rsid w:val="00547A68"/>
    <w:rsid w:val="005531C9"/>
    <w:rsid w:val="00554879"/>
    <w:rsid w:val="00554D33"/>
    <w:rsid w:val="005601AF"/>
    <w:rsid w:val="00561182"/>
    <w:rsid w:val="00562499"/>
    <w:rsid w:val="00563301"/>
    <w:rsid w:val="00563332"/>
    <w:rsid w:val="005672B6"/>
    <w:rsid w:val="005675F5"/>
    <w:rsid w:val="005707CA"/>
    <w:rsid w:val="00570C43"/>
    <w:rsid w:val="005731AD"/>
    <w:rsid w:val="0057607D"/>
    <w:rsid w:val="005769D2"/>
    <w:rsid w:val="00584822"/>
    <w:rsid w:val="00584EB6"/>
    <w:rsid w:val="00590A29"/>
    <w:rsid w:val="00592274"/>
    <w:rsid w:val="00594A18"/>
    <w:rsid w:val="005A2042"/>
    <w:rsid w:val="005A3401"/>
    <w:rsid w:val="005A4584"/>
    <w:rsid w:val="005A4E2A"/>
    <w:rsid w:val="005B2110"/>
    <w:rsid w:val="005B350B"/>
    <w:rsid w:val="005B52B4"/>
    <w:rsid w:val="005B61E6"/>
    <w:rsid w:val="005C0E65"/>
    <w:rsid w:val="005C36B9"/>
    <w:rsid w:val="005C370F"/>
    <w:rsid w:val="005C60AC"/>
    <w:rsid w:val="005C713A"/>
    <w:rsid w:val="005C77E1"/>
    <w:rsid w:val="005C7ADB"/>
    <w:rsid w:val="005D191C"/>
    <w:rsid w:val="005D668A"/>
    <w:rsid w:val="005D6A2F"/>
    <w:rsid w:val="005D7DD3"/>
    <w:rsid w:val="005E0592"/>
    <w:rsid w:val="005E1A82"/>
    <w:rsid w:val="005E1BAD"/>
    <w:rsid w:val="005E3C75"/>
    <w:rsid w:val="005E4D85"/>
    <w:rsid w:val="005E5EDF"/>
    <w:rsid w:val="005E794C"/>
    <w:rsid w:val="005F0A28"/>
    <w:rsid w:val="005F0E5E"/>
    <w:rsid w:val="005F13D2"/>
    <w:rsid w:val="005F13EA"/>
    <w:rsid w:val="005F2A51"/>
    <w:rsid w:val="005F5F9F"/>
    <w:rsid w:val="005F715B"/>
    <w:rsid w:val="005F79B9"/>
    <w:rsid w:val="00600535"/>
    <w:rsid w:val="0060110F"/>
    <w:rsid w:val="006018B5"/>
    <w:rsid w:val="00601E5D"/>
    <w:rsid w:val="00602C57"/>
    <w:rsid w:val="00604A0D"/>
    <w:rsid w:val="00610CD6"/>
    <w:rsid w:val="00616047"/>
    <w:rsid w:val="0061724E"/>
    <w:rsid w:val="00620DEE"/>
    <w:rsid w:val="00621F92"/>
    <w:rsid w:val="0062280A"/>
    <w:rsid w:val="00622E89"/>
    <w:rsid w:val="006231E1"/>
    <w:rsid w:val="00625639"/>
    <w:rsid w:val="00631B33"/>
    <w:rsid w:val="006370A2"/>
    <w:rsid w:val="006405A8"/>
    <w:rsid w:val="0064184D"/>
    <w:rsid w:val="006422CC"/>
    <w:rsid w:val="006476F1"/>
    <w:rsid w:val="00647F63"/>
    <w:rsid w:val="00650AE0"/>
    <w:rsid w:val="00650DF8"/>
    <w:rsid w:val="00650F40"/>
    <w:rsid w:val="00651D18"/>
    <w:rsid w:val="00660065"/>
    <w:rsid w:val="00660E3E"/>
    <w:rsid w:val="00662E74"/>
    <w:rsid w:val="00664534"/>
    <w:rsid w:val="00664E34"/>
    <w:rsid w:val="00666763"/>
    <w:rsid w:val="00666E78"/>
    <w:rsid w:val="006709EB"/>
    <w:rsid w:val="00671183"/>
    <w:rsid w:val="00674239"/>
    <w:rsid w:val="006778D5"/>
    <w:rsid w:val="00680C23"/>
    <w:rsid w:val="0068240B"/>
    <w:rsid w:val="00683106"/>
    <w:rsid w:val="006836C5"/>
    <w:rsid w:val="00683CA4"/>
    <w:rsid w:val="00683E23"/>
    <w:rsid w:val="006930F5"/>
    <w:rsid w:val="00693766"/>
    <w:rsid w:val="006A2EBD"/>
    <w:rsid w:val="006A3281"/>
    <w:rsid w:val="006A3F07"/>
    <w:rsid w:val="006A4A7C"/>
    <w:rsid w:val="006A6DE5"/>
    <w:rsid w:val="006A7023"/>
    <w:rsid w:val="006B3E61"/>
    <w:rsid w:val="006B4888"/>
    <w:rsid w:val="006B4D29"/>
    <w:rsid w:val="006B638F"/>
    <w:rsid w:val="006B7BFA"/>
    <w:rsid w:val="006C0FCA"/>
    <w:rsid w:val="006C2E45"/>
    <w:rsid w:val="006C359C"/>
    <w:rsid w:val="006C4988"/>
    <w:rsid w:val="006C5579"/>
    <w:rsid w:val="006C5B68"/>
    <w:rsid w:val="006D0541"/>
    <w:rsid w:val="006D1139"/>
    <w:rsid w:val="006D173A"/>
    <w:rsid w:val="006D446B"/>
    <w:rsid w:val="006D4B7D"/>
    <w:rsid w:val="006D5DF3"/>
    <w:rsid w:val="006D685E"/>
    <w:rsid w:val="006D6C0E"/>
    <w:rsid w:val="006D6E8B"/>
    <w:rsid w:val="006D7025"/>
    <w:rsid w:val="006D7209"/>
    <w:rsid w:val="006D7F37"/>
    <w:rsid w:val="006E2C64"/>
    <w:rsid w:val="006E3C7A"/>
    <w:rsid w:val="006E4210"/>
    <w:rsid w:val="006E4BC1"/>
    <w:rsid w:val="006E5AA2"/>
    <w:rsid w:val="006E737D"/>
    <w:rsid w:val="006E75B4"/>
    <w:rsid w:val="006F20C5"/>
    <w:rsid w:val="006F2623"/>
    <w:rsid w:val="006F38A9"/>
    <w:rsid w:val="00700F2C"/>
    <w:rsid w:val="00707376"/>
    <w:rsid w:val="00707DD1"/>
    <w:rsid w:val="00713973"/>
    <w:rsid w:val="00716102"/>
    <w:rsid w:val="00720A24"/>
    <w:rsid w:val="007258C5"/>
    <w:rsid w:val="00726579"/>
    <w:rsid w:val="00727AB9"/>
    <w:rsid w:val="00732386"/>
    <w:rsid w:val="00734109"/>
    <w:rsid w:val="00734BFA"/>
    <w:rsid w:val="00734CBA"/>
    <w:rsid w:val="0073514D"/>
    <w:rsid w:val="00737259"/>
    <w:rsid w:val="007414FB"/>
    <w:rsid w:val="007447F3"/>
    <w:rsid w:val="007452DB"/>
    <w:rsid w:val="007456EF"/>
    <w:rsid w:val="00746C86"/>
    <w:rsid w:val="00754141"/>
    <w:rsid w:val="00754728"/>
    <w:rsid w:val="0075499F"/>
    <w:rsid w:val="00754B00"/>
    <w:rsid w:val="00756569"/>
    <w:rsid w:val="007601C1"/>
    <w:rsid w:val="00763C7A"/>
    <w:rsid w:val="00763EA1"/>
    <w:rsid w:val="007661C8"/>
    <w:rsid w:val="0077098D"/>
    <w:rsid w:val="00770AA2"/>
    <w:rsid w:val="00770AE0"/>
    <w:rsid w:val="00774113"/>
    <w:rsid w:val="00782F05"/>
    <w:rsid w:val="00783FE5"/>
    <w:rsid w:val="00785BF9"/>
    <w:rsid w:val="0078617A"/>
    <w:rsid w:val="0078723E"/>
    <w:rsid w:val="00790F17"/>
    <w:rsid w:val="007931FA"/>
    <w:rsid w:val="00794E30"/>
    <w:rsid w:val="007954D6"/>
    <w:rsid w:val="007A4861"/>
    <w:rsid w:val="007A499E"/>
    <w:rsid w:val="007A5DEA"/>
    <w:rsid w:val="007A7BBA"/>
    <w:rsid w:val="007B0C50"/>
    <w:rsid w:val="007B1B46"/>
    <w:rsid w:val="007B42E7"/>
    <w:rsid w:val="007B48F9"/>
    <w:rsid w:val="007B4BF8"/>
    <w:rsid w:val="007B5319"/>
    <w:rsid w:val="007B62CE"/>
    <w:rsid w:val="007B7114"/>
    <w:rsid w:val="007C11E6"/>
    <w:rsid w:val="007C1A43"/>
    <w:rsid w:val="007C38FF"/>
    <w:rsid w:val="007C47B4"/>
    <w:rsid w:val="007C54D1"/>
    <w:rsid w:val="007D0951"/>
    <w:rsid w:val="007D23B6"/>
    <w:rsid w:val="007D2EA1"/>
    <w:rsid w:val="007D2F17"/>
    <w:rsid w:val="007D3C42"/>
    <w:rsid w:val="007D3D20"/>
    <w:rsid w:val="007D46C7"/>
    <w:rsid w:val="007D56BD"/>
    <w:rsid w:val="007D610D"/>
    <w:rsid w:val="007E15A9"/>
    <w:rsid w:val="007E1774"/>
    <w:rsid w:val="007E6A32"/>
    <w:rsid w:val="007E6F06"/>
    <w:rsid w:val="007E7368"/>
    <w:rsid w:val="007E759C"/>
    <w:rsid w:val="007F2A89"/>
    <w:rsid w:val="007F72AA"/>
    <w:rsid w:val="0080013E"/>
    <w:rsid w:val="0080150D"/>
    <w:rsid w:val="00801759"/>
    <w:rsid w:val="00803313"/>
    <w:rsid w:val="00803DB0"/>
    <w:rsid w:val="00805B91"/>
    <w:rsid w:val="008065D1"/>
    <w:rsid w:val="00807318"/>
    <w:rsid w:val="0081172F"/>
    <w:rsid w:val="00813288"/>
    <w:rsid w:val="008168FC"/>
    <w:rsid w:val="008207DF"/>
    <w:rsid w:val="00821BB0"/>
    <w:rsid w:val="00822D8D"/>
    <w:rsid w:val="008260E9"/>
    <w:rsid w:val="00827D47"/>
    <w:rsid w:val="00830248"/>
    <w:rsid w:val="00830996"/>
    <w:rsid w:val="008331D2"/>
    <w:rsid w:val="008345F1"/>
    <w:rsid w:val="00834CD7"/>
    <w:rsid w:val="008410EE"/>
    <w:rsid w:val="0084181E"/>
    <w:rsid w:val="00842FA3"/>
    <w:rsid w:val="00843839"/>
    <w:rsid w:val="008455F7"/>
    <w:rsid w:val="00846ED7"/>
    <w:rsid w:val="00850A04"/>
    <w:rsid w:val="00850A76"/>
    <w:rsid w:val="0085249E"/>
    <w:rsid w:val="0085294D"/>
    <w:rsid w:val="00852B0C"/>
    <w:rsid w:val="00854052"/>
    <w:rsid w:val="00855DBC"/>
    <w:rsid w:val="0086222E"/>
    <w:rsid w:val="00863147"/>
    <w:rsid w:val="0086504B"/>
    <w:rsid w:val="00865B07"/>
    <w:rsid w:val="008667EA"/>
    <w:rsid w:val="0087637F"/>
    <w:rsid w:val="0088241F"/>
    <w:rsid w:val="008833F1"/>
    <w:rsid w:val="00884141"/>
    <w:rsid w:val="008856D4"/>
    <w:rsid w:val="00890AC3"/>
    <w:rsid w:val="008915A7"/>
    <w:rsid w:val="00891EAC"/>
    <w:rsid w:val="00892927"/>
    <w:rsid w:val="00892942"/>
    <w:rsid w:val="00892AD5"/>
    <w:rsid w:val="00892F74"/>
    <w:rsid w:val="00897FD7"/>
    <w:rsid w:val="008A05D0"/>
    <w:rsid w:val="008A1512"/>
    <w:rsid w:val="008A253E"/>
    <w:rsid w:val="008A26D3"/>
    <w:rsid w:val="008A419F"/>
    <w:rsid w:val="008A4595"/>
    <w:rsid w:val="008A6AC7"/>
    <w:rsid w:val="008A7331"/>
    <w:rsid w:val="008B0CE4"/>
    <w:rsid w:val="008B27C2"/>
    <w:rsid w:val="008B6E44"/>
    <w:rsid w:val="008C488B"/>
    <w:rsid w:val="008C49EC"/>
    <w:rsid w:val="008C63C4"/>
    <w:rsid w:val="008D1ABC"/>
    <w:rsid w:val="008D2629"/>
    <w:rsid w:val="008D32B9"/>
    <w:rsid w:val="008D433B"/>
    <w:rsid w:val="008D4A16"/>
    <w:rsid w:val="008D4E88"/>
    <w:rsid w:val="008D5EDF"/>
    <w:rsid w:val="008D6065"/>
    <w:rsid w:val="008E1CB7"/>
    <w:rsid w:val="008E1DDB"/>
    <w:rsid w:val="008E33FE"/>
    <w:rsid w:val="008E5401"/>
    <w:rsid w:val="008E566E"/>
    <w:rsid w:val="008F3719"/>
    <w:rsid w:val="008F4760"/>
    <w:rsid w:val="008F5873"/>
    <w:rsid w:val="008F5CD3"/>
    <w:rsid w:val="0090161A"/>
    <w:rsid w:val="00901EB6"/>
    <w:rsid w:val="009028F0"/>
    <w:rsid w:val="009041F8"/>
    <w:rsid w:val="00904C62"/>
    <w:rsid w:val="00907071"/>
    <w:rsid w:val="009102D7"/>
    <w:rsid w:val="00912DAC"/>
    <w:rsid w:val="00914E8F"/>
    <w:rsid w:val="009160A2"/>
    <w:rsid w:val="00916A27"/>
    <w:rsid w:val="0092220C"/>
    <w:rsid w:val="00922866"/>
    <w:rsid w:val="00922BA8"/>
    <w:rsid w:val="009236C0"/>
    <w:rsid w:val="00923A95"/>
    <w:rsid w:val="009241E2"/>
    <w:rsid w:val="00924DAC"/>
    <w:rsid w:val="0092639A"/>
    <w:rsid w:val="00927058"/>
    <w:rsid w:val="00933396"/>
    <w:rsid w:val="00941861"/>
    <w:rsid w:val="00942750"/>
    <w:rsid w:val="0094376E"/>
    <w:rsid w:val="009438B7"/>
    <w:rsid w:val="009450CE"/>
    <w:rsid w:val="009459BB"/>
    <w:rsid w:val="00947179"/>
    <w:rsid w:val="0095164B"/>
    <w:rsid w:val="00951B89"/>
    <w:rsid w:val="009537D9"/>
    <w:rsid w:val="00954090"/>
    <w:rsid w:val="009549B8"/>
    <w:rsid w:val="009573E7"/>
    <w:rsid w:val="00960290"/>
    <w:rsid w:val="00961964"/>
    <w:rsid w:val="009632F1"/>
    <w:rsid w:val="00963E05"/>
    <w:rsid w:val="00963F25"/>
    <w:rsid w:val="00964A45"/>
    <w:rsid w:val="00967843"/>
    <w:rsid w:val="00967D54"/>
    <w:rsid w:val="00971028"/>
    <w:rsid w:val="00971113"/>
    <w:rsid w:val="00971E22"/>
    <w:rsid w:val="00975DF2"/>
    <w:rsid w:val="00983EED"/>
    <w:rsid w:val="00992F3A"/>
    <w:rsid w:val="00993997"/>
    <w:rsid w:val="00993B84"/>
    <w:rsid w:val="00994C6A"/>
    <w:rsid w:val="00995944"/>
    <w:rsid w:val="00996483"/>
    <w:rsid w:val="00996F5A"/>
    <w:rsid w:val="00997DA8"/>
    <w:rsid w:val="009A3555"/>
    <w:rsid w:val="009B041A"/>
    <w:rsid w:val="009B343A"/>
    <w:rsid w:val="009B4681"/>
    <w:rsid w:val="009B5EA1"/>
    <w:rsid w:val="009B7166"/>
    <w:rsid w:val="009C0A2E"/>
    <w:rsid w:val="009C37C3"/>
    <w:rsid w:val="009C4BB7"/>
    <w:rsid w:val="009C7C86"/>
    <w:rsid w:val="009D2341"/>
    <w:rsid w:val="009D2FF7"/>
    <w:rsid w:val="009D4361"/>
    <w:rsid w:val="009D44B8"/>
    <w:rsid w:val="009D6D88"/>
    <w:rsid w:val="009E22B9"/>
    <w:rsid w:val="009E35BF"/>
    <w:rsid w:val="009E3D5F"/>
    <w:rsid w:val="009E54F8"/>
    <w:rsid w:val="009E5861"/>
    <w:rsid w:val="009E7884"/>
    <w:rsid w:val="009E788A"/>
    <w:rsid w:val="009F0E08"/>
    <w:rsid w:val="009F3808"/>
    <w:rsid w:val="009F4F79"/>
    <w:rsid w:val="009F6523"/>
    <w:rsid w:val="009F6554"/>
    <w:rsid w:val="009F668F"/>
    <w:rsid w:val="00A01901"/>
    <w:rsid w:val="00A04DF2"/>
    <w:rsid w:val="00A07605"/>
    <w:rsid w:val="00A079AE"/>
    <w:rsid w:val="00A115DB"/>
    <w:rsid w:val="00A13977"/>
    <w:rsid w:val="00A1763D"/>
    <w:rsid w:val="00A17CEC"/>
    <w:rsid w:val="00A22739"/>
    <w:rsid w:val="00A24DC9"/>
    <w:rsid w:val="00A25631"/>
    <w:rsid w:val="00A27EF0"/>
    <w:rsid w:val="00A314FE"/>
    <w:rsid w:val="00A32170"/>
    <w:rsid w:val="00A32A21"/>
    <w:rsid w:val="00A32F92"/>
    <w:rsid w:val="00A3539F"/>
    <w:rsid w:val="00A37556"/>
    <w:rsid w:val="00A37742"/>
    <w:rsid w:val="00A4184B"/>
    <w:rsid w:val="00A42361"/>
    <w:rsid w:val="00A427A5"/>
    <w:rsid w:val="00A42B98"/>
    <w:rsid w:val="00A43FC7"/>
    <w:rsid w:val="00A46BFD"/>
    <w:rsid w:val="00A46D87"/>
    <w:rsid w:val="00A470BB"/>
    <w:rsid w:val="00A50B20"/>
    <w:rsid w:val="00A51390"/>
    <w:rsid w:val="00A5213C"/>
    <w:rsid w:val="00A60D13"/>
    <w:rsid w:val="00A64259"/>
    <w:rsid w:val="00A64D86"/>
    <w:rsid w:val="00A67703"/>
    <w:rsid w:val="00A7034E"/>
    <w:rsid w:val="00A72049"/>
    <w:rsid w:val="00A7223D"/>
    <w:rsid w:val="00A72745"/>
    <w:rsid w:val="00A72C60"/>
    <w:rsid w:val="00A76EFC"/>
    <w:rsid w:val="00A8005C"/>
    <w:rsid w:val="00A81367"/>
    <w:rsid w:val="00A82115"/>
    <w:rsid w:val="00A83C33"/>
    <w:rsid w:val="00A842B6"/>
    <w:rsid w:val="00A8552A"/>
    <w:rsid w:val="00A8569D"/>
    <w:rsid w:val="00A86BF6"/>
    <w:rsid w:val="00A87D50"/>
    <w:rsid w:val="00A91010"/>
    <w:rsid w:val="00A9362F"/>
    <w:rsid w:val="00A95606"/>
    <w:rsid w:val="00A95C68"/>
    <w:rsid w:val="00A97F29"/>
    <w:rsid w:val="00AA4E49"/>
    <w:rsid w:val="00AA4F04"/>
    <w:rsid w:val="00AA56D6"/>
    <w:rsid w:val="00AA702E"/>
    <w:rsid w:val="00AA7D26"/>
    <w:rsid w:val="00AB0964"/>
    <w:rsid w:val="00AB0B11"/>
    <w:rsid w:val="00AB0EF7"/>
    <w:rsid w:val="00AB5011"/>
    <w:rsid w:val="00AB5720"/>
    <w:rsid w:val="00AB65F2"/>
    <w:rsid w:val="00AB7C38"/>
    <w:rsid w:val="00AC1A85"/>
    <w:rsid w:val="00AC1B23"/>
    <w:rsid w:val="00AC7368"/>
    <w:rsid w:val="00AD040D"/>
    <w:rsid w:val="00AD16B9"/>
    <w:rsid w:val="00AD18B0"/>
    <w:rsid w:val="00AD4956"/>
    <w:rsid w:val="00AD49E5"/>
    <w:rsid w:val="00AD5E45"/>
    <w:rsid w:val="00AD6265"/>
    <w:rsid w:val="00AD62F1"/>
    <w:rsid w:val="00AD66C7"/>
    <w:rsid w:val="00AD6E62"/>
    <w:rsid w:val="00AD6E86"/>
    <w:rsid w:val="00AD7EC1"/>
    <w:rsid w:val="00AE20C9"/>
    <w:rsid w:val="00AE377D"/>
    <w:rsid w:val="00AE3E79"/>
    <w:rsid w:val="00AE62F4"/>
    <w:rsid w:val="00AF0E8A"/>
    <w:rsid w:val="00AF0EBA"/>
    <w:rsid w:val="00AF2463"/>
    <w:rsid w:val="00B000BC"/>
    <w:rsid w:val="00B02C8A"/>
    <w:rsid w:val="00B11323"/>
    <w:rsid w:val="00B13E6E"/>
    <w:rsid w:val="00B17FBD"/>
    <w:rsid w:val="00B2195A"/>
    <w:rsid w:val="00B256B2"/>
    <w:rsid w:val="00B25A0E"/>
    <w:rsid w:val="00B27EF7"/>
    <w:rsid w:val="00B315A6"/>
    <w:rsid w:val="00B31813"/>
    <w:rsid w:val="00B33365"/>
    <w:rsid w:val="00B357A0"/>
    <w:rsid w:val="00B42B06"/>
    <w:rsid w:val="00B43A25"/>
    <w:rsid w:val="00B44984"/>
    <w:rsid w:val="00B4703B"/>
    <w:rsid w:val="00B5001F"/>
    <w:rsid w:val="00B52E73"/>
    <w:rsid w:val="00B52F33"/>
    <w:rsid w:val="00B536F7"/>
    <w:rsid w:val="00B53FBF"/>
    <w:rsid w:val="00B57110"/>
    <w:rsid w:val="00B57B36"/>
    <w:rsid w:val="00B57E6F"/>
    <w:rsid w:val="00B63A66"/>
    <w:rsid w:val="00B63BA5"/>
    <w:rsid w:val="00B65AAE"/>
    <w:rsid w:val="00B66B36"/>
    <w:rsid w:val="00B70C43"/>
    <w:rsid w:val="00B752D3"/>
    <w:rsid w:val="00B81BD6"/>
    <w:rsid w:val="00B8686D"/>
    <w:rsid w:val="00B87820"/>
    <w:rsid w:val="00B87A0C"/>
    <w:rsid w:val="00B92FDE"/>
    <w:rsid w:val="00B93F69"/>
    <w:rsid w:val="00B95708"/>
    <w:rsid w:val="00BA10EC"/>
    <w:rsid w:val="00BA20B9"/>
    <w:rsid w:val="00BA6572"/>
    <w:rsid w:val="00BB099A"/>
    <w:rsid w:val="00BB1DDC"/>
    <w:rsid w:val="00BB2B57"/>
    <w:rsid w:val="00BB53F0"/>
    <w:rsid w:val="00BB72DB"/>
    <w:rsid w:val="00BC03B1"/>
    <w:rsid w:val="00BC273C"/>
    <w:rsid w:val="00BC30C9"/>
    <w:rsid w:val="00BC54CD"/>
    <w:rsid w:val="00BD0506"/>
    <w:rsid w:val="00BD077D"/>
    <w:rsid w:val="00BD1349"/>
    <w:rsid w:val="00BD25D4"/>
    <w:rsid w:val="00BE0073"/>
    <w:rsid w:val="00BE0EBB"/>
    <w:rsid w:val="00BE3DEB"/>
    <w:rsid w:val="00BE3E58"/>
    <w:rsid w:val="00BE422D"/>
    <w:rsid w:val="00BE637F"/>
    <w:rsid w:val="00BF0124"/>
    <w:rsid w:val="00BF13CE"/>
    <w:rsid w:val="00BF2CF3"/>
    <w:rsid w:val="00BF54B3"/>
    <w:rsid w:val="00BF5E14"/>
    <w:rsid w:val="00BF62CE"/>
    <w:rsid w:val="00BF6CE4"/>
    <w:rsid w:val="00C00366"/>
    <w:rsid w:val="00C01616"/>
    <w:rsid w:val="00C0162B"/>
    <w:rsid w:val="00C01C93"/>
    <w:rsid w:val="00C043E6"/>
    <w:rsid w:val="00C05B81"/>
    <w:rsid w:val="00C068ED"/>
    <w:rsid w:val="00C07B04"/>
    <w:rsid w:val="00C11DFC"/>
    <w:rsid w:val="00C15223"/>
    <w:rsid w:val="00C21B9B"/>
    <w:rsid w:val="00C22397"/>
    <w:rsid w:val="00C22E0C"/>
    <w:rsid w:val="00C345B1"/>
    <w:rsid w:val="00C371AF"/>
    <w:rsid w:val="00C40142"/>
    <w:rsid w:val="00C43628"/>
    <w:rsid w:val="00C438D5"/>
    <w:rsid w:val="00C43915"/>
    <w:rsid w:val="00C52C3C"/>
    <w:rsid w:val="00C53DCB"/>
    <w:rsid w:val="00C547E4"/>
    <w:rsid w:val="00C57182"/>
    <w:rsid w:val="00C57863"/>
    <w:rsid w:val="00C6146C"/>
    <w:rsid w:val="00C640AF"/>
    <w:rsid w:val="00C640BE"/>
    <w:rsid w:val="00C6496E"/>
    <w:rsid w:val="00C655FD"/>
    <w:rsid w:val="00C7095C"/>
    <w:rsid w:val="00C753D6"/>
    <w:rsid w:val="00C75407"/>
    <w:rsid w:val="00C7697A"/>
    <w:rsid w:val="00C8041C"/>
    <w:rsid w:val="00C8225C"/>
    <w:rsid w:val="00C83E7B"/>
    <w:rsid w:val="00C841C6"/>
    <w:rsid w:val="00C86581"/>
    <w:rsid w:val="00C870A8"/>
    <w:rsid w:val="00C874C2"/>
    <w:rsid w:val="00C91477"/>
    <w:rsid w:val="00C9197E"/>
    <w:rsid w:val="00C924BE"/>
    <w:rsid w:val="00C94434"/>
    <w:rsid w:val="00C955B1"/>
    <w:rsid w:val="00CA0D75"/>
    <w:rsid w:val="00CA1A4A"/>
    <w:rsid w:val="00CA1C95"/>
    <w:rsid w:val="00CA5A9C"/>
    <w:rsid w:val="00CB37A8"/>
    <w:rsid w:val="00CB4594"/>
    <w:rsid w:val="00CB5059"/>
    <w:rsid w:val="00CB726D"/>
    <w:rsid w:val="00CC0786"/>
    <w:rsid w:val="00CC218B"/>
    <w:rsid w:val="00CC23E8"/>
    <w:rsid w:val="00CC3E8B"/>
    <w:rsid w:val="00CC4C20"/>
    <w:rsid w:val="00CD3517"/>
    <w:rsid w:val="00CD3A61"/>
    <w:rsid w:val="00CD5FE2"/>
    <w:rsid w:val="00CD6F54"/>
    <w:rsid w:val="00CD7881"/>
    <w:rsid w:val="00CE28D1"/>
    <w:rsid w:val="00CE29C2"/>
    <w:rsid w:val="00CE4DE6"/>
    <w:rsid w:val="00CE52A1"/>
    <w:rsid w:val="00CE7C68"/>
    <w:rsid w:val="00CF103C"/>
    <w:rsid w:val="00CF27B6"/>
    <w:rsid w:val="00CF2B3F"/>
    <w:rsid w:val="00CF51D8"/>
    <w:rsid w:val="00CF5661"/>
    <w:rsid w:val="00D00FED"/>
    <w:rsid w:val="00D01E72"/>
    <w:rsid w:val="00D02B4C"/>
    <w:rsid w:val="00D040C4"/>
    <w:rsid w:val="00D049A6"/>
    <w:rsid w:val="00D05CEE"/>
    <w:rsid w:val="00D075E2"/>
    <w:rsid w:val="00D07708"/>
    <w:rsid w:val="00D10D28"/>
    <w:rsid w:val="00D136D7"/>
    <w:rsid w:val="00D163DF"/>
    <w:rsid w:val="00D175A2"/>
    <w:rsid w:val="00D20AD1"/>
    <w:rsid w:val="00D22430"/>
    <w:rsid w:val="00D24159"/>
    <w:rsid w:val="00D2582C"/>
    <w:rsid w:val="00D27802"/>
    <w:rsid w:val="00D31CE6"/>
    <w:rsid w:val="00D3229A"/>
    <w:rsid w:val="00D32545"/>
    <w:rsid w:val="00D33ABC"/>
    <w:rsid w:val="00D40966"/>
    <w:rsid w:val="00D44036"/>
    <w:rsid w:val="00D440AB"/>
    <w:rsid w:val="00D44178"/>
    <w:rsid w:val="00D46B7E"/>
    <w:rsid w:val="00D50069"/>
    <w:rsid w:val="00D569BA"/>
    <w:rsid w:val="00D57C84"/>
    <w:rsid w:val="00D60529"/>
    <w:rsid w:val="00D6057D"/>
    <w:rsid w:val="00D622D7"/>
    <w:rsid w:val="00D64B90"/>
    <w:rsid w:val="00D670CB"/>
    <w:rsid w:val="00D7101E"/>
    <w:rsid w:val="00D71640"/>
    <w:rsid w:val="00D725F4"/>
    <w:rsid w:val="00D74D22"/>
    <w:rsid w:val="00D82D48"/>
    <w:rsid w:val="00D836C5"/>
    <w:rsid w:val="00D84576"/>
    <w:rsid w:val="00D87C0A"/>
    <w:rsid w:val="00D920ED"/>
    <w:rsid w:val="00D9403D"/>
    <w:rsid w:val="00DA1152"/>
    <w:rsid w:val="00DA1399"/>
    <w:rsid w:val="00DA24C6"/>
    <w:rsid w:val="00DA4D7B"/>
    <w:rsid w:val="00DB4705"/>
    <w:rsid w:val="00DB675D"/>
    <w:rsid w:val="00DB717F"/>
    <w:rsid w:val="00DB75DE"/>
    <w:rsid w:val="00DC2509"/>
    <w:rsid w:val="00DC2840"/>
    <w:rsid w:val="00DC470D"/>
    <w:rsid w:val="00DC49A8"/>
    <w:rsid w:val="00DC62B0"/>
    <w:rsid w:val="00DC71BF"/>
    <w:rsid w:val="00DC73EE"/>
    <w:rsid w:val="00DD12E5"/>
    <w:rsid w:val="00DD271C"/>
    <w:rsid w:val="00DD58A5"/>
    <w:rsid w:val="00DD64E6"/>
    <w:rsid w:val="00DE264A"/>
    <w:rsid w:val="00DE7F32"/>
    <w:rsid w:val="00DF3044"/>
    <w:rsid w:val="00DF5072"/>
    <w:rsid w:val="00DF50FB"/>
    <w:rsid w:val="00DF7147"/>
    <w:rsid w:val="00DF7A66"/>
    <w:rsid w:val="00E01306"/>
    <w:rsid w:val="00E02D18"/>
    <w:rsid w:val="00E02D47"/>
    <w:rsid w:val="00E0351C"/>
    <w:rsid w:val="00E03F12"/>
    <w:rsid w:val="00E041E7"/>
    <w:rsid w:val="00E06258"/>
    <w:rsid w:val="00E0675A"/>
    <w:rsid w:val="00E06971"/>
    <w:rsid w:val="00E1076D"/>
    <w:rsid w:val="00E129DE"/>
    <w:rsid w:val="00E16AE9"/>
    <w:rsid w:val="00E177B0"/>
    <w:rsid w:val="00E2050F"/>
    <w:rsid w:val="00E23CA1"/>
    <w:rsid w:val="00E26588"/>
    <w:rsid w:val="00E34E90"/>
    <w:rsid w:val="00E409A8"/>
    <w:rsid w:val="00E43A41"/>
    <w:rsid w:val="00E45549"/>
    <w:rsid w:val="00E46297"/>
    <w:rsid w:val="00E504CE"/>
    <w:rsid w:val="00E50C12"/>
    <w:rsid w:val="00E531BD"/>
    <w:rsid w:val="00E61114"/>
    <w:rsid w:val="00E62409"/>
    <w:rsid w:val="00E65B91"/>
    <w:rsid w:val="00E66F6F"/>
    <w:rsid w:val="00E7209D"/>
    <w:rsid w:val="00E72EAD"/>
    <w:rsid w:val="00E74BA4"/>
    <w:rsid w:val="00E77223"/>
    <w:rsid w:val="00E83A13"/>
    <w:rsid w:val="00E8528B"/>
    <w:rsid w:val="00E852A5"/>
    <w:rsid w:val="00E85B94"/>
    <w:rsid w:val="00E87E81"/>
    <w:rsid w:val="00E950F5"/>
    <w:rsid w:val="00E96AE3"/>
    <w:rsid w:val="00E978D0"/>
    <w:rsid w:val="00EA03CD"/>
    <w:rsid w:val="00EA053B"/>
    <w:rsid w:val="00EA4613"/>
    <w:rsid w:val="00EA4FEE"/>
    <w:rsid w:val="00EA70D7"/>
    <w:rsid w:val="00EA7812"/>
    <w:rsid w:val="00EA7F91"/>
    <w:rsid w:val="00EB1523"/>
    <w:rsid w:val="00EB38B9"/>
    <w:rsid w:val="00EB4134"/>
    <w:rsid w:val="00EB4A44"/>
    <w:rsid w:val="00EB636E"/>
    <w:rsid w:val="00EC0E49"/>
    <w:rsid w:val="00EC0ED3"/>
    <w:rsid w:val="00EC101F"/>
    <w:rsid w:val="00EC1D9F"/>
    <w:rsid w:val="00EC2DB1"/>
    <w:rsid w:val="00EC3B2E"/>
    <w:rsid w:val="00ED0615"/>
    <w:rsid w:val="00ED2E58"/>
    <w:rsid w:val="00EE0131"/>
    <w:rsid w:val="00EE17B0"/>
    <w:rsid w:val="00EE41E6"/>
    <w:rsid w:val="00EE52DD"/>
    <w:rsid w:val="00EE58EF"/>
    <w:rsid w:val="00EE6582"/>
    <w:rsid w:val="00EE7874"/>
    <w:rsid w:val="00EF06D9"/>
    <w:rsid w:val="00EF0C3C"/>
    <w:rsid w:val="00EF27AA"/>
    <w:rsid w:val="00EF38CA"/>
    <w:rsid w:val="00EF3F8D"/>
    <w:rsid w:val="00EF5800"/>
    <w:rsid w:val="00F0282E"/>
    <w:rsid w:val="00F0324D"/>
    <w:rsid w:val="00F049FC"/>
    <w:rsid w:val="00F07CAD"/>
    <w:rsid w:val="00F10C6C"/>
    <w:rsid w:val="00F12E5B"/>
    <w:rsid w:val="00F17818"/>
    <w:rsid w:val="00F17B0A"/>
    <w:rsid w:val="00F2233A"/>
    <w:rsid w:val="00F22BBB"/>
    <w:rsid w:val="00F25C9A"/>
    <w:rsid w:val="00F27E39"/>
    <w:rsid w:val="00F3049E"/>
    <w:rsid w:val="00F30C64"/>
    <w:rsid w:val="00F31202"/>
    <w:rsid w:val="00F32423"/>
    <w:rsid w:val="00F32BA2"/>
    <w:rsid w:val="00F32CDB"/>
    <w:rsid w:val="00F41EE4"/>
    <w:rsid w:val="00F42BBB"/>
    <w:rsid w:val="00F43ABF"/>
    <w:rsid w:val="00F4547C"/>
    <w:rsid w:val="00F45C4E"/>
    <w:rsid w:val="00F54828"/>
    <w:rsid w:val="00F5549F"/>
    <w:rsid w:val="00F565FE"/>
    <w:rsid w:val="00F57C4B"/>
    <w:rsid w:val="00F62F28"/>
    <w:rsid w:val="00F63395"/>
    <w:rsid w:val="00F63A70"/>
    <w:rsid w:val="00F63D8C"/>
    <w:rsid w:val="00F65E22"/>
    <w:rsid w:val="00F65E78"/>
    <w:rsid w:val="00F715B3"/>
    <w:rsid w:val="00F7534E"/>
    <w:rsid w:val="00F76CE2"/>
    <w:rsid w:val="00F77BA1"/>
    <w:rsid w:val="00F80593"/>
    <w:rsid w:val="00F818B6"/>
    <w:rsid w:val="00F82137"/>
    <w:rsid w:val="00F87EEC"/>
    <w:rsid w:val="00F9076E"/>
    <w:rsid w:val="00F9148D"/>
    <w:rsid w:val="00F92106"/>
    <w:rsid w:val="00F924B9"/>
    <w:rsid w:val="00F93EDF"/>
    <w:rsid w:val="00F958C0"/>
    <w:rsid w:val="00F95DC0"/>
    <w:rsid w:val="00FA0608"/>
    <w:rsid w:val="00FA0B91"/>
    <w:rsid w:val="00FA1802"/>
    <w:rsid w:val="00FA21D0"/>
    <w:rsid w:val="00FA4C0C"/>
    <w:rsid w:val="00FA5F5F"/>
    <w:rsid w:val="00FA7531"/>
    <w:rsid w:val="00FB0CD1"/>
    <w:rsid w:val="00FB307B"/>
    <w:rsid w:val="00FB3CEF"/>
    <w:rsid w:val="00FB43FC"/>
    <w:rsid w:val="00FB7075"/>
    <w:rsid w:val="00FB7199"/>
    <w:rsid w:val="00FB730C"/>
    <w:rsid w:val="00FC0FAD"/>
    <w:rsid w:val="00FC1739"/>
    <w:rsid w:val="00FC2695"/>
    <w:rsid w:val="00FC3E03"/>
    <w:rsid w:val="00FC3FC1"/>
    <w:rsid w:val="00FC5C8B"/>
    <w:rsid w:val="00FC6BDF"/>
    <w:rsid w:val="00FC6DB1"/>
    <w:rsid w:val="00FC7F93"/>
    <w:rsid w:val="00FD2F14"/>
    <w:rsid w:val="00FD5C60"/>
    <w:rsid w:val="00FE044A"/>
    <w:rsid w:val="00FE10F6"/>
    <w:rsid w:val="00FE2036"/>
    <w:rsid w:val="00FE68F0"/>
    <w:rsid w:val="00FF1BF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EFA9423-2DF3-4210-BC26-9146FB07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E2C64"/>
    <w:pPr>
      <w:tabs>
        <w:tab w:val="right" w:pos="7100"/>
      </w:tabs>
      <w:spacing w:after="0" w:line="264" w:lineRule="auto"/>
      <w:jc w:val="both"/>
    </w:pPr>
    <w:rPr>
      <w:rFonts w:ascii="Arial" w:eastAsia="Times New Roman" w:hAnsi="Arial" w:cs="Times New Roman"/>
      <w:sz w:val="18"/>
      <w:szCs w:val="20"/>
      <w:lang w:val="en-US"/>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16047"/>
    <w:pPr>
      <w:keepNext/>
      <w:numPr>
        <w:ilvl w:val="2"/>
        <w:numId w:val="1"/>
      </w:numPr>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16047"/>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styleId="Revisione">
    <w:name w:val="Revision"/>
    <w:hidden/>
    <w:uiPriority w:val="99"/>
    <w:semiHidden/>
    <w:rsid w:val="009D4361"/>
    <w:pPr>
      <w:spacing w:after="0" w:line="240" w:lineRule="auto"/>
    </w:pPr>
    <w:rPr>
      <w:rFonts w:ascii="Arial" w:eastAsia="Times New Roman" w:hAnsi="Arial" w:cs="Times New Roman"/>
      <w:sz w:val="18"/>
      <w:szCs w:val="20"/>
      <w:lang w:val="en-US"/>
    </w:rPr>
  </w:style>
  <w:style w:type="character" w:styleId="Menzionenonrisolta">
    <w:name w:val="Unresolved Mention"/>
    <w:basedOn w:val="Carpredefinitoparagrafo"/>
    <w:uiPriority w:val="99"/>
    <w:semiHidden/>
    <w:unhideWhenUsed/>
    <w:rsid w:val="00145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96269">
      <w:bodyDiv w:val="1"/>
      <w:marLeft w:val="0"/>
      <w:marRight w:val="0"/>
      <w:marTop w:val="0"/>
      <w:marBottom w:val="0"/>
      <w:divBdr>
        <w:top w:val="none" w:sz="0" w:space="0" w:color="auto"/>
        <w:left w:val="none" w:sz="0" w:space="0" w:color="auto"/>
        <w:bottom w:val="none" w:sz="0" w:space="0" w:color="auto"/>
        <w:right w:val="none" w:sz="0" w:space="0" w:color="auto"/>
      </w:divBdr>
    </w:div>
    <w:div w:id="70190047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05680971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Properties xmlns="http://schemas.openxmlformats.org/officeDocument/2006/extended-properties" xmlns:vt="http://schemas.openxmlformats.org/officeDocument/2006/docPropsVTypes">
  <Template>Normal</Template>
  <TotalTime>910</TotalTime>
  <Pages>6</Pages>
  <Words>3690</Words>
  <Characters>20000</Characters>
  <Application>Microsoft Office Word</Application>
  <DocSecurity>0</DocSecurity>
  <Lines>298</Lines>
  <Paragraphs>98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Matteo Miceli</cp:lastModifiedBy>
  <cp:revision>173</cp:revision>
  <cp:lastPrinted>2015-05-12T18:31:00Z</cp:lastPrinted>
  <dcterms:created xsi:type="dcterms:W3CDTF">2024-12-03T15:53:00Z</dcterms:created>
  <dcterms:modified xsi:type="dcterms:W3CDTF">2025-03-14T09:46:00Z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5f970d503672cd30f383dc285a05753d5b732e1086a223b37f9ea11818ce0bc7</vt:lpwstr>
  </property>
</Properties>
</file>