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2FACDB8" w:rsidR="00E978D0" w:rsidRPr="00D65627" w:rsidRDefault="00C80849" w:rsidP="00D65627">
      <w:pPr>
        <w:pStyle w:val="CETTitle"/>
      </w:pPr>
      <w:r w:rsidRPr="00D65627">
        <w:t>Exergy Assessment of the Hydrocracking Process with Mass and Energy Optimization: An Industrial-Scale Study</w:t>
      </w:r>
    </w:p>
    <w:p w14:paraId="0488FED2" w14:textId="6002715D" w:rsidR="00B57E6F" w:rsidRPr="00EA64EB" w:rsidRDefault="006B6C75" w:rsidP="00B57E6F">
      <w:pPr>
        <w:pStyle w:val="CETAuthors"/>
        <w:rPr>
          <w:lang w:val="es-CO"/>
        </w:rPr>
      </w:pPr>
      <w:r w:rsidRPr="00EA64EB">
        <w:rPr>
          <w:lang w:val="es-CO"/>
        </w:rPr>
        <w:t>Luisa</w:t>
      </w:r>
      <w:r w:rsidR="00EA64EB" w:rsidRPr="00EA64EB">
        <w:rPr>
          <w:lang w:val="es-CO"/>
        </w:rPr>
        <w:t xml:space="preserve"> </w:t>
      </w:r>
      <w:r w:rsidRPr="00EA64EB">
        <w:rPr>
          <w:lang w:val="es-CO"/>
        </w:rPr>
        <w:t>Acosta</w:t>
      </w:r>
      <w:r w:rsidR="00EA64EB" w:rsidRPr="00EA64EB">
        <w:rPr>
          <w:lang w:val="es-CO"/>
        </w:rPr>
        <w:t>-Esalas</w:t>
      </w:r>
      <w:r w:rsidR="00B57E6F" w:rsidRPr="00EA64EB">
        <w:rPr>
          <w:lang w:val="es-CO"/>
        </w:rPr>
        <w:t xml:space="preserve">, </w:t>
      </w:r>
      <w:r w:rsidR="00EA64EB">
        <w:rPr>
          <w:lang w:val="es-CO"/>
        </w:rPr>
        <w:t>Sofía</w:t>
      </w:r>
      <w:r w:rsidR="00EA64EB" w:rsidRPr="00EA64EB">
        <w:rPr>
          <w:lang w:val="es-CO"/>
        </w:rPr>
        <w:t xml:space="preserve"> </w:t>
      </w:r>
      <w:r w:rsidR="00EA64EB">
        <w:rPr>
          <w:lang w:val="es-CO"/>
        </w:rPr>
        <w:t>García</w:t>
      </w:r>
      <w:r w:rsidR="00EA64EB" w:rsidRPr="00EA64EB">
        <w:rPr>
          <w:lang w:val="es-CO"/>
        </w:rPr>
        <w:t>-</w:t>
      </w:r>
      <w:r w:rsidR="00EA64EB">
        <w:rPr>
          <w:lang w:val="es-CO"/>
        </w:rPr>
        <w:t xml:space="preserve">Maza, </w:t>
      </w:r>
      <w:r w:rsidR="00EA64EB" w:rsidRPr="00EA64EB">
        <w:rPr>
          <w:lang w:val="es-CO"/>
        </w:rPr>
        <w:t>Ángel González-Delgado</w:t>
      </w:r>
      <w:r w:rsidR="00B57E6F" w:rsidRPr="00EA64EB">
        <w:rPr>
          <w:lang w:val="es-CO"/>
        </w:rPr>
        <w:t>*</w:t>
      </w:r>
    </w:p>
    <w:p w14:paraId="3A54AD45" w14:textId="64FECC21" w:rsidR="00EA64EB" w:rsidRPr="00233024" w:rsidRDefault="00EA64EB" w:rsidP="00CC2736">
      <w:pPr>
        <w:pStyle w:val="CETAddress"/>
        <w:rPr>
          <w:rFonts w:eastAsiaTheme="minorHAnsi"/>
          <w:lang w:val="en-US"/>
        </w:rPr>
      </w:pPr>
      <w:r w:rsidRPr="00233024">
        <w:rPr>
          <w:rFonts w:eastAsiaTheme="minorHAnsi"/>
          <w:lang w:val="en-US"/>
        </w:rPr>
        <w:t>Nanomaterials and Computer Aided Process Engineering Research Group (NIPAC), Chemical Engineering Department,</w:t>
      </w:r>
    </w:p>
    <w:p w14:paraId="0E24212B" w14:textId="77777777" w:rsidR="00EA64EB" w:rsidRDefault="00EA64EB" w:rsidP="00CC2736">
      <w:pPr>
        <w:pStyle w:val="CETAddress"/>
        <w:rPr>
          <w:rFonts w:eastAsiaTheme="minorHAnsi"/>
          <w:lang w:val="en-US"/>
        </w:rPr>
      </w:pPr>
      <w:r w:rsidRPr="00233024">
        <w:rPr>
          <w:rFonts w:eastAsiaTheme="minorHAnsi"/>
          <w:lang w:val="en-US"/>
        </w:rPr>
        <w:t>Faculty of Engineering, University of Cartagena, Av. del Consulado Calle 30 No. 48-152, Cartagena, Colombia</w:t>
      </w:r>
      <w:r>
        <w:rPr>
          <w:rFonts w:eastAsiaTheme="minorHAnsi"/>
          <w:lang w:val="en-US"/>
        </w:rPr>
        <w:t>.</w:t>
      </w:r>
    </w:p>
    <w:p w14:paraId="73F1267A" w14:textId="7D9766F7" w:rsidR="00B57E6F" w:rsidRDefault="00EA64EB" w:rsidP="00CC2736">
      <w:pPr>
        <w:pStyle w:val="CETemail"/>
      </w:pPr>
      <w:r>
        <w:t>agonzalezd1@unicartagena.edu.co</w:t>
      </w:r>
    </w:p>
    <w:p w14:paraId="0172C84D" w14:textId="4BE9ED82" w:rsidR="00AD5F05" w:rsidRPr="00AD5F05" w:rsidRDefault="00AD5F05" w:rsidP="00CC2736">
      <w:pPr>
        <w:pStyle w:val="CETBodytext"/>
      </w:pPr>
      <w:r w:rsidRPr="00AD5F05">
        <w:t xml:space="preserve">Hydrocracking is a key process in petroleum refining, where catalytic cracking is combined with hydrogenation to transform heavy feedstocks into lighter and commercially valuable products. This work focuses on improving the energy efficiency of a hydrocracking unit, also incorporating the reuse of wastewater streams generated within the process itself. Using the Aspen </w:t>
      </w:r>
      <w:proofErr w:type="spellStart"/>
      <w:r w:rsidRPr="00AD5F05">
        <w:t>Hysys</w:t>
      </w:r>
      <w:proofErr w:type="spellEnd"/>
      <w:r w:rsidRPr="00AD5F05">
        <w:t xml:space="preserve"> V.14 simulation tool, a detailed energy analysis was performed to identify the main sources of energy loss in the process. The results show that the overall efficiency of the process is high (98.08%), but the </w:t>
      </w:r>
      <w:r w:rsidR="00A12E8B">
        <w:t>H</w:t>
      </w:r>
      <w:r w:rsidRPr="00AD5F05">
        <w:t xml:space="preserve">ydrogen </w:t>
      </w:r>
      <w:r w:rsidR="00A12E8B">
        <w:t>P</w:t>
      </w:r>
      <w:r w:rsidRPr="00AD5F05">
        <w:t>urification stage presents the highest exergy destruction (915,717.71 MJ/h), due to the residues generated from the separation processes in the absorption and adsorption towers, where contaminants such as NH</w:t>
      </w:r>
      <w:r w:rsidRPr="00AD5F05">
        <w:rPr>
          <w:rFonts w:ascii="Cambria Math" w:hAnsi="Cambria Math" w:cs="Cambria Math"/>
        </w:rPr>
        <w:t>₃</w:t>
      </w:r>
      <w:r w:rsidRPr="00AD5F05">
        <w:t xml:space="preserve"> and H</w:t>
      </w:r>
      <w:r w:rsidRPr="00AD5F05">
        <w:rPr>
          <w:rFonts w:ascii="Cambria Math" w:hAnsi="Cambria Math" w:cs="Cambria Math"/>
        </w:rPr>
        <w:t>₂</w:t>
      </w:r>
      <w:r w:rsidRPr="00AD5F05">
        <w:t>S are removed from the hydrogen streams. The analysis reveals the need to improve the efficiency of this stage to increase the sustainability of the overall process. By identifying the areas of greatest energy loss, this study provides a solid basis for proposing improvements and optimizing the operation of the hydrocracking plant</w:t>
      </w:r>
      <w:r w:rsidR="0066782E">
        <w:t xml:space="preserve">. </w:t>
      </w:r>
    </w:p>
    <w:p w14:paraId="476B2F2E" w14:textId="52B36035" w:rsidR="00600535" w:rsidRPr="00B57B36" w:rsidRDefault="00600535" w:rsidP="00600535">
      <w:pPr>
        <w:pStyle w:val="CETHeading1"/>
        <w:rPr>
          <w:lang w:val="en-GB"/>
        </w:rPr>
      </w:pPr>
      <w:r w:rsidRPr="00B57B36">
        <w:rPr>
          <w:lang w:val="en-GB"/>
        </w:rPr>
        <w:t>Introduction</w:t>
      </w:r>
    </w:p>
    <w:p w14:paraId="71CC2615" w14:textId="25080274" w:rsidR="00943BBB" w:rsidRPr="004E5CA0" w:rsidRDefault="0070773B" w:rsidP="00943BBB">
      <w:pPr>
        <w:pStyle w:val="CETBodytext"/>
      </w:pPr>
      <w:r w:rsidRPr="0070773B">
        <w:t>Currently, the transportation sector is the second largest energy consumer globally, accounting for about 25% of global energy consumption, where more than 80% of energy comes from fossil fuel sources such as oil, natural gas and coal. This scenario poses a critical challenge, as the use of fossil fuels is one of the main causes of global warming and climate change</w:t>
      </w:r>
      <w:r w:rsidR="008D7689">
        <w:t xml:space="preserve"> </w:t>
      </w:r>
      <w:sdt>
        <w:sdtPr>
          <w:rPr>
            <w:color w:val="000000"/>
          </w:rPr>
          <w:tag w:val="MENDELEY_CITATION_v3_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"/>
          <w:id w:val="1723637648"/>
          <w:placeholder>
            <w:docPart w:val="DefaultPlaceholder_-1854013440"/>
          </w:placeholder>
        </w:sdtPr>
        <w:sdtEndPr/>
        <w:sdtContent>
          <w:r w:rsidR="008D7689" w:rsidRPr="008D7689">
            <w:rPr>
              <w:color w:val="000000"/>
            </w:rPr>
            <w:t>(</w:t>
          </w:r>
          <w:proofErr w:type="spellStart"/>
          <w:r w:rsidR="008D7689" w:rsidRPr="008D7689">
            <w:rPr>
              <w:color w:val="000000"/>
            </w:rPr>
            <w:t>Pleyer</w:t>
          </w:r>
          <w:proofErr w:type="spellEnd"/>
          <w:r w:rsidR="008D7689" w:rsidRPr="008D7689">
            <w:rPr>
              <w:color w:val="000000"/>
            </w:rPr>
            <w:t xml:space="preserve"> et al., 2024)</w:t>
          </w:r>
        </w:sdtContent>
      </w:sdt>
      <w:r w:rsidRPr="0070773B">
        <w:t xml:space="preserve">. </w:t>
      </w:r>
      <w:r w:rsidR="00E46855" w:rsidRPr="00E46855">
        <w:t>Hydrocracking, a high-pressure, high-temperature catalytic process for upgrading heavy oils into valuable fuels (gasoline, diesel, kerosene), faces energy losses through heat dissipation and pressure drops, limiting its efficiency</w:t>
      </w:r>
      <w:r w:rsidRPr="0070773B">
        <w:t>. These losses represent an opportunity for improvement in terms of energy efficiency</w:t>
      </w:r>
      <w:r w:rsidR="00A07DCA">
        <w:t xml:space="preserve"> </w:t>
      </w:r>
      <w:sdt>
        <w:sdtPr>
          <w:rPr>
            <w:color w:val="000000"/>
          </w:rPr>
          <w:tag w:val="MENDELEY_CITATION_v3_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"/>
          <w:id w:val="-2093147894"/>
          <w:placeholder>
            <w:docPart w:val="DefaultPlaceholder_-1854013440"/>
          </w:placeholder>
        </w:sdtPr>
        <w:sdtEndPr/>
        <w:sdtContent>
          <w:r w:rsidR="008D7689" w:rsidRPr="008D7689">
            <w:rPr>
              <w:color w:val="000000"/>
            </w:rPr>
            <w:t>(</w:t>
          </w:r>
          <w:proofErr w:type="spellStart"/>
          <w:r w:rsidR="008D7689" w:rsidRPr="008D7689">
            <w:rPr>
              <w:color w:val="000000"/>
            </w:rPr>
            <w:t>Bhutani</w:t>
          </w:r>
          <w:proofErr w:type="spellEnd"/>
          <w:r w:rsidR="008D7689" w:rsidRPr="008D7689">
            <w:rPr>
              <w:color w:val="000000"/>
            </w:rPr>
            <w:t xml:space="preserve"> et al., 2006)</w:t>
          </w:r>
        </w:sdtContent>
      </w:sdt>
      <w:r w:rsidRPr="0070773B">
        <w:t xml:space="preserve">. In recent decades, increasing energy efficiency in industry has been a technical and scientific priority. </w:t>
      </w:r>
      <w:r w:rsidR="00A07DCA" w:rsidRPr="00A07DCA">
        <w:t xml:space="preserve">First energy conservation measures, such as effective maintenance and awareness raising, have proven to be able to reduce up to 15 % of consumption. However, </w:t>
      </w:r>
      <w:r w:rsidR="00A07DCA" w:rsidRPr="004E5CA0">
        <w:t>second and third level measures, which require additional investments, are necessary to make progress in reducing energy degradation. This challenge can be addressed through the concept of exergy, which assesses both the quantity and quality of energy, aligning with economic and ecological sustainability goals</w:t>
      </w:r>
      <w:r w:rsidR="00FB0445" w:rsidRPr="004E5CA0">
        <w:t xml:space="preserve"> </w:t>
      </w:r>
      <w:sdt>
        <w:sdtPr>
          <w:tag w:val="MENDELEY_CITATION_v3_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"/>
          <w:id w:val="-517923060"/>
          <w:placeholder>
            <w:docPart w:val="DefaultPlaceholder_-1854013440"/>
          </w:placeholder>
        </w:sdtPr>
        <w:sdtEndPr/>
        <w:sdtContent>
          <w:r w:rsidR="008D7689" w:rsidRPr="004E5CA0">
            <w:t>(Bandyopadhyay et al., 2019)</w:t>
          </w:r>
        </w:sdtContent>
      </w:sdt>
      <w:r w:rsidR="00A07DCA" w:rsidRPr="004E5CA0">
        <w:t>. On the other hand, while technologies such as hydrocracking have optimized refining processes, their implementation has posed significant environmental challenges, such as excessive water consumption and the generation of pollutants. To mitigate these impacts and make the best use of resources, it is essential to adopt a comprehensive approach that combines energy efficiency with environmental sustainability. By taking advantage of internal process flows, it is possible to reduce industrial requirements, freeing up essential resources such as water and energy, mitigating the adverse effects related to the climate crisis of the 21st century.</w:t>
      </w:r>
      <w:r w:rsidR="00943BBB" w:rsidRPr="004E5CA0">
        <w:t xml:space="preserve"> </w:t>
      </w:r>
      <w:r w:rsidR="00B1330A" w:rsidRPr="004E5CA0">
        <w:t xml:space="preserve">Previous research has mainly focused on enhancing the energy efficiency of hydrocracking processes through heat integration methods, including pinch and exergy analyses. </w:t>
      </w:r>
      <w:proofErr w:type="spellStart"/>
      <w:r w:rsidR="00B1330A" w:rsidRPr="004E5CA0">
        <w:t>Yaylaci</w:t>
      </w:r>
      <w:proofErr w:type="spellEnd"/>
      <w:r w:rsidR="00B1330A" w:rsidRPr="004E5CA0">
        <w:t xml:space="preserve"> </w:t>
      </w:r>
      <w:r w:rsidR="00672442" w:rsidRPr="004E5CA0">
        <w:t>&amp;</w:t>
      </w:r>
      <w:r w:rsidR="00B1330A" w:rsidRPr="004E5CA0">
        <w:t xml:space="preserve"> </w:t>
      </w:r>
      <w:proofErr w:type="spellStart"/>
      <w:r w:rsidR="00B1330A" w:rsidRPr="004E5CA0">
        <w:t>Bayramoglu</w:t>
      </w:r>
      <w:proofErr w:type="spellEnd"/>
      <w:r w:rsidR="00B1330A" w:rsidRPr="004E5CA0">
        <w:t xml:space="preserve"> (2022) assessed the exergetic performance of individual equipment in a mild hydrocracking and diesel hydrotreating unit, while </w:t>
      </w:r>
      <w:proofErr w:type="spellStart"/>
      <w:r w:rsidR="00B1330A" w:rsidRPr="004E5CA0">
        <w:t>Goodarzvand-Chegini</w:t>
      </w:r>
      <w:proofErr w:type="spellEnd"/>
      <w:r w:rsidR="00B1330A" w:rsidRPr="004E5CA0">
        <w:t xml:space="preserve"> </w:t>
      </w:r>
      <w:r w:rsidR="00672442" w:rsidRPr="004E5CA0">
        <w:t xml:space="preserve">&amp; </w:t>
      </w:r>
      <w:proofErr w:type="spellStart"/>
      <w:r w:rsidR="00B1330A" w:rsidRPr="004E5CA0">
        <w:t>GhasemiKafrudi</w:t>
      </w:r>
      <w:proofErr w:type="spellEnd"/>
      <w:r w:rsidR="00B1330A" w:rsidRPr="004E5CA0">
        <w:t xml:space="preserve"> (2017) combined pinch and exergy analysis to improve thermal efficiency in a UOP-licensed hydrocracking process. </w:t>
      </w:r>
      <w:r w:rsidR="00FE6066" w:rsidRPr="004E5CA0">
        <w:t xml:space="preserve">Adil (2022) </w:t>
      </w:r>
      <w:r w:rsidR="00B1330A" w:rsidRPr="004E5CA0">
        <w:t xml:space="preserve">extended this approach to entire refinery systems, evaluating overall exergy efficiency and loss, but without segmenting the process or considering internal resource reuse. </w:t>
      </w:r>
      <w:r w:rsidR="00C63AA6" w:rsidRPr="004E5CA0">
        <w:t xml:space="preserve">However, none of these studies have examined </w:t>
      </w:r>
      <w:r w:rsidR="00C63AA6" w:rsidRPr="004E5CA0">
        <w:lastRenderedPageBreak/>
        <w:t>water reuse strategies in conjunction with exergy analysis. In this work, a mass integration strategy was first applied to reduce freshwater consumption by reusing internal wastewater streams. A comprehensive exergy analysis was then conducted to evaluate the thermodynamic performance of the already integrated process, focusing on the identification of avoidable and unavoidable exergy losses across functional stages. The aim is to optimize internal water management through the implementation of an effluent reuse network, while also quantifying the avoidable and unavoidable exergy losses across the process</w:t>
      </w:r>
      <w:r w:rsidR="00943BBB" w:rsidRPr="004E5CA0">
        <w:t>.</w:t>
      </w:r>
    </w:p>
    <w:p w14:paraId="68608B22" w14:textId="6AA78DF3" w:rsidR="001B238D" w:rsidRPr="00A07DCA" w:rsidRDefault="000037A9" w:rsidP="00453E24">
      <w:pPr>
        <w:pStyle w:val="CETHeading1"/>
      </w:pPr>
      <w:r w:rsidRPr="000037A9">
        <w:t>Materials and method</w:t>
      </w:r>
      <w:r w:rsidR="00A07DCA">
        <w:t>s</w:t>
      </w:r>
    </w:p>
    <w:p w14:paraId="52FF9784" w14:textId="1568CB25" w:rsidR="00DE2B8B" w:rsidRPr="004E5CA0" w:rsidRDefault="00D65627" w:rsidP="00D65627">
      <w:pPr>
        <w:pStyle w:val="CETHeadingxx"/>
      </w:pPr>
      <w:r w:rsidRPr="004E5CA0">
        <w:t xml:space="preserve">2.1. </w:t>
      </w:r>
      <w:r w:rsidR="00CC2736" w:rsidRPr="004E5CA0">
        <w:t>Mass/energy integrated p</w:t>
      </w:r>
      <w:r w:rsidR="00DE2B8B" w:rsidRPr="004E5CA0">
        <w:t>rocess description</w:t>
      </w:r>
    </w:p>
    <w:p w14:paraId="6FDD2469" w14:textId="73C5C57B" w:rsidR="002900A0" w:rsidRPr="004E5CA0" w:rsidRDefault="008D34FB" w:rsidP="00D65627">
      <w:pPr>
        <w:pStyle w:val="CETBodytext"/>
      </w:pPr>
      <w:bookmarkStart w:id="1" w:name="_Hlk197898934"/>
      <w:r w:rsidRPr="004E5CA0">
        <w:t xml:space="preserve">The two-stage hydrocracking process, shown in Figure 1, is a refining technology designed to convert heavy petroleum fractions into higher value products, such as diesel and kerosene, in compliance with the most stringent environmental regulations. Through an integrated system of reaction, separation and recycling, a conversion rate of close to 100% is achieved. In this process, the feed (stream 1), preheated and pressurized, is fed into a Reaction Section, where a series of reactors that operate under severe temperature (300-450°C) and pressure (85-170 bar) conditions. In these reactors, bifunctional catalysts promote both hydrogenation and cracking of hydrocarbon molecules, resulting in the production of smaller, saturated molecules. Hydrotreating catalysts, typically composed of molybdenum and nickel on alumina, remove heteroatoms (nitrogen, oxygen and sulfur), while cracking catalysts, such as </w:t>
      </w:r>
      <w:proofErr w:type="spellStart"/>
      <w:r w:rsidRPr="004E5CA0">
        <w:t>zeolitics</w:t>
      </w:r>
      <w:proofErr w:type="spellEnd"/>
      <w:r w:rsidRPr="004E5CA0">
        <w:t>, induce the cleavage of carbon chains. Hydrogen is continuously recycled in the process. To ensure purity and efficiency, the hydrogen is recovered and purified in subsequent stages: Residual Hydrogen and Recycle</w:t>
      </w:r>
      <w:r w:rsidR="00FE3AF4" w:rsidRPr="004E5CA0">
        <w:t>d</w:t>
      </w:r>
      <w:r w:rsidRPr="004E5CA0">
        <w:t xml:space="preserve"> Hydrogen Recovery Stage and Hydrogen Purification and Make-up Hydrogen Stage. Amine absorption processes are used to remove acidic compounds and </w:t>
      </w:r>
      <w:r w:rsidRPr="004E5CA0">
        <w:tab/>
        <w:t xml:space="preserve">pressure swing adsorption to remove other contaminants, thus ensuring a constant supply of high-quality hydrogen. The remaining liquid (408,813 kg/h) is directed to the Stripping Stage. The stripping process aims to remove light components and contaminants from the liquid stream, producing a sour gas stream (2,257 kg/h), sour water (4,164 kg/h) and a stream rich in naphtha and liquefied petroleum gas (LPG). In the </w:t>
      </w:r>
      <w:proofErr w:type="spellStart"/>
      <w:r w:rsidRPr="004E5CA0">
        <w:t>Debutanization</w:t>
      </w:r>
      <w:proofErr w:type="spellEnd"/>
      <w:r w:rsidRPr="004E5CA0">
        <w:t xml:space="preserve"> Stage, the LPG (3,778 kg/h) is separated from the sour water (1 kg/h), sour gas (163 kg/h) and naphtha (12,701 kg/h) streams.  Finally, the Fractionation Stage yields the final products: diesel (106,585 kg/h), kerosene (60,542 kg/h) and an unconverted oil residue (194,499 kg/h). A fraction of the latter (185,385 kg/h) is recycled to the second reactor, while the rest (9,114 kg/h) goes to a Fluidized Catalytic Cracking Unit. The stream from the top of the fractionator is split into fuel gas (0.9 kg/h), recycle</w:t>
      </w:r>
      <w:r w:rsidR="00FE3AF4" w:rsidRPr="004E5CA0">
        <w:t>d</w:t>
      </w:r>
      <w:r w:rsidRPr="004E5CA0">
        <w:t xml:space="preserve"> waters (3854 kg/h) and rich naphtha, which is separated into light (9,800 kg/h) and heavy naphtha (31,093 kg/h) and a wastewater stream (32 kg/h) in a </w:t>
      </w:r>
      <w:proofErr w:type="spellStart"/>
      <w:r w:rsidRPr="004E5CA0">
        <w:t>Naphta</w:t>
      </w:r>
      <w:proofErr w:type="spellEnd"/>
      <w:r w:rsidRPr="004E5CA0">
        <w:t xml:space="preserve"> Separation stage. The operational flexibility of the process, which allows it to adapt to different feed types and product demands, coupled with the high conversion efficiency and the use of advanced catalysts, make it a key technology in the refining industry. However, the gradual deactivation of the catalysts due to coke deposition and the formation of metallic compounds must be considered, which requires periodic regeneration or replacement. In addition, the process involves significant hydrogen and energy consumption and generates waste streams that require adequate treatment to minimize their environmental impact </w:t>
      </w:r>
      <w:sdt>
        <w:sdtPr>
          <w:tag w:val="MENDELEY_CITATION_v3_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"/>
          <w:id w:val="1760945395"/>
          <w:placeholder>
            <w:docPart w:val="E681F8DD51DB4F29B749F29B029C96CA"/>
          </w:placeholder>
        </w:sdtPr>
        <w:sdtEndPr/>
        <w:sdtContent>
          <w:r w:rsidRPr="004E5CA0">
            <w:t>(</w:t>
          </w:r>
          <w:proofErr w:type="spellStart"/>
          <w:r w:rsidRPr="004E5CA0">
            <w:t>Treese</w:t>
          </w:r>
          <w:proofErr w:type="spellEnd"/>
          <w:r w:rsidRPr="004E5CA0">
            <w:t xml:space="preserve"> et al., 2015)</w:t>
          </w:r>
        </w:sdtContent>
      </w:sdt>
      <w:r w:rsidRPr="004E5CA0">
        <w:t xml:space="preserve">. </w:t>
      </w:r>
      <w:bookmarkStart w:id="2" w:name="_Hlk187146264"/>
    </w:p>
    <w:bookmarkEnd w:id="1"/>
    <w:bookmarkEnd w:id="2"/>
    <w:p w14:paraId="6BDB6948" w14:textId="77777777" w:rsidR="00F87E7E" w:rsidRDefault="00FE3AF4" w:rsidP="00F87E7E">
      <w:pPr>
        <w:jc w:val="center"/>
      </w:pPr>
      <w:r>
        <w:rPr>
          <w:noProof/>
          <w:lang w:val="en-US"/>
        </w:rPr>
        <w:drawing>
          <wp:inline distT="0" distB="0" distL="0" distR="0" wp14:anchorId="5118B1D9" wp14:editId="0ECF5202">
            <wp:extent cx="4321031" cy="1668026"/>
            <wp:effectExtent l="0" t="0" r="381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stretch>
                      <a:fillRect/>
                    </a:stretch>
                  </pic:blipFill>
                  <pic:spPr>
                    <a:xfrm>
                      <a:off x="0" y="0"/>
                      <a:ext cx="4357944" cy="1682275"/>
                    </a:xfrm>
                    <a:prstGeom prst="rect">
                      <a:avLst/>
                    </a:prstGeom>
                  </pic:spPr>
                </pic:pic>
              </a:graphicData>
            </a:graphic>
          </wp:inline>
        </w:drawing>
      </w:r>
    </w:p>
    <w:p w14:paraId="133468EC" w14:textId="77777777" w:rsidR="00CE0A2D" w:rsidRPr="004E5CA0" w:rsidRDefault="00AC6DB3" w:rsidP="00CE0A2D">
      <w:pPr>
        <w:rPr>
          <w:i/>
          <w:iCs/>
        </w:rPr>
      </w:pPr>
      <w:r w:rsidRPr="004E5CA0">
        <w:rPr>
          <w:i/>
          <w:iCs/>
        </w:rPr>
        <w:t xml:space="preserve">Figure </w:t>
      </w:r>
      <w:r w:rsidR="004E456F" w:rsidRPr="004E5CA0">
        <w:rPr>
          <w:i/>
          <w:iCs/>
        </w:rPr>
        <w:t>1</w:t>
      </w:r>
      <w:r w:rsidR="00F062B1" w:rsidRPr="004E5CA0">
        <w:rPr>
          <w:i/>
          <w:iCs/>
        </w:rPr>
        <w:t>:</w:t>
      </w:r>
      <w:r w:rsidRPr="004E5CA0">
        <w:rPr>
          <w:i/>
          <w:iCs/>
        </w:rPr>
        <w:t xml:space="preserve"> </w:t>
      </w:r>
      <w:r w:rsidR="00F062B1" w:rsidRPr="004E5CA0">
        <w:rPr>
          <w:i/>
          <w:iCs/>
        </w:rPr>
        <w:t>Block diagram of the</w:t>
      </w:r>
      <w:r w:rsidR="00CC2736" w:rsidRPr="004E5CA0">
        <w:rPr>
          <w:i/>
          <w:iCs/>
        </w:rPr>
        <w:t xml:space="preserve"> mass and energy integrated</w:t>
      </w:r>
      <w:r w:rsidR="00F062B1" w:rsidRPr="004E5CA0">
        <w:rPr>
          <w:i/>
          <w:iCs/>
        </w:rPr>
        <w:t xml:space="preserve"> hydrocracking process of gas oils.</w:t>
      </w:r>
      <w:bookmarkStart w:id="3" w:name="_Hlk197898967"/>
    </w:p>
    <w:p w14:paraId="304B6114" w14:textId="77777777" w:rsidR="004E5CA0" w:rsidRPr="00EC2A5B" w:rsidRDefault="004E5CA0" w:rsidP="00CE0A2D"/>
    <w:p w14:paraId="785CF42E" w14:textId="6163B783" w:rsidR="00EC6FAF" w:rsidRPr="00CE0A2D" w:rsidRDefault="00EC2A5B" w:rsidP="00CE0A2D">
      <w:pPr>
        <w:rPr>
          <w:lang w:val="en-US"/>
        </w:rPr>
      </w:pPr>
      <w:r w:rsidRPr="00EC2A5B">
        <w:t>The graphical targeting technique proposed by El-</w:t>
      </w:r>
      <w:proofErr w:type="spellStart"/>
      <w:r w:rsidRPr="00EC2A5B">
        <w:t>Halwagi</w:t>
      </w:r>
      <w:proofErr w:type="spellEnd"/>
      <w:r w:rsidRPr="00EC2A5B">
        <w:t xml:space="preserve"> et al. (2003) was applied to evaluate strategies for reducing the water footprint and optimizing internal resource consumption in the hydrocracking process. This approach identified opportunities for water reuse and recycling. Using composite curve diagrams, a recycling network was developed to enable the safe reuse of treated wastewater, ensuring appropriate mixing and preventing ammonia accumulation in receiving units (sumps).</w:t>
      </w:r>
      <w:r>
        <w:t xml:space="preserve"> </w:t>
      </w:r>
      <w:r w:rsidR="00CE0A2D" w:rsidRPr="00EC2A5B">
        <w:t xml:space="preserve">In the hydrocracking process, wastewater streams from the Naphtha Separation, Fractionation, </w:t>
      </w:r>
      <w:proofErr w:type="spellStart"/>
      <w:r w:rsidR="00CE0A2D" w:rsidRPr="00EC2A5B">
        <w:t>Debutanization</w:t>
      </w:r>
      <w:proofErr w:type="spellEnd"/>
      <w:r w:rsidR="00CE0A2D" w:rsidRPr="00EC2A5B">
        <w:t>, Stripping, and Hydrogen Recovery stages were selected as sources (SR</w:t>
      </w:r>
      <w:r w:rsidR="00CE0A2D" w:rsidRPr="00EC2A5B">
        <w:rPr>
          <w:vertAlign w:val="subscript"/>
        </w:rPr>
        <w:t>1</w:t>
      </w:r>
      <w:r w:rsidR="00CE0A2D" w:rsidRPr="00EC2A5B">
        <w:t xml:space="preserve"> to SR</w:t>
      </w:r>
      <w:r w:rsidR="00CE0A2D" w:rsidRPr="00EC2A5B">
        <w:rPr>
          <w:vertAlign w:val="subscript"/>
        </w:rPr>
        <w:t>5</w:t>
      </w:r>
      <w:r w:rsidR="00CE0A2D" w:rsidRPr="00EC2A5B">
        <w:t xml:space="preserve">, respectively). </w:t>
      </w:r>
      <w:r w:rsidR="008D34FB" w:rsidRPr="00EC2A5B">
        <w:t>The sinks included steam flows from the</w:t>
      </w:r>
      <w:r w:rsidR="00F87E7E" w:rsidRPr="00EC2A5B">
        <w:t xml:space="preserve"> fractionation and</w:t>
      </w:r>
      <w:r w:rsidR="008D34FB" w:rsidRPr="00EC2A5B">
        <w:t xml:space="preserve"> </w:t>
      </w:r>
      <w:r w:rsidR="008D34FB" w:rsidRPr="00EC2A5B">
        <w:lastRenderedPageBreak/>
        <w:t>stripping towers (SK</w:t>
      </w:r>
      <w:r w:rsidR="008D34FB" w:rsidRPr="00EC2A5B">
        <w:rPr>
          <w:vertAlign w:val="subscript"/>
        </w:rPr>
        <w:t>1</w:t>
      </w:r>
      <w:r w:rsidR="008D34FB" w:rsidRPr="00EC2A5B">
        <w:t xml:space="preserve"> and SK</w:t>
      </w:r>
      <w:r w:rsidR="008D34FB" w:rsidRPr="00EC2A5B">
        <w:rPr>
          <w:vertAlign w:val="subscript"/>
        </w:rPr>
        <w:t>2</w:t>
      </w:r>
      <w:r w:rsidR="008D34FB" w:rsidRPr="00EC2A5B">
        <w:t>), and the washing sections (SK</w:t>
      </w:r>
      <w:r w:rsidR="008D34FB" w:rsidRPr="00EC2A5B">
        <w:rPr>
          <w:vertAlign w:val="subscript"/>
        </w:rPr>
        <w:t>3</w:t>
      </w:r>
      <w:r w:rsidR="008D34FB" w:rsidRPr="00EC2A5B">
        <w:t xml:space="preserve"> and SK</w:t>
      </w:r>
      <w:r w:rsidR="008D34FB" w:rsidRPr="00EC2A5B">
        <w:rPr>
          <w:vertAlign w:val="subscript"/>
        </w:rPr>
        <w:t>4</w:t>
      </w:r>
      <w:r w:rsidR="008D34FB" w:rsidRPr="00EC2A5B">
        <w:t>) of the Hydrogen Recovery stage. Water directed to SK</w:t>
      </w:r>
      <w:r w:rsidR="008D34FB" w:rsidRPr="00EC2A5B">
        <w:rPr>
          <w:vertAlign w:val="subscript"/>
        </w:rPr>
        <w:t>1</w:t>
      </w:r>
      <w:r w:rsidR="008D34FB" w:rsidRPr="00EC2A5B">
        <w:t xml:space="preserve"> and SK</w:t>
      </w:r>
      <w:r w:rsidR="008D34FB" w:rsidRPr="00EC2A5B">
        <w:rPr>
          <w:vertAlign w:val="subscript"/>
        </w:rPr>
        <w:t>2</w:t>
      </w:r>
      <w:r w:rsidR="008D34FB" w:rsidRPr="00EC2A5B">
        <w:t xml:space="preserve"> is used for steam generation in the Industrial Services Unit, so its associated energy consumption was excluded from the exergetic analysis. For sinks SK</w:t>
      </w:r>
      <w:r w:rsidR="008D34FB" w:rsidRPr="00EC2A5B">
        <w:rPr>
          <w:vertAlign w:val="subscript"/>
        </w:rPr>
        <w:t>3</w:t>
      </w:r>
      <w:r w:rsidR="008D34FB" w:rsidRPr="00EC2A5B">
        <w:t xml:space="preserve"> and SK</w:t>
      </w:r>
      <w:r w:rsidR="008D34FB" w:rsidRPr="00EC2A5B">
        <w:rPr>
          <w:vertAlign w:val="subscript"/>
        </w:rPr>
        <w:t>4</w:t>
      </w:r>
      <w:r w:rsidR="008D34FB" w:rsidRPr="00EC2A5B">
        <w:t>, a mixture of fresh water and treated wastewater was required, ensuring that NH</w:t>
      </w:r>
      <w:r w:rsidR="008D34FB" w:rsidRPr="00EC2A5B">
        <w:rPr>
          <w:rFonts w:ascii="Cambria Math" w:hAnsi="Cambria Math" w:cs="Cambria Math"/>
        </w:rPr>
        <w:t>₃</w:t>
      </w:r>
      <w:r w:rsidR="008D34FB" w:rsidRPr="00EC2A5B">
        <w:t xml:space="preserve"> concentration remained below established limits. Any excess water from the final source was discharged, resulting in a minimum wastewater output of 27,294.24</w:t>
      </w:r>
      <w:r w:rsidR="008D34FB" w:rsidRPr="00EC2A5B">
        <w:rPr>
          <w:rFonts w:cs="Arial"/>
        </w:rPr>
        <w:t> </w:t>
      </w:r>
      <w:r w:rsidR="008D34FB" w:rsidRPr="00EC2A5B">
        <w:t xml:space="preserve">kg/h. Figure 1 illustrates the integrated hydrocracking process and the wastewater reuse network, including the “Conditioning of Wastewater Streams” stage, which guarantees that reused water meets the quality standards required for wash operations. The stream lines are color-coded for clarity: red lines represent hydrocarbon flows, blue lines indicate fresh water streams, gray lines correspond to hydrogen flows, light-colored lines denote light products, yellow lines indicate contaminated gas streams, pink lines represent amine solutions, and green lines correspond to wastewater with ammonia content. This integration strategy led to a 25.54% reduction in freshwater consumption and a 25.31% decrease in total wastewater generation. The subsequent energy analysis was aimed at identifying further opportunities for process optimization from </w:t>
      </w:r>
      <w:r w:rsidR="008D34FB">
        <w:t>a thermodynamic standpoint</w:t>
      </w:r>
      <w:r w:rsidR="008D34FB" w:rsidRPr="0061515F">
        <w:t>.</w:t>
      </w:r>
      <w:r w:rsidR="008D34FB">
        <w:t xml:space="preserve"> </w:t>
      </w:r>
    </w:p>
    <w:bookmarkEnd w:id="3"/>
    <w:p w14:paraId="19045955" w14:textId="5FED15E6" w:rsidR="00A60843" w:rsidRPr="00A60843" w:rsidRDefault="00D65627" w:rsidP="00D65627">
      <w:pPr>
        <w:pStyle w:val="CETHeadingxx"/>
      </w:pPr>
      <w:r>
        <w:t xml:space="preserve">2.2. </w:t>
      </w:r>
      <w:r w:rsidR="00A60843">
        <w:t xml:space="preserve">Exergy Assessment </w:t>
      </w:r>
    </w:p>
    <w:p w14:paraId="7A1DE480" w14:textId="266193B2" w:rsidR="00F56C2B" w:rsidRPr="001F7443" w:rsidRDefault="001F7443" w:rsidP="001F7443">
      <w:pPr>
        <w:pStyle w:val="CETBodytext"/>
      </w:pPr>
      <w:r w:rsidRPr="001F7443">
        <w:t>Exergy analysis, based on the second law of thermodynamics, makes it possible to evaluate the efficiency of a process by quantifying irreversible energy losses. Exergy, defined as the maximum useful work that can be obtained from a system</w:t>
      </w:r>
      <w:r w:rsidR="00BB60B0">
        <w:t xml:space="preserve"> (Atienza et al., 2024)</w:t>
      </w:r>
      <w:r w:rsidRPr="001F7443">
        <w:t>, is calculated relative to a specific reference state (</w:t>
      </w:r>
      <w:r w:rsidR="00EC6FAF">
        <w:t>298.15 K</w:t>
      </w:r>
      <w:r w:rsidRPr="001F7443">
        <w:t xml:space="preserve"> and 1 atm in this case). By identifying the components where the greatest exergy destruction occurs, measures can be taken to improve the overall efficiency of the system. Exergy represents a fraction of the enthalpy of a stream, but enthalpy alone does not indicate the usable work potential</w:t>
      </w:r>
      <w:r w:rsidR="00325EC4">
        <w:t xml:space="preserve"> (</w:t>
      </w:r>
      <w:proofErr w:type="spellStart"/>
      <w:r w:rsidR="00325EC4">
        <w:t>Kotas</w:t>
      </w:r>
      <w:proofErr w:type="spellEnd"/>
      <w:r w:rsidR="00325EC4">
        <w:t>, 1995)</w:t>
      </w:r>
      <w:r w:rsidRPr="001F7443">
        <w:t xml:space="preserve">. As the stream temperature (T) approaches </w:t>
      </w:r>
      <w:r w:rsidR="00EC6FAF">
        <w:t>room</w:t>
      </w:r>
      <w:r w:rsidRPr="001F7443">
        <w:t xml:space="preserve"> temperature (T</w:t>
      </w:r>
      <w:r w:rsidRPr="001F7443">
        <w:rPr>
          <w:rFonts w:ascii="Cambria Math" w:hAnsi="Cambria Math" w:cs="Cambria Math"/>
        </w:rPr>
        <w:t>₀</w:t>
      </w:r>
      <w:r w:rsidRPr="001F7443">
        <w:t>), the exergy content decreases until it disappears when both temperatures are equal. Exergy analysis uses parameters such as temperature and pressure to calculate enthalpy, entropy and recoverable energy, showing how the quality of energy degrades during its use in the process. This concept has economic implications, as it measures the quality of the energy and its ability to do work, allowing costs to be allocated</w:t>
      </w:r>
      <w:r w:rsidR="0050617E">
        <w:t xml:space="preserve"> (Samad et al., 2023)</w:t>
      </w:r>
      <w:r w:rsidRPr="001F7443">
        <w:t>.</w:t>
      </w:r>
      <w:r w:rsidR="00D25EBB">
        <w:t xml:space="preserve"> </w:t>
      </w:r>
      <w:r w:rsidRPr="001F7443">
        <w:t>The exergy of a flow is composed of various forms of energy, such as kinetic, potential, physical and chemical</w:t>
      </w:r>
      <w:r w:rsidR="00424BAD">
        <w:t xml:space="preserve"> (</w:t>
      </w:r>
      <w:proofErr w:type="spellStart"/>
      <w:r w:rsidR="00424BAD">
        <w:t>Rahma</w:t>
      </w:r>
      <w:proofErr w:type="spellEnd"/>
      <w:r w:rsidR="00424BAD">
        <w:t xml:space="preserve"> et al., 2024)</w:t>
      </w:r>
      <w:r w:rsidRPr="001F7443">
        <w:t>.</w:t>
      </w:r>
      <w:r w:rsidR="00E35385" w:rsidRPr="001F7443">
        <w:t xml:space="preserve"> </w:t>
      </w:r>
      <w:r w:rsidRPr="001F7443">
        <w:t>However, in this study, the analysis has been simplified by considering only the physical and chemical exergy, since the kinetic and potential contributions are negligible in comparison:</w:t>
      </w:r>
    </w:p>
    <w:bookmarkStart w:id="4" w:name="_Hlk186323329"/>
    <w:p w14:paraId="486AA850" w14:textId="06625EF0" w:rsidR="00F56C2B" w:rsidRPr="00D65627" w:rsidRDefault="00852760" w:rsidP="00D25EBB">
      <w:pPr>
        <w:pStyle w:val="CETEquation"/>
      </w:pP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m:t>
            </m:r>
          </m:sub>
        </m:sSub>
        <w:bookmarkEnd w:id="4"/>
        <m:r>
          <w:rPr>
            <w:rFonts w:ascii="Cambria Math" w:hAnsi="Cambria Math"/>
          </w:rPr>
          <m:t xml:space="preserve"> =</m:t>
        </m:r>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Xc</m:t>
            </m:r>
            <m:r>
              <w:rPr>
                <w:rFonts w:ascii="Cambria Math" w:hAnsi="Cambria Math"/>
              </w:rPr>
              <m:t>h</m:t>
            </m:r>
          </m:sub>
        </m:sSub>
        <m:r>
          <w:rPr>
            <w:rFonts w:ascii="Cambria Math" w:hAnsi="Cambria Math"/>
          </w:rPr>
          <m:t>+</m:t>
        </m:r>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Xp</m:t>
            </m:r>
            <m:r>
              <w:rPr>
                <w:rFonts w:ascii="Cambria Math" w:hAnsi="Cambria Math"/>
              </w:rPr>
              <m:t>h</m:t>
            </m:r>
          </m:sub>
        </m:sSub>
      </m:oMath>
      <w:r w:rsidR="00F56C2B" w:rsidRPr="008F4D48">
        <w:rPr>
          <w:i/>
        </w:rPr>
        <w:t xml:space="preserve"> </w:t>
      </w:r>
      <w:r w:rsidR="00F56C2B" w:rsidRPr="00D65627">
        <w:t xml:space="preserve"> (1)</w:t>
      </w:r>
    </w:p>
    <w:p w14:paraId="3C22C93A" w14:textId="7937F890" w:rsidR="00AE2411" w:rsidRPr="00D65627" w:rsidRDefault="001F7443" w:rsidP="00453E24">
      <w:pPr>
        <w:pStyle w:val="CETBodytext"/>
      </w:pPr>
      <w:bookmarkStart w:id="5" w:name="_Hlk186323482"/>
      <w:r w:rsidRPr="00D65627">
        <w:rPr>
          <w:iCs/>
        </w:rPr>
        <w:t xml:space="preserve">where </w:t>
      </w: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m:t>
            </m:r>
          </m:sub>
        </m:sSub>
      </m:oMath>
      <w:r w:rsidR="00B75BB0" w:rsidRPr="00D65627">
        <w:rPr>
          <w:iCs/>
        </w:rPr>
        <w:t xml:space="preserve"> </w:t>
      </w:r>
      <w:r w:rsidRPr="00D65627">
        <w:rPr>
          <w:iCs/>
        </w:rPr>
        <w:t>is the total mass exergy of the streams</w:t>
      </w:r>
      <w:r w:rsidR="00B75BB0" w:rsidRPr="00D65627">
        <w:rPr>
          <w:iCs/>
        </w:rPr>
        <w:t xml:space="preserve">, MJ/h; </w:t>
      </w: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Xc</m:t>
            </m:r>
            <m:r>
              <w:rPr>
                <w:rFonts w:ascii="Cambria Math" w:hAnsi="Cambria Math"/>
              </w:rPr>
              <m:t>h</m:t>
            </m:r>
          </m:sub>
        </m:sSub>
      </m:oMath>
      <w:r w:rsidR="00452320" w:rsidRPr="00D65627">
        <w:t xml:space="preserve"> </w:t>
      </w:r>
      <w:r w:rsidRPr="00D65627">
        <w:rPr>
          <w:iCs/>
        </w:rPr>
        <w:t>is the chemical exergy</w:t>
      </w:r>
      <w:r w:rsidR="00B75BB0" w:rsidRPr="00D65627">
        <w:rPr>
          <w:iCs/>
        </w:rPr>
        <w:t>, MJ/h</w:t>
      </w:r>
      <w:r w:rsidR="00452320" w:rsidRPr="00D65627">
        <w:rPr>
          <w:iCs/>
        </w:rPr>
        <w:t>;</w:t>
      </w:r>
      <w:r w:rsidR="00452320" w:rsidRPr="00D65627">
        <w:rPr>
          <w:rFonts w:ascii="Cambria Math" w:hAnsi="Cambria Math"/>
          <w:i/>
        </w:rPr>
        <w:t xml:space="preserve"> </w:t>
      </w: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Xp</m:t>
            </m:r>
            <m:r>
              <w:rPr>
                <w:rFonts w:ascii="Cambria Math" w:hAnsi="Cambria Math"/>
              </w:rPr>
              <m:t>h</m:t>
            </m:r>
          </m:sub>
        </m:sSub>
      </m:oMath>
      <w:r w:rsidR="00452320" w:rsidRPr="00D65627">
        <w:rPr>
          <w:iCs/>
        </w:rPr>
        <w:t xml:space="preserve"> </w:t>
      </w:r>
      <w:r w:rsidRPr="00D65627">
        <w:rPr>
          <w:iCs/>
        </w:rPr>
        <w:t>is the physical exergy</w:t>
      </w:r>
      <w:r w:rsidR="00452320" w:rsidRPr="00D65627">
        <w:rPr>
          <w:iCs/>
        </w:rPr>
        <w:t xml:space="preserve">, MJ/h. </w:t>
      </w:r>
      <w:bookmarkEnd w:id="5"/>
      <w:r w:rsidRPr="00D65627">
        <w:t>Equation (2) is used to determine the chemical exergy of a system, which is related to the differences in chemical composition between the system and its environment. This equation consists of two terms: the first term represents the sum of the exergy of each individual component of the system, while the second term considers the exergy associated with the mixture of these components (</w:t>
      </w:r>
      <w:proofErr w:type="spellStart"/>
      <w:r w:rsidRPr="00D65627">
        <w:t>Dincer</w:t>
      </w:r>
      <w:proofErr w:type="spellEnd"/>
      <w:r w:rsidRPr="00D65627">
        <w:t xml:space="preserve"> </w:t>
      </w:r>
      <w:r w:rsidR="00EC2A5B">
        <w:t>&amp;</w:t>
      </w:r>
      <w:r w:rsidRPr="00D65627">
        <w:t xml:space="preserve"> Rosen, 2012</w:t>
      </w:r>
      <w:r w:rsidR="0040426B" w:rsidRPr="00D65627">
        <w:t>).</w:t>
      </w:r>
      <w:r w:rsidR="00D35D07" w:rsidRPr="00D65627">
        <w:t xml:space="preserve"> </w:t>
      </w:r>
    </w:p>
    <w:p w14:paraId="0D856367" w14:textId="0F4D7F35" w:rsidR="0040426B" w:rsidRPr="00D65627" w:rsidRDefault="00852760" w:rsidP="00D25EBB">
      <w:pPr>
        <w:pStyle w:val="CETEquation"/>
      </w:pPr>
      <m:oMath>
        <m:sSub>
          <m:sSubPr>
            <m:ctrlPr>
              <w:rPr>
                <w:rFonts w:ascii="Cambria Math" w:hAnsi="Cambria Math"/>
                <w:lang w:val="es-CO"/>
              </w:rPr>
            </m:ctrlPr>
          </m:sSubPr>
          <m:e>
            <m:r>
              <w:rPr>
                <w:rFonts w:ascii="Cambria Math" w:hAnsi="Cambria Math"/>
                <w:lang w:val="es-CO"/>
              </w:rPr>
              <m:t>E</m:t>
            </m:r>
          </m:e>
          <m:sub>
            <m:r>
              <w:rPr>
                <w:rFonts w:ascii="Cambria Math" w:hAnsi="Cambria Math"/>
                <w:lang w:val="es-CO"/>
              </w:rPr>
              <m:t>Xc</m:t>
            </m:r>
            <m:r>
              <w:rPr>
                <w:rFonts w:ascii="Cambria Math" w:hAnsi="Cambria Math"/>
              </w:rPr>
              <m:t>h</m:t>
            </m:r>
          </m:sub>
        </m:sSub>
        <m:r>
          <m:rPr>
            <m:sty m:val="p"/>
          </m:rPr>
          <w:rPr>
            <w:rFonts w:ascii="Cambria Math" w:hAnsi="Cambria Math"/>
          </w:rPr>
          <m:t xml:space="preserve"> = </m:t>
        </m:r>
        <m:nary>
          <m:naryPr>
            <m:chr m:val="∑"/>
            <m:limLoc m:val="undOvr"/>
            <m:supHide m:val="1"/>
            <m:ctrlPr>
              <w:rPr>
                <w:rFonts w:ascii="Cambria Math" w:hAnsi="Cambria Math"/>
                <w:lang w:val="es-CO"/>
              </w:rPr>
            </m:ctrlPr>
          </m:naryPr>
          <m:sub>
            <m:r>
              <w:rPr>
                <w:rFonts w:ascii="Cambria Math" w:hAnsi="Cambria Math"/>
                <w:lang w:val="es-CO"/>
              </w:rPr>
              <m:t>i</m:t>
            </m:r>
          </m:sub>
          <m:sup/>
          <m:e>
            <m:sSub>
              <m:sSubPr>
                <m:ctrlPr>
                  <w:rPr>
                    <w:rFonts w:ascii="Cambria Math" w:hAnsi="Cambria Math"/>
                    <w:lang w:val="es-CO"/>
                  </w:rPr>
                </m:ctrlPr>
              </m:sSubPr>
              <m:e>
                <m:r>
                  <w:rPr>
                    <w:rFonts w:ascii="Cambria Math" w:hAnsi="Cambria Math"/>
                    <w:lang w:val="es-CO"/>
                  </w:rPr>
                  <m:t>y</m:t>
                </m:r>
              </m:e>
              <m:sub>
                <m:r>
                  <w:rPr>
                    <w:rFonts w:ascii="Cambria Math" w:hAnsi="Cambria Math"/>
                    <w:lang w:val="es-CO"/>
                  </w:rPr>
                  <m:t>i</m:t>
                </m:r>
              </m:sub>
            </m:sSub>
            <m:r>
              <m:rPr>
                <m:sty m:val="p"/>
              </m:rPr>
              <w:rPr>
                <w:rFonts w:ascii="Cambria Math" w:hAnsi="Cambria Math"/>
              </w:rPr>
              <m:t xml:space="preserve">∙ </m:t>
            </m:r>
            <m:sSub>
              <m:sSubPr>
                <m:ctrlPr>
                  <w:rPr>
                    <w:rFonts w:ascii="Cambria Math" w:hAnsi="Cambria Math"/>
                    <w:lang w:val="es-CO"/>
                  </w:rPr>
                </m:ctrlPr>
              </m:sSubPr>
              <m:e>
                <m:sSup>
                  <m:sSupPr>
                    <m:ctrlPr>
                      <w:rPr>
                        <w:rFonts w:ascii="Cambria Math" w:hAnsi="Cambria Math"/>
                        <w:lang w:val="es-CO"/>
                      </w:rPr>
                    </m:ctrlPr>
                  </m:sSupPr>
                  <m:e>
                    <m:sSub>
                      <m:sSubPr>
                        <m:ctrlPr>
                          <w:rPr>
                            <w:rFonts w:ascii="Cambria Math" w:hAnsi="Cambria Math"/>
                            <w:lang w:val="es-CO"/>
                          </w:rPr>
                        </m:ctrlPr>
                      </m:sSubPr>
                      <m:e>
                        <m:r>
                          <w:rPr>
                            <w:rFonts w:ascii="Cambria Math" w:hAnsi="Cambria Math"/>
                            <w:lang w:val="es-CO"/>
                          </w:rPr>
                          <m:t>E</m:t>
                        </m:r>
                      </m:e>
                      <m:sub>
                        <m:r>
                          <w:rPr>
                            <w:rFonts w:ascii="Cambria Math" w:hAnsi="Cambria Math"/>
                            <w:lang w:val="es-CO"/>
                          </w:rPr>
                          <m:t>X</m:t>
                        </m:r>
                      </m:sub>
                    </m:sSub>
                  </m:e>
                  <m:sup>
                    <m:r>
                      <m:rPr>
                        <m:sty m:val="p"/>
                      </m:rPr>
                      <w:rPr>
                        <w:rFonts w:ascii="Cambria Math" w:hAnsi="Cambria Math"/>
                      </w:rPr>
                      <m:t>0</m:t>
                    </m:r>
                  </m:sup>
                </m:sSup>
              </m:e>
              <m:sub>
                <m:r>
                  <w:rPr>
                    <w:rFonts w:ascii="Cambria Math" w:hAnsi="Cambria Math"/>
                    <w:lang w:val="es-CO"/>
                  </w:rPr>
                  <m:t>c</m:t>
                </m:r>
                <m:r>
                  <w:rPr>
                    <w:rFonts w:ascii="Cambria Math" w:hAnsi="Cambria Math"/>
                  </w:rPr>
                  <m:t>h</m:t>
                </m:r>
                <m:r>
                  <m:rPr>
                    <m:sty m:val="p"/>
                  </m:rPr>
                  <w:rPr>
                    <w:rFonts w:ascii="Cambria Math" w:hAnsi="Cambria Math"/>
                  </w:rPr>
                  <m:t>.</m:t>
                </m:r>
                <m:r>
                  <w:rPr>
                    <w:rFonts w:ascii="Cambria Math" w:hAnsi="Cambria Math"/>
                    <w:lang w:val="es-CO"/>
                  </w:rPr>
                  <m:t>i</m:t>
                </m:r>
              </m:sub>
            </m:sSub>
            <m:r>
              <m:rPr>
                <m:sty m:val="p"/>
              </m:rPr>
              <w:rPr>
                <w:rFonts w:ascii="Cambria Math" w:hAnsi="Cambria Math"/>
              </w:rPr>
              <m:t xml:space="preserve">+ </m:t>
            </m:r>
            <m:r>
              <w:rPr>
                <w:rFonts w:ascii="Cambria Math" w:hAnsi="Cambria Math"/>
                <w:lang w:val="es-CO"/>
              </w:rPr>
              <m:t>R</m:t>
            </m:r>
            <m:sSub>
              <m:sSubPr>
                <m:ctrlPr>
                  <w:rPr>
                    <w:rFonts w:ascii="Cambria Math" w:hAnsi="Cambria Math"/>
                    <w:lang w:val="es-CO"/>
                  </w:rPr>
                </m:ctrlPr>
              </m:sSubPr>
              <m:e>
                <m:r>
                  <w:rPr>
                    <w:rFonts w:ascii="Cambria Math" w:hAnsi="Cambria Math"/>
                    <w:lang w:val="es-CO"/>
                  </w:rPr>
                  <m:t>T</m:t>
                </m:r>
              </m:e>
              <m:sub>
                <m:r>
                  <m:rPr>
                    <m:sty m:val="p"/>
                  </m:rPr>
                  <w:rPr>
                    <w:rFonts w:ascii="Cambria Math" w:hAnsi="Cambria Math"/>
                  </w:rPr>
                  <m:t>0</m:t>
                </m:r>
              </m:sub>
            </m:sSub>
            <m:nary>
              <m:naryPr>
                <m:chr m:val="∑"/>
                <m:limLoc m:val="undOvr"/>
                <m:supHide m:val="1"/>
                <m:ctrlPr>
                  <w:rPr>
                    <w:rFonts w:ascii="Cambria Math" w:hAnsi="Cambria Math"/>
                    <w:lang w:val="es-CO"/>
                  </w:rPr>
                </m:ctrlPr>
              </m:naryPr>
              <m:sub>
                <m:r>
                  <w:rPr>
                    <w:rFonts w:ascii="Cambria Math" w:hAnsi="Cambria Math"/>
                    <w:lang w:val="es-CO"/>
                  </w:rPr>
                  <m:t>i</m:t>
                </m:r>
              </m:sub>
              <m:sup/>
              <m:e>
                <m:sSub>
                  <m:sSubPr>
                    <m:ctrlPr>
                      <w:rPr>
                        <w:rFonts w:ascii="Cambria Math" w:hAnsi="Cambria Math"/>
                        <w:lang w:val="es-CO"/>
                      </w:rPr>
                    </m:ctrlPr>
                  </m:sSubPr>
                  <m:e>
                    <m:r>
                      <w:rPr>
                        <w:rFonts w:ascii="Cambria Math" w:hAnsi="Cambria Math"/>
                        <w:lang w:val="es-CO"/>
                      </w:rPr>
                      <m:t>y</m:t>
                    </m:r>
                  </m:e>
                  <m:sub>
                    <m:r>
                      <w:rPr>
                        <w:rFonts w:ascii="Cambria Math" w:hAnsi="Cambria Math"/>
                        <w:lang w:val="es-CO"/>
                      </w:rPr>
                      <m:t>i</m:t>
                    </m:r>
                  </m:sub>
                </m:sSub>
                <m:r>
                  <m:rPr>
                    <m:sty m:val="p"/>
                  </m:rPr>
                  <w:rPr>
                    <w:rFonts w:ascii="Cambria Math" w:hAnsi="Cambria Math"/>
                  </w:rPr>
                  <m:t>∙</m:t>
                </m:r>
                <m:r>
                  <w:rPr>
                    <w:rFonts w:ascii="Cambria Math" w:hAnsi="Cambria Math"/>
                    <w:lang w:val="es-CO"/>
                  </w:rPr>
                  <m:t>ln</m:t>
                </m:r>
                <m:d>
                  <m:dPr>
                    <m:ctrlPr>
                      <w:rPr>
                        <w:rFonts w:ascii="Cambria Math" w:hAnsi="Cambria Math"/>
                        <w:lang w:val="es-CO"/>
                      </w:rPr>
                    </m:ctrlPr>
                  </m:dPr>
                  <m:e>
                    <m:sSub>
                      <m:sSubPr>
                        <m:ctrlPr>
                          <w:rPr>
                            <w:rFonts w:ascii="Cambria Math" w:hAnsi="Cambria Math"/>
                            <w:lang w:val="es-CO"/>
                          </w:rPr>
                        </m:ctrlPr>
                      </m:sSubPr>
                      <m:e>
                        <m:r>
                          <w:rPr>
                            <w:rFonts w:ascii="Cambria Math" w:hAnsi="Cambria Math"/>
                            <w:lang w:val="es-CO"/>
                          </w:rPr>
                          <m:t>y</m:t>
                        </m:r>
                      </m:e>
                      <m:sub>
                        <m:r>
                          <w:rPr>
                            <w:rFonts w:ascii="Cambria Math" w:hAnsi="Cambria Math"/>
                            <w:lang w:val="es-CO"/>
                          </w:rPr>
                          <m:t>i</m:t>
                        </m:r>
                      </m:sub>
                    </m:sSub>
                  </m:e>
                </m:d>
              </m:e>
            </m:nary>
            <m:r>
              <m:rPr>
                <m:sty m:val="p"/>
              </m:rPr>
              <w:rPr>
                <w:rFonts w:ascii="Cambria Math" w:hAnsi="Cambria Math"/>
              </w:rPr>
              <m:t xml:space="preserve"> </m:t>
            </m:r>
          </m:e>
        </m:nary>
      </m:oMath>
      <w:r w:rsidR="009E702B" w:rsidRPr="00D65627">
        <w:t>(2)</w:t>
      </w:r>
    </w:p>
    <w:p w14:paraId="58C6C89C" w14:textId="3ED777B4" w:rsidR="003B197C" w:rsidRPr="00D65627" w:rsidRDefault="001F7443" w:rsidP="00453E24">
      <w:pPr>
        <w:pStyle w:val="CETBodytext"/>
      </w:pPr>
      <w:r w:rsidRPr="00D65627">
        <w:t xml:space="preserve">In equation (2), </w:t>
      </w:r>
      <m:oMath>
        <m:sSub>
          <m:sSubPr>
            <m:ctrlPr>
              <w:rPr>
                <w:rFonts w:ascii="Cambria Math" w:hAnsi="Cambria Math"/>
                <w:i/>
                <w:lang w:val="es-CO"/>
              </w:rPr>
            </m:ctrlPr>
          </m:sSubPr>
          <m:e>
            <m:r>
              <w:rPr>
                <w:rFonts w:ascii="Cambria Math" w:hAnsi="Cambria Math"/>
                <w:lang w:val="es-CO"/>
              </w:rPr>
              <m:t>y</m:t>
            </m:r>
          </m:e>
          <m:sub>
            <m:r>
              <w:rPr>
                <w:rFonts w:ascii="Cambria Math" w:hAnsi="Cambria Math"/>
                <w:lang w:val="es-CO"/>
              </w:rPr>
              <m:t>i</m:t>
            </m:r>
          </m:sub>
        </m:sSub>
      </m:oMath>
      <w:r w:rsidR="003B197C" w:rsidRPr="00D65627">
        <w:t xml:space="preserve"> </w:t>
      </w:r>
      <w:r w:rsidRPr="00D65627">
        <w:t xml:space="preserve">represents the mass fraction of component </w:t>
      </w:r>
      <w:r w:rsidR="003B197C" w:rsidRPr="00D65627">
        <w:t xml:space="preserve"> </w:t>
      </w:r>
      <m:oMath>
        <m:r>
          <w:rPr>
            <w:rFonts w:ascii="Cambria Math" w:hAnsi="Cambria Math"/>
            <w:lang w:val="es-CO"/>
          </w:rPr>
          <m:t>i</m:t>
        </m:r>
      </m:oMath>
      <w:r w:rsidR="003B197C" w:rsidRPr="00D65627">
        <w:t xml:space="preserve">; </w:t>
      </w:r>
      <m:oMath>
        <m:sSub>
          <m:sSubPr>
            <m:ctrlPr>
              <w:rPr>
                <w:rFonts w:ascii="Cambria Math" w:hAnsi="Cambria Math"/>
                <w:i/>
                <w:lang w:val="es-CO"/>
              </w:rPr>
            </m:ctrlPr>
          </m:sSubPr>
          <m:e>
            <m:sSup>
              <m:sSupPr>
                <m:ctrlPr>
                  <w:rPr>
                    <w:rFonts w:ascii="Cambria Math" w:hAnsi="Cambria Math"/>
                    <w:i/>
                    <w:lang w:val="es-CO"/>
                  </w:rPr>
                </m:ctrlPr>
              </m:sSupPr>
              <m:e>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m:t>
                    </m:r>
                  </m:sub>
                </m:sSub>
              </m:e>
              <m:sup>
                <m:r>
                  <w:rPr>
                    <w:rFonts w:ascii="Cambria Math" w:hAnsi="Cambria Math"/>
                  </w:rPr>
                  <m:t>0</m:t>
                </m:r>
              </m:sup>
            </m:sSup>
          </m:e>
          <m:sub>
            <m:r>
              <w:rPr>
                <w:rFonts w:ascii="Cambria Math" w:hAnsi="Cambria Math"/>
                <w:lang w:val="es-CO"/>
              </w:rPr>
              <m:t>c</m:t>
            </m:r>
            <m:r>
              <w:rPr>
                <w:rFonts w:ascii="Cambria Math" w:hAnsi="Cambria Math"/>
              </w:rPr>
              <m:t>h.</m:t>
            </m:r>
            <m:r>
              <w:rPr>
                <w:rFonts w:ascii="Cambria Math" w:hAnsi="Cambria Math"/>
                <w:lang w:val="es-CO"/>
              </w:rPr>
              <m:t>i</m:t>
            </m:r>
          </m:sub>
        </m:sSub>
        <m:r>
          <w:rPr>
            <w:rFonts w:ascii="Cambria Math" w:hAnsi="Cambria Math"/>
          </w:rPr>
          <m:t xml:space="preserve"> </m:t>
        </m:r>
      </m:oMath>
      <w:r w:rsidRPr="00D65627">
        <w:t>is the standard chemical exergy</w:t>
      </w:r>
      <w:r w:rsidR="003B197C" w:rsidRPr="00D65627">
        <w:t xml:space="preserve">, kJ/kg; R </w:t>
      </w:r>
      <w:r w:rsidRPr="00D65627">
        <w:t>is the universal gas constant</w:t>
      </w:r>
      <w:r w:rsidR="003B197C" w:rsidRPr="00D65627">
        <w:t>, kJ/</w:t>
      </w:r>
      <w:proofErr w:type="spellStart"/>
      <w:r w:rsidR="003B197C" w:rsidRPr="00D65627">
        <w:t>kmol</w:t>
      </w:r>
      <w:proofErr w:type="spellEnd"/>
      <w:r w:rsidR="003B197C" w:rsidRPr="00D65627">
        <w:t xml:space="preserve"> K; </w:t>
      </w:r>
      <m:oMath>
        <m:sSub>
          <m:sSubPr>
            <m:ctrlPr>
              <w:rPr>
                <w:rFonts w:ascii="Cambria Math" w:hAnsi="Cambria Math"/>
                <w:i/>
                <w:lang w:val="es-CO"/>
              </w:rPr>
            </m:ctrlPr>
          </m:sSubPr>
          <m:e>
            <m:r>
              <w:rPr>
                <w:rFonts w:ascii="Cambria Math" w:hAnsi="Cambria Math"/>
                <w:lang w:val="es-CO"/>
              </w:rPr>
              <m:t>T</m:t>
            </m:r>
          </m:e>
          <m:sub>
            <m:r>
              <w:rPr>
                <w:rFonts w:ascii="Cambria Math" w:hAnsi="Cambria Math"/>
              </w:rPr>
              <m:t>0</m:t>
            </m:r>
          </m:sub>
        </m:sSub>
      </m:oMath>
      <w:r w:rsidR="003B197C" w:rsidRPr="00D65627">
        <w:t xml:space="preserve"> </w:t>
      </w:r>
      <w:r w:rsidRPr="00D65627">
        <w:t>is the reference temperature</w:t>
      </w:r>
      <w:r w:rsidR="003B197C" w:rsidRPr="00D65627">
        <w:t>,</w:t>
      </w:r>
      <w:r w:rsidR="00D25EBB" w:rsidRPr="00D65627">
        <w:t xml:space="preserve"> in</w:t>
      </w:r>
      <w:r w:rsidR="003B197C" w:rsidRPr="00D65627">
        <w:t xml:space="preserve"> K. </w:t>
      </w:r>
      <w:r w:rsidRPr="00D65627">
        <w:t>Physical exergy represents the potential of a system to do work due to pressure and temperature differences between the system and its surroundings</w:t>
      </w:r>
      <w:r w:rsidR="00FB286C" w:rsidRPr="00D65627">
        <w:t>:</w:t>
      </w:r>
    </w:p>
    <w:p w14:paraId="1DD08247" w14:textId="450F0099" w:rsidR="00FB286C" w:rsidRPr="00D65627" w:rsidRDefault="00852760" w:rsidP="00D25EBB">
      <w:pPr>
        <w:pStyle w:val="CETEquation"/>
      </w:pP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Xp</m:t>
            </m:r>
            <m:r>
              <w:rPr>
                <w:rFonts w:ascii="Cambria Math" w:hAnsi="Cambria Math"/>
              </w:rPr>
              <m:t>h</m:t>
            </m:r>
          </m:sub>
        </m:sSub>
        <m:r>
          <w:rPr>
            <w:rFonts w:ascii="Cambria Math" w:hAnsi="Cambria Math"/>
          </w:rPr>
          <m:t>=</m:t>
        </m:r>
        <m:d>
          <m:dPr>
            <m:ctrlPr>
              <w:rPr>
                <w:rFonts w:ascii="Cambria Math" w:hAnsi="Cambria Math"/>
                <w:i/>
                <w:lang w:val="es-CO"/>
              </w:rPr>
            </m:ctrlPr>
          </m:dPr>
          <m:e>
            <m:r>
              <w:rPr>
                <w:rFonts w:ascii="Cambria Math" w:hAnsi="Cambria Math"/>
                <w:lang w:val="es-CO"/>
              </w:rPr>
              <m:t>H</m:t>
            </m:r>
            <m:r>
              <w:rPr>
                <w:rFonts w:ascii="Cambria Math" w:hAnsi="Cambria Math"/>
              </w:rPr>
              <m:t>-</m:t>
            </m:r>
            <m:sSub>
              <m:sSubPr>
                <m:ctrlPr>
                  <w:rPr>
                    <w:rFonts w:ascii="Cambria Math" w:hAnsi="Cambria Math"/>
                    <w:i/>
                    <w:lang w:val="es-CO"/>
                  </w:rPr>
                </m:ctrlPr>
              </m:sSubPr>
              <m:e>
                <m:r>
                  <w:rPr>
                    <w:rFonts w:ascii="Cambria Math" w:hAnsi="Cambria Math"/>
                    <w:lang w:val="es-CO"/>
                  </w:rPr>
                  <m:t>H</m:t>
                </m:r>
              </m:e>
              <m:sub>
                <m:r>
                  <w:rPr>
                    <w:rFonts w:ascii="Cambria Math" w:hAnsi="Cambria Math"/>
                  </w:rPr>
                  <m:t>0</m:t>
                </m:r>
              </m:sub>
            </m:sSub>
          </m:e>
        </m:d>
        <m:r>
          <w:rPr>
            <w:rFonts w:ascii="Cambria Math" w:hAnsi="Cambria Math"/>
          </w:rPr>
          <m:t>+</m:t>
        </m:r>
        <m:sSub>
          <m:sSubPr>
            <m:ctrlPr>
              <w:rPr>
                <w:rFonts w:ascii="Cambria Math" w:hAnsi="Cambria Math"/>
                <w:i/>
                <w:lang w:val="es-CO"/>
              </w:rPr>
            </m:ctrlPr>
          </m:sSubPr>
          <m:e>
            <m:r>
              <w:rPr>
                <w:rFonts w:ascii="Cambria Math" w:hAnsi="Cambria Math"/>
                <w:lang w:val="es-CO"/>
              </w:rPr>
              <m:t>T</m:t>
            </m:r>
          </m:e>
          <m:sub>
            <m:r>
              <w:rPr>
                <w:rFonts w:ascii="Cambria Math" w:hAnsi="Cambria Math"/>
              </w:rPr>
              <m:t>0</m:t>
            </m:r>
          </m:sub>
        </m:sSub>
        <m:d>
          <m:dPr>
            <m:ctrlPr>
              <w:rPr>
                <w:rFonts w:ascii="Cambria Math" w:hAnsi="Cambria Math"/>
                <w:i/>
                <w:lang w:val="es-CO"/>
              </w:rPr>
            </m:ctrlPr>
          </m:dPr>
          <m:e>
            <m:r>
              <w:rPr>
                <w:rFonts w:ascii="Cambria Math" w:hAnsi="Cambria Math"/>
                <w:lang w:val="es-CO"/>
              </w:rPr>
              <m:t>S</m:t>
            </m:r>
            <m:r>
              <w:rPr>
                <w:rFonts w:ascii="Cambria Math" w:hAnsi="Cambria Math"/>
              </w:rPr>
              <m:t>-</m:t>
            </m:r>
            <m:sSub>
              <m:sSubPr>
                <m:ctrlPr>
                  <w:rPr>
                    <w:rFonts w:ascii="Cambria Math" w:hAnsi="Cambria Math"/>
                    <w:i/>
                    <w:lang w:val="es-CO"/>
                  </w:rPr>
                </m:ctrlPr>
              </m:sSubPr>
              <m:e>
                <m:r>
                  <w:rPr>
                    <w:rFonts w:ascii="Cambria Math" w:hAnsi="Cambria Math"/>
                    <w:lang w:val="es-CO"/>
                  </w:rPr>
                  <m:t>S</m:t>
                </m:r>
              </m:e>
              <m:sub>
                <m:r>
                  <w:rPr>
                    <w:rFonts w:ascii="Cambria Math" w:hAnsi="Cambria Math"/>
                  </w:rPr>
                  <m:t>0</m:t>
                </m:r>
              </m:sub>
            </m:sSub>
          </m:e>
        </m:d>
      </m:oMath>
      <w:r w:rsidR="008F52B1" w:rsidRPr="00D65627">
        <w:t xml:space="preserve"> </w:t>
      </w:r>
      <w:r w:rsidR="00A0478C" w:rsidRPr="00D65627">
        <w:t>(3)</w:t>
      </w:r>
    </w:p>
    <w:p w14:paraId="0B68F076" w14:textId="33D04E97" w:rsidR="006567C4" w:rsidRPr="001F7443" w:rsidRDefault="001F7443" w:rsidP="00453E24">
      <w:pPr>
        <w:pStyle w:val="CETBodytext"/>
      </w:pPr>
      <w:r w:rsidRPr="00EC2A5B">
        <w:t xml:space="preserve">where </w:t>
      </w:r>
      <m:oMath>
        <m:r>
          <w:rPr>
            <w:rFonts w:ascii="Cambria Math" w:hAnsi="Cambria Math"/>
            <w:lang w:val="es-CO"/>
          </w:rPr>
          <m:t>H</m:t>
        </m:r>
      </m:oMath>
      <w:r w:rsidR="006567C4" w:rsidRPr="00EC2A5B">
        <w:t xml:space="preserve"> </w:t>
      </w:r>
      <w:r w:rsidR="007D1706" w:rsidRPr="00EC2A5B">
        <w:t>and</w:t>
      </w:r>
      <w:r w:rsidR="006567C4" w:rsidRPr="00EC2A5B">
        <w:rPr>
          <w:rFonts w:ascii="Cambria Math" w:hAnsi="Cambria Math"/>
          <w:i/>
        </w:rPr>
        <w:t xml:space="preserve"> </w:t>
      </w:r>
      <m:oMath>
        <m:r>
          <w:rPr>
            <w:rFonts w:ascii="Cambria Math" w:hAnsi="Cambria Math"/>
            <w:lang w:val="es-CO"/>
          </w:rPr>
          <m:t>S</m:t>
        </m:r>
      </m:oMath>
      <w:r w:rsidR="006567C4" w:rsidRPr="00EC2A5B">
        <w:t xml:space="preserve"> </w:t>
      </w:r>
      <w:r w:rsidRPr="00EC2A5B">
        <w:t>represent the molar enthalpy and molar entropy associated with the thermodynamic state of the current</w:t>
      </w:r>
      <w:r w:rsidR="00272769" w:rsidRPr="00EC2A5B">
        <w:t xml:space="preserve"> </w:t>
      </w:r>
      <m:oMath>
        <m:d>
          <m:dPr>
            <m:ctrlPr>
              <w:rPr>
                <w:rFonts w:ascii="Cambria Math" w:hAnsi="Cambria Math"/>
                <w:i/>
                <w:lang w:val="es-CO"/>
              </w:rPr>
            </m:ctrlPr>
          </m:dPr>
          <m:e>
            <m:r>
              <w:rPr>
                <w:rFonts w:ascii="Cambria Math" w:hAnsi="Cambria Math"/>
                <w:lang w:val="es-CO"/>
              </w:rPr>
              <m:t>T</m:t>
            </m:r>
            <m:r>
              <w:rPr>
                <w:rFonts w:ascii="Cambria Math" w:hAnsi="Cambria Math"/>
              </w:rPr>
              <m:t>,</m:t>
            </m:r>
            <m:r>
              <w:rPr>
                <w:rFonts w:ascii="Cambria Math" w:hAnsi="Cambria Math"/>
                <w:lang w:val="es-CO"/>
              </w:rPr>
              <m:t>P</m:t>
            </m:r>
          </m:e>
        </m:d>
      </m:oMath>
      <w:r w:rsidR="006567C4" w:rsidRPr="00EC2A5B">
        <w:t xml:space="preserve"> </w:t>
      </w:r>
      <w:r w:rsidRPr="00EC2A5B">
        <w:t xml:space="preserve">while </w:t>
      </w:r>
      <m:oMath>
        <m:sSub>
          <m:sSubPr>
            <m:ctrlPr>
              <w:rPr>
                <w:rFonts w:ascii="Cambria Math" w:hAnsi="Cambria Math"/>
                <w:i/>
                <w:lang w:val="es-CO"/>
              </w:rPr>
            </m:ctrlPr>
          </m:sSubPr>
          <m:e>
            <m:r>
              <w:rPr>
                <w:rFonts w:ascii="Cambria Math" w:hAnsi="Cambria Math"/>
                <w:lang w:val="es-CO"/>
              </w:rPr>
              <m:t>H</m:t>
            </m:r>
          </m:e>
          <m:sub>
            <m:r>
              <w:rPr>
                <w:rFonts w:ascii="Cambria Math" w:hAnsi="Cambria Math"/>
              </w:rPr>
              <m:t>0</m:t>
            </m:r>
          </m:sub>
        </m:sSub>
      </m:oMath>
      <w:r w:rsidR="006567C4" w:rsidRPr="00EC2A5B">
        <w:t xml:space="preserve"> </w:t>
      </w:r>
      <w:r w:rsidR="007D1706" w:rsidRPr="00EC2A5B">
        <w:t>and</w:t>
      </w:r>
      <w:r w:rsidR="006567C4" w:rsidRPr="00EC2A5B">
        <w:t xml:space="preserve"> </w:t>
      </w:r>
      <m:oMath>
        <m:sSub>
          <m:sSubPr>
            <m:ctrlPr>
              <w:rPr>
                <w:rFonts w:ascii="Cambria Math" w:hAnsi="Cambria Math"/>
                <w:i/>
                <w:lang w:val="es-CO"/>
              </w:rPr>
            </m:ctrlPr>
          </m:sSubPr>
          <m:e>
            <m:r>
              <w:rPr>
                <w:rFonts w:ascii="Cambria Math" w:hAnsi="Cambria Math"/>
                <w:lang w:val="es-CO"/>
              </w:rPr>
              <m:t>S</m:t>
            </m:r>
          </m:e>
          <m:sub>
            <m:r>
              <w:rPr>
                <w:rFonts w:ascii="Cambria Math" w:hAnsi="Cambria Math"/>
              </w:rPr>
              <m:t>0</m:t>
            </m:r>
          </m:sub>
        </m:sSub>
        <m:r>
          <w:rPr>
            <w:rFonts w:ascii="Cambria Math" w:hAnsi="Cambria Math"/>
          </w:rPr>
          <m:t xml:space="preserve"> </m:t>
        </m:r>
      </m:oMath>
      <w:r w:rsidRPr="00EC2A5B">
        <w:t xml:space="preserve">correspond to the molar enthalpy and molar entropy at the reference conditions </w:t>
      </w:r>
      <w:r w:rsidRPr="001F7443">
        <w:t>of the environment</w:t>
      </w:r>
      <w:r w:rsidR="006567C4" w:rsidRPr="001F7443">
        <w:t xml:space="preserve"> (</w:t>
      </w:r>
      <m:oMath>
        <m:sSub>
          <m:sSubPr>
            <m:ctrlPr>
              <w:rPr>
                <w:rFonts w:ascii="Cambria Math" w:hAnsi="Cambria Math"/>
                <w:i/>
                <w:lang w:val="es-CO"/>
              </w:rPr>
            </m:ctrlPr>
          </m:sSubPr>
          <m:e>
            <m:r>
              <w:rPr>
                <w:rFonts w:ascii="Cambria Math" w:hAnsi="Cambria Math"/>
                <w:lang w:val="es-CO"/>
              </w:rPr>
              <m:t>T</m:t>
            </m:r>
          </m:e>
          <m:sub>
            <m:r>
              <w:rPr>
                <w:rFonts w:ascii="Cambria Math" w:hAnsi="Cambria Math"/>
              </w:rPr>
              <m:t>0</m:t>
            </m:r>
          </m:sub>
        </m:sSub>
      </m:oMath>
      <w:r w:rsidR="006567C4" w:rsidRPr="001F7443">
        <w:t xml:space="preserve">, </w:t>
      </w:r>
      <m:oMath>
        <m:sSub>
          <m:sSubPr>
            <m:ctrlPr>
              <w:rPr>
                <w:rFonts w:ascii="Cambria Math" w:hAnsi="Cambria Math"/>
                <w:i/>
                <w:lang w:val="es-CO"/>
              </w:rPr>
            </m:ctrlPr>
          </m:sSubPr>
          <m:e>
            <m:r>
              <w:rPr>
                <w:rFonts w:ascii="Cambria Math" w:hAnsi="Cambria Math"/>
                <w:lang w:val="es-CO"/>
              </w:rPr>
              <m:t>P</m:t>
            </m:r>
          </m:e>
          <m:sub>
            <m:r>
              <w:rPr>
                <w:rFonts w:ascii="Cambria Math" w:hAnsi="Cambria Math"/>
              </w:rPr>
              <m:t>0</m:t>
            </m:r>
          </m:sub>
        </m:sSub>
      </m:oMath>
      <w:r w:rsidR="006567C4" w:rsidRPr="001F7443">
        <w:t xml:space="preserve">). </w:t>
      </w:r>
      <w:r w:rsidRPr="001F7443">
        <w:t>Equation (4) describes how any work done can be expressed in terms of an energy that can be harnessed</w:t>
      </w:r>
      <w:r w:rsidR="00DE4A5F" w:rsidRPr="001F7443">
        <w:t>.</w:t>
      </w:r>
    </w:p>
    <w:p w14:paraId="671F2FFD" w14:textId="40E6EA11" w:rsidR="00DE4A5F" w:rsidRPr="008F4D48" w:rsidRDefault="00852760" w:rsidP="00D25EBB">
      <w:pPr>
        <w:pStyle w:val="CETEquation"/>
      </w:pP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XW</m:t>
            </m:r>
          </m:sub>
        </m:sSub>
        <m:r>
          <w:rPr>
            <w:rFonts w:ascii="Cambria Math" w:hAnsi="Cambria Math"/>
          </w:rPr>
          <m:t xml:space="preserve"> = </m:t>
        </m:r>
        <m:r>
          <w:rPr>
            <w:rFonts w:ascii="Cambria Math" w:hAnsi="Cambria Math"/>
            <w:lang w:val="es-CO"/>
          </w:rPr>
          <m:t>W</m:t>
        </m:r>
      </m:oMath>
      <w:r w:rsidR="00DE4A5F" w:rsidRPr="008F4D48">
        <w:rPr>
          <w:i/>
        </w:rPr>
        <w:t xml:space="preserve"> </w:t>
      </w:r>
      <w:r w:rsidR="00DE4A5F" w:rsidRPr="00D65627">
        <w:t>(4)</w:t>
      </w:r>
    </w:p>
    <w:p w14:paraId="7CA19405" w14:textId="49969D9B" w:rsidR="00484ABE" w:rsidRPr="001F7443" w:rsidRDefault="001F7443" w:rsidP="00484ABE">
      <w:pPr>
        <w:pStyle w:val="CETBodytext"/>
      </w:pPr>
      <w:r w:rsidRPr="001F7443">
        <w:t>Industrial equipment, such as reactors and heat exchangers, require heat to be exchanged with their surroundings. Thermal exergy represents the maximum amount of useful work that can be obtained from that heat, and is calculated by equation (5):</w:t>
      </w:r>
    </w:p>
    <w:p w14:paraId="6EDA8706" w14:textId="5DB88D9C" w:rsidR="00044CF0" w:rsidRPr="008F4D48" w:rsidRDefault="00852760" w:rsidP="00D25EBB">
      <w:pPr>
        <w:pStyle w:val="CETEquation"/>
      </w:pP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XQ</m:t>
            </m:r>
          </m:sub>
        </m:sSub>
        <m:r>
          <w:rPr>
            <w:rFonts w:ascii="Cambria Math" w:hAnsi="Cambria Math"/>
          </w:rPr>
          <m:t xml:space="preserve">= </m:t>
        </m:r>
        <m:r>
          <w:rPr>
            <w:rFonts w:ascii="Cambria Math" w:hAnsi="Cambria Math"/>
            <w:lang w:val="es-CO"/>
          </w:rPr>
          <m:t>Q</m:t>
        </m:r>
        <m:d>
          <m:dPr>
            <m:ctrlPr>
              <w:rPr>
                <w:rFonts w:ascii="Cambria Math" w:hAnsi="Cambria Math"/>
                <w:i/>
                <w:lang w:val="es-CO"/>
              </w:rPr>
            </m:ctrlPr>
          </m:dPr>
          <m:e>
            <m:r>
              <w:rPr>
                <w:rFonts w:ascii="Cambria Math" w:hAnsi="Cambria Math"/>
              </w:rPr>
              <m:t xml:space="preserve">1 - </m:t>
            </m:r>
            <m:f>
              <m:fPr>
                <m:ctrlPr>
                  <w:rPr>
                    <w:rFonts w:ascii="Cambria Math" w:hAnsi="Cambria Math"/>
                    <w:i/>
                    <w:lang w:val="es-CO"/>
                  </w:rPr>
                </m:ctrlPr>
              </m:fPr>
              <m:num>
                <m:sSub>
                  <m:sSubPr>
                    <m:ctrlPr>
                      <w:rPr>
                        <w:rFonts w:ascii="Cambria Math" w:hAnsi="Cambria Math"/>
                        <w:i/>
                        <w:lang w:val="es-CO"/>
                      </w:rPr>
                    </m:ctrlPr>
                  </m:sSubPr>
                  <m:e>
                    <m:r>
                      <w:rPr>
                        <w:rFonts w:ascii="Cambria Math" w:hAnsi="Cambria Math"/>
                        <w:lang w:val="es-CO"/>
                      </w:rPr>
                      <m:t>T</m:t>
                    </m:r>
                  </m:e>
                  <m:sub>
                    <m:r>
                      <w:rPr>
                        <w:rFonts w:ascii="Cambria Math" w:hAnsi="Cambria Math"/>
                      </w:rPr>
                      <m:t>0</m:t>
                    </m:r>
                  </m:sub>
                </m:sSub>
              </m:num>
              <m:den>
                <m:r>
                  <w:rPr>
                    <w:rFonts w:ascii="Cambria Math" w:hAnsi="Cambria Math"/>
                    <w:lang w:val="es-CO"/>
                  </w:rPr>
                  <m:t>T</m:t>
                </m:r>
              </m:den>
            </m:f>
          </m:e>
        </m:d>
      </m:oMath>
      <w:r w:rsidR="00484ABE" w:rsidRPr="008F4D48">
        <w:t xml:space="preserve"> </w:t>
      </w:r>
      <w:r w:rsidR="00484ABE" w:rsidRPr="00D65627">
        <w:t>(5)</w:t>
      </w:r>
    </w:p>
    <w:p w14:paraId="061BF904" w14:textId="3AFF8D2E" w:rsidR="00E35EEB" w:rsidRPr="001F7443" w:rsidRDefault="001F7443" w:rsidP="00453E24">
      <w:pPr>
        <w:pStyle w:val="CETBodytext"/>
      </w:pPr>
      <w:r w:rsidRPr="00EC2A5B">
        <w:lastRenderedPageBreak/>
        <w:t>where Q represents the heat flux transferred by the source, measured in kilojoules per hour;</w:t>
      </w:r>
      <w:r w:rsidR="00272769" w:rsidRPr="00EC2A5B">
        <w:t xml:space="preserve">  </w:t>
      </w:r>
      <m:oMath>
        <m:sSub>
          <m:sSubPr>
            <m:ctrlPr>
              <w:rPr>
                <w:rFonts w:ascii="Cambria Math" w:hAnsi="Cambria Math"/>
                <w:i/>
                <w:lang w:val="es-CO"/>
              </w:rPr>
            </m:ctrlPr>
          </m:sSubPr>
          <m:e>
            <m:r>
              <w:rPr>
                <w:rFonts w:ascii="Cambria Math" w:hAnsi="Cambria Math"/>
                <w:lang w:val="es-CO"/>
              </w:rPr>
              <m:t>T</m:t>
            </m:r>
          </m:e>
          <m:sub>
            <m:r>
              <w:rPr>
                <w:rFonts w:ascii="Cambria Math" w:hAnsi="Cambria Math"/>
              </w:rPr>
              <m:t>0</m:t>
            </m:r>
          </m:sub>
        </m:sSub>
      </m:oMath>
      <w:r w:rsidR="000F6B77" w:rsidRPr="00EC2A5B">
        <w:t xml:space="preserve"> </w:t>
      </w:r>
      <w:r w:rsidR="007D1706" w:rsidRPr="00EC2A5B">
        <w:t>and</w:t>
      </w:r>
      <w:r w:rsidR="00272769" w:rsidRPr="00EC2A5B">
        <w:t xml:space="preserve"> </w:t>
      </w:r>
      <m:oMath>
        <m:r>
          <w:rPr>
            <w:rFonts w:ascii="Cambria Math" w:hAnsi="Cambria Math"/>
            <w:lang w:val="es-CO"/>
          </w:rPr>
          <m:t>T</m:t>
        </m:r>
      </m:oMath>
      <w:r w:rsidR="00272769" w:rsidRPr="00EC2A5B">
        <w:t xml:space="preserve"> </w:t>
      </w:r>
      <w:r w:rsidRPr="00EC2A5B">
        <w:t>correspond to the temperatures of the surroundings and the heat source, respectively, both in Kelvin</w:t>
      </w:r>
      <w:r w:rsidR="00D25EBB" w:rsidRPr="00EC2A5B">
        <w:t xml:space="preserve">s. </w:t>
      </w:r>
      <w:r w:rsidR="00CF6409" w:rsidRPr="00EC2A5B">
        <w:t>T</w:t>
      </w:r>
      <w:r w:rsidRPr="00EC2A5B">
        <w:t xml:space="preserve">otal </w:t>
      </w:r>
      <w:r w:rsidR="00CF6409">
        <w:t xml:space="preserve">exergy </w:t>
      </w:r>
      <w:r w:rsidRPr="001F7443">
        <w:t>loss</w:t>
      </w:r>
      <w:r w:rsidR="00CF6409">
        <w:t>es</w:t>
      </w:r>
      <w:r w:rsidRPr="001F7443">
        <w:t xml:space="preserve"> </w:t>
      </w:r>
      <w:r w:rsidR="00CF6409">
        <w:t xml:space="preserve">are </w:t>
      </w:r>
      <w:r w:rsidRPr="001F7443">
        <w:t>calculated by subtracting the output exergy from the input exergy, as shown in equation (6)</w:t>
      </w:r>
      <w:r w:rsidR="00346DF7" w:rsidRPr="001F7443">
        <w:t xml:space="preserve">. </w:t>
      </w:r>
    </w:p>
    <w:p w14:paraId="1F751787" w14:textId="11469C42" w:rsidR="00E35EEB" w:rsidRPr="008F4D48" w:rsidRDefault="00852760" w:rsidP="00D25EBB">
      <w:pPr>
        <w:pStyle w:val="CETEquation"/>
      </w:pP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Xloss</m:t>
            </m:r>
            <m:r>
              <w:rPr>
                <w:rFonts w:ascii="Cambria Math" w:hAnsi="Cambria Math"/>
              </w:rPr>
              <m:t xml:space="preserve"> </m:t>
            </m:r>
          </m:sub>
        </m:sSub>
        <m:r>
          <w:rPr>
            <w:rFonts w:ascii="Cambria Math" w:hAnsi="Cambria Math"/>
          </w:rPr>
          <m:t xml:space="preserve">= </m:t>
        </m:r>
        <m:nary>
          <m:naryPr>
            <m:chr m:val="∑"/>
            <m:limLoc m:val="undOvr"/>
            <m:supHide m:val="1"/>
            <m:ctrlPr>
              <w:rPr>
                <w:rFonts w:ascii="Cambria Math" w:hAnsi="Cambria Math"/>
                <w:i/>
                <w:lang w:val="es-CO"/>
              </w:rPr>
            </m:ctrlPr>
          </m:naryPr>
          <m:sub>
            <m:r>
              <w:rPr>
                <w:rFonts w:ascii="Cambria Math" w:hAnsi="Cambria Math"/>
                <w:lang w:val="es-CO"/>
              </w:rPr>
              <m:t>i</m:t>
            </m:r>
          </m:sub>
          <m:sup/>
          <m:e>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Xin</m:t>
                </m:r>
                <m:r>
                  <w:rPr>
                    <w:rFonts w:ascii="Cambria Math" w:hAnsi="Cambria Math"/>
                  </w:rPr>
                  <m:t>,</m:t>
                </m:r>
                <m:r>
                  <w:rPr>
                    <w:rFonts w:ascii="Cambria Math" w:hAnsi="Cambria Math"/>
                    <w:lang w:val="es-CO"/>
                  </w:rPr>
                  <m:t>i</m:t>
                </m:r>
              </m:sub>
            </m:sSub>
          </m:e>
        </m:nary>
        <m:r>
          <w:rPr>
            <w:rFonts w:ascii="Cambria Math" w:hAnsi="Cambria Math"/>
          </w:rPr>
          <m:t xml:space="preserve"> - </m:t>
        </m:r>
        <m:nary>
          <m:naryPr>
            <m:chr m:val="∑"/>
            <m:limLoc m:val="undOvr"/>
            <m:supHide m:val="1"/>
            <m:ctrlPr>
              <w:rPr>
                <w:rFonts w:ascii="Cambria Math" w:hAnsi="Cambria Math"/>
                <w:i/>
                <w:lang w:val="es-CO"/>
              </w:rPr>
            </m:ctrlPr>
          </m:naryPr>
          <m:sub>
            <m:r>
              <w:rPr>
                <w:rFonts w:ascii="Cambria Math" w:hAnsi="Cambria Math"/>
                <w:lang w:val="es-CO"/>
              </w:rPr>
              <m:t>j</m:t>
            </m:r>
          </m:sub>
          <m:sup/>
          <m:e>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Xout</m:t>
                </m:r>
                <m:r>
                  <w:rPr>
                    <w:rFonts w:ascii="Cambria Math" w:hAnsi="Cambria Math"/>
                  </w:rPr>
                  <m:t>,</m:t>
                </m:r>
                <m:r>
                  <w:rPr>
                    <w:rFonts w:ascii="Cambria Math" w:hAnsi="Cambria Math"/>
                    <w:lang w:val="es-CO"/>
                  </w:rPr>
                  <m:t>j</m:t>
                </m:r>
              </m:sub>
            </m:sSub>
          </m:e>
        </m:nary>
      </m:oMath>
      <w:r w:rsidR="00346DF7" w:rsidRPr="008F4D48">
        <w:t xml:space="preserve"> </w:t>
      </w:r>
      <w:r w:rsidR="00346DF7" w:rsidRPr="00D65627">
        <w:t>(6)</w:t>
      </w:r>
    </w:p>
    <w:p w14:paraId="22672B88" w14:textId="4EDF7C1F" w:rsidR="00E35EEB" w:rsidRPr="001F7443" w:rsidRDefault="001F7443" w:rsidP="00D247DC">
      <w:pPr>
        <w:pStyle w:val="CETBodytext"/>
      </w:pPr>
      <w:r w:rsidRPr="001F7443">
        <w:t>Equation (7) establishes the total exergy input to a system (or a process or a process step), which is the sum of the exergy associated with matter flows and the exergy supplied by industrial services (mechanical work, heating, cooling, etc.). Equation (8) specifies the latter contribution. Equation (9), on the other hand, shows how the exergy leaves the system, mainly through the products and wastes</w:t>
      </w:r>
      <w:r w:rsidR="00D247DC" w:rsidRPr="001F7443">
        <w:t>.</w:t>
      </w:r>
    </w:p>
    <w:p w14:paraId="25770DE9" w14:textId="170DD295" w:rsidR="00E35EEB" w:rsidRPr="008F4D48" w:rsidRDefault="00852760" w:rsidP="00D25EBB">
      <w:pPr>
        <w:pStyle w:val="CETEquation"/>
      </w:pP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Xin</m:t>
            </m:r>
          </m:sub>
        </m:sSub>
        <m:r>
          <w:rPr>
            <w:rFonts w:ascii="Cambria Math" w:hAnsi="Cambria Math"/>
          </w:rPr>
          <m:t xml:space="preserve">= </m:t>
        </m:r>
        <m:nary>
          <m:naryPr>
            <m:chr m:val="∑"/>
            <m:limLoc m:val="undOvr"/>
            <m:supHide m:val="1"/>
            <m:ctrlPr>
              <w:rPr>
                <w:rFonts w:ascii="Cambria Math" w:hAnsi="Cambria Math"/>
                <w:i/>
                <w:lang w:val="es-CO"/>
              </w:rPr>
            </m:ctrlPr>
          </m:naryPr>
          <m:sub>
            <m:r>
              <w:rPr>
                <w:rFonts w:ascii="Cambria Math" w:hAnsi="Cambria Math"/>
                <w:lang w:val="es-CO"/>
              </w:rPr>
              <m:t>i</m:t>
            </m:r>
          </m:sub>
          <m:sup/>
          <m:e>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m:t>
                </m:r>
                <m:r>
                  <w:rPr>
                    <w:rFonts w:ascii="Cambria Math" w:hAnsi="Cambria Math"/>
                  </w:rPr>
                  <m:t>,</m:t>
                </m:r>
                <m:r>
                  <w:rPr>
                    <w:rFonts w:ascii="Cambria Math" w:hAnsi="Cambria Math"/>
                    <w:lang w:val="es-CO"/>
                  </w:rPr>
                  <m:t>i</m:t>
                </m:r>
              </m:sub>
            </m:sSub>
          </m:e>
        </m:nary>
        <m:r>
          <w:rPr>
            <w:rFonts w:ascii="Cambria Math" w:hAnsi="Cambria Math"/>
          </w:rPr>
          <m:t>+</m:t>
        </m:r>
        <m:nary>
          <m:naryPr>
            <m:chr m:val="∑"/>
            <m:limLoc m:val="undOvr"/>
            <m:supHide m:val="1"/>
            <m:ctrlPr>
              <w:rPr>
                <w:rFonts w:ascii="Cambria Math" w:hAnsi="Cambria Math"/>
                <w:i/>
                <w:lang w:val="es-CO"/>
              </w:rPr>
            </m:ctrlPr>
          </m:naryPr>
          <m:sub>
            <m:r>
              <w:rPr>
                <w:rFonts w:ascii="Cambria Math" w:hAnsi="Cambria Math"/>
                <w:lang w:val="es-CO"/>
              </w:rPr>
              <m:t>j</m:t>
            </m:r>
          </m:sub>
          <m:sup/>
          <m:e>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Xutilities</m:t>
                </m:r>
                <m:r>
                  <w:rPr>
                    <w:rFonts w:ascii="Cambria Math" w:hAnsi="Cambria Math"/>
                  </w:rPr>
                  <m:t>,</m:t>
                </m:r>
                <m:r>
                  <w:rPr>
                    <w:rFonts w:ascii="Cambria Math" w:hAnsi="Cambria Math"/>
                    <w:lang w:val="es-CO"/>
                  </w:rPr>
                  <m:t>j</m:t>
                </m:r>
              </m:sub>
            </m:sSub>
          </m:e>
        </m:nary>
        <m:r>
          <w:rPr>
            <w:rFonts w:ascii="Cambria Math" w:hAnsi="Cambria Math"/>
          </w:rPr>
          <m:t xml:space="preserve">  </m:t>
        </m:r>
      </m:oMath>
      <w:r w:rsidR="002A6300" w:rsidRPr="00D65627">
        <w:t>(7)</w:t>
      </w:r>
    </w:p>
    <w:p w14:paraId="44C4AC12" w14:textId="07A213DF" w:rsidR="00E35EEB" w:rsidRPr="008F4D48" w:rsidRDefault="00852760" w:rsidP="00D25EBB">
      <w:pPr>
        <w:pStyle w:val="CETEquation"/>
      </w:pP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Xutilities</m:t>
            </m:r>
          </m:sub>
        </m:sSub>
        <m:r>
          <w:rPr>
            <w:rFonts w:ascii="Cambria Math" w:hAnsi="Cambria Math"/>
          </w:rPr>
          <m:t xml:space="preserve">= </m:t>
        </m:r>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XW</m:t>
            </m:r>
          </m:sub>
        </m:sSub>
        <m:r>
          <w:rPr>
            <w:rFonts w:ascii="Cambria Math" w:hAnsi="Cambria Math"/>
          </w:rPr>
          <m:t>+</m:t>
        </m:r>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XQ</m:t>
            </m:r>
          </m:sub>
        </m:sSub>
      </m:oMath>
      <w:r w:rsidR="00C54CAE" w:rsidRPr="008F4D48">
        <w:t xml:space="preserve"> </w:t>
      </w:r>
      <w:r w:rsidR="00C54CAE" w:rsidRPr="00D65627">
        <w:t>(8)</w:t>
      </w:r>
    </w:p>
    <w:p w14:paraId="4668A675" w14:textId="4066057D" w:rsidR="00E35EEB" w:rsidRPr="008F4D48" w:rsidRDefault="00852760" w:rsidP="00D25EBB">
      <w:pPr>
        <w:pStyle w:val="CETEquation"/>
      </w:pPr>
      <m:oMath>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Xout</m:t>
            </m:r>
          </m:sub>
        </m:sSub>
        <m:r>
          <w:rPr>
            <w:rFonts w:ascii="Cambria Math" w:hAnsi="Cambria Math"/>
          </w:rPr>
          <m:t>=</m:t>
        </m:r>
        <m:nary>
          <m:naryPr>
            <m:chr m:val="∑"/>
            <m:limLoc m:val="undOvr"/>
            <m:supHide m:val="1"/>
            <m:ctrlPr>
              <w:rPr>
                <w:rFonts w:ascii="Cambria Math" w:hAnsi="Cambria Math"/>
                <w:i/>
                <w:lang w:val="es-CO"/>
              </w:rPr>
            </m:ctrlPr>
          </m:naryPr>
          <m:sub>
            <m:r>
              <w:rPr>
                <w:rFonts w:ascii="Cambria Math" w:hAnsi="Cambria Math"/>
                <w:lang w:val="es-CO"/>
              </w:rPr>
              <m:t>i</m:t>
            </m:r>
          </m:sub>
          <m:sup/>
          <m:e>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Xproducts</m:t>
                </m:r>
                <m:r>
                  <w:rPr>
                    <w:rFonts w:ascii="Cambria Math" w:hAnsi="Cambria Math"/>
                  </w:rPr>
                  <m:t>,</m:t>
                </m:r>
                <m:r>
                  <w:rPr>
                    <w:rFonts w:ascii="Cambria Math" w:hAnsi="Cambria Math"/>
                    <w:lang w:val="es-CO"/>
                  </w:rPr>
                  <m:t>i</m:t>
                </m:r>
              </m:sub>
            </m:sSub>
          </m:e>
        </m:nary>
        <m:r>
          <w:rPr>
            <w:rFonts w:ascii="Cambria Math" w:hAnsi="Cambria Math"/>
          </w:rPr>
          <m:t>+</m:t>
        </m:r>
        <m:nary>
          <m:naryPr>
            <m:chr m:val="∑"/>
            <m:limLoc m:val="undOvr"/>
            <m:supHide m:val="1"/>
            <m:ctrlPr>
              <w:rPr>
                <w:rFonts w:ascii="Cambria Math" w:hAnsi="Cambria Math"/>
                <w:i/>
                <w:lang w:val="es-CO"/>
              </w:rPr>
            </m:ctrlPr>
          </m:naryPr>
          <m:sub>
            <m:r>
              <w:rPr>
                <w:rFonts w:ascii="Cambria Math" w:hAnsi="Cambria Math"/>
                <w:lang w:val="es-CO"/>
              </w:rPr>
              <m:t>j</m:t>
            </m:r>
          </m:sub>
          <m:sup/>
          <m:e>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Xresidue</m:t>
                </m:r>
                <m:r>
                  <w:rPr>
                    <w:rFonts w:ascii="Cambria Math" w:hAnsi="Cambria Math"/>
                  </w:rPr>
                  <m:t>,</m:t>
                </m:r>
                <m:r>
                  <w:rPr>
                    <w:rFonts w:ascii="Cambria Math" w:hAnsi="Cambria Math"/>
                    <w:lang w:val="es-CO"/>
                  </w:rPr>
                  <m:t>j</m:t>
                </m:r>
              </m:sub>
            </m:sSub>
          </m:e>
        </m:nary>
        <m:r>
          <w:rPr>
            <w:rFonts w:ascii="Cambria Math" w:hAnsi="Cambria Math"/>
          </w:rPr>
          <m:t xml:space="preserve"> </m:t>
        </m:r>
      </m:oMath>
      <w:r w:rsidR="00C54CAE" w:rsidRPr="00D65627">
        <w:t>(9)</w:t>
      </w:r>
    </w:p>
    <w:p w14:paraId="72089856" w14:textId="7C88D936" w:rsidR="005C045B" w:rsidRPr="001F7443" w:rsidRDefault="001F7443" w:rsidP="00453E24">
      <w:pPr>
        <w:pStyle w:val="CETBodytext"/>
      </w:pPr>
      <w:r w:rsidRPr="001F7443">
        <w:t>The irreversibility of a process is a measure of the degradation of useful energy during that process. Equation (10) quantifies this loss as the difference between the exergy entering the system and that leaving associated with the products</w:t>
      </w:r>
      <w:r w:rsidR="005C045B" w:rsidRPr="001F7443">
        <w:t xml:space="preserve">. </w:t>
      </w:r>
    </w:p>
    <w:p w14:paraId="604C91EE" w14:textId="1D959829" w:rsidR="005C045B" w:rsidRPr="008F4D48" w:rsidRDefault="005C045B" w:rsidP="00D25EBB">
      <w:pPr>
        <w:pStyle w:val="CETEquation"/>
      </w:pPr>
      <m:oMath>
        <m:r>
          <w:rPr>
            <w:rFonts w:ascii="Cambria Math" w:hAnsi="Cambria Math"/>
            <w:lang w:val="es-CO"/>
          </w:rPr>
          <m:t>I</m:t>
        </m:r>
        <m:r>
          <w:rPr>
            <w:rFonts w:ascii="Cambria Math" w:hAnsi="Cambria Math"/>
          </w:rPr>
          <m:t xml:space="preserve"> =</m:t>
        </m:r>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Xdestroyed</m:t>
            </m:r>
            <m:r>
              <w:rPr>
                <w:rFonts w:ascii="Cambria Math" w:hAnsi="Cambria Math"/>
              </w:rPr>
              <m:t xml:space="preserve"> </m:t>
            </m:r>
          </m:sub>
        </m:sSub>
        <m:r>
          <w:rPr>
            <w:rFonts w:ascii="Cambria Math" w:hAnsi="Cambria Math"/>
          </w:rPr>
          <m:t xml:space="preserve">= </m:t>
        </m:r>
        <m:nary>
          <m:naryPr>
            <m:chr m:val="∑"/>
            <m:limLoc m:val="undOvr"/>
            <m:supHide m:val="1"/>
            <m:ctrlPr>
              <w:rPr>
                <w:rFonts w:ascii="Cambria Math" w:hAnsi="Cambria Math"/>
                <w:i/>
                <w:lang w:val="es-CO"/>
              </w:rPr>
            </m:ctrlPr>
          </m:naryPr>
          <m:sub>
            <m:r>
              <w:rPr>
                <w:rFonts w:ascii="Cambria Math" w:hAnsi="Cambria Math"/>
                <w:lang w:val="es-CO"/>
              </w:rPr>
              <m:t>i</m:t>
            </m:r>
          </m:sub>
          <m:sup/>
          <m:e>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Xin</m:t>
                </m:r>
                <m:r>
                  <w:rPr>
                    <w:rFonts w:ascii="Cambria Math" w:hAnsi="Cambria Math"/>
                  </w:rPr>
                  <m:t>,</m:t>
                </m:r>
                <m:r>
                  <w:rPr>
                    <w:rFonts w:ascii="Cambria Math" w:hAnsi="Cambria Math"/>
                    <w:lang w:val="es-CO"/>
                  </w:rPr>
                  <m:t>i</m:t>
                </m:r>
              </m:sub>
            </m:sSub>
          </m:e>
        </m:nary>
        <m:r>
          <w:rPr>
            <w:rFonts w:ascii="Cambria Math" w:hAnsi="Cambria Math"/>
          </w:rPr>
          <m:t xml:space="preserve"> - </m:t>
        </m:r>
        <m:nary>
          <m:naryPr>
            <m:chr m:val="∑"/>
            <m:limLoc m:val="undOvr"/>
            <m:supHide m:val="1"/>
            <m:ctrlPr>
              <w:rPr>
                <w:rFonts w:ascii="Cambria Math" w:hAnsi="Cambria Math"/>
                <w:i/>
                <w:lang w:val="es-CO"/>
              </w:rPr>
            </m:ctrlPr>
          </m:naryPr>
          <m:sub>
            <m:r>
              <w:rPr>
                <w:rFonts w:ascii="Cambria Math" w:hAnsi="Cambria Math"/>
                <w:lang w:val="es-CO"/>
              </w:rPr>
              <m:t>j</m:t>
            </m:r>
          </m:sub>
          <m:sup/>
          <m:e>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Xproduct</m:t>
                </m:r>
                <m:r>
                  <w:rPr>
                    <w:rFonts w:ascii="Cambria Math" w:hAnsi="Cambria Math"/>
                  </w:rPr>
                  <m:t>,</m:t>
                </m:r>
                <m:r>
                  <w:rPr>
                    <w:rFonts w:ascii="Cambria Math" w:hAnsi="Cambria Math"/>
                    <w:lang w:val="es-CO"/>
                  </w:rPr>
                  <m:t>j</m:t>
                </m:r>
              </m:sub>
            </m:sSub>
          </m:e>
        </m:nary>
      </m:oMath>
      <w:r w:rsidR="00ED6F64" w:rsidRPr="008F4D48">
        <w:t xml:space="preserve"> </w:t>
      </w:r>
      <w:r w:rsidR="00ED6F64" w:rsidRPr="00D65627">
        <w:t>(10)</w:t>
      </w:r>
    </w:p>
    <w:p w14:paraId="2738E2FF" w14:textId="34D0D8A9" w:rsidR="005A6EE9" w:rsidRPr="001F7443" w:rsidRDefault="001F7443" w:rsidP="00453E24">
      <w:pPr>
        <w:pStyle w:val="CETBodytext"/>
      </w:pPr>
      <w:r w:rsidRPr="001F7443">
        <w:t>Equation (11) defines exergy efficiency as the quotient between the useful exergy obtained in a process and the exergy supplied to it. This parameter makes it possible to evaluate the energy quality of a system and to identify the associated irreversible losses.</w:t>
      </w:r>
      <w:r w:rsidR="00ED6F64" w:rsidRPr="001F7443">
        <w:t xml:space="preserve"> </w:t>
      </w:r>
    </w:p>
    <w:p w14:paraId="3469F1AA" w14:textId="4CC4D2A8" w:rsidR="005A6EE9" w:rsidRPr="008F4D48" w:rsidRDefault="00F17DEF" w:rsidP="00D25EBB">
      <w:pPr>
        <w:pStyle w:val="CETEquation"/>
      </w:pPr>
      <m:oMath>
        <m:r>
          <w:rPr>
            <w:rFonts w:ascii="Cambria Math" w:hAnsi="Cambria Math" w:cs="Calibri"/>
          </w:rPr>
          <m:t xml:space="preserve">Ƞ </m:t>
        </m:r>
        <m:r>
          <w:rPr>
            <w:rFonts w:ascii="Cambria Math" w:hAnsi="Cambria Math"/>
          </w:rPr>
          <m:t xml:space="preserve">= </m:t>
        </m:r>
        <m:f>
          <m:fPr>
            <m:ctrlPr>
              <w:rPr>
                <w:rFonts w:ascii="Cambria Math" w:hAnsi="Cambria Math"/>
                <w:i/>
                <w:lang w:val="es-CO"/>
              </w:rPr>
            </m:ctrlPr>
          </m:fPr>
          <m:num>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Xout</m:t>
                </m:r>
              </m:sub>
            </m:sSub>
          </m:num>
          <m:den>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Xin</m:t>
                </m:r>
              </m:sub>
            </m:sSub>
          </m:den>
        </m:f>
        <m:r>
          <w:rPr>
            <w:rFonts w:ascii="Cambria Math" w:hAnsi="Cambria Math"/>
          </w:rPr>
          <m:t xml:space="preserve"> = 1 - </m:t>
        </m:r>
        <m:f>
          <m:fPr>
            <m:ctrlPr>
              <w:rPr>
                <w:rFonts w:ascii="Cambria Math" w:hAnsi="Cambria Math"/>
                <w:i/>
                <w:lang w:val="es-CO"/>
              </w:rPr>
            </m:ctrlPr>
          </m:fPr>
          <m:num>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Xloss</m:t>
                </m:r>
                <m:r>
                  <w:rPr>
                    <w:rFonts w:ascii="Cambria Math" w:hAnsi="Cambria Math"/>
                  </w:rPr>
                  <m:t xml:space="preserve"> </m:t>
                </m:r>
              </m:sub>
            </m:sSub>
          </m:num>
          <m:den>
            <m:sSub>
              <m:sSubPr>
                <m:ctrlPr>
                  <w:rPr>
                    <w:rFonts w:ascii="Cambria Math" w:hAnsi="Cambria Math"/>
                    <w:i/>
                    <w:lang w:val="es-CO"/>
                  </w:rPr>
                </m:ctrlPr>
              </m:sSubPr>
              <m:e>
                <m:r>
                  <w:rPr>
                    <w:rFonts w:ascii="Cambria Math" w:hAnsi="Cambria Math"/>
                    <w:lang w:val="es-CO"/>
                  </w:rPr>
                  <m:t>E</m:t>
                </m:r>
              </m:e>
              <m:sub>
                <m:r>
                  <w:rPr>
                    <w:rFonts w:ascii="Cambria Math" w:hAnsi="Cambria Math"/>
                    <w:lang w:val="es-CO"/>
                  </w:rPr>
                  <m:t>Xin</m:t>
                </m:r>
              </m:sub>
            </m:sSub>
          </m:den>
        </m:f>
      </m:oMath>
      <w:r w:rsidRPr="008F4D48">
        <w:t xml:space="preserve"> </w:t>
      </w:r>
      <w:r w:rsidRPr="00D65627">
        <w:t>(11)</w:t>
      </w:r>
    </w:p>
    <w:p w14:paraId="5CDAF518" w14:textId="7775B1F1" w:rsidR="000C41BF" w:rsidRPr="004E456F" w:rsidRDefault="00E35EEB" w:rsidP="00453E24">
      <w:pPr>
        <w:pStyle w:val="CETHeading1"/>
      </w:pPr>
      <w:r w:rsidRPr="008F4D48">
        <w:t xml:space="preserve"> </w:t>
      </w:r>
      <w:r w:rsidRPr="00E35EEB">
        <w:t>Results and discussion</w:t>
      </w:r>
      <w:r w:rsidR="00585CD5" w:rsidRPr="004E456F">
        <w:rPr>
          <w:lang w:val="es-CO"/>
        </w:rPr>
        <w:tab/>
      </w:r>
    </w:p>
    <w:p w14:paraId="43AD8CEB" w14:textId="14011912" w:rsidR="005E6B11" w:rsidRPr="00EC2A5B" w:rsidRDefault="00386DA6" w:rsidP="00453E24">
      <w:pPr>
        <w:pStyle w:val="CETheadingx"/>
      </w:pPr>
      <w:r w:rsidRPr="00EC2A5B">
        <w:t>Exergy Analysis</w:t>
      </w:r>
      <w:r w:rsidR="004B5A04" w:rsidRPr="00EC2A5B">
        <w:t xml:space="preserve"> </w:t>
      </w:r>
    </w:p>
    <w:p w14:paraId="02F7EA7B" w14:textId="03162268" w:rsidR="00935F6E" w:rsidRPr="00EC2A5B" w:rsidRDefault="00EC2A5B" w:rsidP="00935F6E">
      <w:pPr>
        <w:pStyle w:val="CETBodytext"/>
      </w:pPr>
      <w:r w:rsidRPr="00EC2A5B">
        <w:t>This study builds upon a previously investigated hydrocracking process developed by García-</w:t>
      </w:r>
      <w:proofErr w:type="spellStart"/>
      <w:r w:rsidRPr="00EC2A5B">
        <w:t>Maza</w:t>
      </w:r>
      <w:proofErr w:type="spellEnd"/>
      <w:r w:rsidRPr="00EC2A5B">
        <w:t xml:space="preserve"> and González-Delgado (2024), in which a base configuration was established. Based on this configuration, a twofold integration strategy was implemented: (1) energy integration to enhance thermal efficiency, and (2) mass integration through the reuse of internal wastewater streams to reduce freshwater consumption. All simulations in the present work were carried out on this base case using Aspen HYSYS V.14. This represents the first documented evaluation in the literature of a hydrocracking process with simultaneous mass and energy integration employing an exergetic approach</w:t>
      </w:r>
      <w:r w:rsidR="00935F6E" w:rsidRPr="00EC2A5B">
        <w:t xml:space="preserve">.  </w:t>
      </w:r>
    </w:p>
    <w:p w14:paraId="0855595F" w14:textId="77777777" w:rsidR="00935F6E" w:rsidRPr="00EC2A5B" w:rsidRDefault="00935F6E" w:rsidP="00935F6E">
      <w:pPr>
        <w:pStyle w:val="CETBodytext"/>
      </w:pPr>
    </w:p>
    <w:p w14:paraId="4090712D" w14:textId="77568961" w:rsidR="0007299E" w:rsidRPr="00864B92" w:rsidRDefault="00D65627" w:rsidP="00935F6E">
      <w:pPr>
        <w:pStyle w:val="CETBodytext"/>
      </w:pPr>
      <w:r>
        <w:t>According to Figure 2, t</w:t>
      </w:r>
      <w:r w:rsidR="00864B92" w:rsidRPr="00864B92">
        <w:t>h</w:t>
      </w:r>
      <w:r w:rsidR="00935F6E">
        <w:t>is</w:t>
      </w:r>
      <w:r w:rsidR="00864B92" w:rsidRPr="00864B92">
        <w:t xml:space="preserve"> process exhibits an outstanding overall energy efficiency of 98.08%; however, detailed analysis reveals opportunities to optimize its performance. The most energy demanding stages include </w:t>
      </w:r>
      <w:r w:rsidR="00935F6E">
        <w:t>F</w:t>
      </w:r>
      <w:r w:rsidR="00864B92" w:rsidRPr="00864B92">
        <w:t xml:space="preserve">ractionation (243,536.16 MJ/h), </w:t>
      </w:r>
      <w:r w:rsidR="00935F6E">
        <w:t>S</w:t>
      </w:r>
      <w:r w:rsidR="00864B92" w:rsidRPr="00864B92">
        <w:t>tripping (113,490.04 MJ</w:t>
      </w:r>
      <w:r w:rsidR="00C535CC">
        <w:t>/</w:t>
      </w:r>
      <w:r w:rsidR="00864B92" w:rsidRPr="00864B92">
        <w:t xml:space="preserve">h) and </w:t>
      </w:r>
      <w:r w:rsidR="00935F6E">
        <w:t>H</w:t>
      </w:r>
      <w:r w:rsidR="00864B92" w:rsidRPr="00864B92">
        <w:t xml:space="preserve">ydrogen </w:t>
      </w:r>
      <w:r w:rsidR="00935F6E">
        <w:t>P</w:t>
      </w:r>
      <w:r w:rsidR="00864B92" w:rsidRPr="00864B92">
        <w:t xml:space="preserve">urification and </w:t>
      </w:r>
      <w:r w:rsidR="00935F6E">
        <w:t>C</w:t>
      </w:r>
      <w:r w:rsidR="00864B92" w:rsidRPr="00864B92">
        <w:t>onditioning (99,170.06 MJ/h). It is necessary a deeper analysis oriented to the utilization of waste, whose total exergy output is registered in 1,041,156.66 MJ/h, as well as to the reduction of exergy losses.</w:t>
      </w:r>
    </w:p>
    <w:p w14:paraId="4C689CAA" w14:textId="7347980E" w:rsidR="00D34D17" w:rsidRPr="00E46855" w:rsidRDefault="001929D9" w:rsidP="00C3243D">
      <w:pPr>
        <w:pStyle w:val="CETBodytext"/>
        <w:rPr>
          <w:i/>
          <w:iCs/>
        </w:rPr>
      </w:pPr>
      <w:r>
        <w:rPr>
          <w:noProof/>
        </w:rPr>
        <w:drawing>
          <wp:inline distT="0" distB="0" distL="0" distR="0" wp14:anchorId="7F98C5AB" wp14:editId="1D2D2E2A">
            <wp:extent cx="5295900" cy="1228725"/>
            <wp:effectExtent l="0" t="0" r="0" b="0"/>
            <wp:docPr id="3" name="Chart 3">
              <a:extLst xmlns:a="http://schemas.openxmlformats.org/drawingml/2006/main">
                <a:ext uri="{FF2B5EF4-FFF2-40B4-BE49-F238E27FC236}">
                  <a16:creationId xmlns:a16="http://schemas.microsoft.com/office/drawing/2014/main" id="{8D8569C7-AB75-4311-8E46-DF0FF6497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D34D17" w:rsidRPr="00E46855">
        <w:rPr>
          <w:i/>
          <w:iCs/>
        </w:rPr>
        <w:t xml:space="preserve">Figure 2: </w:t>
      </w:r>
      <w:r w:rsidR="00E87D50" w:rsidRPr="00E46855">
        <w:rPr>
          <w:i/>
          <w:iCs/>
        </w:rPr>
        <w:t xml:space="preserve">Overall exergetic performance of mass/energy integrated large-scale hydrocracking process </w:t>
      </w:r>
    </w:p>
    <w:p w14:paraId="6ED5C150" w14:textId="0052CF40" w:rsidR="00A02CC9" w:rsidRPr="002A4C1A" w:rsidRDefault="00325EC4" w:rsidP="00D25EBB">
      <w:pPr>
        <w:pStyle w:val="CETHeadingxx"/>
      </w:pPr>
      <w:r w:rsidRPr="002A4C1A">
        <w:t>3.</w:t>
      </w:r>
      <w:r w:rsidR="00E30AD3">
        <w:t>1</w:t>
      </w:r>
      <w:r w:rsidRPr="002A4C1A">
        <w:t>.1 Quantif</w:t>
      </w:r>
      <w:r w:rsidR="00D25EBB">
        <w:t>ication of process irreversibilities</w:t>
      </w:r>
    </w:p>
    <w:p w14:paraId="7E1BAF86" w14:textId="71E84972" w:rsidR="009224F8" w:rsidRDefault="00EC6FAF" w:rsidP="00D6250F">
      <w:pPr>
        <w:pStyle w:val="CETBodytext"/>
      </w:pPr>
      <w:r>
        <w:t>P</w:t>
      </w:r>
      <w:r w:rsidR="0007299E" w:rsidRPr="0061515F">
        <w:t>ercentage of exergy destroyed and exergy efficiency were determined</w:t>
      </w:r>
      <w:r w:rsidR="0007299E">
        <w:t xml:space="preserve">. </w:t>
      </w:r>
      <w:r w:rsidR="002A4C1A" w:rsidRPr="002A4C1A">
        <w:t xml:space="preserve">Exergy destruction, which is quantified at 915,717.71 MJ/h, 630,559.51 MJ/h and 281,053.41 MJ/h for the purification, reaction and stripping sections respectively, represents 45.19%, 31.12% and 13.87% of the total </w:t>
      </w:r>
      <w:r w:rsidR="00F13F75">
        <w:t xml:space="preserve">irreversibilities </w:t>
      </w:r>
      <w:r w:rsidR="002A4C1A" w:rsidRPr="002A4C1A">
        <w:t>in the plant (2,026,484.64 MJ/h)</w:t>
      </w:r>
      <w:r w:rsidR="00864B92">
        <w:t xml:space="preserve"> a</w:t>
      </w:r>
      <w:r w:rsidR="00864B92" w:rsidRPr="00864B92">
        <w:t xml:space="preserve">s shown in Figure </w:t>
      </w:r>
      <w:r>
        <w:t>3</w:t>
      </w:r>
      <w:r w:rsidR="002A4C1A" w:rsidRPr="002A4C1A">
        <w:t xml:space="preserve">. The irreversibility of a process refers to the amount of exergy lost during the process, chemical reactions in which the entropy generated is proportional to the degree of the reaction play a relevant </w:t>
      </w:r>
      <w:r w:rsidR="002A4C1A" w:rsidRPr="002A4C1A">
        <w:lastRenderedPageBreak/>
        <w:t>role. Identifying these irreversibilities is essential, as they represent additional energy consumption</w:t>
      </w:r>
      <w:r w:rsidR="008F4D48">
        <w:t xml:space="preserve"> </w:t>
      </w:r>
      <w:sdt>
        <w:sdtPr>
          <w:rPr>
            <w:color w:val="000000"/>
          </w:rPr>
          <w:tag w:val="MENDELEY_CITATION_v3_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"/>
          <w:id w:val="-39134609"/>
          <w:placeholder>
            <w:docPart w:val="DefaultPlaceholder_-1854013440"/>
          </w:placeholder>
        </w:sdtPr>
        <w:sdtEndPr/>
        <w:sdtContent>
          <w:r w:rsidR="008D7689" w:rsidRPr="008D7689">
            <w:rPr>
              <w:color w:val="000000"/>
            </w:rPr>
            <w:t>(Samad et al., 2023)</w:t>
          </w:r>
        </w:sdtContent>
      </w:sdt>
      <w:r w:rsidR="002A4C1A" w:rsidRPr="002A4C1A">
        <w:t xml:space="preserve">. </w:t>
      </w:r>
      <w:r w:rsidRPr="0061515F">
        <w:t xml:space="preserve">The complete gas oil hydrocracking process was segmented into eight sections, visualized in Figure </w:t>
      </w:r>
      <w:r>
        <w:t>4</w:t>
      </w:r>
      <w:r w:rsidRPr="0061515F">
        <w:t xml:space="preserve">. A detailed analysis of the input and output flows in each section was performed. </w:t>
      </w:r>
      <w:r w:rsidRPr="00EC2A5B">
        <w:t>For each process stage,</w:t>
      </w:r>
      <w:r w:rsidR="004953F5" w:rsidRPr="00EC2A5B">
        <w:t xml:space="preserve"> </w:t>
      </w:r>
      <w:r w:rsidRPr="00EC2A5B">
        <w:t>the exergy of wastes, exergy losses</w:t>
      </w:r>
      <w:r w:rsidR="004953F5" w:rsidRPr="00EC2A5B">
        <w:t xml:space="preserve"> and</w:t>
      </w:r>
      <w:r w:rsidRPr="00EC2A5B">
        <w:t xml:space="preserve"> total irreversibilities</w:t>
      </w:r>
      <w:r w:rsidR="004953F5" w:rsidRPr="00EC2A5B">
        <w:t xml:space="preserve"> were analyzed. Hydrogen P</w:t>
      </w:r>
      <w:r w:rsidR="002A4C1A" w:rsidRPr="00EC2A5B">
        <w:t xml:space="preserve">urification and </w:t>
      </w:r>
      <w:r w:rsidR="004953F5" w:rsidRPr="00EC2A5B">
        <w:t>Make-up Hydrogen C</w:t>
      </w:r>
      <w:r w:rsidR="002A4C1A" w:rsidRPr="00EC2A5B">
        <w:t xml:space="preserve">onditioning </w:t>
      </w:r>
      <w:r w:rsidR="004953F5" w:rsidRPr="00EC2A5B">
        <w:t>S</w:t>
      </w:r>
      <w:r w:rsidR="002A4C1A" w:rsidRPr="00EC2A5B">
        <w:t>tage concentrate</w:t>
      </w:r>
      <w:r w:rsidR="005E6B11" w:rsidRPr="00EC2A5B">
        <w:t>s</w:t>
      </w:r>
      <w:r w:rsidR="002A4C1A" w:rsidRPr="00EC2A5B">
        <w:t xml:space="preserve"> the largest exergy losses in the plant, with tower separation operations being the main culprit. These operations generate waste with high exergy content, such as rich amine streams and PSA waste. On the other hand, irreversibilities in compressors occupy a second place in impact, </w:t>
      </w:r>
      <w:r w:rsidR="002A4C1A" w:rsidRPr="002A4C1A">
        <w:t>since the polytropic process involves entropy generation, mainly due to the friction of hydrogen with mechanical components. Also, the large pressure differences in each compression stage significantly increase the work required. Finally, in air coolers, the irreversibilities are associated with both the pressure drop and the heat transfer between the air and the environment</w:t>
      </w:r>
      <w:r w:rsidR="00D64619" w:rsidRPr="002A4C1A">
        <w:t xml:space="preserve">. </w:t>
      </w:r>
      <w:r w:rsidR="005E6B11" w:rsidRPr="005E6B11">
        <w:t xml:space="preserve">On the other hand, the exergy analysis revealed that hydrocrackers are the main source of irreversibility in the reaction section due mainly to the highly exothermic nature of the reactions occurring inside the reactors. Other sources of irreversibility in this stage and in the </w:t>
      </w:r>
      <w:proofErr w:type="gramStart"/>
      <w:r w:rsidR="00C535CC">
        <w:t>F</w:t>
      </w:r>
      <w:r w:rsidR="00C535CC" w:rsidRPr="005E6B11">
        <w:t>ractionation</w:t>
      </w:r>
      <w:proofErr w:type="gramEnd"/>
      <w:r w:rsidR="00C535CC">
        <w:t xml:space="preserve"> st</w:t>
      </w:r>
      <w:r w:rsidR="005E6B11" w:rsidRPr="005E6B11">
        <w:t xml:space="preserve">age include heat losses in the </w:t>
      </w:r>
      <w:r w:rsidR="005E6B11">
        <w:t>fired heater</w:t>
      </w:r>
      <w:r w:rsidR="005E6B11" w:rsidRPr="005E6B11">
        <w:t>, both in the casing and in the flue gas discharge. Incomplete combustion of natural gas, due to inhomogeneous mixing of fuel and comburent, results in a loss of chemical exergy. Finally, heat exchangers contribute to exergy destruction due to temperature differences between the hot and cold streams</w:t>
      </w:r>
      <w:r w:rsidR="006F7CC6">
        <w:t xml:space="preserve"> (</w:t>
      </w:r>
      <w:r w:rsidR="006F7CC6" w:rsidRPr="006F7CC6">
        <w:t>Tang</w:t>
      </w:r>
      <w:r w:rsidR="006F7CC6">
        <w:t xml:space="preserve"> et al., 2021)</w:t>
      </w:r>
      <w:r w:rsidR="005E6B11" w:rsidRPr="005E6B11">
        <w:t>.</w:t>
      </w:r>
    </w:p>
    <w:p w14:paraId="56205C8F" w14:textId="1C193E69" w:rsidR="00D65627" w:rsidRPr="00E46855" w:rsidRDefault="009224F8" w:rsidP="00C3243D">
      <w:pPr>
        <w:pStyle w:val="CETBodytext"/>
        <w:rPr>
          <w:i/>
          <w:iCs/>
        </w:rPr>
      </w:pPr>
      <w:r>
        <w:rPr>
          <w:noProof/>
        </w:rPr>
        <w:drawing>
          <wp:inline distT="0" distB="0" distL="0" distR="0" wp14:anchorId="4944FC5E" wp14:editId="319E148D">
            <wp:extent cx="5762625" cy="1704975"/>
            <wp:effectExtent l="0" t="0" r="0" b="0"/>
            <wp:docPr id="7" name="Chart 7">
              <a:extLst xmlns:a="http://schemas.openxmlformats.org/drawingml/2006/main">
                <a:ext uri="{FF2B5EF4-FFF2-40B4-BE49-F238E27FC236}">
                  <a16:creationId xmlns:a16="http://schemas.microsoft.com/office/drawing/2014/main" id="{72362BCD-3CB4-4A96-BE54-B892066A9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46855" w:rsidRPr="00E46855">
        <w:rPr>
          <w:i/>
          <w:iCs/>
        </w:rPr>
        <w:t>F</w:t>
      </w:r>
      <w:r w:rsidR="00D65627" w:rsidRPr="00E46855">
        <w:rPr>
          <w:i/>
          <w:iCs/>
        </w:rPr>
        <w:t>igure 3: Contribution of each stage of the mass/energy integrated large-scale hydrocracking process to total exergy destruction.</w:t>
      </w:r>
    </w:p>
    <w:p w14:paraId="68C5444B" w14:textId="04D0AC5C" w:rsidR="00D64619" w:rsidRPr="00CC2736" w:rsidRDefault="00E55A50" w:rsidP="00D25EBB">
      <w:pPr>
        <w:pStyle w:val="CETHeadingxx"/>
      </w:pPr>
      <w:r w:rsidRPr="00CC2736">
        <w:t>3.</w:t>
      </w:r>
      <w:r w:rsidR="00E30AD3">
        <w:t>1</w:t>
      </w:r>
      <w:r w:rsidRPr="00CC2736">
        <w:t>.2 Exergy efficiency</w:t>
      </w:r>
      <w:r w:rsidR="00EC6FAF">
        <w:t xml:space="preserve"> of the mass/energy integrated process</w:t>
      </w:r>
    </w:p>
    <w:p w14:paraId="15873B18" w14:textId="5470ECC2" w:rsidR="00984902" w:rsidRDefault="00EC2A5B" w:rsidP="001C7484">
      <w:pPr>
        <w:rPr>
          <w:lang w:val="en-US"/>
        </w:rPr>
      </w:pPr>
      <w:r>
        <w:rPr>
          <w:noProof/>
        </w:rPr>
        <w:drawing>
          <wp:anchor distT="0" distB="0" distL="114300" distR="114300" simplePos="0" relativeHeight="251660288" behindDoc="0" locked="0" layoutInCell="1" allowOverlap="1" wp14:anchorId="7537AC82" wp14:editId="0E8E33AD">
            <wp:simplePos x="0" y="0"/>
            <wp:positionH relativeFrom="margin">
              <wp:posOffset>139065</wp:posOffset>
            </wp:positionH>
            <wp:positionV relativeFrom="paragraph">
              <wp:posOffset>8255</wp:posOffset>
            </wp:positionV>
            <wp:extent cx="5286375" cy="1181100"/>
            <wp:effectExtent l="0" t="0" r="0" b="0"/>
            <wp:wrapNone/>
            <wp:docPr id="1" name="Chart 1">
              <a:extLst xmlns:a="http://schemas.openxmlformats.org/drawingml/2006/main">
                <a:ext uri="{FF2B5EF4-FFF2-40B4-BE49-F238E27FC236}">
                  <a16:creationId xmlns:a16="http://schemas.microsoft.com/office/drawing/2014/main" id="{484D1870-534C-4016-B544-239A9857E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1B2DB7E" w14:textId="30561E15" w:rsidR="00EC2A5B" w:rsidRDefault="00EC2A5B" w:rsidP="001C7484">
      <w:pPr>
        <w:rPr>
          <w:lang w:val="en-US"/>
        </w:rPr>
      </w:pPr>
    </w:p>
    <w:p w14:paraId="0DF26418" w14:textId="4D971B1C" w:rsidR="00EC2A5B" w:rsidRDefault="00EC2A5B" w:rsidP="001C7484">
      <w:pPr>
        <w:rPr>
          <w:lang w:val="en-US"/>
        </w:rPr>
      </w:pPr>
    </w:p>
    <w:p w14:paraId="608317C8" w14:textId="77777777" w:rsidR="00EC2A5B" w:rsidRPr="00325EC4" w:rsidRDefault="00EC2A5B" w:rsidP="001C7484">
      <w:pPr>
        <w:rPr>
          <w:lang w:val="en-US"/>
        </w:rPr>
      </w:pPr>
    </w:p>
    <w:p w14:paraId="455950BB" w14:textId="1E80B0B9" w:rsidR="00325EC4" w:rsidRDefault="00325EC4" w:rsidP="00325EC4">
      <w:pPr>
        <w:jc w:val="center"/>
        <w:rPr>
          <w:b/>
          <w:bCs/>
        </w:rPr>
      </w:pPr>
    </w:p>
    <w:p w14:paraId="7075F8B8" w14:textId="022347F5" w:rsidR="00D6250F" w:rsidRDefault="00D6250F" w:rsidP="00984902">
      <w:pPr>
        <w:rPr>
          <w:b/>
          <w:bCs/>
        </w:rPr>
      </w:pPr>
    </w:p>
    <w:p w14:paraId="1E8C39FA" w14:textId="0498F99A" w:rsidR="00EC2A5B" w:rsidRDefault="00EC2A5B" w:rsidP="00984902">
      <w:pPr>
        <w:rPr>
          <w:b/>
          <w:bCs/>
        </w:rPr>
      </w:pPr>
    </w:p>
    <w:p w14:paraId="25C7486D" w14:textId="77777777" w:rsidR="00A12E8B" w:rsidRDefault="00A12E8B" w:rsidP="00984902">
      <w:pPr>
        <w:rPr>
          <w:b/>
          <w:bCs/>
        </w:rPr>
      </w:pPr>
    </w:p>
    <w:p w14:paraId="599E9A15" w14:textId="4001F315" w:rsidR="00EC2A5B" w:rsidRDefault="00D6250F" w:rsidP="00EC2A5B">
      <w:pPr>
        <w:jc w:val="center"/>
        <w:rPr>
          <w:b/>
          <w:bCs/>
        </w:rPr>
      </w:pPr>
      <w:r>
        <w:rPr>
          <w:b/>
          <w:bCs/>
        </w:rPr>
        <w:t>(a)</w:t>
      </w:r>
    </w:p>
    <w:p w14:paraId="697BD82B" w14:textId="25D73264" w:rsidR="00EC2A5B" w:rsidRDefault="00EC2A5B" w:rsidP="00325EC4">
      <w:pPr>
        <w:rPr>
          <w:b/>
          <w:bCs/>
        </w:rPr>
      </w:pPr>
      <w:r>
        <w:rPr>
          <w:noProof/>
        </w:rPr>
        <w:drawing>
          <wp:inline distT="0" distB="0" distL="0" distR="0" wp14:anchorId="3CD993C6" wp14:editId="0206E13C">
            <wp:extent cx="5372100" cy="1047750"/>
            <wp:effectExtent l="0" t="0" r="0" b="0"/>
            <wp:docPr id="8" name="Chart 8">
              <a:extLst xmlns:a="http://schemas.openxmlformats.org/drawingml/2006/main">
                <a:ext uri="{FF2B5EF4-FFF2-40B4-BE49-F238E27FC236}">
                  <a16:creationId xmlns:a16="http://schemas.microsoft.com/office/drawing/2014/main" id="{6194303E-512A-4F85-BB58-9B7FE81C5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6534FF" w14:textId="462BD693" w:rsidR="00984902" w:rsidRDefault="00D6250F" w:rsidP="00D6250F">
      <w:pPr>
        <w:jc w:val="center"/>
        <w:rPr>
          <w:b/>
          <w:bCs/>
        </w:rPr>
      </w:pPr>
      <w:r>
        <w:rPr>
          <w:b/>
          <w:bCs/>
        </w:rPr>
        <w:t>(b)</w:t>
      </w:r>
    </w:p>
    <w:p w14:paraId="6E2CE1B2" w14:textId="1EB3A7E1" w:rsidR="00325EC4" w:rsidRDefault="003F307A" w:rsidP="006A6A69">
      <w:pPr>
        <w:pStyle w:val="CETCaption"/>
      </w:pPr>
      <w:r w:rsidRPr="006734E1">
        <w:t xml:space="preserve">Figure </w:t>
      </w:r>
      <w:r w:rsidR="00EC6FAF">
        <w:t>4</w:t>
      </w:r>
      <w:r w:rsidR="006734E1">
        <w:t>:</w:t>
      </w:r>
      <w:r w:rsidRPr="006734E1">
        <w:t xml:space="preserve"> </w:t>
      </w:r>
      <w:r w:rsidR="006734E1" w:rsidRPr="006734E1">
        <w:t xml:space="preserve">Exergetic evaluation of the </w:t>
      </w:r>
      <w:r w:rsidR="00D65627">
        <w:t xml:space="preserve">mass/energy integrated </w:t>
      </w:r>
      <w:r w:rsidR="006734E1" w:rsidRPr="006734E1">
        <w:t>gas oil hydrocracking process</w:t>
      </w:r>
      <w:r w:rsidR="006A6A69">
        <w:t xml:space="preserve"> by stage</w:t>
      </w:r>
      <w:r w:rsidR="006734E1" w:rsidRPr="006734E1">
        <w:t>.</w:t>
      </w:r>
    </w:p>
    <w:p w14:paraId="10CE5985" w14:textId="2BB4A00E" w:rsidR="00CF6409" w:rsidRPr="00CF6409" w:rsidRDefault="00CF6409" w:rsidP="00CF6409">
      <w:pPr>
        <w:pStyle w:val="CETBodytext"/>
      </w:pPr>
      <w:r w:rsidRPr="00325EC4">
        <w:t xml:space="preserve">The exergy efficiency, calculated according to equation (11), indicates the performance of the system in terms of utilization of the available energy. The plant as a whole presented an efficiency of 98.08%. However, the </w:t>
      </w:r>
      <w:r w:rsidR="005E62DE">
        <w:t>W</w:t>
      </w:r>
      <w:r w:rsidRPr="00325EC4">
        <w:t xml:space="preserve">astewater </w:t>
      </w:r>
      <w:r w:rsidR="005E62DE">
        <w:t>C</w:t>
      </w:r>
      <w:r w:rsidRPr="00325EC4">
        <w:t xml:space="preserve">onditioning section had the lowest efficiency (15.58%), due to the significant exergy associated with the waste water stream and the low thermodynamic conditions of the product streams. The rest of the sections showed a more efficient behavior, with values above 90%, which is attributed to the high exergy content </w:t>
      </w:r>
      <w:r w:rsidRPr="00325EC4">
        <w:lastRenderedPageBreak/>
        <w:t>of the output streams, rich in value-added product</w:t>
      </w:r>
      <w:r>
        <w:t>s.</w:t>
      </w:r>
      <w:r w:rsidRPr="001C7484">
        <w:t xml:space="preserve"> The implementation of strategies for recovery and reuse of waste streams in critical stages of the process, such as </w:t>
      </w:r>
      <w:r w:rsidR="005E62DE">
        <w:t>H</w:t>
      </w:r>
      <w:r w:rsidRPr="001C7484">
        <w:t xml:space="preserve">ydrogen </w:t>
      </w:r>
      <w:r w:rsidR="005E62DE">
        <w:t>P</w:t>
      </w:r>
      <w:r w:rsidRPr="001C7484">
        <w:t>urification, significantly increases the overall energy efficiency of the plant. The regeneration and reincorporation of rich amines, characterized by a high energy content, together with the recovery of valuable components in the adsorption residues, promotes the optimization of the system's energy balance. Furthermore, the energetic valorization of waste gases through their integration into the plant's thermal system contributes to minimize energy losses and to reduce steam consumption</w:t>
      </w:r>
      <w:r>
        <w:t>.</w:t>
      </w:r>
      <w:r w:rsidRPr="001C7484">
        <w:t xml:space="preserve"> However, a detailed analysis of the chemical composition of these gases is essential to ensure compatibility with the heat exchanger materials and to avoid corrosion problems. A detailed study of the energy requirements of the process and of the possible waste treatment alternatives will allow the selection of the most suitable option from a technical and economic point of view.</w:t>
      </w:r>
    </w:p>
    <w:p w14:paraId="23FACF50" w14:textId="5581BC1C" w:rsidR="00EB67C3" w:rsidRPr="00EB67C3" w:rsidRDefault="00600535" w:rsidP="00EB67C3">
      <w:pPr>
        <w:pStyle w:val="CETHeading1"/>
        <w:rPr>
          <w:lang w:val="en-GB"/>
        </w:rPr>
      </w:pPr>
      <w:r w:rsidRPr="00B57B36">
        <w:rPr>
          <w:lang w:val="en-GB"/>
        </w:rPr>
        <w:t>Conclusions</w:t>
      </w:r>
    </w:p>
    <w:p w14:paraId="21857CF2" w14:textId="5C4956D4" w:rsidR="006E24DD" w:rsidRPr="001C7484" w:rsidRDefault="001C7484" w:rsidP="00600535">
      <w:pPr>
        <w:pStyle w:val="CETBodytext"/>
      </w:pPr>
      <w:r w:rsidRPr="001C7484">
        <w:t xml:space="preserve">This study performs a detailed evaluation of the diesel hydrocracking process, focusing on optimizing water consumption and energy efficiency. The exergy analysis also identified the main sources of irreversibilities in the process, highlighting the </w:t>
      </w:r>
      <w:r w:rsidR="005E62DE">
        <w:t>H</w:t>
      </w:r>
      <w:r w:rsidRPr="001C7484">
        <w:t xml:space="preserve">ydrogen </w:t>
      </w:r>
      <w:r w:rsidR="005E62DE">
        <w:t>P</w:t>
      </w:r>
      <w:r w:rsidRPr="001C7484">
        <w:t xml:space="preserve">urification and </w:t>
      </w:r>
      <w:r w:rsidR="005E62DE">
        <w:t>R</w:t>
      </w:r>
      <w:r w:rsidRPr="001C7484">
        <w:t xml:space="preserve">eaction stages as the most relevant in terms of exergy destruction, due to the separation processes and associated exothermic reactions. The </w:t>
      </w:r>
      <w:r w:rsidR="005E62DE">
        <w:t>W</w:t>
      </w:r>
      <w:r w:rsidRPr="001C7484">
        <w:t xml:space="preserve">astewater </w:t>
      </w:r>
      <w:r w:rsidR="005E62DE">
        <w:t>T</w:t>
      </w:r>
      <w:r w:rsidRPr="001C7484">
        <w:t>reatment stage showed the lowest efficiency (15.58%), indicating a considerable loss of exergy in the waste stream. The results reflect a high overall performance of the process, with an exergy efficiency of 98.08%; however, opportunities for improvement were identified through the valorization of waste with higher exergy potential (avoidable losses) and the optimization of equipment operating conditions (unavoidable losses).</w:t>
      </w:r>
    </w:p>
    <w:p w14:paraId="39037E63" w14:textId="77777777" w:rsidR="00325EC4" w:rsidRDefault="00600535" w:rsidP="00325EC4">
      <w:pPr>
        <w:pStyle w:val="CETAcknowledgementstitle"/>
      </w:pPr>
      <w:r w:rsidRPr="00B57B36">
        <w:t>Acknowledgments</w:t>
      </w:r>
    </w:p>
    <w:p w14:paraId="3D79CAE1" w14:textId="572305C9" w:rsidR="001C7484" w:rsidRPr="00325EC4" w:rsidRDefault="001C7484" w:rsidP="00D65627">
      <w:pPr>
        <w:pStyle w:val="CETBodytext"/>
      </w:pPr>
      <w:r w:rsidRPr="001C7484">
        <w:t xml:space="preserve">The authors would like to acknowledge the support of the Universidad de Cartagena, </w:t>
      </w:r>
      <w:r w:rsidR="00EC6FAF">
        <w:t>via project with</w:t>
      </w:r>
      <w:r w:rsidR="00984902">
        <w:t xml:space="preserve"> </w:t>
      </w:r>
      <w:r w:rsidRPr="001C7484">
        <w:t>Resolution 01880 of 2022 and Commitment Act No. 027 of 2022</w:t>
      </w:r>
      <w:r>
        <w:t>.</w:t>
      </w:r>
    </w:p>
    <w:p w14:paraId="3ADA1BDE" w14:textId="39550C27" w:rsidR="00712776" w:rsidRPr="006B4888" w:rsidRDefault="00600535" w:rsidP="00325EC4">
      <w:pPr>
        <w:pStyle w:val="CETReference"/>
      </w:pPr>
      <w:r w:rsidRPr="00B57B36">
        <w:t>References</w:t>
      </w:r>
    </w:p>
    <w:sdt>
      <w:sdtPr>
        <w:tag w:val="MENDELEY_BIBLIOGRAPHY"/>
        <w:id w:val="-2143422791"/>
        <w:placeholder>
          <w:docPart w:val="DefaultPlaceholder_-1854013440"/>
        </w:placeholder>
      </w:sdtPr>
      <w:sdtEndPr/>
      <w:sdtContent>
        <w:p w14:paraId="58AFC159" w14:textId="3833D16D" w:rsidR="003B71E6" w:rsidRDefault="003B71E6" w:rsidP="00BB60B0">
          <w:pPr>
            <w:pStyle w:val="CETReferencetext"/>
            <w:divId w:val="161701081"/>
          </w:pPr>
          <w:r w:rsidRPr="003B71E6">
            <w:t>Adil, M., 2022</w:t>
          </w:r>
          <w:r>
            <w:t>,</w:t>
          </w:r>
          <w:r w:rsidRPr="003B71E6">
            <w:t xml:space="preserve"> Energy and exergy analysis of heat exchanger network for hydrocracking unit</w:t>
          </w:r>
          <w:r>
            <w:t>,</w:t>
          </w:r>
          <w:r w:rsidRPr="003B71E6">
            <w:t xml:space="preserve"> Master's thesis</w:t>
          </w:r>
          <w:r>
            <w:t>,</w:t>
          </w:r>
          <w:r w:rsidRPr="003B71E6">
            <w:t xml:space="preserve"> National University of Sciences and Technology (NUST), Pakistan</w:t>
          </w:r>
          <w:r>
            <w:t>,</w:t>
          </w:r>
          <w:r w:rsidRPr="003B71E6">
            <w:t xml:space="preserve"> Available at: http://10.250.8.41:8080/xmlui/handle/123456789/34862 [Accessed </w:t>
          </w:r>
          <w:r>
            <w:t>24</w:t>
          </w:r>
          <w:r w:rsidRPr="003B71E6">
            <w:t xml:space="preserve"> </w:t>
          </w:r>
          <w:r>
            <w:t>February</w:t>
          </w:r>
          <w:r w:rsidRPr="003B71E6">
            <w:t xml:space="preserve"> 2025].</w:t>
          </w:r>
        </w:p>
        <w:p w14:paraId="1F430AED" w14:textId="16265C4D" w:rsidR="00BB60B0" w:rsidRDefault="00BB60B0" w:rsidP="00BB60B0">
          <w:pPr>
            <w:pStyle w:val="CETReferencetext"/>
            <w:divId w:val="161701081"/>
          </w:pPr>
          <w:r>
            <w:t>Atienza A.H.S., De Luna L.D.M., San Juan G.R.R., Solis R.L., 2024, Energy and Exergy Assessment of a Modular Offshore Seaweed Solar Dryer, Chemical Engineering Transactions, 113, 421-426</w:t>
          </w:r>
          <w:r w:rsidR="00784963">
            <w:t>.</w:t>
          </w:r>
        </w:p>
        <w:p w14:paraId="0D98E70E" w14:textId="711DCDC0" w:rsidR="008D7689" w:rsidRDefault="008D7689" w:rsidP="006A6A69">
          <w:pPr>
            <w:pStyle w:val="CETReferencetext"/>
            <w:divId w:val="161701081"/>
            <w:rPr>
              <w:sz w:val="24"/>
              <w:szCs w:val="24"/>
            </w:rPr>
          </w:pPr>
          <w:r>
            <w:t xml:space="preserve">Bandyopadhyay, R., </w:t>
          </w:r>
          <w:proofErr w:type="spellStart"/>
          <w:r>
            <w:t>Alkilde</w:t>
          </w:r>
          <w:proofErr w:type="spellEnd"/>
          <w:r>
            <w:t xml:space="preserve">, O. F., </w:t>
          </w:r>
          <w:proofErr w:type="spellStart"/>
          <w:r>
            <w:t>Upadhyayula</w:t>
          </w:r>
          <w:proofErr w:type="spellEnd"/>
          <w:r>
            <w:t>, S.</w:t>
          </w:r>
          <w:r w:rsidR="00CA629F">
            <w:t xml:space="preserve">, </w:t>
          </w:r>
          <w:r>
            <w:t>2019</w:t>
          </w:r>
          <w:r w:rsidR="00CA629F">
            <w:t>,</w:t>
          </w:r>
          <w:r>
            <w:t xml:space="preserve"> Applying pinch and exergy analysis for energy efficient design of diesel hydrotreating unit</w:t>
          </w:r>
          <w:r w:rsidR="00CA629F">
            <w:t>,</w:t>
          </w:r>
          <w:r>
            <w:t xml:space="preserve"> </w:t>
          </w:r>
          <w:r w:rsidRPr="00984902">
            <w:t>Journal of Cleaner Production, 232</w:t>
          </w:r>
          <w:r w:rsidR="00784963">
            <w:t>, 337-349.</w:t>
          </w:r>
        </w:p>
        <w:p w14:paraId="3DE4CA72" w14:textId="3E2C78BD" w:rsidR="008D7689" w:rsidRDefault="008D7689" w:rsidP="006A6A69">
          <w:pPr>
            <w:pStyle w:val="CETReferencetext"/>
            <w:divId w:val="199321980"/>
          </w:pPr>
          <w:proofErr w:type="spellStart"/>
          <w:r>
            <w:t>Bhutani</w:t>
          </w:r>
          <w:proofErr w:type="spellEnd"/>
          <w:r>
            <w:t>, N., Ray, A. K., Rangaiah, G. P.</w:t>
          </w:r>
          <w:r w:rsidR="00CA629F">
            <w:t>,</w:t>
          </w:r>
          <w:r>
            <w:t>2006</w:t>
          </w:r>
          <w:r w:rsidR="00CA629F">
            <w:t>,</w:t>
          </w:r>
          <w:r>
            <w:t xml:space="preserve"> </w:t>
          </w:r>
          <w:proofErr w:type="spellStart"/>
          <w:r>
            <w:t>Modeling</w:t>
          </w:r>
          <w:proofErr w:type="spellEnd"/>
          <w:r>
            <w:t>, simulation, and multi-objective optimization of an industrial hydrocracking unit</w:t>
          </w:r>
          <w:r w:rsidR="00672442">
            <w:t>,</w:t>
          </w:r>
          <w:r>
            <w:t xml:space="preserve"> </w:t>
          </w:r>
          <w:r w:rsidRPr="00984902">
            <w:t>Industrial and Engineering Chemistry Research, 45</w:t>
          </w:r>
          <w:r w:rsidR="00784963">
            <w:t xml:space="preserve">, 1354-1372. </w:t>
          </w:r>
        </w:p>
        <w:p w14:paraId="652D79E5" w14:textId="32F50FBC" w:rsidR="00325EC4" w:rsidRDefault="00325EC4" w:rsidP="006A6A69">
          <w:pPr>
            <w:pStyle w:val="CETReferencetext"/>
            <w:divId w:val="199321980"/>
          </w:pPr>
          <w:proofErr w:type="spellStart"/>
          <w:r w:rsidRPr="00325EC4">
            <w:t>Dincer</w:t>
          </w:r>
          <w:proofErr w:type="spellEnd"/>
          <w:r w:rsidRPr="00325EC4">
            <w:t xml:space="preserve"> I., Rosen M.A., 2012, Exergy: Energy, Environment and Sustainable Development, </w:t>
          </w:r>
          <w:proofErr w:type="spellStart"/>
          <w:r w:rsidRPr="00325EC4">
            <w:t>Newnes</w:t>
          </w:r>
          <w:proofErr w:type="spellEnd"/>
          <w:r w:rsidRPr="00325EC4">
            <w:t>.</w:t>
          </w:r>
        </w:p>
        <w:p w14:paraId="7E6966B3" w14:textId="1345109C" w:rsidR="00325EC4" w:rsidRDefault="00325EC4" w:rsidP="006A6A69">
          <w:pPr>
            <w:pStyle w:val="CETReferencetext"/>
            <w:divId w:val="199321980"/>
          </w:pPr>
          <w:r w:rsidRPr="00325EC4">
            <w:t>El-</w:t>
          </w:r>
          <w:proofErr w:type="spellStart"/>
          <w:r w:rsidRPr="00325EC4">
            <w:t>Halwagi</w:t>
          </w:r>
          <w:proofErr w:type="spellEnd"/>
          <w:r w:rsidRPr="00325EC4">
            <w:t xml:space="preserve">, M.M., Gabriel, F., </w:t>
          </w:r>
          <w:proofErr w:type="spellStart"/>
          <w:r w:rsidRPr="00325EC4">
            <w:t>Harell</w:t>
          </w:r>
          <w:proofErr w:type="spellEnd"/>
          <w:r w:rsidRPr="00325EC4">
            <w:t>, D., 2003, Rigorous graphical targeting for resource conservation via material recycle/reuse networks</w:t>
          </w:r>
          <w:r w:rsidR="00CA629F">
            <w:t>,</w:t>
          </w:r>
          <w:r w:rsidRPr="00325EC4">
            <w:t xml:space="preserve"> </w:t>
          </w:r>
          <w:r w:rsidR="00EC6FAF" w:rsidRPr="00984902">
            <w:t>Industrial and Engineering Chemistry Research</w:t>
          </w:r>
          <w:r w:rsidR="00784963">
            <w:t>,</w:t>
          </w:r>
          <w:r w:rsidRPr="00325EC4">
            <w:t xml:space="preserve"> 42, 4319–4328</w:t>
          </w:r>
          <w:r>
            <w:t>.</w:t>
          </w:r>
        </w:p>
        <w:p w14:paraId="77FA5751" w14:textId="668F21DE" w:rsidR="00A12E8B" w:rsidRDefault="00A12E8B" w:rsidP="006A6A69">
          <w:pPr>
            <w:pStyle w:val="CETReferencetext"/>
            <w:divId w:val="199321980"/>
          </w:pPr>
          <w:r w:rsidRPr="00A12E8B">
            <w:rPr>
              <w:lang w:val="en-US"/>
            </w:rPr>
            <w:t>García-</w:t>
          </w:r>
          <w:proofErr w:type="spellStart"/>
          <w:r w:rsidRPr="00A12E8B">
            <w:rPr>
              <w:lang w:val="en-US"/>
            </w:rPr>
            <w:t>Maza</w:t>
          </w:r>
          <w:proofErr w:type="spellEnd"/>
          <w:r w:rsidRPr="00A12E8B">
            <w:rPr>
              <w:lang w:val="en-US"/>
            </w:rPr>
            <w:t xml:space="preserve">, S., González-Delgado, Á. D., 2024, </w:t>
          </w:r>
          <w:r w:rsidRPr="00A12E8B">
            <w:t>Robust simulation and technical evaluation of large-scale gas oil hydrocracking process via extended water-energy-product (E-WEP) analysis</w:t>
          </w:r>
          <w:r>
            <w:t>,</w:t>
          </w:r>
          <w:r w:rsidRPr="00A12E8B">
            <w:t xml:space="preserve"> Digital Chemical Engineering, 13, 100193.</w:t>
          </w:r>
        </w:p>
        <w:p w14:paraId="5B9ADB61" w14:textId="598FAD5B" w:rsidR="00672442" w:rsidRDefault="00672442" w:rsidP="006A6A69">
          <w:pPr>
            <w:pStyle w:val="CETReferencetext"/>
            <w:divId w:val="199321980"/>
          </w:pPr>
          <w:proofErr w:type="spellStart"/>
          <w:r w:rsidRPr="00672442">
            <w:t>Goodarzvand-Chegini</w:t>
          </w:r>
          <w:proofErr w:type="spellEnd"/>
          <w:r w:rsidRPr="00672442">
            <w:t>, F.,</w:t>
          </w:r>
          <w:r>
            <w:t xml:space="preserve"> </w:t>
          </w:r>
          <w:proofErr w:type="spellStart"/>
          <w:r w:rsidRPr="00672442">
            <w:t>GhasemiKafrudi</w:t>
          </w:r>
          <w:proofErr w:type="spellEnd"/>
          <w:r w:rsidRPr="00672442">
            <w:t>, E</w:t>
          </w:r>
          <w:r>
            <w:t>.,</w:t>
          </w:r>
          <w:r w:rsidRPr="00672442">
            <w:t xml:space="preserve"> 2017</w:t>
          </w:r>
          <w:r>
            <w:t>,</w:t>
          </w:r>
          <w:r w:rsidRPr="00672442">
            <w:t xml:space="preserve"> Application of exergy analysis to improve the heat integration efficiency in a hydrocracking process</w:t>
          </w:r>
          <w:r>
            <w:t>,</w:t>
          </w:r>
          <w:r w:rsidRPr="00672442">
            <w:t xml:space="preserve"> Energy &amp; environment, 28(5-6), 564-579.</w:t>
          </w:r>
        </w:p>
        <w:p w14:paraId="3EC595C9" w14:textId="45D93863" w:rsidR="00325EC4" w:rsidRDefault="00325EC4" w:rsidP="006A6A69">
          <w:pPr>
            <w:pStyle w:val="CETReferencetext"/>
            <w:divId w:val="199321980"/>
          </w:pPr>
          <w:proofErr w:type="spellStart"/>
          <w:r w:rsidRPr="00325EC4">
            <w:t>Kotas</w:t>
          </w:r>
          <w:proofErr w:type="spellEnd"/>
          <w:r w:rsidRPr="00325EC4">
            <w:t xml:space="preserve"> TJ., 1995, The Exergy Method of Thermal Plant Analysis, Krieger: Malabar, Florida.</w:t>
          </w:r>
        </w:p>
        <w:p w14:paraId="1BAE3963" w14:textId="0167E7DA" w:rsidR="008D7689" w:rsidRDefault="008D7689" w:rsidP="006A6A69">
          <w:pPr>
            <w:pStyle w:val="CETReferencetext"/>
            <w:divId w:val="1576892976"/>
          </w:pPr>
          <w:proofErr w:type="spellStart"/>
          <w:r>
            <w:t>Pleyer</w:t>
          </w:r>
          <w:proofErr w:type="spellEnd"/>
          <w:r>
            <w:t xml:space="preserve">, O., </w:t>
          </w:r>
          <w:proofErr w:type="spellStart"/>
          <w:r>
            <w:t>Vrtiška</w:t>
          </w:r>
          <w:proofErr w:type="spellEnd"/>
          <w:r>
            <w:t xml:space="preserve">, D., </w:t>
          </w:r>
          <w:proofErr w:type="spellStart"/>
          <w:r>
            <w:t>Straka</w:t>
          </w:r>
          <w:proofErr w:type="spellEnd"/>
          <w:r>
            <w:t xml:space="preserve">, P., </w:t>
          </w:r>
          <w:proofErr w:type="spellStart"/>
          <w:r>
            <w:t>Šimáček</w:t>
          </w:r>
          <w:proofErr w:type="spellEnd"/>
          <w:r>
            <w:t>, P.</w:t>
          </w:r>
          <w:r w:rsidR="00CA629F">
            <w:t xml:space="preserve">, </w:t>
          </w:r>
          <w:r>
            <w:t>2024</w:t>
          </w:r>
          <w:r w:rsidR="00CA629F">
            <w:t>,</w:t>
          </w:r>
          <w:r>
            <w:t xml:space="preserve"> Co-processing of BTL Fischer-</w:t>
          </w:r>
          <w:proofErr w:type="spellStart"/>
          <w:r>
            <w:t>Tropsch</w:t>
          </w:r>
          <w:proofErr w:type="spellEnd"/>
          <w:r>
            <w:t xml:space="preserve"> wax and heavy vacuum gas oil</w:t>
          </w:r>
          <w:r w:rsidR="00CA629F">
            <w:t>,</w:t>
          </w:r>
          <w:r>
            <w:t xml:space="preserve"> </w:t>
          </w:r>
          <w:r w:rsidRPr="00984902">
            <w:t>Renewable Energy, 225</w:t>
          </w:r>
          <w:r w:rsidR="00784963">
            <w:t xml:space="preserve">, </w:t>
          </w:r>
          <w:r w:rsidR="00784963" w:rsidRPr="00784963">
            <w:t>120276</w:t>
          </w:r>
          <w:r w:rsidR="00784963">
            <w:t xml:space="preserve">. </w:t>
          </w:r>
          <w:r w:rsidRPr="00984902">
            <w:t xml:space="preserve"> </w:t>
          </w:r>
        </w:p>
        <w:p w14:paraId="365A8E84" w14:textId="127707A3" w:rsidR="00424BAD" w:rsidRPr="00984902" w:rsidRDefault="00424BAD" w:rsidP="006A6A69">
          <w:pPr>
            <w:pStyle w:val="CETReferencetext"/>
            <w:divId w:val="1576892976"/>
          </w:pPr>
          <w:proofErr w:type="spellStart"/>
          <w:r w:rsidRPr="00424BAD">
            <w:t>Rahma</w:t>
          </w:r>
          <w:proofErr w:type="spellEnd"/>
          <w:r w:rsidRPr="00424BAD">
            <w:t xml:space="preserve"> F.N., Tran K.-Q., 2024, Energy and Exergy Analysis for Hydrothermal Gasification Integrated with Anaerobic Digestion, Chemical Engineering Transactions, 109, 169-174.</w:t>
          </w:r>
        </w:p>
        <w:p w14:paraId="05DC4483" w14:textId="0F552E36" w:rsidR="008D7689" w:rsidRPr="00CA629F" w:rsidRDefault="008D7689" w:rsidP="006A6A69">
          <w:pPr>
            <w:pStyle w:val="CETReferencetext"/>
            <w:divId w:val="653799523"/>
            <w:rPr>
              <w:lang w:val="en-US"/>
            </w:rPr>
          </w:pPr>
          <w:r>
            <w:t xml:space="preserve">Samad, A., </w:t>
          </w:r>
          <w:proofErr w:type="spellStart"/>
          <w:r>
            <w:t>Saghir</w:t>
          </w:r>
          <w:proofErr w:type="spellEnd"/>
          <w:r>
            <w:t>, H., Ahmad, I., Ahmad, F.,</w:t>
          </w:r>
          <w:r w:rsidR="00951A3A">
            <w:t xml:space="preserve"> </w:t>
          </w:r>
          <w:proofErr w:type="spellStart"/>
          <w:r>
            <w:t>Caliskan</w:t>
          </w:r>
          <w:proofErr w:type="spellEnd"/>
          <w:r>
            <w:t>, H.</w:t>
          </w:r>
          <w:r w:rsidR="00CA629F">
            <w:t xml:space="preserve">, </w:t>
          </w:r>
          <w:r>
            <w:t>2023</w:t>
          </w:r>
          <w:r w:rsidR="00CA629F">
            <w:t>,</w:t>
          </w:r>
          <w:r>
            <w:t xml:space="preserve"> Thermodynamic analysis of cumene production plant for identification of energy recovery potentials</w:t>
          </w:r>
          <w:r w:rsidR="00CA629F">
            <w:t>,</w:t>
          </w:r>
          <w:r>
            <w:t xml:space="preserve"> </w:t>
          </w:r>
          <w:r w:rsidRPr="00CA629F">
            <w:rPr>
              <w:lang w:val="en-US"/>
            </w:rPr>
            <w:t>Energy, 270</w:t>
          </w:r>
          <w:r w:rsidR="00784963">
            <w:rPr>
              <w:lang w:val="en-US"/>
            </w:rPr>
            <w:t xml:space="preserve">, </w:t>
          </w:r>
          <w:r w:rsidR="00784963" w:rsidRPr="00784963">
            <w:rPr>
              <w:lang w:val="en-US"/>
            </w:rPr>
            <w:t>126840</w:t>
          </w:r>
          <w:r w:rsidR="00784963">
            <w:rPr>
              <w:lang w:val="en-US"/>
            </w:rPr>
            <w:t xml:space="preserve">. </w:t>
          </w:r>
          <w:r w:rsidRPr="00CA629F">
            <w:rPr>
              <w:lang w:val="en-US"/>
            </w:rPr>
            <w:t xml:space="preserve"> </w:t>
          </w:r>
        </w:p>
        <w:p w14:paraId="28430BE3" w14:textId="66AA43CA" w:rsidR="006F7CC6" w:rsidRDefault="006F7CC6" w:rsidP="006F7CC6">
          <w:pPr>
            <w:pStyle w:val="CETReferencetext"/>
            <w:divId w:val="1650986479"/>
            <w:rPr>
              <w:lang w:val="en-US"/>
            </w:rPr>
          </w:pPr>
          <w:r w:rsidRPr="006F7CC6">
            <w:rPr>
              <w:lang w:val="en-US"/>
            </w:rPr>
            <w:t xml:space="preserve">Tang Y., Chong C.T., Li J., Ng J.-H., </w:t>
          </w:r>
          <w:proofErr w:type="spellStart"/>
          <w:r w:rsidRPr="006F7CC6">
            <w:rPr>
              <w:lang w:val="en-US"/>
            </w:rPr>
            <w:t>Herraiz</w:t>
          </w:r>
          <w:proofErr w:type="spellEnd"/>
          <w:r w:rsidRPr="006F7CC6">
            <w:rPr>
              <w:lang w:val="en-US"/>
            </w:rPr>
            <w:t xml:space="preserve"> L., 2021, Exergy Analysis of a Natural Gas-Fired Gas Turbine Combined</w:t>
          </w:r>
          <w:r>
            <w:rPr>
              <w:lang w:val="en-US"/>
            </w:rPr>
            <w:t xml:space="preserve"> </w:t>
          </w:r>
          <w:r w:rsidRPr="006F7CC6">
            <w:rPr>
              <w:lang w:val="en-US"/>
            </w:rPr>
            <w:t>Cycle Power Plant with Post-Combustion Carbon Capture, Chemical Engineering Transactions, 83, 529-534</w:t>
          </w:r>
        </w:p>
        <w:p w14:paraId="5C98F3C8" w14:textId="77777777" w:rsidR="008D6275" w:rsidRDefault="008D7689" w:rsidP="008D6275">
          <w:pPr>
            <w:pStyle w:val="CETReferencetext"/>
            <w:divId w:val="1650986479"/>
          </w:pPr>
          <w:proofErr w:type="spellStart"/>
          <w:r w:rsidRPr="00CA629F">
            <w:rPr>
              <w:lang w:val="en-US"/>
            </w:rPr>
            <w:t>Treese</w:t>
          </w:r>
          <w:proofErr w:type="spellEnd"/>
          <w:r w:rsidRPr="00CA629F">
            <w:rPr>
              <w:lang w:val="en-US"/>
            </w:rPr>
            <w:t xml:space="preserve">, S. A., </w:t>
          </w:r>
          <w:proofErr w:type="spellStart"/>
          <w:r w:rsidRPr="00CA629F">
            <w:rPr>
              <w:lang w:val="en-US"/>
            </w:rPr>
            <w:t>Pujadó</w:t>
          </w:r>
          <w:proofErr w:type="spellEnd"/>
          <w:r w:rsidRPr="00CA629F">
            <w:rPr>
              <w:lang w:val="en-US"/>
            </w:rPr>
            <w:t>, P. R., Jones, D. S. J.</w:t>
          </w:r>
          <w:r w:rsidR="00CA629F" w:rsidRPr="00CA629F">
            <w:rPr>
              <w:lang w:val="en-US"/>
            </w:rPr>
            <w:t xml:space="preserve">, </w:t>
          </w:r>
          <w:r w:rsidRPr="00CA629F">
            <w:rPr>
              <w:lang w:val="en-US"/>
            </w:rPr>
            <w:t>2015</w:t>
          </w:r>
          <w:r w:rsidR="00CA629F" w:rsidRPr="00CA629F">
            <w:rPr>
              <w:lang w:val="en-US"/>
            </w:rPr>
            <w:t>,</w:t>
          </w:r>
          <w:r w:rsidRPr="00CA629F">
            <w:rPr>
              <w:lang w:val="en-US"/>
            </w:rPr>
            <w:t xml:space="preserve"> </w:t>
          </w:r>
          <w:r>
            <w:t>Handbook of petroleum processing.</w:t>
          </w:r>
          <w:r w:rsidRPr="00984902">
            <w:t xml:space="preserve"> In Handbook of Petroleum Processing (Vol. 1).</w:t>
          </w:r>
          <w:r>
            <w:t xml:space="preserve"> </w:t>
          </w:r>
        </w:p>
        <w:p w14:paraId="6E3D1C3F" w14:textId="0653EC32" w:rsidR="008D7689" w:rsidRDefault="00672442" w:rsidP="008D6275">
          <w:pPr>
            <w:pStyle w:val="CETReferencetext"/>
            <w:divId w:val="1650986479"/>
          </w:pPr>
          <w:proofErr w:type="spellStart"/>
          <w:r w:rsidRPr="00672442">
            <w:rPr>
              <w:lang w:val="en-US"/>
            </w:rPr>
            <w:t>Yaylaci</w:t>
          </w:r>
          <w:proofErr w:type="spellEnd"/>
          <w:r w:rsidRPr="00672442">
            <w:rPr>
              <w:lang w:val="en-US"/>
            </w:rPr>
            <w:t xml:space="preserve">, C., </w:t>
          </w:r>
          <w:proofErr w:type="spellStart"/>
          <w:r w:rsidRPr="00672442">
            <w:rPr>
              <w:lang w:val="en-US"/>
            </w:rPr>
            <w:t>Bayramoglu</w:t>
          </w:r>
          <w:proofErr w:type="spellEnd"/>
          <w:r w:rsidRPr="00672442">
            <w:rPr>
              <w:lang w:val="en-US"/>
            </w:rPr>
            <w:t xml:space="preserve">, M. R., 2022, </w:t>
          </w:r>
          <w:r w:rsidRPr="00672442">
            <w:t>Exergy analysis of a diesel hydrotreater and mild hydrocracking unit in a petroleum refinery</w:t>
          </w:r>
          <w:r>
            <w:t xml:space="preserve">, </w:t>
          </w:r>
          <w:r w:rsidRPr="00672442">
            <w:t>International Journal of Exergy, 38(1), 49-61.</w:t>
          </w:r>
        </w:p>
      </w:sdtContent>
    </w:sdt>
    <w:sectPr w:rsidR="008D7689"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99CB3" w14:textId="77777777" w:rsidR="00852760" w:rsidRDefault="00852760" w:rsidP="004F5E36">
      <w:r>
        <w:separator/>
      </w:r>
    </w:p>
  </w:endnote>
  <w:endnote w:type="continuationSeparator" w:id="0">
    <w:p w14:paraId="2D60BD65" w14:textId="77777777" w:rsidR="00852760" w:rsidRDefault="0085276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7451D" w14:textId="77777777" w:rsidR="00852760" w:rsidRDefault="00852760" w:rsidP="004F5E36">
      <w:r>
        <w:separator/>
      </w:r>
    </w:p>
  </w:footnote>
  <w:footnote w:type="continuationSeparator" w:id="0">
    <w:p w14:paraId="54728133" w14:textId="77777777" w:rsidR="00852760" w:rsidRDefault="0085276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C90BA3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ascii="Arial" w:hAnsi="Arial" w:cs="Arial" w:hint="default"/>
        <w:b/>
        <w:bCs/>
        <w:sz w:val="18"/>
        <w:szCs w:val="18"/>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664"/>
    <w:rsid w:val="000027C0"/>
    <w:rsid w:val="000037A9"/>
    <w:rsid w:val="000052FB"/>
    <w:rsid w:val="00005A19"/>
    <w:rsid w:val="000117CB"/>
    <w:rsid w:val="00011EA7"/>
    <w:rsid w:val="000136B2"/>
    <w:rsid w:val="00024E75"/>
    <w:rsid w:val="00025DDB"/>
    <w:rsid w:val="0003148D"/>
    <w:rsid w:val="00031EEC"/>
    <w:rsid w:val="000377F0"/>
    <w:rsid w:val="00043613"/>
    <w:rsid w:val="00044CF0"/>
    <w:rsid w:val="00051566"/>
    <w:rsid w:val="000562A9"/>
    <w:rsid w:val="00061CE1"/>
    <w:rsid w:val="00062A9A"/>
    <w:rsid w:val="00062F94"/>
    <w:rsid w:val="00065058"/>
    <w:rsid w:val="00067DDD"/>
    <w:rsid w:val="0007299E"/>
    <w:rsid w:val="00077F9F"/>
    <w:rsid w:val="000844DB"/>
    <w:rsid w:val="00086C39"/>
    <w:rsid w:val="00087FAE"/>
    <w:rsid w:val="00096254"/>
    <w:rsid w:val="000A03B2"/>
    <w:rsid w:val="000A6D20"/>
    <w:rsid w:val="000B693F"/>
    <w:rsid w:val="000C41BF"/>
    <w:rsid w:val="000D0268"/>
    <w:rsid w:val="000D34BE"/>
    <w:rsid w:val="000D72D5"/>
    <w:rsid w:val="000E0B3C"/>
    <w:rsid w:val="000E102F"/>
    <w:rsid w:val="000E36F1"/>
    <w:rsid w:val="000E3A73"/>
    <w:rsid w:val="000E414A"/>
    <w:rsid w:val="000E75FD"/>
    <w:rsid w:val="000F093C"/>
    <w:rsid w:val="000F6B77"/>
    <w:rsid w:val="000F787B"/>
    <w:rsid w:val="00101D62"/>
    <w:rsid w:val="001151F1"/>
    <w:rsid w:val="0012091F"/>
    <w:rsid w:val="00126BC2"/>
    <w:rsid w:val="001308B6"/>
    <w:rsid w:val="0013121F"/>
    <w:rsid w:val="00131FE6"/>
    <w:rsid w:val="0013263F"/>
    <w:rsid w:val="001331DF"/>
    <w:rsid w:val="00134DE4"/>
    <w:rsid w:val="00137C58"/>
    <w:rsid w:val="0014034D"/>
    <w:rsid w:val="00140FE3"/>
    <w:rsid w:val="00144D16"/>
    <w:rsid w:val="00150E59"/>
    <w:rsid w:val="00152DE3"/>
    <w:rsid w:val="0015311D"/>
    <w:rsid w:val="001532F1"/>
    <w:rsid w:val="00164CF9"/>
    <w:rsid w:val="0016668E"/>
    <w:rsid w:val="001667A6"/>
    <w:rsid w:val="00171242"/>
    <w:rsid w:val="0018171E"/>
    <w:rsid w:val="00184AD6"/>
    <w:rsid w:val="001929D9"/>
    <w:rsid w:val="00195F84"/>
    <w:rsid w:val="001A2251"/>
    <w:rsid w:val="001A4AF7"/>
    <w:rsid w:val="001A5F01"/>
    <w:rsid w:val="001B0349"/>
    <w:rsid w:val="001B1E93"/>
    <w:rsid w:val="001B238D"/>
    <w:rsid w:val="001B65C1"/>
    <w:rsid w:val="001C260F"/>
    <w:rsid w:val="001C5C3A"/>
    <w:rsid w:val="001C684B"/>
    <w:rsid w:val="001C7484"/>
    <w:rsid w:val="001D0CFB"/>
    <w:rsid w:val="001D21AF"/>
    <w:rsid w:val="001D3D32"/>
    <w:rsid w:val="001D53FC"/>
    <w:rsid w:val="001D5972"/>
    <w:rsid w:val="001F42A5"/>
    <w:rsid w:val="001F6322"/>
    <w:rsid w:val="001F7443"/>
    <w:rsid w:val="001F7B9D"/>
    <w:rsid w:val="00201C93"/>
    <w:rsid w:val="0020578F"/>
    <w:rsid w:val="00212737"/>
    <w:rsid w:val="002224B4"/>
    <w:rsid w:val="00222773"/>
    <w:rsid w:val="00223D40"/>
    <w:rsid w:val="00225CED"/>
    <w:rsid w:val="00232E24"/>
    <w:rsid w:val="002447EF"/>
    <w:rsid w:val="00251550"/>
    <w:rsid w:val="00255F37"/>
    <w:rsid w:val="00263B05"/>
    <w:rsid w:val="0027221A"/>
    <w:rsid w:val="00272769"/>
    <w:rsid w:val="00275B61"/>
    <w:rsid w:val="00280499"/>
    <w:rsid w:val="00280FAF"/>
    <w:rsid w:val="00282656"/>
    <w:rsid w:val="002900A0"/>
    <w:rsid w:val="00290D16"/>
    <w:rsid w:val="00290DA6"/>
    <w:rsid w:val="00296B83"/>
    <w:rsid w:val="002A4C1A"/>
    <w:rsid w:val="002A6300"/>
    <w:rsid w:val="002A7949"/>
    <w:rsid w:val="002B4015"/>
    <w:rsid w:val="002B78CE"/>
    <w:rsid w:val="002C2FB6"/>
    <w:rsid w:val="002C53AE"/>
    <w:rsid w:val="002D5C45"/>
    <w:rsid w:val="002E5FA7"/>
    <w:rsid w:val="002F3309"/>
    <w:rsid w:val="002F373B"/>
    <w:rsid w:val="002F509F"/>
    <w:rsid w:val="003008CE"/>
    <w:rsid w:val="003009B7"/>
    <w:rsid w:val="00300E56"/>
    <w:rsid w:val="0030152C"/>
    <w:rsid w:val="0030271A"/>
    <w:rsid w:val="0030306B"/>
    <w:rsid w:val="0030469C"/>
    <w:rsid w:val="00304CE8"/>
    <w:rsid w:val="00321CA6"/>
    <w:rsid w:val="00323763"/>
    <w:rsid w:val="00323C5F"/>
    <w:rsid w:val="00325EC4"/>
    <w:rsid w:val="00334C09"/>
    <w:rsid w:val="00346DF7"/>
    <w:rsid w:val="00347E70"/>
    <w:rsid w:val="00354C23"/>
    <w:rsid w:val="00362280"/>
    <w:rsid w:val="003723D4"/>
    <w:rsid w:val="00381905"/>
    <w:rsid w:val="00384CC8"/>
    <w:rsid w:val="003865C5"/>
    <w:rsid w:val="00386DA6"/>
    <w:rsid w:val="003871FD"/>
    <w:rsid w:val="003A1E30"/>
    <w:rsid w:val="003A2829"/>
    <w:rsid w:val="003A7D1C"/>
    <w:rsid w:val="003B197C"/>
    <w:rsid w:val="003B295C"/>
    <w:rsid w:val="003B304B"/>
    <w:rsid w:val="003B3146"/>
    <w:rsid w:val="003B49CD"/>
    <w:rsid w:val="003B71E6"/>
    <w:rsid w:val="003D1E02"/>
    <w:rsid w:val="003D6F13"/>
    <w:rsid w:val="003F015E"/>
    <w:rsid w:val="003F307A"/>
    <w:rsid w:val="003F7907"/>
    <w:rsid w:val="00400414"/>
    <w:rsid w:val="00402AFB"/>
    <w:rsid w:val="0040426B"/>
    <w:rsid w:val="0041309F"/>
    <w:rsid w:val="0041446B"/>
    <w:rsid w:val="00422192"/>
    <w:rsid w:val="00424BAD"/>
    <w:rsid w:val="00431055"/>
    <w:rsid w:val="0044071E"/>
    <w:rsid w:val="0044329C"/>
    <w:rsid w:val="00445A2B"/>
    <w:rsid w:val="00452320"/>
    <w:rsid w:val="00453E24"/>
    <w:rsid w:val="00457456"/>
    <w:rsid w:val="004577FE"/>
    <w:rsid w:val="00457B9C"/>
    <w:rsid w:val="0046164A"/>
    <w:rsid w:val="0046275A"/>
    <w:rsid w:val="004628D2"/>
    <w:rsid w:val="00462DCD"/>
    <w:rsid w:val="004648AD"/>
    <w:rsid w:val="0046730C"/>
    <w:rsid w:val="004674A4"/>
    <w:rsid w:val="004703A9"/>
    <w:rsid w:val="004752BD"/>
    <w:rsid w:val="004760DE"/>
    <w:rsid w:val="004763D7"/>
    <w:rsid w:val="00484ABE"/>
    <w:rsid w:val="004953F5"/>
    <w:rsid w:val="004A004E"/>
    <w:rsid w:val="004A24CF"/>
    <w:rsid w:val="004B00DB"/>
    <w:rsid w:val="004B5A04"/>
    <w:rsid w:val="004C2041"/>
    <w:rsid w:val="004C3D1D"/>
    <w:rsid w:val="004C3D84"/>
    <w:rsid w:val="004C7913"/>
    <w:rsid w:val="004D3D86"/>
    <w:rsid w:val="004E456F"/>
    <w:rsid w:val="004E4DD6"/>
    <w:rsid w:val="004E5CA0"/>
    <w:rsid w:val="004F5AD6"/>
    <w:rsid w:val="004F5E36"/>
    <w:rsid w:val="005056EB"/>
    <w:rsid w:val="0050617E"/>
    <w:rsid w:val="00507B47"/>
    <w:rsid w:val="00507BEF"/>
    <w:rsid w:val="00507CC9"/>
    <w:rsid w:val="005119A5"/>
    <w:rsid w:val="00512235"/>
    <w:rsid w:val="00516DF7"/>
    <w:rsid w:val="005171EA"/>
    <w:rsid w:val="005278B7"/>
    <w:rsid w:val="00532016"/>
    <w:rsid w:val="005346C8"/>
    <w:rsid w:val="00541C80"/>
    <w:rsid w:val="00543E7D"/>
    <w:rsid w:val="00547A68"/>
    <w:rsid w:val="00551501"/>
    <w:rsid w:val="005531C9"/>
    <w:rsid w:val="00554879"/>
    <w:rsid w:val="005643BB"/>
    <w:rsid w:val="00570C43"/>
    <w:rsid w:val="00585CD5"/>
    <w:rsid w:val="00592274"/>
    <w:rsid w:val="005A6EE9"/>
    <w:rsid w:val="005B2110"/>
    <w:rsid w:val="005B350B"/>
    <w:rsid w:val="005B553F"/>
    <w:rsid w:val="005B61E6"/>
    <w:rsid w:val="005C045B"/>
    <w:rsid w:val="005C70D4"/>
    <w:rsid w:val="005C77E1"/>
    <w:rsid w:val="005D0943"/>
    <w:rsid w:val="005D668A"/>
    <w:rsid w:val="005D6A2F"/>
    <w:rsid w:val="005E0592"/>
    <w:rsid w:val="005E1A82"/>
    <w:rsid w:val="005E62DE"/>
    <w:rsid w:val="005E6B11"/>
    <w:rsid w:val="005E794C"/>
    <w:rsid w:val="005F0A28"/>
    <w:rsid w:val="005F0E5E"/>
    <w:rsid w:val="00600535"/>
    <w:rsid w:val="0060055A"/>
    <w:rsid w:val="00605497"/>
    <w:rsid w:val="00610CD6"/>
    <w:rsid w:val="0061515F"/>
    <w:rsid w:val="00620DEE"/>
    <w:rsid w:val="00621F92"/>
    <w:rsid w:val="0062280A"/>
    <w:rsid w:val="006231E1"/>
    <w:rsid w:val="00625639"/>
    <w:rsid w:val="00626342"/>
    <w:rsid w:val="00631B33"/>
    <w:rsid w:val="0064184D"/>
    <w:rsid w:val="00642147"/>
    <w:rsid w:val="006422CC"/>
    <w:rsid w:val="00650FFA"/>
    <w:rsid w:val="00651D18"/>
    <w:rsid w:val="00651F9B"/>
    <w:rsid w:val="0065637E"/>
    <w:rsid w:val="006567C4"/>
    <w:rsid w:val="00657AE2"/>
    <w:rsid w:val="00660E3E"/>
    <w:rsid w:val="00662E74"/>
    <w:rsid w:val="0066653E"/>
    <w:rsid w:val="0066782E"/>
    <w:rsid w:val="00672442"/>
    <w:rsid w:val="006734E1"/>
    <w:rsid w:val="00680C23"/>
    <w:rsid w:val="00683E23"/>
    <w:rsid w:val="00693766"/>
    <w:rsid w:val="006947FF"/>
    <w:rsid w:val="006A3281"/>
    <w:rsid w:val="006A4221"/>
    <w:rsid w:val="006A6A69"/>
    <w:rsid w:val="006A6DE5"/>
    <w:rsid w:val="006B46B9"/>
    <w:rsid w:val="006B4888"/>
    <w:rsid w:val="006B6C75"/>
    <w:rsid w:val="006B6F44"/>
    <w:rsid w:val="006B75FC"/>
    <w:rsid w:val="006C2E45"/>
    <w:rsid w:val="006C359C"/>
    <w:rsid w:val="006C5579"/>
    <w:rsid w:val="006D6E8B"/>
    <w:rsid w:val="006D7209"/>
    <w:rsid w:val="006E24DD"/>
    <w:rsid w:val="006E737D"/>
    <w:rsid w:val="006F6660"/>
    <w:rsid w:val="006F7CC6"/>
    <w:rsid w:val="00703DFE"/>
    <w:rsid w:val="0070773B"/>
    <w:rsid w:val="00707DD1"/>
    <w:rsid w:val="00712776"/>
    <w:rsid w:val="00713973"/>
    <w:rsid w:val="00720A24"/>
    <w:rsid w:val="00724588"/>
    <w:rsid w:val="00732386"/>
    <w:rsid w:val="0073514D"/>
    <w:rsid w:val="0073585D"/>
    <w:rsid w:val="007447F3"/>
    <w:rsid w:val="0075059B"/>
    <w:rsid w:val="0075499F"/>
    <w:rsid w:val="00763EED"/>
    <w:rsid w:val="007661C8"/>
    <w:rsid w:val="00766CD8"/>
    <w:rsid w:val="007671AF"/>
    <w:rsid w:val="0077098D"/>
    <w:rsid w:val="00780DCF"/>
    <w:rsid w:val="00784411"/>
    <w:rsid w:val="00784963"/>
    <w:rsid w:val="00785BF9"/>
    <w:rsid w:val="007931FA"/>
    <w:rsid w:val="007A39B7"/>
    <w:rsid w:val="007A4861"/>
    <w:rsid w:val="007A7BBA"/>
    <w:rsid w:val="007B0C50"/>
    <w:rsid w:val="007B48F9"/>
    <w:rsid w:val="007C1A43"/>
    <w:rsid w:val="007C6528"/>
    <w:rsid w:val="007D0951"/>
    <w:rsid w:val="007D1706"/>
    <w:rsid w:val="007D610D"/>
    <w:rsid w:val="007D6CE6"/>
    <w:rsid w:val="007E6B53"/>
    <w:rsid w:val="0080013E"/>
    <w:rsid w:val="00801759"/>
    <w:rsid w:val="00813288"/>
    <w:rsid w:val="008168FC"/>
    <w:rsid w:val="00830996"/>
    <w:rsid w:val="008345F1"/>
    <w:rsid w:val="00837D8B"/>
    <w:rsid w:val="00852760"/>
    <w:rsid w:val="0085531C"/>
    <w:rsid w:val="00863718"/>
    <w:rsid w:val="00864B92"/>
    <w:rsid w:val="00865B07"/>
    <w:rsid w:val="008667EA"/>
    <w:rsid w:val="00875AB5"/>
    <w:rsid w:val="0087637F"/>
    <w:rsid w:val="00892AD5"/>
    <w:rsid w:val="008A1512"/>
    <w:rsid w:val="008A3926"/>
    <w:rsid w:val="008A51F0"/>
    <w:rsid w:val="008B1766"/>
    <w:rsid w:val="008B5401"/>
    <w:rsid w:val="008D32B9"/>
    <w:rsid w:val="008D34FB"/>
    <w:rsid w:val="008D433B"/>
    <w:rsid w:val="008D4A16"/>
    <w:rsid w:val="008D6275"/>
    <w:rsid w:val="008D7689"/>
    <w:rsid w:val="008E5401"/>
    <w:rsid w:val="008E566E"/>
    <w:rsid w:val="008F4D48"/>
    <w:rsid w:val="008F52B1"/>
    <w:rsid w:val="0090161A"/>
    <w:rsid w:val="00901EB6"/>
    <w:rsid w:val="009041F8"/>
    <w:rsid w:val="00904C62"/>
    <w:rsid w:val="009224F8"/>
    <w:rsid w:val="00922BA8"/>
    <w:rsid w:val="00924DAC"/>
    <w:rsid w:val="00924E33"/>
    <w:rsid w:val="00924FF2"/>
    <w:rsid w:val="00927058"/>
    <w:rsid w:val="00935F6E"/>
    <w:rsid w:val="00942750"/>
    <w:rsid w:val="00943BBB"/>
    <w:rsid w:val="009450CE"/>
    <w:rsid w:val="009459BB"/>
    <w:rsid w:val="00947179"/>
    <w:rsid w:val="00951248"/>
    <w:rsid w:val="0095164B"/>
    <w:rsid w:val="00951A3A"/>
    <w:rsid w:val="0095339B"/>
    <w:rsid w:val="00954090"/>
    <w:rsid w:val="00955AAD"/>
    <w:rsid w:val="009573E7"/>
    <w:rsid w:val="009622BE"/>
    <w:rsid w:val="00962DA0"/>
    <w:rsid w:val="00963E05"/>
    <w:rsid w:val="00964A45"/>
    <w:rsid w:val="00967843"/>
    <w:rsid w:val="00967D54"/>
    <w:rsid w:val="00971028"/>
    <w:rsid w:val="00984902"/>
    <w:rsid w:val="00985B44"/>
    <w:rsid w:val="00993B84"/>
    <w:rsid w:val="00994C6A"/>
    <w:rsid w:val="00994E29"/>
    <w:rsid w:val="00996483"/>
    <w:rsid w:val="00996F5A"/>
    <w:rsid w:val="009A376B"/>
    <w:rsid w:val="009A5951"/>
    <w:rsid w:val="009B041A"/>
    <w:rsid w:val="009B465F"/>
    <w:rsid w:val="009B6E57"/>
    <w:rsid w:val="009C37C3"/>
    <w:rsid w:val="009C7234"/>
    <w:rsid w:val="009C7C86"/>
    <w:rsid w:val="009D2FF7"/>
    <w:rsid w:val="009E4383"/>
    <w:rsid w:val="009E5514"/>
    <w:rsid w:val="009E702B"/>
    <w:rsid w:val="009E7884"/>
    <w:rsid w:val="009E788A"/>
    <w:rsid w:val="009F0499"/>
    <w:rsid w:val="009F0E08"/>
    <w:rsid w:val="009F6394"/>
    <w:rsid w:val="00A02CC9"/>
    <w:rsid w:val="00A0478C"/>
    <w:rsid w:val="00A07696"/>
    <w:rsid w:val="00A079AE"/>
    <w:rsid w:val="00A07DCA"/>
    <w:rsid w:val="00A12E8B"/>
    <w:rsid w:val="00A13423"/>
    <w:rsid w:val="00A152D2"/>
    <w:rsid w:val="00A1763D"/>
    <w:rsid w:val="00A17CEC"/>
    <w:rsid w:val="00A26FC3"/>
    <w:rsid w:val="00A27EF0"/>
    <w:rsid w:val="00A34DAA"/>
    <w:rsid w:val="00A35643"/>
    <w:rsid w:val="00A42361"/>
    <w:rsid w:val="00A43420"/>
    <w:rsid w:val="00A50B20"/>
    <w:rsid w:val="00A51390"/>
    <w:rsid w:val="00A53849"/>
    <w:rsid w:val="00A54CB0"/>
    <w:rsid w:val="00A60843"/>
    <w:rsid w:val="00A60D13"/>
    <w:rsid w:val="00A62358"/>
    <w:rsid w:val="00A653A9"/>
    <w:rsid w:val="00A7172C"/>
    <w:rsid w:val="00A7223D"/>
    <w:rsid w:val="00A72745"/>
    <w:rsid w:val="00A750A2"/>
    <w:rsid w:val="00A752D0"/>
    <w:rsid w:val="00A76EFC"/>
    <w:rsid w:val="00A87064"/>
    <w:rsid w:val="00A87D50"/>
    <w:rsid w:val="00A91010"/>
    <w:rsid w:val="00A97F29"/>
    <w:rsid w:val="00AA645C"/>
    <w:rsid w:val="00AA702E"/>
    <w:rsid w:val="00AA7D26"/>
    <w:rsid w:val="00AB0964"/>
    <w:rsid w:val="00AB1B67"/>
    <w:rsid w:val="00AB5011"/>
    <w:rsid w:val="00AC593F"/>
    <w:rsid w:val="00AC6DB3"/>
    <w:rsid w:val="00AC7368"/>
    <w:rsid w:val="00AC7BAC"/>
    <w:rsid w:val="00AD16B9"/>
    <w:rsid w:val="00AD1CF9"/>
    <w:rsid w:val="00AD1E32"/>
    <w:rsid w:val="00AD5535"/>
    <w:rsid w:val="00AD5F05"/>
    <w:rsid w:val="00AE2411"/>
    <w:rsid w:val="00AE377D"/>
    <w:rsid w:val="00AF0EBA"/>
    <w:rsid w:val="00AF2463"/>
    <w:rsid w:val="00B02C8A"/>
    <w:rsid w:val="00B1330A"/>
    <w:rsid w:val="00B1755B"/>
    <w:rsid w:val="00B17FBD"/>
    <w:rsid w:val="00B315A6"/>
    <w:rsid w:val="00B31813"/>
    <w:rsid w:val="00B33365"/>
    <w:rsid w:val="00B400B1"/>
    <w:rsid w:val="00B406FB"/>
    <w:rsid w:val="00B47629"/>
    <w:rsid w:val="00B57B36"/>
    <w:rsid w:val="00B57E6F"/>
    <w:rsid w:val="00B632C0"/>
    <w:rsid w:val="00B73A82"/>
    <w:rsid w:val="00B74BA0"/>
    <w:rsid w:val="00B752F3"/>
    <w:rsid w:val="00B75B4C"/>
    <w:rsid w:val="00B75BB0"/>
    <w:rsid w:val="00B81E98"/>
    <w:rsid w:val="00B82A0F"/>
    <w:rsid w:val="00B8686D"/>
    <w:rsid w:val="00B910EA"/>
    <w:rsid w:val="00B93F69"/>
    <w:rsid w:val="00BA5659"/>
    <w:rsid w:val="00BB0DEF"/>
    <w:rsid w:val="00BB1DDC"/>
    <w:rsid w:val="00BB4B84"/>
    <w:rsid w:val="00BB60B0"/>
    <w:rsid w:val="00BB6186"/>
    <w:rsid w:val="00BC30C9"/>
    <w:rsid w:val="00BD077D"/>
    <w:rsid w:val="00BE3E58"/>
    <w:rsid w:val="00BF13CE"/>
    <w:rsid w:val="00BF51FC"/>
    <w:rsid w:val="00BF52E5"/>
    <w:rsid w:val="00BF725D"/>
    <w:rsid w:val="00C01616"/>
    <w:rsid w:val="00C0162B"/>
    <w:rsid w:val="00C068ED"/>
    <w:rsid w:val="00C22E0C"/>
    <w:rsid w:val="00C3243D"/>
    <w:rsid w:val="00C345B1"/>
    <w:rsid w:val="00C40142"/>
    <w:rsid w:val="00C52350"/>
    <w:rsid w:val="00C52C3C"/>
    <w:rsid w:val="00C535CC"/>
    <w:rsid w:val="00C54CAE"/>
    <w:rsid w:val="00C57182"/>
    <w:rsid w:val="00C57863"/>
    <w:rsid w:val="00C57FB7"/>
    <w:rsid w:val="00C63AA6"/>
    <w:rsid w:val="00C640AF"/>
    <w:rsid w:val="00C655FD"/>
    <w:rsid w:val="00C663F4"/>
    <w:rsid w:val="00C75407"/>
    <w:rsid w:val="00C80849"/>
    <w:rsid w:val="00C825EB"/>
    <w:rsid w:val="00C841C6"/>
    <w:rsid w:val="00C870A8"/>
    <w:rsid w:val="00C94434"/>
    <w:rsid w:val="00CA0D75"/>
    <w:rsid w:val="00CA1C95"/>
    <w:rsid w:val="00CA5A9C"/>
    <w:rsid w:val="00CA629F"/>
    <w:rsid w:val="00CB0F37"/>
    <w:rsid w:val="00CB20DD"/>
    <w:rsid w:val="00CC2736"/>
    <w:rsid w:val="00CC4C20"/>
    <w:rsid w:val="00CD1783"/>
    <w:rsid w:val="00CD3517"/>
    <w:rsid w:val="00CD5FE2"/>
    <w:rsid w:val="00CE0A2D"/>
    <w:rsid w:val="00CE7C68"/>
    <w:rsid w:val="00CF6409"/>
    <w:rsid w:val="00CF7D39"/>
    <w:rsid w:val="00D02B4C"/>
    <w:rsid w:val="00D040C4"/>
    <w:rsid w:val="00D145BC"/>
    <w:rsid w:val="00D168A0"/>
    <w:rsid w:val="00D20AD1"/>
    <w:rsid w:val="00D247DC"/>
    <w:rsid w:val="00D2582C"/>
    <w:rsid w:val="00D25EBB"/>
    <w:rsid w:val="00D3384F"/>
    <w:rsid w:val="00D34D17"/>
    <w:rsid w:val="00D35D07"/>
    <w:rsid w:val="00D430A5"/>
    <w:rsid w:val="00D46B7E"/>
    <w:rsid w:val="00D50956"/>
    <w:rsid w:val="00D52D45"/>
    <w:rsid w:val="00D57C84"/>
    <w:rsid w:val="00D6057D"/>
    <w:rsid w:val="00D6250F"/>
    <w:rsid w:val="00D64619"/>
    <w:rsid w:val="00D65627"/>
    <w:rsid w:val="00D714ED"/>
    <w:rsid w:val="00D71640"/>
    <w:rsid w:val="00D72B14"/>
    <w:rsid w:val="00D82DDF"/>
    <w:rsid w:val="00D836C5"/>
    <w:rsid w:val="00D84576"/>
    <w:rsid w:val="00DA0ED5"/>
    <w:rsid w:val="00DA1399"/>
    <w:rsid w:val="00DA24C6"/>
    <w:rsid w:val="00DA4D7B"/>
    <w:rsid w:val="00DC2840"/>
    <w:rsid w:val="00DC73EE"/>
    <w:rsid w:val="00DD271C"/>
    <w:rsid w:val="00DE264A"/>
    <w:rsid w:val="00DE2B8B"/>
    <w:rsid w:val="00DE4A5F"/>
    <w:rsid w:val="00DF5072"/>
    <w:rsid w:val="00DF535F"/>
    <w:rsid w:val="00E02D18"/>
    <w:rsid w:val="00E041E7"/>
    <w:rsid w:val="00E10363"/>
    <w:rsid w:val="00E23CA1"/>
    <w:rsid w:val="00E30AD3"/>
    <w:rsid w:val="00E35385"/>
    <w:rsid w:val="00E35EEB"/>
    <w:rsid w:val="00E409A8"/>
    <w:rsid w:val="00E46855"/>
    <w:rsid w:val="00E50C12"/>
    <w:rsid w:val="00E55A50"/>
    <w:rsid w:val="00E65B91"/>
    <w:rsid w:val="00E7209D"/>
    <w:rsid w:val="00E72EAD"/>
    <w:rsid w:val="00E73571"/>
    <w:rsid w:val="00E77223"/>
    <w:rsid w:val="00E8528B"/>
    <w:rsid w:val="00E85B94"/>
    <w:rsid w:val="00E87D50"/>
    <w:rsid w:val="00E90285"/>
    <w:rsid w:val="00E978D0"/>
    <w:rsid w:val="00EA4613"/>
    <w:rsid w:val="00EA64EB"/>
    <w:rsid w:val="00EA7F91"/>
    <w:rsid w:val="00EB1523"/>
    <w:rsid w:val="00EB67C3"/>
    <w:rsid w:val="00EC0E49"/>
    <w:rsid w:val="00EC101F"/>
    <w:rsid w:val="00EC1D9F"/>
    <w:rsid w:val="00EC2A5B"/>
    <w:rsid w:val="00EC2AA3"/>
    <w:rsid w:val="00EC4475"/>
    <w:rsid w:val="00EC6FAF"/>
    <w:rsid w:val="00ED6F64"/>
    <w:rsid w:val="00ED7A66"/>
    <w:rsid w:val="00EE0131"/>
    <w:rsid w:val="00EE17B0"/>
    <w:rsid w:val="00EE56D2"/>
    <w:rsid w:val="00EE5963"/>
    <w:rsid w:val="00EF06D9"/>
    <w:rsid w:val="00F062B1"/>
    <w:rsid w:val="00F13F75"/>
    <w:rsid w:val="00F16C16"/>
    <w:rsid w:val="00F17DEF"/>
    <w:rsid w:val="00F240B3"/>
    <w:rsid w:val="00F3049E"/>
    <w:rsid w:val="00F30C64"/>
    <w:rsid w:val="00F32BA2"/>
    <w:rsid w:val="00F32CDB"/>
    <w:rsid w:val="00F35450"/>
    <w:rsid w:val="00F41EE4"/>
    <w:rsid w:val="00F5243A"/>
    <w:rsid w:val="00F53F51"/>
    <w:rsid w:val="00F565FE"/>
    <w:rsid w:val="00F56B78"/>
    <w:rsid w:val="00F56C2B"/>
    <w:rsid w:val="00F56E4E"/>
    <w:rsid w:val="00F60C70"/>
    <w:rsid w:val="00F63A70"/>
    <w:rsid w:val="00F63D8C"/>
    <w:rsid w:val="00F67BB9"/>
    <w:rsid w:val="00F7534E"/>
    <w:rsid w:val="00F84869"/>
    <w:rsid w:val="00F853F7"/>
    <w:rsid w:val="00F87E7E"/>
    <w:rsid w:val="00F9074D"/>
    <w:rsid w:val="00F93EDF"/>
    <w:rsid w:val="00FA1802"/>
    <w:rsid w:val="00FA21D0"/>
    <w:rsid w:val="00FA5F5F"/>
    <w:rsid w:val="00FA7674"/>
    <w:rsid w:val="00FB0445"/>
    <w:rsid w:val="00FB24EB"/>
    <w:rsid w:val="00FB286C"/>
    <w:rsid w:val="00FB730C"/>
    <w:rsid w:val="00FC1559"/>
    <w:rsid w:val="00FC2695"/>
    <w:rsid w:val="00FC3E03"/>
    <w:rsid w:val="00FC3FC1"/>
    <w:rsid w:val="00FE3AF4"/>
    <w:rsid w:val="00FE3E9B"/>
    <w:rsid w:val="00FE6066"/>
    <w:rsid w:val="00FE6EB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924E33"/>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65627"/>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6562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customStyle="1" w:styleId="--l">
    <w:name w:val="--l"/>
    <w:basedOn w:val="Fuentedeprrafopredeter"/>
    <w:rsid w:val="00A750A2"/>
  </w:style>
  <w:style w:type="character" w:styleId="Textodelmarcadordeposicin">
    <w:name w:val="Placeholder Text"/>
    <w:basedOn w:val="Fuentedeprrafopredeter"/>
    <w:uiPriority w:val="99"/>
    <w:semiHidden/>
    <w:rsid w:val="00F56C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9926">
      <w:bodyDiv w:val="1"/>
      <w:marLeft w:val="0"/>
      <w:marRight w:val="0"/>
      <w:marTop w:val="0"/>
      <w:marBottom w:val="0"/>
      <w:divBdr>
        <w:top w:val="none" w:sz="0" w:space="0" w:color="auto"/>
        <w:left w:val="none" w:sz="0" w:space="0" w:color="auto"/>
        <w:bottom w:val="none" w:sz="0" w:space="0" w:color="auto"/>
        <w:right w:val="none" w:sz="0" w:space="0" w:color="auto"/>
      </w:divBdr>
      <w:divsChild>
        <w:div w:id="2048675296">
          <w:marLeft w:val="480"/>
          <w:marRight w:val="0"/>
          <w:marTop w:val="0"/>
          <w:marBottom w:val="0"/>
          <w:divBdr>
            <w:top w:val="none" w:sz="0" w:space="0" w:color="auto"/>
            <w:left w:val="none" w:sz="0" w:space="0" w:color="auto"/>
            <w:bottom w:val="none" w:sz="0" w:space="0" w:color="auto"/>
            <w:right w:val="none" w:sz="0" w:space="0" w:color="auto"/>
          </w:divBdr>
        </w:div>
        <w:div w:id="970477662">
          <w:marLeft w:val="480"/>
          <w:marRight w:val="0"/>
          <w:marTop w:val="0"/>
          <w:marBottom w:val="0"/>
          <w:divBdr>
            <w:top w:val="none" w:sz="0" w:space="0" w:color="auto"/>
            <w:left w:val="none" w:sz="0" w:space="0" w:color="auto"/>
            <w:bottom w:val="none" w:sz="0" w:space="0" w:color="auto"/>
            <w:right w:val="none" w:sz="0" w:space="0" w:color="auto"/>
          </w:divBdr>
        </w:div>
        <w:div w:id="1455825519">
          <w:marLeft w:val="480"/>
          <w:marRight w:val="0"/>
          <w:marTop w:val="0"/>
          <w:marBottom w:val="0"/>
          <w:divBdr>
            <w:top w:val="none" w:sz="0" w:space="0" w:color="auto"/>
            <w:left w:val="none" w:sz="0" w:space="0" w:color="auto"/>
            <w:bottom w:val="none" w:sz="0" w:space="0" w:color="auto"/>
            <w:right w:val="none" w:sz="0" w:space="0" w:color="auto"/>
          </w:divBdr>
        </w:div>
        <w:div w:id="144786926">
          <w:marLeft w:val="480"/>
          <w:marRight w:val="0"/>
          <w:marTop w:val="0"/>
          <w:marBottom w:val="0"/>
          <w:divBdr>
            <w:top w:val="none" w:sz="0" w:space="0" w:color="auto"/>
            <w:left w:val="none" w:sz="0" w:space="0" w:color="auto"/>
            <w:bottom w:val="none" w:sz="0" w:space="0" w:color="auto"/>
            <w:right w:val="none" w:sz="0" w:space="0" w:color="auto"/>
          </w:divBdr>
        </w:div>
        <w:div w:id="1739596168">
          <w:marLeft w:val="480"/>
          <w:marRight w:val="0"/>
          <w:marTop w:val="0"/>
          <w:marBottom w:val="0"/>
          <w:divBdr>
            <w:top w:val="none" w:sz="0" w:space="0" w:color="auto"/>
            <w:left w:val="none" w:sz="0" w:space="0" w:color="auto"/>
            <w:bottom w:val="none" w:sz="0" w:space="0" w:color="auto"/>
            <w:right w:val="none" w:sz="0" w:space="0" w:color="auto"/>
          </w:divBdr>
        </w:div>
      </w:divsChild>
    </w:div>
    <w:div w:id="90397466">
      <w:bodyDiv w:val="1"/>
      <w:marLeft w:val="0"/>
      <w:marRight w:val="0"/>
      <w:marTop w:val="0"/>
      <w:marBottom w:val="0"/>
      <w:divBdr>
        <w:top w:val="none" w:sz="0" w:space="0" w:color="auto"/>
        <w:left w:val="none" w:sz="0" w:space="0" w:color="auto"/>
        <w:bottom w:val="none" w:sz="0" w:space="0" w:color="auto"/>
        <w:right w:val="none" w:sz="0" w:space="0" w:color="auto"/>
      </w:divBdr>
      <w:divsChild>
        <w:div w:id="147136886">
          <w:marLeft w:val="480"/>
          <w:marRight w:val="0"/>
          <w:marTop w:val="0"/>
          <w:marBottom w:val="0"/>
          <w:divBdr>
            <w:top w:val="none" w:sz="0" w:space="0" w:color="auto"/>
            <w:left w:val="none" w:sz="0" w:space="0" w:color="auto"/>
            <w:bottom w:val="none" w:sz="0" w:space="0" w:color="auto"/>
            <w:right w:val="none" w:sz="0" w:space="0" w:color="auto"/>
          </w:divBdr>
        </w:div>
        <w:div w:id="1208906598">
          <w:marLeft w:val="480"/>
          <w:marRight w:val="0"/>
          <w:marTop w:val="0"/>
          <w:marBottom w:val="0"/>
          <w:divBdr>
            <w:top w:val="none" w:sz="0" w:space="0" w:color="auto"/>
            <w:left w:val="none" w:sz="0" w:space="0" w:color="auto"/>
            <w:bottom w:val="none" w:sz="0" w:space="0" w:color="auto"/>
            <w:right w:val="none" w:sz="0" w:space="0" w:color="auto"/>
          </w:divBdr>
        </w:div>
        <w:div w:id="1239053213">
          <w:marLeft w:val="480"/>
          <w:marRight w:val="0"/>
          <w:marTop w:val="0"/>
          <w:marBottom w:val="0"/>
          <w:divBdr>
            <w:top w:val="none" w:sz="0" w:space="0" w:color="auto"/>
            <w:left w:val="none" w:sz="0" w:space="0" w:color="auto"/>
            <w:bottom w:val="none" w:sz="0" w:space="0" w:color="auto"/>
            <w:right w:val="none" w:sz="0" w:space="0" w:color="auto"/>
          </w:divBdr>
        </w:div>
      </w:divsChild>
    </w:div>
    <w:div w:id="193616210">
      <w:bodyDiv w:val="1"/>
      <w:marLeft w:val="0"/>
      <w:marRight w:val="0"/>
      <w:marTop w:val="0"/>
      <w:marBottom w:val="0"/>
      <w:divBdr>
        <w:top w:val="none" w:sz="0" w:space="0" w:color="auto"/>
        <w:left w:val="none" w:sz="0" w:space="0" w:color="auto"/>
        <w:bottom w:val="none" w:sz="0" w:space="0" w:color="auto"/>
        <w:right w:val="none" w:sz="0" w:space="0" w:color="auto"/>
      </w:divBdr>
    </w:div>
    <w:div w:id="307980193">
      <w:bodyDiv w:val="1"/>
      <w:marLeft w:val="0"/>
      <w:marRight w:val="0"/>
      <w:marTop w:val="0"/>
      <w:marBottom w:val="0"/>
      <w:divBdr>
        <w:top w:val="none" w:sz="0" w:space="0" w:color="auto"/>
        <w:left w:val="none" w:sz="0" w:space="0" w:color="auto"/>
        <w:bottom w:val="none" w:sz="0" w:space="0" w:color="auto"/>
        <w:right w:val="none" w:sz="0" w:space="0" w:color="auto"/>
      </w:divBdr>
    </w:div>
    <w:div w:id="321853321">
      <w:bodyDiv w:val="1"/>
      <w:marLeft w:val="0"/>
      <w:marRight w:val="0"/>
      <w:marTop w:val="0"/>
      <w:marBottom w:val="0"/>
      <w:divBdr>
        <w:top w:val="none" w:sz="0" w:space="0" w:color="auto"/>
        <w:left w:val="none" w:sz="0" w:space="0" w:color="auto"/>
        <w:bottom w:val="none" w:sz="0" w:space="0" w:color="auto"/>
        <w:right w:val="none" w:sz="0" w:space="0" w:color="auto"/>
      </w:divBdr>
      <w:divsChild>
        <w:div w:id="1610043075">
          <w:marLeft w:val="480"/>
          <w:marRight w:val="0"/>
          <w:marTop w:val="0"/>
          <w:marBottom w:val="0"/>
          <w:divBdr>
            <w:top w:val="none" w:sz="0" w:space="0" w:color="auto"/>
            <w:left w:val="none" w:sz="0" w:space="0" w:color="auto"/>
            <w:bottom w:val="none" w:sz="0" w:space="0" w:color="auto"/>
            <w:right w:val="none" w:sz="0" w:space="0" w:color="auto"/>
          </w:divBdr>
        </w:div>
        <w:div w:id="812333474">
          <w:marLeft w:val="480"/>
          <w:marRight w:val="0"/>
          <w:marTop w:val="0"/>
          <w:marBottom w:val="0"/>
          <w:divBdr>
            <w:top w:val="none" w:sz="0" w:space="0" w:color="auto"/>
            <w:left w:val="none" w:sz="0" w:space="0" w:color="auto"/>
            <w:bottom w:val="none" w:sz="0" w:space="0" w:color="auto"/>
            <w:right w:val="none" w:sz="0" w:space="0" w:color="auto"/>
          </w:divBdr>
        </w:div>
      </w:divsChild>
    </w:div>
    <w:div w:id="332611655">
      <w:bodyDiv w:val="1"/>
      <w:marLeft w:val="0"/>
      <w:marRight w:val="0"/>
      <w:marTop w:val="0"/>
      <w:marBottom w:val="0"/>
      <w:divBdr>
        <w:top w:val="none" w:sz="0" w:space="0" w:color="auto"/>
        <w:left w:val="none" w:sz="0" w:space="0" w:color="auto"/>
        <w:bottom w:val="none" w:sz="0" w:space="0" w:color="auto"/>
        <w:right w:val="none" w:sz="0" w:space="0" w:color="auto"/>
      </w:divBdr>
      <w:divsChild>
        <w:div w:id="176047130">
          <w:marLeft w:val="480"/>
          <w:marRight w:val="0"/>
          <w:marTop w:val="0"/>
          <w:marBottom w:val="0"/>
          <w:divBdr>
            <w:top w:val="none" w:sz="0" w:space="0" w:color="auto"/>
            <w:left w:val="none" w:sz="0" w:space="0" w:color="auto"/>
            <w:bottom w:val="none" w:sz="0" w:space="0" w:color="auto"/>
            <w:right w:val="none" w:sz="0" w:space="0" w:color="auto"/>
          </w:divBdr>
        </w:div>
        <w:div w:id="906259029">
          <w:marLeft w:val="480"/>
          <w:marRight w:val="0"/>
          <w:marTop w:val="0"/>
          <w:marBottom w:val="0"/>
          <w:divBdr>
            <w:top w:val="none" w:sz="0" w:space="0" w:color="auto"/>
            <w:left w:val="none" w:sz="0" w:space="0" w:color="auto"/>
            <w:bottom w:val="none" w:sz="0" w:space="0" w:color="auto"/>
            <w:right w:val="none" w:sz="0" w:space="0" w:color="auto"/>
          </w:divBdr>
        </w:div>
        <w:div w:id="1511063793">
          <w:marLeft w:val="480"/>
          <w:marRight w:val="0"/>
          <w:marTop w:val="0"/>
          <w:marBottom w:val="0"/>
          <w:divBdr>
            <w:top w:val="none" w:sz="0" w:space="0" w:color="auto"/>
            <w:left w:val="none" w:sz="0" w:space="0" w:color="auto"/>
            <w:bottom w:val="none" w:sz="0" w:space="0" w:color="auto"/>
            <w:right w:val="none" w:sz="0" w:space="0" w:color="auto"/>
          </w:divBdr>
        </w:div>
      </w:divsChild>
    </w:div>
    <w:div w:id="467165277">
      <w:bodyDiv w:val="1"/>
      <w:marLeft w:val="0"/>
      <w:marRight w:val="0"/>
      <w:marTop w:val="0"/>
      <w:marBottom w:val="0"/>
      <w:divBdr>
        <w:top w:val="none" w:sz="0" w:space="0" w:color="auto"/>
        <w:left w:val="none" w:sz="0" w:space="0" w:color="auto"/>
        <w:bottom w:val="none" w:sz="0" w:space="0" w:color="auto"/>
        <w:right w:val="none" w:sz="0" w:space="0" w:color="auto"/>
      </w:divBdr>
      <w:divsChild>
        <w:div w:id="161701081">
          <w:marLeft w:val="480"/>
          <w:marRight w:val="0"/>
          <w:marTop w:val="0"/>
          <w:marBottom w:val="0"/>
          <w:divBdr>
            <w:top w:val="none" w:sz="0" w:space="0" w:color="auto"/>
            <w:left w:val="none" w:sz="0" w:space="0" w:color="auto"/>
            <w:bottom w:val="none" w:sz="0" w:space="0" w:color="auto"/>
            <w:right w:val="none" w:sz="0" w:space="0" w:color="auto"/>
          </w:divBdr>
        </w:div>
        <w:div w:id="199321980">
          <w:marLeft w:val="480"/>
          <w:marRight w:val="0"/>
          <w:marTop w:val="0"/>
          <w:marBottom w:val="0"/>
          <w:divBdr>
            <w:top w:val="none" w:sz="0" w:space="0" w:color="auto"/>
            <w:left w:val="none" w:sz="0" w:space="0" w:color="auto"/>
            <w:bottom w:val="none" w:sz="0" w:space="0" w:color="auto"/>
            <w:right w:val="none" w:sz="0" w:space="0" w:color="auto"/>
          </w:divBdr>
        </w:div>
        <w:div w:id="1361928038">
          <w:marLeft w:val="480"/>
          <w:marRight w:val="0"/>
          <w:marTop w:val="0"/>
          <w:marBottom w:val="0"/>
          <w:divBdr>
            <w:top w:val="none" w:sz="0" w:space="0" w:color="auto"/>
            <w:left w:val="none" w:sz="0" w:space="0" w:color="auto"/>
            <w:bottom w:val="none" w:sz="0" w:space="0" w:color="auto"/>
            <w:right w:val="none" w:sz="0" w:space="0" w:color="auto"/>
          </w:divBdr>
        </w:div>
        <w:div w:id="1576892976">
          <w:marLeft w:val="480"/>
          <w:marRight w:val="0"/>
          <w:marTop w:val="0"/>
          <w:marBottom w:val="0"/>
          <w:divBdr>
            <w:top w:val="none" w:sz="0" w:space="0" w:color="auto"/>
            <w:left w:val="none" w:sz="0" w:space="0" w:color="auto"/>
            <w:bottom w:val="none" w:sz="0" w:space="0" w:color="auto"/>
            <w:right w:val="none" w:sz="0" w:space="0" w:color="auto"/>
          </w:divBdr>
        </w:div>
        <w:div w:id="653799523">
          <w:marLeft w:val="480"/>
          <w:marRight w:val="0"/>
          <w:marTop w:val="0"/>
          <w:marBottom w:val="0"/>
          <w:divBdr>
            <w:top w:val="none" w:sz="0" w:space="0" w:color="auto"/>
            <w:left w:val="none" w:sz="0" w:space="0" w:color="auto"/>
            <w:bottom w:val="none" w:sz="0" w:space="0" w:color="auto"/>
            <w:right w:val="none" w:sz="0" w:space="0" w:color="auto"/>
          </w:divBdr>
        </w:div>
        <w:div w:id="1650986479">
          <w:marLeft w:val="480"/>
          <w:marRight w:val="0"/>
          <w:marTop w:val="0"/>
          <w:marBottom w:val="0"/>
          <w:divBdr>
            <w:top w:val="none" w:sz="0" w:space="0" w:color="auto"/>
            <w:left w:val="none" w:sz="0" w:space="0" w:color="auto"/>
            <w:bottom w:val="none" w:sz="0" w:space="0" w:color="auto"/>
            <w:right w:val="none" w:sz="0" w:space="0" w:color="auto"/>
          </w:divBdr>
        </w:div>
      </w:divsChild>
    </w:div>
    <w:div w:id="591671678">
      <w:bodyDiv w:val="1"/>
      <w:marLeft w:val="0"/>
      <w:marRight w:val="0"/>
      <w:marTop w:val="0"/>
      <w:marBottom w:val="0"/>
      <w:divBdr>
        <w:top w:val="none" w:sz="0" w:space="0" w:color="auto"/>
        <w:left w:val="none" w:sz="0" w:space="0" w:color="auto"/>
        <w:bottom w:val="none" w:sz="0" w:space="0" w:color="auto"/>
        <w:right w:val="none" w:sz="0" w:space="0" w:color="auto"/>
      </w:divBdr>
      <w:divsChild>
        <w:div w:id="1925720975">
          <w:marLeft w:val="480"/>
          <w:marRight w:val="0"/>
          <w:marTop w:val="0"/>
          <w:marBottom w:val="0"/>
          <w:divBdr>
            <w:top w:val="none" w:sz="0" w:space="0" w:color="auto"/>
            <w:left w:val="none" w:sz="0" w:space="0" w:color="auto"/>
            <w:bottom w:val="none" w:sz="0" w:space="0" w:color="auto"/>
            <w:right w:val="none" w:sz="0" w:space="0" w:color="auto"/>
          </w:divBdr>
        </w:div>
      </w:divsChild>
    </w:div>
    <w:div w:id="730467087">
      <w:bodyDiv w:val="1"/>
      <w:marLeft w:val="0"/>
      <w:marRight w:val="0"/>
      <w:marTop w:val="0"/>
      <w:marBottom w:val="0"/>
      <w:divBdr>
        <w:top w:val="none" w:sz="0" w:space="0" w:color="auto"/>
        <w:left w:val="none" w:sz="0" w:space="0" w:color="auto"/>
        <w:bottom w:val="none" w:sz="0" w:space="0" w:color="auto"/>
        <w:right w:val="none" w:sz="0" w:space="0" w:color="auto"/>
      </w:divBdr>
      <w:divsChild>
        <w:div w:id="547573539">
          <w:marLeft w:val="480"/>
          <w:marRight w:val="0"/>
          <w:marTop w:val="0"/>
          <w:marBottom w:val="0"/>
          <w:divBdr>
            <w:top w:val="none" w:sz="0" w:space="0" w:color="auto"/>
            <w:left w:val="none" w:sz="0" w:space="0" w:color="auto"/>
            <w:bottom w:val="none" w:sz="0" w:space="0" w:color="auto"/>
            <w:right w:val="none" w:sz="0" w:space="0" w:color="auto"/>
          </w:divBdr>
        </w:div>
        <w:div w:id="565990469">
          <w:marLeft w:val="480"/>
          <w:marRight w:val="0"/>
          <w:marTop w:val="0"/>
          <w:marBottom w:val="0"/>
          <w:divBdr>
            <w:top w:val="none" w:sz="0" w:space="0" w:color="auto"/>
            <w:left w:val="none" w:sz="0" w:space="0" w:color="auto"/>
            <w:bottom w:val="none" w:sz="0" w:space="0" w:color="auto"/>
            <w:right w:val="none" w:sz="0" w:space="0" w:color="auto"/>
          </w:divBdr>
        </w:div>
        <w:div w:id="1983998331">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4759">
      <w:bodyDiv w:val="1"/>
      <w:marLeft w:val="0"/>
      <w:marRight w:val="0"/>
      <w:marTop w:val="0"/>
      <w:marBottom w:val="0"/>
      <w:divBdr>
        <w:top w:val="none" w:sz="0" w:space="0" w:color="auto"/>
        <w:left w:val="none" w:sz="0" w:space="0" w:color="auto"/>
        <w:bottom w:val="none" w:sz="0" w:space="0" w:color="auto"/>
        <w:right w:val="none" w:sz="0" w:space="0" w:color="auto"/>
      </w:divBdr>
      <w:divsChild>
        <w:div w:id="429473428">
          <w:marLeft w:val="480"/>
          <w:marRight w:val="0"/>
          <w:marTop w:val="0"/>
          <w:marBottom w:val="0"/>
          <w:divBdr>
            <w:top w:val="none" w:sz="0" w:space="0" w:color="auto"/>
            <w:left w:val="none" w:sz="0" w:space="0" w:color="auto"/>
            <w:bottom w:val="none" w:sz="0" w:space="0" w:color="auto"/>
            <w:right w:val="none" w:sz="0" w:space="0" w:color="auto"/>
          </w:divBdr>
        </w:div>
        <w:div w:id="1036738094">
          <w:marLeft w:val="480"/>
          <w:marRight w:val="0"/>
          <w:marTop w:val="0"/>
          <w:marBottom w:val="0"/>
          <w:divBdr>
            <w:top w:val="none" w:sz="0" w:space="0" w:color="auto"/>
            <w:left w:val="none" w:sz="0" w:space="0" w:color="auto"/>
            <w:bottom w:val="none" w:sz="0" w:space="0" w:color="auto"/>
            <w:right w:val="none" w:sz="0" w:space="0" w:color="auto"/>
          </w:divBdr>
        </w:div>
        <w:div w:id="899710636">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347">
      <w:bodyDiv w:val="1"/>
      <w:marLeft w:val="0"/>
      <w:marRight w:val="0"/>
      <w:marTop w:val="0"/>
      <w:marBottom w:val="0"/>
      <w:divBdr>
        <w:top w:val="none" w:sz="0" w:space="0" w:color="auto"/>
        <w:left w:val="none" w:sz="0" w:space="0" w:color="auto"/>
        <w:bottom w:val="none" w:sz="0" w:space="0" w:color="auto"/>
        <w:right w:val="none" w:sz="0" w:space="0" w:color="auto"/>
      </w:divBdr>
      <w:divsChild>
        <w:div w:id="1481121004">
          <w:marLeft w:val="480"/>
          <w:marRight w:val="0"/>
          <w:marTop w:val="0"/>
          <w:marBottom w:val="0"/>
          <w:divBdr>
            <w:top w:val="none" w:sz="0" w:space="0" w:color="auto"/>
            <w:left w:val="none" w:sz="0" w:space="0" w:color="auto"/>
            <w:bottom w:val="none" w:sz="0" w:space="0" w:color="auto"/>
            <w:right w:val="none" w:sz="0" w:space="0" w:color="auto"/>
          </w:divBdr>
        </w:div>
        <w:div w:id="303514200">
          <w:marLeft w:val="480"/>
          <w:marRight w:val="0"/>
          <w:marTop w:val="0"/>
          <w:marBottom w:val="0"/>
          <w:divBdr>
            <w:top w:val="none" w:sz="0" w:space="0" w:color="auto"/>
            <w:left w:val="none" w:sz="0" w:space="0" w:color="auto"/>
            <w:bottom w:val="none" w:sz="0" w:space="0" w:color="auto"/>
            <w:right w:val="none" w:sz="0" w:space="0" w:color="auto"/>
          </w:divBdr>
        </w:div>
      </w:divsChild>
    </w:div>
    <w:div w:id="1030762784">
      <w:bodyDiv w:val="1"/>
      <w:marLeft w:val="0"/>
      <w:marRight w:val="0"/>
      <w:marTop w:val="0"/>
      <w:marBottom w:val="0"/>
      <w:divBdr>
        <w:top w:val="none" w:sz="0" w:space="0" w:color="auto"/>
        <w:left w:val="none" w:sz="0" w:space="0" w:color="auto"/>
        <w:bottom w:val="none" w:sz="0" w:space="0" w:color="auto"/>
        <w:right w:val="none" w:sz="0" w:space="0" w:color="auto"/>
      </w:divBdr>
    </w:div>
    <w:div w:id="1050878920">
      <w:bodyDiv w:val="1"/>
      <w:marLeft w:val="0"/>
      <w:marRight w:val="0"/>
      <w:marTop w:val="0"/>
      <w:marBottom w:val="0"/>
      <w:divBdr>
        <w:top w:val="none" w:sz="0" w:space="0" w:color="auto"/>
        <w:left w:val="none" w:sz="0" w:space="0" w:color="auto"/>
        <w:bottom w:val="none" w:sz="0" w:space="0" w:color="auto"/>
        <w:right w:val="none" w:sz="0" w:space="0" w:color="auto"/>
      </w:divBdr>
      <w:divsChild>
        <w:div w:id="1564950297">
          <w:marLeft w:val="480"/>
          <w:marRight w:val="0"/>
          <w:marTop w:val="0"/>
          <w:marBottom w:val="0"/>
          <w:divBdr>
            <w:top w:val="none" w:sz="0" w:space="0" w:color="auto"/>
            <w:left w:val="none" w:sz="0" w:space="0" w:color="auto"/>
            <w:bottom w:val="none" w:sz="0" w:space="0" w:color="auto"/>
            <w:right w:val="none" w:sz="0" w:space="0" w:color="auto"/>
          </w:divBdr>
        </w:div>
        <w:div w:id="1276671383">
          <w:marLeft w:val="480"/>
          <w:marRight w:val="0"/>
          <w:marTop w:val="0"/>
          <w:marBottom w:val="0"/>
          <w:divBdr>
            <w:top w:val="none" w:sz="0" w:space="0" w:color="auto"/>
            <w:left w:val="none" w:sz="0" w:space="0" w:color="auto"/>
            <w:bottom w:val="none" w:sz="0" w:space="0" w:color="auto"/>
            <w:right w:val="none" w:sz="0" w:space="0" w:color="auto"/>
          </w:divBdr>
        </w:div>
        <w:div w:id="1166093471">
          <w:marLeft w:val="480"/>
          <w:marRight w:val="0"/>
          <w:marTop w:val="0"/>
          <w:marBottom w:val="0"/>
          <w:divBdr>
            <w:top w:val="none" w:sz="0" w:space="0" w:color="auto"/>
            <w:left w:val="none" w:sz="0" w:space="0" w:color="auto"/>
            <w:bottom w:val="none" w:sz="0" w:space="0" w:color="auto"/>
            <w:right w:val="none" w:sz="0" w:space="0" w:color="auto"/>
          </w:divBdr>
        </w:div>
        <w:div w:id="1377776398">
          <w:marLeft w:val="480"/>
          <w:marRight w:val="0"/>
          <w:marTop w:val="0"/>
          <w:marBottom w:val="0"/>
          <w:divBdr>
            <w:top w:val="none" w:sz="0" w:space="0" w:color="auto"/>
            <w:left w:val="none" w:sz="0" w:space="0" w:color="auto"/>
            <w:bottom w:val="none" w:sz="0" w:space="0" w:color="auto"/>
            <w:right w:val="none" w:sz="0" w:space="0" w:color="auto"/>
          </w:divBdr>
        </w:div>
        <w:div w:id="941452511">
          <w:marLeft w:val="480"/>
          <w:marRight w:val="0"/>
          <w:marTop w:val="0"/>
          <w:marBottom w:val="0"/>
          <w:divBdr>
            <w:top w:val="none" w:sz="0" w:space="0" w:color="auto"/>
            <w:left w:val="none" w:sz="0" w:space="0" w:color="auto"/>
            <w:bottom w:val="none" w:sz="0" w:space="0" w:color="auto"/>
            <w:right w:val="none" w:sz="0" w:space="0" w:color="auto"/>
          </w:divBdr>
        </w:div>
      </w:divsChild>
    </w:div>
    <w:div w:id="1066344040">
      <w:bodyDiv w:val="1"/>
      <w:marLeft w:val="0"/>
      <w:marRight w:val="0"/>
      <w:marTop w:val="0"/>
      <w:marBottom w:val="0"/>
      <w:divBdr>
        <w:top w:val="none" w:sz="0" w:space="0" w:color="auto"/>
        <w:left w:val="none" w:sz="0" w:space="0" w:color="auto"/>
        <w:bottom w:val="none" w:sz="0" w:space="0" w:color="auto"/>
        <w:right w:val="none" w:sz="0" w:space="0" w:color="auto"/>
      </w:divBdr>
      <w:divsChild>
        <w:div w:id="152455218">
          <w:marLeft w:val="480"/>
          <w:marRight w:val="0"/>
          <w:marTop w:val="0"/>
          <w:marBottom w:val="0"/>
          <w:divBdr>
            <w:top w:val="none" w:sz="0" w:space="0" w:color="auto"/>
            <w:left w:val="none" w:sz="0" w:space="0" w:color="auto"/>
            <w:bottom w:val="none" w:sz="0" w:space="0" w:color="auto"/>
            <w:right w:val="none" w:sz="0" w:space="0" w:color="auto"/>
          </w:divBdr>
        </w:div>
      </w:divsChild>
    </w:div>
    <w:div w:id="1175025861">
      <w:bodyDiv w:val="1"/>
      <w:marLeft w:val="0"/>
      <w:marRight w:val="0"/>
      <w:marTop w:val="0"/>
      <w:marBottom w:val="0"/>
      <w:divBdr>
        <w:top w:val="none" w:sz="0" w:space="0" w:color="auto"/>
        <w:left w:val="none" w:sz="0" w:space="0" w:color="auto"/>
        <w:bottom w:val="none" w:sz="0" w:space="0" w:color="auto"/>
        <w:right w:val="none" w:sz="0" w:space="0" w:color="auto"/>
      </w:divBdr>
      <w:divsChild>
        <w:div w:id="1065176832">
          <w:marLeft w:val="0"/>
          <w:marRight w:val="0"/>
          <w:marTop w:val="0"/>
          <w:marBottom w:val="0"/>
          <w:divBdr>
            <w:top w:val="none" w:sz="0" w:space="0" w:color="auto"/>
            <w:left w:val="none" w:sz="0" w:space="0" w:color="auto"/>
            <w:bottom w:val="none" w:sz="0" w:space="0" w:color="auto"/>
            <w:right w:val="none" w:sz="0" w:space="0" w:color="auto"/>
          </w:divBdr>
          <w:divsChild>
            <w:div w:id="272716574">
              <w:marLeft w:val="0"/>
              <w:marRight w:val="0"/>
              <w:marTop w:val="0"/>
              <w:marBottom w:val="0"/>
              <w:divBdr>
                <w:top w:val="none" w:sz="0" w:space="0" w:color="auto"/>
                <w:left w:val="none" w:sz="0" w:space="0" w:color="auto"/>
                <w:bottom w:val="none" w:sz="0" w:space="0" w:color="auto"/>
                <w:right w:val="none" w:sz="0" w:space="0" w:color="auto"/>
              </w:divBdr>
              <w:divsChild>
                <w:div w:id="422997163">
                  <w:marLeft w:val="0"/>
                  <w:marRight w:val="0"/>
                  <w:marTop w:val="0"/>
                  <w:marBottom w:val="0"/>
                  <w:divBdr>
                    <w:top w:val="none" w:sz="0" w:space="0" w:color="auto"/>
                    <w:left w:val="none" w:sz="0" w:space="0" w:color="auto"/>
                    <w:bottom w:val="none" w:sz="0" w:space="0" w:color="auto"/>
                    <w:right w:val="none" w:sz="0" w:space="0" w:color="auto"/>
                  </w:divBdr>
                  <w:divsChild>
                    <w:div w:id="82804365">
                      <w:marLeft w:val="0"/>
                      <w:marRight w:val="0"/>
                      <w:marTop w:val="0"/>
                      <w:marBottom w:val="0"/>
                      <w:divBdr>
                        <w:top w:val="none" w:sz="0" w:space="0" w:color="auto"/>
                        <w:left w:val="none" w:sz="0" w:space="0" w:color="auto"/>
                        <w:bottom w:val="none" w:sz="0" w:space="0" w:color="auto"/>
                        <w:right w:val="none" w:sz="0" w:space="0" w:color="auto"/>
                      </w:divBdr>
                      <w:divsChild>
                        <w:div w:id="1746680412">
                          <w:marLeft w:val="0"/>
                          <w:marRight w:val="0"/>
                          <w:marTop w:val="0"/>
                          <w:marBottom w:val="0"/>
                          <w:divBdr>
                            <w:top w:val="none" w:sz="0" w:space="0" w:color="auto"/>
                            <w:left w:val="none" w:sz="0" w:space="0" w:color="auto"/>
                            <w:bottom w:val="none" w:sz="0" w:space="0" w:color="auto"/>
                            <w:right w:val="none" w:sz="0" w:space="0" w:color="auto"/>
                          </w:divBdr>
                          <w:divsChild>
                            <w:div w:id="7799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56290">
      <w:bodyDiv w:val="1"/>
      <w:marLeft w:val="0"/>
      <w:marRight w:val="0"/>
      <w:marTop w:val="0"/>
      <w:marBottom w:val="0"/>
      <w:divBdr>
        <w:top w:val="none" w:sz="0" w:space="0" w:color="auto"/>
        <w:left w:val="none" w:sz="0" w:space="0" w:color="auto"/>
        <w:bottom w:val="none" w:sz="0" w:space="0" w:color="auto"/>
        <w:right w:val="none" w:sz="0" w:space="0" w:color="auto"/>
      </w:divBdr>
      <w:divsChild>
        <w:div w:id="829248770">
          <w:marLeft w:val="480"/>
          <w:marRight w:val="0"/>
          <w:marTop w:val="0"/>
          <w:marBottom w:val="0"/>
          <w:divBdr>
            <w:top w:val="none" w:sz="0" w:space="0" w:color="auto"/>
            <w:left w:val="none" w:sz="0" w:space="0" w:color="auto"/>
            <w:bottom w:val="none" w:sz="0" w:space="0" w:color="auto"/>
            <w:right w:val="none" w:sz="0" w:space="0" w:color="auto"/>
          </w:divBdr>
        </w:div>
        <w:div w:id="1311447316">
          <w:marLeft w:val="480"/>
          <w:marRight w:val="0"/>
          <w:marTop w:val="0"/>
          <w:marBottom w:val="0"/>
          <w:divBdr>
            <w:top w:val="none" w:sz="0" w:space="0" w:color="auto"/>
            <w:left w:val="none" w:sz="0" w:space="0" w:color="auto"/>
            <w:bottom w:val="none" w:sz="0" w:space="0" w:color="auto"/>
            <w:right w:val="none" w:sz="0" w:space="0" w:color="auto"/>
          </w:divBdr>
        </w:div>
        <w:div w:id="418402861">
          <w:marLeft w:val="480"/>
          <w:marRight w:val="0"/>
          <w:marTop w:val="0"/>
          <w:marBottom w:val="0"/>
          <w:divBdr>
            <w:top w:val="none" w:sz="0" w:space="0" w:color="auto"/>
            <w:left w:val="none" w:sz="0" w:space="0" w:color="auto"/>
            <w:bottom w:val="none" w:sz="0" w:space="0" w:color="auto"/>
            <w:right w:val="none" w:sz="0" w:space="0" w:color="auto"/>
          </w:divBdr>
        </w:div>
        <w:div w:id="824201554">
          <w:marLeft w:val="48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98743010">
      <w:bodyDiv w:val="1"/>
      <w:marLeft w:val="0"/>
      <w:marRight w:val="0"/>
      <w:marTop w:val="0"/>
      <w:marBottom w:val="0"/>
      <w:divBdr>
        <w:top w:val="none" w:sz="0" w:space="0" w:color="auto"/>
        <w:left w:val="none" w:sz="0" w:space="0" w:color="auto"/>
        <w:bottom w:val="none" w:sz="0" w:space="0" w:color="auto"/>
        <w:right w:val="none" w:sz="0" w:space="0" w:color="auto"/>
      </w:divBdr>
      <w:divsChild>
        <w:div w:id="1275405156">
          <w:marLeft w:val="480"/>
          <w:marRight w:val="0"/>
          <w:marTop w:val="0"/>
          <w:marBottom w:val="0"/>
          <w:divBdr>
            <w:top w:val="none" w:sz="0" w:space="0" w:color="auto"/>
            <w:left w:val="none" w:sz="0" w:space="0" w:color="auto"/>
            <w:bottom w:val="none" w:sz="0" w:space="0" w:color="auto"/>
            <w:right w:val="none" w:sz="0" w:space="0" w:color="auto"/>
          </w:divBdr>
          <w:divsChild>
            <w:div w:id="281959341">
              <w:marLeft w:val="0"/>
              <w:marRight w:val="0"/>
              <w:marTop w:val="0"/>
              <w:marBottom w:val="0"/>
              <w:divBdr>
                <w:top w:val="none" w:sz="0" w:space="0" w:color="auto"/>
                <w:left w:val="none" w:sz="0" w:space="0" w:color="auto"/>
                <w:bottom w:val="none" w:sz="0" w:space="0" w:color="auto"/>
                <w:right w:val="none" w:sz="0" w:space="0" w:color="auto"/>
              </w:divBdr>
              <w:divsChild>
                <w:div w:id="7311945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595493">
      <w:bodyDiv w:val="1"/>
      <w:marLeft w:val="0"/>
      <w:marRight w:val="0"/>
      <w:marTop w:val="0"/>
      <w:marBottom w:val="0"/>
      <w:divBdr>
        <w:top w:val="none" w:sz="0" w:space="0" w:color="auto"/>
        <w:left w:val="none" w:sz="0" w:space="0" w:color="auto"/>
        <w:bottom w:val="none" w:sz="0" w:space="0" w:color="auto"/>
        <w:right w:val="none" w:sz="0" w:space="0" w:color="auto"/>
      </w:divBdr>
      <w:divsChild>
        <w:div w:id="715159593">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4660941">
      <w:bodyDiv w:val="1"/>
      <w:marLeft w:val="0"/>
      <w:marRight w:val="0"/>
      <w:marTop w:val="0"/>
      <w:marBottom w:val="0"/>
      <w:divBdr>
        <w:top w:val="none" w:sz="0" w:space="0" w:color="auto"/>
        <w:left w:val="none" w:sz="0" w:space="0" w:color="auto"/>
        <w:bottom w:val="none" w:sz="0" w:space="0" w:color="auto"/>
        <w:right w:val="none" w:sz="0" w:space="0" w:color="auto"/>
      </w:divBdr>
      <w:divsChild>
        <w:div w:id="1704670581">
          <w:marLeft w:val="480"/>
          <w:marRight w:val="0"/>
          <w:marTop w:val="0"/>
          <w:marBottom w:val="0"/>
          <w:divBdr>
            <w:top w:val="none" w:sz="0" w:space="0" w:color="auto"/>
            <w:left w:val="none" w:sz="0" w:space="0" w:color="auto"/>
            <w:bottom w:val="none" w:sz="0" w:space="0" w:color="auto"/>
            <w:right w:val="none" w:sz="0" w:space="0" w:color="auto"/>
          </w:divBdr>
        </w:div>
        <w:div w:id="1317032098">
          <w:marLeft w:val="480"/>
          <w:marRight w:val="0"/>
          <w:marTop w:val="0"/>
          <w:marBottom w:val="0"/>
          <w:divBdr>
            <w:top w:val="none" w:sz="0" w:space="0" w:color="auto"/>
            <w:left w:val="none" w:sz="0" w:space="0" w:color="auto"/>
            <w:bottom w:val="none" w:sz="0" w:space="0" w:color="auto"/>
            <w:right w:val="none" w:sz="0" w:space="0" w:color="auto"/>
          </w:divBdr>
        </w:div>
        <w:div w:id="1910381570">
          <w:marLeft w:val="480"/>
          <w:marRight w:val="0"/>
          <w:marTop w:val="0"/>
          <w:marBottom w:val="0"/>
          <w:divBdr>
            <w:top w:val="none" w:sz="0" w:space="0" w:color="auto"/>
            <w:left w:val="none" w:sz="0" w:space="0" w:color="auto"/>
            <w:bottom w:val="none" w:sz="0" w:space="0" w:color="auto"/>
            <w:right w:val="none" w:sz="0" w:space="0" w:color="auto"/>
          </w:divBdr>
        </w:div>
        <w:div w:id="2088843897">
          <w:marLeft w:val="480"/>
          <w:marRight w:val="0"/>
          <w:marTop w:val="0"/>
          <w:marBottom w:val="0"/>
          <w:divBdr>
            <w:top w:val="none" w:sz="0" w:space="0" w:color="auto"/>
            <w:left w:val="none" w:sz="0" w:space="0" w:color="auto"/>
            <w:bottom w:val="none" w:sz="0" w:space="0" w:color="auto"/>
            <w:right w:val="none" w:sz="0" w:space="0" w:color="auto"/>
          </w:divBdr>
        </w:div>
      </w:divsChild>
    </w:div>
    <w:div w:id="1607885372">
      <w:bodyDiv w:val="1"/>
      <w:marLeft w:val="0"/>
      <w:marRight w:val="0"/>
      <w:marTop w:val="0"/>
      <w:marBottom w:val="0"/>
      <w:divBdr>
        <w:top w:val="none" w:sz="0" w:space="0" w:color="auto"/>
        <w:left w:val="none" w:sz="0" w:space="0" w:color="auto"/>
        <w:bottom w:val="none" w:sz="0" w:space="0" w:color="auto"/>
        <w:right w:val="none" w:sz="0" w:space="0" w:color="auto"/>
      </w:divBdr>
      <w:divsChild>
        <w:div w:id="483157734">
          <w:marLeft w:val="480"/>
          <w:marRight w:val="0"/>
          <w:marTop w:val="0"/>
          <w:marBottom w:val="0"/>
          <w:divBdr>
            <w:top w:val="none" w:sz="0" w:space="0" w:color="auto"/>
            <w:left w:val="none" w:sz="0" w:space="0" w:color="auto"/>
            <w:bottom w:val="none" w:sz="0" w:space="0" w:color="auto"/>
            <w:right w:val="none" w:sz="0" w:space="0" w:color="auto"/>
          </w:divBdr>
        </w:div>
        <w:div w:id="493181977">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5898">
      <w:bodyDiv w:val="1"/>
      <w:marLeft w:val="0"/>
      <w:marRight w:val="0"/>
      <w:marTop w:val="0"/>
      <w:marBottom w:val="0"/>
      <w:divBdr>
        <w:top w:val="none" w:sz="0" w:space="0" w:color="auto"/>
        <w:left w:val="none" w:sz="0" w:space="0" w:color="auto"/>
        <w:bottom w:val="none" w:sz="0" w:space="0" w:color="auto"/>
        <w:right w:val="none" w:sz="0" w:space="0" w:color="auto"/>
      </w:divBdr>
      <w:divsChild>
        <w:div w:id="381170836">
          <w:marLeft w:val="480"/>
          <w:marRight w:val="0"/>
          <w:marTop w:val="0"/>
          <w:marBottom w:val="0"/>
          <w:divBdr>
            <w:top w:val="none" w:sz="0" w:space="0" w:color="auto"/>
            <w:left w:val="none" w:sz="0" w:space="0" w:color="auto"/>
            <w:bottom w:val="none" w:sz="0" w:space="0" w:color="auto"/>
            <w:right w:val="none" w:sz="0" w:space="0" w:color="auto"/>
          </w:divBdr>
        </w:div>
        <w:div w:id="630940937">
          <w:marLeft w:val="480"/>
          <w:marRight w:val="0"/>
          <w:marTop w:val="0"/>
          <w:marBottom w:val="0"/>
          <w:divBdr>
            <w:top w:val="none" w:sz="0" w:space="0" w:color="auto"/>
            <w:left w:val="none" w:sz="0" w:space="0" w:color="auto"/>
            <w:bottom w:val="none" w:sz="0" w:space="0" w:color="auto"/>
            <w:right w:val="none" w:sz="0" w:space="0" w:color="auto"/>
          </w:divBdr>
        </w:div>
        <w:div w:id="494230415">
          <w:marLeft w:val="480"/>
          <w:marRight w:val="0"/>
          <w:marTop w:val="0"/>
          <w:marBottom w:val="0"/>
          <w:divBdr>
            <w:top w:val="none" w:sz="0" w:space="0" w:color="auto"/>
            <w:left w:val="none" w:sz="0" w:space="0" w:color="auto"/>
            <w:bottom w:val="none" w:sz="0" w:space="0" w:color="auto"/>
            <w:right w:val="none" w:sz="0" w:space="0" w:color="auto"/>
          </w:divBdr>
        </w:div>
        <w:div w:id="435908272">
          <w:marLeft w:val="480"/>
          <w:marRight w:val="0"/>
          <w:marTop w:val="0"/>
          <w:marBottom w:val="0"/>
          <w:divBdr>
            <w:top w:val="none" w:sz="0" w:space="0" w:color="auto"/>
            <w:left w:val="none" w:sz="0" w:space="0" w:color="auto"/>
            <w:bottom w:val="none" w:sz="0" w:space="0" w:color="auto"/>
            <w:right w:val="none" w:sz="0" w:space="0" w:color="auto"/>
          </w:divBdr>
        </w:div>
        <w:div w:id="1833254692">
          <w:marLeft w:val="48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69697688">
      <w:bodyDiv w:val="1"/>
      <w:marLeft w:val="0"/>
      <w:marRight w:val="0"/>
      <w:marTop w:val="0"/>
      <w:marBottom w:val="0"/>
      <w:divBdr>
        <w:top w:val="none" w:sz="0" w:space="0" w:color="auto"/>
        <w:left w:val="none" w:sz="0" w:space="0" w:color="auto"/>
        <w:bottom w:val="none" w:sz="0" w:space="0" w:color="auto"/>
        <w:right w:val="none" w:sz="0" w:space="0" w:color="auto"/>
      </w:divBdr>
      <w:divsChild>
        <w:div w:id="475148447">
          <w:marLeft w:val="480"/>
          <w:marRight w:val="0"/>
          <w:marTop w:val="0"/>
          <w:marBottom w:val="0"/>
          <w:divBdr>
            <w:top w:val="none" w:sz="0" w:space="0" w:color="auto"/>
            <w:left w:val="none" w:sz="0" w:space="0" w:color="auto"/>
            <w:bottom w:val="none" w:sz="0" w:space="0" w:color="auto"/>
            <w:right w:val="none" w:sz="0" w:space="0" w:color="auto"/>
          </w:divBdr>
        </w:div>
        <w:div w:id="1451822440">
          <w:marLeft w:val="480"/>
          <w:marRight w:val="0"/>
          <w:marTop w:val="0"/>
          <w:marBottom w:val="0"/>
          <w:divBdr>
            <w:top w:val="none" w:sz="0" w:space="0" w:color="auto"/>
            <w:left w:val="none" w:sz="0" w:space="0" w:color="auto"/>
            <w:bottom w:val="none" w:sz="0" w:space="0" w:color="auto"/>
            <w:right w:val="none" w:sz="0" w:space="0" w:color="auto"/>
          </w:divBdr>
        </w:div>
      </w:divsChild>
    </w:div>
    <w:div w:id="1788234716">
      <w:bodyDiv w:val="1"/>
      <w:marLeft w:val="0"/>
      <w:marRight w:val="0"/>
      <w:marTop w:val="0"/>
      <w:marBottom w:val="0"/>
      <w:divBdr>
        <w:top w:val="none" w:sz="0" w:space="0" w:color="auto"/>
        <w:left w:val="none" w:sz="0" w:space="0" w:color="auto"/>
        <w:bottom w:val="none" w:sz="0" w:space="0" w:color="auto"/>
        <w:right w:val="none" w:sz="0" w:space="0" w:color="auto"/>
      </w:divBdr>
    </w:div>
    <w:div w:id="1851795570">
      <w:bodyDiv w:val="1"/>
      <w:marLeft w:val="0"/>
      <w:marRight w:val="0"/>
      <w:marTop w:val="0"/>
      <w:marBottom w:val="0"/>
      <w:divBdr>
        <w:top w:val="none" w:sz="0" w:space="0" w:color="auto"/>
        <w:left w:val="none" w:sz="0" w:space="0" w:color="auto"/>
        <w:bottom w:val="none" w:sz="0" w:space="0" w:color="auto"/>
        <w:right w:val="none" w:sz="0" w:space="0" w:color="auto"/>
      </w:divBdr>
      <w:divsChild>
        <w:div w:id="988896736">
          <w:marLeft w:val="480"/>
          <w:marRight w:val="0"/>
          <w:marTop w:val="0"/>
          <w:marBottom w:val="0"/>
          <w:divBdr>
            <w:top w:val="none" w:sz="0" w:space="0" w:color="auto"/>
            <w:left w:val="none" w:sz="0" w:space="0" w:color="auto"/>
            <w:bottom w:val="none" w:sz="0" w:space="0" w:color="auto"/>
            <w:right w:val="none" w:sz="0" w:space="0" w:color="auto"/>
          </w:divBdr>
        </w:div>
      </w:divsChild>
    </w:div>
    <w:div w:id="2000117196">
      <w:bodyDiv w:val="1"/>
      <w:marLeft w:val="0"/>
      <w:marRight w:val="0"/>
      <w:marTop w:val="0"/>
      <w:marBottom w:val="0"/>
      <w:divBdr>
        <w:top w:val="none" w:sz="0" w:space="0" w:color="auto"/>
        <w:left w:val="none" w:sz="0" w:space="0" w:color="auto"/>
        <w:bottom w:val="none" w:sz="0" w:space="0" w:color="auto"/>
        <w:right w:val="none" w:sz="0" w:space="0" w:color="auto"/>
      </w:divBdr>
      <w:divsChild>
        <w:div w:id="1253851178">
          <w:marLeft w:val="480"/>
          <w:marRight w:val="0"/>
          <w:marTop w:val="0"/>
          <w:marBottom w:val="0"/>
          <w:divBdr>
            <w:top w:val="none" w:sz="0" w:space="0" w:color="auto"/>
            <w:left w:val="none" w:sz="0" w:space="0" w:color="auto"/>
            <w:bottom w:val="none" w:sz="0" w:space="0" w:color="auto"/>
            <w:right w:val="none" w:sz="0" w:space="0" w:color="auto"/>
          </w:divBdr>
        </w:div>
        <w:div w:id="462039251">
          <w:marLeft w:val="480"/>
          <w:marRight w:val="0"/>
          <w:marTop w:val="0"/>
          <w:marBottom w:val="0"/>
          <w:divBdr>
            <w:top w:val="none" w:sz="0" w:space="0" w:color="auto"/>
            <w:left w:val="none" w:sz="0" w:space="0" w:color="auto"/>
            <w:bottom w:val="none" w:sz="0" w:space="0" w:color="auto"/>
            <w:right w:val="none" w:sz="0" w:space="0" w:color="auto"/>
          </w:divBdr>
        </w:div>
        <w:div w:id="737628169">
          <w:marLeft w:val="480"/>
          <w:marRight w:val="0"/>
          <w:marTop w:val="0"/>
          <w:marBottom w:val="0"/>
          <w:divBdr>
            <w:top w:val="none" w:sz="0" w:space="0" w:color="auto"/>
            <w:left w:val="none" w:sz="0" w:space="0" w:color="auto"/>
            <w:bottom w:val="none" w:sz="0" w:space="0" w:color="auto"/>
            <w:right w:val="none" w:sz="0" w:space="0" w:color="auto"/>
          </w:divBdr>
        </w:div>
        <w:div w:id="2030377349">
          <w:marLeft w:val="480"/>
          <w:marRight w:val="0"/>
          <w:marTop w:val="0"/>
          <w:marBottom w:val="0"/>
          <w:divBdr>
            <w:top w:val="none" w:sz="0" w:space="0" w:color="auto"/>
            <w:left w:val="none" w:sz="0" w:space="0" w:color="auto"/>
            <w:bottom w:val="none" w:sz="0" w:space="0" w:color="auto"/>
            <w:right w:val="none" w:sz="0" w:space="0" w:color="auto"/>
          </w:divBdr>
        </w:div>
        <w:div w:id="576135647">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4"/>
          <c:order val="4"/>
          <c:tx>
            <c:strRef>
              <c:f>'Exergy Assessment'!$B$15</c:f>
              <c:strCache>
                <c:ptCount val="1"/>
                <c:pt idx="0">
                  <c:v>Global exergetic efficiency of the process (%)</c:v>
                </c:pt>
              </c:strCache>
            </c:strRef>
          </c:tx>
          <c:spPr>
            <a:solidFill>
              <a:schemeClr val="accent6">
                <a:lumMod val="40000"/>
                <a:lumOff val="60000"/>
              </a:schemeClr>
            </a:solidFill>
            <a:ln w="19050">
              <a:solidFill>
                <a:schemeClr val="accent6">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'Exergy Assessment'!$C$15</c:f>
              <c:numCache>
                <c:formatCode>0.00%</c:formatCode>
                <c:ptCount val="1"/>
                <c:pt idx="0">
                  <c:v>0.98077102448597109</c:v>
                </c:pt>
              </c:numCache>
            </c:numRef>
          </c:val>
          <c:extLst>
            <c:ext xmlns:c16="http://schemas.microsoft.com/office/drawing/2014/chart" uri="{C3380CC4-5D6E-409C-BE32-E72D297353CC}">
              <c16:uniqueId val="{00000001-CE87-4DE6-A65B-E89260F3CFC6}"/>
            </c:ext>
          </c:extLst>
        </c:ser>
        <c:dLbls>
          <c:showLegendKey val="0"/>
          <c:showVal val="1"/>
          <c:showCatName val="0"/>
          <c:showSerName val="0"/>
          <c:showPercent val="0"/>
          <c:showBubbleSize val="0"/>
        </c:dLbls>
        <c:gapWidth val="100"/>
        <c:axId val="1512002064"/>
        <c:axId val="1512001232"/>
      </c:barChart>
      <c:barChart>
        <c:barDir val="col"/>
        <c:grouping val="clustered"/>
        <c:varyColors val="0"/>
        <c:ser>
          <c:idx val="0"/>
          <c:order val="0"/>
          <c:tx>
            <c:strRef>
              <c:f>'Exergy Assessment'!$G$4</c:f>
              <c:strCache>
                <c:ptCount val="1"/>
                <c:pt idx="0">
                  <c:v>Utilities Exergy - in (MJ/h)</c:v>
                </c:pt>
              </c:strCache>
            </c:strRef>
          </c:tx>
          <c:spPr>
            <a:solidFill>
              <a:srgbClr val="FF9999"/>
            </a:solidFill>
            <a:ln w="19050">
              <a:solidFill>
                <a:srgbClr val="993366"/>
              </a:solidFill>
            </a:ln>
            <a:effectLst/>
          </c:spPr>
          <c:invertIfNegative val="0"/>
          <c:dLbls>
            <c:dLbl>
              <c:idx val="0"/>
              <c:layout>
                <c:manualLayout>
                  <c:x val="-7.1942446043165471E-3"/>
                  <c:y val="-0.11369509043927649"/>
                </c:manualLayout>
              </c:layout>
              <c:numFmt formatCode="###,00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87-4DE6-A65B-E89260F3CFC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'Exergy Assessment'!$G$13</c:f>
              <c:numCache>
                <c:formatCode>#,##0.00</c:formatCode>
                <c:ptCount val="1"/>
                <c:pt idx="0">
                  <c:v>544418.72972110903</c:v>
                </c:pt>
              </c:numCache>
            </c:numRef>
          </c:val>
          <c:extLst>
            <c:ext xmlns:c16="http://schemas.microsoft.com/office/drawing/2014/chart" uri="{C3380CC4-5D6E-409C-BE32-E72D297353CC}">
              <c16:uniqueId val="{00000002-CE87-4DE6-A65B-E89260F3CFC6}"/>
            </c:ext>
          </c:extLst>
        </c:ser>
        <c:ser>
          <c:idx val="1"/>
          <c:order val="1"/>
          <c:tx>
            <c:strRef>
              <c:f>'Exergy Assessment'!$K$4</c:f>
              <c:strCache>
                <c:ptCount val="1"/>
                <c:pt idx="0">
                  <c:v>Residues Exergy - out  (MJ/h)</c:v>
                </c:pt>
              </c:strCache>
            </c:strRef>
          </c:tx>
          <c:spPr>
            <a:solidFill>
              <a:schemeClr val="accent2">
                <a:lumMod val="60000"/>
                <a:lumOff val="40000"/>
              </a:schemeClr>
            </a:solidFill>
            <a:ln w="19050">
              <a:solidFill>
                <a:schemeClr val="accent2">
                  <a:lumMod val="75000"/>
                </a:schemeClr>
              </a:solidFill>
            </a:ln>
            <a:effectLst/>
          </c:spPr>
          <c:invertIfNegative val="0"/>
          <c:dLbls>
            <c:dLbl>
              <c:idx val="0"/>
              <c:layout>
                <c:manualLayout>
                  <c:x val="-2.3980815347721868E-2"/>
                  <c:y val="-0.24806201550387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87-4DE6-A65B-E89260F3CFC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'Exergy Assessment'!$K$13</c:f>
              <c:numCache>
                <c:formatCode>#,##0.00</c:formatCode>
                <c:ptCount val="1"/>
                <c:pt idx="0">
                  <c:v>1041156.6613589226</c:v>
                </c:pt>
              </c:numCache>
            </c:numRef>
          </c:val>
          <c:extLst>
            <c:ext xmlns:c16="http://schemas.microsoft.com/office/drawing/2014/chart" uri="{C3380CC4-5D6E-409C-BE32-E72D297353CC}">
              <c16:uniqueId val="{00000004-CE87-4DE6-A65B-E89260F3CFC6}"/>
            </c:ext>
          </c:extLst>
        </c:ser>
        <c:ser>
          <c:idx val="2"/>
          <c:order val="2"/>
          <c:tx>
            <c:strRef>
              <c:f>'Exergy Assessment'!$M$4</c:f>
              <c:strCache>
                <c:ptCount val="1"/>
                <c:pt idx="0">
                  <c:v>Exergy losses (MJ/h)</c:v>
                </c:pt>
              </c:strCache>
            </c:strRef>
          </c:tx>
          <c:spPr>
            <a:solidFill>
              <a:schemeClr val="bg1">
                <a:lumMod val="75000"/>
              </a:schemeClr>
            </a:solidFill>
            <a:ln w="19050">
              <a:solidFill>
                <a:schemeClr val="bg1">
                  <a:lumMod val="50000"/>
                </a:schemeClr>
              </a:solidFill>
            </a:ln>
            <a:effectLst/>
          </c:spPr>
          <c:invertIfNegative val="0"/>
          <c:dLbls>
            <c:dLbl>
              <c:idx val="0"/>
              <c:layout>
                <c:manualLayout>
                  <c:x val="-2.1582733812949641E-2"/>
                  <c:y val="-0.144702842377261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87-4DE6-A65B-E89260F3CFC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'Exergy Assessment'!$M$13</c:f>
              <c:numCache>
                <c:formatCode>#,##0.00</c:formatCode>
                <c:ptCount val="1"/>
                <c:pt idx="0">
                  <c:v>985327.9750329298</c:v>
                </c:pt>
              </c:numCache>
            </c:numRef>
          </c:val>
          <c:extLst>
            <c:ext xmlns:c16="http://schemas.microsoft.com/office/drawing/2014/chart" uri="{C3380CC4-5D6E-409C-BE32-E72D297353CC}">
              <c16:uniqueId val="{00000006-CE87-4DE6-A65B-E89260F3CFC6}"/>
            </c:ext>
          </c:extLst>
        </c:ser>
        <c:ser>
          <c:idx val="3"/>
          <c:order val="3"/>
          <c:tx>
            <c:strRef>
              <c:f>'Exergy Assessment'!$N$4</c:f>
              <c:strCache>
                <c:ptCount val="1"/>
                <c:pt idx="0">
                  <c:v>Total irreversibilities (MJ/h)</c:v>
                </c:pt>
              </c:strCache>
            </c:strRef>
          </c:tx>
          <c:spPr>
            <a:solidFill>
              <a:schemeClr val="accent5">
                <a:lumMod val="60000"/>
                <a:lumOff val="40000"/>
              </a:schemeClr>
            </a:solidFill>
            <a:ln w="19050">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'Exergy Assessment'!$N$13</c:f>
              <c:numCache>
                <c:formatCode>#,##0.00</c:formatCode>
                <c:ptCount val="1"/>
                <c:pt idx="0">
                  <c:v>2026484.6363918632</c:v>
                </c:pt>
              </c:numCache>
            </c:numRef>
          </c:val>
          <c:extLst>
            <c:ext xmlns:c16="http://schemas.microsoft.com/office/drawing/2014/chart" uri="{C3380CC4-5D6E-409C-BE32-E72D297353CC}">
              <c16:uniqueId val="{00000007-CE87-4DE6-A65B-E89260F3CFC6}"/>
            </c:ext>
          </c:extLst>
        </c:ser>
        <c:dLbls>
          <c:showLegendKey val="0"/>
          <c:showVal val="1"/>
          <c:showCatName val="0"/>
          <c:showSerName val="0"/>
          <c:showPercent val="0"/>
          <c:showBubbleSize val="0"/>
        </c:dLbls>
        <c:gapWidth val="500"/>
        <c:axId val="216392272"/>
        <c:axId val="912120640"/>
      </c:barChart>
      <c:catAx>
        <c:axId val="1512002064"/>
        <c:scaling>
          <c:orientation val="minMax"/>
        </c:scaling>
        <c:delete val="1"/>
        <c:axPos val="b"/>
        <c:majorTickMark val="none"/>
        <c:minorTickMark val="none"/>
        <c:tickLblPos val="nextTo"/>
        <c:crossAx val="1512001232"/>
        <c:crosses val="autoZero"/>
        <c:auto val="1"/>
        <c:lblAlgn val="ctr"/>
        <c:lblOffset val="100"/>
        <c:noMultiLvlLbl val="0"/>
      </c:catAx>
      <c:valAx>
        <c:axId val="1512001232"/>
        <c:scaling>
          <c:orientation val="minMax"/>
          <c:max val="1"/>
          <c:min val="0.97"/>
        </c:scaling>
        <c:delete val="0"/>
        <c:axPos val="l"/>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CO"/>
          </a:p>
        </c:txPr>
        <c:crossAx val="1512002064"/>
        <c:crosses val="autoZero"/>
        <c:crossBetween val="between"/>
      </c:valAx>
      <c:valAx>
        <c:axId val="912120640"/>
        <c:scaling>
          <c:orientation val="minMax"/>
        </c:scaling>
        <c:delete val="0"/>
        <c:axPos val="r"/>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16392272"/>
        <c:crosses val="max"/>
        <c:crossBetween val="between"/>
      </c:valAx>
      <c:catAx>
        <c:axId val="216392272"/>
        <c:scaling>
          <c:orientation val="minMax"/>
        </c:scaling>
        <c:delete val="1"/>
        <c:axPos val="b"/>
        <c:majorTickMark val="out"/>
        <c:minorTickMark val="none"/>
        <c:tickLblPos val="nextTo"/>
        <c:crossAx val="912120640"/>
        <c:crosses val="autoZero"/>
        <c:auto val="1"/>
        <c:lblAlgn val="ctr"/>
        <c:lblOffset val="100"/>
        <c:noMultiLvlLbl val="0"/>
      </c:catAx>
      <c:spPr>
        <a:solidFill>
          <a:schemeClr val="lt1"/>
        </a:solidFill>
        <a:ln w="12700" cap="flat" cmpd="sng" algn="ctr">
          <a:solidFill>
            <a:schemeClr val="dk1"/>
          </a:solidFill>
          <a:prstDash val="solid"/>
          <a:miter lim="800000"/>
        </a:ln>
        <a:effectLst/>
      </c:spPr>
    </c:plotArea>
    <c:legend>
      <c:legendPos val="r"/>
      <c:layout>
        <c:manualLayout>
          <c:xMode val="edge"/>
          <c:yMode val="edge"/>
          <c:x val="6.1903548027719558E-2"/>
          <c:y val="0.12549594091436245"/>
          <c:w val="0.21718396832666084"/>
          <c:h val="0.82438625404382593"/>
        </c:manualLayout>
      </c:layout>
      <c:overlay val="1"/>
      <c:spPr>
        <a:noFill/>
        <a:ln>
          <a:noFill/>
        </a:ln>
        <a:effectLst/>
      </c:spPr>
      <c:txPr>
        <a:bodyPr rot="0" spcFirstLastPara="1" vertOverflow="ellipsis" vert="horz" wrap="square" anchor="ctr" anchorCtr="1"/>
        <a:lstStyle/>
        <a:p>
          <a:pPr>
            <a:defRPr sz="6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effectLst/>
          </c:spPr>
          <c:dPt>
            <c:idx val="0"/>
            <c:bubble3D val="0"/>
            <c:spPr>
              <a:solidFill>
                <a:schemeClr val="accent1"/>
              </a:solidFill>
              <a:ln>
                <a:noFill/>
              </a:ln>
              <a:effectLst/>
              <a:sp3d/>
            </c:spPr>
            <c:extLst>
              <c:ext xmlns:c16="http://schemas.microsoft.com/office/drawing/2014/chart" uri="{C3380CC4-5D6E-409C-BE32-E72D297353CC}">
                <c16:uniqueId val="{00000001-EA7D-4E47-9FD5-DD43712369D2}"/>
              </c:ext>
            </c:extLst>
          </c:dPt>
          <c:dPt>
            <c:idx val="1"/>
            <c:bubble3D val="0"/>
            <c:spPr>
              <a:solidFill>
                <a:schemeClr val="accent2"/>
              </a:solidFill>
              <a:ln>
                <a:noFill/>
              </a:ln>
              <a:effectLst/>
              <a:sp3d/>
            </c:spPr>
            <c:extLst>
              <c:ext xmlns:c16="http://schemas.microsoft.com/office/drawing/2014/chart" uri="{C3380CC4-5D6E-409C-BE32-E72D297353CC}">
                <c16:uniqueId val="{00000003-EA7D-4E47-9FD5-DD43712369D2}"/>
              </c:ext>
            </c:extLst>
          </c:dPt>
          <c:dPt>
            <c:idx val="2"/>
            <c:bubble3D val="0"/>
            <c:spPr>
              <a:solidFill>
                <a:schemeClr val="accent3"/>
              </a:solidFill>
              <a:ln w="19050">
                <a:noFill/>
              </a:ln>
              <a:effectLst/>
              <a:sp3d/>
            </c:spPr>
            <c:extLst>
              <c:ext xmlns:c16="http://schemas.microsoft.com/office/drawing/2014/chart" uri="{C3380CC4-5D6E-409C-BE32-E72D297353CC}">
                <c16:uniqueId val="{00000005-EA7D-4E47-9FD5-DD43712369D2}"/>
              </c:ext>
            </c:extLst>
          </c:dPt>
          <c:dPt>
            <c:idx val="3"/>
            <c:bubble3D val="0"/>
            <c:spPr>
              <a:solidFill>
                <a:schemeClr val="accent4"/>
              </a:solidFill>
              <a:ln>
                <a:noFill/>
              </a:ln>
              <a:effectLst/>
              <a:sp3d/>
            </c:spPr>
            <c:extLst>
              <c:ext xmlns:c16="http://schemas.microsoft.com/office/drawing/2014/chart" uri="{C3380CC4-5D6E-409C-BE32-E72D297353CC}">
                <c16:uniqueId val="{00000007-EA7D-4E47-9FD5-DD43712369D2}"/>
              </c:ext>
            </c:extLst>
          </c:dPt>
          <c:dPt>
            <c:idx val="4"/>
            <c:bubble3D val="0"/>
            <c:spPr>
              <a:solidFill>
                <a:schemeClr val="accent5"/>
              </a:solidFill>
              <a:ln>
                <a:noFill/>
              </a:ln>
              <a:effectLst/>
              <a:sp3d/>
            </c:spPr>
            <c:extLst>
              <c:ext xmlns:c16="http://schemas.microsoft.com/office/drawing/2014/chart" uri="{C3380CC4-5D6E-409C-BE32-E72D297353CC}">
                <c16:uniqueId val="{00000009-EA7D-4E47-9FD5-DD43712369D2}"/>
              </c:ext>
            </c:extLst>
          </c:dPt>
          <c:dPt>
            <c:idx val="5"/>
            <c:bubble3D val="0"/>
            <c:spPr>
              <a:solidFill>
                <a:schemeClr val="accent6"/>
              </a:solidFill>
              <a:ln>
                <a:noFill/>
              </a:ln>
              <a:effectLst/>
              <a:sp3d/>
            </c:spPr>
            <c:extLst>
              <c:ext xmlns:c16="http://schemas.microsoft.com/office/drawing/2014/chart" uri="{C3380CC4-5D6E-409C-BE32-E72D297353CC}">
                <c16:uniqueId val="{0000000B-EA7D-4E47-9FD5-DD43712369D2}"/>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0D-EA7D-4E47-9FD5-DD43712369D2}"/>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0F-EA7D-4E47-9FD5-DD43712369D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'Exergy Assessment'!$B$45:$B$52</c:f>
              <c:strCache>
                <c:ptCount val="8"/>
                <c:pt idx="0">
                  <c:v>Reaction Stage </c:v>
                </c:pt>
                <c:pt idx="1">
                  <c:v>Residual Hydrogen and Recycle Hydrogen Recovery</c:v>
                </c:pt>
                <c:pt idx="2">
                  <c:v>Hydrogen Purification and Make-up Hydrogen Conditioning </c:v>
                </c:pt>
                <c:pt idx="3">
                  <c:v>Stripping  </c:v>
                </c:pt>
                <c:pt idx="4">
                  <c:v>Debutanization </c:v>
                </c:pt>
                <c:pt idx="5">
                  <c:v>Fractionation </c:v>
                </c:pt>
                <c:pt idx="6">
                  <c:v>Naphtha Separation</c:v>
                </c:pt>
                <c:pt idx="7">
                  <c:v>Conditioning of Wastewater Streams </c:v>
                </c:pt>
              </c:strCache>
            </c:strRef>
          </c:cat>
          <c:val>
            <c:numRef>
              <c:f>'Exergy Assessment'!$C$45:$C$52</c:f>
              <c:numCache>
                <c:formatCode>0.00%</c:formatCode>
                <c:ptCount val="8"/>
                <c:pt idx="0">
                  <c:v>0.31115928583170133</c:v>
                </c:pt>
                <c:pt idx="1">
                  <c:v>3.5138878133286616E-3</c:v>
                </c:pt>
                <c:pt idx="2">
                  <c:v>0.45187498080737831</c:v>
                </c:pt>
                <c:pt idx="3">
                  <c:v>7.9886689767422622E-2</c:v>
                </c:pt>
                <c:pt idx="4">
                  <c:v>4.7574770167007115E-3</c:v>
                </c:pt>
                <c:pt idx="5">
                  <c:v>0.13869012561286273</c:v>
                </c:pt>
                <c:pt idx="6">
                  <c:v>4.4415607759806268E-3</c:v>
                </c:pt>
                <c:pt idx="7">
                  <c:v>5.6759923746199153E-3</c:v>
                </c:pt>
              </c:numCache>
            </c:numRef>
          </c:val>
          <c:extLst>
            <c:ext xmlns:c16="http://schemas.microsoft.com/office/drawing/2014/chart" uri="{C3380CC4-5D6E-409C-BE32-E72D297353CC}">
              <c16:uniqueId val="{00000010-EA7D-4E47-9FD5-DD43712369D2}"/>
            </c:ext>
          </c:extLst>
        </c:ser>
        <c:dLbls>
          <c:dLblPos val="bestFit"/>
          <c:showLegendKey val="0"/>
          <c:showVal val="1"/>
          <c:showCatName val="0"/>
          <c:showSerName val="0"/>
          <c:showPercent val="0"/>
          <c:showBubbleSize val="0"/>
          <c:showLeaderLines val="1"/>
        </c:dLbls>
      </c:pie3DChart>
      <c:spPr>
        <a:solidFill>
          <a:sysClr val="window" lastClr="FFFFFF"/>
        </a:solidFill>
        <a:ln>
          <a:noFill/>
        </a:ln>
        <a:effectLst/>
      </c:spPr>
    </c:plotArea>
    <c:legend>
      <c:legendPos val="r"/>
      <c:layout>
        <c:manualLayout>
          <c:xMode val="edge"/>
          <c:yMode val="edge"/>
          <c:x val="0.6644978966670263"/>
          <c:y val="8.7566831923787287E-3"/>
          <c:w val="0.31990323790171388"/>
          <c:h val="0.99124336202160779"/>
        </c:manualLayout>
      </c:layout>
      <c:overlay val="0"/>
      <c:spPr>
        <a:solidFill>
          <a:sysClr val="window" lastClr="FFFFFF"/>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285427159442905E-2"/>
          <c:y val="7.2385911438489547E-2"/>
          <c:w val="0.87450592150839868"/>
          <c:h val="0.69270601097775908"/>
        </c:manualLayout>
      </c:layout>
      <c:barChart>
        <c:barDir val="col"/>
        <c:grouping val="clustered"/>
        <c:varyColors val="0"/>
        <c:ser>
          <c:idx val="0"/>
          <c:order val="0"/>
          <c:tx>
            <c:strRef>
              <c:f>'[Chart in Microsoft Word]Exergy Assessment'!$K$4</c:f>
              <c:strCache>
                <c:ptCount val="1"/>
                <c:pt idx="0">
                  <c:v>Residues Exergy - out  (MJ/h)</c:v>
                </c:pt>
              </c:strCache>
            </c:strRef>
          </c:tx>
          <c:spPr>
            <a:solidFill>
              <a:schemeClr val="accent1">
                <a:lumMod val="50000"/>
              </a:schemeClr>
            </a:solidFill>
            <a:ln w="19050">
              <a:solidFill>
                <a:schemeClr val="tx2">
                  <a:lumMod val="75000"/>
                </a:schemeClr>
              </a:solidFill>
            </a:ln>
            <a:effectLst/>
          </c:spPr>
          <c:invertIfNegative val="0"/>
          <c:cat>
            <c:strRef>
              <c:f>'[Chart in Microsoft Word]Exergy Assessment'!$B$5:$B$12</c:f>
              <c:strCache>
                <c:ptCount val="8"/>
                <c:pt idx="0">
                  <c:v>Reaction Stage </c:v>
                </c:pt>
                <c:pt idx="1">
                  <c:v>Residual Hydrogen and Recycle Hydrogen Recovery</c:v>
                </c:pt>
                <c:pt idx="2">
                  <c:v>Hydrogen Purification and Make-up Hydrogen Conditioning </c:v>
                </c:pt>
                <c:pt idx="3">
                  <c:v>Stripping  </c:v>
                </c:pt>
                <c:pt idx="4">
                  <c:v>Debutanization </c:v>
                </c:pt>
                <c:pt idx="5">
                  <c:v>Fractionation </c:v>
                </c:pt>
                <c:pt idx="6">
                  <c:v>Naphtha Separation</c:v>
                </c:pt>
                <c:pt idx="7">
                  <c:v>Conditioning of Wastewater Streams </c:v>
                </c:pt>
              </c:strCache>
            </c:strRef>
          </c:cat>
          <c:val>
            <c:numRef>
              <c:f>'[Chart in Microsoft Word]Exergy Assessment'!$K$5:$K$8</c:f>
              <c:numCache>
                <c:formatCode>#,##0.00</c:formatCode>
                <c:ptCount val="4"/>
                <c:pt idx="0">
                  <c:v>23959.78229600974</c:v>
                </c:pt>
                <c:pt idx="1">
                  <c:v>0</c:v>
                </c:pt>
                <c:pt idx="2">
                  <c:v>873828.41881763062</c:v>
                </c:pt>
                <c:pt idx="3">
                  <c:v>115576.55742859402</c:v>
                </c:pt>
              </c:numCache>
            </c:numRef>
          </c:val>
          <c:extLst>
            <c:ext xmlns:c16="http://schemas.microsoft.com/office/drawing/2014/chart" uri="{C3380CC4-5D6E-409C-BE32-E72D297353CC}">
              <c16:uniqueId val="{00000000-1A04-4665-9FC8-9C89958C4E6B}"/>
            </c:ext>
          </c:extLst>
        </c:ser>
        <c:ser>
          <c:idx val="1"/>
          <c:order val="1"/>
          <c:tx>
            <c:strRef>
              <c:f>'[Chart in Microsoft Word]Exergy Assessment'!$M$4</c:f>
              <c:strCache>
                <c:ptCount val="1"/>
                <c:pt idx="0">
                  <c:v>Exergy losses (MJ/h)</c:v>
                </c:pt>
              </c:strCache>
            </c:strRef>
          </c:tx>
          <c:spPr>
            <a:solidFill>
              <a:schemeClr val="accent2"/>
            </a:solidFill>
            <a:ln w="19050">
              <a:solidFill>
                <a:schemeClr val="accent2">
                  <a:lumMod val="50000"/>
                </a:schemeClr>
              </a:solidFill>
            </a:ln>
            <a:effectLst/>
          </c:spPr>
          <c:invertIfNegative val="0"/>
          <c:cat>
            <c:strRef>
              <c:f>'[Chart in Microsoft Word]Exergy Assessment'!$B$5:$B$12</c:f>
              <c:strCache>
                <c:ptCount val="8"/>
                <c:pt idx="0">
                  <c:v>Reaction Stage </c:v>
                </c:pt>
                <c:pt idx="1">
                  <c:v>Residual Hydrogen and Recycle Hydrogen Recovery</c:v>
                </c:pt>
                <c:pt idx="2">
                  <c:v>Hydrogen Purification and Make-up Hydrogen Conditioning </c:v>
                </c:pt>
                <c:pt idx="3">
                  <c:v>Stripping  </c:v>
                </c:pt>
                <c:pt idx="4">
                  <c:v>Debutanization </c:v>
                </c:pt>
                <c:pt idx="5">
                  <c:v>Fractionation </c:v>
                </c:pt>
                <c:pt idx="6">
                  <c:v>Naphtha Separation</c:v>
                </c:pt>
                <c:pt idx="7">
                  <c:v>Conditioning of Wastewater Streams </c:v>
                </c:pt>
              </c:strCache>
            </c:strRef>
          </c:cat>
          <c:val>
            <c:numRef>
              <c:f>'[Chart in Microsoft Word]Exergy Assessment'!$M$5:$M$8</c:f>
              <c:numCache>
                <c:formatCode>#,##0.00</c:formatCode>
                <c:ptCount val="4"/>
                <c:pt idx="0">
                  <c:v>606599.72991259769</c:v>
                </c:pt>
                <c:pt idx="1">
                  <c:v>7120.8396677151322</c:v>
                </c:pt>
                <c:pt idx="2">
                  <c:v>41889.287358390167</c:v>
                </c:pt>
                <c:pt idx="3">
                  <c:v>46312.592037290335</c:v>
                </c:pt>
              </c:numCache>
            </c:numRef>
          </c:val>
          <c:extLst>
            <c:ext xmlns:c16="http://schemas.microsoft.com/office/drawing/2014/chart" uri="{C3380CC4-5D6E-409C-BE32-E72D297353CC}">
              <c16:uniqueId val="{00000001-1A04-4665-9FC8-9C89958C4E6B}"/>
            </c:ext>
          </c:extLst>
        </c:ser>
        <c:ser>
          <c:idx val="2"/>
          <c:order val="2"/>
          <c:tx>
            <c:strRef>
              <c:f>'[Chart in Microsoft Word]Exergy Assessment'!$N$4</c:f>
              <c:strCache>
                <c:ptCount val="1"/>
                <c:pt idx="0">
                  <c:v>Total irreversibilities (MJ/h)</c:v>
                </c:pt>
              </c:strCache>
            </c:strRef>
          </c:tx>
          <c:spPr>
            <a:solidFill>
              <a:schemeClr val="bg1">
                <a:lumMod val="75000"/>
              </a:schemeClr>
            </a:solidFill>
            <a:ln w="19050">
              <a:solidFill>
                <a:schemeClr val="bg2">
                  <a:lumMod val="50000"/>
                </a:schemeClr>
              </a:solidFill>
            </a:ln>
            <a:effectLst/>
          </c:spPr>
          <c:invertIfNegative val="0"/>
          <c:cat>
            <c:strRef>
              <c:f>'[Chart in Microsoft Word]Exergy Assessment'!$B$5:$B$12</c:f>
              <c:strCache>
                <c:ptCount val="8"/>
                <c:pt idx="0">
                  <c:v>Reaction Stage </c:v>
                </c:pt>
                <c:pt idx="1">
                  <c:v>Residual Hydrogen and Recycle Hydrogen Recovery</c:v>
                </c:pt>
                <c:pt idx="2">
                  <c:v>Hydrogen Purification and Make-up Hydrogen Conditioning </c:v>
                </c:pt>
                <c:pt idx="3">
                  <c:v>Stripping  </c:v>
                </c:pt>
                <c:pt idx="4">
                  <c:v>Debutanization </c:v>
                </c:pt>
                <c:pt idx="5">
                  <c:v>Fractionation </c:v>
                </c:pt>
                <c:pt idx="6">
                  <c:v>Naphtha Separation</c:v>
                </c:pt>
                <c:pt idx="7">
                  <c:v>Conditioning of Wastewater Streams </c:v>
                </c:pt>
              </c:strCache>
            </c:strRef>
          </c:cat>
          <c:val>
            <c:numRef>
              <c:f>'[Chart in Microsoft Word]Exergy Assessment'!$N$5:$N$8</c:f>
              <c:numCache>
                <c:formatCode>#,##0.00</c:formatCode>
                <c:ptCount val="4"/>
                <c:pt idx="0">
                  <c:v>630559.51220860705</c:v>
                </c:pt>
                <c:pt idx="1">
                  <c:v>7120.8396677151322</c:v>
                </c:pt>
                <c:pt idx="2">
                  <c:v>915717.70617602021</c:v>
                </c:pt>
                <c:pt idx="3">
                  <c:v>161889.14946588501</c:v>
                </c:pt>
              </c:numCache>
            </c:numRef>
          </c:val>
          <c:extLst>
            <c:ext xmlns:c16="http://schemas.microsoft.com/office/drawing/2014/chart" uri="{C3380CC4-5D6E-409C-BE32-E72D297353CC}">
              <c16:uniqueId val="{00000002-1A04-4665-9FC8-9C89958C4E6B}"/>
            </c:ext>
          </c:extLst>
        </c:ser>
        <c:dLbls>
          <c:showLegendKey val="0"/>
          <c:showVal val="0"/>
          <c:showCatName val="0"/>
          <c:showSerName val="0"/>
          <c:showPercent val="0"/>
          <c:showBubbleSize val="0"/>
        </c:dLbls>
        <c:gapWidth val="219"/>
        <c:axId val="508358320"/>
        <c:axId val="508360400"/>
      </c:barChart>
      <c:barChart>
        <c:barDir val="col"/>
        <c:grouping val="clustered"/>
        <c:varyColors val="0"/>
        <c:ser>
          <c:idx val="3"/>
          <c:order val="3"/>
          <c:tx>
            <c:strRef>
              <c:f>'[Chart in Microsoft Word]Exergy Assessment'!$O$4</c:f>
              <c:strCache>
                <c:ptCount val="1"/>
                <c:pt idx="0">
                  <c:v>Destroyed exergy (%)</c:v>
                </c:pt>
              </c:strCache>
            </c:strRef>
          </c:tx>
          <c:spPr>
            <a:solidFill>
              <a:schemeClr val="accent6"/>
            </a:solidFill>
            <a:ln w="19050">
              <a:solidFill>
                <a:schemeClr val="accent6">
                  <a:lumMod val="50000"/>
                </a:schemeClr>
              </a:solidFill>
            </a:ln>
            <a:effectLst/>
          </c:spPr>
          <c:invertIfNegative val="0"/>
          <c:cat>
            <c:strRef>
              <c:f>'[Chart in Microsoft Word]Exergy Assessment'!$B$5:$B$12</c:f>
              <c:strCache>
                <c:ptCount val="8"/>
                <c:pt idx="0">
                  <c:v>Reaction Stage </c:v>
                </c:pt>
                <c:pt idx="1">
                  <c:v>Residual Hydrogen and Recycle Hydrogen Recovery</c:v>
                </c:pt>
                <c:pt idx="2">
                  <c:v>Hydrogen Purification and Make-up Hydrogen Conditioning </c:v>
                </c:pt>
                <c:pt idx="3">
                  <c:v>Stripping  </c:v>
                </c:pt>
                <c:pt idx="4">
                  <c:v>Debutanization </c:v>
                </c:pt>
                <c:pt idx="5">
                  <c:v>Fractionation </c:v>
                </c:pt>
                <c:pt idx="6">
                  <c:v>Naphtha Separation</c:v>
                </c:pt>
                <c:pt idx="7">
                  <c:v>Conditioning of Wastewater Streams </c:v>
                </c:pt>
              </c:strCache>
            </c:strRef>
          </c:cat>
          <c:val>
            <c:numRef>
              <c:f>'[Chart in Microsoft Word]Exergy Assessment'!$O$5:$O$8</c:f>
              <c:numCache>
                <c:formatCode>0.00%</c:formatCode>
                <c:ptCount val="4"/>
                <c:pt idx="0">
                  <c:v>0.31115928583170133</c:v>
                </c:pt>
                <c:pt idx="1">
                  <c:v>3.5138878133286616E-3</c:v>
                </c:pt>
                <c:pt idx="2">
                  <c:v>0.45187498080737831</c:v>
                </c:pt>
                <c:pt idx="3">
                  <c:v>7.9886689767422622E-2</c:v>
                </c:pt>
              </c:numCache>
            </c:numRef>
          </c:val>
          <c:extLst>
            <c:ext xmlns:c16="http://schemas.microsoft.com/office/drawing/2014/chart" uri="{C3380CC4-5D6E-409C-BE32-E72D297353CC}">
              <c16:uniqueId val="{00000003-1A04-4665-9FC8-9C89958C4E6B}"/>
            </c:ext>
          </c:extLst>
        </c:ser>
        <c:dLbls>
          <c:showLegendKey val="0"/>
          <c:showVal val="0"/>
          <c:showCatName val="0"/>
          <c:showSerName val="0"/>
          <c:showPercent val="0"/>
          <c:showBubbleSize val="0"/>
        </c:dLbls>
        <c:gapWidth val="232"/>
        <c:axId val="1691050288"/>
        <c:axId val="1691056528"/>
      </c:barChart>
      <c:lineChart>
        <c:grouping val="standard"/>
        <c:varyColors val="0"/>
        <c:ser>
          <c:idx val="4"/>
          <c:order val="4"/>
          <c:tx>
            <c:strRef>
              <c:f>'[Chart in Microsoft Word]Exergy Assessment'!$P$4</c:f>
              <c:strCache>
                <c:ptCount val="1"/>
                <c:pt idx="0">
                  <c:v>Exergetic efficiency (%)</c:v>
                </c:pt>
              </c:strCache>
            </c:strRef>
          </c:tx>
          <c:spPr>
            <a:ln w="28575" cap="rnd">
              <a:solidFill>
                <a:schemeClr val="accent1"/>
              </a:solidFill>
              <a:round/>
            </a:ln>
            <a:effectLst/>
          </c:spPr>
          <c:marker>
            <c:symbol val="none"/>
          </c:marker>
          <c:dLbls>
            <c:dLbl>
              <c:idx val="2"/>
              <c:layout>
                <c:manualLayout>
                  <c:x val="-5.7346208946863861E-2"/>
                  <c:y val="-3.6086706022828832E-2"/>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r"/>
              <c:showLegendKey val="0"/>
              <c:showVal val="1"/>
              <c:showCatName val="0"/>
              <c:showSerName val="0"/>
              <c:showPercent val="0"/>
              <c:showBubbleSize val="0"/>
              <c:extLst>
                <c:ext xmlns:c15="http://schemas.microsoft.com/office/drawing/2012/chart" uri="{CE6537A1-D6FC-4f65-9D91-7224C49458BB}">
                  <c15:layout>
                    <c:manualLayout>
                      <c:w val="9.0068399452804371E-2"/>
                      <c:h val="3.3870792662051917E-2"/>
                    </c:manualLayout>
                  </c15:layout>
                </c:ext>
                <c:ext xmlns:c16="http://schemas.microsoft.com/office/drawing/2014/chart" uri="{C3380CC4-5D6E-409C-BE32-E72D297353CC}">
                  <c16:uniqueId val="{00000004-1A04-4665-9FC8-9C89958C4E6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Word]Exergy Assessment'!$B$5:$B$12</c:f>
              <c:strCache>
                <c:ptCount val="8"/>
                <c:pt idx="0">
                  <c:v>Reaction Stage </c:v>
                </c:pt>
                <c:pt idx="1">
                  <c:v>Residual Hydrogen and Recycle Hydrogen Recovery</c:v>
                </c:pt>
                <c:pt idx="2">
                  <c:v>Hydrogen Purification and Make-up Hydrogen Conditioning </c:v>
                </c:pt>
                <c:pt idx="3">
                  <c:v>Stripping  </c:v>
                </c:pt>
                <c:pt idx="4">
                  <c:v>Debutanization </c:v>
                </c:pt>
                <c:pt idx="5">
                  <c:v>Fractionation </c:v>
                </c:pt>
                <c:pt idx="6">
                  <c:v>Naphtha Separation</c:v>
                </c:pt>
                <c:pt idx="7">
                  <c:v>Conditioning of Wastewater Streams </c:v>
                </c:pt>
              </c:strCache>
            </c:strRef>
          </c:cat>
          <c:val>
            <c:numRef>
              <c:f>'[Chart in Microsoft Word]Exergy Assessment'!$P$5:$P$8</c:f>
              <c:numCache>
                <c:formatCode>0.00%</c:formatCode>
                <c:ptCount val="4"/>
                <c:pt idx="0">
                  <c:v>0.97621471546189076</c:v>
                </c:pt>
                <c:pt idx="1">
                  <c:v>0.99973136263989926</c:v>
                </c:pt>
                <c:pt idx="2">
                  <c:v>0.91784883108761428</c:v>
                </c:pt>
                <c:pt idx="3">
                  <c:v>0.9915709841136362</c:v>
                </c:pt>
              </c:numCache>
            </c:numRef>
          </c:val>
          <c:smooth val="0"/>
          <c:extLst>
            <c:ext xmlns:c16="http://schemas.microsoft.com/office/drawing/2014/chart" uri="{C3380CC4-5D6E-409C-BE32-E72D297353CC}">
              <c16:uniqueId val="{00000005-1A04-4665-9FC8-9C89958C4E6B}"/>
            </c:ext>
          </c:extLst>
        </c:ser>
        <c:dLbls>
          <c:showLegendKey val="0"/>
          <c:showVal val="0"/>
          <c:showCatName val="0"/>
          <c:showSerName val="0"/>
          <c:showPercent val="0"/>
          <c:showBubbleSize val="0"/>
        </c:dLbls>
        <c:marker val="1"/>
        <c:smooth val="0"/>
        <c:axId val="1691050288"/>
        <c:axId val="1691056528"/>
      </c:lineChart>
      <c:catAx>
        <c:axId val="50835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08360400"/>
        <c:crosses val="autoZero"/>
        <c:auto val="1"/>
        <c:lblAlgn val="ctr"/>
        <c:lblOffset val="100"/>
        <c:noMultiLvlLbl val="0"/>
      </c:catAx>
      <c:valAx>
        <c:axId val="508360400"/>
        <c:scaling>
          <c:orientation val="minMax"/>
        </c:scaling>
        <c:delete val="0"/>
        <c:axPos val="l"/>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s-CO"/>
          </a:p>
        </c:txPr>
        <c:crossAx val="508358320"/>
        <c:crosses val="autoZero"/>
        <c:crossBetween val="between"/>
      </c:valAx>
      <c:valAx>
        <c:axId val="1691056528"/>
        <c:scaling>
          <c:orientation val="minMax"/>
          <c:max val="1"/>
        </c:scaling>
        <c:delete val="0"/>
        <c:axPos val="r"/>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s-CO"/>
          </a:p>
        </c:txPr>
        <c:crossAx val="1691050288"/>
        <c:crosses val="max"/>
        <c:crossBetween val="between"/>
      </c:valAx>
      <c:catAx>
        <c:axId val="1691050288"/>
        <c:scaling>
          <c:orientation val="minMax"/>
        </c:scaling>
        <c:delete val="1"/>
        <c:axPos val="b"/>
        <c:numFmt formatCode="General" sourceLinked="1"/>
        <c:majorTickMark val="out"/>
        <c:minorTickMark val="none"/>
        <c:tickLblPos val="nextTo"/>
        <c:crossAx val="1691056528"/>
        <c:crosses val="autoZero"/>
        <c:auto val="1"/>
        <c:lblAlgn val="ctr"/>
        <c:lblOffset val="100"/>
        <c:noMultiLvlLbl val="0"/>
      </c:catAx>
      <c:spPr>
        <a:solidFill>
          <a:schemeClr val="lt1"/>
        </a:solidFill>
        <a:ln w="12700" cap="flat" cmpd="sng" algn="ctr">
          <a:solidFill>
            <a:schemeClr val="dk1"/>
          </a:solidFill>
          <a:prstDash val="solid"/>
          <a:miter lim="800000"/>
        </a:ln>
        <a:effectLst/>
      </c:spPr>
    </c:plotArea>
    <c:legend>
      <c:legendPos val="b"/>
      <c:layout>
        <c:manualLayout>
          <c:xMode val="edge"/>
          <c:yMode val="edge"/>
          <c:x val="0.2728372466955144"/>
          <c:y val="0.2773507747015494"/>
          <c:w val="0.27128302538421689"/>
          <c:h val="0.37671234762904193"/>
        </c:manualLayout>
      </c:layout>
      <c:overlay val="1"/>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38426152869929E-2"/>
          <c:y val="7.2385687142909064E-2"/>
          <c:w val="0.87450592150839868"/>
          <c:h val="0.69270601097775908"/>
        </c:manualLayout>
      </c:layout>
      <c:barChart>
        <c:barDir val="col"/>
        <c:grouping val="clustered"/>
        <c:varyColors val="0"/>
        <c:ser>
          <c:idx val="0"/>
          <c:order val="0"/>
          <c:tx>
            <c:strRef>
              <c:f>'Exergy Assessment'!$K$4</c:f>
              <c:strCache>
                <c:ptCount val="1"/>
                <c:pt idx="0">
                  <c:v>Residues Exergy - out  (MJ/h)</c:v>
                </c:pt>
              </c:strCache>
            </c:strRef>
          </c:tx>
          <c:spPr>
            <a:solidFill>
              <a:schemeClr val="accent1">
                <a:lumMod val="50000"/>
              </a:schemeClr>
            </a:solidFill>
            <a:ln w="19050">
              <a:solidFill>
                <a:schemeClr val="tx2">
                  <a:lumMod val="75000"/>
                </a:schemeClr>
              </a:solidFill>
            </a:ln>
            <a:effectLst/>
          </c:spPr>
          <c:invertIfNegative val="0"/>
          <c:cat>
            <c:strRef>
              <c:f>'Exergy Assessment'!$B$9:$B$12</c:f>
              <c:strCache>
                <c:ptCount val="4"/>
                <c:pt idx="0">
                  <c:v>Debutanization </c:v>
                </c:pt>
                <c:pt idx="1">
                  <c:v>Fractionation </c:v>
                </c:pt>
                <c:pt idx="2">
                  <c:v>Naphtha Separation</c:v>
                </c:pt>
                <c:pt idx="3">
                  <c:v>Conditioning of Wastewater Streams </c:v>
                </c:pt>
              </c:strCache>
            </c:strRef>
          </c:cat>
          <c:val>
            <c:numRef>
              <c:f>'Exergy Assessment'!$K$9:$K$12</c:f>
              <c:numCache>
                <c:formatCode>#,##0.00</c:formatCode>
                <c:ptCount val="4"/>
                <c:pt idx="0">
                  <c:v>7636.7661375504522</c:v>
                </c:pt>
                <c:pt idx="1">
                  <c:v>9508.9303937882232</c:v>
                </c:pt>
                <c:pt idx="2">
                  <c:v>0</c:v>
                </c:pt>
                <c:pt idx="3">
                  <c:v>10646.206285349594</c:v>
                </c:pt>
              </c:numCache>
            </c:numRef>
          </c:val>
          <c:extLst>
            <c:ext xmlns:c16="http://schemas.microsoft.com/office/drawing/2014/chart" uri="{C3380CC4-5D6E-409C-BE32-E72D297353CC}">
              <c16:uniqueId val="{00000000-2950-4DDD-B69D-26E58BF3A270}"/>
            </c:ext>
          </c:extLst>
        </c:ser>
        <c:ser>
          <c:idx val="1"/>
          <c:order val="1"/>
          <c:tx>
            <c:strRef>
              <c:f>'Exergy Assessment'!$M$4</c:f>
              <c:strCache>
                <c:ptCount val="1"/>
                <c:pt idx="0">
                  <c:v>Exergy losses (MJ/h)</c:v>
                </c:pt>
              </c:strCache>
            </c:strRef>
          </c:tx>
          <c:spPr>
            <a:solidFill>
              <a:schemeClr val="accent2"/>
            </a:solidFill>
            <a:ln w="19050">
              <a:solidFill>
                <a:schemeClr val="accent2">
                  <a:lumMod val="50000"/>
                </a:schemeClr>
              </a:solidFill>
            </a:ln>
            <a:effectLst/>
          </c:spPr>
          <c:invertIfNegative val="0"/>
          <c:cat>
            <c:strRef>
              <c:f>'Exergy Assessment'!$B$9:$B$12</c:f>
              <c:strCache>
                <c:ptCount val="4"/>
                <c:pt idx="0">
                  <c:v>Debutanization </c:v>
                </c:pt>
                <c:pt idx="1">
                  <c:v>Fractionation </c:v>
                </c:pt>
                <c:pt idx="2">
                  <c:v>Naphtha Separation</c:v>
                </c:pt>
                <c:pt idx="3">
                  <c:v>Conditioning of Wastewater Streams </c:v>
                </c:pt>
              </c:strCache>
            </c:strRef>
          </c:cat>
          <c:val>
            <c:numRef>
              <c:f>'Exergy Assessment'!$M$9:$M$12</c:f>
              <c:numCache>
                <c:formatCode>#,##0.00</c:formatCode>
                <c:ptCount val="4"/>
                <c:pt idx="0">
                  <c:v>2004.1879447809188</c:v>
                </c:pt>
                <c:pt idx="1">
                  <c:v>271544.47837993503</c:v>
                </c:pt>
                <c:pt idx="2">
                  <c:v>9000.7546741254628</c:v>
                </c:pt>
                <c:pt idx="3">
                  <c:v>856.10505809503411</c:v>
                </c:pt>
              </c:numCache>
            </c:numRef>
          </c:val>
          <c:extLst>
            <c:ext xmlns:c16="http://schemas.microsoft.com/office/drawing/2014/chart" uri="{C3380CC4-5D6E-409C-BE32-E72D297353CC}">
              <c16:uniqueId val="{00000001-2950-4DDD-B69D-26E58BF3A270}"/>
            </c:ext>
          </c:extLst>
        </c:ser>
        <c:ser>
          <c:idx val="2"/>
          <c:order val="2"/>
          <c:tx>
            <c:strRef>
              <c:f>'Exergy Assessment'!$N$4</c:f>
              <c:strCache>
                <c:ptCount val="1"/>
                <c:pt idx="0">
                  <c:v>Total irreversibilities (MJ/h)</c:v>
                </c:pt>
              </c:strCache>
            </c:strRef>
          </c:tx>
          <c:spPr>
            <a:solidFill>
              <a:schemeClr val="bg1">
                <a:lumMod val="75000"/>
              </a:schemeClr>
            </a:solidFill>
            <a:ln w="19050">
              <a:solidFill>
                <a:schemeClr val="bg2">
                  <a:lumMod val="50000"/>
                </a:schemeClr>
              </a:solidFill>
            </a:ln>
            <a:effectLst/>
          </c:spPr>
          <c:invertIfNegative val="0"/>
          <c:cat>
            <c:strRef>
              <c:f>'Exergy Assessment'!$B$9:$B$12</c:f>
              <c:strCache>
                <c:ptCount val="4"/>
                <c:pt idx="0">
                  <c:v>Debutanization </c:v>
                </c:pt>
                <c:pt idx="1">
                  <c:v>Fractionation </c:v>
                </c:pt>
                <c:pt idx="2">
                  <c:v>Naphtha Separation</c:v>
                </c:pt>
                <c:pt idx="3">
                  <c:v>Conditioning of Wastewater Streams </c:v>
                </c:pt>
              </c:strCache>
            </c:strRef>
          </c:cat>
          <c:val>
            <c:numRef>
              <c:f>'Exergy Assessment'!$N$9:$N$12</c:f>
              <c:numCache>
                <c:formatCode>#,##0.00</c:formatCode>
                <c:ptCount val="4"/>
                <c:pt idx="0">
                  <c:v>9640.9540823313873</c:v>
                </c:pt>
                <c:pt idx="1">
                  <c:v>281053.40877372399</c:v>
                </c:pt>
                <c:pt idx="2">
                  <c:v>9000.7546741254628</c:v>
                </c:pt>
                <c:pt idx="3">
                  <c:v>11502.311343444628</c:v>
                </c:pt>
              </c:numCache>
            </c:numRef>
          </c:val>
          <c:extLst>
            <c:ext xmlns:c16="http://schemas.microsoft.com/office/drawing/2014/chart" uri="{C3380CC4-5D6E-409C-BE32-E72D297353CC}">
              <c16:uniqueId val="{00000002-2950-4DDD-B69D-26E58BF3A270}"/>
            </c:ext>
          </c:extLst>
        </c:ser>
        <c:dLbls>
          <c:showLegendKey val="0"/>
          <c:showVal val="0"/>
          <c:showCatName val="0"/>
          <c:showSerName val="0"/>
          <c:showPercent val="0"/>
          <c:showBubbleSize val="0"/>
        </c:dLbls>
        <c:gapWidth val="219"/>
        <c:axId val="508358320"/>
        <c:axId val="508360400"/>
      </c:barChart>
      <c:barChart>
        <c:barDir val="col"/>
        <c:grouping val="clustered"/>
        <c:varyColors val="0"/>
        <c:ser>
          <c:idx val="3"/>
          <c:order val="3"/>
          <c:tx>
            <c:strRef>
              <c:f>'Exergy Assessment'!$O$4</c:f>
              <c:strCache>
                <c:ptCount val="1"/>
                <c:pt idx="0">
                  <c:v>Destroyed exergy (%)</c:v>
                </c:pt>
              </c:strCache>
            </c:strRef>
          </c:tx>
          <c:spPr>
            <a:solidFill>
              <a:schemeClr val="accent6"/>
            </a:solidFill>
            <a:ln w="19050">
              <a:solidFill>
                <a:schemeClr val="accent6">
                  <a:lumMod val="50000"/>
                </a:schemeClr>
              </a:solidFill>
            </a:ln>
            <a:effectLst/>
          </c:spPr>
          <c:invertIfNegative val="0"/>
          <c:cat>
            <c:strRef>
              <c:f>'Exergy Assessment'!$B$5:$B$12</c:f>
              <c:strCache>
                <c:ptCount val="8"/>
                <c:pt idx="0">
                  <c:v>Reaction Stage </c:v>
                </c:pt>
                <c:pt idx="1">
                  <c:v>Residual Hydrogen and Recycle Hydrogen Recovery</c:v>
                </c:pt>
                <c:pt idx="2">
                  <c:v>Hydrogen Purification and Make-up Hydrogen Conditioning </c:v>
                </c:pt>
                <c:pt idx="3">
                  <c:v>Stripping  </c:v>
                </c:pt>
                <c:pt idx="4">
                  <c:v>Debutanization </c:v>
                </c:pt>
                <c:pt idx="5">
                  <c:v>Fractionation </c:v>
                </c:pt>
                <c:pt idx="6">
                  <c:v>Naphtha Separation</c:v>
                </c:pt>
                <c:pt idx="7">
                  <c:v>Conditioning of Wastewater Streams </c:v>
                </c:pt>
              </c:strCache>
            </c:strRef>
          </c:cat>
          <c:val>
            <c:numRef>
              <c:f>'Exergy Assessment'!$O$9:$O$12</c:f>
              <c:numCache>
                <c:formatCode>0.00%</c:formatCode>
                <c:ptCount val="4"/>
                <c:pt idx="0">
                  <c:v>4.7574770167007115E-3</c:v>
                </c:pt>
                <c:pt idx="1">
                  <c:v>0.13869012561286273</c:v>
                </c:pt>
                <c:pt idx="2">
                  <c:v>4.4415607759806268E-3</c:v>
                </c:pt>
                <c:pt idx="3">
                  <c:v>5.6759923746199153E-3</c:v>
                </c:pt>
              </c:numCache>
            </c:numRef>
          </c:val>
          <c:extLst>
            <c:ext xmlns:c16="http://schemas.microsoft.com/office/drawing/2014/chart" uri="{C3380CC4-5D6E-409C-BE32-E72D297353CC}">
              <c16:uniqueId val="{00000003-2950-4DDD-B69D-26E58BF3A270}"/>
            </c:ext>
          </c:extLst>
        </c:ser>
        <c:dLbls>
          <c:showLegendKey val="0"/>
          <c:showVal val="0"/>
          <c:showCatName val="0"/>
          <c:showSerName val="0"/>
          <c:showPercent val="0"/>
          <c:showBubbleSize val="0"/>
        </c:dLbls>
        <c:gapWidth val="232"/>
        <c:axId val="1691050288"/>
        <c:axId val="1691056528"/>
      </c:barChart>
      <c:lineChart>
        <c:grouping val="standard"/>
        <c:varyColors val="0"/>
        <c:ser>
          <c:idx val="4"/>
          <c:order val="4"/>
          <c:tx>
            <c:strRef>
              <c:f>'Exergy Assessment'!$P$4</c:f>
              <c:strCache>
                <c:ptCount val="1"/>
                <c:pt idx="0">
                  <c:v>Exergetic efficiency (%)</c:v>
                </c:pt>
              </c:strCache>
            </c:strRef>
          </c:tx>
          <c:spPr>
            <a:ln w="28575" cap="rnd">
              <a:solidFill>
                <a:schemeClr val="accent1"/>
              </a:solidFill>
              <a:round/>
            </a:ln>
            <a:effectLst/>
          </c:spPr>
          <c:marker>
            <c:symbol val="none"/>
          </c:marker>
          <c:dPt>
            <c:idx val="3"/>
            <c:marker>
              <c:symbol val="none"/>
            </c:marker>
            <c:bubble3D val="0"/>
            <c:extLst>
              <c:ext xmlns:c16="http://schemas.microsoft.com/office/drawing/2014/chart" uri="{C3380CC4-5D6E-409C-BE32-E72D297353CC}">
                <c16:uniqueId val="{00000004-2950-4DDD-B69D-26E58BF3A270}"/>
              </c:ext>
            </c:extLst>
          </c:dPt>
          <c:dLbls>
            <c:dLbl>
              <c:idx val="0"/>
              <c:layout>
                <c:manualLayout>
                  <c:x val="-4.4858249101841018E-2"/>
                  <c:y val="6.3909329515628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50-4DDD-B69D-26E58BF3A270}"/>
                </c:ext>
              </c:extLst>
            </c:dLbl>
            <c:dLbl>
              <c:idx val="1"/>
              <c:layout>
                <c:manualLayout>
                  <c:x val="-9.9231771560469834E-2"/>
                  <c:y val="6.3909329515628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50-4DDD-B69D-26E58BF3A270}"/>
                </c:ext>
              </c:extLst>
            </c:dLbl>
            <c:dLbl>
              <c:idx val="3"/>
              <c:layout>
                <c:manualLayout>
                  <c:x val="-1.6489454775600033E-2"/>
                  <c:y val="-8.81794321164399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50-4DDD-B69D-26E58BF3A27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'Exergy Assessment'!$B$9:$B$12</c:f>
              <c:strCache>
                <c:ptCount val="4"/>
                <c:pt idx="0">
                  <c:v>Debutanization </c:v>
                </c:pt>
                <c:pt idx="1">
                  <c:v>Fractionation </c:v>
                </c:pt>
                <c:pt idx="2">
                  <c:v>Naphtha Separation</c:v>
                </c:pt>
                <c:pt idx="3">
                  <c:v>Conditioning of Wastewater Streams </c:v>
                </c:pt>
              </c:strCache>
            </c:strRef>
          </c:cat>
          <c:val>
            <c:numRef>
              <c:f>'Exergy Assessment'!$P$9:$P$12</c:f>
              <c:numCache>
                <c:formatCode>0.00%</c:formatCode>
                <c:ptCount val="4"/>
                <c:pt idx="0">
                  <c:v>0.98794609486502816</c:v>
                </c:pt>
                <c:pt idx="1">
                  <c:v>0.98461792720040853</c:v>
                </c:pt>
                <c:pt idx="2">
                  <c:v>0.99537499343602154</c:v>
                </c:pt>
                <c:pt idx="3">
                  <c:v>0.15579938400443294</c:v>
                </c:pt>
              </c:numCache>
            </c:numRef>
          </c:val>
          <c:smooth val="0"/>
          <c:extLst>
            <c:ext xmlns:c16="http://schemas.microsoft.com/office/drawing/2014/chart" uri="{C3380CC4-5D6E-409C-BE32-E72D297353CC}">
              <c16:uniqueId val="{00000007-2950-4DDD-B69D-26E58BF3A270}"/>
            </c:ext>
          </c:extLst>
        </c:ser>
        <c:dLbls>
          <c:showLegendKey val="0"/>
          <c:showVal val="0"/>
          <c:showCatName val="0"/>
          <c:showSerName val="0"/>
          <c:showPercent val="0"/>
          <c:showBubbleSize val="0"/>
        </c:dLbls>
        <c:marker val="1"/>
        <c:smooth val="0"/>
        <c:axId val="1691050288"/>
        <c:axId val="1691056528"/>
      </c:lineChart>
      <c:catAx>
        <c:axId val="50835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08360400"/>
        <c:crosses val="autoZero"/>
        <c:auto val="1"/>
        <c:lblAlgn val="ctr"/>
        <c:lblOffset val="100"/>
        <c:noMultiLvlLbl val="0"/>
      </c:catAx>
      <c:valAx>
        <c:axId val="508360400"/>
        <c:scaling>
          <c:orientation val="minMax"/>
        </c:scaling>
        <c:delete val="0"/>
        <c:axPos val="l"/>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s-CO"/>
          </a:p>
        </c:txPr>
        <c:crossAx val="508358320"/>
        <c:crosses val="autoZero"/>
        <c:crossBetween val="between"/>
      </c:valAx>
      <c:valAx>
        <c:axId val="1691056528"/>
        <c:scaling>
          <c:orientation val="minMax"/>
          <c:max val="1"/>
        </c:scaling>
        <c:delete val="0"/>
        <c:axPos val="r"/>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s-CO"/>
          </a:p>
        </c:txPr>
        <c:crossAx val="1691050288"/>
        <c:crosses val="max"/>
        <c:crossBetween val="between"/>
      </c:valAx>
      <c:catAx>
        <c:axId val="1691050288"/>
        <c:scaling>
          <c:orientation val="minMax"/>
        </c:scaling>
        <c:delete val="1"/>
        <c:axPos val="b"/>
        <c:numFmt formatCode="General" sourceLinked="1"/>
        <c:majorTickMark val="out"/>
        <c:minorTickMark val="none"/>
        <c:tickLblPos val="nextTo"/>
        <c:crossAx val="1691056528"/>
        <c:crosses val="autoZero"/>
        <c:auto val="1"/>
        <c:lblAlgn val="ctr"/>
        <c:lblOffset val="100"/>
        <c:noMultiLvlLbl val="0"/>
      </c:catAx>
      <c:spPr>
        <a:solidFill>
          <a:schemeClr val="lt1"/>
        </a:solidFill>
        <a:ln w="12700" cap="flat" cmpd="sng" algn="ctr">
          <a:solidFill>
            <a:schemeClr val="dk1"/>
          </a:solidFill>
          <a:prstDash val="solid"/>
          <a:miter lim="800000"/>
        </a:ln>
        <a:effectLst/>
      </c:spPr>
    </c:plotArea>
    <c:legend>
      <c:legendPos val="r"/>
      <c:layout>
        <c:manualLayout>
          <c:xMode val="edge"/>
          <c:yMode val="edge"/>
          <c:x val="9.0478328310702391E-2"/>
          <c:y val="0.20638261519259338"/>
          <c:w val="0.25881294093557455"/>
          <c:h val="0.4544280601288474"/>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FDBE29A-A64B-468A-BED3-B6990A0F3BA1}"/>
      </w:docPartPr>
      <w:docPartBody>
        <w:p w:rsidR="00A15A25" w:rsidRDefault="002E0349">
          <w:r w:rsidRPr="00EA7961">
            <w:rPr>
              <w:rStyle w:val="Textodelmarcadordeposicin"/>
            </w:rPr>
            <w:t>Click or tap here to enter text.</w:t>
          </w:r>
        </w:p>
      </w:docPartBody>
    </w:docPart>
    <w:docPart>
      <w:docPartPr>
        <w:name w:val="E681F8DD51DB4F29B749F29B029C96CA"/>
        <w:category>
          <w:name w:val="General"/>
          <w:gallery w:val="placeholder"/>
        </w:category>
        <w:types>
          <w:type w:val="bbPlcHdr"/>
        </w:types>
        <w:behaviors>
          <w:behavior w:val="content"/>
        </w:behaviors>
        <w:guid w:val="{69A5A59A-0609-48B8-BEBC-321AE06B2B80}"/>
      </w:docPartPr>
      <w:docPartBody>
        <w:p w:rsidR="001E782C" w:rsidRDefault="00FD20E5" w:rsidP="00FD20E5">
          <w:pPr>
            <w:pStyle w:val="E681F8DD51DB4F29B749F29B029C96CA"/>
          </w:pPr>
          <w:r w:rsidRPr="00EA7961">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349"/>
    <w:rsid w:val="000F687A"/>
    <w:rsid w:val="00113FAF"/>
    <w:rsid w:val="001264D9"/>
    <w:rsid w:val="001E5E14"/>
    <w:rsid w:val="001E782C"/>
    <w:rsid w:val="002E0349"/>
    <w:rsid w:val="004D2BB5"/>
    <w:rsid w:val="00657AE2"/>
    <w:rsid w:val="008C4ABD"/>
    <w:rsid w:val="00A15A25"/>
    <w:rsid w:val="00A62358"/>
    <w:rsid w:val="00B20150"/>
    <w:rsid w:val="00BB69BB"/>
    <w:rsid w:val="00CB1C49"/>
    <w:rsid w:val="00CD4726"/>
    <w:rsid w:val="00FD20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D20E5"/>
    <w:rPr>
      <w:color w:val="808080"/>
    </w:rPr>
  </w:style>
  <w:style w:type="paragraph" w:customStyle="1" w:styleId="E681F8DD51DB4F29B749F29B029C96CA">
    <w:name w:val="E681F8DD51DB4F29B749F29B029C96CA"/>
    <w:rsid w:val="00FD20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54F3FF-C0FB-4772-AA87-F1AEFCAB2143}">
  <we:reference id="wa104382081" version="1.55.1.0" store="en-US" storeType="OMEX"/>
  <we:alternateReferences>
    <we:reference id="wa104382081" version="1.55.1.0" store="WA104382081" storeType="OMEX"/>
  </we:alternateReferences>
  <we:properties>
    <we:property name="MENDELEY_CITATIONS" value="[{&quot;citationID&quot;:&quot;MENDELEY_CITATION_0b575fdc-8f06-4e4a-824a-705b163dafe7&quot;,&quot;properties&quot;:{&quot;noteIndex&quot;:0},&quot;isEdited&quot;:false,&quot;manualOverride&quot;:{&quot;isManuallyOverridden&quot;:false,&quot;citeprocText&quot;:&quot;(Pleyer et al., 2024)&quot;,&quot;manualOverrideText&quot;:&quot;&quot;},&quot;citationTag&quot;:&quot;MENDELEY_CITATION_v3_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&quot;,&quot;citationItems&quot;:[{&quot;id&quot;:&quot;e04bf550-fad6-364f-a3e2-57a19c02b4a5&quot;,&quot;itemData&quot;:{&quot;type&quot;:&quot;article-journal&quot;,&quot;id&quot;:&quot;e04bf550-fad6-364f-a3e2-57a19c02b4a5&quot;,&quot;title&quot;:&quot;Co-processing of BTL Fischer-Tropsch wax and heavy vacuum gas oil&quot;,&quot;author&quot;:[{&quot;family&quot;:&quot;Pleyer&quot;,&quot;given&quot;:&quot;Olga&quot;,&quot;parse-names&quot;:false,&quot;dropping-particle&quot;:&quot;&quot;,&quot;non-dropping-particle&quot;:&quot;&quot;},{&quot;family&quot;:&quot;Vrtiška&quot;,&quot;given&quot;:&quot;Dan&quot;,&quot;parse-names&quot;:false,&quot;dropping-particle&quot;:&quot;&quot;,&quot;non-dropping-particle&quot;:&quot;&quot;},{&quot;family&quot;:&quot;Straka&quot;,&quot;given&quot;:&quot;Petr&quot;,&quot;parse-names&quot;:false,&quot;dropping-particle&quot;:&quot;&quot;,&quot;non-dropping-particle&quot;:&quot;&quot;},{&quot;family&quot;:&quot;Šimáček&quot;,&quot;given&quot;:&quot;Pavel&quot;,&quot;parse-names&quot;:false,&quot;dropping-particle&quot;:&quot;&quot;,&quot;non-dropping-particle&quot;:&quot;&quot;}],&quot;container-title&quot;:&quot;Renewable Energy&quot;,&quot;container-title-short&quot;:&quot;Renew Energy&quot;,&quot;DOI&quot;:&quot;10.1016/j.renene.2024.120276&quot;,&quot;ISSN&quot;:&quot;18790682&quot;,&quot;issued&quot;:{&quot;date-parts&quot;:[[2024]]},&quot;abstract&quot;:&quot;Co-hydrocracking of Fischer-Tropsch wax (FTW) derived from forest residue and petroleum-derived heavy vacuum gas oil (HVGO) is one of the potential ways to implement synthetic fuels into the transportation sector. Neat HVGO and its blends with FTW in mass ratios of 90:10, 70:30 and 50:50 were processed in the lab-scale continuous-flow catalytic unit with a fixed-bed reactor at reaction temperatures of 390 °C, 400 °C and 410 °C and pressure of 16 MPa over commercial hydrotreating and hydrocracking catalysts. The primary liquid products were fractionated using atmospheric and vacuum distillation in order to get fraction of naphtha (up to 150 °C), kerosene (150–230 °C), atmospheric gas oil (230–360 °C) and bottom residue (above 360 °C). The aim of the study was to evaluate the influence of the reaction temperature and FTW content in the feedstock on the yield and quality of the obtained products and potential of their utilization in the transportation sector. The highest conversion to the desired fuel fractions was observed at the highest reaction temperature and using the highest concentration of the FTW in the feedstock. The fractions can be utilized as high-quality fuel blending components or as a valuable feedstock in the petrochemical industry.&quot;,&quot;volume&quot;:&quot;225&quot;},&quot;isTemporary&quot;:false,&quot;suppress-author&quot;:false,&quot;composite&quot;:false,&quot;author-only&quot;:false}]},{&quot;citationID&quot;:&quot;MENDELEY_CITATION_90b6c288-953c-4058-a8ed-3b26e5586ff2&quot;,&quot;properties&quot;:{&quot;noteIndex&quot;:0},&quot;isEdited&quot;:false,&quot;manualOverride&quot;:{&quot;isManuallyOverridden&quot;:false,&quot;citeprocText&quot;:&quot;(Bhutani et al., 2006)&quot;,&quot;manualOverrideText&quot;:&quot;&quot;},&quot;citationTag&quot;:&quot;MENDELEY_CITATION_v3_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&quot;,&quot;citationItems&quot;:[{&quot;id&quot;:&quot;ceb07bb2-74fa-3aab-a365-0c5fb9d872f3&quot;,&quot;itemData&quot;:{&quot;type&quot;:&quot;article-journal&quot;,&quot;id&quot;:&quot;ceb07bb2-74fa-3aab-a365-0c5fb9d872f3&quot;,&quot;title&quot;:&quot;Modeling, simulation, and multi-objective optimization of an industrial hydrocracking unit&quot;,&quot;author&quot;:[{&quot;family&quot;:&quot;Bhutani&quot;,&quot;given&quot;:&quot;Naveen&quot;,&quot;parse-names&quot;:false,&quot;dropping-particle&quot;:&quot;&quot;,&quot;non-dropping-particle&quot;:&quot;&quot;},{&quot;family&quot;:&quot;Ray&quot;,&quot;given&quot;:&quot;Ajay K.&quot;,&quot;parse-names&quot;:false,&quot;dropping-particle&quot;:&quot;&quot;,&quot;non-dropping-particle&quot;:&quot;&quot;},{&quot;family&quot;:&quot;Rangaiah&quot;,&quot;given&quot;:&quot;G. P.&quot;,&quot;parse-names&quot;:false,&quot;dropping-particle&quot;:&quot;&quot;,&quot;non-dropping-particle&quot;:&quot;&quot;}],&quot;container-title&quot;:&quot;Industrial and Engineering Chemistry Research&quot;,&quot;container-title-short&quot;:&quot;Ind Eng Chem Res&quot;,&quot;DOI&quot;:&quot;10.1021/ie050423f&quot;,&quot;ISSN&quot;:&quot;08885885&quot;,&quot;issued&quot;:{&quot;date-parts&quot;:[[2006]]},&quot;abstract&quot;:&quot;Hydrocracking is a petroleum refining process where cracking occurs simultaneously with hydrogenation to convert heavy petroleum feedstocks into desired lighter products. In this study, multi-objective optimization of an industrial hydrocracking unit has been performed for the first time, to find scope for further improvements and to provide a range of optimal solutions. The reactor model was simulated based on a discrete lumped model approach to kinetic modeling. The kinetic and product distribution parameters were fine-tuned using available industrial data. The real-coded elitist nondominated sorting genetic algorithm was used to carry out the multi-objective optimization study. The Pareto-optimal solutions for the hydrocracker unit are presented, and their significant features are discussed. © 2006 American Chemical Society.&quot;,&quot;issue&quot;:&quot;4&quot;,&quot;volume&quot;:&quot;45&quot;},&quot;isTemporary&quot;:false,&quot;suppress-author&quot;:false,&quot;composite&quot;:false,&quot;author-only&quot;:false}]},{&quot;citationID&quot;:&quot;MENDELEY_CITATION_99ef2efd-fbb6-4da5-b16e-5351d675d10e&quot;,&quot;properties&quot;:{&quot;noteIndex&quot;:0},&quot;isEdited&quot;:false,&quot;manualOverride&quot;:{&quot;isManuallyOverridden&quot;:false,&quot;citeprocText&quot;:&quot;(Bandyopadhyay et al., 2019)&quot;,&quot;manualOverrideText&quot;:&quot;&quot;},&quot;citationTag&quot;:&quot;MENDELEY_CITATION_v3_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&quot;,&quot;citationItems&quot;:[{&quot;id&quot;:&quot;1ea2bc7c-057d-3c6f-8ebe-eca99a9690c2&quot;,&quot;itemData&quot;:{&quot;type&quot;:&quot;article-journal&quot;,&quot;id&quot;:&quot;1ea2bc7c-057d-3c6f-8ebe-eca99a9690c2&quot;,&quot;title&quot;:&quot;Applying pinch and exergy analysis for energy efficient design of diesel hydrotreating unit&quot;,&quot;author&quot;:[{&quot;family&quot;:&quot;Bandyopadhyay&quot;,&quot;given&quot;:&quot;Rajarshi&quot;,&quot;parse-names&quot;:false,&quot;dropping-particle&quot;:&quot;&quot;,&quot;non-dropping-particle&quot;:&quot;&quot;},{&quot;family&quot;:&quot;Alkilde&quot;,&quot;given&quot;:&quot;Ole Frej&quot;,&quot;parse-names&quot;:false,&quot;dropping-particle&quot;:&quot;&quot;,&quot;non-dropping-particle&quot;:&quot;&quot;},{&quot;family&quot;:&quot;Upadhyayula&quot;,&quot;given&quot;:&quot;Sreedevi&quot;,&quot;parse-names&quot;:false,&quot;dropping-particle&quot;:&quot;&quot;,&quot;non-dropping-particle&quot;:&quot;&quot;}],&quot;container-title&quot;:&quot;Journal of Cleaner Production&quot;,&quot;container-title-short&quot;:&quot;J Clean Prod&quot;,&quot;DOI&quot;:&quot;10.1016/j.jclepro.2019.05.277&quot;,&quot;ISSN&quot;:&quot;09596526&quot;,&quot;issued&quot;:{&quot;date-parts&quot;:[[2019]]},&quot;abstract&quot;:&quot;Pinch Analysis (PA) and Exergy Analysis have been used, either independently or in combination, for energy integration of process plants. This paper discusses a methodology to apply PA and Exergy Analysis during design of a new process plant to make it energy efficient, using Diesel Hydrotreating Unit (DHT) as an example. PA has been used to estimate the Minimum Energy Requirement (MER), to select utilities and to design the optimal Heat Exchanger Network (HEN). Exergy Analysis is then performed to pinpoint the sources of energy inefficiency in the whole plant and suggest improvements. The application of these two techniques has helped in energy integration of the plant during the design phase itself. Two common layouts of diesel hydrotreating unit—the ‘hot separator layout’ and the ‘cold separator layout’—have been studied. The minimum Total Annualized Cost (TAC) is ∼7.6 M€/y and ∼10 M€/y for the hot separator layout and the cold separator layout respectively. Exergy destroyed is 27.15 MW (7.9% of exergy input) and 50.18 MW (6.7% of exergy input) respectively for the hot separator layout and the cold separator layout. Exergy Analysis reveals that the energy efficiency can be improved for air coolers, fired heaters and letdown valves.&quot;,&quot;volume&quot;:&quot;232&quot;},&quot;isTemporary&quot;:false,&quot;suppress-author&quot;:false,&quot;composite&quot;:false,&quot;author-only&quot;:false}]},{&quot;citationID&quot;:&quot;MENDELEY_CITATION_9bc3b918-fd5d-46d7-8494-8a774aa84028&quot;,&quot;properties&quot;:{&quot;noteIndex&quot;:0},&quot;isEdited&quot;:false,&quot;manualOverride&quot;:{&quot;isManuallyOverridden&quot;:false,&quot;citeprocText&quot;:&quot;(Treese et al., 2015)&quot;,&quot;manualOverrideText&quot;:&quot;&quot;},&quot;citationTag&quot;:&quot;MENDELEY_CITATION_v3_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&quot;,&quot;citationItems&quot;:[{&quot;id&quot;:&quot;23539b75-8f53-3de3-a3a4-5ef78a85dc1e&quot;,&quot;itemData&quot;:{&quot;type&quot;:&quot;book&quot;,&quot;id&quot;:&quot;23539b75-8f53-3de3-a3a4-5ef78a85dc1e&quot;,&quot;title&quot;:&quot;Handbook of petroleum processing&quot;,&quot;author&quot;:[{&quot;family&quot;:&quot;Treese&quot;,&quot;given&quot;:&quot;Steven A.&quot;,&quot;parse-names&quot;:false,&quot;dropping-particle&quot;:&quot;&quot;,&quot;non-dropping-particle&quot;:&quot;&quot;},{&quot;family&quot;:&quot;Pujadó&quot;,&quot;given&quot;:&quot;Peter R.&quot;,&quot;parse-names&quot;:false,&quot;dropping-particle&quot;:&quot;&quot;,&quot;non-dropping-particle&quot;:&quot;&quot;},{&quot;family&quot;:&quot;Jones&quot;,&quot;given&quot;:&quot;David S.J.&quot;,&quot;parse-names&quot;:false,&quot;dropping-particle&quot;:&quot;&quot;,&quot;non-dropping-particle&quot;:&quot;&quot;}],&quot;container-title&quot;:&quot;Handbook of Petroleum Processing&quot;,&quot;DOI&quot;:&quot;10.1007/978-3-319-14529-7&quot;,&quot;issued&quot;:{&quot;date-parts&quot;:[[2015]]},&quot;abstract&quot;:&quot;This extensively updated second edition of the already valuable reference targets research chemists and engineers who have chosen a career in the complex and essential petroleum industry, as well as other professionals just entering the industry who seek a comprehensive and accessible resource on petroleum processing. The handbook describes and discusses the key components and processes that make up the petroleum refining industry. Beginning with the basics of crude oils and their nature, it continues with the commercial products derived from refining and with related issues concerning their environmental impact. More in depth coverage of many topics previously covered in the first edition,such as hydraulic fracturing or fracking as it is often termed, help ensure this reference remains a relevant and up-to-date resource.&quot;,&quot;volume&quot;:&quot;1&quot;,&quot;container-title-short&quot;:&quot;&quot;},&quot;isTemporary&quot;:false}]},{&quot;citationID&quot;:&quot;MENDELEY_CITATION_f91cf825-9101-499a-86af-0dcb84925e3d&quot;,&quot;properties&quot;:{&quot;noteIndex&quot;:0},&quot;isEdited&quot;:false,&quot;manualOverride&quot;:{&quot;isManuallyOverridden&quot;:false,&quot;citeprocText&quot;:&quot;(Treese et al., 2015)&quot;,&quot;manualOverrideText&quot;:&quot;&quot;},&quot;citationTag&quot;:&quot;MENDELEY_CITATION_v3_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&quot;,&quot;citationItems&quot;:[{&quot;id&quot;:&quot;23539b75-8f53-3de3-a3a4-5ef78a85dc1e&quot;,&quot;itemData&quot;:{&quot;type&quot;:&quot;book&quot;,&quot;id&quot;:&quot;23539b75-8f53-3de3-a3a4-5ef78a85dc1e&quot;,&quot;title&quot;:&quot;Handbook of petroleum processing&quot;,&quot;author&quot;:[{&quot;family&quot;:&quot;Treese&quot;,&quot;given&quot;:&quot;Steven A.&quot;,&quot;parse-names&quot;:false,&quot;dropping-particle&quot;:&quot;&quot;,&quot;non-dropping-particle&quot;:&quot;&quot;},{&quot;family&quot;:&quot;Pujadó&quot;,&quot;given&quot;:&quot;Peter R.&quot;,&quot;parse-names&quot;:false,&quot;dropping-particle&quot;:&quot;&quot;,&quot;non-dropping-particle&quot;:&quot;&quot;},{&quot;family&quot;:&quot;Jones&quot;,&quot;given&quot;:&quot;David S.J.&quot;,&quot;parse-names&quot;:false,&quot;dropping-particle&quot;:&quot;&quot;,&quot;non-dropping-particle&quot;:&quot;&quot;}],&quot;container-title&quot;:&quot;Handbook of Petroleum Processing&quot;,&quot;DOI&quot;:&quot;10.1007/978-3-319-14529-7&quot;,&quot;issued&quot;:{&quot;date-parts&quot;:[[2015]]},&quot;abstract&quot;:&quot;This extensively updated second edition of the already valuable reference targets research chemists and engineers who have chosen a career in the complex and essential petroleum industry, as well as other professionals just entering the industry who seek a comprehensive and accessible resource on petroleum processing. The handbook describes and discusses the key components and processes that make up the petroleum refining industry. Beginning with the basics of crude oils and their nature, it continues with the commercial products derived from refining and with related issues concerning their environmental impact. More in depth coverage of many topics previously covered in the first edition,such as hydraulic fracturing or fracking as it is often termed, help ensure this reference remains a relevant and up-to-date resource.&quot;,&quot;volume&quot;:&quot;1&quot;,&quot;container-title-short&quot;:&quot;&quot;},&quot;isTemporary&quot;:false}]},{&quot;citationID&quot;:&quot;MENDELEY_CITATION_ac9f69de-ed3a-4e9d-892a-0a3a5fceab14&quot;,&quot;properties&quot;:{&quot;noteIndex&quot;:0},&quot;isEdited&quot;:false,&quot;manualOverride&quot;:{&quot;isManuallyOverridden&quot;:false,&quot;citeprocText&quot;:&quot;(Moreno-Sader et al., 2021)&quot;,&quot;manualOverrideText&quot;:&quot;&quot;},&quot;citationTag&quot;:&quot;MENDELEY_CITATION_v3_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&quot;,&quot;citationItems&quot;:[{&quot;id&quot;:&quot;94fa5921-33b2-3f4e-aac9-68057a7dc3fd&quot;,&quot;itemData&quot;:{&quot;type&quot;:&quot;article-journal&quot;,&quot;id&quot;:&quot;94fa5921-33b2-3f4e-aac9-68057a7dc3fd&quot;,&quot;title&quot;:&quot;An integrated biorefinery approach via material recycle/reuse networks for the extraction of value-added components from shrimp: Computer-aided simulation and environmental assessment&quot;,&quot;author&quot;:[{&quot;family&quot;:&quot;Moreno-Sader&quot;,&quot;given&quot;:&quot;Kariana Andrea&quot;,&quot;parse-names&quot;:false,&quot;dropping-particle&quot;:&quot;&quot;,&quot;non-dropping-particle&quot;:&quot;&quot;},{&quot;family&quot;:&quot;Martínez-Consuegra&quot;,&quot;given&quot;:&quot;Jairo&quot;,&quot;parse-names&quot;:false,&quot;dropping-particle&quot;:&quot;&quot;,&quot;non-dropping-particle&quot;:&quot;&quot;},{&quot;family&quot;:&quot;González-Delgado&quot;,&quot;given&quot;:&quot;Ángel Darío&quot;,&quot;parse-names&quot;:false,&quot;dropping-particle&quot;:&quot;&quot;,&quot;non-dropping-particle&quot;:&quot;&quot;}],&quot;container-title&quot;:&quot;Food and Bioproducts Processing&quot;,&quot;DOI&quot;:&quot;10.1016/j.fbp.2021.04.003&quot;,&quot;ISSN&quot;:&quot;09603085&quot;,&quot;issued&quot;:{&quot;date-parts&quot;:[[2021]]},&quot;abstract&quot;:&quot;The cleaner production of value-added products from shrimp under biorefinery concept requires the application of mass integration techniques to conserve resources and reduce waste generation. This work aims to develop an integrated approach of shrimp biorefinery using rigorous graphical targeting approach for material recycle/reuse networks. The simulation of the integrated process and the environmental analysis are conducted using Aspen Plus® software and waste reduction (WAR) algorithm to evaluate technical and environmental performance. Targets for minimum fresh resources usage and minimum waste discharge for the network were calculated at 911.18 kg/h and 1546.68 kg/h, respectively. The integrated biorefinery has the capacity to process 469.22 kg/h of fresh shrimp while reducing 56.63% in fresh resources consumption compared with non-integrated approach. The chitin and chitosan production rates were increased up to 3.783 and 3.061 kg/h, respectively, by the material recovery in residual water recycle. The environmental study showed reductions in atmospheric and toxicological categories estimated at 7.8 and 3.48% for potential environmental impacts (PEI) output, while the impacts generated within the process reach values up to 3.51 and 7.97%. The highest impacts were observed for atmospheric categories, being the photochemical oxidation potential the larger contributor. The environmental friendliness of the proposed approach is confirmed by the negative values in PEI generation. The high freshwater savings reveal the potential benefits of incorporating recycle/reuse networks within shrimp valorization strategies for resources conservation.&quot;,&quot;volume&quot;:&quot;127&quot;,&quot;container-title-short&quot;:&quot;&quot;},&quot;isTemporary&quot;:false,&quot;suppress-author&quot;:false,&quot;composite&quot;:false,&quot;author-only&quot;:false}]},{&quot;citationID&quot;:&quot;MENDELEY_CITATION_43212ffc-c6f1-4eb6-a21b-85fbab9066d2&quot;,&quot;properties&quot;:{&quot;noteIndex&quot;:0},&quot;isEdited&quot;:false,&quot;manualOverride&quot;:{&quot;isManuallyOverridden&quot;:false,&quot;citeprocText&quot;:&quot;(Samad et al., 2023)&quot;,&quot;manualOverrideText&quot;:&quot;&quot;},&quot;citationTag&quot;:&quot;MENDELEY_CITATION_v3_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&quot;,&quot;citationItems&quot;:[{&quot;id&quot;:&quot;4ea1fafd-7bd5-300d-81aa-526b573fd5cd&quot;,&quot;itemData&quot;:{&quot;type&quot;:&quot;article-journal&quot;,&quot;id&quot;:&quot;4ea1fafd-7bd5-300d-81aa-526b573fd5cd&quot;,&quot;title&quot;:&quot;Thermodynamic analysis of cumene production plant for identification of energy recovery potentials&quot;,&quot;author&quot;:[{&quot;family&quot;:&quot;Samad&quot;,&quot;given&quot;:&quot;Abdul&quot;,&quot;parse-names&quot;:false,&quot;dropping-particle&quot;:&quot;&quot;,&quot;non-dropping-particle&quot;:&quot;&quot;},{&quot;family&quot;:&quot;Saghir&quot;,&quot;given&quot;:&quot;Husnain&quot;,&quot;parse-names&quot;:false,&quot;dropping-particle&quot;:&quot;&quot;,&quot;non-dropping-particle&quot;:&quot;&quot;},{&quot;family&quot;:&quot;Ahmad&quot;,&quot;given&quot;:&quot;Iftikhar&quot;,&quot;parse-names&quot;:false,&quot;dropping-particle&quot;:&quot;&quot;,&quot;non-dropping-particle&quot;:&quot;&quot;},{&quot;family&quot;:&quot;Ahmad&quot;,&quot;given&quot;:&quot;Farooq&quot;,&quot;parse-names&quot;:false,&quot;dropping-particle&quot;:&quot;&quot;,&quot;non-dropping-particle&quot;:&quot;&quot;},{&quot;family&quot;:&quot;Caliskan&quot;,&quot;given&quot;:&quot;Hakan&quot;,&quot;parse-names&quot;:false,&quot;dropping-particle&quot;:&quot;&quot;,&quot;non-dropping-particle&quot;:&quot;&quot;}],&quot;container-title&quot;:&quot;Energy&quot;,&quot;DOI&quot;:&quot;10.1016/j.energy.2023.126840&quot;,&quot;ISSN&quot;:&quot;03605442&quot;,&quot;issued&quot;:{&quot;date-parts&quot;:[[2023]]},&quot;abstract&quot;:&quot;In this work, exergy analysis of cumene production plant is carried out in an integrated environment of Aspen Plus and MATLAB. Physical exergy is calculated in Aspen Plus V.10, while an interface of MATLAB and Aspen Plus is used to calculate chemical exergy of the process. For systematic analysis and comparison, the cumene plant is divided into three sections: preheating section, reaction section and separation section. Then, exergy efficiency, irreversibilities and exergetic improvement potential are calculated. The overall plant exergy efficiency, irreversibility and improvement potential are found as 84.93%, 95960.52 kW and 15102.5 kW, respectively. The reaction section has the highest exergy efficiency of 87.44%, while the separation section has the lowest exergy efficiency of 58.95%. The analyses performed in this study can provide a basis for optimization of design and operation of the plants.&quot;,&quot;volume&quot;:&quot;270&quot;,&quot;container-title-short&quot;:&quot;&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6</Pages>
  <Words>3838</Words>
  <Characters>21111</Characters>
  <Application>Microsoft Office Word</Application>
  <DocSecurity>0</DocSecurity>
  <Lines>175</Lines>
  <Paragraphs>49</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Luisa José Acosta Esalas</cp:lastModifiedBy>
  <cp:revision>50</cp:revision>
  <cp:lastPrinted>2015-05-12T18:31:00Z</cp:lastPrinted>
  <dcterms:created xsi:type="dcterms:W3CDTF">2025-01-05T22:53:00Z</dcterms:created>
  <dcterms:modified xsi:type="dcterms:W3CDTF">2025-05-12T16:26:00Z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