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176617F" w14:textId="6A3BD10D" w:rsidR="00F53ACE" w:rsidRPr="00F53ACE" w:rsidRDefault="00A3747D" w:rsidP="00DE223F">
      <w:pPr>
        <w:pStyle w:val="CETTitle"/>
      </w:pPr>
      <w:r>
        <w:t xml:space="preserve">Evaluation of Adsorption Process in a Molecular Sieve for Anhydrous Ethanol Production Using Facilities of Aspen </w:t>
      </w:r>
      <w:proofErr w:type="spellStart"/>
      <w:r>
        <w:t>Adsim</w:t>
      </w:r>
      <w:proofErr w:type="spellEnd"/>
    </w:p>
    <w:p w14:paraId="0488FED2" w14:textId="270CD7BA" w:rsidR="00B57E6F" w:rsidRPr="00B57B36" w:rsidRDefault="006A0449" w:rsidP="00B57E6F">
      <w:pPr>
        <w:pStyle w:val="CETAuthors"/>
      </w:pPr>
      <w:r>
        <w:t>Yann M. Pinterich and Maria R. Wolf Maciel</w:t>
      </w:r>
    </w:p>
    <w:p w14:paraId="3D72B0B0" w14:textId="12906A56" w:rsidR="00B57E6F" w:rsidRPr="0044123B" w:rsidRDefault="006A0449" w:rsidP="00B57E6F">
      <w:pPr>
        <w:pStyle w:val="CETAddress"/>
      </w:pPr>
      <w:r>
        <w:t xml:space="preserve">Laboratory of Development of Separation Processes (LDPS), School of Chemical Engineering, University of Campinas, </w:t>
      </w:r>
      <w:r w:rsidRPr="0044123B">
        <w:t>Brazil</w:t>
      </w:r>
      <w:r w:rsidR="00B57E6F" w:rsidRPr="0044123B">
        <w:t xml:space="preserve"> </w:t>
      </w:r>
    </w:p>
    <w:p w14:paraId="0F4F6B8E" w14:textId="69FE9835" w:rsidR="0045065B" w:rsidRPr="00AB594F" w:rsidRDefault="006875A9" w:rsidP="008B143F">
      <w:pPr>
        <w:pStyle w:val="CETemail"/>
        <w:rPr>
          <w:lang w:val="en-US"/>
        </w:rPr>
      </w:pPr>
      <w:hyperlink r:id="rId11" w:history="1">
        <w:r w:rsidR="0045065B" w:rsidRPr="00AB594F">
          <w:rPr>
            <w:rStyle w:val="Hyperlink"/>
            <w:color w:val="auto"/>
            <w:u w:val="none"/>
            <w:lang w:val="en-US"/>
          </w:rPr>
          <w:t>wolf@unicamp.br</w:t>
        </w:r>
      </w:hyperlink>
    </w:p>
    <w:p w14:paraId="09611898" w14:textId="7B4EB40F" w:rsidR="00476357" w:rsidRPr="00184569" w:rsidRDefault="006A0449" w:rsidP="00600535">
      <w:pPr>
        <w:pStyle w:val="CETBodytext"/>
      </w:pPr>
      <w:r>
        <w:t xml:space="preserve">Anhydrous ethanol has several applications in industrial segments, besides being used as an additive to gasoline. Due to the formation of the </w:t>
      </w:r>
      <w:proofErr w:type="spellStart"/>
      <w:r>
        <w:t>azeotrope</w:t>
      </w:r>
      <w:proofErr w:type="spellEnd"/>
      <w:r>
        <w:t xml:space="preserve"> between ethanol and water, complex separation processes must be used to obtain anhydrous ethanol, such </w:t>
      </w:r>
      <w:r w:rsidRPr="00694947">
        <w:t xml:space="preserve">as </w:t>
      </w:r>
      <w:r w:rsidR="00FE7A1C" w:rsidRPr="00694947">
        <w:t xml:space="preserve">extractive distillation, </w:t>
      </w:r>
      <w:proofErr w:type="spellStart"/>
      <w:r w:rsidR="00FE7A1C" w:rsidRPr="00694947">
        <w:t>azeotropic</w:t>
      </w:r>
      <w:proofErr w:type="spellEnd"/>
      <w:r w:rsidR="00FE7A1C" w:rsidRPr="00694947">
        <w:t xml:space="preserve"> distillation or </w:t>
      </w:r>
      <w:r w:rsidRPr="00694947">
        <w:t>molecular sieve adsorption</w:t>
      </w:r>
      <w:r w:rsidR="00FE7A1C" w:rsidRPr="00694947">
        <w:t>. Among these processes, molecular sieve adsorption</w:t>
      </w:r>
      <w:r w:rsidR="003E26E4" w:rsidRPr="00694947">
        <w:t xml:space="preserve"> </w:t>
      </w:r>
      <w:r w:rsidRPr="00694947">
        <w:t>has the advantage of not requiring the addition of a solvent, which can enable a very high degree of purity for the product</w:t>
      </w:r>
      <w:r w:rsidR="00322841" w:rsidRPr="00694947">
        <w:t xml:space="preserve"> and</w:t>
      </w:r>
      <w:r w:rsidRPr="00694947">
        <w:t xml:space="preserve"> </w:t>
      </w:r>
      <w:r w:rsidR="00084F49" w:rsidRPr="00694947">
        <w:t xml:space="preserve">avoids </w:t>
      </w:r>
      <w:r w:rsidRPr="00694947">
        <w:t>a solvent recovery step. This type of adsorption process can be performed using a hydrophilic adsorbent with pore diameter capable of selectively adsorbing water molecules and not ethanol molecules. Through dynamic process simulations, profile</w:t>
      </w:r>
      <w:r w:rsidR="00865BF8" w:rsidRPr="00694947">
        <w:t>s</w:t>
      </w:r>
      <w:r w:rsidRPr="00694947">
        <w:t xml:space="preserve"> of mole fraction</w:t>
      </w:r>
      <w:r w:rsidR="00865BF8" w:rsidRPr="00694947">
        <w:t>s</w:t>
      </w:r>
      <w:r w:rsidRPr="00694947">
        <w:t xml:space="preserve"> of ethanol and water in the bed, the variation of the product composition with time and sensitivity analyses were evaluated. </w:t>
      </w:r>
      <w:r w:rsidR="00CD3768" w:rsidRPr="00694947">
        <w:t>T</w:t>
      </w:r>
      <w:r w:rsidRPr="00694947">
        <w:t>he adsorption phenomenon, the molecular sieves mechanism</w:t>
      </w:r>
      <w:r w:rsidR="00322841" w:rsidRPr="00694947">
        <w:t xml:space="preserve"> and</w:t>
      </w:r>
      <w:r w:rsidRPr="00694947">
        <w:t xml:space="preserve"> the use of software for the simulation of chemical processes were demonstrated. The simulations reached very satisfactory results for the process. The base case simulation reached 91.3</w:t>
      </w:r>
      <w:r w:rsidR="00EA6052" w:rsidRPr="00694947">
        <w:t xml:space="preserve"> </w:t>
      </w:r>
      <w:r w:rsidRPr="00694947">
        <w:t xml:space="preserve">% </w:t>
      </w:r>
      <w:r w:rsidR="00E4010B" w:rsidRPr="00694947">
        <w:t xml:space="preserve">mass </w:t>
      </w:r>
      <w:r w:rsidRPr="00694947">
        <w:t xml:space="preserve">purity for the complete simulation of the batch process lasting 5000 s. </w:t>
      </w:r>
      <w:r w:rsidR="00322841" w:rsidRPr="00694947">
        <w:t>L</w:t>
      </w:r>
      <w:r w:rsidRPr="00694947">
        <w:t xml:space="preserve">imiting the simulation to 2337 s, the </w:t>
      </w:r>
      <w:r w:rsidR="00797F29" w:rsidRPr="00694947">
        <w:t xml:space="preserve">mass </w:t>
      </w:r>
      <w:r w:rsidRPr="00694947">
        <w:t>purity was 99.3</w:t>
      </w:r>
      <w:r w:rsidR="00EA6052" w:rsidRPr="00694947">
        <w:t xml:space="preserve"> </w:t>
      </w:r>
      <w:r w:rsidRPr="00694947">
        <w:t>%, while the recovery was 100.0</w:t>
      </w:r>
      <w:r w:rsidR="00EA6052" w:rsidRPr="00694947">
        <w:t xml:space="preserve"> </w:t>
      </w:r>
      <w:r w:rsidRPr="00694947">
        <w:t>% and the productivity was 3.40 L/h/kg of adsorbent. This purity achieved meets the criteria for the use of ethanol as a gasoline additive.</w:t>
      </w:r>
      <w:r w:rsidR="00FE7A1C" w:rsidRPr="00694947">
        <w:t xml:space="preserve"> Column diameter and feed flow </w:t>
      </w:r>
      <w:r w:rsidR="00476357" w:rsidRPr="00694947">
        <w:t xml:space="preserve">rate </w:t>
      </w:r>
      <w:r w:rsidR="00FE7A1C" w:rsidRPr="00694947">
        <w:t>were the variables that most impacted the results in the sensitivity study.</w:t>
      </w:r>
    </w:p>
    <w:p w14:paraId="476B2F2E" w14:textId="77777777" w:rsidR="00600535" w:rsidRPr="00B57B36" w:rsidRDefault="00600535" w:rsidP="00600535">
      <w:pPr>
        <w:pStyle w:val="CETHeading1"/>
        <w:rPr>
          <w:lang w:val="en-GB"/>
        </w:rPr>
      </w:pPr>
      <w:r w:rsidRPr="00B57B36">
        <w:rPr>
          <w:lang w:val="en-GB"/>
        </w:rPr>
        <w:t>Introduction</w:t>
      </w:r>
    </w:p>
    <w:p w14:paraId="2D60CF8A" w14:textId="2AE6B559" w:rsidR="00B245E5" w:rsidRPr="00CD3768" w:rsidRDefault="001A4035" w:rsidP="00A64197">
      <w:pPr>
        <w:pStyle w:val="CETBodytext"/>
        <w:rPr>
          <w:lang w:val="en-GB"/>
        </w:rPr>
      </w:pPr>
      <w:r w:rsidRPr="00A64197">
        <w:rPr>
          <w:lang w:val="en-GB"/>
        </w:rPr>
        <w:t>In the 1970s, during the oil crises, the National Alcohol Program (</w:t>
      </w:r>
      <w:proofErr w:type="spellStart"/>
      <w:r w:rsidRPr="00A64197">
        <w:rPr>
          <w:lang w:val="en-GB"/>
        </w:rPr>
        <w:t>Pró-Álcool</w:t>
      </w:r>
      <w:proofErr w:type="spellEnd"/>
      <w:r w:rsidRPr="00A64197">
        <w:rPr>
          <w:lang w:val="en-GB"/>
        </w:rPr>
        <w:t xml:space="preserve">) was created in Brazil, in which it began to study </w:t>
      </w:r>
      <w:r w:rsidR="00A64197" w:rsidRPr="00A64197">
        <w:rPr>
          <w:lang w:val="en-GB"/>
        </w:rPr>
        <w:t>fuels of vegetable origin</w:t>
      </w:r>
      <w:r w:rsidR="00A64197">
        <w:rPr>
          <w:lang w:val="en-GB"/>
        </w:rPr>
        <w:t xml:space="preserve"> </w:t>
      </w:r>
      <w:r w:rsidR="00A64197" w:rsidRPr="00A64197">
        <w:rPr>
          <w:lang w:val="en-GB"/>
        </w:rPr>
        <w:t>alternative</w:t>
      </w:r>
      <w:r w:rsidR="00A64197">
        <w:rPr>
          <w:lang w:val="en-GB"/>
        </w:rPr>
        <w:t xml:space="preserve"> </w:t>
      </w:r>
      <w:r w:rsidR="00A64197" w:rsidRPr="00A64197">
        <w:rPr>
          <w:lang w:val="en-GB"/>
        </w:rPr>
        <w:t>to gasoline derived from petroleum, with emphasis on the production of ethanol from sugar cane</w:t>
      </w:r>
      <w:r w:rsidR="00A64197">
        <w:rPr>
          <w:lang w:val="en-GB"/>
        </w:rPr>
        <w:t xml:space="preserve">, </w:t>
      </w:r>
      <w:r w:rsidR="00A64197" w:rsidRPr="00A64197">
        <w:rPr>
          <w:lang w:val="en-GB"/>
        </w:rPr>
        <w:t>a technique that prevails in the country until the present (S</w:t>
      </w:r>
      <w:r w:rsidR="00EA6052">
        <w:rPr>
          <w:lang w:val="en-GB"/>
        </w:rPr>
        <w:t>ilva</w:t>
      </w:r>
      <w:r w:rsidR="00A64197" w:rsidRPr="00A64197">
        <w:rPr>
          <w:lang w:val="en-GB"/>
        </w:rPr>
        <w:t>, 2022</w:t>
      </w:r>
      <w:r w:rsidR="00A64197" w:rsidRPr="00CD3768">
        <w:rPr>
          <w:lang w:val="en-GB"/>
        </w:rPr>
        <w:t>)</w:t>
      </w:r>
      <w:r w:rsidR="00B20705" w:rsidRPr="00CD3768">
        <w:rPr>
          <w:lang w:val="en-GB"/>
        </w:rPr>
        <w:t xml:space="preserve"> with success</w:t>
      </w:r>
      <w:r w:rsidR="00A64197" w:rsidRPr="00CD3768">
        <w:rPr>
          <w:lang w:val="en-GB"/>
        </w:rPr>
        <w:t xml:space="preserve">. Therefore, it </w:t>
      </w:r>
      <w:r w:rsidR="00B245E5" w:rsidRPr="00CD3768">
        <w:rPr>
          <w:lang w:val="en-GB"/>
        </w:rPr>
        <w:t>was</w:t>
      </w:r>
      <w:r w:rsidR="00A64197" w:rsidRPr="00CD3768">
        <w:rPr>
          <w:lang w:val="en-GB"/>
        </w:rPr>
        <w:t xml:space="preserve"> </w:t>
      </w:r>
      <w:r w:rsidR="00A64197" w:rsidRPr="00A64197">
        <w:rPr>
          <w:lang w:val="en-GB"/>
        </w:rPr>
        <w:t xml:space="preserve">regulated by Resolution N° 1 of 2015 of the </w:t>
      </w:r>
      <w:bookmarkStart w:id="1" w:name="_Hlk127129273"/>
      <w:proofErr w:type="spellStart"/>
      <w:r w:rsidR="00A64197" w:rsidRPr="00A64197">
        <w:rPr>
          <w:lang w:val="en-GB"/>
        </w:rPr>
        <w:t>Interministerial</w:t>
      </w:r>
      <w:proofErr w:type="spellEnd"/>
      <w:r w:rsidR="00A64197" w:rsidRPr="00A64197">
        <w:rPr>
          <w:lang w:val="en-GB"/>
        </w:rPr>
        <w:t xml:space="preserve"> Council for Sugar and Alcohol </w:t>
      </w:r>
      <w:bookmarkEnd w:id="1"/>
      <w:r w:rsidR="00A64197" w:rsidRPr="00A64197">
        <w:rPr>
          <w:lang w:val="en-GB"/>
        </w:rPr>
        <w:t xml:space="preserve">(CIMA) that anhydrous ethanol </w:t>
      </w:r>
      <w:r w:rsidR="00936683">
        <w:rPr>
          <w:lang w:val="en-GB"/>
        </w:rPr>
        <w:t xml:space="preserve">in Brazil </w:t>
      </w:r>
      <w:r w:rsidR="00A64197" w:rsidRPr="00A64197">
        <w:rPr>
          <w:lang w:val="en-GB"/>
        </w:rPr>
        <w:t xml:space="preserve">composes the </w:t>
      </w:r>
      <w:r w:rsidR="00A64197" w:rsidRPr="008B143F">
        <w:rPr>
          <w:lang w:val="en-GB"/>
        </w:rPr>
        <w:t xml:space="preserve">formulation of </w:t>
      </w:r>
      <w:r w:rsidR="00CD3768" w:rsidRPr="008B143F">
        <w:rPr>
          <w:lang w:val="en-GB"/>
        </w:rPr>
        <w:t xml:space="preserve">regular </w:t>
      </w:r>
      <w:r w:rsidR="00A64197" w:rsidRPr="008B143F">
        <w:rPr>
          <w:lang w:val="en-GB"/>
        </w:rPr>
        <w:t xml:space="preserve">gasoline, in </w:t>
      </w:r>
      <w:r w:rsidR="00A64197" w:rsidRPr="00A64197">
        <w:rPr>
          <w:lang w:val="en-GB"/>
        </w:rPr>
        <w:t>a mixture of 27</w:t>
      </w:r>
      <w:r w:rsidR="00EA6052">
        <w:rPr>
          <w:lang w:val="en-GB"/>
        </w:rPr>
        <w:t xml:space="preserve"> </w:t>
      </w:r>
      <w:r w:rsidR="00A64197" w:rsidRPr="00A64197">
        <w:rPr>
          <w:lang w:val="en-GB"/>
        </w:rPr>
        <w:t>% for regular gasoline and 25</w:t>
      </w:r>
      <w:r w:rsidR="00EA6052">
        <w:rPr>
          <w:lang w:val="en-GB"/>
        </w:rPr>
        <w:t xml:space="preserve"> </w:t>
      </w:r>
      <w:r w:rsidR="00A64197" w:rsidRPr="00A64197">
        <w:rPr>
          <w:lang w:val="en-GB"/>
        </w:rPr>
        <w:t xml:space="preserve">% </w:t>
      </w:r>
      <w:r w:rsidR="00A64197" w:rsidRPr="00CD3768">
        <w:rPr>
          <w:lang w:val="en-GB"/>
        </w:rPr>
        <w:t xml:space="preserve">for </w:t>
      </w:r>
      <w:r w:rsidR="00C042C2" w:rsidRPr="00CD3768">
        <w:rPr>
          <w:lang w:val="en-GB"/>
        </w:rPr>
        <w:t xml:space="preserve">premium </w:t>
      </w:r>
      <w:r w:rsidR="00A64197" w:rsidRPr="00CD3768">
        <w:rPr>
          <w:lang w:val="en-GB"/>
        </w:rPr>
        <w:t xml:space="preserve">gasoline, </w:t>
      </w:r>
      <w:r w:rsidR="00A64197" w:rsidRPr="00A64197">
        <w:rPr>
          <w:lang w:val="en-GB"/>
        </w:rPr>
        <w:t>with a minimum ethanol mass fraction of 0.993</w:t>
      </w:r>
      <w:r w:rsidR="00A64197">
        <w:rPr>
          <w:lang w:val="en-GB"/>
        </w:rPr>
        <w:t xml:space="preserve"> (</w:t>
      </w:r>
      <w:bookmarkStart w:id="2" w:name="_Hlk127129272"/>
      <w:r w:rsidR="00A64197" w:rsidRPr="00A64197">
        <w:rPr>
          <w:lang w:val="en-GB"/>
        </w:rPr>
        <w:t>N</w:t>
      </w:r>
      <w:r w:rsidR="00EA6052">
        <w:rPr>
          <w:lang w:val="en-GB"/>
        </w:rPr>
        <w:t>ational</w:t>
      </w:r>
      <w:r w:rsidR="00A64197" w:rsidRPr="00A64197">
        <w:rPr>
          <w:lang w:val="en-GB"/>
        </w:rPr>
        <w:t xml:space="preserve"> A</w:t>
      </w:r>
      <w:r w:rsidR="00EA6052">
        <w:rPr>
          <w:lang w:val="en-GB"/>
        </w:rPr>
        <w:t>gency</w:t>
      </w:r>
      <w:r w:rsidR="00A64197" w:rsidRPr="00A64197">
        <w:rPr>
          <w:lang w:val="en-GB"/>
        </w:rPr>
        <w:t xml:space="preserve"> </w:t>
      </w:r>
      <w:r w:rsidR="00EA6052">
        <w:rPr>
          <w:lang w:val="en-GB"/>
        </w:rPr>
        <w:t xml:space="preserve">of </w:t>
      </w:r>
      <w:r w:rsidR="00A64197" w:rsidRPr="00A64197">
        <w:rPr>
          <w:lang w:val="en-GB"/>
        </w:rPr>
        <w:t>P</w:t>
      </w:r>
      <w:r w:rsidR="00EA6052">
        <w:rPr>
          <w:lang w:val="en-GB"/>
        </w:rPr>
        <w:t>etroleum</w:t>
      </w:r>
      <w:r w:rsidR="00A64197" w:rsidRPr="00A64197">
        <w:rPr>
          <w:lang w:val="en-GB"/>
        </w:rPr>
        <w:t>, N</w:t>
      </w:r>
      <w:r w:rsidR="00EA6052">
        <w:rPr>
          <w:lang w:val="en-GB"/>
        </w:rPr>
        <w:t>atural</w:t>
      </w:r>
      <w:r w:rsidR="00A64197" w:rsidRPr="00A64197">
        <w:rPr>
          <w:lang w:val="en-GB"/>
        </w:rPr>
        <w:t xml:space="preserve"> G</w:t>
      </w:r>
      <w:r w:rsidR="00EA6052">
        <w:rPr>
          <w:lang w:val="en-GB"/>
        </w:rPr>
        <w:t>as</w:t>
      </w:r>
      <w:r w:rsidR="00A64197" w:rsidRPr="00A64197">
        <w:rPr>
          <w:lang w:val="en-GB"/>
        </w:rPr>
        <w:t xml:space="preserve"> </w:t>
      </w:r>
      <w:r w:rsidR="00EA6052">
        <w:rPr>
          <w:lang w:val="en-GB"/>
        </w:rPr>
        <w:t>and</w:t>
      </w:r>
      <w:r w:rsidR="00A64197" w:rsidRPr="00A64197">
        <w:rPr>
          <w:lang w:val="en-GB"/>
        </w:rPr>
        <w:t xml:space="preserve"> B</w:t>
      </w:r>
      <w:r w:rsidR="00EA6052">
        <w:rPr>
          <w:lang w:val="en-GB"/>
        </w:rPr>
        <w:t>iofuels</w:t>
      </w:r>
      <w:r w:rsidR="00A64197">
        <w:rPr>
          <w:lang w:val="en-GB"/>
        </w:rPr>
        <w:t xml:space="preserve">, </w:t>
      </w:r>
      <w:bookmarkEnd w:id="2"/>
      <w:r w:rsidR="00A64197">
        <w:rPr>
          <w:lang w:val="en-GB"/>
        </w:rPr>
        <w:t>2015)</w:t>
      </w:r>
      <w:r w:rsidR="00936683">
        <w:rPr>
          <w:lang w:val="en-GB"/>
        </w:rPr>
        <w:t xml:space="preserve">. </w:t>
      </w:r>
      <w:r w:rsidR="00936683" w:rsidRPr="00936683">
        <w:rPr>
          <w:lang w:val="en-GB"/>
        </w:rPr>
        <w:t>For other countries, the minimum fraction of ethyl alcohol may vary according to local regulations, as shown in Table 1.</w:t>
      </w:r>
    </w:p>
    <w:p w14:paraId="3D167202" w14:textId="798D477E" w:rsidR="00936683" w:rsidRPr="00B57B36" w:rsidRDefault="00936683" w:rsidP="00936683">
      <w:pPr>
        <w:pStyle w:val="CETTabletitle"/>
      </w:pPr>
      <w:r w:rsidRPr="00B57B36">
        <w:t xml:space="preserve">Table 1: </w:t>
      </w:r>
      <w:r w:rsidR="006E4FCA" w:rsidRPr="006E4FCA">
        <w:t xml:space="preserve">Specifications of anhydrous </w:t>
      </w:r>
      <w:r w:rsidR="006E4FCA" w:rsidRPr="00CD3768">
        <w:t>ethanol</w:t>
      </w:r>
      <w:r w:rsidR="006E4FCA" w:rsidRPr="006E4FCA">
        <w:t xml:space="preserve"> to be </w:t>
      </w:r>
      <w:r w:rsidR="006E4FCA">
        <w:t>mix</w:t>
      </w:r>
      <w:r w:rsidR="006E4FCA" w:rsidRPr="006E4FCA">
        <w:t>ed with gasoline.</w:t>
      </w:r>
      <w:r w:rsidR="00BD78F1">
        <w:t xml:space="preserve"> From Fontana et al. (2021)</w:t>
      </w:r>
      <w:r w:rsidR="00AB780A">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8"/>
        <w:gridCol w:w="1170"/>
        <w:gridCol w:w="1276"/>
        <w:gridCol w:w="1134"/>
        <w:gridCol w:w="1134"/>
        <w:gridCol w:w="1985"/>
      </w:tblGrid>
      <w:tr w:rsidR="006E4FCA" w:rsidRPr="00B57B36" w14:paraId="48F83E3B" w14:textId="6FFD9568" w:rsidTr="00BD78F1">
        <w:tc>
          <w:tcPr>
            <w:tcW w:w="1098" w:type="dxa"/>
            <w:vMerge w:val="restart"/>
            <w:tcBorders>
              <w:top w:val="single" w:sz="12" w:space="0" w:color="008000"/>
            </w:tcBorders>
            <w:shd w:val="clear" w:color="auto" w:fill="FFFFFF"/>
            <w:vAlign w:val="center"/>
          </w:tcPr>
          <w:p w14:paraId="21209896" w14:textId="552E9FFB" w:rsidR="006E4FCA" w:rsidRPr="00B57B36" w:rsidRDefault="006E4FCA" w:rsidP="006E4FCA">
            <w:pPr>
              <w:pStyle w:val="CETBodytext"/>
              <w:jc w:val="left"/>
              <w:rPr>
                <w:lang w:val="en-GB"/>
              </w:rPr>
            </w:pPr>
            <w:r>
              <w:rPr>
                <w:lang w:val="en-GB"/>
              </w:rPr>
              <w:t>Local</w:t>
            </w:r>
            <w:r w:rsidRPr="00B57B36">
              <w:rPr>
                <w:lang w:val="en-GB"/>
              </w:rPr>
              <w:t xml:space="preserve"> </w:t>
            </w:r>
          </w:p>
        </w:tc>
        <w:tc>
          <w:tcPr>
            <w:tcW w:w="2446" w:type="dxa"/>
            <w:gridSpan w:val="2"/>
            <w:tcBorders>
              <w:top w:val="single" w:sz="12" w:space="0" w:color="008000"/>
              <w:bottom w:val="nil"/>
            </w:tcBorders>
            <w:shd w:val="clear" w:color="auto" w:fill="FFFFFF"/>
          </w:tcPr>
          <w:p w14:paraId="1411A660" w14:textId="346ED953" w:rsidR="006E4FCA" w:rsidRDefault="006E4FCA" w:rsidP="005D2681">
            <w:pPr>
              <w:pStyle w:val="CETBodytext"/>
              <w:rPr>
                <w:lang w:val="en-GB"/>
              </w:rPr>
            </w:pPr>
            <w:r>
              <w:rPr>
                <w:lang w:val="en-GB"/>
              </w:rPr>
              <w:t>Minimum ethanol content</w:t>
            </w:r>
          </w:p>
        </w:tc>
        <w:tc>
          <w:tcPr>
            <w:tcW w:w="2268" w:type="dxa"/>
            <w:gridSpan w:val="2"/>
            <w:tcBorders>
              <w:top w:val="single" w:sz="12" w:space="0" w:color="008000"/>
              <w:bottom w:val="nil"/>
            </w:tcBorders>
            <w:shd w:val="clear" w:color="auto" w:fill="FFFFFF"/>
          </w:tcPr>
          <w:p w14:paraId="389B0461" w14:textId="68117E04" w:rsidR="006E4FCA" w:rsidRDefault="006E4FCA" w:rsidP="005D2681">
            <w:pPr>
              <w:pStyle w:val="CETBodytext"/>
              <w:ind w:right="-1"/>
              <w:rPr>
                <w:lang w:val="en-GB"/>
              </w:rPr>
            </w:pPr>
            <w:r>
              <w:rPr>
                <w:lang w:val="en-GB"/>
              </w:rPr>
              <w:t>Maximum water content</w:t>
            </w:r>
          </w:p>
        </w:tc>
        <w:tc>
          <w:tcPr>
            <w:tcW w:w="1985" w:type="dxa"/>
            <w:vMerge w:val="restart"/>
            <w:tcBorders>
              <w:top w:val="single" w:sz="12" w:space="0" w:color="008000"/>
            </w:tcBorders>
            <w:shd w:val="clear" w:color="auto" w:fill="FFFFFF"/>
            <w:vAlign w:val="center"/>
          </w:tcPr>
          <w:p w14:paraId="6E59AD94" w14:textId="2D835028" w:rsidR="006E4FCA" w:rsidRDefault="006E4FCA" w:rsidP="006E4FCA">
            <w:pPr>
              <w:pStyle w:val="CETBodytext"/>
              <w:ind w:right="-1"/>
              <w:jc w:val="left"/>
              <w:rPr>
                <w:lang w:val="en-GB"/>
              </w:rPr>
            </w:pPr>
            <w:r>
              <w:rPr>
                <w:lang w:val="en-GB"/>
              </w:rPr>
              <w:t>Regulation</w:t>
            </w:r>
          </w:p>
        </w:tc>
      </w:tr>
      <w:tr w:rsidR="006E4FCA" w:rsidRPr="00B57B36" w14:paraId="1E5727CB" w14:textId="0164F37E" w:rsidTr="00BD78F1">
        <w:tc>
          <w:tcPr>
            <w:tcW w:w="1098" w:type="dxa"/>
            <w:vMerge/>
            <w:tcBorders>
              <w:bottom w:val="single" w:sz="6" w:space="0" w:color="008000"/>
            </w:tcBorders>
            <w:shd w:val="clear" w:color="auto" w:fill="FFFFFF"/>
          </w:tcPr>
          <w:p w14:paraId="54D86E9D" w14:textId="77777777" w:rsidR="006E4FCA" w:rsidRDefault="006E4FCA" w:rsidP="005D2681">
            <w:pPr>
              <w:pStyle w:val="CETBodytext"/>
              <w:rPr>
                <w:lang w:val="en-GB"/>
              </w:rPr>
            </w:pPr>
          </w:p>
        </w:tc>
        <w:tc>
          <w:tcPr>
            <w:tcW w:w="1170" w:type="dxa"/>
            <w:tcBorders>
              <w:top w:val="nil"/>
              <w:bottom w:val="single" w:sz="6" w:space="0" w:color="008000"/>
            </w:tcBorders>
            <w:shd w:val="clear" w:color="auto" w:fill="FFFFFF"/>
          </w:tcPr>
          <w:p w14:paraId="0E186963" w14:textId="26C85837" w:rsidR="006E4FCA" w:rsidRDefault="006E4FCA" w:rsidP="005D2681">
            <w:pPr>
              <w:pStyle w:val="CETBodytext"/>
              <w:rPr>
                <w:lang w:val="en-GB"/>
              </w:rPr>
            </w:pPr>
            <w:r>
              <w:rPr>
                <w:lang w:val="en-GB"/>
              </w:rPr>
              <w:t>% mass</w:t>
            </w:r>
          </w:p>
        </w:tc>
        <w:tc>
          <w:tcPr>
            <w:tcW w:w="1276" w:type="dxa"/>
            <w:tcBorders>
              <w:top w:val="nil"/>
              <w:bottom w:val="single" w:sz="6" w:space="0" w:color="008000"/>
            </w:tcBorders>
            <w:shd w:val="clear" w:color="auto" w:fill="FFFFFF"/>
          </w:tcPr>
          <w:p w14:paraId="1E2590C8" w14:textId="40C6D439" w:rsidR="006E4FCA" w:rsidRPr="00B57B36" w:rsidRDefault="006E4FCA" w:rsidP="005D2681">
            <w:pPr>
              <w:pStyle w:val="CETBodytext"/>
              <w:rPr>
                <w:lang w:val="en-GB"/>
              </w:rPr>
            </w:pPr>
            <w:r>
              <w:rPr>
                <w:lang w:val="en-GB"/>
              </w:rPr>
              <w:t>% volume</w:t>
            </w:r>
          </w:p>
        </w:tc>
        <w:tc>
          <w:tcPr>
            <w:tcW w:w="1134" w:type="dxa"/>
            <w:tcBorders>
              <w:top w:val="nil"/>
              <w:bottom w:val="single" w:sz="6" w:space="0" w:color="008000"/>
            </w:tcBorders>
            <w:shd w:val="clear" w:color="auto" w:fill="FFFFFF"/>
          </w:tcPr>
          <w:p w14:paraId="598FA11A" w14:textId="5B0C948E" w:rsidR="006E4FCA" w:rsidRPr="00B57B36" w:rsidRDefault="006E4FCA" w:rsidP="005D2681">
            <w:pPr>
              <w:pStyle w:val="CETBodytext"/>
              <w:rPr>
                <w:lang w:val="en-GB"/>
              </w:rPr>
            </w:pPr>
            <w:r>
              <w:rPr>
                <w:lang w:val="en-GB"/>
              </w:rPr>
              <w:t>% mass</w:t>
            </w:r>
          </w:p>
        </w:tc>
        <w:tc>
          <w:tcPr>
            <w:tcW w:w="1134" w:type="dxa"/>
            <w:tcBorders>
              <w:top w:val="nil"/>
              <w:bottom w:val="single" w:sz="6" w:space="0" w:color="008000"/>
            </w:tcBorders>
            <w:shd w:val="clear" w:color="auto" w:fill="FFFFFF"/>
          </w:tcPr>
          <w:p w14:paraId="631FDA4A" w14:textId="45248C30" w:rsidR="006E4FCA" w:rsidRDefault="006E4FCA" w:rsidP="005D2681">
            <w:pPr>
              <w:pStyle w:val="CETBodytext"/>
              <w:rPr>
                <w:lang w:val="en-GB"/>
              </w:rPr>
            </w:pPr>
            <w:r>
              <w:rPr>
                <w:lang w:val="en-GB"/>
              </w:rPr>
              <w:t>% volume</w:t>
            </w:r>
          </w:p>
        </w:tc>
        <w:tc>
          <w:tcPr>
            <w:tcW w:w="1985" w:type="dxa"/>
            <w:vMerge/>
            <w:tcBorders>
              <w:bottom w:val="single" w:sz="6" w:space="0" w:color="008000"/>
            </w:tcBorders>
            <w:shd w:val="clear" w:color="auto" w:fill="FFFFFF"/>
          </w:tcPr>
          <w:p w14:paraId="18DDCB78" w14:textId="77777777" w:rsidR="006E4FCA" w:rsidRDefault="006E4FCA" w:rsidP="005D2681">
            <w:pPr>
              <w:pStyle w:val="CETBodytext"/>
              <w:rPr>
                <w:lang w:val="en-GB"/>
              </w:rPr>
            </w:pPr>
          </w:p>
        </w:tc>
      </w:tr>
      <w:tr w:rsidR="006E4FCA" w:rsidRPr="00B57B36" w14:paraId="7CFBD50D" w14:textId="0FD371E5" w:rsidTr="00BD78F1">
        <w:tc>
          <w:tcPr>
            <w:tcW w:w="1098" w:type="dxa"/>
            <w:shd w:val="clear" w:color="auto" w:fill="FFFFFF"/>
          </w:tcPr>
          <w:p w14:paraId="76784701" w14:textId="0F57FA3E" w:rsidR="006E4FCA" w:rsidRPr="00B57B36" w:rsidRDefault="006E4FCA" w:rsidP="005D2681">
            <w:pPr>
              <w:pStyle w:val="CETBodytext"/>
              <w:rPr>
                <w:lang w:val="en-GB"/>
              </w:rPr>
            </w:pPr>
            <w:r>
              <w:rPr>
                <w:lang w:val="en-GB"/>
              </w:rPr>
              <w:t>Brazil</w:t>
            </w:r>
          </w:p>
        </w:tc>
        <w:tc>
          <w:tcPr>
            <w:tcW w:w="1170" w:type="dxa"/>
            <w:shd w:val="clear" w:color="auto" w:fill="FFFFFF"/>
          </w:tcPr>
          <w:p w14:paraId="7F48EEF1" w14:textId="298A817A" w:rsidR="006E4FCA" w:rsidRPr="00B57B36" w:rsidRDefault="006E4FCA" w:rsidP="005D2681">
            <w:pPr>
              <w:pStyle w:val="CETBodytext"/>
              <w:rPr>
                <w:lang w:val="en-GB"/>
              </w:rPr>
            </w:pPr>
            <w:r>
              <w:rPr>
                <w:lang w:val="en-GB"/>
              </w:rPr>
              <w:t>99.3</w:t>
            </w:r>
          </w:p>
        </w:tc>
        <w:tc>
          <w:tcPr>
            <w:tcW w:w="1276" w:type="dxa"/>
            <w:shd w:val="clear" w:color="auto" w:fill="FFFFFF"/>
          </w:tcPr>
          <w:p w14:paraId="28161CF0" w14:textId="08A3DE8B" w:rsidR="006E4FCA" w:rsidRPr="00B57B36" w:rsidRDefault="006E4FCA" w:rsidP="005D2681">
            <w:pPr>
              <w:pStyle w:val="CETBodytext"/>
              <w:rPr>
                <w:lang w:val="en-GB"/>
              </w:rPr>
            </w:pPr>
            <w:r>
              <w:rPr>
                <w:lang w:val="en-GB"/>
              </w:rPr>
              <w:t>98.0</w:t>
            </w:r>
          </w:p>
        </w:tc>
        <w:tc>
          <w:tcPr>
            <w:tcW w:w="1134" w:type="dxa"/>
            <w:shd w:val="clear" w:color="auto" w:fill="FFFFFF"/>
          </w:tcPr>
          <w:p w14:paraId="2C037DE0" w14:textId="2E8EE0BF" w:rsidR="006E4FCA" w:rsidRPr="00B57B36" w:rsidRDefault="006E4FCA" w:rsidP="005D2681">
            <w:pPr>
              <w:pStyle w:val="CETBodytext"/>
              <w:rPr>
                <w:lang w:val="en-GB"/>
              </w:rPr>
            </w:pPr>
            <w:r>
              <w:rPr>
                <w:lang w:val="en-GB"/>
              </w:rPr>
              <w:t>0.7</w:t>
            </w:r>
          </w:p>
        </w:tc>
        <w:tc>
          <w:tcPr>
            <w:tcW w:w="1134" w:type="dxa"/>
            <w:shd w:val="clear" w:color="auto" w:fill="FFFFFF"/>
          </w:tcPr>
          <w:p w14:paraId="03AD487D" w14:textId="60575CE7" w:rsidR="006E4FCA" w:rsidRPr="00B57B36" w:rsidRDefault="006E4FCA" w:rsidP="005D2681">
            <w:pPr>
              <w:pStyle w:val="CETBodytext"/>
              <w:rPr>
                <w:lang w:val="en-GB"/>
              </w:rPr>
            </w:pPr>
            <w:r>
              <w:rPr>
                <w:lang w:val="en-GB"/>
              </w:rPr>
              <w:t>-</w:t>
            </w:r>
          </w:p>
        </w:tc>
        <w:tc>
          <w:tcPr>
            <w:tcW w:w="1985" w:type="dxa"/>
            <w:shd w:val="clear" w:color="auto" w:fill="FFFFFF"/>
          </w:tcPr>
          <w:p w14:paraId="3DC51F1E" w14:textId="410A9C43" w:rsidR="006E4FCA" w:rsidRPr="00B57B36" w:rsidRDefault="006E4FCA" w:rsidP="005D2681">
            <w:pPr>
              <w:pStyle w:val="CETBodytext"/>
              <w:rPr>
                <w:lang w:val="en-GB"/>
              </w:rPr>
            </w:pPr>
            <w:r w:rsidRPr="006E4FCA">
              <w:rPr>
                <w:lang w:val="en-GB"/>
              </w:rPr>
              <w:t>ANP Nº 19 (2015)</w:t>
            </w:r>
          </w:p>
        </w:tc>
      </w:tr>
      <w:tr w:rsidR="006E4FCA" w:rsidRPr="00B57B36" w14:paraId="0E81AC3A" w14:textId="4E479794" w:rsidTr="00BD78F1">
        <w:tc>
          <w:tcPr>
            <w:tcW w:w="1098" w:type="dxa"/>
            <w:shd w:val="clear" w:color="auto" w:fill="FFFFFF"/>
          </w:tcPr>
          <w:p w14:paraId="480A814B" w14:textId="49E4D47B" w:rsidR="006E4FCA" w:rsidRPr="00B57B36" w:rsidRDefault="006E4FCA" w:rsidP="005D2681">
            <w:pPr>
              <w:pStyle w:val="CETBodytext"/>
              <w:rPr>
                <w:lang w:val="en-GB"/>
              </w:rPr>
            </w:pPr>
            <w:r>
              <w:rPr>
                <w:lang w:val="en-GB"/>
              </w:rPr>
              <w:t>USA</w:t>
            </w:r>
          </w:p>
        </w:tc>
        <w:tc>
          <w:tcPr>
            <w:tcW w:w="1170" w:type="dxa"/>
            <w:shd w:val="clear" w:color="auto" w:fill="FFFFFF"/>
          </w:tcPr>
          <w:p w14:paraId="560EFFC6" w14:textId="4195E562" w:rsidR="006E4FCA" w:rsidRPr="00B57B36" w:rsidRDefault="006E4FCA" w:rsidP="005D2681">
            <w:pPr>
              <w:pStyle w:val="CETBodytext"/>
              <w:rPr>
                <w:lang w:val="en-GB"/>
              </w:rPr>
            </w:pPr>
            <w:r>
              <w:rPr>
                <w:lang w:val="en-GB"/>
              </w:rPr>
              <w:t>-</w:t>
            </w:r>
          </w:p>
        </w:tc>
        <w:tc>
          <w:tcPr>
            <w:tcW w:w="1276" w:type="dxa"/>
            <w:shd w:val="clear" w:color="auto" w:fill="FFFFFF"/>
          </w:tcPr>
          <w:p w14:paraId="18772D7E" w14:textId="3C08952B" w:rsidR="006E4FCA" w:rsidRPr="00B57B36" w:rsidRDefault="006E4FCA" w:rsidP="005D2681">
            <w:pPr>
              <w:pStyle w:val="CETBodytext"/>
              <w:rPr>
                <w:lang w:val="en-GB"/>
              </w:rPr>
            </w:pPr>
            <w:r>
              <w:rPr>
                <w:lang w:val="en-GB"/>
              </w:rPr>
              <w:t>92.1</w:t>
            </w:r>
          </w:p>
        </w:tc>
        <w:tc>
          <w:tcPr>
            <w:tcW w:w="1134" w:type="dxa"/>
            <w:shd w:val="clear" w:color="auto" w:fill="FFFFFF"/>
          </w:tcPr>
          <w:p w14:paraId="2F18F718" w14:textId="2E33764A" w:rsidR="006E4FCA" w:rsidRPr="00B57B36" w:rsidRDefault="006E4FCA" w:rsidP="005D2681">
            <w:pPr>
              <w:pStyle w:val="CETBodytext"/>
              <w:rPr>
                <w:lang w:val="en-GB"/>
              </w:rPr>
            </w:pPr>
            <w:r>
              <w:rPr>
                <w:lang w:val="en-GB"/>
              </w:rPr>
              <w:t>1.26</w:t>
            </w:r>
          </w:p>
        </w:tc>
        <w:tc>
          <w:tcPr>
            <w:tcW w:w="1134" w:type="dxa"/>
            <w:shd w:val="clear" w:color="auto" w:fill="FFFFFF"/>
          </w:tcPr>
          <w:p w14:paraId="281DBFE8" w14:textId="4A4BFDE0" w:rsidR="006E4FCA" w:rsidRPr="00B57B36" w:rsidRDefault="006E4FCA" w:rsidP="005D2681">
            <w:pPr>
              <w:pStyle w:val="CETBodytext"/>
              <w:rPr>
                <w:lang w:val="en-GB"/>
              </w:rPr>
            </w:pPr>
            <w:r>
              <w:rPr>
                <w:lang w:val="en-GB"/>
              </w:rPr>
              <w:t>1.0</w:t>
            </w:r>
          </w:p>
        </w:tc>
        <w:tc>
          <w:tcPr>
            <w:tcW w:w="1985" w:type="dxa"/>
            <w:shd w:val="clear" w:color="auto" w:fill="FFFFFF"/>
          </w:tcPr>
          <w:p w14:paraId="2B8EEA79" w14:textId="2231F9C5" w:rsidR="006E4FCA" w:rsidRPr="00B57B36" w:rsidRDefault="006E4FCA" w:rsidP="005D2681">
            <w:pPr>
              <w:pStyle w:val="CETBodytext"/>
              <w:rPr>
                <w:lang w:val="en-GB"/>
              </w:rPr>
            </w:pPr>
            <w:r w:rsidRPr="006E4FCA">
              <w:rPr>
                <w:lang w:val="en-GB"/>
              </w:rPr>
              <w:t>ASTM D4806-16 (2016)</w:t>
            </w:r>
          </w:p>
        </w:tc>
      </w:tr>
      <w:tr w:rsidR="006E4FCA" w:rsidRPr="00B57B36" w14:paraId="204ABCE5" w14:textId="24C5F867" w:rsidTr="00BD78F1">
        <w:tc>
          <w:tcPr>
            <w:tcW w:w="1098" w:type="dxa"/>
            <w:shd w:val="clear" w:color="auto" w:fill="FFFFFF"/>
          </w:tcPr>
          <w:p w14:paraId="64293EB8" w14:textId="5A592888" w:rsidR="006E4FCA" w:rsidRPr="006E4FCA" w:rsidRDefault="006E4FCA" w:rsidP="005D2681">
            <w:pPr>
              <w:pStyle w:val="CETBodytext"/>
              <w:ind w:right="-1"/>
              <w:rPr>
                <w:lang w:val="en-GB"/>
              </w:rPr>
            </w:pPr>
            <w:r w:rsidRPr="006E4FCA">
              <w:rPr>
                <w:lang w:val="en-GB"/>
              </w:rPr>
              <w:t>Europe</w:t>
            </w:r>
          </w:p>
        </w:tc>
        <w:tc>
          <w:tcPr>
            <w:tcW w:w="1170" w:type="dxa"/>
            <w:shd w:val="clear" w:color="auto" w:fill="FFFFFF"/>
          </w:tcPr>
          <w:p w14:paraId="1D58015F" w14:textId="6EF1B73C" w:rsidR="006E4FCA" w:rsidRPr="006E4FCA" w:rsidRDefault="006E4FCA" w:rsidP="005D2681">
            <w:pPr>
              <w:pStyle w:val="CETBodytext"/>
              <w:ind w:right="-1"/>
              <w:rPr>
                <w:lang w:val="en-GB"/>
              </w:rPr>
            </w:pPr>
            <w:r w:rsidRPr="006E4FCA">
              <w:rPr>
                <w:lang w:val="en-GB"/>
              </w:rPr>
              <w:t>98.7</w:t>
            </w:r>
          </w:p>
        </w:tc>
        <w:tc>
          <w:tcPr>
            <w:tcW w:w="1276" w:type="dxa"/>
            <w:shd w:val="clear" w:color="auto" w:fill="FFFFFF"/>
          </w:tcPr>
          <w:p w14:paraId="65F27F99" w14:textId="304F6EEF" w:rsidR="006E4FCA" w:rsidRPr="006E4FCA" w:rsidRDefault="006E4FCA" w:rsidP="005D2681">
            <w:pPr>
              <w:pStyle w:val="CETBodytext"/>
              <w:ind w:right="-1"/>
              <w:rPr>
                <w:lang w:val="en-GB"/>
              </w:rPr>
            </w:pPr>
            <w:r w:rsidRPr="006E4FCA">
              <w:rPr>
                <w:lang w:val="en-GB"/>
              </w:rPr>
              <w:t>-</w:t>
            </w:r>
          </w:p>
        </w:tc>
        <w:tc>
          <w:tcPr>
            <w:tcW w:w="1134" w:type="dxa"/>
            <w:shd w:val="clear" w:color="auto" w:fill="FFFFFF"/>
          </w:tcPr>
          <w:p w14:paraId="54395BE6" w14:textId="74F89C48" w:rsidR="006E4FCA" w:rsidRPr="006E4FCA" w:rsidRDefault="006E4FCA" w:rsidP="005D2681">
            <w:pPr>
              <w:pStyle w:val="CETBodytext"/>
              <w:ind w:right="-1"/>
              <w:rPr>
                <w:lang w:val="en-GB"/>
              </w:rPr>
            </w:pPr>
            <w:r w:rsidRPr="006E4FCA">
              <w:rPr>
                <w:lang w:val="en-GB"/>
              </w:rPr>
              <w:t>0.3</w:t>
            </w:r>
          </w:p>
        </w:tc>
        <w:tc>
          <w:tcPr>
            <w:tcW w:w="1134" w:type="dxa"/>
            <w:shd w:val="clear" w:color="auto" w:fill="FFFFFF"/>
          </w:tcPr>
          <w:p w14:paraId="01D40396" w14:textId="0090697A" w:rsidR="006E4FCA" w:rsidRPr="006E4FCA" w:rsidRDefault="006E4FCA" w:rsidP="005D2681">
            <w:pPr>
              <w:pStyle w:val="CETBodytext"/>
              <w:ind w:right="-1"/>
              <w:rPr>
                <w:lang w:val="en-GB"/>
              </w:rPr>
            </w:pPr>
            <w:r w:rsidRPr="006E4FCA">
              <w:rPr>
                <w:lang w:val="en-GB"/>
              </w:rPr>
              <w:t>-</w:t>
            </w:r>
          </w:p>
        </w:tc>
        <w:tc>
          <w:tcPr>
            <w:tcW w:w="1985" w:type="dxa"/>
            <w:shd w:val="clear" w:color="auto" w:fill="FFFFFF"/>
          </w:tcPr>
          <w:p w14:paraId="59D75617" w14:textId="5BE0C903" w:rsidR="006E4FCA" w:rsidRPr="006E4FCA" w:rsidRDefault="006E4FCA" w:rsidP="005D2681">
            <w:pPr>
              <w:pStyle w:val="CETBodytext"/>
              <w:ind w:right="-1"/>
              <w:rPr>
                <w:lang w:val="en-GB"/>
              </w:rPr>
            </w:pPr>
            <w:r w:rsidRPr="006E4FCA">
              <w:rPr>
                <w:lang w:val="en-GB"/>
              </w:rPr>
              <w:t>EM 15376:2014 (2014)</w:t>
            </w:r>
          </w:p>
        </w:tc>
      </w:tr>
    </w:tbl>
    <w:p w14:paraId="453B4171" w14:textId="77777777" w:rsidR="00F33D2E" w:rsidRDefault="00F33D2E" w:rsidP="00600535">
      <w:pPr>
        <w:pStyle w:val="CETBodytext"/>
        <w:rPr>
          <w:lang w:val="en-GB"/>
        </w:rPr>
      </w:pPr>
    </w:p>
    <w:p w14:paraId="3515016D" w14:textId="1F74731A" w:rsidR="000D0229" w:rsidRDefault="00BD78F1" w:rsidP="00600535">
      <w:pPr>
        <w:pStyle w:val="CETBodytext"/>
        <w:rPr>
          <w:lang w:val="en-GB"/>
        </w:rPr>
      </w:pPr>
      <w:r w:rsidRPr="00BD78F1">
        <w:rPr>
          <w:lang w:val="en-GB"/>
        </w:rPr>
        <w:t xml:space="preserve">It is known that ethanol and water form an </w:t>
      </w:r>
      <w:proofErr w:type="spellStart"/>
      <w:r w:rsidRPr="00BD78F1">
        <w:rPr>
          <w:lang w:val="en-GB"/>
        </w:rPr>
        <w:t>azeotropic</w:t>
      </w:r>
      <w:proofErr w:type="spellEnd"/>
      <w:r w:rsidRPr="00BD78F1">
        <w:rPr>
          <w:lang w:val="en-GB"/>
        </w:rPr>
        <w:t xml:space="preserve"> mixture in an </w:t>
      </w:r>
      <w:r w:rsidRPr="00CD3768">
        <w:rPr>
          <w:lang w:val="en-GB"/>
        </w:rPr>
        <w:t>ethanol</w:t>
      </w:r>
      <w:r w:rsidRPr="00BD78F1">
        <w:rPr>
          <w:lang w:val="en-GB"/>
        </w:rPr>
        <w:t xml:space="preserve"> fraction of 0.8952 molar or 0.9562 mass at atmospheric pressure and a temperature of 78.2 °C (</w:t>
      </w:r>
      <w:proofErr w:type="spellStart"/>
      <w:r w:rsidRPr="00BD78F1">
        <w:rPr>
          <w:lang w:val="en-GB"/>
        </w:rPr>
        <w:t>W</w:t>
      </w:r>
      <w:r w:rsidR="008B143F">
        <w:rPr>
          <w:lang w:val="en-GB"/>
        </w:rPr>
        <w:t>alas</w:t>
      </w:r>
      <w:proofErr w:type="spellEnd"/>
      <w:r w:rsidRPr="00BD78F1">
        <w:rPr>
          <w:lang w:val="en-GB"/>
        </w:rPr>
        <w:t xml:space="preserve">, 1985). The </w:t>
      </w:r>
      <w:proofErr w:type="spellStart"/>
      <w:r w:rsidRPr="00BD78F1">
        <w:rPr>
          <w:lang w:val="en-GB"/>
        </w:rPr>
        <w:t>azeotrop</w:t>
      </w:r>
      <w:r>
        <w:rPr>
          <w:lang w:val="en-GB"/>
        </w:rPr>
        <w:t>ic</w:t>
      </w:r>
      <w:proofErr w:type="spellEnd"/>
      <w:r w:rsidRPr="00BD78F1">
        <w:rPr>
          <w:lang w:val="en-GB"/>
        </w:rPr>
        <w:t xml:space="preserve"> point shows that </w:t>
      </w:r>
      <w:r w:rsidRPr="00BD78F1">
        <w:rPr>
          <w:lang w:val="en-GB"/>
        </w:rPr>
        <w:lastRenderedPageBreak/>
        <w:t xml:space="preserve">the mole fraction of ethanol in the </w:t>
      </w:r>
      <w:proofErr w:type="spellStart"/>
      <w:r w:rsidRPr="00BD78F1">
        <w:rPr>
          <w:lang w:val="en-GB"/>
        </w:rPr>
        <w:t>vapor</w:t>
      </w:r>
      <w:proofErr w:type="spellEnd"/>
      <w:r w:rsidRPr="00BD78F1">
        <w:rPr>
          <w:lang w:val="en-GB"/>
        </w:rPr>
        <w:t xml:space="preserve"> </w:t>
      </w:r>
      <w:r w:rsidR="00A6778A">
        <w:rPr>
          <w:lang w:val="en-GB"/>
        </w:rPr>
        <w:t>and liquid phase are the same</w:t>
      </w:r>
      <w:r w:rsidRPr="00BD78F1">
        <w:rPr>
          <w:lang w:val="en-GB"/>
        </w:rPr>
        <w:t xml:space="preserve">. Thus, in order to obtain anhydrous ethanol, some additional technique is needed </w:t>
      </w:r>
      <w:r w:rsidR="00BE025B">
        <w:rPr>
          <w:lang w:val="en-GB"/>
        </w:rPr>
        <w:t xml:space="preserve">besides </w:t>
      </w:r>
      <w:r w:rsidRPr="00BD78F1">
        <w:rPr>
          <w:lang w:val="en-GB"/>
        </w:rPr>
        <w:t xml:space="preserve">to traditional distillation, such as extractive </w:t>
      </w:r>
      <w:r w:rsidR="00A6778A">
        <w:rPr>
          <w:lang w:val="en-GB"/>
        </w:rPr>
        <w:t>or</w:t>
      </w:r>
      <w:r w:rsidRPr="00BD78F1">
        <w:rPr>
          <w:lang w:val="en-GB"/>
        </w:rPr>
        <w:t xml:space="preserve"> </w:t>
      </w:r>
      <w:proofErr w:type="spellStart"/>
      <w:r w:rsidRPr="00BD78F1">
        <w:rPr>
          <w:lang w:val="en-GB"/>
        </w:rPr>
        <w:t>azeotropic</w:t>
      </w:r>
      <w:proofErr w:type="spellEnd"/>
      <w:r w:rsidRPr="00BD78F1">
        <w:rPr>
          <w:lang w:val="en-GB"/>
        </w:rPr>
        <w:t xml:space="preserve"> distillation, </w:t>
      </w:r>
      <w:proofErr w:type="spellStart"/>
      <w:r w:rsidRPr="00BD78F1">
        <w:rPr>
          <w:lang w:val="en-GB"/>
        </w:rPr>
        <w:t>pervaporation</w:t>
      </w:r>
      <w:proofErr w:type="spellEnd"/>
      <w:r w:rsidRPr="00BD78F1">
        <w:rPr>
          <w:lang w:val="en-GB"/>
        </w:rPr>
        <w:t xml:space="preserve"> and molecular sieve</w:t>
      </w:r>
      <w:r w:rsidR="00B06DB1">
        <w:rPr>
          <w:lang w:val="en-GB"/>
        </w:rPr>
        <w:t xml:space="preserve"> adsorption</w:t>
      </w:r>
      <w:r w:rsidRPr="00BD78F1">
        <w:rPr>
          <w:lang w:val="en-GB"/>
        </w:rPr>
        <w:t>, which is the object of study of this work</w:t>
      </w:r>
      <w:r w:rsidR="00AB780A">
        <w:rPr>
          <w:lang w:val="en-GB"/>
        </w:rPr>
        <w:t>.</w:t>
      </w:r>
    </w:p>
    <w:p w14:paraId="58E115C5" w14:textId="167CD98F" w:rsidR="00DD5753" w:rsidRDefault="00DD5753" w:rsidP="00453E24">
      <w:pPr>
        <w:pStyle w:val="CETBodytext"/>
      </w:pPr>
      <w:r w:rsidRPr="00DD5753">
        <w:t xml:space="preserve">The phenomenon of adsorption consists of the mass transfer of one or more components, called </w:t>
      </w:r>
      <w:proofErr w:type="spellStart"/>
      <w:r w:rsidRPr="00DD5753">
        <w:t>adsorbates</w:t>
      </w:r>
      <w:proofErr w:type="spellEnd"/>
      <w:r w:rsidRPr="00DD5753">
        <w:t xml:space="preserve">, from a fluid phase to the surface of a solid phase, called adsorbent. For adsorption columns, there is usually a fixed bed in which a continuous flow of fluid is maintained through the bed filled with adsorbent, which retains the </w:t>
      </w:r>
      <w:proofErr w:type="spellStart"/>
      <w:r w:rsidRPr="00DD5753">
        <w:t>adsorbate</w:t>
      </w:r>
      <w:proofErr w:type="spellEnd"/>
      <w:r w:rsidRPr="00DD5753">
        <w:t xml:space="preserve">, separating it from the fluid phase until the moment when the adsorbent becomes saturated and separation is no longer possible. After saturation, it is necessary to perform desorption to regenerate the solid phase. This process is done physically, since the adsorption on molecular sieves is carried out through </w:t>
      </w:r>
      <w:proofErr w:type="spellStart"/>
      <w:r w:rsidRPr="00DD5753">
        <w:t>physisorption</w:t>
      </w:r>
      <w:proofErr w:type="spellEnd"/>
      <w:r w:rsidRPr="00DD5753">
        <w:t>, characterized by weak intermolecular bonds (of van der Waals) (R</w:t>
      </w:r>
      <w:r w:rsidR="000D0229">
        <w:t>uthven</w:t>
      </w:r>
      <w:r w:rsidRPr="00DD5753">
        <w:t>, 1984).</w:t>
      </w:r>
    </w:p>
    <w:p w14:paraId="530F1EDE" w14:textId="65891B80" w:rsidR="00DD5753" w:rsidRDefault="00DD5753" w:rsidP="00453E24">
      <w:pPr>
        <w:pStyle w:val="CETBodytext"/>
      </w:pPr>
      <w:r w:rsidRPr="00DD5753">
        <w:t xml:space="preserve">Molecular sieves are porous solid materials that have the ability to selectively separate compounds in a mixture. The </w:t>
      </w:r>
      <w:proofErr w:type="spellStart"/>
      <w:r w:rsidRPr="00DD5753">
        <w:t>micropores</w:t>
      </w:r>
      <w:proofErr w:type="spellEnd"/>
      <w:r w:rsidRPr="00DD5753">
        <w:t xml:space="preserve"> present in its structure capture the molecules of one of the components of the mixture by adsorption, while the molecules of the other component do not change. A type of molecular sieve commonly used in industrial processes are zeolites</w:t>
      </w:r>
      <w:r w:rsidR="00A91CB1">
        <w:t xml:space="preserve"> 3A</w:t>
      </w:r>
      <w:r w:rsidRPr="00DD5753">
        <w:t xml:space="preserve">, characterized by a porous crystalline structure of </w:t>
      </w:r>
      <w:proofErr w:type="spellStart"/>
      <w:r w:rsidRPr="00DD5753">
        <w:t>aluminosilicates</w:t>
      </w:r>
      <w:proofErr w:type="spellEnd"/>
      <w:r w:rsidRPr="00DD5753">
        <w:t xml:space="preserve"> (B</w:t>
      </w:r>
      <w:r w:rsidR="000D0229">
        <w:t>raga</w:t>
      </w:r>
      <w:r w:rsidRPr="00DD5753">
        <w:t>, 2016). The vast majority of this type of molecular sieve is hydrophilic</w:t>
      </w:r>
      <w:r w:rsidR="00562656">
        <w:t xml:space="preserve"> </w:t>
      </w:r>
      <w:r w:rsidR="00562656" w:rsidRPr="0044123B">
        <w:t>-</w:t>
      </w:r>
      <w:r w:rsidRPr="0044123B">
        <w:t xml:space="preserve"> except when the zeolite goes through the </w:t>
      </w:r>
      <w:proofErr w:type="spellStart"/>
      <w:r w:rsidRPr="0044123B">
        <w:t>dealumination</w:t>
      </w:r>
      <w:proofErr w:type="spellEnd"/>
      <w:r w:rsidRPr="0044123B">
        <w:t xml:space="preserve"> process that makes it hydrophobic (M</w:t>
      </w:r>
      <w:r w:rsidR="000D0229" w:rsidRPr="0044123B">
        <w:t>üller</w:t>
      </w:r>
      <w:r w:rsidRPr="0044123B">
        <w:t>, 2017)</w:t>
      </w:r>
      <w:r w:rsidR="00562656" w:rsidRPr="0044123B">
        <w:t xml:space="preserve"> </w:t>
      </w:r>
      <w:r w:rsidR="00562656" w:rsidRPr="0044123B">
        <w:rPr>
          <w:color w:val="1F497D" w:themeColor="text2"/>
        </w:rPr>
        <w:t>-,</w:t>
      </w:r>
      <w:r w:rsidRPr="00DD5753">
        <w:t xml:space="preserve"> which favors</w:t>
      </w:r>
      <w:r w:rsidR="00562656">
        <w:t xml:space="preserve"> </w:t>
      </w:r>
      <w:r w:rsidRPr="00DD5753">
        <w:t>the capture of water molecules in relation to those of ethanol. Furthermore, 3A zeolites, whose nomenclature refers to the diameter of their pores, in this case 3 Å, greatly favors the dehydration of ethanol, since the water molecule has a diameter of 2.8 Å while that of ethanol has 4.4 Å</w:t>
      </w:r>
      <w:r>
        <w:t>.</w:t>
      </w:r>
    </w:p>
    <w:p w14:paraId="7034D81A" w14:textId="1DBFDA29" w:rsidR="00EE6E8D" w:rsidRPr="00184569" w:rsidRDefault="00486CF9" w:rsidP="00486CF9">
      <w:pPr>
        <w:pStyle w:val="CETBodytext"/>
      </w:pPr>
      <w:r w:rsidRPr="00486CF9">
        <w:t xml:space="preserve">The adsorption process with molecular sieves is more advantageous than other ethanol dehydration processes, </w:t>
      </w:r>
      <w:r w:rsidRPr="00184569">
        <w:t xml:space="preserve">such as </w:t>
      </w:r>
      <w:proofErr w:type="spellStart"/>
      <w:r w:rsidRPr="00184569">
        <w:t>azeotropic</w:t>
      </w:r>
      <w:proofErr w:type="spellEnd"/>
      <w:r w:rsidRPr="00184569">
        <w:t xml:space="preserve"> distillation and extractive distillation that use, respectively, cyclohexane and </w:t>
      </w:r>
      <w:proofErr w:type="spellStart"/>
      <w:r w:rsidRPr="00184569">
        <w:t>monoethyleneglycol</w:t>
      </w:r>
      <w:proofErr w:type="spellEnd"/>
      <w:r w:rsidR="00A8461A" w:rsidRPr="00184569">
        <w:t xml:space="preserve"> as solvents</w:t>
      </w:r>
      <w:r w:rsidRPr="00184569">
        <w:t xml:space="preserve">. </w:t>
      </w:r>
      <w:r w:rsidRPr="00486CF9">
        <w:t>As there is no addition of a solvent to separate water from ethanol, molecular sieves minimize contamination of the final product, providing better quality ethanol, in addition to not requiring a subsequent solvent recovery step (</w:t>
      </w:r>
      <w:proofErr w:type="spellStart"/>
      <w:r w:rsidRPr="00486CF9">
        <w:t>A</w:t>
      </w:r>
      <w:r w:rsidR="008B143F">
        <w:t>bdala</w:t>
      </w:r>
      <w:proofErr w:type="spellEnd"/>
      <w:r w:rsidRPr="00486CF9">
        <w:t>, 2017). As a result, the process using molecular sieves has less energy expenditure and lower steam consumption (H</w:t>
      </w:r>
      <w:r w:rsidR="008B143F">
        <w:t>uang</w:t>
      </w:r>
      <w:r w:rsidRPr="00486CF9">
        <w:t xml:space="preserve"> et al., 2008), since it operates in the vapor phase, </w:t>
      </w:r>
      <w:r w:rsidRPr="00184569">
        <w:t>not needing to condense the hydrated ethanol at the exit of the</w:t>
      </w:r>
      <w:r w:rsidR="00C76682" w:rsidRPr="00184569">
        <w:t xml:space="preserve"> upstream </w:t>
      </w:r>
      <w:r w:rsidRPr="00184569">
        <w:t>distillation column.</w:t>
      </w:r>
    </w:p>
    <w:p w14:paraId="7277CCBD" w14:textId="334C1D92" w:rsidR="00281E7D" w:rsidRDefault="00FF40A3" w:rsidP="00486CF9">
      <w:pPr>
        <w:pStyle w:val="CETBodytext"/>
      </w:pPr>
      <w:r w:rsidRPr="00184569">
        <w:t xml:space="preserve">Technologically speaking, it is important to spend as little energy as possible in the ethanol production process to reduce bagasse consumption, increasing the potential for second-generation ethanol production. This is because </w:t>
      </w:r>
      <w:r w:rsidR="00687E44" w:rsidRPr="00184569">
        <w:t xml:space="preserve">sugarcane </w:t>
      </w:r>
      <w:r w:rsidRPr="00184569">
        <w:t xml:space="preserve">bagasse is used to generate energy and steam </w:t>
      </w:r>
      <w:r w:rsidR="006F0A63" w:rsidRPr="00184569">
        <w:t>used in</w:t>
      </w:r>
      <w:r w:rsidRPr="00184569">
        <w:t xml:space="preserve"> the </w:t>
      </w:r>
      <w:r w:rsidR="006F0A63" w:rsidRPr="00184569">
        <w:t xml:space="preserve">ethanol </w:t>
      </w:r>
      <w:r w:rsidRPr="00184569">
        <w:t xml:space="preserve">process. The unit operation that requires the most energy in </w:t>
      </w:r>
      <w:r w:rsidR="008D7A9F">
        <w:t xml:space="preserve">anhydrous </w:t>
      </w:r>
      <w:r w:rsidRPr="00184569">
        <w:t xml:space="preserve">ethanol production is the extractive or </w:t>
      </w:r>
      <w:proofErr w:type="spellStart"/>
      <w:r w:rsidRPr="00184569">
        <w:t>azeotropic</w:t>
      </w:r>
      <w:proofErr w:type="spellEnd"/>
      <w:r w:rsidRPr="00184569">
        <w:t xml:space="preserve"> distillation process</w:t>
      </w:r>
      <w:r w:rsidR="008D7A9F">
        <w:t xml:space="preserve">, which </w:t>
      </w:r>
      <w:r w:rsidRPr="00184569">
        <w:t>are the most used processes in large scale ethanol plants</w:t>
      </w:r>
      <w:r w:rsidR="00687E44" w:rsidRPr="00184569">
        <w:t xml:space="preserve"> in Brazil</w:t>
      </w:r>
      <w:r w:rsidRPr="00184569">
        <w:t xml:space="preserve">. The challenge then is to have a robust </w:t>
      </w:r>
      <w:r w:rsidR="00687E44" w:rsidRPr="00184569">
        <w:t xml:space="preserve">adsorption </w:t>
      </w:r>
      <w:r w:rsidRPr="00184569">
        <w:t>process that allows the product to reach the desired concentration.</w:t>
      </w:r>
    </w:p>
    <w:p w14:paraId="0CE4307E" w14:textId="68CD8574" w:rsidR="002128E1" w:rsidRPr="00184569" w:rsidRDefault="00EE6E8D" w:rsidP="00486CF9">
      <w:pPr>
        <w:pStyle w:val="CETBodytext"/>
      </w:pPr>
      <w:r w:rsidRPr="00694947">
        <w:t xml:space="preserve">Thus, the objective of this work was </w:t>
      </w:r>
      <w:r w:rsidR="00770D89" w:rsidRPr="00694947">
        <w:t xml:space="preserve">to emphasize the importance of this separation technology in the downstream process </w:t>
      </w:r>
      <w:r w:rsidR="002128E1" w:rsidRPr="00694947">
        <w:t>showing more</w:t>
      </w:r>
      <w:r w:rsidR="00770D89" w:rsidRPr="00694947">
        <w:t xml:space="preserve"> </w:t>
      </w:r>
      <w:r w:rsidR="002128E1" w:rsidRPr="00694947">
        <w:t xml:space="preserve">clearly its implementation on Aspen </w:t>
      </w:r>
      <w:proofErr w:type="spellStart"/>
      <w:r w:rsidR="00694947" w:rsidRPr="00694947">
        <w:t>Adsim</w:t>
      </w:r>
      <w:proofErr w:type="spellEnd"/>
      <w:r w:rsidR="002128E1" w:rsidRPr="00694947">
        <w:t xml:space="preserve"> Simulator, taking into account</w:t>
      </w:r>
      <w:r w:rsidRPr="00694947">
        <w:t xml:space="preserve"> the adsorption process in molecular sieve for the production of anhydrous ethanol</w:t>
      </w:r>
      <w:r w:rsidR="002128E1" w:rsidRPr="00694947">
        <w:t>. This procedure i</w:t>
      </w:r>
      <w:r w:rsidR="00694947" w:rsidRPr="00694947">
        <w:t>s</w:t>
      </w:r>
      <w:r w:rsidR="002128E1" w:rsidRPr="00694947">
        <w:t xml:space="preserve"> </w:t>
      </w:r>
      <w:r w:rsidRPr="00694947">
        <w:t>not much present in the open literature.</w:t>
      </w:r>
      <w:r w:rsidR="002128E1" w:rsidRPr="00694947">
        <w:t xml:space="preserve"> Furthermore, </w:t>
      </w:r>
      <w:r w:rsidR="00694947" w:rsidRPr="00694947">
        <w:t>a</w:t>
      </w:r>
      <w:r w:rsidR="002128E1" w:rsidRPr="00694947">
        <w:t xml:space="preserve">dsorption </w:t>
      </w:r>
      <w:r w:rsidR="00694947" w:rsidRPr="00694947">
        <w:t>p</w:t>
      </w:r>
      <w:r w:rsidR="002128E1" w:rsidRPr="00694947">
        <w:t xml:space="preserve">rocess having as dehydrating agent </w:t>
      </w:r>
      <w:r w:rsidR="00694947" w:rsidRPr="00694947">
        <w:t>z</w:t>
      </w:r>
      <w:r w:rsidR="002128E1" w:rsidRPr="00694947">
        <w:t>eolite beads demands much less kg steam/L ethanol when compared to conventional separation processes.</w:t>
      </w:r>
    </w:p>
    <w:p w14:paraId="615C0D53" w14:textId="2B4CF70C" w:rsidR="006D29F2" w:rsidRDefault="006D29F2" w:rsidP="006D29F2">
      <w:pPr>
        <w:pStyle w:val="CETHeading1"/>
      </w:pPr>
      <w:r>
        <w:t>Methodology</w:t>
      </w:r>
    </w:p>
    <w:p w14:paraId="1F145E4B" w14:textId="157839F5" w:rsidR="006D29F2" w:rsidRDefault="006D29F2" w:rsidP="00486CF9">
      <w:pPr>
        <w:pStyle w:val="CETBodytext"/>
      </w:pPr>
      <w:r w:rsidRPr="006D29F2">
        <w:t xml:space="preserve">In order to make simulations possible through simple adsorption on molecular sieves for a batch regime, the Aspen </w:t>
      </w:r>
      <w:proofErr w:type="spellStart"/>
      <w:r w:rsidRPr="006D29F2">
        <w:t>Adsim</w:t>
      </w:r>
      <w:proofErr w:type="spellEnd"/>
      <w:r w:rsidRPr="006D29F2">
        <w:t xml:space="preserve"> package of the Aspen simulator was used, in which the adsorbent used was zeolite 3A, already consolidated for this type of application (</w:t>
      </w:r>
      <w:proofErr w:type="spellStart"/>
      <w:r w:rsidRPr="006D29F2">
        <w:t>S</w:t>
      </w:r>
      <w:r w:rsidR="008B143F">
        <w:t>imo</w:t>
      </w:r>
      <w:proofErr w:type="spellEnd"/>
      <w:r w:rsidRPr="006D29F2">
        <w:t>, 2009; F</w:t>
      </w:r>
      <w:r w:rsidR="008B143F">
        <w:t>onseca</w:t>
      </w:r>
      <w:r w:rsidRPr="006D29F2">
        <w:t>, 2011).</w:t>
      </w:r>
    </w:p>
    <w:p w14:paraId="61E3D233" w14:textId="651AB3A7" w:rsidR="00BD3955" w:rsidRPr="00B57B36" w:rsidRDefault="00BD3955" w:rsidP="00BD3955">
      <w:pPr>
        <w:pStyle w:val="CETTabletitle"/>
      </w:pPr>
      <w:r w:rsidRPr="00B57B36">
        <w:t xml:space="preserve">Table </w:t>
      </w:r>
      <w:r>
        <w:t>2</w:t>
      </w:r>
      <w:r w:rsidRPr="00B57B36">
        <w:t xml:space="preserve">: </w:t>
      </w:r>
      <w:r w:rsidRPr="00BD3955">
        <w:t xml:space="preserve">Operating parameters of the adsorbent column based on Fonseca </w:t>
      </w:r>
      <w:r>
        <w:t>(2011)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993"/>
      </w:tblGrid>
      <w:tr w:rsidR="00BD3955" w:rsidRPr="00B57B36" w14:paraId="59F055F0" w14:textId="77777777" w:rsidTr="00817150">
        <w:tc>
          <w:tcPr>
            <w:tcW w:w="3402" w:type="dxa"/>
            <w:tcBorders>
              <w:top w:val="single" w:sz="12" w:space="0" w:color="008000"/>
              <w:bottom w:val="single" w:sz="6" w:space="0" w:color="008000"/>
            </w:tcBorders>
            <w:shd w:val="clear" w:color="auto" w:fill="FFFFFF"/>
          </w:tcPr>
          <w:p w14:paraId="7C03DDA5" w14:textId="04194F53" w:rsidR="00BD3955" w:rsidRPr="00B57B36" w:rsidRDefault="00BD3955" w:rsidP="005D2681">
            <w:pPr>
              <w:pStyle w:val="CETBodytext"/>
              <w:rPr>
                <w:lang w:val="en-GB"/>
              </w:rPr>
            </w:pPr>
            <w:r>
              <w:rPr>
                <w:lang w:val="en-GB"/>
              </w:rPr>
              <w:t>Parameter</w:t>
            </w:r>
            <w:r w:rsidRPr="00B57B36">
              <w:rPr>
                <w:lang w:val="en-GB"/>
              </w:rPr>
              <w:t xml:space="preserve"> </w:t>
            </w:r>
          </w:p>
        </w:tc>
        <w:tc>
          <w:tcPr>
            <w:tcW w:w="993" w:type="dxa"/>
            <w:tcBorders>
              <w:top w:val="single" w:sz="12" w:space="0" w:color="008000"/>
              <w:bottom w:val="single" w:sz="6" w:space="0" w:color="008000"/>
            </w:tcBorders>
            <w:shd w:val="clear" w:color="auto" w:fill="FFFFFF"/>
          </w:tcPr>
          <w:p w14:paraId="3B5AEB18" w14:textId="03D94485" w:rsidR="00BD3955" w:rsidRPr="00B57B36" w:rsidRDefault="00BD3955" w:rsidP="005D2681">
            <w:pPr>
              <w:pStyle w:val="CETBodytext"/>
              <w:rPr>
                <w:lang w:val="en-GB"/>
              </w:rPr>
            </w:pPr>
            <w:r>
              <w:rPr>
                <w:lang w:val="en-GB"/>
              </w:rPr>
              <w:t>Value</w:t>
            </w:r>
          </w:p>
        </w:tc>
      </w:tr>
      <w:tr w:rsidR="00BD3955" w:rsidRPr="00B57B36" w14:paraId="08A1C25A" w14:textId="77777777" w:rsidTr="00817150">
        <w:tc>
          <w:tcPr>
            <w:tcW w:w="3402" w:type="dxa"/>
            <w:shd w:val="clear" w:color="auto" w:fill="FFFFFF"/>
          </w:tcPr>
          <w:p w14:paraId="741DB3E6" w14:textId="0504A0D5" w:rsidR="00BD3955" w:rsidRPr="00B57B36" w:rsidRDefault="00817150" w:rsidP="005D2681">
            <w:pPr>
              <w:pStyle w:val="CETBodytext"/>
              <w:rPr>
                <w:lang w:val="en-GB"/>
              </w:rPr>
            </w:pPr>
            <w:proofErr w:type="spellStart"/>
            <w:r w:rsidRPr="00817150">
              <w:rPr>
                <w:lang w:val="en-GB"/>
              </w:rPr>
              <w:t>H</w:t>
            </w:r>
            <w:r w:rsidRPr="00817150">
              <w:rPr>
                <w:vertAlign w:val="subscript"/>
                <w:lang w:val="en-GB"/>
              </w:rPr>
              <w:t>b</w:t>
            </w:r>
            <w:proofErr w:type="spellEnd"/>
            <w:r w:rsidRPr="00817150">
              <w:rPr>
                <w:lang w:val="en-GB"/>
              </w:rPr>
              <w:t xml:space="preserve"> </w:t>
            </w:r>
            <w:r>
              <w:rPr>
                <w:lang w:val="en-GB"/>
              </w:rPr>
              <w:t xml:space="preserve">- </w:t>
            </w:r>
            <w:r w:rsidR="006324E1">
              <w:rPr>
                <w:lang w:val="en-GB"/>
              </w:rPr>
              <w:t>Bed length</w:t>
            </w:r>
            <w:r>
              <w:rPr>
                <w:lang w:val="en-GB"/>
              </w:rPr>
              <w:t xml:space="preserve"> (m)</w:t>
            </w:r>
          </w:p>
        </w:tc>
        <w:tc>
          <w:tcPr>
            <w:tcW w:w="993" w:type="dxa"/>
            <w:shd w:val="clear" w:color="auto" w:fill="FFFFFF"/>
          </w:tcPr>
          <w:p w14:paraId="328B64FC" w14:textId="75C2B858" w:rsidR="00BD3955" w:rsidRPr="00B57B36" w:rsidRDefault="00817150" w:rsidP="005D2681">
            <w:pPr>
              <w:pStyle w:val="CETBodytext"/>
              <w:rPr>
                <w:lang w:val="en-GB"/>
              </w:rPr>
            </w:pPr>
            <w:r>
              <w:rPr>
                <w:lang w:val="en-GB"/>
              </w:rPr>
              <w:t>7.3</w:t>
            </w:r>
          </w:p>
        </w:tc>
      </w:tr>
      <w:tr w:rsidR="00BD3955" w:rsidRPr="00B57B36" w14:paraId="53DCF091" w14:textId="77777777" w:rsidTr="00817150">
        <w:tc>
          <w:tcPr>
            <w:tcW w:w="3402" w:type="dxa"/>
            <w:shd w:val="clear" w:color="auto" w:fill="FFFFFF"/>
          </w:tcPr>
          <w:p w14:paraId="6D774316" w14:textId="25A77271" w:rsidR="00BD3955" w:rsidRPr="00B57B36" w:rsidRDefault="00817150" w:rsidP="005D2681">
            <w:pPr>
              <w:pStyle w:val="CETBodytext"/>
              <w:rPr>
                <w:lang w:val="en-GB"/>
              </w:rPr>
            </w:pPr>
            <w:proofErr w:type="spellStart"/>
            <w:r>
              <w:rPr>
                <w:lang w:val="en-GB"/>
              </w:rPr>
              <w:t>D</w:t>
            </w:r>
            <w:r w:rsidRPr="00817150">
              <w:rPr>
                <w:vertAlign w:val="subscript"/>
                <w:lang w:val="en-GB"/>
              </w:rPr>
              <w:t>b</w:t>
            </w:r>
            <w:proofErr w:type="spellEnd"/>
            <w:r w:rsidRPr="00817150">
              <w:rPr>
                <w:lang w:val="en-GB"/>
              </w:rPr>
              <w:t xml:space="preserve"> </w:t>
            </w:r>
            <w:r>
              <w:rPr>
                <w:lang w:val="en-GB"/>
              </w:rPr>
              <w:t xml:space="preserve">- </w:t>
            </w:r>
            <w:r w:rsidR="006324E1">
              <w:rPr>
                <w:lang w:val="en-GB"/>
              </w:rPr>
              <w:t>Inner diameter of the bed</w:t>
            </w:r>
            <w:r>
              <w:rPr>
                <w:lang w:val="en-GB"/>
              </w:rPr>
              <w:t xml:space="preserve"> (m)</w:t>
            </w:r>
          </w:p>
        </w:tc>
        <w:tc>
          <w:tcPr>
            <w:tcW w:w="993" w:type="dxa"/>
            <w:shd w:val="clear" w:color="auto" w:fill="FFFFFF"/>
          </w:tcPr>
          <w:p w14:paraId="13558E4B" w14:textId="25BB08E8" w:rsidR="00BD3955" w:rsidRPr="00B57B36" w:rsidRDefault="00817150" w:rsidP="005D2681">
            <w:pPr>
              <w:pStyle w:val="CETBodytext"/>
              <w:rPr>
                <w:lang w:val="en-GB"/>
              </w:rPr>
            </w:pPr>
            <w:r>
              <w:rPr>
                <w:lang w:val="en-GB"/>
              </w:rPr>
              <w:t>2.4</w:t>
            </w:r>
          </w:p>
        </w:tc>
      </w:tr>
      <w:tr w:rsidR="00BD3955" w:rsidRPr="00B57B36" w14:paraId="064A375C" w14:textId="77777777" w:rsidTr="00817150">
        <w:tc>
          <w:tcPr>
            <w:tcW w:w="3402" w:type="dxa"/>
            <w:shd w:val="clear" w:color="auto" w:fill="FFFFFF"/>
          </w:tcPr>
          <w:p w14:paraId="7F65AFA1" w14:textId="39B993A4" w:rsidR="00BD3955" w:rsidRPr="00B57B36" w:rsidRDefault="00817150" w:rsidP="005D2681">
            <w:pPr>
              <w:pStyle w:val="CETBodytext"/>
              <w:rPr>
                <w:lang w:val="en-GB"/>
              </w:rPr>
            </w:pPr>
            <w:proofErr w:type="spellStart"/>
            <w:r w:rsidRPr="00817150">
              <w:rPr>
                <w:rFonts w:ascii="Cambria Math" w:hAnsi="Cambria Math" w:cs="Cambria Math"/>
                <w:lang w:val="en-GB"/>
              </w:rPr>
              <w:t>ℰ</w:t>
            </w:r>
            <w:r w:rsidRPr="00817150">
              <w:rPr>
                <w:vertAlign w:val="subscript"/>
                <w:lang w:val="en-GB"/>
              </w:rPr>
              <w:t>i</w:t>
            </w:r>
            <w:proofErr w:type="spellEnd"/>
            <w:r>
              <w:rPr>
                <w:lang w:val="en-GB"/>
              </w:rPr>
              <w:t xml:space="preserve"> - </w:t>
            </w:r>
            <w:r w:rsidR="006324E1">
              <w:rPr>
                <w:lang w:val="en-GB"/>
              </w:rPr>
              <w:t>Bed porosity (m³ voids/m³ bed)</w:t>
            </w:r>
          </w:p>
        </w:tc>
        <w:tc>
          <w:tcPr>
            <w:tcW w:w="993" w:type="dxa"/>
            <w:shd w:val="clear" w:color="auto" w:fill="FFFFFF"/>
          </w:tcPr>
          <w:p w14:paraId="7B0FA035" w14:textId="3902EA91" w:rsidR="00BD3955" w:rsidRPr="00B57B36" w:rsidRDefault="00817150" w:rsidP="005D2681">
            <w:pPr>
              <w:pStyle w:val="CETBodytext"/>
              <w:rPr>
                <w:lang w:val="en-GB"/>
              </w:rPr>
            </w:pPr>
            <w:r>
              <w:rPr>
                <w:lang w:val="en-GB"/>
              </w:rPr>
              <w:t>0.5098</w:t>
            </w:r>
          </w:p>
        </w:tc>
      </w:tr>
      <w:tr w:rsidR="00BD3955" w:rsidRPr="00B57B36" w14:paraId="590DA285" w14:textId="77777777" w:rsidTr="00817150">
        <w:tc>
          <w:tcPr>
            <w:tcW w:w="3402" w:type="dxa"/>
            <w:shd w:val="clear" w:color="auto" w:fill="FFFFFF"/>
          </w:tcPr>
          <w:p w14:paraId="2040C644" w14:textId="689D9A30" w:rsidR="00BD3955" w:rsidRPr="00B57B36" w:rsidRDefault="00817150" w:rsidP="005D2681">
            <w:pPr>
              <w:pStyle w:val="CETBodytext"/>
              <w:rPr>
                <w:lang w:val="en-GB"/>
              </w:rPr>
            </w:pPr>
            <w:proofErr w:type="spellStart"/>
            <w:r>
              <w:rPr>
                <w:lang w:val="en-GB"/>
              </w:rPr>
              <w:t>R</w:t>
            </w:r>
            <w:r>
              <w:rPr>
                <w:vertAlign w:val="subscript"/>
                <w:lang w:val="en-GB"/>
              </w:rPr>
              <w:t>p</w:t>
            </w:r>
            <w:proofErr w:type="spellEnd"/>
            <w:r>
              <w:rPr>
                <w:lang w:val="en-GB"/>
              </w:rPr>
              <w:t xml:space="preserve"> - </w:t>
            </w:r>
            <w:r w:rsidR="006324E1">
              <w:rPr>
                <w:lang w:val="en-GB"/>
              </w:rPr>
              <w:t>Adsorbent particle radius</w:t>
            </w:r>
            <w:r>
              <w:rPr>
                <w:lang w:val="en-GB"/>
              </w:rPr>
              <w:t xml:space="preserve"> (m)</w:t>
            </w:r>
          </w:p>
        </w:tc>
        <w:tc>
          <w:tcPr>
            <w:tcW w:w="993" w:type="dxa"/>
            <w:shd w:val="clear" w:color="auto" w:fill="FFFFFF"/>
          </w:tcPr>
          <w:p w14:paraId="7002E7FB" w14:textId="5EA2A0AB" w:rsidR="00BD3955" w:rsidRPr="00B57B36" w:rsidRDefault="00817150" w:rsidP="005D2681">
            <w:pPr>
              <w:pStyle w:val="CETBodytext"/>
              <w:rPr>
                <w:lang w:val="en-GB"/>
              </w:rPr>
            </w:pPr>
            <w:r>
              <w:rPr>
                <w:lang w:val="en-GB"/>
              </w:rPr>
              <w:t>1.785</w:t>
            </w:r>
            <w:r w:rsidR="001F1655" w:rsidRPr="001F1655">
              <w:rPr>
                <w:rFonts w:ascii="MS Gothic" w:eastAsia="MS Gothic" w:hAnsi="MS Gothic" w:cs="MS Gothic" w:hint="eastAsia"/>
                <w:lang w:val="en-GB"/>
              </w:rPr>
              <w:t>‧</w:t>
            </w:r>
            <w:r w:rsidR="001F1655">
              <w:rPr>
                <w:lang w:val="en-GB"/>
              </w:rPr>
              <w:t>1</w:t>
            </w:r>
            <w:r>
              <w:rPr>
                <w:lang w:val="en-GB"/>
              </w:rPr>
              <w:t>0</w:t>
            </w:r>
            <w:r w:rsidRPr="00817150">
              <w:rPr>
                <w:vertAlign w:val="superscript"/>
                <w:lang w:val="en-GB"/>
              </w:rPr>
              <w:t>-3</w:t>
            </w:r>
          </w:p>
        </w:tc>
      </w:tr>
      <w:tr w:rsidR="00BD3955" w:rsidRPr="00B57B36" w14:paraId="75ABD3DE" w14:textId="77777777" w:rsidTr="00817150">
        <w:tc>
          <w:tcPr>
            <w:tcW w:w="3402" w:type="dxa"/>
            <w:shd w:val="clear" w:color="auto" w:fill="FFFFFF"/>
          </w:tcPr>
          <w:p w14:paraId="2A3B50C3" w14:textId="65DCFAF4" w:rsidR="00BD3955" w:rsidRPr="00B57B36" w:rsidRDefault="00817150" w:rsidP="005D2681">
            <w:pPr>
              <w:pStyle w:val="CETBodytext"/>
              <w:rPr>
                <w:lang w:val="en-GB"/>
              </w:rPr>
            </w:pPr>
            <w:proofErr w:type="spellStart"/>
            <w:r w:rsidRPr="00817150">
              <w:rPr>
                <w:rFonts w:ascii="Cambria Math" w:hAnsi="Cambria Math" w:cs="Cambria Math"/>
                <w:lang w:val="en-GB"/>
              </w:rPr>
              <w:t>ℰ</w:t>
            </w:r>
            <w:r>
              <w:rPr>
                <w:vertAlign w:val="subscript"/>
                <w:lang w:val="en-GB"/>
              </w:rPr>
              <w:t>p</w:t>
            </w:r>
            <w:proofErr w:type="spellEnd"/>
            <w:r>
              <w:rPr>
                <w:lang w:val="en-GB"/>
              </w:rPr>
              <w:t xml:space="preserve"> - </w:t>
            </w:r>
            <w:r w:rsidR="006324E1">
              <w:rPr>
                <w:lang w:val="en-GB"/>
              </w:rPr>
              <w:t>Particle porosity</w:t>
            </w:r>
            <w:r>
              <w:rPr>
                <w:lang w:val="en-GB"/>
              </w:rPr>
              <w:t xml:space="preserve"> (m³ voids/m³ bed)</w:t>
            </w:r>
          </w:p>
        </w:tc>
        <w:tc>
          <w:tcPr>
            <w:tcW w:w="993" w:type="dxa"/>
            <w:shd w:val="clear" w:color="auto" w:fill="FFFFFF"/>
          </w:tcPr>
          <w:p w14:paraId="40960203" w14:textId="6D61EBD3" w:rsidR="00BD3955" w:rsidRPr="00B57B36" w:rsidRDefault="00817150" w:rsidP="005D2681">
            <w:pPr>
              <w:pStyle w:val="CETBodytext"/>
              <w:rPr>
                <w:lang w:val="en-GB"/>
              </w:rPr>
            </w:pPr>
            <w:r>
              <w:rPr>
                <w:lang w:val="en-GB"/>
              </w:rPr>
              <w:t>0.2869</w:t>
            </w:r>
          </w:p>
        </w:tc>
      </w:tr>
      <w:tr w:rsidR="00BD3955" w:rsidRPr="00B57B36" w14:paraId="6938A0C4" w14:textId="77777777" w:rsidTr="00817150">
        <w:tc>
          <w:tcPr>
            <w:tcW w:w="3402" w:type="dxa"/>
            <w:shd w:val="clear" w:color="auto" w:fill="FFFFFF"/>
          </w:tcPr>
          <w:p w14:paraId="40A9B629" w14:textId="519A16FC" w:rsidR="00BD3955" w:rsidRPr="00B57B36" w:rsidRDefault="00817150" w:rsidP="005D2681">
            <w:pPr>
              <w:pStyle w:val="CETBodytext"/>
              <w:ind w:right="-1"/>
              <w:rPr>
                <w:rFonts w:cs="Arial"/>
                <w:szCs w:val="18"/>
                <w:lang w:val="en-GB"/>
              </w:rPr>
            </w:pPr>
            <w:r>
              <w:rPr>
                <w:rFonts w:cs="Arial"/>
                <w:szCs w:val="18"/>
                <w:lang w:val="en-GB"/>
              </w:rPr>
              <w:t xml:space="preserve">RHOs - </w:t>
            </w:r>
            <w:r w:rsidR="006324E1">
              <w:rPr>
                <w:rFonts w:cs="Arial"/>
                <w:szCs w:val="18"/>
                <w:lang w:val="en-GB"/>
              </w:rPr>
              <w:t xml:space="preserve">Adsorbent solid density </w:t>
            </w:r>
            <w:r>
              <w:rPr>
                <w:rFonts w:cs="Arial"/>
                <w:szCs w:val="18"/>
                <w:lang w:val="en-GB"/>
              </w:rPr>
              <w:t>(kg/m³)</w:t>
            </w:r>
          </w:p>
        </w:tc>
        <w:tc>
          <w:tcPr>
            <w:tcW w:w="993" w:type="dxa"/>
            <w:shd w:val="clear" w:color="auto" w:fill="FFFFFF"/>
          </w:tcPr>
          <w:p w14:paraId="49BE16F7" w14:textId="37673FB5" w:rsidR="00BD3955" w:rsidRPr="00B57B36" w:rsidRDefault="00817150" w:rsidP="005D2681">
            <w:pPr>
              <w:pStyle w:val="CETBodytext"/>
              <w:ind w:right="-1"/>
              <w:rPr>
                <w:rFonts w:cs="Arial"/>
                <w:szCs w:val="18"/>
                <w:lang w:val="en-GB"/>
              </w:rPr>
            </w:pPr>
            <w:r>
              <w:rPr>
                <w:rFonts w:cs="Arial"/>
                <w:szCs w:val="18"/>
                <w:lang w:val="en-GB"/>
              </w:rPr>
              <w:t>2254</w:t>
            </w:r>
          </w:p>
        </w:tc>
      </w:tr>
    </w:tbl>
    <w:p w14:paraId="04BDBB4F" w14:textId="77777777" w:rsidR="00A6778A" w:rsidRDefault="00A6778A" w:rsidP="00A6778A">
      <w:pPr>
        <w:pStyle w:val="CETBodytext"/>
      </w:pPr>
    </w:p>
    <w:p w14:paraId="344285D1" w14:textId="33045896" w:rsidR="00A6778A" w:rsidRDefault="00A6778A" w:rsidP="00A6778A">
      <w:pPr>
        <w:pStyle w:val="CETBodytext"/>
      </w:pPr>
      <w:r w:rsidRPr="00AA0335">
        <w:t xml:space="preserve">For the simulation, it was considered that the hydrous ethanol feed stream was 3000 </w:t>
      </w:r>
      <w:proofErr w:type="spellStart"/>
      <w:r w:rsidRPr="00AA0335">
        <w:t>kmol</w:t>
      </w:r>
      <w:proofErr w:type="spellEnd"/>
      <w:r w:rsidRPr="00AA0335">
        <w:t>/h w</w:t>
      </w:r>
      <w:r w:rsidRPr="00562656">
        <w:t>ith a mole fraction of ethanol equal to 0.8 (lesser than the</w:t>
      </w:r>
      <w:r w:rsidRPr="00AA0335">
        <w:t xml:space="preserve"> </w:t>
      </w:r>
      <w:proofErr w:type="spellStart"/>
      <w:r w:rsidRPr="00AA0335">
        <w:t>azeotrope</w:t>
      </w:r>
      <w:proofErr w:type="spellEnd"/>
      <w:r w:rsidRPr="00AA0335">
        <w:t>). The simulation aims to adsorb the water present in the feed, producing anhydrous ethanol at the exit of the column, with a mass fraction of ethanol in the product of 0.993, which meets the minimum specifications for ethanol in European countries, the United States and Brazil, according to Table 1. On the other hand,</w:t>
      </w:r>
      <w:r w:rsidRPr="00562656">
        <w:t xml:space="preserve"> the minimum mass fraction of water does not meet European </w:t>
      </w:r>
      <w:r w:rsidRPr="00562656">
        <w:lastRenderedPageBreak/>
        <w:t xml:space="preserve">requirements, which must be lesser than 0.003. </w:t>
      </w:r>
      <w:r w:rsidRPr="00AA0335">
        <w:t>The conditions for feeding the bed in the gaseous phase were 440.15 K temperature and 3.79 bar pressure, according to Fonseca (2011).</w:t>
      </w:r>
    </w:p>
    <w:p w14:paraId="65F2F233" w14:textId="66B2EC01" w:rsidR="00A6778A" w:rsidRPr="00A6778A" w:rsidRDefault="00A6778A" w:rsidP="00A6778A">
      <w:pPr>
        <w:pStyle w:val="CETBodytext"/>
      </w:pPr>
      <w:r w:rsidRPr="00454973">
        <w:t>The operating parameters used were proposed by Fonseca (2011), as shown in Table 2. The parameters of the Langmuir isotherm model used are shown in Table 3, as well as the mass transfer coefficients adopted.</w:t>
      </w:r>
    </w:p>
    <w:p w14:paraId="66695759" w14:textId="025730AC" w:rsidR="00F56038" w:rsidRPr="00B57B36" w:rsidRDefault="00F56038" w:rsidP="00F56038">
      <w:pPr>
        <w:pStyle w:val="CETTabletitle"/>
      </w:pPr>
      <w:r w:rsidRPr="00B57B36">
        <w:t xml:space="preserve">Table </w:t>
      </w:r>
      <w:r>
        <w:t>3</w:t>
      </w:r>
      <w:r w:rsidRPr="00B57B36">
        <w:t xml:space="preserve">: </w:t>
      </w:r>
      <w:r w:rsidRPr="00F56038">
        <w:t xml:space="preserve">Mass transfer coefficients and parameters of the Langmuir isotherm </w:t>
      </w:r>
      <w:r w:rsidRPr="00BD3955">
        <w:t xml:space="preserve">based on Fonseca </w:t>
      </w:r>
      <w:r>
        <w:t>(2011)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678"/>
        <w:gridCol w:w="1134"/>
      </w:tblGrid>
      <w:tr w:rsidR="00F56038" w:rsidRPr="00B57B36" w14:paraId="4A5202E4" w14:textId="77777777" w:rsidTr="00F56038">
        <w:tc>
          <w:tcPr>
            <w:tcW w:w="4678" w:type="dxa"/>
            <w:tcBorders>
              <w:top w:val="single" w:sz="12" w:space="0" w:color="008000"/>
              <w:bottom w:val="single" w:sz="6" w:space="0" w:color="008000"/>
            </w:tcBorders>
            <w:shd w:val="clear" w:color="auto" w:fill="FFFFFF"/>
          </w:tcPr>
          <w:p w14:paraId="7248D8A8" w14:textId="77777777" w:rsidR="00F56038" w:rsidRPr="00B57B36" w:rsidRDefault="00F56038" w:rsidP="005D2681">
            <w:pPr>
              <w:pStyle w:val="CETBodytext"/>
              <w:rPr>
                <w:lang w:val="en-GB"/>
              </w:rPr>
            </w:pPr>
            <w:r>
              <w:rPr>
                <w:lang w:val="en-GB"/>
              </w:rPr>
              <w:t>Parameter</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6FAC9160" w14:textId="77777777" w:rsidR="00F56038" w:rsidRPr="00B57B36" w:rsidRDefault="00F56038" w:rsidP="005D2681">
            <w:pPr>
              <w:pStyle w:val="CETBodytext"/>
              <w:rPr>
                <w:lang w:val="en-GB"/>
              </w:rPr>
            </w:pPr>
            <w:r>
              <w:rPr>
                <w:lang w:val="en-GB"/>
              </w:rPr>
              <w:t>Value</w:t>
            </w:r>
          </w:p>
        </w:tc>
      </w:tr>
      <w:tr w:rsidR="00F56038" w:rsidRPr="00B57B36" w14:paraId="40A27232" w14:textId="77777777" w:rsidTr="00F56038">
        <w:tc>
          <w:tcPr>
            <w:tcW w:w="4678" w:type="dxa"/>
            <w:shd w:val="clear" w:color="auto" w:fill="FFFFFF"/>
          </w:tcPr>
          <w:p w14:paraId="4745B7C6" w14:textId="6B1E2EE7" w:rsidR="00F56038" w:rsidRPr="00B57B36" w:rsidRDefault="00F56038" w:rsidP="005D2681">
            <w:pPr>
              <w:pStyle w:val="CETBodytext"/>
              <w:rPr>
                <w:lang w:val="en-GB"/>
              </w:rPr>
            </w:pPr>
            <w:r>
              <w:rPr>
                <w:lang w:val="en-GB"/>
              </w:rPr>
              <w:t>MTC Ethanol</w:t>
            </w:r>
            <w:r w:rsidRPr="00817150">
              <w:rPr>
                <w:lang w:val="en-GB"/>
              </w:rPr>
              <w:t xml:space="preserve"> </w:t>
            </w:r>
            <w:r>
              <w:rPr>
                <w:lang w:val="en-GB"/>
              </w:rPr>
              <w:t>– Mass transfer coefficient (1/s)</w:t>
            </w:r>
          </w:p>
        </w:tc>
        <w:tc>
          <w:tcPr>
            <w:tcW w:w="1134" w:type="dxa"/>
            <w:shd w:val="clear" w:color="auto" w:fill="FFFFFF"/>
          </w:tcPr>
          <w:p w14:paraId="58A803B1" w14:textId="473C67FD" w:rsidR="00F56038" w:rsidRPr="00B57B36" w:rsidRDefault="00F56038" w:rsidP="005D2681">
            <w:pPr>
              <w:pStyle w:val="CETBodytext"/>
              <w:rPr>
                <w:lang w:val="en-GB"/>
              </w:rPr>
            </w:pPr>
            <w:r>
              <w:rPr>
                <w:lang w:val="en-GB"/>
              </w:rPr>
              <w:t>0</w:t>
            </w:r>
          </w:p>
        </w:tc>
      </w:tr>
      <w:tr w:rsidR="00F56038" w:rsidRPr="00B57B36" w14:paraId="0F6D01ED" w14:textId="77777777" w:rsidTr="00F56038">
        <w:tc>
          <w:tcPr>
            <w:tcW w:w="4678" w:type="dxa"/>
            <w:shd w:val="clear" w:color="auto" w:fill="FFFFFF"/>
          </w:tcPr>
          <w:p w14:paraId="3303BA49" w14:textId="24EC1D8D" w:rsidR="00F56038" w:rsidRPr="00B57B36" w:rsidRDefault="00F56038" w:rsidP="00F56038">
            <w:pPr>
              <w:pStyle w:val="CETBodytext"/>
              <w:rPr>
                <w:lang w:val="en-GB"/>
              </w:rPr>
            </w:pPr>
            <w:r>
              <w:rPr>
                <w:lang w:val="en-GB"/>
              </w:rPr>
              <w:t>MTC Water – Mass transfer coefficient (1/s)</w:t>
            </w:r>
          </w:p>
        </w:tc>
        <w:tc>
          <w:tcPr>
            <w:tcW w:w="1134" w:type="dxa"/>
            <w:shd w:val="clear" w:color="auto" w:fill="FFFFFF"/>
          </w:tcPr>
          <w:p w14:paraId="310E5F5B" w14:textId="77668EFF" w:rsidR="00F56038" w:rsidRPr="00B57B36" w:rsidRDefault="00F56038" w:rsidP="00F56038">
            <w:pPr>
              <w:pStyle w:val="CETBodytext"/>
              <w:rPr>
                <w:lang w:val="en-GB"/>
              </w:rPr>
            </w:pPr>
            <w:r>
              <w:rPr>
                <w:lang w:val="en-GB"/>
              </w:rPr>
              <w:t>1.03</w:t>
            </w:r>
            <w:r w:rsidRPr="001F1655">
              <w:rPr>
                <w:rFonts w:ascii="MS Gothic" w:eastAsia="MS Gothic" w:hAnsi="MS Gothic" w:cs="MS Gothic" w:hint="eastAsia"/>
                <w:lang w:val="en-GB"/>
              </w:rPr>
              <w:t>‧</w:t>
            </w:r>
            <w:r>
              <w:rPr>
                <w:lang w:val="en-GB"/>
              </w:rPr>
              <w:t>10</w:t>
            </w:r>
            <w:r w:rsidRPr="00817150">
              <w:rPr>
                <w:vertAlign w:val="superscript"/>
                <w:lang w:val="en-GB"/>
              </w:rPr>
              <w:t>-3</w:t>
            </w:r>
          </w:p>
        </w:tc>
      </w:tr>
      <w:tr w:rsidR="00F56038" w:rsidRPr="00B57B36" w14:paraId="56D86091" w14:textId="77777777" w:rsidTr="00F56038">
        <w:tc>
          <w:tcPr>
            <w:tcW w:w="4678" w:type="dxa"/>
            <w:shd w:val="clear" w:color="auto" w:fill="FFFFFF"/>
          </w:tcPr>
          <w:p w14:paraId="63EF88BC" w14:textId="2448EA85" w:rsidR="00F56038" w:rsidRPr="00B57B36" w:rsidRDefault="00F56038" w:rsidP="00F56038">
            <w:pPr>
              <w:pStyle w:val="CETBodytext"/>
              <w:rPr>
                <w:lang w:val="en-GB"/>
              </w:rPr>
            </w:pPr>
            <w:r w:rsidRPr="00F56038">
              <w:rPr>
                <w:lang w:val="en-GB"/>
              </w:rPr>
              <w:t>IP (1, Ethanol</w:t>
            </w:r>
            <w:r>
              <w:rPr>
                <w:lang w:val="en-GB"/>
              </w:rPr>
              <w:t>) Parameter 1 of the isotherm for ethanol</w:t>
            </w:r>
          </w:p>
        </w:tc>
        <w:tc>
          <w:tcPr>
            <w:tcW w:w="1134" w:type="dxa"/>
            <w:shd w:val="clear" w:color="auto" w:fill="FFFFFF"/>
          </w:tcPr>
          <w:p w14:paraId="775D7181" w14:textId="53F7501B" w:rsidR="00F56038" w:rsidRPr="00B57B36" w:rsidRDefault="00F56038" w:rsidP="00F56038">
            <w:pPr>
              <w:pStyle w:val="CETBodytext"/>
              <w:rPr>
                <w:lang w:val="en-GB"/>
              </w:rPr>
            </w:pPr>
            <w:r>
              <w:rPr>
                <w:lang w:val="en-GB"/>
              </w:rPr>
              <w:t>0</w:t>
            </w:r>
          </w:p>
        </w:tc>
      </w:tr>
      <w:tr w:rsidR="00F56038" w:rsidRPr="00B57B36" w14:paraId="615793C4" w14:textId="77777777" w:rsidTr="00F56038">
        <w:tc>
          <w:tcPr>
            <w:tcW w:w="4678" w:type="dxa"/>
            <w:shd w:val="clear" w:color="auto" w:fill="FFFFFF"/>
          </w:tcPr>
          <w:p w14:paraId="45FD7A82" w14:textId="7FB44FC5" w:rsidR="00F56038" w:rsidRPr="00B57B36" w:rsidRDefault="00F56038" w:rsidP="00F56038">
            <w:pPr>
              <w:pStyle w:val="CETBodytext"/>
              <w:rPr>
                <w:lang w:val="en-GB"/>
              </w:rPr>
            </w:pPr>
            <w:r w:rsidRPr="00F56038">
              <w:rPr>
                <w:lang w:val="en-GB"/>
              </w:rPr>
              <w:t xml:space="preserve">IP (1, </w:t>
            </w:r>
            <w:r>
              <w:rPr>
                <w:lang w:val="en-GB"/>
              </w:rPr>
              <w:t>Water) Parameter 1 of the isotherm for water</w:t>
            </w:r>
          </w:p>
        </w:tc>
        <w:tc>
          <w:tcPr>
            <w:tcW w:w="1134" w:type="dxa"/>
            <w:shd w:val="clear" w:color="auto" w:fill="FFFFFF"/>
          </w:tcPr>
          <w:p w14:paraId="2851B348" w14:textId="4E99C1B9" w:rsidR="00F56038" w:rsidRPr="00B57B36" w:rsidRDefault="00F56038" w:rsidP="00F56038">
            <w:pPr>
              <w:pStyle w:val="CETBodytext"/>
              <w:rPr>
                <w:lang w:val="en-GB"/>
              </w:rPr>
            </w:pPr>
            <w:r>
              <w:rPr>
                <w:lang w:val="en-GB"/>
              </w:rPr>
              <w:t>0.1489</w:t>
            </w:r>
          </w:p>
        </w:tc>
      </w:tr>
      <w:tr w:rsidR="00F56038" w:rsidRPr="00B57B36" w14:paraId="203EABCD" w14:textId="77777777" w:rsidTr="00F56038">
        <w:tc>
          <w:tcPr>
            <w:tcW w:w="4678" w:type="dxa"/>
            <w:shd w:val="clear" w:color="auto" w:fill="FFFFFF"/>
          </w:tcPr>
          <w:p w14:paraId="77CCB266" w14:textId="3D537F6E" w:rsidR="00F56038" w:rsidRPr="00B57B36" w:rsidRDefault="00F56038" w:rsidP="00F56038">
            <w:pPr>
              <w:pStyle w:val="CETBodytext"/>
              <w:rPr>
                <w:lang w:val="en-GB"/>
              </w:rPr>
            </w:pPr>
            <w:r w:rsidRPr="00F56038">
              <w:rPr>
                <w:lang w:val="en-GB"/>
              </w:rPr>
              <w:t>IP (</w:t>
            </w:r>
            <w:r>
              <w:rPr>
                <w:lang w:val="en-GB"/>
              </w:rPr>
              <w:t>2</w:t>
            </w:r>
            <w:r w:rsidRPr="00F56038">
              <w:rPr>
                <w:lang w:val="en-GB"/>
              </w:rPr>
              <w:t>, Ethanol</w:t>
            </w:r>
            <w:r>
              <w:rPr>
                <w:lang w:val="en-GB"/>
              </w:rPr>
              <w:t>) Parameter 2 of the isotherm for ethanol</w:t>
            </w:r>
          </w:p>
        </w:tc>
        <w:tc>
          <w:tcPr>
            <w:tcW w:w="1134" w:type="dxa"/>
            <w:shd w:val="clear" w:color="auto" w:fill="FFFFFF"/>
          </w:tcPr>
          <w:p w14:paraId="02E4D7FD" w14:textId="298404F0" w:rsidR="00F56038" w:rsidRPr="00B57B36" w:rsidRDefault="00F56038" w:rsidP="00F56038">
            <w:pPr>
              <w:pStyle w:val="CETBodytext"/>
              <w:rPr>
                <w:lang w:val="en-GB"/>
              </w:rPr>
            </w:pPr>
            <w:r>
              <w:rPr>
                <w:lang w:val="en-GB"/>
              </w:rPr>
              <w:t>0</w:t>
            </w:r>
          </w:p>
        </w:tc>
      </w:tr>
      <w:tr w:rsidR="00F56038" w:rsidRPr="00B57B36" w14:paraId="6E6B03C3" w14:textId="77777777" w:rsidTr="00F56038">
        <w:tc>
          <w:tcPr>
            <w:tcW w:w="4678" w:type="dxa"/>
            <w:shd w:val="clear" w:color="auto" w:fill="FFFFFF"/>
          </w:tcPr>
          <w:p w14:paraId="1F51955E" w14:textId="5956EEF9" w:rsidR="00F56038" w:rsidRPr="00B57B36" w:rsidRDefault="00F56038" w:rsidP="00F56038">
            <w:pPr>
              <w:pStyle w:val="CETBodytext"/>
              <w:ind w:right="-1"/>
              <w:rPr>
                <w:rFonts w:cs="Arial"/>
                <w:szCs w:val="18"/>
                <w:lang w:val="en-GB"/>
              </w:rPr>
            </w:pPr>
            <w:r w:rsidRPr="00F56038">
              <w:rPr>
                <w:lang w:val="en-GB"/>
              </w:rPr>
              <w:t>IP (</w:t>
            </w:r>
            <w:r>
              <w:rPr>
                <w:lang w:val="en-GB"/>
              </w:rPr>
              <w:t>2</w:t>
            </w:r>
            <w:r w:rsidRPr="00F56038">
              <w:rPr>
                <w:lang w:val="en-GB"/>
              </w:rPr>
              <w:t xml:space="preserve">, </w:t>
            </w:r>
            <w:r>
              <w:rPr>
                <w:lang w:val="en-GB"/>
              </w:rPr>
              <w:t>Water) Parameter 2 of the isotherm for water</w:t>
            </w:r>
          </w:p>
        </w:tc>
        <w:tc>
          <w:tcPr>
            <w:tcW w:w="1134" w:type="dxa"/>
            <w:shd w:val="clear" w:color="auto" w:fill="FFFFFF"/>
          </w:tcPr>
          <w:p w14:paraId="17DC02FB" w14:textId="2626700C" w:rsidR="00F56038" w:rsidRPr="00B57B36" w:rsidRDefault="00F56038" w:rsidP="00F56038">
            <w:pPr>
              <w:pStyle w:val="CETBodytext"/>
              <w:ind w:right="-1"/>
              <w:rPr>
                <w:rFonts w:cs="Arial"/>
                <w:szCs w:val="18"/>
                <w:lang w:val="en-GB"/>
              </w:rPr>
            </w:pPr>
            <w:r>
              <w:rPr>
                <w:rFonts w:cs="Arial"/>
                <w:szCs w:val="18"/>
                <w:lang w:val="en-GB"/>
              </w:rPr>
              <w:t>19.11</w:t>
            </w:r>
          </w:p>
        </w:tc>
      </w:tr>
    </w:tbl>
    <w:p w14:paraId="677EBFF0" w14:textId="770224F8" w:rsidR="00600535" w:rsidRPr="00B57B36" w:rsidRDefault="00AA0335" w:rsidP="00600535">
      <w:pPr>
        <w:pStyle w:val="CETHeading1"/>
        <w:tabs>
          <w:tab w:val="clear" w:pos="360"/>
          <w:tab w:val="right" w:pos="7100"/>
        </w:tabs>
        <w:jc w:val="both"/>
        <w:rPr>
          <w:lang w:val="en-GB"/>
        </w:rPr>
      </w:pPr>
      <w:r>
        <w:rPr>
          <w:lang w:val="en-GB"/>
        </w:rPr>
        <w:t>Results and discussions</w:t>
      </w:r>
    </w:p>
    <w:p w14:paraId="45486FB0" w14:textId="463AB310" w:rsidR="00CE7FF8" w:rsidRPr="0044123B" w:rsidRDefault="00CE7FF8" w:rsidP="00CE7FF8">
      <w:pPr>
        <w:pStyle w:val="CETBodytext"/>
        <w:rPr>
          <w:lang w:val="en-GB"/>
        </w:rPr>
      </w:pPr>
      <w:r w:rsidRPr="00CE7FF8">
        <w:rPr>
          <w:lang w:val="en-GB"/>
        </w:rPr>
        <w:t xml:space="preserve">Considering the explained methodology, the batch process of anhydrous ethanol production by simple adsorption in molecular sieve was simulated using the Aspen </w:t>
      </w:r>
      <w:proofErr w:type="spellStart"/>
      <w:r w:rsidRPr="00CE7FF8">
        <w:rPr>
          <w:lang w:val="en-GB"/>
        </w:rPr>
        <w:t>Adsim</w:t>
      </w:r>
      <w:proofErr w:type="spellEnd"/>
      <w:r w:rsidRPr="00CE7FF8">
        <w:rPr>
          <w:lang w:val="en-GB"/>
        </w:rPr>
        <w:t xml:space="preserve"> software.</w:t>
      </w:r>
      <w:r w:rsidR="005D39B6">
        <w:rPr>
          <w:lang w:val="en-GB"/>
        </w:rPr>
        <w:t xml:space="preserve"> </w:t>
      </w:r>
      <w:r w:rsidR="005D39B6" w:rsidRPr="0044123B">
        <w:rPr>
          <w:lang w:val="en-GB"/>
        </w:rPr>
        <w:t xml:space="preserve">The simulations were considered in a batch regime in order to evaluate the </w:t>
      </w:r>
      <w:proofErr w:type="spellStart"/>
      <w:r w:rsidR="005D39B6" w:rsidRPr="0044123B">
        <w:rPr>
          <w:lang w:val="en-GB"/>
        </w:rPr>
        <w:t>behavior</w:t>
      </w:r>
      <w:proofErr w:type="spellEnd"/>
      <w:r w:rsidR="005D39B6" w:rsidRPr="0044123B">
        <w:rPr>
          <w:lang w:val="en-GB"/>
        </w:rPr>
        <w:t xml:space="preserve"> of the proposed model, its main characteristics and the capacity of the process to selectively adsorb water.</w:t>
      </w:r>
    </w:p>
    <w:p w14:paraId="0087BC1A" w14:textId="726F6010" w:rsidR="006B4FCC" w:rsidRPr="0044123B" w:rsidRDefault="006B4FCC" w:rsidP="00CE7FF8">
      <w:pPr>
        <w:pStyle w:val="CETheadingx"/>
      </w:pPr>
      <w:r w:rsidRPr="0044123B">
        <w:t>Base case simulation</w:t>
      </w:r>
    </w:p>
    <w:p w14:paraId="6C523891" w14:textId="33F1ED1F" w:rsidR="00CE7FF8" w:rsidRDefault="00CE7FF8" w:rsidP="00CE7FF8">
      <w:pPr>
        <w:pStyle w:val="CETBodytext"/>
        <w:rPr>
          <w:lang w:val="en-GB"/>
        </w:rPr>
      </w:pPr>
      <w:r w:rsidRPr="00CE7FF8">
        <w:rPr>
          <w:lang w:val="en-GB"/>
        </w:rPr>
        <w:t>Inserting the considerations present in Tables 2 and 3, relevant curves are generated for the study of the process. Evaluating the</w:t>
      </w:r>
      <w:r w:rsidR="00562656">
        <w:rPr>
          <w:lang w:val="en-GB"/>
        </w:rPr>
        <w:t xml:space="preserve"> mole</w:t>
      </w:r>
      <w:r w:rsidRPr="00CE7FF8">
        <w:rPr>
          <w:lang w:val="en-GB"/>
        </w:rPr>
        <w:t xml:space="preserve"> </w:t>
      </w:r>
      <w:r w:rsidRPr="00562656">
        <w:rPr>
          <w:lang w:val="en-GB"/>
        </w:rPr>
        <w:t>fraction</w:t>
      </w:r>
      <w:r w:rsidRPr="00CE7FF8">
        <w:rPr>
          <w:lang w:val="en-GB"/>
        </w:rPr>
        <w:t xml:space="preserve"> of water in the product stream at the column outlet over time, the system </w:t>
      </w:r>
      <w:r>
        <w:rPr>
          <w:lang w:val="en-GB"/>
        </w:rPr>
        <w:t>break</w:t>
      </w:r>
      <w:r w:rsidR="005A09E8">
        <w:rPr>
          <w:lang w:val="en-GB"/>
        </w:rPr>
        <w:t>through</w:t>
      </w:r>
      <w:r w:rsidRPr="00CE7FF8">
        <w:rPr>
          <w:lang w:val="en-GB"/>
        </w:rPr>
        <w:t xml:space="preserve"> curves are obtained (Figure </w:t>
      </w:r>
      <w:r w:rsidR="006D0933">
        <w:rPr>
          <w:lang w:val="en-GB"/>
        </w:rPr>
        <w:t>1</w:t>
      </w:r>
      <w:r w:rsidRPr="00CE7FF8">
        <w:rPr>
          <w:lang w:val="en-GB"/>
        </w:rPr>
        <w:t>)</w:t>
      </w:r>
      <w:r>
        <w:rPr>
          <w:lang w:val="en-GB"/>
        </w:rPr>
        <w:t>.</w:t>
      </w:r>
      <w:r w:rsidR="005A09E8">
        <w:rPr>
          <w:lang w:val="en-GB"/>
        </w:rPr>
        <w:t xml:space="preserve"> </w:t>
      </w:r>
      <w:r w:rsidR="005A09E8" w:rsidRPr="005A09E8">
        <w:rPr>
          <w:lang w:val="en-GB"/>
        </w:rPr>
        <w:t xml:space="preserve">Furthermore, it can also compare the evolution of the profile of the mole fraction of ethanol and water along the column at different simulation times, as shown in Figure </w:t>
      </w:r>
      <w:r w:rsidR="006D0933">
        <w:rPr>
          <w:lang w:val="en-GB"/>
        </w:rPr>
        <w:t>2</w:t>
      </w:r>
      <w:r w:rsidR="005A09E8">
        <w:rPr>
          <w:lang w:val="en-GB"/>
        </w:rPr>
        <w:t>.</w:t>
      </w:r>
    </w:p>
    <w:p w14:paraId="35037A96" w14:textId="62F853AB" w:rsidR="00CE7FF8" w:rsidRDefault="003A7A46" w:rsidP="00BC45EC">
      <w:pPr>
        <w:pStyle w:val="CETBodytext"/>
        <w:spacing w:before="240"/>
        <w:rPr>
          <w:lang w:val="en-GB"/>
        </w:rPr>
      </w:pPr>
      <w:r w:rsidRPr="003A7A46">
        <w:rPr>
          <w:noProof/>
          <w:lang w:val="pt-BR" w:eastAsia="pt-BR"/>
        </w:rPr>
        <w:drawing>
          <wp:inline distT="0" distB="0" distL="0" distR="0" wp14:anchorId="4EEAA1E0" wp14:editId="2F4FF110">
            <wp:extent cx="3838353" cy="2012001"/>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21270" cy="2055465"/>
                    </a:xfrm>
                    <a:prstGeom prst="rect">
                      <a:avLst/>
                    </a:prstGeom>
                  </pic:spPr>
                </pic:pic>
              </a:graphicData>
            </a:graphic>
          </wp:inline>
        </w:drawing>
      </w:r>
    </w:p>
    <w:p w14:paraId="19CF81AA" w14:textId="3DAE3799" w:rsidR="00966D85" w:rsidRPr="00562656" w:rsidRDefault="00CE7FF8" w:rsidP="00562656">
      <w:pPr>
        <w:pStyle w:val="CETCaption"/>
        <w:rPr>
          <w:i w:val="0"/>
        </w:rPr>
      </w:pPr>
      <w:r w:rsidRPr="00BD077D">
        <w:rPr>
          <w:rStyle w:val="CETCaptionCarattere"/>
          <w:i/>
        </w:rPr>
        <w:t xml:space="preserve">Figure </w:t>
      </w:r>
      <w:r w:rsidR="006D0933">
        <w:rPr>
          <w:rStyle w:val="CETCaptionCarattere"/>
          <w:i/>
        </w:rPr>
        <w:t>1</w:t>
      </w:r>
      <w:r w:rsidRPr="00BD077D">
        <w:rPr>
          <w:rStyle w:val="CETCaptionCarattere"/>
          <w:i/>
        </w:rPr>
        <w:t xml:space="preserve">: </w:t>
      </w:r>
      <w:r w:rsidR="005A09E8">
        <w:rPr>
          <w:rStyle w:val="CETCaptionCarattere"/>
          <w:i/>
        </w:rPr>
        <w:t>Breakthrough curve of the adsorption process with molecular sieve</w:t>
      </w:r>
      <w:r w:rsidRPr="00BC45EC">
        <w:rPr>
          <w:rStyle w:val="CETCaptionCarattere"/>
        </w:rPr>
        <w:t xml:space="preserve"> </w:t>
      </w:r>
    </w:p>
    <w:p w14:paraId="2A0D8E62" w14:textId="59CE74A4" w:rsidR="00BC45EC" w:rsidRDefault="00BC45EC" w:rsidP="00CE7FF8">
      <w:pPr>
        <w:pStyle w:val="CETBodytext"/>
        <w:rPr>
          <w:lang w:val="en-GB"/>
        </w:rPr>
      </w:pPr>
      <w:r w:rsidRPr="00BC45EC">
        <w:rPr>
          <w:lang w:val="en-GB"/>
        </w:rPr>
        <w:t xml:space="preserve">From the results found, it is possible to notice the effect of the phenomenon of selective adsorption occurring along the adsorbent column, given that the </w:t>
      </w:r>
      <w:r w:rsidR="00562656">
        <w:rPr>
          <w:lang w:val="en-GB"/>
        </w:rPr>
        <w:t>mole</w:t>
      </w:r>
      <w:r w:rsidRPr="00BC45EC">
        <w:rPr>
          <w:lang w:val="en-GB"/>
        </w:rPr>
        <w:t xml:space="preserve"> fraction of water in the product stream is smaller than in the feed stream. On the other hand, with the passage of time, the concentration of water (</w:t>
      </w:r>
      <w:proofErr w:type="spellStart"/>
      <w:r w:rsidRPr="00BC45EC">
        <w:rPr>
          <w:lang w:val="en-GB"/>
        </w:rPr>
        <w:t>adsorbate</w:t>
      </w:r>
      <w:proofErr w:type="spellEnd"/>
      <w:r w:rsidRPr="00BC45EC">
        <w:rPr>
          <w:lang w:val="en-GB"/>
        </w:rPr>
        <w:t xml:space="preserve">) gradually increases in the product stream, as evidenced in Figure </w:t>
      </w:r>
      <w:r w:rsidR="006D0933">
        <w:rPr>
          <w:lang w:val="en-GB"/>
        </w:rPr>
        <w:t>1</w:t>
      </w:r>
      <w:r w:rsidRPr="00BC45EC">
        <w:rPr>
          <w:lang w:val="en-GB"/>
        </w:rPr>
        <w:t xml:space="preserve"> by the </w:t>
      </w:r>
      <w:r w:rsidR="00E67D0D">
        <w:rPr>
          <w:lang w:val="en-GB"/>
        </w:rPr>
        <w:t>breakthrough</w:t>
      </w:r>
      <w:r w:rsidRPr="00BC45EC">
        <w:rPr>
          <w:lang w:val="en-GB"/>
        </w:rPr>
        <w:t xml:space="preserve"> curve. From the break</w:t>
      </w:r>
      <w:r w:rsidR="00E67D0D">
        <w:rPr>
          <w:lang w:val="en-GB"/>
        </w:rPr>
        <w:t>through</w:t>
      </w:r>
      <w:r w:rsidRPr="00BC45EC">
        <w:rPr>
          <w:lang w:val="en-GB"/>
        </w:rPr>
        <w:t xml:space="preserve"> point, the bed starts to become saturated and the capacity of the bed to adsorb water decreases.</w:t>
      </w:r>
    </w:p>
    <w:p w14:paraId="21A3B8A6" w14:textId="77777777" w:rsidR="008F508E" w:rsidRDefault="00BC45EC" w:rsidP="008F508E">
      <w:pPr>
        <w:pStyle w:val="CETBodytext"/>
        <w:rPr>
          <w:lang w:val="en-GB"/>
        </w:rPr>
      </w:pPr>
      <w:r w:rsidRPr="00BC45EC">
        <w:rPr>
          <w:lang w:val="en-GB"/>
        </w:rPr>
        <w:t xml:space="preserve">Through Figure </w:t>
      </w:r>
      <w:r w:rsidR="006D0933">
        <w:rPr>
          <w:lang w:val="en-GB"/>
        </w:rPr>
        <w:t>2</w:t>
      </w:r>
      <w:r w:rsidRPr="00BC45EC">
        <w:rPr>
          <w:lang w:val="en-GB"/>
        </w:rPr>
        <w:t>, it is observed that the base of the adsorption column (region close to the feed stream) is saturated faster than the other regions of the bed, which gradually increase the amount of adsorbed water until they saturate. This fact is observed since the upper part of the column receives a flow partially enriched in ethanol, while the base receives hydrated ethanol from the feed.</w:t>
      </w:r>
    </w:p>
    <w:p w14:paraId="13870993" w14:textId="64B4D001" w:rsidR="008F508E" w:rsidRPr="00694947" w:rsidRDefault="008F508E" w:rsidP="008F508E">
      <w:pPr>
        <w:pStyle w:val="CETBodytext"/>
        <w:rPr>
          <w:lang w:val="en-GB"/>
        </w:rPr>
      </w:pPr>
      <w:r>
        <w:rPr>
          <w:lang w:val="en-GB"/>
        </w:rPr>
        <w:t>C</w:t>
      </w:r>
      <w:r w:rsidRPr="0001745B">
        <w:rPr>
          <w:lang w:val="en-GB"/>
        </w:rPr>
        <w:t>alculating the process performance indicators, 91.3</w:t>
      </w:r>
      <w:r>
        <w:rPr>
          <w:lang w:val="en-GB"/>
        </w:rPr>
        <w:t xml:space="preserve"> </w:t>
      </w:r>
      <w:r w:rsidRPr="0001745B">
        <w:rPr>
          <w:lang w:val="en-GB"/>
        </w:rPr>
        <w:t xml:space="preserve">% </w:t>
      </w:r>
      <w:r>
        <w:rPr>
          <w:lang w:val="en-GB"/>
        </w:rPr>
        <w:t xml:space="preserve">mass </w:t>
      </w:r>
      <w:r w:rsidRPr="0001745B">
        <w:rPr>
          <w:lang w:val="en-GB"/>
        </w:rPr>
        <w:t xml:space="preserve">purity was obtained for the complete simulation lasting 5000 seconds. However, limiting the simulation to just 2337 seconds, the </w:t>
      </w:r>
      <w:r w:rsidRPr="004B2553">
        <w:rPr>
          <w:lang w:val="en-GB"/>
        </w:rPr>
        <w:t xml:space="preserve">mass purity </w:t>
      </w:r>
      <w:r w:rsidRPr="00E4010B">
        <w:rPr>
          <w:lang w:val="en-GB"/>
        </w:rPr>
        <w:t>was 99.3 %,</w:t>
      </w:r>
      <w:r w:rsidRPr="0001745B">
        <w:rPr>
          <w:lang w:val="en-GB"/>
        </w:rPr>
        <w:t xml:space="preserve"> while the recovery was 100.0</w:t>
      </w:r>
      <w:r>
        <w:rPr>
          <w:lang w:val="en-GB"/>
        </w:rPr>
        <w:t xml:space="preserve"> </w:t>
      </w:r>
      <w:r w:rsidRPr="0001745B">
        <w:rPr>
          <w:lang w:val="en-GB"/>
        </w:rPr>
        <w:t>% and the productivity 3.40 L/h/kg of adsorbent</w:t>
      </w:r>
      <w:r>
        <w:rPr>
          <w:lang w:val="en-GB"/>
        </w:rPr>
        <w:t xml:space="preserve">. </w:t>
      </w:r>
      <w:r w:rsidRPr="0001745B">
        <w:rPr>
          <w:lang w:val="en-GB"/>
        </w:rPr>
        <w:t>The purity achieved meets the criteria for</w:t>
      </w:r>
      <w:r>
        <w:rPr>
          <w:lang w:val="en-GB"/>
        </w:rPr>
        <w:t xml:space="preserve"> </w:t>
      </w:r>
      <w:r w:rsidRPr="0001745B">
        <w:rPr>
          <w:lang w:val="en-GB"/>
        </w:rPr>
        <w:t xml:space="preserve">use as a gasoline additive (Table 1). The high recovery of ethanol indicates that the adsorbent bed retains only water molecules during its operation, allowing the passage of ethanol. The productivity obtained is </w:t>
      </w:r>
      <w:r w:rsidRPr="0001745B">
        <w:rPr>
          <w:lang w:val="en-GB"/>
        </w:rPr>
        <w:lastRenderedPageBreak/>
        <w:t xml:space="preserve">considerably lower than those obtained in other studies in the literature, such as Fonseca (2011). However, the present work considers a batch regime with the bed operating only once, contrary to the study by Fonseca (2011), which presented a cyclic </w:t>
      </w:r>
      <w:r w:rsidRPr="00694947">
        <w:rPr>
          <w:lang w:val="en-GB"/>
        </w:rPr>
        <w:t>regime. The benefits of batch processes consist of the possibility of easily controlling and limiting the operating time of the process and, consequently, the purity and productivity achieved. Furthermore, there is no ethanol lost in the purge step, as occurs in the cyclic regime.</w:t>
      </w:r>
    </w:p>
    <w:p w14:paraId="37C0FF20" w14:textId="3E870606" w:rsidR="00F64B0D" w:rsidRDefault="00F64B0D" w:rsidP="00CE7FF8">
      <w:pPr>
        <w:pStyle w:val="CETBodytext"/>
        <w:rPr>
          <w:lang w:val="en-GB"/>
        </w:rPr>
      </w:pPr>
    </w:p>
    <w:p w14:paraId="327F0A2E" w14:textId="10AF3D89" w:rsidR="00BC45EC" w:rsidRDefault="00454973" w:rsidP="00BC45EC">
      <w:pPr>
        <w:pStyle w:val="CETBodytext"/>
        <w:spacing w:before="240"/>
        <w:rPr>
          <w:lang w:val="en-GB"/>
        </w:rPr>
      </w:pPr>
      <w:r w:rsidRPr="00454973">
        <w:rPr>
          <w:noProof/>
          <w:lang w:val="pt-BR" w:eastAsia="pt-BR"/>
        </w:rPr>
        <w:drawing>
          <wp:inline distT="0" distB="0" distL="0" distR="0" wp14:anchorId="5AC5A2C8" wp14:editId="4EE04197">
            <wp:extent cx="5102881" cy="2181225"/>
            <wp:effectExtent l="0" t="0" r="254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9586" cy="2192640"/>
                    </a:xfrm>
                    <a:prstGeom prst="rect">
                      <a:avLst/>
                    </a:prstGeom>
                  </pic:spPr>
                </pic:pic>
              </a:graphicData>
            </a:graphic>
          </wp:inline>
        </w:drawing>
      </w:r>
    </w:p>
    <w:p w14:paraId="78BB8092" w14:textId="198C409D" w:rsidR="00F86C1D" w:rsidRDefault="00BC45EC" w:rsidP="00BC45EC">
      <w:pPr>
        <w:pStyle w:val="CETCaption"/>
      </w:pPr>
      <w:r w:rsidRPr="00BD077D">
        <w:rPr>
          <w:rStyle w:val="CETCaptionCarattere"/>
          <w:i/>
        </w:rPr>
        <w:t xml:space="preserve">Figure </w:t>
      </w:r>
      <w:r w:rsidR="006D0933">
        <w:rPr>
          <w:rStyle w:val="CETCaptionCarattere"/>
          <w:i/>
        </w:rPr>
        <w:t>2</w:t>
      </w:r>
      <w:r w:rsidRPr="00BD077D">
        <w:rPr>
          <w:rStyle w:val="CETCaptionCarattere"/>
          <w:i/>
        </w:rPr>
        <w:t xml:space="preserve">: </w:t>
      </w:r>
      <w:r w:rsidRPr="00BC45EC">
        <w:rPr>
          <w:rStyle w:val="CETCaptionCarattere"/>
          <w:i/>
        </w:rPr>
        <w:t>Column profile at different times</w:t>
      </w:r>
      <w:r w:rsidRPr="00BD077D">
        <w:t xml:space="preserve"> </w:t>
      </w:r>
    </w:p>
    <w:p w14:paraId="73C4F388" w14:textId="0EF1E7C5" w:rsidR="000234C3" w:rsidRPr="006B4FCC" w:rsidRDefault="000234C3" w:rsidP="000234C3">
      <w:pPr>
        <w:pStyle w:val="CETheadingx"/>
      </w:pPr>
      <w:r>
        <w:t xml:space="preserve">Sensitivity </w:t>
      </w:r>
      <w:r w:rsidR="00F85EDB">
        <w:t>analysis</w:t>
      </w:r>
    </w:p>
    <w:p w14:paraId="67188841" w14:textId="768399B9" w:rsidR="00465E50" w:rsidRPr="005D39B6" w:rsidRDefault="00F85EDB" w:rsidP="00A1577F">
      <w:pPr>
        <w:pStyle w:val="CETBodytext"/>
        <w:rPr>
          <w:lang w:val="en-GB"/>
        </w:rPr>
      </w:pPr>
      <w:r w:rsidRPr="00F85EDB">
        <w:rPr>
          <w:lang w:val="en-GB"/>
        </w:rPr>
        <w:t xml:space="preserve">New simulations were performed for the sensitivity analysis, </w:t>
      </w:r>
      <w:r w:rsidR="00192902" w:rsidRPr="00192902">
        <w:rPr>
          <w:lang w:val="en-GB"/>
        </w:rPr>
        <w:t>varying the parameters by +10</w:t>
      </w:r>
      <w:r w:rsidR="00192902">
        <w:rPr>
          <w:lang w:val="en-GB"/>
        </w:rPr>
        <w:t xml:space="preserve"> </w:t>
      </w:r>
      <w:r w:rsidR="00192902" w:rsidRPr="00192902">
        <w:rPr>
          <w:lang w:val="en-GB"/>
        </w:rPr>
        <w:t>% and -10</w:t>
      </w:r>
      <w:r w:rsidR="00192902">
        <w:rPr>
          <w:lang w:val="en-GB"/>
        </w:rPr>
        <w:t xml:space="preserve"> </w:t>
      </w:r>
      <w:r w:rsidR="00192902" w:rsidRPr="00192902">
        <w:rPr>
          <w:lang w:val="en-GB"/>
        </w:rPr>
        <w:t>% (except for diameter and porosity, which were evaluated at +10</w:t>
      </w:r>
      <w:r w:rsidR="00192902">
        <w:rPr>
          <w:lang w:val="en-GB"/>
        </w:rPr>
        <w:t xml:space="preserve"> </w:t>
      </w:r>
      <w:r w:rsidR="00192902" w:rsidRPr="00192902">
        <w:rPr>
          <w:lang w:val="en-GB"/>
        </w:rPr>
        <w:t>% and +20</w:t>
      </w:r>
      <w:r w:rsidR="00192902">
        <w:rPr>
          <w:lang w:val="en-GB"/>
        </w:rPr>
        <w:t xml:space="preserve"> </w:t>
      </w:r>
      <w:r w:rsidR="00192902" w:rsidRPr="00192902">
        <w:rPr>
          <w:lang w:val="en-GB"/>
        </w:rPr>
        <w:t xml:space="preserve">%). </w:t>
      </w:r>
      <w:r w:rsidR="00192902">
        <w:rPr>
          <w:lang w:val="en-GB"/>
        </w:rPr>
        <w:t>The</w:t>
      </w:r>
      <w:r w:rsidRPr="00F85EDB">
        <w:rPr>
          <w:lang w:val="en-GB"/>
        </w:rPr>
        <w:t xml:space="preserve"> total simulation time </w:t>
      </w:r>
      <w:r w:rsidR="00192902">
        <w:rPr>
          <w:lang w:val="en-GB"/>
        </w:rPr>
        <w:t>was</w:t>
      </w:r>
      <w:r w:rsidRPr="00F85EDB">
        <w:rPr>
          <w:lang w:val="en-GB"/>
        </w:rPr>
        <w:t xml:space="preserve"> 5000 s, calculating in this period the productivity of the adsorbent and the final purity reached by the batch. As it is necessary for ethanol to have a</w:t>
      </w:r>
      <w:r w:rsidR="00797F29">
        <w:rPr>
          <w:lang w:val="en-GB"/>
        </w:rPr>
        <w:t xml:space="preserve"> mass</w:t>
      </w:r>
      <w:r w:rsidRPr="00F85EDB">
        <w:rPr>
          <w:lang w:val="en-GB"/>
        </w:rPr>
        <w:t xml:space="preserve"> purity greater than 99.3</w:t>
      </w:r>
      <w:r w:rsidR="00EA6052">
        <w:rPr>
          <w:lang w:val="en-GB"/>
        </w:rPr>
        <w:t xml:space="preserve"> </w:t>
      </w:r>
      <w:r w:rsidRPr="00F85EDB">
        <w:rPr>
          <w:lang w:val="en-GB"/>
        </w:rPr>
        <w:t>% to be used as a gasoline additive (Table 1), the performance indicators were also calculated considering the simulation until the time when the batch</w:t>
      </w:r>
      <w:r w:rsidR="00797F29">
        <w:rPr>
          <w:lang w:val="en-GB"/>
        </w:rPr>
        <w:t xml:space="preserve"> mass</w:t>
      </w:r>
      <w:r w:rsidRPr="00F85EDB">
        <w:rPr>
          <w:lang w:val="en-GB"/>
        </w:rPr>
        <w:t xml:space="preserve"> purity is equal to 99</w:t>
      </w:r>
      <w:r>
        <w:rPr>
          <w:lang w:val="en-GB"/>
        </w:rPr>
        <w:t>.</w:t>
      </w:r>
      <w:r w:rsidRPr="00F85EDB">
        <w:rPr>
          <w:lang w:val="en-GB"/>
        </w:rPr>
        <w:t>3</w:t>
      </w:r>
      <w:r w:rsidR="00EA6052">
        <w:rPr>
          <w:lang w:val="en-GB"/>
        </w:rPr>
        <w:t xml:space="preserve"> </w:t>
      </w:r>
      <w:r w:rsidRPr="00F85EDB">
        <w:rPr>
          <w:lang w:val="en-GB"/>
        </w:rPr>
        <w:t>%, which can be considered the break</w:t>
      </w:r>
      <w:r w:rsidR="00EA6052">
        <w:rPr>
          <w:lang w:val="en-GB"/>
        </w:rPr>
        <w:t>through</w:t>
      </w:r>
      <w:r w:rsidRPr="00F85EDB">
        <w:rPr>
          <w:lang w:val="en-GB"/>
        </w:rPr>
        <w:t xml:space="preserve"> time</w:t>
      </w:r>
      <w:r w:rsidR="00EA6052">
        <w:rPr>
          <w:lang w:val="en-GB"/>
        </w:rPr>
        <w:t xml:space="preserve"> (</w:t>
      </w:r>
      <w:proofErr w:type="spellStart"/>
      <w:r w:rsidR="00EA6052">
        <w:rPr>
          <w:lang w:val="en-GB"/>
        </w:rPr>
        <w:t>Seader</w:t>
      </w:r>
      <w:proofErr w:type="spellEnd"/>
      <w:r w:rsidR="00EA6052">
        <w:rPr>
          <w:lang w:val="en-GB"/>
        </w:rPr>
        <w:t>, 1998)</w:t>
      </w:r>
      <w:r w:rsidRPr="00F85EDB">
        <w:rPr>
          <w:lang w:val="en-GB"/>
        </w:rPr>
        <w:t>.</w:t>
      </w:r>
      <w:r w:rsidR="00B8768B">
        <w:rPr>
          <w:lang w:val="en-GB"/>
        </w:rPr>
        <w:t xml:space="preserve"> F</w:t>
      </w:r>
      <w:r w:rsidR="00B8768B" w:rsidRPr="00B8768B">
        <w:rPr>
          <w:lang w:val="en-GB"/>
        </w:rPr>
        <w:t>or all simulations, recovery was 100</w:t>
      </w:r>
      <w:r w:rsidR="00B8768B">
        <w:rPr>
          <w:lang w:val="en-GB"/>
        </w:rPr>
        <w:t xml:space="preserve"> </w:t>
      </w:r>
      <w:r w:rsidR="00B8768B" w:rsidRPr="00B8768B">
        <w:rPr>
          <w:lang w:val="en-GB"/>
        </w:rPr>
        <w:t>%, which indicates that the column does not retain ethanol molecules</w:t>
      </w:r>
      <w:r w:rsidR="00B8768B">
        <w:rPr>
          <w:lang w:val="en-GB"/>
        </w:rPr>
        <w:t>.</w:t>
      </w:r>
    </w:p>
    <w:p w14:paraId="260DB69A" w14:textId="32A580DE" w:rsidR="00183EC3" w:rsidRDefault="00183EC3" w:rsidP="00A1577F">
      <w:pPr>
        <w:pStyle w:val="CETBodytext"/>
        <w:rPr>
          <w:lang w:val="en-GB"/>
        </w:rPr>
      </w:pPr>
      <w:r w:rsidRPr="00183EC3">
        <w:rPr>
          <w:lang w:val="en-GB"/>
        </w:rPr>
        <w:t xml:space="preserve">According to </w:t>
      </w:r>
      <w:r w:rsidRPr="00AA0612">
        <w:rPr>
          <w:lang w:val="en-GB"/>
        </w:rPr>
        <w:t xml:space="preserve">Figure </w:t>
      </w:r>
      <w:r w:rsidR="006D0933">
        <w:rPr>
          <w:lang w:val="en-GB"/>
        </w:rPr>
        <w:t>3</w:t>
      </w:r>
      <w:r w:rsidRPr="00AA0612">
        <w:rPr>
          <w:lang w:val="en-GB"/>
        </w:rPr>
        <w:t>a,</w:t>
      </w:r>
      <w:r w:rsidRPr="00183EC3">
        <w:rPr>
          <w:lang w:val="en-GB"/>
        </w:rPr>
        <w:t xml:space="preserve"> the greater </w:t>
      </w:r>
      <w:r w:rsidRPr="005E5B06">
        <w:rPr>
          <w:lang w:val="en-GB"/>
        </w:rPr>
        <w:t>the feed flow</w:t>
      </w:r>
      <w:r w:rsidR="00AE6C61" w:rsidRPr="005E5B06">
        <w:rPr>
          <w:lang w:val="en-GB"/>
        </w:rPr>
        <w:t xml:space="preserve"> rate</w:t>
      </w:r>
      <w:r w:rsidRPr="005E5B06">
        <w:rPr>
          <w:lang w:val="en-GB"/>
        </w:rPr>
        <w:t xml:space="preserve">, the </w:t>
      </w:r>
      <w:r w:rsidRPr="00183EC3">
        <w:rPr>
          <w:lang w:val="en-GB"/>
        </w:rPr>
        <w:t>lower the final purity achieved by the process, since there is a greater amount of solute passing through the adsorbent bed, which decreases the residence time of water molecules, which</w:t>
      </w:r>
      <w:r w:rsidR="00A8614F">
        <w:rPr>
          <w:lang w:val="en-GB"/>
        </w:rPr>
        <w:t xml:space="preserve"> </w:t>
      </w:r>
      <w:r w:rsidRPr="00183EC3">
        <w:rPr>
          <w:lang w:val="en-GB"/>
        </w:rPr>
        <w:t>will be less retained by the zeolites in the column, increasing the water concentration at the end of the</w:t>
      </w:r>
      <w:r w:rsidR="00A8614F">
        <w:rPr>
          <w:lang w:val="en-GB"/>
        </w:rPr>
        <w:t xml:space="preserve"> </w:t>
      </w:r>
      <w:r w:rsidRPr="00183EC3">
        <w:rPr>
          <w:lang w:val="en-GB"/>
        </w:rPr>
        <w:t xml:space="preserve">batch. On the other hand, </w:t>
      </w:r>
      <w:r w:rsidRPr="005E5B06">
        <w:rPr>
          <w:lang w:val="en-GB"/>
        </w:rPr>
        <w:t>with a</w:t>
      </w:r>
      <w:r w:rsidR="00B8768B" w:rsidRPr="005E5B06">
        <w:rPr>
          <w:lang w:val="en-GB"/>
        </w:rPr>
        <w:t xml:space="preserve"> higher</w:t>
      </w:r>
      <w:r w:rsidRPr="005E5B06">
        <w:rPr>
          <w:lang w:val="en-GB"/>
        </w:rPr>
        <w:t xml:space="preserve"> flow</w:t>
      </w:r>
      <w:r w:rsidR="001B7C44" w:rsidRPr="005E5B06">
        <w:rPr>
          <w:lang w:val="en-GB"/>
        </w:rPr>
        <w:t xml:space="preserve"> rate</w:t>
      </w:r>
      <w:r w:rsidRPr="005E5B06">
        <w:rPr>
          <w:lang w:val="en-GB"/>
        </w:rPr>
        <w:t xml:space="preserve">, productivity </w:t>
      </w:r>
      <w:r w:rsidRPr="00183EC3">
        <w:rPr>
          <w:lang w:val="en-GB"/>
        </w:rPr>
        <w:t xml:space="preserve">increases due to the increase in the amount of final product and the </w:t>
      </w:r>
      <w:r>
        <w:rPr>
          <w:lang w:val="en-GB"/>
        </w:rPr>
        <w:t>breakthrough</w:t>
      </w:r>
      <w:r w:rsidRPr="00183EC3">
        <w:rPr>
          <w:lang w:val="en-GB"/>
        </w:rPr>
        <w:t xml:space="preserve"> time decreases, as the bed saturates more quickly.</w:t>
      </w:r>
    </w:p>
    <w:p w14:paraId="73DD068F" w14:textId="42D0ADFE" w:rsidR="00F879F8" w:rsidRDefault="0057488B" w:rsidP="00A1577F">
      <w:pPr>
        <w:tabs>
          <w:tab w:val="clear" w:pos="7100"/>
        </w:tabs>
        <w:spacing w:line="276" w:lineRule="auto"/>
      </w:pPr>
      <w:r>
        <w:t>T</w:t>
      </w:r>
      <w:r w:rsidR="00A8614F" w:rsidRPr="00A8614F">
        <w:t xml:space="preserve">he results shown in Figure </w:t>
      </w:r>
      <w:r w:rsidR="006D0933">
        <w:t>3</w:t>
      </w:r>
      <w:r w:rsidR="00A8614F" w:rsidRPr="00A8614F">
        <w:t>b show that a higher adsorption pressure provides greater purity, justified by the adsorption isotherms. The inverse process occurs in the desorption step using the Pressure Swing Adsorption technique. The productivity changes little with pressure variation, remaining around 5.23 L/h/kg of adsorbent for the simulation up to</w:t>
      </w:r>
      <w:r w:rsidR="00797F29">
        <w:t xml:space="preserve"> mass</w:t>
      </w:r>
      <w:r w:rsidR="00A8614F" w:rsidRPr="00A8614F">
        <w:t xml:space="preserve"> purity of 99.3% and 4.80 L/h/kg of adsorbent for the complete simulation. Breakthrough time increases with pressure, as the adsorption capacity of the bed is greater</w:t>
      </w:r>
      <w:r w:rsidR="00F879F8">
        <w:t>.</w:t>
      </w:r>
    </w:p>
    <w:p w14:paraId="4D86AEA6" w14:textId="1F7BD14B" w:rsidR="00F879F8" w:rsidRDefault="00F879F8" w:rsidP="00A1577F">
      <w:pPr>
        <w:tabs>
          <w:tab w:val="clear" w:pos="7100"/>
        </w:tabs>
        <w:spacing w:line="276" w:lineRule="auto"/>
      </w:pPr>
      <w:r>
        <w:t xml:space="preserve">The temperature (Figure </w:t>
      </w:r>
      <w:r w:rsidR="006D0933">
        <w:t>3</w:t>
      </w:r>
      <w:r>
        <w:t>c), contributes negatively to the purity because of the adsorption isotherms</w:t>
      </w:r>
      <w:r w:rsidR="008D7A9F">
        <w:t>. T</w:t>
      </w:r>
      <w:r>
        <w:t xml:space="preserve">he higher the temperature, the smaller the amount of adsorbed solute, as it happens in the desorption step by the Temperature Swing Adsorption technique. </w:t>
      </w:r>
      <w:r w:rsidR="008D7A9F">
        <w:t>Breakthrough time and p</w:t>
      </w:r>
      <w:r>
        <w:t xml:space="preserve">roductivity </w:t>
      </w:r>
      <w:r w:rsidR="008D7A9F">
        <w:t>are</w:t>
      </w:r>
      <w:r>
        <w:t xml:space="preserve"> little impacted, remaining 5.23 and 4.80 L/h/kg for the productivity of 99.3%</w:t>
      </w:r>
      <w:r w:rsidR="00797F29">
        <w:t xml:space="preserve"> mass</w:t>
      </w:r>
      <w:r>
        <w:t xml:space="preserve"> purity and for the final productivity, respectively.</w:t>
      </w:r>
    </w:p>
    <w:p w14:paraId="2A88394C" w14:textId="465CACD7" w:rsidR="002E2158" w:rsidRDefault="00C042D2" w:rsidP="00A1577F">
      <w:pPr>
        <w:tabs>
          <w:tab w:val="clear" w:pos="7100"/>
        </w:tabs>
        <w:spacing w:line="276" w:lineRule="auto"/>
      </w:pPr>
      <w:r>
        <w:t xml:space="preserve">The results in Figure </w:t>
      </w:r>
      <w:r w:rsidR="006D0933">
        <w:t>3</w:t>
      </w:r>
      <w:r>
        <w:t xml:space="preserve">d show that the higher the initial concentration of water, the lower the final purity, since there is a greater amount of solute for the same amount of adsorbent, which saturates faster, increasing the amount of solute in the final solution. Productivity decreases with increasing concentration, since it is directly proportional to </w:t>
      </w:r>
      <w:r w:rsidRPr="005E5B06">
        <w:t>the mole fraction of e</w:t>
      </w:r>
      <w:r>
        <w:t>thanol in the final solution, because high initial water concentration values ​​lead to a lower quality of ethanol, in addition to reducing the breakthrough time, since it favours the driving force of adsorption, saturating the bed more quickly.</w:t>
      </w:r>
    </w:p>
    <w:p w14:paraId="6C5F9895" w14:textId="1717599A" w:rsidR="00233963" w:rsidRPr="00A6778A" w:rsidRDefault="00233963" w:rsidP="00233963">
      <w:pPr>
        <w:tabs>
          <w:tab w:val="clear" w:pos="7100"/>
        </w:tabs>
        <w:spacing w:line="276" w:lineRule="auto"/>
      </w:pPr>
      <w:r>
        <w:t>As an important bed designer p</w:t>
      </w:r>
      <w:r w:rsidRPr="00B27435">
        <w:t>arameter</w:t>
      </w:r>
      <w:r>
        <w:t xml:space="preserve">, column diameter had </w:t>
      </w:r>
      <w:r w:rsidRPr="00B27435">
        <w:t>the</w:t>
      </w:r>
      <w:r>
        <w:t xml:space="preserve"> </w:t>
      </w:r>
      <w:r w:rsidRPr="00B27435">
        <w:t>greatest impact on performance indicators</w:t>
      </w:r>
      <w:r>
        <w:t xml:space="preserve"> (Figure 3e)</w:t>
      </w:r>
      <w:r w:rsidRPr="00B27435">
        <w:t>.</w:t>
      </w:r>
      <w:r>
        <w:t xml:space="preserve"> </w:t>
      </w:r>
      <w:r w:rsidRPr="00B27435">
        <w:t>Increasing the diameter favo</w:t>
      </w:r>
      <w:r>
        <w:t>u</w:t>
      </w:r>
      <w:r w:rsidRPr="00B27435">
        <w:t>rs purity, because a larger column</w:t>
      </w:r>
      <w:r>
        <w:t xml:space="preserve"> </w:t>
      </w:r>
      <w:r w:rsidRPr="00B27435">
        <w:t>has more adsorbents and</w:t>
      </w:r>
      <w:r>
        <w:t xml:space="preserve"> greater</w:t>
      </w:r>
      <w:r w:rsidR="00217BE8">
        <w:t xml:space="preserve"> </w:t>
      </w:r>
      <w:r w:rsidR="00217BE8" w:rsidRPr="00B27435">
        <w:t xml:space="preserve">adsorption capacity. In addition, the velocity inside the column decreases for the same flow rate, which </w:t>
      </w:r>
      <w:r w:rsidR="00217BE8" w:rsidRPr="00B27435">
        <w:lastRenderedPageBreak/>
        <w:t>increases the contact time of the solute with the adsorbent, favo</w:t>
      </w:r>
      <w:r w:rsidR="00217BE8">
        <w:t>u</w:t>
      </w:r>
      <w:r w:rsidR="00217BE8" w:rsidRPr="00B27435">
        <w:t>ring adsorpti</w:t>
      </w:r>
      <w:r w:rsidR="00217BE8" w:rsidRPr="005E5B06">
        <w:t>on. However, a bed with larger</w:t>
      </w:r>
      <w:r w:rsidR="006E62C8">
        <w:t xml:space="preserve"> dimensions,</w:t>
      </w:r>
    </w:p>
    <w:p w14:paraId="3ED9F5A4" w14:textId="110BDA1E" w:rsidR="00117CFA" w:rsidRPr="00BE722B" w:rsidRDefault="00DB5F86" w:rsidP="00A1577F">
      <w:pPr>
        <w:tabs>
          <w:tab w:val="clear" w:pos="7100"/>
        </w:tabs>
        <w:spacing w:line="276" w:lineRule="auto"/>
        <w:rPr>
          <w:lang w:val="en-US"/>
        </w:rPr>
      </w:pPr>
      <w:r w:rsidRPr="00622DD9">
        <w:rPr>
          <w:rStyle w:val="CETCaptionCarattere"/>
          <w:i w:val="0"/>
          <w:noProof/>
          <w:lang w:val="pt-BR" w:eastAsia="pt-BR"/>
        </w:rPr>
        <w:lastRenderedPageBreak/>
        <mc:AlternateContent>
          <mc:Choice Requires="wps">
            <w:drawing>
              <wp:anchor distT="45720" distB="45720" distL="114300" distR="114300" simplePos="0" relativeHeight="251669504" behindDoc="0" locked="0" layoutInCell="1" allowOverlap="1" wp14:anchorId="5ABBDDEF" wp14:editId="0C0F6524">
                <wp:simplePos x="0" y="0"/>
                <wp:positionH relativeFrom="column">
                  <wp:posOffset>-70485</wp:posOffset>
                </wp:positionH>
                <wp:positionV relativeFrom="paragraph">
                  <wp:posOffset>8235315</wp:posOffset>
                </wp:positionV>
                <wp:extent cx="3810000" cy="27495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74955"/>
                        </a:xfrm>
                        <a:prstGeom prst="rect">
                          <a:avLst/>
                        </a:prstGeom>
                        <a:solidFill>
                          <a:srgbClr val="FFFFFF"/>
                        </a:solidFill>
                        <a:ln w="9525">
                          <a:noFill/>
                          <a:miter lim="800000"/>
                          <a:headEnd/>
                          <a:tailEnd/>
                        </a:ln>
                      </wps:spPr>
                      <wps:txbx>
                        <w:txbxContent>
                          <w:p w14:paraId="643F13B4" w14:textId="3084A229" w:rsidR="00622DD9" w:rsidRPr="00622DD9" w:rsidRDefault="00622DD9" w:rsidP="002F74A9">
                            <w:pPr>
                              <w:pStyle w:val="CETCaption"/>
                              <w:spacing w:before="0" w:after="0"/>
                            </w:pPr>
                            <w:r w:rsidRPr="00BD077D">
                              <w:rPr>
                                <w:rStyle w:val="CETCaptionCarattere"/>
                                <w:i/>
                              </w:rPr>
                              <w:t xml:space="preserve">Figure </w:t>
                            </w:r>
                            <w:r w:rsidR="006D0933">
                              <w:rPr>
                                <w:rStyle w:val="CETCaptionCarattere"/>
                                <w:i/>
                              </w:rPr>
                              <w:t>3</w:t>
                            </w:r>
                            <w:r w:rsidRPr="00BD077D">
                              <w:rPr>
                                <w:rStyle w:val="CETCaptionCarattere"/>
                                <w:i/>
                              </w:rPr>
                              <w:t>: S</w:t>
                            </w:r>
                            <w:r w:rsidR="002F74A9" w:rsidRPr="002F74A9">
                              <w:rPr>
                                <w:rStyle w:val="CETCaptionCarattere"/>
                                <w:i/>
                              </w:rPr>
                              <w:t>ensitivity analysis of variables in performance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BBDDEF" id="_x0000_t202" coordsize="21600,21600" o:spt="202" path="m,l,21600r21600,l21600,xe">
                <v:stroke joinstyle="miter"/>
                <v:path gradientshapeok="t" o:connecttype="rect"/>
              </v:shapetype>
              <v:shape id="Caixa de Texto 2" o:spid="_x0000_s1026" type="#_x0000_t202" style="position:absolute;left:0;text-align:left;margin-left:-5.55pt;margin-top:648.45pt;width:300pt;height:21.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" stroked="f">
                <v:textbox>
                  <w:txbxContent>
                    <w:p w14:paraId="643F13B4" w14:textId="3084A229" w:rsidR="00622DD9" w:rsidRPr="00622DD9" w:rsidRDefault="00622DD9" w:rsidP="002F74A9">
                      <w:pPr>
                        <w:pStyle w:val="CETCaption"/>
                        <w:spacing w:before="0" w:after="0"/>
                      </w:pPr>
                      <w:r w:rsidRPr="00BD077D">
                        <w:rPr>
                          <w:rStyle w:val="CETCaptionCarattere"/>
                          <w:i/>
                        </w:rPr>
                        <w:t xml:space="preserve">Figure </w:t>
                      </w:r>
                      <w:r w:rsidR="006D0933">
                        <w:rPr>
                          <w:rStyle w:val="CETCaptionCarattere"/>
                          <w:i/>
                        </w:rPr>
                        <w:t>3</w:t>
                      </w:r>
                      <w:r w:rsidRPr="00BD077D">
                        <w:rPr>
                          <w:rStyle w:val="CETCaptionCarattere"/>
                          <w:i/>
                        </w:rPr>
                        <w:t>: S</w:t>
                      </w:r>
                      <w:r w:rsidR="002F74A9" w:rsidRPr="002F74A9">
                        <w:rPr>
                          <w:rStyle w:val="CETCaptionCarattere"/>
                          <w:i/>
                        </w:rPr>
                        <w:t>ensitivity analysis of variables in performance indicators</w:t>
                      </w:r>
                    </w:p>
                  </w:txbxContent>
                </v:textbox>
                <w10:wrap type="square"/>
              </v:shape>
            </w:pict>
          </mc:Fallback>
        </mc:AlternateContent>
      </w:r>
      <w:r w:rsidRPr="002E2158">
        <w:rPr>
          <w:noProof/>
          <w:lang w:val="pt-BR" w:eastAsia="pt-BR"/>
        </w:rPr>
        <w:drawing>
          <wp:anchor distT="0" distB="0" distL="114300" distR="114300" simplePos="0" relativeHeight="251696128" behindDoc="0" locked="0" layoutInCell="1" allowOverlap="1" wp14:anchorId="2F315014" wp14:editId="0B3624DE">
            <wp:simplePos x="0" y="0"/>
            <wp:positionH relativeFrom="column">
              <wp:posOffset>5715</wp:posOffset>
            </wp:positionH>
            <wp:positionV relativeFrom="paragraph">
              <wp:posOffset>4196715</wp:posOffset>
            </wp:positionV>
            <wp:extent cx="5514975" cy="3916680"/>
            <wp:effectExtent l="0" t="0" r="9525" b="762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4975" cy="3916680"/>
                    </a:xfrm>
                    <a:prstGeom prst="rect">
                      <a:avLst/>
                    </a:prstGeom>
                  </pic:spPr>
                </pic:pic>
              </a:graphicData>
            </a:graphic>
            <wp14:sizeRelH relativeFrom="margin">
              <wp14:pctWidth>0</wp14:pctWidth>
            </wp14:sizeRelH>
            <wp14:sizeRelV relativeFrom="margin">
              <wp14:pctHeight>0</wp14:pctHeight>
            </wp14:sizeRelV>
          </wp:anchor>
        </w:drawing>
      </w:r>
      <w:r w:rsidRPr="00C042D2">
        <w:rPr>
          <w:noProof/>
          <w:lang w:val="pt-BR" w:eastAsia="pt-BR"/>
        </w:rPr>
        <w:drawing>
          <wp:anchor distT="0" distB="0" distL="114300" distR="114300" simplePos="0" relativeHeight="251695104" behindDoc="0" locked="0" layoutInCell="1" allowOverlap="1" wp14:anchorId="0F25F4A6" wp14:editId="0EBB5FF5">
            <wp:simplePos x="0" y="0"/>
            <wp:positionH relativeFrom="column">
              <wp:posOffset>24765</wp:posOffset>
            </wp:positionH>
            <wp:positionV relativeFrom="paragraph">
              <wp:posOffset>0</wp:posOffset>
            </wp:positionV>
            <wp:extent cx="5495925" cy="4145280"/>
            <wp:effectExtent l="0" t="0" r="9525" b="7620"/>
            <wp:wrapTopAndBottom/>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5925" cy="4145280"/>
                    </a:xfrm>
                    <a:prstGeom prst="rect">
                      <a:avLst/>
                    </a:prstGeom>
                  </pic:spPr>
                </pic:pic>
              </a:graphicData>
            </a:graphic>
            <wp14:sizeRelH relativeFrom="margin">
              <wp14:pctWidth>0</wp14:pctWidth>
            </wp14:sizeRelH>
          </wp:anchor>
        </w:drawing>
      </w:r>
    </w:p>
    <w:p w14:paraId="1330B8B2" w14:textId="162B3619" w:rsidR="00117CFA" w:rsidRPr="00BE722B" w:rsidRDefault="00117CFA" w:rsidP="004B2D39">
      <w:pPr>
        <w:tabs>
          <w:tab w:val="clear" w:pos="7100"/>
        </w:tabs>
        <w:spacing w:line="276" w:lineRule="auto"/>
        <w:jc w:val="left"/>
        <w:rPr>
          <w:sz w:val="12"/>
          <w:szCs w:val="14"/>
          <w:lang w:val="en-US"/>
        </w:rPr>
      </w:pPr>
      <w:r w:rsidRPr="00BE722B">
        <w:rPr>
          <w:lang w:val="en-US"/>
        </w:rPr>
        <w:br w:type="page"/>
      </w:r>
    </w:p>
    <w:p w14:paraId="454741E1" w14:textId="70687345" w:rsidR="00AA0612" w:rsidRPr="00927786" w:rsidRDefault="00927786" w:rsidP="00CE7FF8">
      <w:pPr>
        <w:pStyle w:val="CETBodytext"/>
      </w:pPr>
      <w:r w:rsidRPr="005E5B06">
        <w:rPr>
          <w:lang w:val="en-GB"/>
        </w:rPr>
        <w:lastRenderedPageBreak/>
        <w:t xml:space="preserve">greater is the amount of adsorbent for the same feed flow rate, which </w:t>
      </w:r>
      <w:r w:rsidRPr="00B27435">
        <w:rPr>
          <w:lang w:val="en-GB"/>
        </w:rPr>
        <w:t>decreases the productivity. The bed saturation time increases due to the higher adsorption capacity.</w:t>
      </w:r>
    </w:p>
    <w:p w14:paraId="66EB62D0" w14:textId="1CF340E8" w:rsidR="0032040D" w:rsidRDefault="0032040D" w:rsidP="00CE7FF8">
      <w:pPr>
        <w:pStyle w:val="CETBodytext"/>
        <w:rPr>
          <w:lang w:val="en-GB"/>
        </w:rPr>
      </w:pPr>
      <w:r w:rsidRPr="0032040D">
        <w:rPr>
          <w:lang w:val="en-GB"/>
        </w:rPr>
        <w:t xml:space="preserve">Bed height has similar effects on performance indicators to bed diameter (Figure </w:t>
      </w:r>
      <w:r w:rsidR="006D0933">
        <w:rPr>
          <w:lang w:val="en-GB"/>
        </w:rPr>
        <w:t>3</w:t>
      </w:r>
      <w:r w:rsidRPr="0032040D">
        <w:rPr>
          <w:lang w:val="en-GB"/>
        </w:rPr>
        <w:t xml:space="preserve">f). A higher bed height produces higher purity ethanol due to the higher amount of adsorbent and adsorption capacity. Productivity is disadvantaged because of the increase in adsorbent volume for the same flow rate. The </w:t>
      </w:r>
      <w:r>
        <w:rPr>
          <w:lang w:val="en-GB"/>
        </w:rPr>
        <w:t>breakthrough</w:t>
      </w:r>
      <w:r w:rsidRPr="0032040D">
        <w:rPr>
          <w:lang w:val="en-GB"/>
        </w:rPr>
        <w:t xml:space="preserve"> time increases the larger the bed.</w:t>
      </w:r>
    </w:p>
    <w:p w14:paraId="5AB015D3" w14:textId="1B5D3BF9" w:rsidR="00F36A30" w:rsidRDefault="00F36A30" w:rsidP="00F36A30">
      <w:pPr>
        <w:pStyle w:val="CETBodytext"/>
        <w:rPr>
          <w:lang w:val="en-GB"/>
        </w:rPr>
      </w:pPr>
      <w:r>
        <w:rPr>
          <w:lang w:val="en-GB"/>
        </w:rPr>
        <w:t>T</w:t>
      </w:r>
      <w:r w:rsidRPr="00F36A30">
        <w:rPr>
          <w:lang w:val="en-GB"/>
        </w:rPr>
        <w:t>he increase in porosity favo</w:t>
      </w:r>
      <w:r>
        <w:rPr>
          <w:lang w:val="en-GB"/>
        </w:rPr>
        <w:t>u</w:t>
      </w:r>
      <w:r w:rsidRPr="00F36A30">
        <w:rPr>
          <w:lang w:val="en-GB"/>
        </w:rPr>
        <w:t>rs purity</w:t>
      </w:r>
      <w:r>
        <w:rPr>
          <w:lang w:val="en-GB"/>
        </w:rPr>
        <w:t xml:space="preserve"> (Figure </w:t>
      </w:r>
      <w:r w:rsidR="006D0933">
        <w:rPr>
          <w:lang w:val="en-GB"/>
        </w:rPr>
        <w:t>3</w:t>
      </w:r>
      <w:r>
        <w:rPr>
          <w:lang w:val="en-GB"/>
        </w:rPr>
        <w:t>g)</w:t>
      </w:r>
      <w:r w:rsidRPr="00F36A30">
        <w:rPr>
          <w:lang w:val="en-GB"/>
        </w:rPr>
        <w:t xml:space="preserve">, since there is greater contact with the adsorbent and has a slight influence on productivity. The </w:t>
      </w:r>
      <w:r>
        <w:rPr>
          <w:lang w:val="en-GB"/>
        </w:rPr>
        <w:t>breakthrough</w:t>
      </w:r>
      <w:r w:rsidRPr="00F36A30">
        <w:rPr>
          <w:lang w:val="en-GB"/>
        </w:rPr>
        <w:t xml:space="preserve"> time increases little with the increase in porosity, since better contact with the adsorbent favo</w:t>
      </w:r>
      <w:r>
        <w:rPr>
          <w:lang w:val="en-GB"/>
        </w:rPr>
        <w:t>u</w:t>
      </w:r>
      <w:r w:rsidRPr="00F36A30">
        <w:rPr>
          <w:lang w:val="en-GB"/>
        </w:rPr>
        <w:t>rs the adsorption process,</w:t>
      </w:r>
      <w:r>
        <w:rPr>
          <w:lang w:val="en-GB"/>
        </w:rPr>
        <w:t xml:space="preserve"> </w:t>
      </w:r>
      <w:r w:rsidRPr="00F36A30">
        <w:rPr>
          <w:lang w:val="en-GB"/>
        </w:rPr>
        <w:t>taking longer for the bed to saturate.</w:t>
      </w:r>
    </w:p>
    <w:p w14:paraId="01EFCC95" w14:textId="5F890EFD" w:rsidR="000E6C7E" w:rsidRPr="00184569" w:rsidRDefault="000E6C7E" w:rsidP="000E6C7E">
      <w:pPr>
        <w:pStyle w:val="CETBodytext"/>
        <w:rPr>
          <w:lang w:val="en-GB"/>
        </w:rPr>
      </w:pPr>
      <w:r w:rsidRPr="000E6C7E">
        <w:rPr>
          <w:lang w:val="en-GB"/>
        </w:rPr>
        <w:t>The effects of mass transfer coefficient (MTC) on performance indicators</w:t>
      </w:r>
      <w:r>
        <w:rPr>
          <w:lang w:val="en-GB"/>
        </w:rPr>
        <w:t xml:space="preserve"> </w:t>
      </w:r>
      <w:r w:rsidRPr="000E6C7E">
        <w:rPr>
          <w:lang w:val="en-GB"/>
        </w:rPr>
        <w:t xml:space="preserve">are found in Figure </w:t>
      </w:r>
      <w:r w:rsidR="006D0933">
        <w:rPr>
          <w:lang w:val="en-GB"/>
        </w:rPr>
        <w:t>3</w:t>
      </w:r>
      <w:r w:rsidRPr="000E6C7E">
        <w:rPr>
          <w:lang w:val="en-GB"/>
        </w:rPr>
        <w:t xml:space="preserve">h, where a slight increase in purity is observed with the </w:t>
      </w:r>
      <w:r w:rsidRPr="005E5B06">
        <w:rPr>
          <w:lang w:val="en-GB"/>
        </w:rPr>
        <w:t>increase in MTC,</w:t>
      </w:r>
      <w:r w:rsidRPr="000E6C7E">
        <w:rPr>
          <w:lang w:val="en-GB"/>
        </w:rPr>
        <w:t xml:space="preserve"> since it provides an adsorption process</w:t>
      </w:r>
      <w:r>
        <w:rPr>
          <w:lang w:val="en-GB"/>
        </w:rPr>
        <w:t xml:space="preserve"> </w:t>
      </w:r>
      <w:r w:rsidRPr="000E6C7E">
        <w:rPr>
          <w:lang w:val="en-GB"/>
        </w:rPr>
        <w:t xml:space="preserve">more effective. Regarding productivity, it is observed that this variable is subtly </w:t>
      </w:r>
      <w:r w:rsidRPr="005E5B06">
        <w:rPr>
          <w:lang w:val="en-GB"/>
        </w:rPr>
        <w:t xml:space="preserve">impacted </w:t>
      </w:r>
      <w:r w:rsidR="00663155" w:rsidRPr="005E5B06">
        <w:rPr>
          <w:lang w:val="en-GB"/>
        </w:rPr>
        <w:t xml:space="preserve">in a </w:t>
      </w:r>
      <w:r w:rsidRPr="005E5B06">
        <w:rPr>
          <w:lang w:val="en-GB"/>
        </w:rPr>
        <w:t>positive way</w:t>
      </w:r>
      <w:r w:rsidRPr="000E6C7E">
        <w:rPr>
          <w:lang w:val="en-GB"/>
        </w:rPr>
        <w:t xml:space="preserve">. With </w:t>
      </w:r>
      <w:r w:rsidRPr="00184569">
        <w:rPr>
          <w:lang w:val="en-GB"/>
        </w:rPr>
        <w:t>increasing MTC, the adsorption process is more efficient, increasing the time required for the bed to saturate.</w:t>
      </w:r>
    </w:p>
    <w:p w14:paraId="59B16438" w14:textId="186D4592" w:rsidR="003279A6" w:rsidRPr="00FF40A3" w:rsidRDefault="00FF40A3" w:rsidP="000E6C7E">
      <w:pPr>
        <w:pStyle w:val="CETBodytext"/>
      </w:pPr>
      <w:r w:rsidRPr="00184569">
        <w:t xml:space="preserve">For the simulation to obtain good results, as it is a batch process, it is necessary to be aware of the simulation operating time and the breakthrough time, since operating in times greater than the breakthrough point will result in ethanol with lower purity and quality. </w:t>
      </w:r>
      <w:r w:rsidR="0066125F">
        <w:t>The isotherm parameters adopted also</w:t>
      </w:r>
      <w:r w:rsidRPr="00184569">
        <w:t xml:space="preserve"> impact the final results, as they contribute to the interaction of molecules with the adsorbent bed and with the profiles in the column. Other values ​​found in </w:t>
      </w:r>
      <w:r w:rsidR="000A64EC" w:rsidRPr="00184569">
        <w:t xml:space="preserve">the open </w:t>
      </w:r>
      <w:r w:rsidRPr="00184569">
        <w:t xml:space="preserve">literature </w:t>
      </w:r>
      <w:r w:rsidR="000A64EC" w:rsidRPr="00184569">
        <w:t>must</w:t>
      </w:r>
      <w:r w:rsidRPr="00184569">
        <w:t xml:space="preserve"> be evaluated </w:t>
      </w:r>
      <w:r w:rsidR="000A64EC" w:rsidRPr="00184569">
        <w:t xml:space="preserve">to verify the process performance and this should be carried out in the simulation environment. This is barely found in the literature and this information </w:t>
      </w:r>
      <w:r w:rsidR="0017254D" w:rsidRPr="00184569">
        <w:t xml:space="preserve">is </w:t>
      </w:r>
      <w:r w:rsidR="000A64EC" w:rsidRPr="00184569">
        <w:t xml:space="preserve">important because industrial data </w:t>
      </w:r>
      <w:r w:rsidR="0017254D" w:rsidRPr="00184569">
        <w:t xml:space="preserve">(design details and operating values) are usually </w:t>
      </w:r>
      <w:r w:rsidR="000A64EC" w:rsidRPr="00184569">
        <w:t>not available.</w:t>
      </w:r>
      <w:r w:rsidR="000A64EC">
        <w:t xml:space="preserve"> </w:t>
      </w:r>
    </w:p>
    <w:p w14:paraId="68D26B83" w14:textId="77777777" w:rsidR="00600535" w:rsidRPr="00B57B36" w:rsidRDefault="00600535" w:rsidP="00600535">
      <w:pPr>
        <w:pStyle w:val="CETHeading1"/>
        <w:rPr>
          <w:lang w:val="en-GB"/>
        </w:rPr>
      </w:pPr>
      <w:r w:rsidRPr="00B57B36">
        <w:rPr>
          <w:lang w:val="en-GB"/>
        </w:rPr>
        <w:t>Conclusions</w:t>
      </w:r>
    </w:p>
    <w:p w14:paraId="52DAFDE0" w14:textId="58CE30F8" w:rsidR="001D0CFB" w:rsidRDefault="002B0EF0" w:rsidP="002B0EF0">
      <w:pPr>
        <w:pStyle w:val="CETBodytext"/>
        <w:rPr>
          <w:lang w:val="en-GB"/>
        </w:rPr>
      </w:pPr>
      <w:r>
        <w:rPr>
          <w:lang w:val="en-GB"/>
        </w:rPr>
        <w:t>T</w:t>
      </w:r>
      <w:r w:rsidRPr="002B0EF0">
        <w:rPr>
          <w:lang w:val="en-GB"/>
        </w:rPr>
        <w:t>he simulations were able to purify ethanol to be used as an additive to gasoline, according to the regulations of the countries, proving the efficiency of the adsorption process in molecular sieves. The effects of the different system variables were evaluated through sensitivity analysis, in which it was possible to verify that the variables with the grea</w:t>
      </w:r>
      <w:r w:rsidRPr="005E5B06">
        <w:rPr>
          <w:lang w:val="en-GB"/>
        </w:rPr>
        <w:t>test impact on the results and performance indicators are the column diameter and the feed flow</w:t>
      </w:r>
      <w:r w:rsidR="00663155" w:rsidRPr="005E5B06">
        <w:rPr>
          <w:lang w:val="en-GB"/>
        </w:rPr>
        <w:t xml:space="preserve"> rate</w:t>
      </w:r>
      <w:r w:rsidRPr="005E5B06">
        <w:rPr>
          <w:lang w:val="en-GB"/>
        </w:rPr>
        <w:t xml:space="preserve">, while the </w:t>
      </w:r>
      <w:r w:rsidRPr="002B0EF0">
        <w:rPr>
          <w:lang w:val="en-GB"/>
        </w:rPr>
        <w:t>ones with the lowest impact are the temperature and the mass transfer coefficient.</w:t>
      </w:r>
    </w:p>
    <w:p w14:paraId="459D05E6" w14:textId="77777777" w:rsidR="00600535" w:rsidRDefault="00600535" w:rsidP="00600535">
      <w:pPr>
        <w:pStyle w:val="CETAcknowledgementstitle"/>
      </w:pPr>
      <w:r w:rsidRPr="00B57B36">
        <w:t>Acknowledgments</w:t>
      </w:r>
    </w:p>
    <w:p w14:paraId="3363406A" w14:textId="0038DA75" w:rsidR="005D3B78" w:rsidRPr="00184569" w:rsidRDefault="007B02BB" w:rsidP="005D3B78">
      <w:pPr>
        <w:pStyle w:val="CETBodytext"/>
      </w:pPr>
      <w:r w:rsidRPr="00BC1A66">
        <w:t>The authors would like to grant #</w:t>
      </w:r>
      <w:r>
        <w:t xml:space="preserve">2015/20630-4 São Paulo Research Foundation (FAPESP); to </w:t>
      </w:r>
      <w:r w:rsidRPr="008B3FB5">
        <w:t xml:space="preserve">grant #  313952/2020-5 </w:t>
      </w:r>
      <w:proofErr w:type="spellStart"/>
      <w:r w:rsidRPr="008B3FB5">
        <w:t>CNPq</w:t>
      </w:r>
      <w:proofErr w:type="spellEnd"/>
      <w:r>
        <w:t xml:space="preserve"> and to PIBIC/</w:t>
      </w:r>
      <w:proofErr w:type="spellStart"/>
      <w:r>
        <w:t>CNPq</w:t>
      </w:r>
      <w:proofErr w:type="spellEnd"/>
      <w:r w:rsidRPr="008B3FB5">
        <w:t>.</w:t>
      </w:r>
    </w:p>
    <w:p w14:paraId="428B022A" w14:textId="4B618421" w:rsidR="00E65B91" w:rsidRPr="008B143F" w:rsidRDefault="00600535" w:rsidP="00495C43">
      <w:pPr>
        <w:pStyle w:val="CETReference"/>
        <w:rPr>
          <w:lang w:val="en-US"/>
        </w:rPr>
      </w:pPr>
      <w:bookmarkStart w:id="3" w:name="_Hlk127127265"/>
      <w:r w:rsidRPr="008B143F">
        <w:rPr>
          <w:lang w:val="en-US"/>
        </w:rPr>
        <w:t>References</w:t>
      </w:r>
    </w:p>
    <w:p w14:paraId="5722E539" w14:textId="5CAC3E6B" w:rsidR="00495C43" w:rsidRPr="00B10259" w:rsidRDefault="00495C43" w:rsidP="00495C43">
      <w:pPr>
        <w:pStyle w:val="CETReferencetext"/>
        <w:rPr>
          <w:lang w:val="en-US"/>
        </w:rPr>
      </w:pPr>
      <w:proofErr w:type="spellStart"/>
      <w:r w:rsidRPr="00B10259">
        <w:rPr>
          <w:lang w:val="en-US"/>
        </w:rPr>
        <w:t>A</w:t>
      </w:r>
      <w:r w:rsidR="005D4BAD">
        <w:rPr>
          <w:lang w:val="en-US"/>
        </w:rPr>
        <w:t>bdala</w:t>
      </w:r>
      <w:proofErr w:type="spellEnd"/>
      <w:r w:rsidRPr="00B10259">
        <w:rPr>
          <w:lang w:val="en-US"/>
        </w:rPr>
        <w:t>, T</w:t>
      </w:r>
      <w:r w:rsidR="00414A18" w:rsidRPr="00B10259">
        <w:rPr>
          <w:lang w:val="en-US"/>
        </w:rPr>
        <w:t>.</w:t>
      </w:r>
      <w:r w:rsidRPr="00B10259">
        <w:rPr>
          <w:lang w:val="en-US"/>
        </w:rPr>
        <w:t xml:space="preserve"> O</w:t>
      </w:r>
      <w:r w:rsidR="00414A18" w:rsidRPr="00B10259">
        <w:rPr>
          <w:lang w:val="en-US"/>
        </w:rPr>
        <w:t>., 2017,</w:t>
      </w:r>
      <w:r w:rsidRPr="00B10259">
        <w:rPr>
          <w:lang w:val="en-US"/>
        </w:rPr>
        <w:t xml:space="preserve"> </w:t>
      </w:r>
      <w:r w:rsidR="007F0B25" w:rsidRPr="00B10259">
        <w:rPr>
          <w:lang w:val="en-US"/>
        </w:rPr>
        <w:t xml:space="preserve">Comparative analysis of anhydrous ethanol production processes (in </w:t>
      </w:r>
      <w:r w:rsidR="005D4BAD" w:rsidRPr="00B10259">
        <w:rPr>
          <w:lang w:val="en-US"/>
        </w:rPr>
        <w:t>Portuguese</w:t>
      </w:r>
      <w:r w:rsidR="007F0B25" w:rsidRPr="00B10259">
        <w:rPr>
          <w:lang w:val="en-US"/>
        </w:rPr>
        <w:t>)</w:t>
      </w:r>
      <w:r w:rsidR="005D4BAD">
        <w:rPr>
          <w:lang w:val="en-US"/>
        </w:rPr>
        <w:t>,</w:t>
      </w:r>
      <w:r w:rsidR="007F0B25" w:rsidRPr="00B10259">
        <w:rPr>
          <w:lang w:val="en-US"/>
        </w:rPr>
        <w:t xml:space="preserve"> Federal University of </w:t>
      </w:r>
      <w:proofErr w:type="spellStart"/>
      <w:r w:rsidR="007F0B25" w:rsidRPr="00B10259">
        <w:rPr>
          <w:lang w:val="en-US"/>
        </w:rPr>
        <w:t>Uberlândia</w:t>
      </w:r>
      <w:proofErr w:type="spellEnd"/>
      <w:r w:rsidR="007F0B25" w:rsidRPr="00B10259">
        <w:rPr>
          <w:lang w:val="en-US"/>
        </w:rPr>
        <w:t>, Brazil.</w:t>
      </w:r>
    </w:p>
    <w:p w14:paraId="1C13D282" w14:textId="5B751BBA" w:rsidR="00495C43" w:rsidRPr="005D4BAD" w:rsidRDefault="00495C43" w:rsidP="00495C43">
      <w:pPr>
        <w:pStyle w:val="CETReferencetext"/>
        <w:rPr>
          <w:lang w:val="en-US"/>
        </w:rPr>
      </w:pPr>
      <w:r w:rsidRPr="005D4BAD">
        <w:rPr>
          <w:lang w:val="en-US"/>
        </w:rPr>
        <w:t>B</w:t>
      </w:r>
      <w:r w:rsidR="005D4BAD">
        <w:rPr>
          <w:lang w:val="en-US"/>
        </w:rPr>
        <w:t>raga</w:t>
      </w:r>
      <w:r w:rsidRPr="005D4BAD">
        <w:rPr>
          <w:lang w:val="en-US"/>
        </w:rPr>
        <w:t>, V</w:t>
      </w:r>
      <w:r w:rsidR="004C4241" w:rsidRPr="005D4BAD">
        <w:rPr>
          <w:lang w:val="en-US"/>
        </w:rPr>
        <w:t>.</w:t>
      </w:r>
      <w:r w:rsidRPr="005D4BAD">
        <w:rPr>
          <w:lang w:val="en-US"/>
        </w:rPr>
        <w:t xml:space="preserve"> G</w:t>
      </w:r>
      <w:r w:rsidR="004C4241" w:rsidRPr="005D4BAD">
        <w:rPr>
          <w:lang w:val="en-US"/>
        </w:rPr>
        <w:t>.</w:t>
      </w:r>
      <w:r w:rsidRPr="005D4BAD">
        <w:rPr>
          <w:lang w:val="en-US"/>
        </w:rPr>
        <w:t xml:space="preserve"> P</w:t>
      </w:r>
      <w:r w:rsidR="004C4241" w:rsidRPr="005D4BAD">
        <w:rPr>
          <w:lang w:val="en-US"/>
        </w:rPr>
        <w:t>., 2016,</w:t>
      </w:r>
      <w:r w:rsidRPr="005D4BAD">
        <w:rPr>
          <w:lang w:val="en-US"/>
        </w:rPr>
        <w:t xml:space="preserve"> </w:t>
      </w:r>
      <w:r w:rsidR="005D4BAD" w:rsidRPr="005D4BAD">
        <w:rPr>
          <w:lang w:val="en-US"/>
        </w:rPr>
        <w:t>Production of molecular sieves (zeolites) as an alternative for ethanol dehydration</w:t>
      </w:r>
      <w:r w:rsidR="005D4BAD">
        <w:rPr>
          <w:lang w:val="en-US"/>
        </w:rPr>
        <w:t xml:space="preserve"> (in Portuguese),</w:t>
      </w:r>
      <w:r w:rsidR="004C4241" w:rsidRPr="005D4BAD">
        <w:rPr>
          <w:lang w:val="en-US"/>
        </w:rPr>
        <w:t xml:space="preserve"> </w:t>
      </w:r>
      <w:proofErr w:type="spellStart"/>
      <w:r w:rsidR="004C4241" w:rsidRPr="005D4BAD">
        <w:rPr>
          <w:lang w:val="en-US"/>
        </w:rPr>
        <w:t>Revista</w:t>
      </w:r>
      <w:proofErr w:type="spellEnd"/>
      <w:r w:rsidR="004C4241" w:rsidRPr="005D4BAD">
        <w:rPr>
          <w:lang w:val="en-US"/>
        </w:rPr>
        <w:t xml:space="preserve"> </w:t>
      </w:r>
      <w:proofErr w:type="spellStart"/>
      <w:r w:rsidR="004C4241" w:rsidRPr="005D4BAD">
        <w:rPr>
          <w:lang w:val="en-US"/>
        </w:rPr>
        <w:t>Científica</w:t>
      </w:r>
      <w:proofErr w:type="spellEnd"/>
      <w:r w:rsidR="004C4241" w:rsidRPr="005D4BAD">
        <w:rPr>
          <w:lang w:val="en-US"/>
        </w:rPr>
        <w:t xml:space="preserve"> </w:t>
      </w:r>
      <w:proofErr w:type="spellStart"/>
      <w:r w:rsidR="004C4241" w:rsidRPr="005D4BAD">
        <w:rPr>
          <w:lang w:val="en-US"/>
        </w:rPr>
        <w:t>Semana</w:t>
      </w:r>
      <w:proofErr w:type="spellEnd"/>
      <w:r w:rsidR="004C4241" w:rsidRPr="005D4BAD">
        <w:rPr>
          <w:lang w:val="en-US"/>
        </w:rPr>
        <w:t xml:space="preserve"> </w:t>
      </w:r>
      <w:proofErr w:type="spellStart"/>
      <w:r w:rsidR="004C4241" w:rsidRPr="005D4BAD">
        <w:rPr>
          <w:lang w:val="en-US"/>
        </w:rPr>
        <w:t>Acadêmica</w:t>
      </w:r>
      <w:proofErr w:type="spellEnd"/>
      <w:r w:rsidR="004C4241" w:rsidRPr="005D4BAD">
        <w:rPr>
          <w:lang w:val="en-US"/>
        </w:rPr>
        <w:t xml:space="preserve">, </w:t>
      </w:r>
      <w:r w:rsidR="00776F91">
        <w:rPr>
          <w:lang w:val="en-US"/>
        </w:rPr>
        <w:t xml:space="preserve">Brazil, </w:t>
      </w:r>
      <w:r w:rsidR="004C4241" w:rsidRPr="005D4BAD">
        <w:rPr>
          <w:lang w:val="en-US"/>
        </w:rPr>
        <w:t>v. 1, n. 97.</w:t>
      </w:r>
    </w:p>
    <w:p w14:paraId="51484B1D" w14:textId="28B19835" w:rsidR="00495C43" w:rsidRPr="00776F91" w:rsidRDefault="00776F91" w:rsidP="00495C43">
      <w:pPr>
        <w:pStyle w:val="CETReferencetext"/>
        <w:rPr>
          <w:lang w:val="en-US"/>
        </w:rPr>
      </w:pPr>
      <w:proofErr w:type="spellStart"/>
      <w:r w:rsidRPr="00776F91">
        <w:rPr>
          <w:lang w:val="en-US"/>
        </w:rPr>
        <w:t>Interministerial</w:t>
      </w:r>
      <w:proofErr w:type="spellEnd"/>
      <w:r w:rsidRPr="00776F91">
        <w:rPr>
          <w:lang w:val="en-US"/>
        </w:rPr>
        <w:t xml:space="preserve"> Council for Sugar and Alcohol, 2015,</w:t>
      </w:r>
      <w:r w:rsidR="00495C43" w:rsidRPr="00776F91">
        <w:rPr>
          <w:lang w:val="en-US"/>
        </w:rPr>
        <w:t xml:space="preserve"> </w:t>
      </w:r>
      <w:r w:rsidRPr="00776F91">
        <w:rPr>
          <w:lang w:val="en-US"/>
        </w:rPr>
        <w:t xml:space="preserve">CIMA </w:t>
      </w:r>
      <w:r w:rsidR="00495C43" w:rsidRPr="00776F91">
        <w:rPr>
          <w:lang w:val="en-US"/>
        </w:rPr>
        <w:t>Resolu</w:t>
      </w:r>
      <w:r w:rsidRPr="00776F91">
        <w:rPr>
          <w:lang w:val="en-US"/>
        </w:rPr>
        <w:t>tion</w:t>
      </w:r>
      <w:r w:rsidR="00495C43" w:rsidRPr="00776F91">
        <w:rPr>
          <w:lang w:val="en-US"/>
        </w:rPr>
        <w:t xml:space="preserve"> Nº 1, de 0</w:t>
      </w:r>
      <w:r w:rsidRPr="00776F91">
        <w:rPr>
          <w:lang w:val="en-US"/>
        </w:rPr>
        <w:t>3</w:t>
      </w:r>
      <w:r w:rsidR="00495C43" w:rsidRPr="00776F91">
        <w:rPr>
          <w:lang w:val="en-US"/>
        </w:rPr>
        <w:t>.0</w:t>
      </w:r>
      <w:r w:rsidRPr="00776F91">
        <w:rPr>
          <w:lang w:val="en-US"/>
        </w:rPr>
        <w:t>4</w:t>
      </w:r>
      <w:r w:rsidR="00495C43" w:rsidRPr="00776F91">
        <w:rPr>
          <w:lang w:val="en-US"/>
        </w:rPr>
        <w:t>.2015</w:t>
      </w:r>
      <w:r w:rsidR="00611655">
        <w:rPr>
          <w:lang w:val="en-US"/>
        </w:rPr>
        <w:t>, Brazil,</w:t>
      </w:r>
      <w:r w:rsidR="00495C43" w:rsidRPr="00776F91">
        <w:rPr>
          <w:lang w:val="en-US"/>
        </w:rPr>
        <w:t xml:space="preserve"> &lt;www.jusbrasil.com.br/diarios/87237712/dou-secao-1-06-03-2015-pg-17&gt;</w:t>
      </w:r>
      <w:r w:rsidRPr="00776F91">
        <w:rPr>
          <w:lang w:val="en-US"/>
        </w:rPr>
        <w:t xml:space="preserve"> accessed 02.13.2023</w:t>
      </w:r>
      <w:r w:rsidR="00495C43" w:rsidRPr="00776F91">
        <w:rPr>
          <w:lang w:val="en-US"/>
        </w:rPr>
        <w:t>.</w:t>
      </w:r>
    </w:p>
    <w:p w14:paraId="668257A1" w14:textId="1A6F1AFC" w:rsidR="00495C43" w:rsidRPr="00CD7A15" w:rsidRDefault="00495C43" w:rsidP="00495C43">
      <w:pPr>
        <w:pStyle w:val="CETReferencetext"/>
        <w:rPr>
          <w:lang w:val="en-US"/>
        </w:rPr>
      </w:pPr>
      <w:r w:rsidRPr="00FA2CFF">
        <w:rPr>
          <w:lang w:val="en-US"/>
        </w:rPr>
        <w:t>F</w:t>
      </w:r>
      <w:r w:rsidR="00FA2CFF" w:rsidRPr="00FA2CFF">
        <w:rPr>
          <w:lang w:val="en-US"/>
        </w:rPr>
        <w:t>onseca</w:t>
      </w:r>
      <w:r w:rsidRPr="00FA2CFF">
        <w:rPr>
          <w:lang w:val="en-US"/>
        </w:rPr>
        <w:t>, N. A. A.</w:t>
      </w:r>
      <w:r w:rsidR="00FA2CFF" w:rsidRPr="00FA2CFF">
        <w:rPr>
          <w:lang w:val="en-US"/>
        </w:rPr>
        <w:t>, 2011,</w:t>
      </w:r>
      <w:r w:rsidRPr="00FA2CFF">
        <w:rPr>
          <w:lang w:val="en-US"/>
        </w:rPr>
        <w:t xml:space="preserve"> </w:t>
      </w:r>
      <w:r w:rsidR="00FA2CFF" w:rsidRPr="00FA2CFF">
        <w:rPr>
          <w:lang w:val="en-US"/>
        </w:rPr>
        <w:t xml:space="preserve">Simulation of the adsorption process </w:t>
      </w:r>
      <w:proofErr w:type="spellStart"/>
      <w:r w:rsidR="00FA2CFF" w:rsidRPr="00FA2CFF">
        <w:rPr>
          <w:lang w:val="en-US"/>
        </w:rPr>
        <w:t>psa</w:t>
      </w:r>
      <w:proofErr w:type="spellEnd"/>
      <w:r w:rsidR="00FA2CFF" w:rsidRPr="00FA2CFF">
        <w:rPr>
          <w:lang w:val="en-US"/>
        </w:rPr>
        <w:t xml:space="preserve"> for separation of ethanol-water mixtures (in </w:t>
      </w:r>
      <w:r w:rsidR="00FA2CFF">
        <w:rPr>
          <w:lang w:val="en-US"/>
        </w:rPr>
        <w:t>Portuguese) (</w:t>
      </w:r>
      <w:r w:rsidR="00CD7A15">
        <w:rPr>
          <w:lang w:val="en-US"/>
        </w:rPr>
        <w:t>Master’s thesis),</w:t>
      </w:r>
      <w:r w:rsidRPr="00CD7A15">
        <w:rPr>
          <w:lang w:val="en-US"/>
        </w:rPr>
        <w:t xml:space="preserve"> Universi</w:t>
      </w:r>
      <w:r w:rsidR="00CD7A15">
        <w:rPr>
          <w:lang w:val="en-US"/>
        </w:rPr>
        <w:t>ty of</w:t>
      </w:r>
      <w:r w:rsidRPr="00CD7A15">
        <w:rPr>
          <w:lang w:val="en-US"/>
        </w:rPr>
        <w:t xml:space="preserve"> Campinas, </w:t>
      </w:r>
      <w:r w:rsidR="00CD7A15">
        <w:rPr>
          <w:lang w:val="en-US"/>
        </w:rPr>
        <w:t>Brazil</w:t>
      </w:r>
      <w:r w:rsidRPr="00CD7A15">
        <w:rPr>
          <w:lang w:val="en-US"/>
        </w:rPr>
        <w:t>.</w:t>
      </w:r>
    </w:p>
    <w:p w14:paraId="1585DA0F" w14:textId="430ACF9E" w:rsidR="00495C43" w:rsidRDefault="00495C43" w:rsidP="00495C43">
      <w:pPr>
        <w:pStyle w:val="CETReferencetext"/>
      </w:pPr>
      <w:r w:rsidRPr="00CD7A15">
        <w:rPr>
          <w:lang w:val="en-US"/>
        </w:rPr>
        <w:t>F</w:t>
      </w:r>
      <w:r w:rsidR="00CD7A15" w:rsidRPr="00CD7A15">
        <w:rPr>
          <w:lang w:val="en-US"/>
        </w:rPr>
        <w:t>ontana</w:t>
      </w:r>
      <w:r w:rsidRPr="00CD7A15">
        <w:rPr>
          <w:lang w:val="en-US"/>
        </w:rPr>
        <w:t>, M</w:t>
      </w:r>
      <w:r w:rsidR="00CD7A15" w:rsidRPr="00CD7A15">
        <w:rPr>
          <w:lang w:val="en-US"/>
        </w:rPr>
        <w:t xml:space="preserve">., 2021, Comparative evaluation of processes for obtaining hydrated anhydrous bioethanol of the 1st and 2nd generations using the rate-based model </w:t>
      </w:r>
      <w:r w:rsidR="00CD7A15">
        <w:rPr>
          <w:lang w:val="en-US"/>
        </w:rPr>
        <w:t>(in Portuguese) (</w:t>
      </w:r>
      <w:r w:rsidR="00E155FA">
        <w:rPr>
          <w:lang w:val="en-US"/>
        </w:rPr>
        <w:t>Master’s thesis), University of Campinas, Brazil</w:t>
      </w:r>
      <w:r>
        <w:t>.</w:t>
      </w:r>
    </w:p>
    <w:p w14:paraId="3D7DAF85" w14:textId="71619053" w:rsidR="00495C43" w:rsidRDefault="00495C43" w:rsidP="00495C43">
      <w:pPr>
        <w:pStyle w:val="CETReferencetext"/>
      </w:pPr>
      <w:r>
        <w:t>H</w:t>
      </w:r>
      <w:r w:rsidR="00E155FA">
        <w:t>uang,</w:t>
      </w:r>
      <w:r>
        <w:t xml:space="preserve"> H</w:t>
      </w:r>
      <w:r w:rsidR="00E155FA">
        <w:t>.</w:t>
      </w:r>
      <w:r>
        <w:t>-J</w:t>
      </w:r>
      <w:r w:rsidR="00E155FA">
        <w:t xml:space="preserve">., </w:t>
      </w:r>
      <w:proofErr w:type="spellStart"/>
      <w:r w:rsidR="00E155FA">
        <w:t>Ramaswamy</w:t>
      </w:r>
      <w:proofErr w:type="spellEnd"/>
      <w:r w:rsidR="00E155FA">
        <w:t xml:space="preserve">, S., </w:t>
      </w:r>
      <w:proofErr w:type="spellStart"/>
      <w:r w:rsidR="00E155FA">
        <w:t>Tschirner</w:t>
      </w:r>
      <w:proofErr w:type="spellEnd"/>
      <w:r w:rsidR="00E155FA">
        <w:t xml:space="preserve">, U., </w:t>
      </w:r>
      <w:proofErr w:type="spellStart"/>
      <w:r w:rsidR="00E155FA">
        <w:t>Ramarao</w:t>
      </w:r>
      <w:proofErr w:type="spellEnd"/>
      <w:r w:rsidR="00E155FA">
        <w:t>, B., 2008,</w:t>
      </w:r>
      <w:r>
        <w:t xml:space="preserve"> A review of separation technologies in current and future </w:t>
      </w:r>
      <w:proofErr w:type="spellStart"/>
      <w:r>
        <w:t>biorefineries</w:t>
      </w:r>
      <w:proofErr w:type="spellEnd"/>
      <w:r w:rsidR="00E155FA">
        <w:t>,</w:t>
      </w:r>
      <w:r>
        <w:t xml:space="preserve"> Separation and purification technology,</w:t>
      </w:r>
      <w:r w:rsidR="00E155FA">
        <w:t xml:space="preserve"> Elsevier,</w:t>
      </w:r>
      <w:r>
        <w:t xml:space="preserve"> v. 62, n. 1, p. 1-21.</w:t>
      </w:r>
    </w:p>
    <w:p w14:paraId="77789498" w14:textId="718915CB" w:rsidR="00495C43" w:rsidRDefault="00495C43" w:rsidP="00495C43">
      <w:pPr>
        <w:pStyle w:val="CETReferencetext"/>
      </w:pPr>
      <w:r w:rsidRPr="002D0A09">
        <w:rPr>
          <w:lang w:val="en-US"/>
        </w:rPr>
        <w:t>M</w:t>
      </w:r>
      <w:r w:rsidR="00E155FA" w:rsidRPr="002D0A09">
        <w:rPr>
          <w:lang w:val="en-US"/>
        </w:rPr>
        <w:t>üller</w:t>
      </w:r>
      <w:r w:rsidRPr="002D0A09">
        <w:rPr>
          <w:lang w:val="en-US"/>
        </w:rPr>
        <w:t>, J</w:t>
      </w:r>
      <w:r w:rsidR="00E155FA" w:rsidRPr="002D0A09">
        <w:rPr>
          <w:lang w:val="en-US"/>
        </w:rPr>
        <w:t>.</w:t>
      </w:r>
      <w:r w:rsidRPr="002D0A09">
        <w:rPr>
          <w:lang w:val="en-US"/>
        </w:rPr>
        <w:t xml:space="preserve"> M</w:t>
      </w:r>
      <w:r w:rsidR="00E155FA" w:rsidRPr="002D0A09">
        <w:rPr>
          <w:lang w:val="en-US"/>
        </w:rPr>
        <w:t>., 2017,</w:t>
      </w:r>
      <w:r w:rsidRPr="002D0A09">
        <w:rPr>
          <w:lang w:val="en-US"/>
        </w:rPr>
        <w:t xml:space="preserve"> </w:t>
      </w:r>
      <w:r w:rsidR="00E155FA" w:rsidRPr="002D0A09">
        <w:rPr>
          <w:lang w:val="en-US"/>
        </w:rPr>
        <w:t xml:space="preserve">The influence of the </w:t>
      </w:r>
      <w:proofErr w:type="spellStart"/>
      <w:r w:rsidR="00E155FA" w:rsidRPr="002D0A09">
        <w:rPr>
          <w:lang w:val="en-US"/>
        </w:rPr>
        <w:t>desaluminization</w:t>
      </w:r>
      <w:proofErr w:type="spellEnd"/>
      <w:r w:rsidR="00E155FA" w:rsidRPr="002D0A09">
        <w:rPr>
          <w:lang w:val="en-US"/>
        </w:rPr>
        <w:t xml:space="preserve"> process on the structure, acidity and catalytic properties of zeolites</w:t>
      </w:r>
      <w:r w:rsidR="002D0A09" w:rsidRPr="002D0A09">
        <w:rPr>
          <w:lang w:val="en-US"/>
        </w:rPr>
        <w:t xml:space="preserve"> (in</w:t>
      </w:r>
      <w:r w:rsidR="002D0A09">
        <w:rPr>
          <w:lang w:val="en-US"/>
        </w:rPr>
        <w:t xml:space="preserve"> Portuguese) (Doctoral dissertation), University of Brasília, Brazil</w:t>
      </w:r>
      <w:r>
        <w:t>.</w:t>
      </w:r>
    </w:p>
    <w:p w14:paraId="7D2616BE" w14:textId="3C2194C7" w:rsidR="004C4241" w:rsidRPr="00776F91" w:rsidRDefault="004C4241" w:rsidP="004C4241">
      <w:pPr>
        <w:pStyle w:val="CETReferencetext"/>
        <w:rPr>
          <w:lang w:val="en-US"/>
        </w:rPr>
      </w:pPr>
      <w:r w:rsidRPr="00947815">
        <w:rPr>
          <w:lang w:val="en-US"/>
        </w:rPr>
        <w:t>N</w:t>
      </w:r>
      <w:r w:rsidR="00776F91">
        <w:rPr>
          <w:lang w:val="en-US"/>
        </w:rPr>
        <w:t>ational</w:t>
      </w:r>
      <w:r w:rsidRPr="00947815">
        <w:rPr>
          <w:lang w:val="en-US"/>
        </w:rPr>
        <w:t xml:space="preserve"> A</w:t>
      </w:r>
      <w:r w:rsidR="00776F91">
        <w:rPr>
          <w:lang w:val="en-US"/>
        </w:rPr>
        <w:t>gency</w:t>
      </w:r>
      <w:r w:rsidRPr="00947815">
        <w:rPr>
          <w:lang w:val="en-US"/>
        </w:rPr>
        <w:t xml:space="preserve"> </w:t>
      </w:r>
      <w:r w:rsidR="00776F91">
        <w:rPr>
          <w:lang w:val="en-US"/>
        </w:rPr>
        <w:t>of</w:t>
      </w:r>
      <w:r w:rsidRPr="00947815">
        <w:rPr>
          <w:lang w:val="en-US"/>
        </w:rPr>
        <w:t xml:space="preserve"> P</w:t>
      </w:r>
      <w:r w:rsidR="00776F91">
        <w:rPr>
          <w:lang w:val="en-US"/>
        </w:rPr>
        <w:t>etroleum</w:t>
      </w:r>
      <w:r w:rsidRPr="00947815">
        <w:rPr>
          <w:lang w:val="en-US"/>
        </w:rPr>
        <w:t>, N</w:t>
      </w:r>
      <w:r w:rsidR="00776F91">
        <w:rPr>
          <w:lang w:val="en-US"/>
        </w:rPr>
        <w:t>atural</w:t>
      </w:r>
      <w:r w:rsidRPr="00947815">
        <w:rPr>
          <w:lang w:val="en-US"/>
        </w:rPr>
        <w:t xml:space="preserve"> G</w:t>
      </w:r>
      <w:r w:rsidR="00776F91">
        <w:rPr>
          <w:lang w:val="en-US"/>
        </w:rPr>
        <w:t>as</w:t>
      </w:r>
      <w:r w:rsidRPr="00947815">
        <w:rPr>
          <w:lang w:val="en-US"/>
        </w:rPr>
        <w:t xml:space="preserve"> </w:t>
      </w:r>
      <w:r w:rsidR="00776F91">
        <w:rPr>
          <w:lang w:val="en-US"/>
        </w:rPr>
        <w:t>and</w:t>
      </w:r>
      <w:r w:rsidRPr="00947815">
        <w:rPr>
          <w:lang w:val="en-US"/>
        </w:rPr>
        <w:t xml:space="preserve"> B</w:t>
      </w:r>
      <w:r w:rsidR="00776F91">
        <w:rPr>
          <w:lang w:val="en-US"/>
        </w:rPr>
        <w:t>iofuels</w:t>
      </w:r>
      <w:r w:rsidRPr="00947815">
        <w:rPr>
          <w:lang w:val="en-US"/>
        </w:rPr>
        <w:t xml:space="preserve">, </w:t>
      </w:r>
      <w:r>
        <w:rPr>
          <w:lang w:val="en-US"/>
        </w:rPr>
        <w:t>2015</w:t>
      </w:r>
      <w:r w:rsidR="00776F91">
        <w:rPr>
          <w:lang w:val="en-US"/>
        </w:rPr>
        <w:t>,</w:t>
      </w:r>
      <w:r>
        <w:rPr>
          <w:lang w:val="en-US"/>
        </w:rPr>
        <w:t xml:space="preserve"> ANP </w:t>
      </w:r>
      <w:r w:rsidRPr="00947815">
        <w:rPr>
          <w:lang w:val="en-US"/>
        </w:rPr>
        <w:t>Resolu</w:t>
      </w:r>
      <w:r>
        <w:rPr>
          <w:lang w:val="en-US"/>
        </w:rPr>
        <w:t>tion</w:t>
      </w:r>
      <w:r w:rsidRPr="00947815">
        <w:rPr>
          <w:lang w:val="en-US"/>
        </w:rPr>
        <w:t xml:space="preserve"> Nº 19, </w:t>
      </w:r>
      <w:r>
        <w:rPr>
          <w:lang w:val="en-US"/>
        </w:rPr>
        <w:t>of</w:t>
      </w:r>
      <w:r w:rsidRPr="00947815">
        <w:rPr>
          <w:lang w:val="en-US"/>
        </w:rPr>
        <w:t xml:space="preserve"> </w:t>
      </w:r>
      <w:r>
        <w:rPr>
          <w:lang w:val="en-US"/>
        </w:rPr>
        <w:t>4.</w:t>
      </w:r>
      <w:r w:rsidRPr="00947815">
        <w:rPr>
          <w:lang w:val="en-US"/>
        </w:rPr>
        <w:t>15.2015</w:t>
      </w:r>
      <w:r w:rsidR="00776F91">
        <w:rPr>
          <w:lang w:val="en-US"/>
        </w:rPr>
        <w:t>, Brazil</w:t>
      </w:r>
      <w:r w:rsidRPr="00776F91">
        <w:rPr>
          <w:lang w:val="en-US"/>
        </w:rPr>
        <w:t>.</w:t>
      </w:r>
    </w:p>
    <w:p w14:paraId="069EF416" w14:textId="4CE3A0E0" w:rsidR="00495C43" w:rsidRDefault="00495C43" w:rsidP="00495C43">
      <w:pPr>
        <w:pStyle w:val="CETReferencetext"/>
      </w:pPr>
      <w:r>
        <w:t>R</w:t>
      </w:r>
      <w:r w:rsidR="002D0A09">
        <w:t>uthven</w:t>
      </w:r>
      <w:r>
        <w:t>, D</w:t>
      </w:r>
      <w:r w:rsidR="002D0A09">
        <w:t>.</w:t>
      </w:r>
      <w:r>
        <w:t xml:space="preserve"> M.</w:t>
      </w:r>
      <w:r w:rsidR="002D0A09">
        <w:t>,</w:t>
      </w:r>
      <w:r>
        <w:t xml:space="preserve"> </w:t>
      </w:r>
      <w:r w:rsidR="002D0A09">
        <w:t xml:space="preserve">1984, </w:t>
      </w:r>
      <w:r>
        <w:t>Principles of adsorption and adsorption processes</w:t>
      </w:r>
      <w:r w:rsidR="002D0A09">
        <w:t>,</w:t>
      </w:r>
      <w:r>
        <w:t xml:space="preserve"> John Wiley &amp; Sons.</w:t>
      </w:r>
    </w:p>
    <w:p w14:paraId="4DBE3AC0" w14:textId="074809C3" w:rsidR="00495C43" w:rsidRDefault="00495C43" w:rsidP="00495C43">
      <w:pPr>
        <w:pStyle w:val="CETReferencetext"/>
      </w:pPr>
      <w:proofErr w:type="spellStart"/>
      <w:r>
        <w:t>S</w:t>
      </w:r>
      <w:r w:rsidR="002D0A09">
        <w:t>eader</w:t>
      </w:r>
      <w:proofErr w:type="spellEnd"/>
      <w:r>
        <w:t>, J. D., H</w:t>
      </w:r>
      <w:r w:rsidR="002D0A09">
        <w:t>enley</w:t>
      </w:r>
      <w:r>
        <w:t>, E.</w:t>
      </w:r>
      <w:r w:rsidR="007A652D">
        <w:t xml:space="preserve"> </w:t>
      </w:r>
      <w:r>
        <w:t>J.</w:t>
      </w:r>
      <w:r w:rsidR="002D0A09">
        <w:t>, Roper, D. K., 1998,</w:t>
      </w:r>
      <w:r>
        <w:t xml:space="preserve"> Separation Process Principles</w:t>
      </w:r>
      <w:r w:rsidR="002D0A09">
        <w:t>, Wiley</w:t>
      </w:r>
      <w:r>
        <w:t xml:space="preserve"> New York</w:t>
      </w:r>
      <w:r w:rsidR="002D0A09">
        <w:t>, v. 25.</w:t>
      </w:r>
    </w:p>
    <w:p w14:paraId="45989D7E" w14:textId="280978B3" w:rsidR="008B3A63" w:rsidRPr="00CC4B5B" w:rsidRDefault="008B3A63" w:rsidP="00495C43">
      <w:pPr>
        <w:pStyle w:val="CETReferencetext"/>
        <w:rPr>
          <w:lang w:val="en-US"/>
        </w:rPr>
      </w:pPr>
      <w:r w:rsidRPr="00CC4B5B">
        <w:rPr>
          <w:lang w:val="en-US"/>
        </w:rPr>
        <w:t>S</w:t>
      </w:r>
      <w:r w:rsidR="002D0A09" w:rsidRPr="00CC4B5B">
        <w:rPr>
          <w:lang w:val="en-US"/>
        </w:rPr>
        <w:t>ilva</w:t>
      </w:r>
      <w:r w:rsidRPr="00CC4B5B">
        <w:rPr>
          <w:lang w:val="en-US"/>
        </w:rPr>
        <w:t>, G. R.</w:t>
      </w:r>
      <w:r w:rsidR="002D0A09" w:rsidRPr="00CC4B5B">
        <w:rPr>
          <w:lang w:val="en-US"/>
        </w:rPr>
        <w:t>, 2022,</w:t>
      </w:r>
      <w:r w:rsidRPr="00CC4B5B">
        <w:rPr>
          <w:lang w:val="en-US"/>
        </w:rPr>
        <w:t xml:space="preserve"> </w:t>
      </w:r>
      <w:r w:rsidR="00CC4B5B" w:rsidRPr="00CC4B5B">
        <w:rPr>
          <w:lang w:val="en-US"/>
        </w:rPr>
        <w:t>Sugar cane in ethanol production (in Portuguese), UNINTER International University Center, Brazil</w:t>
      </w:r>
      <w:r w:rsidRPr="00CC4B5B">
        <w:rPr>
          <w:lang w:val="en-US"/>
        </w:rPr>
        <w:t>.</w:t>
      </w:r>
    </w:p>
    <w:p w14:paraId="68D5D658" w14:textId="686EA1D6" w:rsidR="00495C43" w:rsidRDefault="00495C43" w:rsidP="00495C43">
      <w:pPr>
        <w:pStyle w:val="CETReferencetext"/>
      </w:pPr>
      <w:proofErr w:type="spellStart"/>
      <w:r w:rsidRPr="00CC4B5B">
        <w:rPr>
          <w:lang w:val="en-US"/>
        </w:rPr>
        <w:t>S</w:t>
      </w:r>
      <w:r w:rsidR="00CC4B5B" w:rsidRPr="00CC4B5B">
        <w:rPr>
          <w:lang w:val="en-US"/>
        </w:rPr>
        <w:t>imo</w:t>
      </w:r>
      <w:proofErr w:type="spellEnd"/>
      <w:r w:rsidRPr="00CC4B5B">
        <w:rPr>
          <w:lang w:val="en-US"/>
        </w:rPr>
        <w:t>, M</w:t>
      </w:r>
      <w:r w:rsidR="00CC4B5B" w:rsidRPr="00CC4B5B">
        <w:rPr>
          <w:lang w:val="en-US"/>
        </w:rPr>
        <w:t xml:space="preserve">., </w:t>
      </w:r>
      <w:proofErr w:type="spellStart"/>
      <w:r w:rsidR="00CC4B5B" w:rsidRPr="00CC4B5B">
        <w:rPr>
          <w:lang w:val="en-US"/>
        </w:rPr>
        <w:t>Sivashanmugam</w:t>
      </w:r>
      <w:proofErr w:type="spellEnd"/>
      <w:r w:rsidR="00CC4B5B" w:rsidRPr="00CC4B5B">
        <w:rPr>
          <w:lang w:val="en-US"/>
        </w:rPr>
        <w:t xml:space="preserve">, S., Brown, C. J., </w:t>
      </w:r>
      <w:proofErr w:type="spellStart"/>
      <w:r w:rsidR="00CC4B5B" w:rsidRPr="00CC4B5B">
        <w:rPr>
          <w:lang w:val="en-US"/>
        </w:rPr>
        <w:t>Hlavacek</w:t>
      </w:r>
      <w:proofErr w:type="spellEnd"/>
      <w:r w:rsidR="00CC4B5B" w:rsidRPr="00CC4B5B">
        <w:rPr>
          <w:lang w:val="en-US"/>
        </w:rPr>
        <w:t>, V.</w:t>
      </w:r>
      <w:r w:rsidR="00CC4B5B">
        <w:rPr>
          <w:lang w:val="en-US"/>
        </w:rPr>
        <w:t>, 2009,</w:t>
      </w:r>
      <w:r w:rsidRPr="00CC4B5B">
        <w:rPr>
          <w:lang w:val="en-US"/>
        </w:rPr>
        <w:t xml:space="preserve"> </w:t>
      </w:r>
      <w:r>
        <w:t>Adsorption/desorption of water and ethanol on 3A zeolite in near-adiabatic fixed bed</w:t>
      </w:r>
      <w:r w:rsidR="00CC4B5B">
        <w:t>,</w:t>
      </w:r>
      <w:r>
        <w:t xml:space="preserve"> Industrial &amp; Engineering Chemistry Research, </w:t>
      </w:r>
      <w:r w:rsidR="00CC4B5B">
        <w:t xml:space="preserve">ACS Publications, </w:t>
      </w:r>
      <w:r>
        <w:t>v. 48, n. 20, p. 9247-9260.</w:t>
      </w:r>
      <w:r w:rsidR="00BE06D6">
        <w:t xml:space="preserve"> </w:t>
      </w:r>
    </w:p>
    <w:p w14:paraId="19C4FC68" w14:textId="491F9FF0" w:rsidR="004628D2" w:rsidRDefault="00495C43" w:rsidP="00427259">
      <w:pPr>
        <w:pStyle w:val="CETReferencetext"/>
      </w:pPr>
      <w:proofErr w:type="spellStart"/>
      <w:r>
        <w:t>W</w:t>
      </w:r>
      <w:r w:rsidR="00CC4B5B">
        <w:t>alas</w:t>
      </w:r>
      <w:proofErr w:type="spellEnd"/>
      <w:r>
        <w:t>, S. M.</w:t>
      </w:r>
      <w:r w:rsidR="00CC4B5B">
        <w:t>, 1985,</w:t>
      </w:r>
      <w:r>
        <w:t xml:space="preserve"> Phase </w:t>
      </w:r>
      <w:proofErr w:type="spellStart"/>
      <w:r>
        <w:t>Equilibria</w:t>
      </w:r>
      <w:proofErr w:type="spellEnd"/>
      <w:r>
        <w:t xml:space="preserve"> in Chemical Engineering</w:t>
      </w:r>
      <w:r w:rsidR="00E83AD3">
        <w:t>,</w:t>
      </w:r>
      <w:r>
        <w:t xml:space="preserve"> Butterworth Publishers, Stoneham, USA</w:t>
      </w:r>
      <w:r w:rsidR="00427259">
        <w:t>.</w:t>
      </w:r>
      <w:bookmarkEnd w:id="3"/>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AE67" w14:textId="77777777" w:rsidR="006875A9" w:rsidRDefault="006875A9" w:rsidP="004F5E36">
      <w:r>
        <w:separator/>
      </w:r>
    </w:p>
  </w:endnote>
  <w:endnote w:type="continuationSeparator" w:id="0">
    <w:p w14:paraId="75C353E0" w14:textId="77777777" w:rsidR="006875A9" w:rsidRDefault="006875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E00AA" w14:textId="77777777" w:rsidR="006875A9" w:rsidRDefault="006875A9" w:rsidP="004F5E36">
      <w:r>
        <w:separator/>
      </w:r>
    </w:p>
  </w:footnote>
  <w:footnote w:type="continuationSeparator" w:id="0">
    <w:p w14:paraId="517BDDDD" w14:textId="77777777" w:rsidR="006875A9" w:rsidRDefault="006875A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45B"/>
    <w:rsid w:val="000234C3"/>
    <w:rsid w:val="0003148D"/>
    <w:rsid w:val="00031EEC"/>
    <w:rsid w:val="00037B2F"/>
    <w:rsid w:val="00037DE4"/>
    <w:rsid w:val="00051566"/>
    <w:rsid w:val="000562A9"/>
    <w:rsid w:val="00062A9A"/>
    <w:rsid w:val="00065058"/>
    <w:rsid w:val="00084F49"/>
    <w:rsid w:val="00086C39"/>
    <w:rsid w:val="000A03B2"/>
    <w:rsid w:val="000A64EC"/>
    <w:rsid w:val="000D0229"/>
    <w:rsid w:val="000D0268"/>
    <w:rsid w:val="000D34BE"/>
    <w:rsid w:val="000E102F"/>
    <w:rsid w:val="000E36F1"/>
    <w:rsid w:val="000E3A73"/>
    <w:rsid w:val="000E414A"/>
    <w:rsid w:val="000E6C7E"/>
    <w:rsid w:val="000E7B6F"/>
    <w:rsid w:val="000F093C"/>
    <w:rsid w:val="000F787B"/>
    <w:rsid w:val="00117CFA"/>
    <w:rsid w:val="0012091F"/>
    <w:rsid w:val="001243F6"/>
    <w:rsid w:val="00124D64"/>
    <w:rsid w:val="00126BC2"/>
    <w:rsid w:val="001308B6"/>
    <w:rsid w:val="0013121F"/>
    <w:rsid w:val="00131FE6"/>
    <w:rsid w:val="0013263F"/>
    <w:rsid w:val="001331DF"/>
    <w:rsid w:val="00134DE4"/>
    <w:rsid w:val="0014034D"/>
    <w:rsid w:val="00144D16"/>
    <w:rsid w:val="001465C2"/>
    <w:rsid w:val="00150E59"/>
    <w:rsid w:val="00152DE3"/>
    <w:rsid w:val="00164CF9"/>
    <w:rsid w:val="001667A6"/>
    <w:rsid w:val="00172441"/>
    <w:rsid w:val="0017254D"/>
    <w:rsid w:val="00183EC3"/>
    <w:rsid w:val="00184569"/>
    <w:rsid w:val="00184AD6"/>
    <w:rsid w:val="00192902"/>
    <w:rsid w:val="001A4035"/>
    <w:rsid w:val="001A4AF7"/>
    <w:rsid w:val="001B0349"/>
    <w:rsid w:val="001B1E93"/>
    <w:rsid w:val="001B65C1"/>
    <w:rsid w:val="001B7C44"/>
    <w:rsid w:val="001C684B"/>
    <w:rsid w:val="001D0CFB"/>
    <w:rsid w:val="001D21AF"/>
    <w:rsid w:val="001D53FC"/>
    <w:rsid w:val="001F1655"/>
    <w:rsid w:val="001F42A5"/>
    <w:rsid w:val="001F7B9D"/>
    <w:rsid w:val="00201C93"/>
    <w:rsid w:val="002128E1"/>
    <w:rsid w:val="00217BE8"/>
    <w:rsid w:val="002224B4"/>
    <w:rsid w:val="00231500"/>
    <w:rsid w:val="00233963"/>
    <w:rsid w:val="002447EF"/>
    <w:rsid w:val="00251550"/>
    <w:rsid w:val="00263B05"/>
    <w:rsid w:val="0027221A"/>
    <w:rsid w:val="00275B61"/>
    <w:rsid w:val="00280FAF"/>
    <w:rsid w:val="00281E7D"/>
    <w:rsid w:val="00282656"/>
    <w:rsid w:val="00296B83"/>
    <w:rsid w:val="002B0EF0"/>
    <w:rsid w:val="002B4015"/>
    <w:rsid w:val="002B78CE"/>
    <w:rsid w:val="002C2FB6"/>
    <w:rsid w:val="002D0A09"/>
    <w:rsid w:val="002D2648"/>
    <w:rsid w:val="002E2158"/>
    <w:rsid w:val="002E5FA7"/>
    <w:rsid w:val="002F3309"/>
    <w:rsid w:val="002F74A9"/>
    <w:rsid w:val="003008CE"/>
    <w:rsid w:val="003009B7"/>
    <w:rsid w:val="00300E56"/>
    <w:rsid w:val="0030152C"/>
    <w:rsid w:val="0030469C"/>
    <w:rsid w:val="00316D9C"/>
    <w:rsid w:val="0032040D"/>
    <w:rsid w:val="00321CA6"/>
    <w:rsid w:val="00322841"/>
    <w:rsid w:val="00323763"/>
    <w:rsid w:val="00323C5F"/>
    <w:rsid w:val="003279A6"/>
    <w:rsid w:val="00334C09"/>
    <w:rsid w:val="00364D78"/>
    <w:rsid w:val="003723D4"/>
    <w:rsid w:val="003806E9"/>
    <w:rsid w:val="00381905"/>
    <w:rsid w:val="00384CC8"/>
    <w:rsid w:val="00385781"/>
    <w:rsid w:val="003871FD"/>
    <w:rsid w:val="003A1E30"/>
    <w:rsid w:val="003A2829"/>
    <w:rsid w:val="003A7A46"/>
    <w:rsid w:val="003A7D1C"/>
    <w:rsid w:val="003B304B"/>
    <w:rsid w:val="003B3146"/>
    <w:rsid w:val="003E26E4"/>
    <w:rsid w:val="003F015E"/>
    <w:rsid w:val="00400414"/>
    <w:rsid w:val="0041446B"/>
    <w:rsid w:val="00414A18"/>
    <w:rsid w:val="00423B8B"/>
    <w:rsid w:val="00427259"/>
    <w:rsid w:val="0044071E"/>
    <w:rsid w:val="0044123B"/>
    <w:rsid w:val="0044329C"/>
    <w:rsid w:val="0045065B"/>
    <w:rsid w:val="00453E24"/>
    <w:rsid w:val="00454973"/>
    <w:rsid w:val="00457456"/>
    <w:rsid w:val="004577FE"/>
    <w:rsid w:val="00457B9C"/>
    <w:rsid w:val="0046164A"/>
    <w:rsid w:val="004628D2"/>
    <w:rsid w:val="00462DCD"/>
    <w:rsid w:val="004648AD"/>
    <w:rsid w:val="00465E50"/>
    <w:rsid w:val="004703A9"/>
    <w:rsid w:val="004760DE"/>
    <w:rsid w:val="00476357"/>
    <w:rsid w:val="004763D7"/>
    <w:rsid w:val="00486CF9"/>
    <w:rsid w:val="00495C43"/>
    <w:rsid w:val="004A004E"/>
    <w:rsid w:val="004A24CF"/>
    <w:rsid w:val="004B2553"/>
    <w:rsid w:val="004B2D39"/>
    <w:rsid w:val="004B3673"/>
    <w:rsid w:val="004C3D1D"/>
    <w:rsid w:val="004C3D84"/>
    <w:rsid w:val="004C4241"/>
    <w:rsid w:val="004C7913"/>
    <w:rsid w:val="004E4DD6"/>
    <w:rsid w:val="004F5E36"/>
    <w:rsid w:val="00507B47"/>
    <w:rsid w:val="00507BEF"/>
    <w:rsid w:val="00507CC9"/>
    <w:rsid w:val="005119A5"/>
    <w:rsid w:val="005278B7"/>
    <w:rsid w:val="00532016"/>
    <w:rsid w:val="005346C8"/>
    <w:rsid w:val="00541A3D"/>
    <w:rsid w:val="00543E7D"/>
    <w:rsid w:val="00547A68"/>
    <w:rsid w:val="00547F7A"/>
    <w:rsid w:val="005531C9"/>
    <w:rsid w:val="00562656"/>
    <w:rsid w:val="00570C43"/>
    <w:rsid w:val="0057488B"/>
    <w:rsid w:val="005A09E8"/>
    <w:rsid w:val="005B2110"/>
    <w:rsid w:val="005B61E6"/>
    <w:rsid w:val="005C1088"/>
    <w:rsid w:val="005C19D7"/>
    <w:rsid w:val="005C77E1"/>
    <w:rsid w:val="005D39B6"/>
    <w:rsid w:val="005D3B78"/>
    <w:rsid w:val="005D4BAD"/>
    <w:rsid w:val="005D668A"/>
    <w:rsid w:val="005D6A2F"/>
    <w:rsid w:val="005E1A82"/>
    <w:rsid w:val="005E1AF2"/>
    <w:rsid w:val="005E5B06"/>
    <w:rsid w:val="005E694B"/>
    <w:rsid w:val="005E794C"/>
    <w:rsid w:val="005F0A28"/>
    <w:rsid w:val="005F0E5E"/>
    <w:rsid w:val="00600535"/>
    <w:rsid w:val="00610CD6"/>
    <w:rsid w:val="006113EE"/>
    <w:rsid w:val="00611655"/>
    <w:rsid w:val="00620DEE"/>
    <w:rsid w:val="00621F92"/>
    <w:rsid w:val="0062280A"/>
    <w:rsid w:val="00622DD9"/>
    <w:rsid w:val="00625639"/>
    <w:rsid w:val="00631B33"/>
    <w:rsid w:val="006324E1"/>
    <w:rsid w:val="0064184D"/>
    <w:rsid w:val="006422CC"/>
    <w:rsid w:val="00646380"/>
    <w:rsid w:val="00660E3E"/>
    <w:rsid w:val="0066125F"/>
    <w:rsid w:val="00662E74"/>
    <w:rsid w:val="00663155"/>
    <w:rsid w:val="00680C23"/>
    <w:rsid w:val="006875A9"/>
    <w:rsid w:val="00687E44"/>
    <w:rsid w:val="006901E8"/>
    <w:rsid w:val="00691254"/>
    <w:rsid w:val="00693766"/>
    <w:rsid w:val="00694947"/>
    <w:rsid w:val="006A0449"/>
    <w:rsid w:val="006A3281"/>
    <w:rsid w:val="006B4888"/>
    <w:rsid w:val="006B4FCC"/>
    <w:rsid w:val="006C2E45"/>
    <w:rsid w:val="006C359C"/>
    <w:rsid w:val="006C5579"/>
    <w:rsid w:val="006D0933"/>
    <w:rsid w:val="006D29F2"/>
    <w:rsid w:val="006D4B3A"/>
    <w:rsid w:val="006D6E8B"/>
    <w:rsid w:val="006E4FCA"/>
    <w:rsid w:val="006E62C8"/>
    <w:rsid w:val="006E737D"/>
    <w:rsid w:val="006F0A63"/>
    <w:rsid w:val="006F3372"/>
    <w:rsid w:val="007028C7"/>
    <w:rsid w:val="00713973"/>
    <w:rsid w:val="00720A24"/>
    <w:rsid w:val="00732386"/>
    <w:rsid w:val="007340C3"/>
    <w:rsid w:val="0073514D"/>
    <w:rsid w:val="007447F3"/>
    <w:rsid w:val="0075499F"/>
    <w:rsid w:val="00764D07"/>
    <w:rsid w:val="007661C8"/>
    <w:rsid w:val="0077098D"/>
    <w:rsid w:val="00770D89"/>
    <w:rsid w:val="00776F91"/>
    <w:rsid w:val="00782249"/>
    <w:rsid w:val="007931FA"/>
    <w:rsid w:val="00797F29"/>
    <w:rsid w:val="007A33B3"/>
    <w:rsid w:val="007A4861"/>
    <w:rsid w:val="007A652D"/>
    <w:rsid w:val="007A7BBA"/>
    <w:rsid w:val="007B02BB"/>
    <w:rsid w:val="007B0C50"/>
    <w:rsid w:val="007B48F9"/>
    <w:rsid w:val="007C1A43"/>
    <w:rsid w:val="007D0951"/>
    <w:rsid w:val="007D1EFD"/>
    <w:rsid w:val="007E4EA5"/>
    <w:rsid w:val="007F0B25"/>
    <w:rsid w:val="0080013E"/>
    <w:rsid w:val="00813288"/>
    <w:rsid w:val="008168FC"/>
    <w:rsid w:val="00817150"/>
    <w:rsid w:val="0082101E"/>
    <w:rsid w:val="00830996"/>
    <w:rsid w:val="008345F1"/>
    <w:rsid w:val="00844F1E"/>
    <w:rsid w:val="00856B6E"/>
    <w:rsid w:val="00860B08"/>
    <w:rsid w:val="00865B07"/>
    <w:rsid w:val="00865BF8"/>
    <w:rsid w:val="008667EA"/>
    <w:rsid w:val="0087355C"/>
    <w:rsid w:val="0087637F"/>
    <w:rsid w:val="00892AD5"/>
    <w:rsid w:val="008A1512"/>
    <w:rsid w:val="008B143F"/>
    <w:rsid w:val="008B3A63"/>
    <w:rsid w:val="008C08F8"/>
    <w:rsid w:val="008D32B9"/>
    <w:rsid w:val="008D433B"/>
    <w:rsid w:val="008D4A16"/>
    <w:rsid w:val="008D7A9F"/>
    <w:rsid w:val="008E566E"/>
    <w:rsid w:val="008F508E"/>
    <w:rsid w:val="0090161A"/>
    <w:rsid w:val="009017C2"/>
    <w:rsid w:val="00901EB6"/>
    <w:rsid w:val="00904C62"/>
    <w:rsid w:val="00922BA8"/>
    <w:rsid w:val="00924DAC"/>
    <w:rsid w:val="00927058"/>
    <w:rsid w:val="00927786"/>
    <w:rsid w:val="00936683"/>
    <w:rsid w:val="00942750"/>
    <w:rsid w:val="009450CE"/>
    <w:rsid w:val="009459BB"/>
    <w:rsid w:val="00947179"/>
    <w:rsid w:val="00947815"/>
    <w:rsid w:val="0095164B"/>
    <w:rsid w:val="00953A94"/>
    <w:rsid w:val="00954090"/>
    <w:rsid w:val="009573E7"/>
    <w:rsid w:val="00963E05"/>
    <w:rsid w:val="00964A45"/>
    <w:rsid w:val="00966D85"/>
    <w:rsid w:val="00967843"/>
    <w:rsid w:val="00967D54"/>
    <w:rsid w:val="00971028"/>
    <w:rsid w:val="00987872"/>
    <w:rsid w:val="009912FD"/>
    <w:rsid w:val="00993B84"/>
    <w:rsid w:val="00996278"/>
    <w:rsid w:val="00996483"/>
    <w:rsid w:val="00996F5A"/>
    <w:rsid w:val="009B041A"/>
    <w:rsid w:val="009C37C3"/>
    <w:rsid w:val="009C7C86"/>
    <w:rsid w:val="009D2FF7"/>
    <w:rsid w:val="009E7884"/>
    <w:rsid w:val="009E788A"/>
    <w:rsid w:val="009F0E08"/>
    <w:rsid w:val="009F1339"/>
    <w:rsid w:val="00A1577F"/>
    <w:rsid w:val="00A1763D"/>
    <w:rsid w:val="00A17CEC"/>
    <w:rsid w:val="00A27EF0"/>
    <w:rsid w:val="00A3747D"/>
    <w:rsid w:val="00A42361"/>
    <w:rsid w:val="00A50B20"/>
    <w:rsid w:val="00A51390"/>
    <w:rsid w:val="00A51E01"/>
    <w:rsid w:val="00A60D13"/>
    <w:rsid w:val="00A64197"/>
    <w:rsid w:val="00A654B4"/>
    <w:rsid w:val="00A6778A"/>
    <w:rsid w:val="00A70BBF"/>
    <w:rsid w:val="00A7223D"/>
    <w:rsid w:val="00A725BD"/>
    <w:rsid w:val="00A72745"/>
    <w:rsid w:val="00A76EFA"/>
    <w:rsid w:val="00A76EFC"/>
    <w:rsid w:val="00A77D0B"/>
    <w:rsid w:val="00A8461A"/>
    <w:rsid w:val="00A8614F"/>
    <w:rsid w:val="00A87D50"/>
    <w:rsid w:val="00A91010"/>
    <w:rsid w:val="00A91CB1"/>
    <w:rsid w:val="00A97F29"/>
    <w:rsid w:val="00AA0335"/>
    <w:rsid w:val="00AA0612"/>
    <w:rsid w:val="00AA702E"/>
    <w:rsid w:val="00AA7D26"/>
    <w:rsid w:val="00AB0964"/>
    <w:rsid w:val="00AB5011"/>
    <w:rsid w:val="00AB594F"/>
    <w:rsid w:val="00AB780A"/>
    <w:rsid w:val="00AC209E"/>
    <w:rsid w:val="00AC7368"/>
    <w:rsid w:val="00AD16B9"/>
    <w:rsid w:val="00AE377D"/>
    <w:rsid w:val="00AE6C61"/>
    <w:rsid w:val="00AF0EBA"/>
    <w:rsid w:val="00B02C8A"/>
    <w:rsid w:val="00B06DB1"/>
    <w:rsid w:val="00B10259"/>
    <w:rsid w:val="00B17FBD"/>
    <w:rsid w:val="00B20705"/>
    <w:rsid w:val="00B245E5"/>
    <w:rsid w:val="00B27435"/>
    <w:rsid w:val="00B315A6"/>
    <w:rsid w:val="00B31813"/>
    <w:rsid w:val="00B33365"/>
    <w:rsid w:val="00B55414"/>
    <w:rsid w:val="00B57B36"/>
    <w:rsid w:val="00B57E6F"/>
    <w:rsid w:val="00B8686D"/>
    <w:rsid w:val="00B8768B"/>
    <w:rsid w:val="00B93F69"/>
    <w:rsid w:val="00BB1DDC"/>
    <w:rsid w:val="00BC30C9"/>
    <w:rsid w:val="00BC45EC"/>
    <w:rsid w:val="00BD077D"/>
    <w:rsid w:val="00BD3955"/>
    <w:rsid w:val="00BD78F1"/>
    <w:rsid w:val="00BE025B"/>
    <w:rsid w:val="00BE06D6"/>
    <w:rsid w:val="00BE3E58"/>
    <w:rsid w:val="00BE722B"/>
    <w:rsid w:val="00C01616"/>
    <w:rsid w:val="00C0162B"/>
    <w:rsid w:val="00C042C2"/>
    <w:rsid w:val="00C042D2"/>
    <w:rsid w:val="00C068ED"/>
    <w:rsid w:val="00C22E0C"/>
    <w:rsid w:val="00C345B1"/>
    <w:rsid w:val="00C40142"/>
    <w:rsid w:val="00C42B73"/>
    <w:rsid w:val="00C52C3C"/>
    <w:rsid w:val="00C57182"/>
    <w:rsid w:val="00C57863"/>
    <w:rsid w:val="00C640AF"/>
    <w:rsid w:val="00C655FD"/>
    <w:rsid w:val="00C75407"/>
    <w:rsid w:val="00C76682"/>
    <w:rsid w:val="00C870A8"/>
    <w:rsid w:val="00C94434"/>
    <w:rsid w:val="00CA0D75"/>
    <w:rsid w:val="00CA1C95"/>
    <w:rsid w:val="00CA5A9C"/>
    <w:rsid w:val="00CC4B5B"/>
    <w:rsid w:val="00CC4C20"/>
    <w:rsid w:val="00CD3517"/>
    <w:rsid w:val="00CD3768"/>
    <w:rsid w:val="00CD5FE2"/>
    <w:rsid w:val="00CD7A15"/>
    <w:rsid w:val="00CE7C68"/>
    <w:rsid w:val="00CE7FF8"/>
    <w:rsid w:val="00D02B4C"/>
    <w:rsid w:val="00D040C4"/>
    <w:rsid w:val="00D20AD1"/>
    <w:rsid w:val="00D46B7E"/>
    <w:rsid w:val="00D57C84"/>
    <w:rsid w:val="00D6057D"/>
    <w:rsid w:val="00D71640"/>
    <w:rsid w:val="00D836C5"/>
    <w:rsid w:val="00D84576"/>
    <w:rsid w:val="00D90BA6"/>
    <w:rsid w:val="00D92945"/>
    <w:rsid w:val="00D9615D"/>
    <w:rsid w:val="00DA1399"/>
    <w:rsid w:val="00DA24C6"/>
    <w:rsid w:val="00DA4D7B"/>
    <w:rsid w:val="00DB5D72"/>
    <w:rsid w:val="00DB5F86"/>
    <w:rsid w:val="00DD271C"/>
    <w:rsid w:val="00DD5753"/>
    <w:rsid w:val="00DE223F"/>
    <w:rsid w:val="00DE264A"/>
    <w:rsid w:val="00DF5072"/>
    <w:rsid w:val="00E02D18"/>
    <w:rsid w:val="00E03FCA"/>
    <w:rsid w:val="00E041E7"/>
    <w:rsid w:val="00E05BB9"/>
    <w:rsid w:val="00E11F89"/>
    <w:rsid w:val="00E155FA"/>
    <w:rsid w:val="00E16686"/>
    <w:rsid w:val="00E23CA1"/>
    <w:rsid w:val="00E4010B"/>
    <w:rsid w:val="00E409A8"/>
    <w:rsid w:val="00E45776"/>
    <w:rsid w:val="00E50C12"/>
    <w:rsid w:val="00E65055"/>
    <w:rsid w:val="00E65B91"/>
    <w:rsid w:val="00E67D0D"/>
    <w:rsid w:val="00E7209D"/>
    <w:rsid w:val="00E72EAD"/>
    <w:rsid w:val="00E7378F"/>
    <w:rsid w:val="00E76D4B"/>
    <w:rsid w:val="00E77223"/>
    <w:rsid w:val="00E83AD3"/>
    <w:rsid w:val="00E8528B"/>
    <w:rsid w:val="00E85B94"/>
    <w:rsid w:val="00E978D0"/>
    <w:rsid w:val="00EA1710"/>
    <w:rsid w:val="00EA4613"/>
    <w:rsid w:val="00EA6052"/>
    <w:rsid w:val="00EA7F91"/>
    <w:rsid w:val="00EB1523"/>
    <w:rsid w:val="00EC0E49"/>
    <w:rsid w:val="00EC101F"/>
    <w:rsid w:val="00EC1D9F"/>
    <w:rsid w:val="00EE0131"/>
    <w:rsid w:val="00EE17B0"/>
    <w:rsid w:val="00EE6E8D"/>
    <w:rsid w:val="00EF06D9"/>
    <w:rsid w:val="00F26C2D"/>
    <w:rsid w:val="00F3049E"/>
    <w:rsid w:val="00F30C64"/>
    <w:rsid w:val="00F32BA2"/>
    <w:rsid w:val="00F32CDB"/>
    <w:rsid w:val="00F33D2E"/>
    <w:rsid w:val="00F36A30"/>
    <w:rsid w:val="00F452BF"/>
    <w:rsid w:val="00F53ACE"/>
    <w:rsid w:val="00F56038"/>
    <w:rsid w:val="00F565FE"/>
    <w:rsid w:val="00F63A70"/>
    <w:rsid w:val="00F63D8C"/>
    <w:rsid w:val="00F64B0D"/>
    <w:rsid w:val="00F7534E"/>
    <w:rsid w:val="00F800C7"/>
    <w:rsid w:val="00F8325A"/>
    <w:rsid w:val="00F85EDB"/>
    <w:rsid w:val="00F86C1D"/>
    <w:rsid w:val="00F879F8"/>
    <w:rsid w:val="00F93EDF"/>
    <w:rsid w:val="00FA1802"/>
    <w:rsid w:val="00FA21D0"/>
    <w:rsid w:val="00FA2CFF"/>
    <w:rsid w:val="00FA5F5F"/>
    <w:rsid w:val="00FB730C"/>
    <w:rsid w:val="00FC2695"/>
    <w:rsid w:val="00FC3E03"/>
    <w:rsid w:val="00FC3FC1"/>
    <w:rsid w:val="00FE18D8"/>
    <w:rsid w:val="00FE7A1C"/>
    <w:rsid w:val="00FF20F0"/>
    <w:rsid w:val="00FF40A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y2iqfc">
    <w:name w:val="y2iqfc"/>
    <w:basedOn w:val="Fontepargpadro"/>
    <w:rsid w:val="001A4035"/>
  </w:style>
  <w:style w:type="paragraph" w:styleId="SemEspaamento">
    <w:name w:val="No Spacing"/>
    <w:uiPriority w:val="1"/>
    <w:qFormat/>
    <w:rsid w:val="00CE7FF8"/>
    <w:pPr>
      <w:spacing w:after="0" w:line="240" w:lineRule="auto"/>
    </w:pPr>
    <w:rPr>
      <w:rFonts w:ascii="Calibri" w:eastAsia="Calibri" w:hAnsi="Calibri" w:cs="Calibri"/>
      <w:lang w:val="pt-BR" w:eastAsia="pt-BR"/>
    </w:rPr>
  </w:style>
  <w:style w:type="character" w:customStyle="1" w:styleId="MenoPendente1">
    <w:name w:val="Menção Pendente1"/>
    <w:basedOn w:val="Fontepargpadro"/>
    <w:uiPriority w:val="99"/>
    <w:semiHidden/>
    <w:unhideWhenUsed/>
    <w:rsid w:val="00776F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y2iqfc">
    <w:name w:val="y2iqfc"/>
    <w:basedOn w:val="Fontepargpadro"/>
    <w:rsid w:val="001A4035"/>
  </w:style>
  <w:style w:type="paragraph" w:styleId="SemEspaamento">
    <w:name w:val="No Spacing"/>
    <w:uiPriority w:val="1"/>
    <w:qFormat/>
    <w:rsid w:val="00CE7FF8"/>
    <w:pPr>
      <w:spacing w:after="0" w:line="240" w:lineRule="auto"/>
    </w:pPr>
    <w:rPr>
      <w:rFonts w:ascii="Calibri" w:eastAsia="Calibri" w:hAnsi="Calibri" w:cs="Calibri"/>
      <w:lang w:val="pt-BR" w:eastAsia="pt-BR"/>
    </w:rPr>
  </w:style>
  <w:style w:type="character" w:customStyle="1" w:styleId="MenoPendente1">
    <w:name w:val="Menção Pendente1"/>
    <w:basedOn w:val="Fontepargpadro"/>
    <w:uiPriority w:val="99"/>
    <w:semiHidden/>
    <w:unhideWhenUsed/>
    <w:rsid w:val="0077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9399">
      <w:bodyDiv w:val="1"/>
      <w:marLeft w:val="0"/>
      <w:marRight w:val="0"/>
      <w:marTop w:val="0"/>
      <w:marBottom w:val="0"/>
      <w:divBdr>
        <w:top w:val="none" w:sz="0" w:space="0" w:color="auto"/>
        <w:left w:val="none" w:sz="0" w:space="0" w:color="auto"/>
        <w:bottom w:val="none" w:sz="0" w:space="0" w:color="auto"/>
        <w:right w:val="none" w:sz="0" w:space="0" w:color="auto"/>
      </w:divBdr>
    </w:div>
    <w:div w:id="450588720">
      <w:bodyDiv w:val="1"/>
      <w:marLeft w:val="0"/>
      <w:marRight w:val="0"/>
      <w:marTop w:val="0"/>
      <w:marBottom w:val="0"/>
      <w:divBdr>
        <w:top w:val="none" w:sz="0" w:space="0" w:color="auto"/>
        <w:left w:val="none" w:sz="0" w:space="0" w:color="auto"/>
        <w:bottom w:val="none" w:sz="0" w:space="0" w:color="auto"/>
        <w:right w:val="none" w:sz="0" w:space="0" w:color="auto"/>
      </w:divBdr>
    </w:div>
    <w:div w:id="501940681">
      <w:bodyDiv w:val="1"/>
      <w:marLeft w:val="0"/>
      <w:marRight w:val="0"/>
      <w:marTop w:val="0"/>
      <w:marBottom w:val="0"/>
      <w:divBdr>
        <w:top w:val="none" w:sz="0" w:space="0" w:color="auto"/>
        <w:left w:val="none" w:sz="0" w:space="0" w:color="auto"/>
        <w:bottom w:val="none" w:sz="0" w:space="0" w:color="auto"/>
        <w:right w:val="none" w:sz="0" w:space="0" w:color="auto"/>
      </w:divBdr>
      <w:divsChild>
        <w:div w:id="2049211768">
          <w:marLeft w:val="0"/>
          <w:marRight w:val="0"/>
          <w:marTop w:val="0"/>
          <w:marBottom w:val="0"/>
          <w:divBdr>
            <w:top w:val="none" w:sz="0" w:space="0" w:color="auto"/>
            <w:left w:val="none" w:sz="0" w:space="0" w:color="auto"/>
            <w:bottom w:val="none" w:sz="0" w:space="0" w:color="auto"/>
            <w:right w:val="none" w:sz="0" w:space="0" w:color="auto"/>
          </w:divBdr>
        </w:div>
        <w:div w:id="1662541978">
          <w:marLeft w:val="0"/>
          <w:marRight w:val="0"/>
          <w:marTop w:val="0"/>
          <w:marBottom w:val="0"/>
          <w:divBdr>
            <w:top w:val="none" w:sz="0" w:space="0" w:color="auto"/>
            <w:left w:val="none" w:sz="0" w:space="0" w:color="auto"/>
            <w:bottom w:val="none" w:sz="0" w:space="0" w:color="auto"/>
            <w:right w:val="none" w:sz="0" w:space="0" w:color="auto"/>
          </w:divBdr>
          <w:divsChild>
            <w:div w:id="1557357265">
              <w:marLeft w:val="0"/>
              <w:marRight w:val="165"/>
              <w:marTop w:val="150"/>
              <w:marBottom w:val="0"/>
              <w:divBdr>
                <w:top w:val="none" w:sz="0" w:space="0" w:color="auto"/>
                <w:left w:val="none" w:sz="0" w:space="0" w:color="auto"/>
                <w:bottom w:val="none" w:sz="0" w:space="0" w:color="auto"/>
                <w:right w:val="none" w:sz="0" w:space="0" w:color="auto"/>
              </w:divBdr>
              <w:divsChild>
                <w:div w:id="562058955">
                  <w:marLeft w:val="0"/>
                  <w:marRight w:val="0"/>
                  <w:marTop w:val="0"/>
                  <w:marBottom w:val="0"/>
                  <w:divBdr>
                    <w:top w:val="none" w:sz="0" w:space="0" w:color="auto"/>
                    <w:left w:val="none" w:sz="0" w:space="0" w:color="auto"/>
                    <w:bottom w:val="none" w:sz="0" w:space="0" w:color="auto"/>
                    <w:right w:val="none" w:sz="0" w:space="0" w:color="auto"/>
                  </w:divBdr>
                  <w:divsChild>
                    <w:div w:id="470754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4724">
      <w:bodyDiv w:val="1"/>
      <w:marLeft w:val="0"/>
      <w:marRight w:val="0"/>
      <w:marTop w:val="0"/>
      <w:marBottom w:val="0"/>
      <w:divBdr>
        <w:top w:val="none" w:sz="0" w:space="0" w:color="auto"/>
        <w:left w:val="none" w:sz="0" w:space="0" w:color="auto"/>
        <w:bottom w:val="none" w:sz="0" w:space="0" w:color="auto"/>
        <w:right w:val="none" w:sz="0" w:space="0" w:color="auto"/>
      </w:divBdr>
    </w:div>
    <w:div w:id="605188662">
      <w:bodyDiv w:val="1"/>
      <w:marLeft w:val="0"/>
      <w:marRight w:val="0"/>
      <w:marTop w:val="0"/>
      <w:marBottom w:val="0"/>
      <w:divBdr>
        <w:top w:val="none" w:sz="0" w:space="0" w:color="auto"/>
        <w:left w:val="none" w:sz="0" w:space="0" w:color="auto"/>
        <w:bottom w:val="none" w:sz="0" w:space="0" w:color="auto"/>
        <w:right w:val="none" w:sz="0" w:space="0" w:color="auto"/>
      </w:divBdr>
    </w:div>
    <w:div w:id="637494175">
      <w:bodyDiv w:val="1"/>
      <w:marLeft w:val="0"/>
      <w:marRight w:val="0"/>
      <w:marTop w:val="0"/>
      <w:marBottom w:val="0"/>
      <w:divBdr>
        <w:top w:val="none" w:sz="0" w:space="0" w:color="auto"/>
        <w:left w:val="none" w:sz="0" w:space="0" w:color="auto"/>
        <w:bottom w:val="none" w:sz="0" w:space="0" w:color="auto"/>
        <w:right w:val="none" w:sz="0" w:space="0" w:color="auto"/>
      </w:divBdr>
    </w:div>
    <w:div w:id="7092312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732">
      <w:bodyDiv w:val="1"/>
      <w:marLeft w:val="0"/>
      <w:marRight w:val="0"/>
      <w:marTop w:val="0"/>
      <w:marBottom w:val="0"/>
      <w:divBdr>
        <w:top w:val="none" w:sz="0" w:space="0" w:color="auto"/>
        <w:left w:val="none" w:sz="0" w:space="0" w:color="auto"/>
        <w:bottom w:val="none" w:sz="0" w:space="0" w:color="auto"/>
        <w:right w:val="none" w:sz="0" w:space="0" w:color="auto"/>
      </w:divBdr>
    </w:div>
    <w:div w:id="118570667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047719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874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4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f@unicamp.br"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1AAB-C87A-4A32-8F8E-286544E8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17484</Characters>
  <Application>Microsoft Office Word</Application>
  <DocSecurity>0</DocSecurity>
  <Lines>145</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Regina</cp:lastModifiedBy>
  <cp:revision>2</cp:revision>
  <cp:lastPrinted>2023-04-14T19:14:00Z</cp:lastPrinted>
  <dcterms:created xsi:type="dcterms:W3CDTF">2023-04-17T17:00:00Z</dcterms:created>
  <dcterms:modified xsi:type="dcterms:W3CDTF">2023-04-17T17:00:00Z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