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0939E76" w:rsidR="00E978D0" w:rsidRPr="00B57B36" w:rsidRDefault="00AA602B" w:rsidP="00E978D0">
      <w:pPr>
        <w:pStyle w:val="CETTitle"/>
      </w:pPr>
      <w:r w:rsidRPr="00B50319">
        <w:t xml:space="preserve">Kinetic </w:t>
      </w:r>
      <w:r>
        <w:t>o</w:t>
      </w:r>
      <w:r w:rsidRPr="00B50319">
        <w:t xml:space="preserve">f </w:t>
      </w:r>
      <w:r>
        <w:t>t</w:t>
      </w:r>
      <w:r w:rsidRPr="00B50319">
        <w:t xml:space="preserve">he Sewage Treatment: The </w:t>
      </w:r>
      <w:r w:rsidRPr="00F10739">
        <w:t>Consumption</w:t>
      </w:r>
      <w:r w:rsidRPr="00B50319">
        <w:t xml:space="preserve"> </w:t>
      </w:r>
      <w:r>
        <w:t>o</w:t>
      </w:r>
      <w:r w:rsidRPr="00B50319">
        <w:t xml:space="preserve">f Organic Carbon </w:t>
      </w:r>
      <w:r>
        <w:t>o</w:t>
      </w:r>
      <w:r w:rsidRPr="00B50319">
        <w:t xml:space="preserve">f The Microalga </w:t>
      </w:r>
      <w:r w:rsidRPr="00DF3459">
        <w:rPr>
          <w:i/>
          <w:iCs/>
        </w:rPr>
        <w:t xml:space="preserve">Chlorella </w:t>
      </w:r>
      <w:r>
        <w:rPr>
          <w:i/>
          <w:iCs/>
        </w:rPr>
        <w:t>s</w:t>
      </w:r>
      <w:r w:rsidRPr="00DF3459">
        <w:rPr>
          <w:i/>
          <w:iCs/>
        </w:rPr>
        <w:t>p</w:t>
      </w:r>
      <w:r w:rsidRPr="00B50319">
        <w:t xml:space="preserve">. </w:t>
      </w:r>
    </w:p>
    <w:p w14:paraId="0488FED2" w14:textId="5E717691" w:rsidR="00B57E6F" w:rsidRPr="009C777F" w:rsidRDefault="00B50319" w:rsidP="00B57E6F">
      <w:pPr>
        <w:pStyle w:val="CETAuthors"/>
        <w:rPr>
          <w:lang w:val="it-IT"/>
        </w:rPr>
      </w:pPr>
      <w:r w:rsidRPr="009C777F">
        <w:rPr>
          <w:lang w:val="it-IT"/>
        </w:rPr>
        <w:t>Serena Lima*, Valerio Amari, Luca Schembri, Franco Grisafi, Giuseppe Caputo, Francesca Scargiali</w:t>
      </w:r>
    </w:p>
    <w:p w14:paraId="6B2D21B3" w14:textId="066487CA" w:rsidR="00B57E6F" w:rsidRPr="009C777F" w:rsidRDefault="00B50319" w:rsidP="00B57E6F">
      <w:pPr>
        <w:pStyle w:val="CETAddress"/>
        <w:rPr>
          <w:lang w:val="it-IT"/>
        </w:rPr>
      </w:pPr>
      <w:r w:rsidRPr="009C777F">
        <w:rPr>
          <w:lang w:val="it-IT"/>
        </w:rPr>
        <w:t>Department of Engineering, Università degli Studi di Palermo, Palermo, Italy.</w:t>
      </w:r>
    </w:p>
    <w:p w14:paraId="73F1267A" w14:textId="33E7A2D8" w:rsidR="00B57E6F" w:rsidRPr="00B57B36" w:rsidRDefault="00B50319" w:rsidP="00B57E6F">
      <w:pPr>
        <w:pStyle w:val="CETemail"/>
      </w:pPr>
      <w:r>
        <w:t>Serena.lima@unipa.it</w:t>
      </w:r>
    </w:p>
    <w:p w14:paraId="65F66539" w14:textId="1742B0AF" w:rsidR="00600535" w:rsidRPr="000052FB" w:rsidRDefault="00B50319" w:rsidP="008E0640">
      <w:pPr>
        <w:pStyle w:val="CETBodytext"/>
        <w:rPr>
          <w:b/>
        </w:rPr>
      </w:pPr>
      <w:bookmarkStart w:id="0" w:name="_Hlk495475023"/>
      <w:r w:rsidRPr="00B50319">
        <w:t xml:space="preserve">As well known, microalgae are eukaryotic or procaryotic microorganisms able to photosynthesize, namely transforming inorganic substrates and sun light into </w:t>
      </w:r>
      <w:r w:rsidRPr="00F10739">
        <w:t xml:space="preserve">organic compounds and chemical energy. They result very promising in treating civil wastewaters thanks to their ability to employ nitrates and phosphates as nutrients </w:t>
      </w:r>
      <w:r w:rsidR="00AA602B">
        <w:rPr>
          <w:rStyle w:val="Rimandonotaapidipagina"/>
        </w:rPr>
        <w:fldChar w:fldCharType="begin" w:fldLock="1"/>
      </w:r>
      <w:r w:rsidR="00AA602B">
        <w:instrText>ADDIN CSL_CITATION {"citationItems":[{"id":"ITEM-1","itemData":{"DOI":"10.3303/CET1974208","ISBN":"978-88-95608-71-6","ISSN":"2283-9216","abstract":"Microalgae are microorganisms able to photosynthesize, namely transforming inorganic substrates and sun light into organic compounds and chemical energy. The industry of microalgae has expanded in the last decades and several applications are now developed, making their biomass interesting under an economic perspective. Nannochlopsis gaditana is one of the most interesting species already employed in industry because of its high content in lipids that could be employed as source for biodiesel synthesis but also in other fields such as cosmetic and pharmaceutic. One of the most promising application is the exploitation of microalgal grow for bioremediating wastewaters polluted with inorganic nutrients such as nitrates and phosphates that microalgae are able to employ as nutrients. Bio-treatment of wastewaters by using microalgae has the advantage to reclassify the water and preserve it from wasting while producing a valuable biomass. In this work, a microalgal strain, Nannochloropsis gaditana, was employed for testing its performance in the bioremediation of municipal sewages. The wastewater was taken from a municipal plant, after the primary treatment, and the algae processing was aimed at replacing the secondary treatment. Algal growth in its growth medium and in the sewage was compared and algal biomass was characterized. Biochemical Oxygen Demand (BOD), Chemical Oxygen Demand (COD), total nitrogen and total phosphorous levels of the sewage before and after algae treatment were also determined in order to evaluate the efficiency of this microalgal strain on wastewater bioremediation. Our results showed that N. gaditana grows better in wastewater than in the control growth medium and it is able to efficiently remove nutrients from the sewage. However, COD and BOD values did not decrease after algal treatment. These results suggest that the use of selected bacteria and/or yeast strains (together with microalgae) could improve the efficiency of wastewater treatments decreasing BOD and COD values.","author":[{"dropping-particle":"","family":"Lima","given":"Serena","non-dropping-particle":"","parse-names":false,"suffix":""},{"dropping-particle":"","family":"Villanova","given":"Valeria","non-dropping-particle":"","parse-names":false,"suffix":""},{"dropping-particle":"","family":"Richiusa","given":"Monica","non-dropping-particle":"","parse-names":false,"suffix":""},{"dropping-particle":"","family":"Grisafi","given":"Franco","non-dropping-particle":"","parse-names":false,"suffix":""},{"dropping-particle":"","family":"Scargiali","given":"Francesca","non-dropping-particle":"","parse-names":false,"suffix":""},{"dropping-particle":"","family":"Brucato","given":"Alberto","non-dropping-particle":"","parse-names":false,"suffix":""}],"container-title":"CHEMICAL ENGINEERING TRANSACTIONS","id":"ITEM-1","issued":{"date-parts":[["2019"]]},"page":"1243-1248","title":"Pollutants Removal from Municipal Sewage by Means of Microalgae","type":"article-journal","volume":"74"},"uris":["http://www.mendeley.com/documents/?uuid=30a63f5c-d033-31d1-bbf1-5e6283b8562f"]}],"mendeley":{"formattedCitation":"(Lima et al., 2019)","plainTextFormattedCitation":"(Lima et al., 2019)","previouslyFormattedCitation":"Serena Lima, Valeria Villanova, and others, ‘Pollutants Removal from Municipal Sewage by Means of Microalgae’, &lt;i&gt;CHEMICAL ENGINEERING TRANSACTIONS&lt;/i&gt;, 74 (2019), 1243–48 &lt;https://doi.org/10.3303/CET1974208&gt;."},"properties":{"noteIndex":0},"schema":"https://github.com/citation-style-language/schema/raw/master/csl-citation.json"}</w:instrText>
      </w:r>
      <w:r w:rsidR="00AA602B">
        <w:rPr>
          <w:rStyle w:val="Rimandonotaapidipagina"/>
        </w:rPr>
        <w:fldChar w:fldCharType="separate"/>
      </w:r>
      <w:r w:rsidR="00AA602B" w:rsidRPr="00AA602B">
        <w:rPr>
          <w:noProof/>
        </w:rPr>
        <w:t>(Lima et al., 2019)</w:t>
      </w:r>
      <w:r w:rsidR="00AA602B">
        <w:rPr>
          <w:rStyle w:val="Rimandonotaapidipagina"/>
        </w:rPr>
        <w:fldChar w:fldCharType="end"/>
      </w:r>
      <w:r w:rsidRPr="00F10739">
        <w:t xml:space="preserve">. Autotrophic microalgae are, anyway, not useful in decreasing the organic carbon content of wastewaters, and for this reason, they cooperate with heterotrophic bacteria. The usefulness of microalgae-bacteria </w:t>
      </w:r>
      <w:r w:rsidR="009C777F" w:rsidRPr="00F10739">
        <w:t xml:space="preserve">consortia </w:t>
      </w:r>
      <w:r w:rsidRPr="00F10739">
        <w:t xml:space="preserve">in treating wastewaters and the ratio of their inoculum was investigated </w:t>
      </w:r>
      <w:r w:rsidR="009C777F" w:rsidRPr="00F10739">
        <w:t xml:space="preserve">in a previous work </w:t>
      </w:r>
      <w:r w:rsidR="00AA602B">
        <w:rPr>
          <w:rStyle w:val="Rimandonotaapidipagina"/>
        </w:rPr>
        <w:fldChar w:fldCharType="begin" w:fldLock="1"/>
      </w:r>
      <w:r w:rsidR="00AA602B">
        <w:instrText>ADDIN CSL_CITATION {"citationItems":[{"id":"ITEM-1","itemData":{"DOI":"10.1016/j.jwpe.2022.103142","ISSN":"2214-7144","author":[{"dropping-particle":"","family":"Lima","given":"Serena","non-dropping-particle":"","parse-names":false,"suffix":""},{"dropping-particle":"","family":"Brucato","given":"Alberto","non-dropping-particle":"","parse-names":false,"suffix":""},{"dropping-particle":"","family":"Caputo","given":"Giuseppe","non-dropping-particle":"","parse-names":false,"suffix":""},{"dropping-particle":"","family":"Grisafi","given":"Franco","non-dropping-particle":"","parse-names":false,"suffix":""},{"dropping-particle":"","family":"Scargiali","given":"Francesca","non-dropping-particle":"","parse-names":false,"suffix":""}],"container-title":"Journal of Water Process Engineering","id":"ITEM-1","issue":"June","issued":{"date-parts":[["2022"]]},"page":"103142","publisher":"Elsevier Ltd","title":"Inoculum of indigenous microalgae / activated sludge for optimal treatment of municipal wastewaters and biochemical composition of residual biomass for potential applications","type":"article-journal","volume":"49"},"uris":["http://www.mendeley.com/documents/?uuid=53d133af-2394-47c2-9b8c-8fc683095199"]}],"mendeley":{"formattedCitation":"(Lima, Brucato, Caputo, Grisafi, et al., 2022)","manualFormatting":"(Lima, 2022a)","plainTextFormattedCitation":"(Lima, Brucato, Caputo, Grisafi, et al., 2022)","previouslyFormattedCitation":"Serena Lima, Alberto Brucato, Giuseppe Caputo, Franco Grisafi, and others, ‘Inoculum of Indigenous Microalgae / Activated Sludge for Optimal Treatment of Municipal Wastewaters and Biochemical Composition of Residual Biomass for Potential Applications’, &lt;i&gt;Journal of Water Process Engineering&lt;/i&gt;, 49.June (2022), 103142 &lt;https://doi.org/10.1016/j.jwpe.2022.103142&gt;."},"properties":{"noteIndex":0},"schema":"https://github.com/citation-style-language/schema/raw/master/csl-citation.json"}</w:instrText>
      </w:r>
      <w:r w:rsidR="00AA602B">
        <w:rPr>
          <w:rStyle w:val="Rimandonotaapidipagina"/>
        </w:rPr>
        <w:fldChar w:fldCharType="separate"/>
      </w:r>
      <w:r w:rsidR="00AA602B">
        <w:rPr>
          <w:noProof/>
        </w:rPr>
        <w:t>(Lima, 2022a)</w:t>
      </w:r>
      <w:r w:rsidR="00AA602B">
        <w:rPr>
          <w:rStyle w:val="Rimandonotaapidipagina"/>
        </w:rPr>
        <w:fldChar w:fldCharType="end"/>
      </w:r>
      <w:r w:rsidRPr="00F10739">
        <w:t xml:space="preserve">. Contrarily to autotrophic microalgae, mixotrophic microalgae </w:t>
      </w:r>
      <w:proofErr w:type="gramStart"/>
      <w:r w:rsidRPr="00F10739">
        <w:t>are able to</w:t>
      </w:r>
      <w:proofErr w:type="gramEnd"/>
      <w:r w:rsidRPr="00F10739">
        <w:t xml:space="preserve"> decrease the organic content of the matrix in which they are grown. In this work, we preliminarily investigated the capability of the autochthonous microalga </w:t>
      </w:r>
      <w:r w:rsidRPr="00F10739">
        <w:rPr>
          <w:i/>
          <w:iCs/>
        </w:rPr>
        <w:t>Chlorella sp</w:t>
      </w:r>
      <w:r w:rsidRPr="00F10739">
        <w:t>. CW2 to grow in mixotrophy</w:t>
      </w:r>
      <w:r w:rsidRPr="00B50319">
        <w:t xml:space="preserve"> and decrease the organic content of the artificial wastewater in which they are grown. Several batch cultivations were performed with glucose in different concentrations. Kinetic parameters were obtained and employed to determine the dilution rate (D) ideal for the abatement of glucose from the artificial wastewater.</w:t>
      </w:r>
      <w:r w:rsidR="00600535" w:rsidRPr="00F565FE">
        <w:t xml:space="preserve"> </w:t>
      </w:r>
    </w:p>
    <w:bookmarkEnd w:id="0"/>
    <w:p w14:paraId="476B2F2E" w14:textId="77777777" w:rsidR="00600535" w:rsidRPr="00B57B36" w:rsidRDefault="00600535" w:rsidP="00600535">
      <w:pPr>
        <w:pStyle w:val="CETHeading1"/>
        <w:rPr>
          <w:lang w:val="en-GB"/>
        </w:rPr>
      </w:pPr>
      <w:r w:rsidRPr="00B57B36">
        <w:rPr>
          <w:lang w:val="en-GB"/>
        </w:rPr>
        <w:t>Introduction</w:t>
      </w:r>
    </w:p>
    <w:p w14:paraId="16B86D36" w14:textId="469D3A5E" w:rsidR="00CB50FF" w:rsidRDefault="005C328D" w:rsidP="00535764">
      <w:pPr>
        <w:pStyle w:val="CETBodytext"/>
        <w:rPr>
          <w:lang w:val="en-GB"/>
        </w:rPr>
      </w:pPr>
      <w:r>
        <w:t xml:space="preserve">Microalgae are photosynthetic microorganisms which represent an alternative biomass to land-plants because </w:t>
      </w:r>
      <w:r w:rsidR="008D1B34">
        <w:t xml:space="preserve">of their </w:t>
      </w:r>
      <w:r w:rsidR="004E1161">
        <w:t xml:space="preserve">high productivity and ability to grow in wastewaters. </w:t>
      </w:r>
      <w:r w:rsidR="005F2B1C">
        <w:t xml:space="preserve">They are </w:t>
      </w:r>
      <w:r w:rsidR="005F2B1C" w:rsidRPr="00F10739">
        <w:t xml:space="preserve">able to effectively removing nitrogen and phosphorous from wastewaters when cultivated </w:t>
      </w:r>
      <w:r w:rsidR="0037359A" w:rsidRPr="00F10739">
        <w:t>in autotrophy</w:t>
      </w:r>
      <w:r w:rsidR="005F2B1C" w:rsidRPr="00F10739">
        <w:t xml:space="preserve">; </w:t>
      </w:r>
      <w:r w:rsidR="00B84A00" w:rsidRPr="00F10739">
        <w:t xml:space="preserve">otherwise, </w:t>
      </w:r>
      <w:r w:rsidR="005F2B1C" w:rsidRPr="00F10739">
        <w:t xml:space="preserve">when cultivated together with heterotrophic bacteria their ability to decrease the Chemical oxygen demand (COD) increases </w:t>
      </w:r>
      <w:r w:rsidR="00AA602B">
        <w:rPr>
          <w:rStyle w:val="Rimandonotaapidipagina"/>
        </w:rPr>
        <w:fldChar w:fldCharType="begin" w:fldLock="1"/>
      </w:r>
      <w:r w:rsidR="00AA602B">
        <w:instrText>ADDIN CSL_CITATION {"citationItems":[{"id":"ITEM-1","itemData":{"DOI":"10.1016/j.jwpe.2022.103142","ISSN":"2214-7144","author":[{"dropping-particle":"","family":"Lima","given":"Serena","non-dropping-particle":"","parse-names":false,"suffix":""},{"dropping-particle":"","family":"Brucato","given":"Alberto","non-dropping-particle":"","parse-names":false,"suffix":""},{"dropping-particle":"","family":"Caputo","given":"Giuseppe","non-dropping-particle":"","parse-names":false,"suffix":""},{"dropping-particle":"","family":"Grisafi","given":"Franco","non-dropping-particle":"","parse-names":false,"suffix":""},{"dropping-particle":"","family":"Scargiali","given":"Francesca","non-dropping-particle":"","parse-names":false,"suffix":""}],"container-title":"Journal of Water Process Engineering","id":"ITEM-1","issue":"June","issued":{"date-parts":[["2022"]]},"page":"103142","publisher":"Elsevier Ltd","title":"Inoculum of indigenous microalgae / activated sludge for optimal treatment of municipal wastewaters and biochemical composition of residual biomass for potential applications","type":"article-journal","volume":"49"},"uris":["http://www.mendeley.com/documents/?uuid=53d133af-2394-47c2-9b8c-8fc683095199"]}],"mendeley":{"formattedCitation":"(Lima, Brucato, Caputo, Grisafi, et al., 2022)","plainTextFormattedCitation":"(Lima, Brucato, Caputo, Grisafi, et al., 2022)","previouslyFormattedCitation":"Lima, Brucato, Caputo, Grisafi, and others."},"properties":{"noteIndex":0},"schema":"https://github.com/citation-style-language/schema/raw/master/csl-citation.json"}</w:instrText>
      </w:r>
      <w:r w:rsidR="00AA602B">
        <w:rPr>
          <w:rStyle w:val="Rimandonotaapidipagina"/>
        </w:rPr>
        <w:fldChar w:fldCharType="separate"/>
      </w:r>
      <w:r w:rsidR="00AA602B" w:rsidRPr="00AA602B">
        <w:rPr>
          <w:noProof/>
        </w:rPr>
        <w:t>(Lima, Brucato, Caputo, Grisafi, et al., 2022)</w:t>
      </w:r>
      <w:r w:rsidR="00AA602B">
        <w:rPr>
          <w:rStyle w:val="Rimandonotaapidipagina"/>
        </w:rPr>
        <w:fldChar w:fldCharType="end"/>
      </w:r>
      <w:r w:rsidR="005F2B1C" w:rsidRPr="00F10739">
        <w:t xml:space="preserve">. </w:t>
      </w:r>
      <w:r w:rsidR="0037359A" w:rsidRPr="00F10739">
        <w:t xml:space="preserve">When cultivated in mixotrophy, microalgae may </w:t>
      </w:r>
      <w:r w:rsidR="00B84A00" w:rsidRPr="00F10739">
        <w:t xml:space="preserve">instead </w:t>
      </w:r>
      <w:r w:rsidR="0037359A" w:rsidRPr="00F10739">
        <w:t xml:space="preserve">exploit the carbon source </w:t>
      </w:r>
      <w:r w:rsidR="00B84A00" w:rsidRPr="00F10739">
        <w:t>of</w:t>
      </w:r>
      <w:r w:rsidR="0037359A" w:rsidRPr="00F10739">
        <w:t xml:space="preserve"> the culture medium and simultaneously use the light as energy source. In this way algae may decrease the organic carbon of the sewage, and therefore </w:t>
      </w:r>
      <w:r w:rsidR="00535764" w:rsidRPr="00F10739">
        <w:t>abat</w:t>
      </w:r>
      <w:r w:rsidR="009C777F" w:rsidRPr="00F10739">
        <w:t>e</w:t>
      </w:r>
      <w:r w:rsidR="0037359A" w:rsidRPr="00F10739">
        <w:t xml:space="preserve"> COD and total organic carbon (TOC). </w:t>
      </w:r>
      <w:r w:rsidR="00535764" w:rsidRPr="00F10739">
        <w:t>It is well known that the use of microalgae in wastewater treatment has several advantages</w:t>
      </w:r>
      <w:r w:rsidR="00D73E4F" w:rsidRPr="00F10739">
        <w:t>, such as</w:t>
      </w:r>
      <w:r w:rsidR="00535764" w:rsidRPr="00F10739">
        <w:t xml:space="preserve"> the removal of pollutants such as ammonia (NH</w:t>
      </w:r>
      <w:r w:rsidR="00535764" w:rsidRPr="00F10739">
        <w:rPr>
          <w:vertAlign w:val="subscript"/>
        </w:rPr>
        <w:t>4</w:t>
      </w:r>
      <w:r w:rsidR="00535764" w:rsidRPr="00F10739">
        <w:rPr>
          <w:vertAlign w:val="superscript"/>
        </w:rPr>
        <w:t>+</w:t>
      </w:r>
      <w:r w:rsidR="00535764" w:rsidRPr="00F10739">
        <w:t>), nitrates (NO</w:t>
      </w:r>
      <w:r w:rsidR="00535764" w:rsidRPr="00F10739">
        <w:rPr>
          <w:vertAlign w:val="subscript"/>
        </w:rPr>
        <w:t>3</w:t>
      </w:r>
      <w:r w:rsidR="00535764" w:rsidRPr="00F10739">
        <w:rPr>
          <w:vertAlign w:val="superscript"/>
        </w:rPr>
        <w:t>−</w:t>
      </w:r>
      <w:r w:rsidR="00535764" w:rsidRPr="00F10739">
        <w:t>) and phosphates (PO</w:t>
      </w:r>
      <w:r w:rsidR="00535764" w:rsidRPr="00F10739">
        <w:rPr>
          <w:vertAlign w:val="subscript"/>
        </w:rPr>
        <w:t>4</w:t>
      </w:r>
      <w:r w:rsidR="00535764" w:rsidRPr="00F10739">
        <w:rPr>
          <w:vertAlign w:val="superscript"/>
        </w:rPr>
        <w:t>3-</w:t>
      </w:r>
      <w:r w:rsidR="00535764" w:rsidRPr="00F10739">
        <w:t xml:space="preserve">) </w:t>
      </w:r>
      <w:proofErr w:type="gramStart"/>
      <w:r w:rsidR="00535764" w:rsidRPr="00F10739">
        <w:t>and also</w:t>
      </w:r>
      <w:proofErr w:type="gramEnd"/>
      <w:r w:rsidR="00535764" w:rsidRPr="00F10739">
        <w:t xml:space="preserve"> of heavy metals</w:t>
      </w:r>
      <w:r w:rsidR="00D73E4F" w:rsidRPr="00F10739">
        <w:t xml:space="preserve">, </w:t>
      </w:r>
      <w:r w:rsidR="00535764" w:rsidRPr="00F10739">
        <w:t>oxygen production that can be used by the heterotrophic bacteria to degrade compounds present in the matrix</w:t>
      </w:r>
      <w:r w:rsidR="00D73E4F" w:rsidRPr="00F10739">
        <w:t xml:space="preserve"> and </w:t>
      </w:r>
      <w:r w:rsidR="00535764" w:rsidRPr="00F10739">
        <w:t>CO</w:t>
      </w:r>
      <w:r w:rsidR="00535764" w:rsidRPr="00F10739">
        <w:rPr>
          <w:vertAlign w:val="subscript"/>
        </w:rPr>
        <w:t>2</w:t>
      </w:r>
      <w:r w:rsidR="00535764" w:rsidRPr="00F10739">
        <w:t xml:space="preserve"> removal.</w:t>
      </w:r>
      <w:r w:rsidR="00D73E4F" w:rsidRPr="00F10739">
        <w:t xml:space="preserve"> </w:t>
      </w:r>
      <w:r w:rsidR="004E1161" w:rsidRPr="00F10739">
        <w:t xml:space="preserve">There are several examples </w:t>
      </w:r>
      <w:r w:rsidR="005F2B1C" w:rsidRPr="00F10739">
        <w:t xml:space="preserve">of </w:t>
      </w:r>
      <w:r w:rsidR="00535764" w:rsidRPr="00F10739">
        <w:t xml:space="preserve">lab-scale and </w:t>
      </w:r>
      <w:r w:rsidR="005F2B1C" w:rsidRPr="00F10739">
        <w:t>pilot-scale outdoor cultivation of microalgae with the aim of treating wastewaters</w:t>
      </w:r>
      <w:r w:rsidR="0037359A" w:rsidRPr="00F10739">
        <w:t xml:space="preserve">; the practice is anyway not widespread on higher scale because of the </w:t>
      </w:r>
      <w:r w:rsidR="0066595B" w:rsidRPr="00F10739">
        <w:t xml:space="preserve">lack of reliable and reproducible parameters that strongly affect growth, </w:t>
      </w:r>
      <w:r w:rsidR="00535764" w:rsidRPr="00F10739">
        <w:t>nutrient abatement</w:t>
      </w:r>
      <w:r w:rsidR="0066595B" w:rsidRPr="00F10739">
        <w:t xml:space="preserve"> and, consequently, the industrial scale-up of the systems.</w:t>
      </w:r>
      <w:r w:rsidR="0037359A" w:rsidRPr="00F10739">
        <w:t xml:space="preserve"> </w:t>
      </w:r>
      <w:r w:rsidR="00F738E8" w:rsidRPr="00F10739">
        <w:t xml:space="preserve">For the industrial treatment of civil sewage, normally outdoor reactors called raceway ponds are employed. </w:t>
      </w:r>
      <w:proofErr w:type="gramStart"/>
      <w:r w:rsidR="00F738E8" w:rsidRPr="00F10739">
        <w:t>In order to</w:t>
      </w:r>
      <w:proofErr w:type="gramEnd"/>
      <w:r w:rsidR="00F738E8" w:rsidRPr="00F10739">
        <w:t xml:space="preserve"> design and appropriately size the raceway reactors, some kinetic parameters are needed, such as the specific grow factor μ and the substrate constant K</w:t>
      </w:r>
      <w:r w:rsidR="00F738E8" w:rsidRPr="00F10739">
        <w:rPr>
          <w:vertAlign w:val="subscript"/>
        </w:rPr>
        <w:t>s</w:t>
      </w:r>
      <w:r w:rsidR="00F738E8" w:rsidRPr="00F10739">
        <w:t xml:space="preserve"> (Doran, 2013). These are normally obtained from batch data, by measuring the concentrations of the microorganisms and that of the nutrient of interest.</w:t>
      </w:r>
      <w:r w:rsidR="00B84A00" w:rsidRPr="00F10739">
        <w:t xml:space="preserve"> In this work, a synthetic wastewater was designed and characterized</w:t>
      </w:r>
      <w:r w:rsidR="00E9253C" w:rsidRPr="00F10739">
        <w:t xml:space="preserve"> to be</w:t>
      </w:r>
      <w:r w:rsidR="00B84A00" w:rsidRPr="00F10739">
        <w:t xml:space="preserve"> employed for </w:t>
      </w:r>
      <w:r w:rsidR="008E0640" w:rsidRPr="00F10739">
        <w:t xml:space="preserve">the cultivation of an autochthonous strain of the microalga </w:t>
      </w:r>
      <w:r w:rsidR="008E0640" w:rsidRPr="00F10739">
        <w:rPr>
          <w:i/>
          <w:iCs/>
        </w:rPr>
        <w:t xml:space="preserve">Chlorella </w:t>
      </w:r>
      <w:proofErr w:type="spellStart"/>
      <w:r w:rsidR="008E0640" w:rsidRPr="00F10739">
        <w:rPr>
          <w:i/>
          <w:iCs/>
        </w:rPr>
        <w:t>sp</w:t>
      </w:r>
      <w:proofErr w:type="spellEnd"/>
      <w:r w:rsidR="00916ECE" w:rsidRPr="00F10739">
        <w:rPr>
          <w:i/>
          <w:iCs/>
        </w:rPr>
        <w:t xml:space="preserve"> </w:t>
      </w:r>
      <w:r w:rsidR="00916ECE" w:rsidRPr="00F10739">
        <w:t>CW2</w:t>
      </w:r>
      <w:r w:rsidR="008E0640" w:rsidRPr="00F10739">
        <w:t xml:space="preserve">, previously isolated from wastewaters </w:t>
      </w:r>
      <w:r w:rsidR="00535764" w:rsidRPr="00F10739">
        <w:t>and molecularly characterized. The microalga was cultivated in several batches with growing glucose concentrations 2.2 mg L</w:t>
      </w:r>
      <w:r w:rsidR="00535764" w:rsidRPr="00F10739">
        <w:rPr>
          <w:vertAlign w:val="superscript"/>
        </w:rPr>
        <w:t>-1</w:t>
      </w:r>
      <w:r w:rsidR="00535764" w:rsidRPr="00F10739">
        <w:t>, 6.7 mg L</w:t>
      </w:r>
      <w:r w:rsidR="00535764" w:rsidRPr="00F10739">
        <w:rPr>
          <w:vertAlign w:val="superscript"/>
        </w:rPr>
        <w:t>-1</w:t>
      </w:r>
      <w:r w:rsidR="00535764" w:rsidRPr="00F10739">
        <w:t>,12.6 mg L</w:t>
      </w:r>
      <w:r w:rsidR="00535764" w:rsidRPr="00F10739">
        <w:rPr>
          <w:vertAlign w:val="superscript"/>
        </w:rPr>
        <w:t>-1</w:t>
      </w:r>
      <w:r w:rsidR="00535764" w:rsidRPr="00F10739">
        <w:t>, 22.2 mg L</w:t>
      </w:r>
      <w:r w:rsidR="00535764" w:rsidRPr="00F10739">
        <w:rPr>
          <w:vertAlign w:val="superscript"/>
        </w:rPr>
        <w:t>-1</w:t>
      </w:r>
      <w:r w:rsidR="00535764" w:rsidRPr="00F10739">
        <w:t>, 40.0 mg L</w:t>
      </w:r>
      <w:r w:rsidR="00535764" w:rsidRPr="00F10739">
        <w:rPr>
          <w:vertAlign w:val="superscript"/>
        </w:rPr>
        <w:t>-1</w:t>
      </w:r>
      <w:r w:rsidR="00535764" w:rsidRPr="00F10739">
        <w:t>, 89.3 mg L</w:t>
      </w:r>
      <w:r w:rsidR="00535764" w:rsidRPr="00F10739">
        <w:rPr>
          <w:vertAlign w:val="superscript"/>
        </w:rPr>
        <w:t>-1</w:t>
      </w:r>
      <w:r w:rsidR="00535764" w:rsidRPr="00F10739">
        <w:t>, 210.2 mg L</w:t>
      </w:r>
      <w:r w:rsidR="00535764" w:rsidRPr="00F10739">
        <w:rPr>
          <w:vertAlign w:val="superscript"/>
        </w:rPr>
        <w:t>-1</w:t>
      </w:r>
      <w:r w:rsidR="00535764" w:rsidRPr="00F10739">
        <w:t xml:space="preserve"> and 250.0 mg L</w:t>
      </w:r>
      <w:r w:rsidR="00535764" w:rsidRPr="00F10739">
        <w:rPr>
          <w:vertAlign w:val="superscript"/>
        </w:rPr>
        <w:t>-1</w:t>
      </w:r>
      <w:r w:rsidR="00535764" w:rsidRPr="00F10739">
        <w:t xml:space="preserve"> with the aim of</w:t>
      </w:r>
      <w:r w:rsidR="00535764" w:rsidRPr="00F10739">
        <w:rPr>
          <w:lang w:val="en-GB"/>
        </w:rPr>
        <w:t xml:space="preserve"> calculating the growth rate of each cultivation. </w:t>
      </w:r>
      <w:r w:rsidR="002C0628">
        <w:rPr>
          <w:lang w:val="en-GB"/>
        </w:rPr>
        <w:t xml:space="preserve">The result showed that </w:t>
      </w:r>
      <w:r w:rsidR="002C0628" w:rsidRPr="002C0628">
        <w:rPr>
          <w:lang w:val="en-GB"/>
        </w:rPr>
        <w:t>t</w:t>
      </w:r>
      <w:r w:rsidR="00535764" w:rsidRPr="002C0628">
        <w:rPr>
          <w:lang w:val="en-GB"/>
        </w:rPr>
        <w:t xml:space="preserve">he growth rate </w:t>
      </w:r>
      <w:r w:rsidR="00E9253C" w:rsidRPr="002C0628">
        <w:rPr>
          <w:lang w:val="en-GB"/>
        </w:rPr>
        <w:t>increase</w:t>
      </w:r>
      <w:r w:rsidR="002C0628" w:rsidRPr="002C0628">
        <w:rPr>
          <w:lang w:val="en-GB"/>
        </w:rPr>
        <w:t>d</w:t>
      </w:r>
      <w:r w:rsidR="00535764" w:rsidRPr="002C0628">
        <w:rPr>
          <w:lang w:val="en-GB"/>
        </w:rPr>
        <w:t xml:space="preserve"> together with glucose concentration. The kinetic parameters were estimated through a </w:t>
      </w:r>
      <w:proofErr w:type="spellStart"/>
      <w:r w:rsidR="00535764" w:rsidRPr="002C0628">
        <w:rPr>
          <w:lang w:val="en-GB"/>
        </w:rPr>
        <w:t>Langumuir</w:t>
      </w:r>
      <w:proofErr w:type="spellEnd"/>
      <w:r w:rsidR="00535764" w:rsidRPr="002C0628">
        <w:rPr>
          <w:lang w:val="en-GB"/>
        </w:rPr>
        <w:t xml:space="preserve"> Plot, as suggested by </w:t>
      </w:r>
      <w:r w:rsidR="00535764" w:rsidRPr="002C0628">
        <w:rPr>
          <w:lang w:val="en-GB"/>
        </w:rPr>
        <w:lastRenderedPageBreak/>
        <w:t xml:space="preserve">Doran </w:t>
      </w:r>
      <w:r w:rsidR="00AA602B" w:rsidRPr="002C0628">
        <w:rPr>
          <w:rStyle w:val="Rimandonotaapidipagina"/>
          <w:lang w:val="en-GB"/>
        </w:rPr>
        <w:fldChar w:fldCharType="begin" w:fldLock="1"/>
      </w:r>
      <w:r w:rsidR="00AA602B" w:rsidRPr="002C0628">
        <w:rPr>
          <w:lang w:val="en-GB"/>
        </w:rPr>
        <w:instrText>ADDIN CSL_CITATION {"citationItems":[{"id":"ITEM-1","itemData":{"ISBN":"978-0-12-220851-5","author":[{"dropping-particle":"","family":"Doran","given":"Pauline M.","non-dropping-particle":"","parse-names":false,"suffix":""}],"edition":"second","id":"ITEM-1","issued":{"date-parts":[["2013"]]},"title":"Bioprocess engineering principles","type":"book"},"uris":["http://www.mendeley.com/documents/?uuid=e2c1ffbb-7a36-487d-a730-a1864f6943a5"]}],"mendeley":{"formattedCitation":"(Doran, 2013)","plainTextFormattedCitation":"(Doran, 2013)","previouslyFormattedCitation":"Pauline M. Doran, &lt;i&gt;Bioprocess Engineering Principles&lt;/i&gt;, second, 2013."},"properties":{"noteIndex":0},"schema":"https://github.com/citation-style-language/schema/raw/master/csl-citation.json"}</w:instrText>
      </w:r>
      <w:r w:rsidR="00AA602B" w:rsidRPr="002C0628">
        <w:rPr>
          <w:rStyle w:val="Rimandonotaapidipagina"/>
          <w:lang w:val="en-GB"/>
        </w:rPr>
        <w:fldChar w:fldCharType="separate"/>
      </w:r>
      <w:r w:rsidR="00AA602B" w:rsidRPr="002C0628">
        <w:rPr>
          <w:noProof/>
          <w:lang w:val="en-GB"/>
        </w:rPr>
        <w:t>(Doran, 2013)</w:t>
      </w:r>
      <w:r w:rsidR="00AA602B" w:rsidRPr="002C0628">
        <w:rPr>
          <w:rStyle w:val="Rimandonotaapidipagina"/>
          <w:lang w:val="en-GB"/>
        </w:rPr>
        <w:fldChar w:fldCharType="end"/>
      </w:r>
      <w:r w:rsidR="00535764" w:rsidRPr="002C0628">
        <w:rPr>
          <w:lang w:val="en-GB"/>
        </w:rPr>
        <w:t xml:space="preserve">. </w:t>
      </w:r>
      <w:proofErr w:type="gramStart"/>
      <w:r w:rsidR="002C0628" w:rsidRPr="002C0628">
        <w:rPr>
          <w:lang w:val="en-GB"/>
        </w:rPr>
        <w:t xml:space="preserve">Furthermore </w:t>
      </w:r>
      <w:r w:rsidR="00535764" w:rsidRPr="002C0628">
        <w:rPr>
          <w:lang w:val="en-GB"/>
        </w:rPr>
        <w:t xml:space="preserve"> the</w:t>
      </w:r>
      <w:proofErr w:type="gramEnd"/>
      <w:r w:rsidR="00535764" w:rsidRPr="002C0628">
        <w:rPr>
          <w:lang w:val="en-GB"/>
        </w:rPr>
        <w:t xml:space="preserve"> decrease of glucose was followed in each cultivation, with the result that the alga was able to employ each of the tested glucose concentration and that the rate of decrease is independent from the employed concentration.</w:t>
      </w:r>
    </w:p>
    <w:p w14:paraId="113B0C10" w14:textId="3D23F0A7" w:rsidR="00AA602B" w:rsidRDefault="00AA602B" w:rsidP="00535764">
      <w:pPr>
        <w:pStyle w:val="CETBodytext"/>
      </w:pPr>
    </w:p>
    <w:p w14:paraId="61A9B77A" w14:textId="6900A49A" w:rsidR="00600535" w:rsidRPr="008A3FAF" w:rsidRDefault="008A3FAF" w:rsidP="008A3FAF">
      <w:pPr>
        <w:pStyle w:val="CETHeading1"/>
      </w:pPr>
      <w:r w:rsidRPr="008A3FAF">
        <w:t>Material and Methods</w:t>
      </w:r>
    </w:p>
    <w:p w14:paraId="6B4C63E5" w14:textId="156435F5" w:rsidR="00600535" w:rsidRDefault="008A3FAF" w:rsidP="00674732">
      <w:pPr>
        <w:pStyle w:val="CETheadingx"/>
      </w:pPr>
      <w:r>
        <w:t>Microalgal growth</w:t>
      </w:r>
    </w:p>
    <w:p w14:paraId="0473E3F4" w14:textId="14CE2BD8" w:rsidR="002F09F7" w:rsidRPr="00AD1B9E" w:rsidRDefault="00674732" w:rsidP="00AD1B9E">
      <w:r w:rsidRPr="0048370D">
        <w:t xml:space="preserve">Microalgae </w:t>
      </w:r>
      <w:r w:rsidRPr="00AD1B9E">
        <w:rPr>
          <w:i/>
          <w:iCs/>
        </w:rPr>
        <w:t>Chlorella sp. Pozzillo</w:t>
      </w:r>
      <w:r w:rsidRPr="0048370D">
        <w:t xml:space="preserve">, previously isolated, was grown in </w:t>
      </w:r>
      <w:r w:rsidR="00177EC9">
        <w:t xml:space="preserve">a synthetic </w:t>
      </w:r>
      <w:r w:rsidR="00670B06">
        <w:t>wastewater with the following</w:t>
      </w:r>
      <w:r w:rsidR="003805FF">
        <w:t xml:space="preserve"> </w:t>
      </w:r>
      <w:r w:rsidR="00670B06">
        <w:t xml:space="preserve">composition: </w:t>
      </w:r>
      <w:r w:rsidR="003805FF">
        <w:t>glucose 221.7 mg L</w:t>
      </w:r>
      <w:r w:rsidR="003805FF" w:rsidRPr="00AD1B9E">
        <w:rPr>
          <w:vertAlign w:val="superscript"/>
        </w:rPr>
        <w:t>-1</w:t>
      </w:r>
      <w:r w:rsidR="003805FF">
        <w:t>, NH</w:t>
      </w:r>
      <w:r w:rsidR="003805FF" w:rsidRPr="00AD1B9E">
        <w:rPr>
          <w:vertAlign w:val="subscript"/>
        </w:rPr>
        <w:t>4</w:t>
      </w:r>
      <w:r w:rsidR="003805FF">
        <w:t>Cl 153 mg L</w:t>
      </w:r>
      <w:r w:rsidR="003805FF" w:rsidRPr="00AD1B9E">
        <w:rPr>
          <w:vertAlign w:val="superscript"/>
        </w:rPr>
        <w:t>-1</w:t>
      </w:r>
      <w:r w:rsidR="003805FF">
        <w:t>, NaNO</w:t>
      </w:r>
      <w:r w:rsidR="003805FF" w:rsidRPr="00AD1B9E">
        <w:rPr>
          <w:vertAlign w:val="subscript"/>
        </w:rPr>
        <w:t>3</w:t>
      </w:r>
      <w:r w:rsidR="003805FF">
        <w:t xml:space="preserve"> 160 mg L</w:t>
      </w:r>
      <w:r w:rsidR="003805FF" w:rsidRPr="00AD1B9E">
        <w:rPr>
          <w:vertAlign w:val="superscript"/>
        </w:rPr>
        <w:t>-1</w:t>
      </w:r>
      <w:r w:rsidR="003805FF">
        <w:t>, CaCl</w:t>
      </w:r>
      <w:r w:rsidR="003805FF" w:rsidRPr="00AD1B9E">
        <w:rPr>
          <w:vertAlign w:val="subscript"/>
        </w:rPr>
        <w:t>2</w:t>
      </w:r>
      <w:r w:rsidR="003805FF">
        <w:t>·</w:t>
      </w:r>
      <w:r w:rsidR="00AD1B9E">
        <w:t>(</w:t>
      </w:r>
      <w:r w:rsidR="003805FF">
        <w:t>2H</w:t>
      </w:r>
      <w:r w:rsidR="003805FF" w:rsidRPr="00AD1B9E">
        <w:rPr>
          <w:vertAlign w:val="subscript"/>
        </w:rPr>
        <w:t>2</w:t>
      </w:r>
      <w:r w:rsidR="003805FF">
        <w:t>O</w:t>
      </w:r>
      <w:r w:rsidR="00AD1B9E">
        <w:t xml:space="preserve">) </w:t>
      </w:r>
      <w:r w:rsidR="003805FF">
        <w:t>165</w:t>
      </w:r>
      <w:r w:rsidR="00E95AFB">
        <w:t xml:space="preserve"> </w:t>
      </w:r>
      <w:r w:rsidR="003805FF">
        <w:t>mg L</w:t>
      </w:r>
      <w:r w:rsidR="003805FF" w:rsidRPr="00AD1B9E">
        <w:rPr>
          <w:vertAlign w:val="superscript"/>
        </w:rPr>
        <w:t>-1</w:t>
      </w:r>
      <w:r w:rsidR="003805FF">
        <w:t xml:space="preserve">, </w:t>
      </w:r>
      <w:r w:rsidR="003805FF" w:rsidRPr="003805FF">
        <w:t>Na</w:t>
      </w:r>
      <w:r w:rsidR="003805FF" w:rsidRPr="00AD1B9E">
        <w:rPr>
          <w:vertAlign w:val="subscript"/>
        </w:rPr>
        <w:t>2</w:t>
      </w:r>
      <w:r w:rsidR="003805FF" w:rsidRPr="003805FF">
        <w:t>SO</w:t>
      </w:r>
      <w:r w:rsidR="003805FF" w:rsidRPr="00AD1B9E">
        <w:rPr>
          <w:vertAlign w:val="subscript"/>
        </w:rPr>
        <w:t>4</w:t>
      </w:r>
      <w:r w:rsidR="003805FF">
        <w:t xml:space="preserve"> </w:t>
      </w:r>
      <w:r w:rsidR="003805FF" w:rsidRPr="003805FF">
        <w:t xml:space="preserve">63.37 </w:t>
      </w:r>
      <w:r w:rsidR="003805FF">
        <w:t>mg L</w:t>
      </w:r>
      <w:r w:rsidR="003805FF" w:rsidRPr="00AD1B9E">
        <w:rPr>
          <w:vertAlign w:val="superscript"/>
        </w:rPr>
        <w:t>-1</w:t>
      </w:r>
      <w:r w:rsidR="003805FF">
        <w:t xml:space="preserve">, </w:t>
      </w:r>
      <w:r w:rsidR="003805FF" w:rsidRPr="003805FF">
        <w:t>K</w:t>
      </w:r>
      <w:r w:rsidR="003805FF" w:rsidRPr="00AD1B9E">
        <w:rPr>
          <w:vertAlign w:val="subscript"/>
        </w:rPr>
        <w:t>2</w:t>
      </w:r>
      <w:r w:rsidR="003805FF" w:rsidRPr="003805FF">
        <w:t>HPO</w:t>
      </w:r>
      <w:r w:rsidR="003805FF" w:rsidRPr="00AD1B9E">
        <w:rPr>
          <w:vertAlign w:val="subscript"/>
        </w:rPr>
        <w:t>4</w:t>
      </w:r>
      <w:r w:rsidR="003805FF">
        <w:t xml:space="preserve"> </w:t>
      </w:r>
      <w:r w:rsidR="003805FF" w:rsidRPr="003805FF">
        <w:t xml:space="preserve">56.37 </w:t>
      </w:r>
      <w:r w:rsidR="003805FF">
        <w:t>mg L</w:t>
      </w:r>
      <w:r w:rsidR="003805FF" w:rsidRPr="00AD1B9E">
        <w:rPr>
          <w:vertAlign w:val="superscript"/>
        </w:rPr>
        <w:t>-1</w:t>
      </w:r>
      <w:r w:rsidR="003805FF">
        <w:t xml:space="preserve">, </w:t>
      </w:r>
      <w:r w:rsidR="003805FF" w:rsidRPr="003805FF">
        <w:t>NaHCO</w:t>
      </w:r>
      <w:r w:rsidR="003805FF" w:rsidRPr="00AD1B9E">
        <w:rPr>
          <w:vertAlign w:val="subscript"/>
        </w:rPr>
        <w:t>3</w:t>
      </w:r>
      <w:r w:rsidR="003805FF">
        <w:t xml:space="preserve"> </w:t>
      </w:r>
      <w:r w:rsidR="003805FF" w:rsidRPr="003805FF">
        <w:t xml:space="preserve">200 </w:t>
      </w:r>
      <w:r w:rsidR="003805FF">
        <w:t>mg L</w:t>
      </w:r>
      <w:r w:rsidR="003805FF" w:rsidRPr="00AD1B9E">
        <w:rPr>
          <w:vertAlign w:val="superscript"/>
        </w:rPr>
        <w:t>-1</w:t>
      </w:r>
      <w:r w:rsidR="00AD1B9E">
        <w:t>, EDTA (Na</w:t>
      </w:r>
      <w:r w:rsidR="00AD1B9E" w:rsidRPr="00AD1B9E">
        <w:rPr>
          <w:vertAlign w:val="subscript"/>
        </w:rPr>
        <w:t>2</w:t>
      </w:r>
      <w:r w:rsidR="00AD1B9E">
        <w:t xml:space="preserve"> salt) 6.37</w:t>
      </w:r>
      <w:r w:rsidR="00AD1B9E" w:rsidRPr="00AD1B9E">
        <w:t xml:space="preserve"> </w:t>
      </w:r>
      <w:r w:rsidR="00AD1B9E">
        <w:t>mg L</w:t>
      </w:r>
      <w:r w:rsidR="00AD1B9E" w:rsidRPr="00AD1B9E">
        <w:rPr>
          <w:vertAlign w:val="superscript"/>
        </w:rPr>
        <w:t>-1</w:t>
      </w:r>
      <w:r w:rsidR="00AD1B9E">
        <w:t>, FeCl</w:t>
      </w:r>
      <w:r w:rsidR="00AD1B9E" w:rsidRPr="00AD1B9E">
        <w:rPr>
          <w:vertAlign w:val="subscript"/>
        </w:rPr>
        <w:t>3</w:t>
      </w:r>
      <w:r w:rsidR="00AD1B9E">
        <w:t xml:space="preserve"> (6 H</w:t>
      </w:r>
      <w:r w:rsidR="00AD1B9E" w:rsidRPr="00AD1B9E">
        <w:rPr>
          <w:vertAlign w:val="subscript"/>
        </w:rPr>
        <w:t>2</w:t>
      </w:r>
      <w:r w:rsidR="00AD1B9E">
        <w:t>O) 4.85</w:t>
      </w:r>
      <w:r w:rsidR="00AD1B9E" w:rsidRPr="00AD1B9E">
        <w:t xml:space="preserve"> </w:t>
      </w:r>
      <w:r w:rsidR="00AD1B9E">
        <w:t>mg L</w:t>
      </w:r>
      <w:r w:rsidR="00AD1B9E" w:rsidRPr="00AD1B9E">
        <w:rPr>
          <w:vertAlign w:val="superscript"/>
        </w:rPr>
        <w:t>-1</w:t>
      </w:r>
      <w:r w:rsidR="00AD1B9E">
        <w:t>, CuSO</w:t>
      </w:r>
      <w:r w:rsidR="00AD1B9E" w:rsidRPr="00AD1B9E">
        <w:rPr>
          <w:vertAlign w:val="subscript"/>
        </w:rPr>
        <w:t>4</w:t>
      </w:r>
      <w:r w:rsidR="00AD1B9E">
        <w:t xml:space="preserve"> (5 H</w:t>
      </w:r>
      <w:r w:rsidR="00AD1B9E" w:rsidRPr="00AD1B9E">
        <w:rPr>
          <w:vertAlign w:val="subscript"/>
        </w:rPr>
        <w:t>2</w:t>
      </w:r>
      <w:r w:rsidR="00AD1B9E">
        <w:t>O) 0.02</w:t>
      </w:r>
      <w:r w:rsidR="00AD1B9E" w:rsidRPr="00AD1B9E">
        <w:t xml:space="preserve"> </w:t>
      </w:r>
      <w:r w:rsidR="00AD1B9E">
        <w:t>mg L</w:t>
      </w:r>
      <w:r w:rsidR="00AD1B9E" w:rsidRPr="00AD1B9E">
        <w:rPr>
          <w:vertAlign w:val="superscript"/>
        </w:rPr>
        <w:t>-1</w:t>
      </w:r>
      <w:r w:rsidR="00AD1B9E">
        <w:t>, ZnSO</w:t>
      </w:r>
      <w:r w:rsidR="00AD1B9E" w:rsidRPr="00AD1B9E">
        <w:rPr>
          <w:vertAlign w:val="subscript"/>
        </w:rPr>
        <w:t>4</w:t>
      </w:r>
      <w:r w:rsidR="00AD1B9E">
        <w:t xml:space="preserve"> (7 H</w:t>
      </w:r>
      <w:r w:rsidR="00AD1B9E" w:rsidRPr="00AD1B9E">
        <w:rPr>
          <w:vertAlign w:val="subscript"/>
        </w:rPr>
        <w:t>2</w:t>
      </w:r>
      <w:r w:rsidR="00AD1B9E">
        <w:t>O)</w:t>
      </w:r>
      <w:r w:rsidR="00AD1B9E" w:rsidRPr="00AD1B9E">
        <w:t xml:space="preserve"> </w:t>
      </w:r>
      <w:r w:rsidR="00AD1B9E">
        <w:t>0.03 mg L</w:t>
      </w:r>
      <w:r w:rsidR="00AD1B9E" w:rsidRPr="00AD1B9E">
        <w:rPr>
          <w:vertAlign w:val="superscript"/>
        </w:rPr>
        <w:t>-1</w:t>
      </w:r>
      <w:r w:rsidR="00AD1B9E">
        <w:t>, CoCl</w:t>
      </w:r>
      <w:r w:rsidR="00AD1B9E" w:rsidRPr="00AD1B9E">
        <w:rPr>
          <w:vertAlign w:val="subscript"/>
        </w:rPr>
        <w:t>2</w:t>
      </w:r>
      <w:r w:rsidR="00AD1B9E">
        <w:t xml:space="preserve"> (6 H</w:t>
      </w:r>
      <w:r w:rsidR="00AD1B9E" w:rsidRPr="00AD1B9E">
        <w:rPr>
          <w:vertAlign w:val="subscript"/>
        </w:rPr>
        <w:t>2</w:t>
      </w:r>
      <w:r w:rsidR="00AD1B9E">
        <w:t>O) 0.02</w:t>
      </w:r>
      <w:r w:rsidR="00AD1B9E" w:rsidRPr="00AD1B9E">
        <w:t xml:space="preserve"> </w:t>
      </w:r>
      <w:r w:rsidR="00AD1B9E">
        <w:t>mg L</w:t>
      </w:r>
      <w:r w:rsidR="00AD1B9E" w:rsidRPr="00AD1B9E">
        <w:rPr>
          <w:vertAlign w:val="superscript"/>
        </w:rPr>
        <w:t>-1</w:t>
      </w:r>
      <w:r w:rsidR="00AD1B9E">
        <w:t>, MnCl</w:t>
      </w:r>
      <w:r w:rsidR="00AD1B9E" w:rsidRPr="00AD1B9E">
        <w:rPr>
          <w:vertAlign w:val="subscript"/>
        </w:rPr>
        <w:t>2</w:t>
      </w:r>
      <w:r w:rsidR="00AD1B9E">
        <w:t xml:space="preserve"> (4 H</w:t>
      </w:r>
      <w:r w:rsidR="00AD1B9E" w:rsidRPr="00AD1B9E">
        <w:rPr>
          <w:vertAlign w:val="subscript"/>
        </w:rPr>
        <w:t>2</w:t>
      </w:r>
      <w:r w:rsidR="00AD1B9E">
        <w:t>O) 0.28</w:t>
      </w:r>
      <w:r w:rsidR="00AD1B9E" w:rsidRPr="00AD1B9E">
        <w:t xml:space="preserve"> </w:t>
      </w:r>
      <w:r w:rsidR="00AD1B9E">
        <w:t>mg L</w:t>
      </w:r>
      <w:r w:rsidR="00AD1B9E" w:rsidRPr="00AD1B9E">
        <w:rPr>
          <w:vertAlign w:val="superscript"/>
        </w:rPr>
        <w:t>-1</w:t>
      </w:r>
      <w:r w:rsidR="00AD1B9E">
        <w:t>, Na</w:t>
      </w:r>
      <w:r w:rsidR="00AD1B9E" w:rsidRPr="00AD1B9E">
        <w:rPr>
          <w:vertAlign w:val="subscript"/>
        </w:rPr>
        <w:t>2</w:t>
      </w:r>
      <w:r w:rsidR="00AD1B9E">
        <w:t>MoO</w:t>
      </w:r>
      <w:r w:rsidR="00AD1B9E" w:rsidRPr="00AD1B9E">
        <w:rPr>
          <w:vertAlign w:val="subscript"/>
        </w:rPr>
        <w:t>4</w:t>
      </w:r>
      <w:r w:rsidR="00AD1B9E">
        <w:t xml:space="preserve"> (2 H</w:t>
      </w:r>
      <w:r w:rsidR="00AD1B9E" w:rsidRPr="00AD1B9E">
        <w:rPr>
          <w:vertAlign w:val="subscript"/>
        </w:rPr>
        <w:t>2</w:t>
      </w:r>
      <w:r w:rsidR="00AD1B9E">
        <w:t>O) 0.01</w:t>
      </w:r>
      <w:r w:rsidR="00AD1B9E" w:rsidRPr="00AD1B9E">
        <w:t xml:space="preserve"> </w:t>
      </w:r>
      <w:r w:rsidR="00AD1B9E">
        <w:t>mg L</w:t>
      </w:r>
      <w:r w:rsidR="00AD1B9E" w:rsidRPr="00AD1B9E">
        <w:rPr>
          <w:vertAlign w:val="superscript"/>
        </w:rPr>
        <w:t>-1</w:t>
      </w:r>
      <w:r w:rsidR="00AD1B9E">
        <w:t xml:space="preserve">. </w:t>
      </w:r>
    </w:p>
    <w:p w14:paraId="2D677847" w14:textId="6AC409DD" w:rsidR="003011A5" w:rsidRDefault="00674732" w:rsidP="0048370D">
      <w:pPr>
        <w:pStyle w:val="CETBodytext"/>
        <w:spacing w:line="276" w:lineRule="auto"/>
        <w:rPr>
          <w:lang w:val="en-GB"/>
        </w:rPr>
      </w:pPr>
      <w:r w:rsidRPr="0048370D">
        <w:rPr>
          <w:lang w:val="en-GB"/>
        </w:rPr>
        <w:t>A pre-culture for each sample was set up by inoculating 10 mL of sample from a stock culture in 100 mL of</w:t>
      </w:r>
      <w:r w:rsidR="00AD1B9E">
        <w:rPr>
          <w:lang w:val="en-GB"/>
        </w:rPr>
        <w:t xml:space="preserve"> synthetic </w:t>
      </w:r>
      <w:r w:rsidRPr="0048370D">
        <w:rPr>
          <w:lang w:val="en-GB"/>
        </w:rPr>
        <w:t xml:space="preserve">sewage. When cells were in late exponential phase (after about 8 cultivation days), 10 mL of the cell suspension were used to inoculate the sewage. 150 mL of culture were grown in </w:t>
      </w:r>
      <w:r w:rsidR="00AD1B9E">
        <w:rPr>
          <w:lang w:val="en-GB"/>
        </w:rPr>
        <w:t>25</w:t>
      </w:r>
      <w:r w:rsidRPr="0048370D">
        <w:rPr>
          <w:lang w:val="en-GB"/>
        </w:rPr>
        <w:t xml:space="preserve">0 mL Erlenmeyer flasks placed in an oscillating incubator (Corning </w:t>
      </w:r>
      <w:proofErr w:type="spellStart"/>
      <w:r w:rsidRPr="0048370D">
        <w:rPr>
          <w:lang w:val="en-GB"/>
        </w:rPr>
        <w:t>Lse</w:t>
      </w:r>
      <w:proofErr w:type="spellEnd"/>
      <w:r w:rsidRPr="0048370D">
        <w:rPr>
          <w:lang w:val="en-GB"/>
        </w:rPr>
        <w:t xml:space="preserve">) under </w:t>
      </w:r>
      <w:r w:rsidRPr="00535764">
        <w:rPr>
          <w:lang w:val="en-GB"/>
        </w:rPr>
        <w:t xml:space="preserve">a </w:t>
      </w:r>
      <w:r w:rsidR="00535764" w:rsidRPr="00535764">
        <w:rPr>
          <w:lang w:val="en-GB"/>
        </w:rPr>
        <w:t>20</w:t>
      </w:r>
      <w:r w:rsidRPr="00535764">
        <w:rPr>
          <w:lang w:val="en-GB"/>
        </w:rPr>
        <w:t xml:space="preserve">0 </w:t>
      </w:r>
      <w:proofErr w:type="spellStart"/>
      <w:r w:rsidRPr="00535764">
        <w:rPr>
          <w:lang w:val="en-GB"/>
        </w:rPr>
        <w:t>μ</w:t>
      </w:r>
      <w:r w:rsidR="00535764" w:rsidRPr="00535764">
        <w:rPr>
          <w:lang w:val="en-GB"/>
        </w:rPr>
        <w:t>mol</w:t>
      </w:r>
      <w:proofErr w:type="spellEnd"/>
      <w:r w:rsidRPr="00535764">
        <w:rPr>
          <w:lang w:val="en-GB"/>
        </w:rPr>
        <w:t xml:space="preserve"> m</w:t>
      </w:r>
      <w:r w:rsidRPr="00535764">
        <w:rPr>
          <w:vertAlign w:val="superscript"/>
          <w:lang w:val="en-GB"/>
        </w:rPr>
        <w:t>-2</w:t>
      </w:r>
      <w:r w:rsidRPr="00535764">
        <w:rPr>
          <w:lang w:val="en-GB"/>
        </w:rPr>
        <w:t xml:space="preserve"> s</w:t>
      </w:r>
      <w:r w:rsidRPr="00535764">
        <w:rPr>
          <w:vertAlign w:val="superscript"/>
          <w:lang w:val="en-GB"/>
        </w:rPr>
        <w:t>-1</w:t>
      </w:r>
      <w:r w:rsidRPr="00535764">
        <w:rPr>
          <w:lang w:val="en-GB"/>
        </w:rPr>
        <w:t xml:space="preserve"> photon</w:t>
      </w:r>
      <w:r w:rsidRPr="0048370D">
        <w:rPr>
          <w:lang w:val="en-GB"/>
        </w:rPr>
        <w:t xml:space="preserve"> flux at 27°C. Light intensity was measured with a Delta Ohm-HD 9021 quantometer equipped with a Photosynthetic Active Radiation (PAR) probe (Delta Ohm LP 9021 PAR). The algae were cultivated </w:t>
      </w:r>
      <w:r w:rsidRPr="00341FE3">
        <w:rPr>
          <w:lang w:val="en-GB"/>
        </w:rPr>
        <w:t xml:space="preserve">for </w:t>
      </w:r>
      <w:r w:rsidR="00341FE3" w:rsidRPr="00341FE3">
        <w:rPr>
          <w:lang w:val="en-GB"/>
        </w:rPr>
        <w:t>3</w:t>
      </w:r>
      <w:r w:rsidRPr="00341FE3">
        <w:rPr>
          <w:lang w:val="en-GB"/>
        </w:rPr>
        <w:t xml:space="preserve"> days. The</w:t>
      </w:r>
      <w:r w:rsidRPr="0048370D">
        <w:rPr>
          <w:lang w:val="en-GB"/>
        </w:rPr>
        <w:t xml:space="preserve"> concentration of the microalgal suspension was </w:t>
      </w:r>
      <w:r w:rsidR="00E9253C" w:rsidRPr="00F10739">
        <w:rPr>
          <w:lang w:val="en-GB"/>
        </w:rPr>
        <w:t xml:space="preserve">monitored </w:t>
      </w:r>
      <w:r w:rsidR="002F09F7" w:rsidRPr="00F10739">
        <w:rPr>
          <w:lang w:val="en-GB"/>
        </w:rPr>
        <w:t>several times a day</w:t>
      </w:r>
      <w:r w:rsidRPr="00F10739">
        <w:rPr>
          <w:lang w:val="en-GB"/>
        </w:rPr>
        <w:t xml:space="preserve"> by measuring</w:t>
      </w:r>
      <w:r w:rsidR="00E9253C">
        <w:rPr>
          <w:lang w:val="en-GB"/>
        </w:rPr>
        <w:t xml:space="preserve"> </w:t>
      </w:r>
      <w:r w:rsidRPr="0048370D">
        <w:rPr>
          <w:lang w:val="en-GB"/>
        </w:rPr>
        <w:t>the absorbance at 750 nm in a spectrophotometer (</w:t>
      </w:r>
      <w:bookmarkStart w:id="1" w:name="OLE_LINK1"/>
      <w:r w:rsidRPr="0048370D">
        <w:rPr>
          <w:lang w:val="en-GB"/>
        </w:rPr>
        <w:t xml:space="preserve">Cary 60 </w:t>
      </w:r>
      <w:proofErr w:type="spellStart"/>
      <w:r w:rsidRPr="0048370D">
        <w:rPr>
          <w:lang w:val="en-GB"/>
        </w:rPr>
        <w:t>Uv</w:t>
      </w:r>
      <w:proofErr w:type="spellEnd"/>
      <w:r w:rsidRPr="0048370D">
        <w:rPr>
          <w:lang w:val="en-GB"/>
        </w:rPr>
        <w:t>-vis, Agilent technologies</w:t>
      </w:r>
      <w:bookmarkEnd w:id="1"/>
      <w:r w:rsidRPr="0048370D">
        <w:rPr>
          <w:lang w:val="en-GB"/>
        </w:rPr>
        <w:t>)</w:t>
      </w:r>
      <w:r w:rsidR="00593D26">
        <w:rPr>
          <w:lang w:val="en-GB"/>
        </w:rPr>
        <w:t xml:space="preserve">. An experimental correlation between the dry weight (DW) and </w:t>
      </w:r>
      <w:r w:rsidR="003011A5">
        <w:rPr>
          <w:lang w:val="en-GB"/>
        </w:rPr>
        <w:t>the optical absorbance at 750 nm was obtained as follows: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560"/>
      </w:tblGrid>
      <w:tr w:rsidR="008977EF" w14:paraId="7176A175" w14:textId="77777777" w:rsidTr="00AA602B">
        <w:trPr>
          <w:jc w:val="center"/>
        </w:trPr>
        <w:tc>
          <w:tcPr>
            <w:tcW w:w="8217" w:type="dxa"/>
            <w:vAlign w:val="center"/>
          </w:tcPr>
          <w:p w14:paraId="1B5157D2" w14:textId="3F9F148D" w:rsidR="00AA602B" w:rsidRPr="00AA602B" w:rsidRDefault="00AA602B" w:rsidP="00AA602B">
            <w:pPr>
              <w:pStyle w:val="CETBodytext"/>
              <w:rPr>
                <w:lang w:val="en-GB"/>
              </w:rPr>
            </w:pPr>
            <m:oMathPara>
              <m:oMath>
                <m:r>
                  <w:rPr>
                    <w:rFonts w:ascii="Cambria Math" w:hAnsi="Cambria Math"/>
                    <w:lang w:val="en-GB"/>
                  </w:rPr>
                  <m:t>X=0.2315*</m:t>
                </m:r>
                <m:sSub>
                  <m:sSubPr>
                    <m:ctrlPr>
                      <w:rPr>
                        <w:rFonts w:ascii="Cambria Math" w:hAnsi="Cambria Math"/>
                        <w:i/>
                        <w:lang w:val="en-GB"/>
                      </w:rPr>
                    </m:ctrlPr>
                  </m:sSubPr>
                  <m:e>
                    <m:r>
                      <w:rPr>
                        <w:rFonts w:ascii="Cambria Math" w:hAnsi="Cambria Math"/>
                        <w:lang w:val="en-GB"/>
                      </w:rPr>
                      <m:t>Abs</m:t>
                    </m:r>
                  </m:e>
                  <m:sub>
                    <m:r>
                      <w:rPr>
                        <w:rFonts w:ascii="Cambria Math" w:hAnsi="Cambria Math"/>
                        <w:lang w:val="en-GB"/>
                      </w:rPr>
                      <m:t>750 nm</m:t>
                    </m:r>
                  </m:sub>
                </m:sSub>
                <m:r>
                  <w:rPr>
                    <w:rFonts w:ascii="Cambria Math" w:hAnsi="Cambria Math"/>
                    <w:lang w:val="en-GB"/>
                  </w:rPr>
                  <m:t>+ 0.0264</m:t>
                </m:r>
              </m:oMath>
            </m:oMathPara>
          </w:p>
        </w:tc>
        <w:tc>
          <w:tcPr>
            <w:tcW w:w="560" w:type="dxa"/>
            <w:vAlign w:val="center"/>
          </w:tcPr>
          <w:p w14:paraId="1AA2C545" w14:textId="79BA0D0C" w:rsidR="008977EF" w:rsidRDefault="008977EF" w:rsidP="008977EF">
            <w:pPr>
              <w:pStyle w:val="CETEquation"/>
              <w:jc w:val="center"/>
            </w:pPr>
            <w:r>
              <w:t>(1)</w:t>
            </w:r>
          </w:p>
        </w:tc>
      </w:tr>
    </w:tbl>
    <w:p w14:paraId="0F76B0F5" w14:textId="6AFE7E89" w:rsidR="00196F91" w:rsidRPr="006D0CEA" w:rsidRDefault="00196F91" w:rsidP="006D0CEA">
      <w:pPr>
        <w:pStyle w:val="CETBodytext"/>
        <w:rPr>
          <w:lang w:val="en-GB"/>
        </w:rPr>
      </w:pPr>
      <w:r>
        <w:rPr>
          <w:lang w:val="en-GB"/>
        </w:rPr>
        <w:t>Where X is the concentration of microalgae in g L</w:t>
      </w:r>
      <w:r w:rsidRPr="00196F91">
        <w:rPr>
          <w:vertAlign w:val="superscript"/>
          <w:lang w:val="en-GB"/>
        </w:rPr>
        <w:t>-1</w:t>
      </w:r>
      <w:r>
        <w:rPr>
          <w:lang w:val="en-GB"/>
        </w:rPr>
        <w:t xml:space="preserve"> and Abs</w:t>
      </w:r>
      <w:r w:rsidRPr="00196F91">
        <w:rPr>
          <w:vertAlign w:val="subscript"/>
          <w:lang w:val="en-GB"/>
        </w:rPr>
        <w:t>750nm</w:t>
      </w:r>
      <w:r>
        <w:rPr>
          <w:lang w:val="en-GB"/>
        </w:rPr>
        <w:t xml:space="preserve"> is the absorbance at 750 nm.</w:t>
      </w:r>
      <w:r w:rsidR="00D27D6B">
        <w:rPr>
          <w:lang w:val="en-GB"/>
        </w:rPr>
        <w:t xml:space="preserve"> The R</w:t>
      </w:r>
      <w:r w:rsidR="00D27D6B" w:rsidRPr="00D27D6B">
        <w:rPr>
          <w:vertAlign w:val="superscript"/>
          <w:lang w:val="en-GB"/>
        </w:rPr>
        <w:t>2</w:t>
      </w:r>
      <w:r w:rsidR="00D27D6B">
        <w:rPr>
          <w:lang w:val="en-GB"/>
        </w:rPr>
        <w:t xml:space="preserve"> was 0.9897.</w:t>
      </w:r>
      <w:r w:rsidR="005D7C76">
        <w:rPr>
          <w:lang w:val="en-GB"/>
        </w:rPr>
        <w:t xml:space="preserve"> </w:t>
      </w:r>
      <w:proofErr w:type="gramStart"/>
      <w:r w:rsidR="005D7C76">
        <w:rPr>
          <w:lang w:val="en-GB"/>
        </w:rPr>
        <w:t>In order to</w:t>
      </w:r>
      <w:proofErr w:type="gramEnd"/>
      <w:r w:rsidR="005D7C76">
        <w:rPr>
          <w:lang w:val="en-GB"/>
        </w:rPr>
        <w:t xml:space="preserve"> obtain the kinetic parameters, microalgae were grown into the synthetic growth medium with different glucose concentrations</w:t>
      </w:r>
      <w:r w:rsidR="00535764">
        <w:t>: 2.2</w:t>
      </w:r>
      <w:r w:rsidR="00535764" w:rsidRPr="00E95AFB">
        <w:t xml:space="preserve"> </w:t>
      </w:r>
      <w:r w:rsidR="00535764">
        <w:t>mg L</w:t>
      </w:r>
      <w:r w:rsidR="00535764" w:rsidRPr="00AD1B9E">
        <w:rPr>
          <w:vertAlign w:val="superscript"/>
        </w:rPr>
        <w:t>-1</w:t>
      </w:r>
      <w:r w:rsidR="00535764">
        <w:t>, 6</w:t>
      </w:r>
      <w:r w:rsidR="00535764" w:rsidRPr="00341FE3">
        <w:t>.7</w:t>
      </w:r>
      <w:r w:rsidR="00535764" w:rsidRPr="00E95AFB">
        <w:t xml:space="preserve"> </w:t>
      </w:r>
      <w:r w:rsidR="00535764">
        <w:t>mg L</w:t>
      </w:r>
      <w:r w:rsidR="00535764" w:rsidRPr="00AD1B9E">
        <w:rPr>
          <w:vertAlign w:val="superscript"/>
        </w:rPr>
        <w:t>-1</w:t>
      </w:r>
      <w:r w:rsidR="00535764">
        <w:t>,</w:t>
      </w:r>
      <w:r w:rsidR="00535764" w:rsidRPr="00341FE3">
        <w:t>12.6</w:t>
      </w:r>
      <w:r w:rsidR="00535764" w:rsidRPr="00E95AFB">
        <w:t xml:space="preserve"> </w:t>
      </w:r>
      <w:r w:rsidR="00535764">
        <w:t>mg L</w:t>
      </w:r>
      <w:r w:rsidR="00535764" w:rsidRPr="00AD1B9E">
        <w:rPr>
          <w:vertAlign w:val="superscript"/>
        </w:rPr>
        <w:t>-1</w:t>
      </w:r>
      <w:r w:rsidR="00535764">
        <w:t xml:space="preserve">, </w:t>
      </w:r>
      <w:r w:rsidR="00535764" w:rsidRPr="00341FE3">
        <w:t>22.2</w:t>
      </w:r>
      <w:r w:rsidR="00535764" w:rsidRPr="00E95AFB">
        <w:t xml:space="preserve"> </w:t>
      </w:r>
      <w:r w:rsidR="00535764">
        <w:t>mg L</w:t>
      </w:r>
      <w:r w:rsidR="00535764" w:rsidRPr="00AD1B9E">
        <w:rPr>
          <w:vertAlign w:val="superscript"/>
        </w:rPr>
        <w:t>-1</w:t>
      </w:r>
      <w:r w:rsidR="00535764">
        <w:t xml:space="preserve">, </w:t>
      </w:r>
      <w:r w:rsidR="00535764" w:rsidRPr="00341FE3">
        <w:t>40.0</w:t>
      </w:r>
      <w:r w:rsidR="00535764" w:rsidRPr="00E95AFB">
        <w:t xml:space="preserve"> </w:t>
      </w:r>
      <w:r w:rsidR="00535764">
        <w:t>mg L</w:t>
      </w:r>
      <w:r w:rsidR="00535764" w:rsidRPr="00AD1B9E">
        <w:rPr>
          <w:vertAlign w:val="superscript"/>
        </w:rPr>
        <w:t>-1</w:t>
      </w:r>
      <w:r w:rsidR="00535764">
        <w:t xml:space="preserve">, </w:t>
      </w:r>
      <w:r w:rsidR="00535764" w:rsidRPr="00341FE3">
        <w:t>89.3</w:t>
      </w:r>
      <w:r w:rsidR="00535764" w:rsidRPr="00E95AFB">
        <w:t xml:space="preserve"> </w:t>
      </w:r>
      <w:r w:rsidR="00535764">
        <w:t>mg L</w:t>
      </w:r>
      <w:r w:rsidR="00535764" w:rsidRPr="00AD1B9E">
        <w:rPr>
          <w:vertAlign w:val="superscript"/>
        </w:rPr>
        <w:t>-1</w:t>
      </w:r>
      <w:r w:rsidR="00535764">
        <w:t xml:space="preserve">, </w:t>
      </w:r>
      <w:r w:rsidR="00535764" w:rsidRPr="00341FE3">
        <w:t>210.2</w:t>
      </w:r>
      <w:r w:rsidR="00535764" w:rsidRPr="00E95AFB">
        <w:t xml:space="preserve"> </w:t>
      </w:r>
      <w:r w:rsidR="00535764">
        <w:t>mg L</w:t>
      </w:r>
      <w:r w:rsidR="00535764" w:rsidRPr="00AD1B9E">
        <w:rPr>
          <w:vertAlign w:val="superscript"/>
        </w:rPr>
        <w:t>-1</w:t>
      </w:r>
      <w:r w:rsidR="00535764">
        <w:t xml:space="preserve"> and </w:t>
      </w:r>
      <w:r w:rsidR="00535764" w:rsidRPr="00341FE3">
        <w:t>250.0</w:t>
      </w:r>
      <w:r w:rsidR="00535764" w:rsidRPr="00E95AFB">
        <w:t xml:space="preserve"> </w:t>
      </w:r>
      <w:r w:rsidR="00535764">
        <w:t>mg L</w:t>
      </w:r>
      <w:r w:rsidR="00535764" w:rsidRPr="00AD1B9E">
        <w:rPr>
          <w:vertAlign w:val="superscript"/>
        </w:rPr>
        <w:t>-1</w:t>
      </w:r>
      <w:r w:rsidR="00535764">
        <w:t>.</w:t>
      </w:r>
    </w:p>
    <w:p w14:paraId="00AB82A9" w14:textId="3F1E7B8D" w:rsidR="008A3FAF" w:rsidRDefault="008A3FAF" w:rsidP="00674732">
      <w:pPr>
        <w:pStyle w:val="CETheadingx"/>
      </w:pPr>
      <w:r>
        <w:t>Analysis on the synthetic sewage</w:t>
      </w:r>
    </w:p>
    <w:p w14:paraId="2C5DD097" w14:textId="417CE1E6" w:rsidR="004D5014" w:rsidRPr="00C95395" w:rsidRDefault="00D27D6B" w:rsidP="00C95395">
      <w:pPr>
        <w:pStyle w:val="CETBodytext"/>
      </w:pPr>
      <w:r w:rsidRPr="00C95395">
        <w:t xml:space="preserve">For the measurement of pH and </w:t>
      </w:r>
      <w:r w:rsidR="00C95395" w:rsidRPr="00C95395">
        <w:t>conductivity</w:t>
      </w:r>
      <w:r w:rsidRPr="00C95395">
        <w:t xml:space="preserve">, a </w:t>
      </w:r>
      <w:proofErr w:type="spellStart"/>
      <w:r w:rsidRPr="00C95395">
        <w:t>pHmeter</w:t>
      </w:r>
      <w:proofErr w:type="spellEnd"/>
      <w:r w:rsidRPr="00C95395">
        <w:t xml:space="preserve"> equipped with </w:t>
      </w:r>
      <w:r w:rsidR="00E9253C">
        <w:t xml:space="preserve">a </w:t>
      </w:r>
      <w:r w:rsidR="00C95395" w:rsidRPr="00C95395">
        <w:t>conductivity</w:t>
      </w:r>
      <w:r w:rsidRPr="00C95395">
        <w:t xml:space="preserve"> probe was employed (CRISON MM 41).</w:t>
      </w:r>
    </w:p>
    <w:p w14:paraId="03E91A22" w14:textId="62602C13" w:rsidR="004D5014" w:rsidRPr="00C95395" w:rsidRDefault="00491B3B" w:rsidP="00C95395">
      <w:pPr>
        <w:pStyle w:val="CETBodytext"/>
      </w:pPr>
      <w:r w:rsidRPr="00C95395">
        <w:t xml:space="preserve">The </w:t>
      </w:r>
      <w:r w:rsidR="00D27D6B" w:rsidRPr="00C95395">
        <w:t xml:space="preserve">content of carbon and in particular </w:t>
      </w:r>
      <w:r w:rsidR="00CB7406" w:rsidRPr="00C95395">
        <w:t>Inorganic Carbon (IC) and Non-Purgeable Organic Carbon</w:t>
      </w:r>
      <w:r w:rsidRPr="00C95395">
        <w:t xml:space="preserve"> (</w:t>
      </w:r>
      <w:r w:rsidR="00CB7406" w:rsidRPr="00C95395">
        <w:t>NPOC</w:t>
      </w:r>
      <w:r w:rsidRPr="00C95395">
        <w:t>)</w:t>
      </w:r>
      <w:r w:rsidR="00CB7406" w:rsidRPr="00C95395">
        <w:t xml:space="preserve">, </w:t>
      </w:r>
      <w:r w:rsidRPr="00C95395">
        <w:t>was assessed</w:t>
      </w:r>
      <w:r w:rsidR="00CB7406" w:rsidRPr="00C95395">
        <w:t xml:space="preserve"> </w:t>
      </w:r>
      <w:r w:rsidRPr="00C95395">
        <w:t>by a TOCL CSH/CSN analyzer Shimadzu.</w:t>
      </w:r>
    </w:p>
    <w:p w14:paraId="53266851" w14:textId="4730626D" w:rsidR="004D5014" w:rsidRPr="00C95395" w:rsidRDefault="00CD1329" w:rsidP="00C95395">
      <w:pPr>
        <w:pStyle w:val="CETBodytext"/>
      </w:pPr>
      <w:r w:rsidRPr="00C95395">
        <w:t xml:space="preserve">The content of glucose was </w:t>
      </w:r>
      <w:proofErr w:type="spellStart"/>
      <w:r w:rsidRPr="00C95395">
        <w:t>analysed</w:t>
      </w:r>
      <w:proofErr w:type="spellEnd"/>
      <w:r w:rsidRPr="00C95395">
        <w:t xml:space="preserve"> through HPLC. The suspension was filtered through 0.2 µm membranes (CA, Millipore) and sugars were analyzed by means of a HPLC </w:t>
      </w:r>
      <w:proofErr w:type="spellStart"/>
      <w:r w:rsidRPr="00C95395">
        <w:t>Dionex</w:t>
      </w:r>
      <w:proofErr w:type="spellEnd"/>
      <w:r w:rsidRPr="00C95395">
        <w:t xml:space="preserve"> </w:t>
      </w:r>
      <w:proofErr w:type="spellStart"/>
      <w:r w:rsidRPr="00C95395">
        <w:t>UltiMate</w:t>
      </w:r>
      <w:proofErr w:type="spellEnd"/>
      <w:r w:rsidRPr="00C95395">
        <w:t xml:space="preserve"> 3000 equipped with a column </w:t>
      </w:r>
      <w:proofErr w:type="spellStart"/>
      <w:r w:rsidRPr="00C95395">
        <w:t>Rezex</w:t>
      </w:r>
      <w:proofErr w:type="spellEnd"/>
      <w:r w:rsidRPr="00C95395">
        <w:t xml:space="preserve"> ROA – Organic acid H+ operating at 60°C and using 0.6 mL/min of a 5 mM H2SO4 aqueous solution as eluent.</w:t>
      </w:r>
    </w:p>
    <w:p w14:paraId="4661DA02" w14:textId="3210F5CB" w:rsidR="008A3FAF" w:rsidRPr="00F10739" w:rsidRDefault="008A3FAF" w:rsidP="00674732">
      <w:pPr>
        <w:pStyle w:val="CETheadingx"/>
      </w:pPr>
      <w:r>
        <w:t xml:space="preserve">Determination of the </w:t>
      </w:r>
      <w:r w:rsidRPr="00F10739">
        <w:t>kinetic parameters</w:t>
      </w:r>
    </w:p>
    <w:p w14:paraId="4FB229BD" w14:textId="0A0D3BF0" w:rsidR="00B2574B" w:rsidRPr="0048370D" w:rsidRDefault="00674732" w:rsidP="004F6698">
      <w:pPr>
        <w:pStyle w:val="CETBodytext"/>
        <w:spacing w:line="276" w:lineRule="auto"/>
        <w:rPr>
          <w:lang w:val="en-GB"/>
        </w:rPr>
      </w:pPr>
      <w:r w:rsidRPr="00F10739">
        <w:rPr>
          <w:lang w:val="en-GB"/>
        </w:rPr>
        <w:t>To obtain the kinetic parameters</w:t>
      </w:r>
      <w:r w:rsidR="00E9253C" w:rsidRPr="00F10739">
        <w:rPr>
          <w:lang w:val="en-GB"/>
        </w:rPr>
        <w:t xml:space="preserve"> of carbon consumption</w:t>
      </w:r>
      <w:r w:rsidRPr="00F10739">
        <w:rPr>
          <w:lang w:val="en-GB"/>
        </w:rPr>
        <w:t xml:space="preserve">, </w:t>
      </w:r>
      <w:r w:rsidR="0048370D" w:rsidRPr="00F10739">
        <w:rPr>
          <w:rFonts w:cs="Arial"/>
          <w:lang w:val="en-GB"/>
        </w:rPr>
        <w:t>µ</w:t>
      </w:r>
      <w:r w:rsidRPr="00F10739">
        <w:rPr>
          <w:vertAlign w:val="subscript"/>
          <w:lang w:val="en-GB"/>
        </w:rPr>
        <w:t>max</w:t>
      </w:r>
      <w:r w:rsidRPr="00F10739">
        <w:rPr>
          <w:lang w:val="en-GB"/>
        </w:rPr>
        <w:t xml:space="preserve"> and </w:t>
      </w:r>
      <w:r w:rsidR="0048370D" w:rsidRPr="00F10739">
        <w:rPr>
          <w:lang w:val="en-GB"/>
        </w:rPr>
        <w:t>K</w:t>
      </w:r>
      <w:r w:rsidR="0048370D" w:rsidRPr="00F10739">
        <w:rPr>
          <w:vertAlign w:val="subscript"/>
          <w:lang w:val="en-GB"/>
        </w:rPr>
        <w:t>s</w:t>
      </w:r>
      <w:r w:rsidRPr="00F10739">
        <w:rPr>
          <w:lang w:val="en-GB"/>
        </w:rPr>
        <w:t xml:space="preserve">, of the species </w:t>
      </w:r>
      <w:r w:rsidR="003805FF" w:rsidRPr="00F10739">
        <w:rPr>
          <w:i/>
          <w:iCs/>
          <w:lang w:val="en-GB"/>
        </w:rPr>
        <w:t>Chlorella sp</w:t>
      </w:r>
      <w:r w:rsidR="003805FF" w:rsidRPr="00F10739">
        <w:rPr>
          <w:lang w:val="en-GB"/>
        </w:rPr>
        <w:t xml:space="preserve">. </w:t>
      </w:r>
      <w:r w:rsidRPr="00F10739">
        <w:rPr>
          <w:lang w:val="en-GB"/>
        </w:rPr>
        <w:t>grown into shaking flasks under different</w:t>
      </w:r>
      <w:r w:rsidRPr="0048370D">
        <w:rPr>
          <w:lang w:val="en-GB"/>
        </w:rPr>
        <w:t xml:space="preserve"> glucose concentrations, </w:t>
      </w:r>
      <w:r w:rsidR="00A22F73">
        <w:rPr>
          <w:lang w:val="en-GB"/>
        </w:rPr>
        <w:t>an experimental approach for recovering kinetic parameters from batch data was applied.</w:t>
      </w:r>
      <w:r w:rsidR="003805FF">
        <w:rPr>
          <w:lang w:val="en-GB"/>
        </w:rPr>
        <w:t xml:space="preserve"> </w:t>
      </w:r>
      <w:r w:rsidR="00A22F73">
        <w:rPr>
          <w:lang w:val="en-GB"/>
        </w:rPr>
        <w:t>T</w:t>
      </w:r>
      <w:r w:rsidRPr="0048370D">
        <w:rPr>
          <w:lang w:val="en-GB"/>
        </w:rPr>
        <w:t xml:space="preserve">he specific growth rate </w:t>
      </w:r>
      <w:r w:rsidR="00A22F73">
        <w:rPr>
          <w:rFonts w:cs="Arial"/>
          <w:lang w:val="en-GB"/>
        </w:rPr>
        <w:t>µ</w:t>
      </w:r>
      <w:r w:rsidRPr="0048370D">
        <w:rPr>
          <w:lang w:val="en-GB"/>
        </w:rPr>
        <w:t xml:space="preserve"> may be expressed by the simple equation: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697"/>
      </w:tblGrid>
      <w:tr w:rsidR="008977EF" w14:paraId="4B07A7B3" w14:textId="77777777" w:rsidTr="00D14A4A">
        <w:tc>
          <w:tcPr>
            <w:tcW w:w="8080" w:type="dxa"/>
          </w:tcPr>
          <w:p w14:paraId="537A87FF" w14:textId="71937214" w:rsidR="008977EF" w:rsidRDefault="008977EF" w:rsidP="008977EF">
            <w:pPr>
              <w:pStyle w:val="CETEquation"/>
              <w:spacing w:line="276" w:lineRule="auto"/>
              <w:jc w:val="center"/>
            </w:pPr>
            <m:oMathPara>
              <m:oMath>
                <m:r>
                  <m:rPr>
                    <m:sty m:val="p"/>
                  </m:rPr>
                  <w:rPr>
                    <w:rFonts w:ascii="Cambria Math" w:hAnsi="Cambria Math"/>
                  </w:rPr>
                  <m:t>µ=</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rPr>
                          <m:t>µ</m:t>
                        </m:r>
                      </m:e>
                      <m:sub>
                        <m:r>
                          <w:rPr>
                            <w:rFonts w:ascii="Cambria Math" w:hAnsi="Cambria Math"/>
                          </w:rPr>
                          <m:t>max</m:t>
                        </m:r>
                        <m:r>
                          <m:rPr>
                            <m:sty m:val="p"/>
                          </m:rPr>
                          <w:rPr>
                            <w:rFonts w:ascii="Cambria Math" w:hAnsi="Cambria Math"/>
                          </w:rPr>
                          <m:t xml:space="preserve"> </m:t>
                        </m:r>
                      </m:sub>
                    </m:sSub>
                    <m:r>
                      <w:rPr>
                        <w:rFonts w:ascii="Cambria Math" w:hAnsi="Cambria Math"/>
                      </w:rPr>
                      <m:t>S</m:t>
                    </m:r>
                  </m:num>
                  <m:den>
                    <m:sSub>
                      <m:sSubPr>
                        <m:ctrlPr>
                          <w:rPr>
                            <w:rFonts w:ascii="Cambria Math" w:hAnsi="Cambria Math"/>
                            <w:lang w:val="en-US"/>
                          </w:rPr>
                        </m:ctrlPr>
                      </m:sSubPr>
                      <m:e>
                        <m:r>
                          <w:rPr>
                            <w:rFonts w:ascii="Cambria Math" w:hAnsi="Cambria Math"/>
                          </w:rPr>
                          <m:t>K</m:t>
                        </m:r>
                      </m:e>
                      <m:sub>
                        <m:r>
                          <w:rPr>
                            <w:rFonts w:ascii="Cambria Math" w:hAnsi="Cambria Math"/>
                          </w:rPr>
                          <m:t>s</m:t>
                        </m:r>
                      </m:sub>
                    </m:sSub>
                    <m:r>
                      <m:rPr>
                        <m:sty m:val="p"/>
                      </m:rPr>
                      <w:rPr>
                        <w:rFonts w:ascii="Cambria Math" w:hAnsi="Cambria Math"/>
                      </w:rPr>
                      <m:t>+</m:t>
                    </m:r>
                    <m:r>
                      <w:rPr>
                        <w:rFonts w:ascii="Cambria Math" w:hAnsi="Cambria Math"/>
                      </w:rPr>
                      <m:t>S</m:t>
                    </m:r>
                  </m:den>
                </m:f>
              </m:oMath>
            </m:oMathPara>
          </w:p>
        </w:tc>
        <w:tc>
          <w:tcPr>
            <w:tcW w:w="697" w:type="dxa"/>
          </w:tcPr>
          <w:p w14:paraId="1EC01C3A" w14:textId="423F94BA" w:rsidR="008977EF" w:rsidRDefault="008977EF" w:rsidP="008977EF">
            <w:pPr>
              <w:pStyle w:val="CETEquation"/>
              <w:spacing w:line="276" w:lineRule="auto"/>
              <w:jc w:val="center"/>
            </w:pPr>
            <w:r>
              <w:t>(2)</w:t>
            </w:r>
          </w:p>
        </w:tc>
      </w:tr>
    </w:tbl>
    <w:p w14:paraId="62033E5E" w14:textId="7DBB61FC" w:rsidR="00674732" w:rsidRPr="00674732" w:rsidRDefault="00674732" w:rsidP="004F6698">
      <w:pPr>
        <w:tabs>
          <w:tab w:val="clear" w:pos="7100"/>
        </w:tabs>
        <w:autoSpaceDE w:val="0"/>
        <w:autoSpaceDN w:val="0"/>
        <w:adjustRightInd w:val="0"/>
        <w:spacing w:line="276" w:lineRule="auto"/>
        <w:rPr>
          <w:lang w:val="en-US"/>
        </w:rPr>
      </w:pPr>
      <w:r w:rsidRPr="00674732">
        <w:rPr>
          <w:lang w:val="en-US"/>
        </w:rPr>
        <w:t xml:space="preserve">where </w:t>
      </w:r>
      <w:r w:rsidR="004D5014">
        <w:rPr>
          <w:lang w:val="en-US"/>
        </w:rPr>
        <w:t>S</w:t>
      </w:r>
      <w:r w:rsidRPr="00674732">
        <w:rPr>
          <w:lang w:val="en-US"/>
        </w:rPr>
        <w:t xml:space="preserve"> is the </w:t>
      </w:r>
      <w:r w:rsidR="00A22F73">
        <w:rPr>
          <w:lang w:val="en-US"/>
        </w:rPr>
        <w:t>concentration of glucose</w:t>
      </w:r>
      <w:r w:rsidRPr="00674732">
        <w:rPr>
          <w:lang w:val="en-US"/>
        </w:rPr>
        <w:t xml:space="preserve">, and </w:t>
      </w:r>
      <w:r w:rsidR="00103BBB">
        <w:rPr>
          <w:rFonts w:cs="Arial"/>
          <w:lang w:val="en-US"/>
        </w:rPr>
        <w:t>µ</w:t>
      </w:r>
      <w:r w:rsidRPr="00103BBB">
        <w:rPr>
          <w:vertAlign w:val="subscript"/>
          <w:lang w:val="en-US"/>
        </w:rPr>
        <w:t>max</w:t>
      </w:r>
      <w:r w:rsidRPr="00674732">
        <w:rPr>
          <w:lang w:val="en-US"/>
        </w:rPr>
        <w:t xml:space="preserve"> and </w:t>
      </w:r>
      <w:r w:rsidR="00A22F73">
        <w:rPr>
          <w:lang w:val="en-US"/>
        </w:rPr>
        <w:t>K</w:t>
      </w:r>
      <w:r w:rsidR="00A22F73" w:rsidRPr="00A22F73">
        <w:rPr>
          <w:vertAlign w:val="subscript"/>
          <w:lang w:val="en-US"/>
        </w:rPr>
        <w:t>s</w:t>
      </w:r>
      <w:r w:rsidRPr="00674732">
        <w:rPr>
          <w:lang w:val="en-US"/>
        </w:rPr>
        <w:t xml:space="preserve"> are the kinetic parameters. This equation is called Monod Equation</w:t>
      </w:r>
      <w:r w:rsidR="00A22F73">
        <w:rPr>
          <w:lang w:val="en-US"/>
        </w:rPr>
        <w:t xml:space="preserve"> and describes the relation between the concentration of limiting substrate and the specific growth rate </w:t>
      </w:r>
      <w:r w:rsidR="00A22F73">
        <w:rPr>
          <w:rFonts w:cs="Arial"/>
          <w:lang w:val="en-US"/>
        </w:rPr>
        <w:t>µ</w:t>
      </w:r>
      <w:r w:rsidR="00C95395">
        <w:rPr>
          <w:rFonts w:cs="Arial"/>
          <w:lang w:val="en-US"/>
        </w:rPr>
        <w:t>.</w:t>
      </w:r>
    </w:p>
    <w:p w14:paraId="6A7395EA" w14:textId="77777777" w:rsidR="006A02B8" w:rsidRDefault="0048370D" w:rsidP="004F6698">
      <w:pPr>
        <w:pStyle w:val="CETEquation"/>
        <w:spacing w:line="276" w:lineRule="auto"/>
        <w:jc w:val="both"/>
        <w:rPr>
          <w:lang w:val="en-US"/>
        </w:rPr>
      </w:pPr>
      <w:r>
        <w:t>T</w:t>
      </w:r>
      <w:r w:rsidR="00674732">
        <w:rPr>
          <w:lang w:val="en-US"/>
        </w:rPr>
        <w:t xml:space="preserve">he </w:t>
      </w:r>
      <w:r>
        <w:rPr>
          <w:lang w:val="en-US"/>
        </w:rPr>
        <w:t xml:space="preserve">specific growth rate </w:t>
      </w:r>
      <w:r>
        <w:rPr>
          <w:rFonts w:cs="Arial"/>
          <w:lang w:val="en-US"/>
        </w:rPr>
        <w:t>µ</w:t>
      </w:r>
      <w:r>
        <w:rPr>
          <w:lang w:val="en-US"/>
        </w:rPr>
        <w:t xml:space="preserve"> </w:t>
      </w:r>
      <w:r>
        <w:t>was</w:t>
      </w:r>
      <w:r>
        <w:rPr>
          <w:lang w:val="en-US"/>
        </w:rPr>
        <w:t xml:space="preserve"> calculated </w:t>
      </w:r>
      <w:r>
        <w:t>while the cells were in exponential phase, by using</w:t>
      </w:r>
      <w:r>
        <w:rPr>
          <w:lang w:val="en-US"/>
        </w:rPr>
        <w:t xml:space="preserve"> the following</w:t>
      </w:r>
      <w:r>
        <w:t xml:space="preserve"> </w:t>
      </w:r>
      <w:r>
        <w:rPr>
          <w:lang w:val="en-US"/>
        </w:rPr>
        <w:t>expression: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560"/>
      </w:tblGrid>
      <w:tr w:rsidR="008977EF" w14:paraId="57E44034" w14:textId="77777777" w:rsidTr="008977EF">
        <w:tc>
          <w:tcPr>
            <w:tcW w:w="8217" w:type="dxa"/>
          </w:tcPr>
          <w:p w14:paraId="7DD27FE0" w14:textId="794DB1D4" w:rsidR="008977EF" w:rsidRDefault="008977EF" w:rsidP="004F6698">
            <w:pPr>
              <w:pStyle w:val="CETEquation"/>
              <w:spacing w:line="276" w:lineRule="auto"/>
              <w:jc w:val="both"/>
            </w:pPr>
            <m:oMathPara>
              <m:oMath>
                <m:r>
                  <m:rPr>
                    <m:sty m:val="p"/>
                  </m:rPr>
                  <w:rPr>
                    <w:rFonts w:ascii="Cambria Math" w:hAnsi="Cambria Math"/>
                  </w:rPr>
                  <m:t>µ=</m:t>
                </m:r>
                <m:f>
                  <m:fPr>
                    <m:ctrlPr>
                      <w:rPr>
                        <w:rFonts w:ascii="Cambria Math" w:hAnsi="Cambria Math"/>
                        <w:lang w:val="en-US"/>
                      </w:rPr>
                    </m:ctrlPr>
                  </m:fPr>
                  <m:num>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sSub>
                          <m:sSubPr>
                            <m:ctrlPr>
                              <w:rPr>
                                <w:rFonts w:ascii="Cambria Math" w:hAnsi="Cambria Math"/>
                                <w:lang w:val="en-US"/>
                              </w:rPr>
                            </m:ctrlPr>
                          </m:sSubPr>
                          <m:e>
                            <m:r>
                              <w:rPr>
                                <w:rFonts w:ascii="Cambria Math" w:hAnsi="Cambria Math"/>
                              </w:rPr>
                              <m:t>X</m:t>
                            </m:r>
                          </m:e>
                          <m:sub>
                            <m:r>
                              <m:rPr>
                                <m:sty m:val="p"/>
                              </m:rPr>
                              <w:rPr>
                                <w:rFonts w:ascii="Cambria Math" w:hAnsi="Cambria Math"/>
                              </w:rPr>
                              <m:t>0</m:t>
                            </m:r>
                          </m:sub>
                        </m:sSub>
                      </m:e>
                    </m:func>
                  </m:num>
                  <m:den>
                    <m:r>
                      <m:rPr>
                        <m:sty m:val="p"/>
                      </m:rPr>
                      <w:rPr>
                        <w:rFonts w:ascii="Cambria Math" w:hAnsi="Cambria Math"/>
                      </w:rPr>
                      <m:t>t-</m:t>
                    </m:r>
                    <m:sSub>
                      <m:sSubPr>
                        <m:ctrlPr>
                          <w:rPr>
                            <w:rFonts w:ascii="Cambria Math" w:hAnsi="Cambria Math"/>
                            <w:lang w:val="en-US"/>
                          </w:rPr>
                        </m:ctrlPr>
                      </m:sSubPr>
                      <m:e>
                        <m:r>
                          <w:rPr>
                            <w:rFonts w:ascii="Cambria Math" w:hAnsi="Cambria Math"/>
                          </w:rPr>
                          <m:t>t</m:t>
                        </m:r>
                      </m:e>
                      <m:sub>
                        <m:r>
                          <m:rPr>
                            <m:sty m:val="p"/>
                          </m:rPr>
                          <w:rPr>
                            <w:rFonts w:ascii="Cambria Math" w:hAnsi="Cambria Math"/>
                          </w:rPr>
                          <m:t>0</m:t>
                        </m:r>
                      </m:sub>
                    </m:sSub>
                  </m:den>
                </m:f>
              </m:oMath>
            </m:oMathPara>
          </w:p>
        </w:tc>
        <w:tc>
          <w:tcPr>
            <w:tcW w:w="560" w:type="dxa"/>
          </w:tcPr>
          <w:p w14:paraId="0F80B674" w14:textId="33846F50" w:rsidR="008977EF" w:rsidRDefault="008977EF" w:rsidP="004F6698">
            <w:pPr>
              <w:pStyle w:val="CETEquation"/>
              <w:spacing w:line="276" w:lineRule="auto"/>
              <w:jc w:val="both"/>
            </w:pPr>
            <w:r>
              <w:t>(3)</w:t>
            </w:r>
          </w:p>
        </w:tc>
      </w:tr>
    </w:tbl>
    <w:p w14:paraId="0D755AF0" w14:textId="35351A44" w:rsidR="00674732" w:rsidRDefault="007D78A7" w:rsidP="004F6698">
      <w:pPr>
        <w:tabs>
          <w:tab w:val="clear" w:pos="7100"/>
        </w:tabs>
        <w:autoSpaceDE w:val="0"/>
        <w:autoSpaceDN w:val="0"/>
        <w:adjustRightInd w:val="0"/>
        <w:spacing w:line="276" w:lineRule="auto"/>
        <w:rPr>
          <w:lang w:val="en-US"/>
        </w:rPr>
      </w:pPr>
      <w:r w:rsidRPr="007D78A7">
        <w:rPr>
          <w:lang w:val="en-US"/>
        </w:rPr>
        <w:t>where X</w:t>
      </w:r>
      <w:r w:rsidRPr="00C95395">
        <w:rPr>
          <w:vertAlign w:val="subscript"/>
          <w:lang w:val="en-US"/>
        </w:rPr>
        <w:t>0</w:t>
      </w:r>
      <w:r w:rsidRPr="007D78A7">
        <w:rPr>
          <w:lang w:val="en-US"/>
        </w:rPr>
        <w:t xml:space="preserve"> is the biomass concentration at time </w:t>
      </w:r>
      <w:proofErr w:type="gramStart"/>
      <w:r w:rsidRPr="007D78A7">
        <w:rPr>
          <w:lang w:val="en-US"/>
        </w:rPr>
        <w:t>t</w:t>
      </w:r>
      <w:r w:rsidRPr="00C95395">
        <w:rPr>
          <w:vertAlign w:val="subscript"/>
          <w:lang w:val="en-US"/>
        </w:rPr>
        <w:t>0</w:t>
      </w:r>
      <w:proofErr w:type="gramEnd"/>
      <w:r w:rsidRPr="007D78A7">
        <w:rPr>
          <w:lang w:val="en-US"/>
        </w:rPr>
        <w:t xml:space="preserve"> and X is the biomass concentration at</w:t>
      </w:r>
      <w:r>
        <w:rPr>
          <w:lang w:val="en-US"/>
        </w:rPr>
        <w:t xml:space="preserve"> </w:t>
      </w:r>
      <w:r w:rsidRPr="007D78A7">
        <w:rPr>
          <w:lang w:val="en-US"/>
        </w:rPr>
        <w:t>time t.</w:t>
      </w:r>
    </w:p>
    <w:p w14:paraId="513D72F3" w14:textId="3093DBD4" w:rsidR="003F7FA8" w:rsidRDefault="003F7FA8" w:rsidP="004F6698">
      <w:pPr>
        <w:tabs>
          <w:tab w:val="clear" w:pos="7100"/>
        </w:tabs>
        <w:autoSpaceDE w:val="0"/>
        <w:autoSpaceDN w:val="0"/>
        <w:adjustRightInd w:val="0"/>
        <w:spacing w:line="276" w:lineRule="auto"/>
        <w:rPr>
          <w:lang w:val="en-US"/>
        </w:rPr>
      </w:pPr>
      <w:r>
        <w:rPr>
          <w:lang w:val="en-US"/>
        </w:rPr>
        <w:lastRenderedPageBreak/>
        <w:t xml:space="preserve">The kinetic parameters were estimated through a Langmuir Plot </w:t>
      </w:r>
      <w:r w:rsidR="00AA602B">
        <w:rPr>
          <w:rStyle w:val="Rimandonotaapidipagina"/>
          <w:lang w:val="en-US"/>
        </w:rPr>
        <w:fldChar w:fldCharType="begin" w:fldLock="1"/>
      </w:r>
      <w:r w:rsidR="00AA602B">
        <w:rPr>
          <w:lang w:val="en-US"/>
        </w:rPr>
        <w:instrText>ADDIN CSL_CITATION {"citationItems":[{"id":"ITEM-1","itemData":{"DOI":"10.3390/app12125776","ISBN":"3909123863714","ISSN":"2076-3417","abstract":"Microalgae are unicellular and photosynthetic microorganisms which grow thanks to inorganic salts, CO2 and light, and find applications in several fields thanks to their variety. The industrial application of microalgae has not often been fully exploited because of a lack of information about how microalgae respond to inputs and to different growth environments. In the present work a model able to predict the microalgae growth in reactors with different geometries was developed. We combined a Monod-like model for the specific growth rate with the Lambert-Beer law of homogeneous light distribution in thick photobioreactors. Kinetic parameters related to the cultivation of the microalga Nannochloropsis gaditana were obtained, for the first time through batch cultivation under different photon flux densities inside a quasi-isoactinic photobioreactor, in order to obtain a practically homogeneous light distribution. The maximum specific growth rate and saturation constant resulted, respectively as µmax = 0.0256 h−1 and Ik = 15.28 µE m−2 s−1. These parameters were applied to the model to obtain data on microalgae growth in different geometries. Model simulation results are presented and discussed. Furthermore, biochemical analysis was performed on the biomass obtained at the end of each batch cultivation, grown both under different light intensities and in reactors with different configurations. Results indicated that lipid content increases with increasing average photon flux density. The fatty acid and carotenoids profiles markedly shift when the average light intensity varies: the PUFA content decreases and the SFA content increases when the average light intensity rises, and an accumulation of carotenoids at lower photon flux densities is observed. In conclusion, the model resulted in a useful tool, able to predict the growth of the microalga Nannochloropsis gaditana in reactors with different configurations.","author":[{"dropping-particle":"","family":"Lima","given":"Serena","non-dropping-particle":"","parse-names":false,"suffix":""},{"dropping-particle":"","family":"Brucato","given":"Alberto","non-dropping-particle":"","parse-names":false,"suffix":""},{"dropping-particle":"","family":"Caputo","given":"Giuseppe","non-dropping-particle":"","parse-names":false,"suffix":""},{"dropping-particle":"","family":"Schembri","given":"Luca","non-dropping-particle":"","parse-names":false,"suffix":""},{"dropping-particle":"","family":"Scargiali","given":"Francesca","non-dropping-particle":"","parse-names":false,"suffix":""}],"container-title":"Applied Sciences","id":"ITEM-1","issue":"12","issued":{"date-parts":[["2022","6","7"]]},"page":"5776","title":"Modelling Nannochloropsis gaditana Growth in Reactors with Different Geometries, Determination of Kinetic Parameters and Biochemical Analysis in Response to Light Intensity","type":"article-journal","volume":"12"},"uris":["http://www.mendeley.com/documents/?uuid=381e27fa-be9d-42a1-9966-b3ff5ff296f6"]}],"mendeley":{"formattedCitation":"(Lima, Brucato, Caputo, Schembri, et al., 2022)","manualFormatting":"(Lima et al., 2022b)","plainTextFormattedCitation":"(Lima, Brucato, Caputo, Schembri, et al., 2022)","previouslyFormattedCitation":"Serena Lima, Alberto Brucato, Giuseppe Caputo, Luca Schembri, and others, ‘Modelling Nannochloropsis Gaditana Growth in Reactors with Different Geometries, Determination of Kinetic Parameters and Biochemical Analysis in Response to Light Intensity’, &lt;i&gt;Applied Sciences&lt;/i&gt;, 12.12 (2022), 5776 &lt;https://doi.org/10.3390/app12125776&gt;."},"properties":{"noteIndex":0},"schema":"https://github.com/citation-style-language/schema/raw/master/csl-citation.json"}</w:instrText>
      </w:r>
      <w:r w:rsidR="00AA602B">
        <w:rPr>
          <w:rStyle w:val="Rimandonotaapidipagina"/>
          <w:lang w:val="en-US"/>
        </w:rPr>
        <w:fldChar w:fldCharType="separate"/>
      </w:r>
      <w:r w:rsidR="00AA602B">
        <w:rPr>
          <w:noProof/>
          <w:lang w:val="en-US"/>
        </w:rPr>
        <w:t>(Lima et al., 2022b)</w:t>
      </w:r>
      <w:r w:rsidR="00AA602B">
        <w:rPr>
          <w:rStyle w:val="Rimandonotaapidipagina"/>
          <w:lang w:val="en-US"/>
        </w:rPr>
        <w:fldChar w:fldCharType="end"/>
      </w:r>
      <w:r w:rsidR="00F1679F" w:rsidRPr="00F10739">
        <w:rPr>
          <w:lang w:val="en-US"/>
        </w:rPr>
        <w:t>.</w:t>
      </w:r>
      <w:r w:rsidR="00F1679F">
        <w:rPr>
          <w:lang w:val="en-US"/>
        </w:rPr>
        <w:t xml:space="preserve"> </w:t>
      </w:r>
      <w:r w:rsidR="00F1679F" w:rsidRPr="00F1679F">
        <w:rPr>
          <w:lang w:val="en-US"/>
        </w:rPr>
        <w:t xml:space="preserve">To obtain the kinetic parameters, </w:t>
      </w:r>
      <m:oMath>
        <m:sSub>
          <m:sSubPr>
            <m:ctrlPr>
              <w:rPr>
                <w:rFonts w:ascii="Cambria Math" w:hAnsi="Cambria Math"/>
                <w:lang w:val="en-US"/>
              </w:rPr>
            </m:ctrlPr>
          </m:sSubPr>
          <m:e>
            <m:r>
              <m:rPr>
                <m:sty m:val="p"/>
              </m:rPr>
              <w:rPr>
                <w:rFonts w:ascii="Cambria Math" w:hAnsi="Cambria Math"/>
              </w:rPr>
              <m:t>µ</m:t>
            </m:r>
          </m:e>
          <m:sub>
            <m:r>
              <w:rPr>
                <w:rFonts w:ascii="Cambria Math" w:hAnsi="Cambria Math"/>
              </w:rPr>
              <m:t>max</m:t>
            </m:r>
          </m:sub>
        </m:sSub>
      </m:oMath>
      <w:r w:rsidR="00F1679F" w:rsidRPr="00F1679F">
        <w:rPr>
          <w:lang w:val="en-US"/>
        </w:rPr>
        <w:t xml:space="preserve"> and </w:t>
      </w:r>
      <m:oMath>
        <m:sSub>
          <m:sSubPr>
            <m:ctrlPr>
              <w:rPr>
                <w:rFonts w:ascii="Cambria Math" w:hAnsi="Cambria Math"/>
                <w:lang w:val="en-US"/>
              </w:rPr>
            </m:ctrlPr>
          </m:sSubPr>
          <m:e>
            <m:r>
              <w:rPr>
                <w:rFonts w:ascii="Cambria Math" w:hAnsi="Cambria Math"/>
              </w:rPr>
              <m:t>K</m:t>
            </m:r>
          </m:e>
          <m:sub>
            <m:r>
              <w:rPr>
                <w:rFonts w:ascii="Cambria Math" w:hAnsi="Cambria Math"/>
              </w:rPr>
              <m:t>s</m:t>
            </m:r>
          </m:sub>
        </m:sSub>
        <m:r>
          <w:rPr>
            <w:rFonts w:ascii="Cambria Math" w:hAnsi="Cambria Math"/>
            <w:lang w:val="en-US"/>
          </w:rPr>
          <m:t>,</m:t>
        </m:r>
      </m:oMath>
      <w:r w:rsidR="00F1679F" w:rsidRPr="00F1679F">
        <w:rPr>
          <w:lang w:val="en-US"/>
        </w:rPr>
        <w:t xml:space="preserve"> Equation </w:t>
      </w:r>
      <w:r w:rsidR="00F1679F" w:rsidRPr="00CB7406">
        <w:rPr>
          <w:lang w:val="en-US"/>
        </w:rPr>
        <w:t>(</w:t>
      </w:r>
      <w:r w:rsidR="00CB7406" w:rsidRPr="00CB7406">
        <w:rPr>
          <w:lang w:val="en-US"/>
        </w:rPr>
        <w:t>2</w:t>
      </w:r>
      <w:r w:rsidR="00F1679F" w:rsidRPr="00CB7406">
        <w:rPr>
          <w:lang w:val="en-US"/>
        </w:rPr>
        <w:t>)</w:t>
      </w:r>
      <w:r w:rsidR="00F1679F" w:rsidRPr="00F1679F">
        <w:rPr>
          <w:lang w:val="en-US"/>
        </w:rPr>
        <w:t xml:space="preserve"> can be rewritten according</w:t>
      </w:r>
      <w:r w:rsidR="00F1679F">
        <w:rPr>
          <w:lang w:val="en-US"/>
        </w:rPr>
        <w:t xml:space="preserve"> </w:t>
      </w:r>
      <w:r w:rsidR="00F1679F" w:rsidRPr="00F1679F">
        <w:rPr>
          <w:lang w:val="en-US"/>
        </w:rPr>
        <w:t xml:space="preserve">to Langmuir </w:t>
      </w:r>
      <w:r w:rsidR="00AA602B">
        <w:rPr>
          <w:rStyle w:val="Rimandonotaapidipagina"/>
          <w:lang w:val="en-US"/>
        </w:rPr>
        <w:fldChar w:fldCharType="begin" w:fldLock="1"/>
      </w:r>
      <w:r w:rsidR="00AA602B">
        <w:rPr>
          <w:lang w:val="en-US"/>
        </w:rPr>
        <w:instrText>ADDIN CSL_CITATION {"citationItems":[{"id":"ITEM-1","itemData":{"ISBN":"978-0-12-220851-5","author":[{"dropping-particle":"","family":"Doran","given":"Pauline M.","non-dropping-particle":"","parse-names":false,"suffix":""}],"edition":"second","id":"ITEM-1","issued":{"date-parts":[["2013"]]},"title":"Bioprocess engineering principles","type":"book"},"uris":["http://www.mendeley.com/documents/?uuid=e2c1ffbb-7a36-487d-a730-a1864f6943a5"]}],"mendeley":{"formattedCitation":"(Doran, 2013)","plainTextFormattedCitation":"(Doran, 2013)","previouslyFormattedCitation":"Doran."},"properties":{"noteIndex":0},"schema":"https://github.com/citation-style-language/schema/raw/master/csl-citation.json"}</w:instrText>
      </w:r>
      <w:r w:rsidR="00AA602B">
        <w:rPr>
          <w:rStyle w:val="Rimandonotaapidipagina"/>
          <w:lang w:val="en-US"/>
        </w:rPr>
        <w:fldChar w:fldCharType="separate"/>
      </w:r>
      <w:r w:rsidR="00AA602B" w:rsidRPr="00AA602B">
        <w:rPr>
          <w:noProof/>
          <w:lang w:val="en-US"/>
        </w:rPr>
        <w:t>(Doran, 2013)</w:t>
      </w:r>
      <w:r w:rsidR="00AA602B">
        <w:rPr>
          <w:rStyle w:val="Rimandonotaapidipagina"/>
          <w:lang w:val="en-US"/>
        </w:rPr>
        <w:fldChar w:fldCharType="end"/>
      </w:r>
      <w:r w:rsidR="00F1679F" w:rsidRPr="006A02B8">
        <w:rPr>
          <w:lang w:val="en-US"/>
        </w:rPr>
        <w:t xml:space="preserve"> a</w:t>
      </w:r>
      <w:r w:rsidR="00F1679F" w:rsidRPr="00F1679F">
        <w:rPr>
          <w:lang w:val="en-US"/>
        </w:rPr>
        <w:t>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560"/>
      </w:tblGrid>
      <w:tr w:rsidR="008977EF" w14:paraId="31E0689E" w14:textId="77777777" w:rsidTr="008977EF">
        <w:tc>
          <w:tcPr>
            <w:tcW w:w="8217" w:type="dxa"/>
          </w:tcPr>
          <w:p w14:paraId="0A88BCAD" w14:textId="6B482F7C" w:rsidR="008977EF" w:rsidRPr="008977EF" w:rsidRDefault="00000000" w:rsidP="004F6698">
            <w:pPr>
              <w:pStyle w:val="CETEquation"/>
              <w:spacing w:line="276" w:lineRule="auto"/>
              <w:jc w:val="both"/>
            </w:pPr>
            <m:oMathPara>
              <m:oMath>
                <m:f>
                  <m:fPr>
                    <m:ctrlPr>
                      <w:rPr>
                        <w:rFonts w:ascii="Cambria Math" w:hAnsi="Cambria Math"/>
                        <w:lang w:val="en-US"/>
                      </w:rPr>
                    </m:ctrlPr>
                  </m:fPr>
                  <m:num>
                    <m:r>
                      <m:rPr>
                        <m:sty m:val="p"/>
                      </m:rPr>
                      <w:rPr>
                        <w:rFonts w:ascii="Cambria Math" w:hAnsi="Cambria Math"/>
                      </w:rPr>
                      <m:t>S</m:t>
                    </m:r>
                  </m:num>
                  <m:den>
                    <m:r>
                      <m:rPr>
                        <m:sty m:val="p"/>
                      </m:rPr>
                      <w:rPr>
                        <w:rFonts w:ascii="Cambria Math" w:hAnsi="Cambria Math"/>
                      </w:rPr>
                      <m:t>µ</m:t>
                    </m:r>
                  </m:den>
                </m:f>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sSub>
                      <m:sSubPr>
                        <m:ctrlPr>
                          <w:rPr>
                            <w:rFonts w:ascii="Cambria Math" w:hAnsi="Cambria Math"/>
                            <w:lang w:val="en-US"/>
                          </w:rPr>
                        </m:ctrlPr>
                      </m:sSubPr>
                      <m:e>
                        <m:r>
                          <m:rPr>
                            <m:sty m:val="p"/>
                          </m:rPr>
                          <w:rPr>
                            <w:rFonts w:ascii="Cambria Math" w:hAnsi="Cambria Math"/>
                          </w:rPr>
                          <m:t>µ</m:t>
                        </m:r>
                      </m:e>
                      <m:sub>
                        <m:r>
                          <w:rPr>
                            <w:rFonts w:ascii="Cambria Math" w:hAnsi="Cambria Math"/>
                          </w:rPr>
                          <m:t>max</m:t>
                        </m:r>
                      </m:sub>
                    </m:sSub>
                  </m:den>
                </m:f>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f>
                  <m:fPr>
                    <m:ctrlPr>
                      <w:rPr>
                        <w:rFonts w:ascii="Cambria Math" w:hAnsi="Cambria Math"/>
                        <w:lang w:val="en-US"/>
                      </w:rPr>
                    </m:ctrlPr>
                  </m:fPr>
                  <m:num>
                    <m:sSub>
                      <m:sSubPr>
                        <m:ctrlPr>
                          <w:rPr>
                            <w:rFonts w:ascii="Cambria Math" w:hAnsi="Cambria Math"/>
                            <w:lang w:val="en-US"/>
                          </w:rPr>
                        </m:ctrlPr>
                      </m:sSubPr>
                      <m:e>
                        <m:r>
                          <w:rPr>
                            <w:rFonts w:ascii="Cambria Math" w:hAnsi="Cambria Math"/>
                          </w:rPr>
                          <m:t>K</m:t>
                        </m:r>
                      </m:e>
                      <m:sub>
                        <m:r>
                          <w:rPr>
                            <w:rFonts w:ascii="Cambria Math" w:hAnsi="Cambria Math"/>
                          </w:rPr>
                          <m:t>s</m:t>
                        </m:r>
                      </m:sub>
                    </m:sSub>
                  </m:num>
                  <m:den>
                    <m:sSub>
                      <m:sSubPr>
                        <m:ctrlPr>
                          <w:rPr>
                            <w:rFonts w:ascii="Cambria Math" w:hAnsi="Cambria Math"/>
                            <w:lang w:val="en-US"/>
                          </w:rPr>
                        </m:ctrlPr>
                      </m:sSubPr>
                      <m:e>
                        <m:r>
                          <m:rPr>
                            <m:sty m:val="p"/>
                          </m:rPr>
                          <w:rPr>
                            <w:rFonts w:ascii="Cambria Math" w:hAnsi="Cambria Math"/>
                          </w:rPr>
                          <m:t>µ</m:t>
                        </m:r>
                      </m:e>
                      <m:sub>
                        <m:r>
                          <w:rPr>
                            <w:rFonts w:ascii="Cambria Math" w:hAnsi="Cambria Math"/>
                          </w:rPr>
                          <m:t>max</m:t>
                        </m:r>
                      </m:sub>
                    </m:sSub>
                  </m:den>
                </m:f>
              </m:oMath>
            </m:oMathPara>
          </w:p>
        </w:tc>
        <w:tc>
          <w:tcPr>
            <w:tcW w:w="560" w:type="dxa"/>
          </w:tcPr>
          <w:p w14:paraId="3ABAF89D" w14:textId="137DDA98" w:rsidR="008977EF" w:rsidRDefault="008977EF" w:rsidP="004F6698">
            <w:pPr>
              <w:pStyle w:val="CETEquation"/>
              <w:spacing w:line="276" w:lineRule="auto"/>
              <w:jc w:val="both"/>
              <w:rPr>
                <w:lang w:val="en-US"/>
              </w:rPr>
            </w:pPr>
            <w:r>
              <w:rPr>
                <w:lang w:val="en-US"/>
              </w:rPr>
              <w:t>(4)</w:t>
            </w:r>
          </w:p>
        </w:tc>
      </w:tr>
    </w:tbl>
    <w:p w14:paraId="546CC8D1" w14:textId="3D3A21BC" w:rsidR="00F1679F" w:rsidRPr="00674732" w:rsidRDefault="00F07F24" w:rsidP="00341FE3">
      <w:pPr>
        <w:tabs>
          <w:tab w:val="clear" w:pos="7100"/>
        </w:tabs>
        <w:autoSpaceDE w:val="0"/>
        <w:autoSpaceDN w:val="0"/>
        <w:adjustRightInd w:val="0"/>
        <w:spacing w:line="276" w:lineRule="auto"/>
        <w:rPr>
          <w:lang w:val="en-US"/>
        </w:rPr>
      </w:pPr>
      <w:r>
        <w:rPr>
          <w:lang w:val="en-US"/>
        </w:rPr>
        <w:t xml:space="preserve">A </w:t>
      </w:r>
      <w:r w:rsidRPr="00F07F24">
        <w:rPr>
          <w:lang w:val="en-US"/>
        </w:rPr>
        <w:t xml:space="preserve">Langmuir plot of </w:t>
      </w:r>
      <w:r w:rsidR="003805FF">
        <w:rPr>
          <w:lang w:val="en-US"/>
        </w:rPr>
        <w:t>S</w:t>
      </w:r>
      <w:r w:rsidRPr="00F07F24">
        <w:rPr>
          <w:lang w:val="en-US"/>
        </w:rPr>
        <w:t>/</w:t>
      </w:r>
      <w:r w:rsidR="003805FF">
        <w:rPr>
          <w:rFonts w:cs="Arial"/>
          <w:lang w:val="en-US"/>
        </w:rPr>
        <w:t>µ</w:t>
      </w:r>
      <w:r w:rsidRPr="00F07F24">
        <w:rPr>
          <w:lang w:val="en-US"/>
        </w:rPr>
        <w:t xml:space="preserve"> versus </w:t>
      </w:r>
      <w:r w:rsidR="003805FF">
        <w:rPr>
          <w:lang w:val="en-US"/>
        </w:rPr>
        <w:t>S</w:t>
      </w:r>
      <w:r w:rsidRPr="00F07F24">
        <w:rPr>
          <w:lang w:val="en-US"/>
        </w:rPr>
        <w:t xml:space="preserve"> should give a straight line</w:t>
      </w:r>
      <w:r>
        <w:rPr>
          <w:lang w:val="en-US"/>
        </w:rPr>
        <w:t xml:space="preserve">, the kinetic parameters were obtained from its </w:t>
      </w:r>
      <w:r w:rsidRPr="00F07F24">
        <w:rPr>
          <w:lang w:val="en-US"/>
        </w:rPr>
        <w:t>slope</w:t>
      </w:r>
      <w:r>
        <w:rPr>
          <w:lang w:val="en-US"/>
        </w:rPr>
        <w:t xml:space="preserve"> (</w:t>
      </w:r>
      <w:r w:rsidRPr="00F07F24">
        <w:rPr>
          <w:lang w:val="en-US"/>
        </w:rPr>
        <w:t>1/</w:t>
      </w:r>
      <w:r w:rsidR="006A02B8">
        <w:rPr>
          <w:rFonts w:cs="Arial"/>
          <w:lang w:val="en-US"/>
        </w:rPr>
        <w:t>µ</w:t>
      </w:r>
      <w:r w:rsidRPr="006A02B8">
        <w:rPr>
          <w:vertAlign w:val="subscript"/>
          <w:lang w:val="en-US"/>
        </w:rPr>
        <w:t>max</w:t>
      </w:r>
      <w:r>
        <w:rPr>
          <w:lang w:val="en-US"/>
        </w:rPr>
        <w:t>)</w:t>
      </w:r>
      <w:r w:rsidRPr="00F07F24">
        <w:rPr>
          <w:lang w:val="en-US"/>
        </w:rPr>
        <w:t xml:space="preserve"> and intercept </w:t>
      </w:r>
      <w:r>
        <w:rPr>
          <w:lang w:val="en-US"/>
        </w:rPr>
        <w:t>(</w:t>
      </w:r>
      <w:r w:rsidR="006A02B8">
        <w:rPr>
          <w:lang w:val="en-US"/>
        </w:rPr>
        <w:t>K</w:t>
      </w:r>
      <w:r w:rsidR="006A02B8" w:rsidRPr="006A02B8">
        <w:rPr>
          <w:vertAlign w:val="subscript"/>
          <w:lang w:val="en-US"/>
        </w:rPr>
        <w:t>s</w:t>
      </w:r>
      <w:r w:rsidRPr="00F07F24">
        <w:rPr>
          <w:lang w:val="en-US"/>
        </w:rPr>
        <w:t>/</w:t>
      </w:r>
      <w:r w:rsidR="006A02B8">
        <w:rPr>
          <w:rFonts w:cs="Arial"/>
          <w:lang w:val="en-US"/>
        </w:rPr>
        <w:t>µ</w:t>
      </w:r>
      <w:r w:rsidRPr="006A02B8">
        <w:rPr>
          <w:vertAlign w:val="subscript"/>
          <w:lang w:val="en-US"/>
        </w:rPr>
        <w:t>max</w:t>
      </w:r>
      <w:r>
        <w:rPr>
          <w:lang w:val="en-US"/>
        </w:rPr>
        <w:t>).</w:t>
      </w:r>
      <w:r w:rsidR="00150214">
        <w:rPr>
          <w:lang w:val="en-US"/>
        </w:rPr>
        <w:t xml:space="preserve"> </w:t>
      </w:r>
      <w:proofErr w:type="gramStart"/>
      <w:r w:rsidR="00150214" w:rsidRPr="00150214">
        <w:rPr>
          <w:lang w:val="en-US"/>
        </w:rPr>
        <w:t>In order to</w:t>
      </w:r>
      <w:proofErr w:type="gramEnd"/>
      <w:r w:rsidR="00150214" w:rsidRPr="00150214">
        <w:rPr>
          <w:lang w:val="en-US"/>
        </w:rPr>
        <w:t xml:space="preserve"> obtain the kinetic parameters of the Monod equation, batch cultivations</w:t>
      </w:r>
      <w:r w:rsidR="00150214">
        <w:rPr>
          <w:lang w:val="en-US"/>
        </w:rPr>
        <w:t xml:space="preserve"> </w:t>
      </w:r>
      <w:r w:rsidR="00150214" w:rsidRPr="00150214">
        <w:rPr>
          <w:lang w:val="en-US"/>
        </w:rPr>
        <w:t xml:space="preserve">were carried out </w:t>
      </w:r>
      <w:r w:rsidR="00150214">
        <w:rPr>
          <w:lang w:val="en-US"/>
        </w:rPr>
        <w:t>in the synthetic sewage with different glucose concentration: 2.2</w:t>
      </w:r>
      <w:r w:rsidR="00E95AFB" w:rsidRPr="00E95AFB">
        <w:t xml:space="preserve"> </w:t>
      </w:r>
      <w:r w:rsidR="00E95AFB">
        <w:t>mg L</w:t>
      </w:r>
      <w:r w:rsidR="00E95AFB" w:rsidRPr="00AD1B9E">
        <w:rPr>
          <w:vertAlign w:val="superscript"/>
        </w:rPr>
        <w:t>-1</w:t>
      </w:r>
      <w:r w:rsidR="00150214">
        <w:rPr>
          <w:lang w:val="en-US"/>
        </w:rPr>
        <w:t xml:space="preserve">, </w:t>
      </w:r>
      <w:r w:rsidR="00341FE3">
        <w:rPr>
          <w:lang w:val="en-US"/>
        </w:rPr>
        <w:t>6</w:t>
      </w:r>
      <w:r w:rsidR="00341FE3" w:rsidRPr="00341FE3">
        <w:rPr>
          <w:lang w:val="en-US"/>
        </w:rPr>
        <w:t>.7</w:t>
      </w:r>
      <w:r w:rsidR="00E95AFB" w:rsidRPr="00E95AFB">
        <w:t xml:space="preserve"> </w:t>
      </w:r>
      <w:r w:rsidR="00E95AFB">
        <w:t>mg L</w:t>
      </w:r>
      <w:r w:rsidR="00E95AFB" w:rsidRPr="00AD1B9E">
        <w:rPr>
          <w:vertAlign w:val="superscript"/>
        </w:rPr>
        <w:t>-1</w:t>
      </w:r>
      <w:r w:rsidR="00341FE3">
        <w:rPr>
          <w:lang w:val="en-US"/>
        </w:rPr>
        <w:t>,</w:t>
      </w:r>
      <w:r w:rsidR="00341FE3" w:rsidRPr="00341FE3">
        <w:rPr>
          <w:lang w:val="en-US"/>
        </w:rPr>
        <w:t>12.6</w:t>
      </w:r>
      <w:r w:rsidR="00E95AFB" w:rsidRPr="00E95AFB">
        <w:t xml:space="preserve"> </w:t>
      </w:r>
      <w:r w:rsidR="00E95AFB">
        <w:t>mg L</w:t>
      </w:r>
      <w:r w:rsidR="00E95AFB" w:rsidRPr="00AD1B9E">
        <w:rPr>
          <w:vertAlign w:val="superscript"/>
        </w:rPr>
        <w:t>-1</w:t>
      </w:r>
      <w:r w:rsidR="00341FE3">
        <w:rPr>
          <w:lang w:val="en-US"/>
        </w:rPr>
        <w:t xml:space="preserve">, </w:t>
      </w:r>
      <w:r w:rsidR="00341FE3" w:rsidRPr="00341FE3">
        <w:rPr>
          <w:lang w:val="en-US"/>
        </w:rPr>
        <w:t>22.2</w:t>
      </w:r>
      <w:r w:rsidR="00E95AFB" w:rsidRPr="00E95AFB">
        <w:t xml:space="preserve"> </w:t>
      </w:r>
      <w:r w:rsidR="00E95AFB">
        <w:t>mg L</w:t>
      </w:r>
      <w:r w:rsidR="00E95AFB" w:rsidRPr="00AD1B9E">
        <w:rPr>
          <w:vertAlign w:val="superscript"/>
        </w:rPr>
        <w:t>-1</w:t>
      </w:r>
      <w:r w:rsidR="00341FE3">
        <w:rPr>
          <w:lang w:val="en-US"/>
        </w:rPr>
        <w:t xml:space="preserve">, </w:t>
      </w:r>
      <w:r w:rsidR="00341FE3" w:rsidRPr="00341FE3">
        <w:rPr>
          <w:lang w:val="en-US"/>
        </w:rPr>
        <w:t>40.0</w:t>
      </w:r>
      <w:r w:rsidR="00E95AFB" w:rsidRPr="00E95AFB">
        <w:t xml:space="preserve"> </w:t>
      </w:r>
      <w:r w:rsidR="00E95AFB">
        <w:t>mg L</w:t>
      </w:r>
      <w:r w:rsidR="00E95AFB" w:rsidRPr="00AD1B9E">
        <w:rPr>
          <w:vertAlign w:val="superscript"/>
        </w:rPr>
        <w:t>-1</w:t>
      </w:r>
      <w:r w:rsidR="00341FE3">
        <w:rPr>
          <w:lang w:val="en-US"/>
        </w:rPr>
        <w:t xml:space="preserve">, </w:t>
      </w:r>
      <w:r w:rsidR="00341FE3" w:rsidRPr="00341FE3">
        <w:rPr>
          <w:lang w:val="en-US"/>
        </w:rPr>
        <w:t>89.3</w:t>
      </w:r>
      <w:r w:rsidR="00E95AFB" w:rsidRPr="00E95AFB">
        <w:t xml:space="preserve"> </w:t>
      </w:r>
      <w:r w:rsidR="00E95AFB">
        <w:t>mg L</w:t>
      </w:r>
      <w:r w:rsidR="00E95AFB" w:rsidRPr="00AD1B9E">
        <w:rPr>
          <w:vertAlign w:val="superscript"/>
        </w:rPr>
        <w:t>-1</w:t>
      </w:r>
      <w:r w:rsidR="00341FE3">
        <w:rPr>
          <w:lang w:val="en-US"/>
        </w:rPr>
        <w:t xml:space="preserve">, </w:t>
      </w:r>
      <w:r w:rsidR="00341FE3" w:rsidRPr="00341FE3">
        <w:rPr>
          <w:lang w:val="en-US"/>
        </w:rPr>
        <w:t>210.2</w:t>
      </w:r>
      <w:r w:rsidR="00E95AFB" w:rsidRPr="00E95AFB">
        <w:t xml:space="preserve"> </w:t>
      </w:r>
      <w:r w:rsidR="00E95AFB">
        <w:t>mg L</w:t>
      </w:r>
      <w:r w:rsidR="00E95AFB" w:rsidRPr="00AD1B9E">
        <w:rPr>
          <w:vertAlign w:val="superscript"/>
        </w:rPr>
        <w:t>-1</w:t>
      </w:r>
      <w:r w:rsidR="00341FE3">
        <w:rPr>
          <w:lang w:val="en-US"/>
        </w:rPr>
        <w:t xml:space="preserve"> and </w:t>
      </w:r>
      <w:r w:rsidR="00341FE3" w:rsidRPr="00341FE3">
        <w:rPr>
          <w:lang w:val="en-US"/>
        </w:rPr>
        <w:t>250.0</w:t>
      </w:r>
      <w:r w:rsidR="00E95AFB" w:rsidRPr="00E95AFB">
        <w:t xml:space="preserve"> </w:t>
      </w:r>
      <w:r w:rsidR="00E95AFB">
        <w:t>mg L</w:t>
      </w:r>
      <w:r w:rsidR="00E95AFB" w:rsidRPr="00AD1B9E">
        <w:rPr>
          <w:vertAlign w:val="superscript"/>
        </w:rPr>
        <w:t>-1</w:t>
      </w:r>
      <w:r w:rsidR="00341FE3">
        <w:rPr>
          <w:lang w:val="en-US"/>
        </w:rPr>
        <w:t>.</w:t>
      </w:r>
    </w:p>
    <w:p w14:paraId="5741900F" w14:textId="055A849F" w:rsidR="00453E24" w:rsidRDefault="008A3FAF" w:rsidP="00453E24">
      <w:pPr>
        <w:pStyle w:val="CETHeading1"/>
      </w:pPr>
      <w:r>
        <w:t>Results and discussion</w:t>
      </w:r>
    </w:p>
    <w:p w14:paraId="335B2F0B" w14:textId="7CE51CB5" w:rsidR="00674732" w:rsidRDefault="00674732" w:rsidP="00674732">
      <w:pPr>
        <w:pStyle w:val="CETheadingx"/>
      </w:pPr>
      <w:r>
        <w:t>Analysis of the synthetic sewage</w:t>
      </w:r>
    </w:p>
    <w:p w14:paraId="7C8B401D" w14:textId="6BF52C36" w:rsidR="00674732" w:rsidRDefault="00CB7406" w:rsidP="00A279B6">
      <w:pPr>
        <w:pStyle w:val="CETBodytext"/>
        <w:spacing w:after="240"/>
      </w:pPr>
      <w:r>
        <w:t xml:space="preserve">The synthetic sewage was </w:t>
      </w:r>
      <w:proofErr w:type="spellStart"/>
      <w:r>
        <w:t>analysed</w:t>
      </w:r>
      <w:proofErr w:type="spellEnd"/>
      <w:r>
        <w:t xml:space="preserve"> for its content of organic and inorganic carbon, </w:t>
      </w:r>
      <w:proofErr w:type="gramStart"/>
      <w:r>
        <w:t>pH</w:t>
      </w:r>
      <w:proofErr w:type="gramEnd"/>
      <w:r>
        <w:t xml:space="preserve"> and </w:t>
      </w:r>
      <w:r w:rsidR="00C95395">
        <w:t xml:space="preserve">conductivity. In </w:t>
      </w:r>
      <w:r w:rsidR="00A279B6">
        <w:t>Table 1 the characteristics of the synthetic wastewater are reported.</w:t>
      </w:r>
    </w:p>
    <w:p w14:paraId="07039D53" w14:textId="454966E9" w:rsidR="00A279B6" w:rsidRDefault="00A279B6" w:rsidP="00A279B6">
      <w:pPr>
        <w:pStyle w:val="CETTabletitle"/>
      </w:pPr>
      <w:r>
        <w:t xml:space="preserve">Table </w:t>
      </w:r>
      <w:r>
        <w:fldChar w:fldCharType="begin"/>
      </w:r>
      <w:r>
        <w:instrText xml:space="preserve"> SEQ Table \* ARABIC </w:instrText>
      </w:r>
      <w:r>
        <w:fldChar w:fldCharType="separate"/>
      </w:r>
      <w:r w:rsidR="001E2312">
        <w:rPr>
          <w:noProof/>
        </w:rPr>
        <w:t>1</w:t>
      </w:r>
      <w:r>
        <w:fldChar w:fldCharType="end"/>
      </w:r>
      <w:r>
        <w:t>: Characteristics of the synthetic sewage</w:t>
      </w:r>
    </w:p>
    <w:tbl>
      <w:tblPr>
        <w:tblW w:w="3549" w:type="pct"/>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09"/>
        <w:gridCol w:w="1663"/>
        <w:gridCol w:w="990"/>
        <w:gridCol w:w="709"/>
        <w:gridCol w:w="851"/>
        <w:gridCol w:w="1415"/>
      </w:tblGrid>
      <w:tr w:rsidR="00A279B6" w:rsidRPr="00B57B36" w14:paraId="074D4C43" w14:textId="77777777" w:rsidTr="00A279B6">
        <w:trPr>
          <w:jc w:val="center"/>
        </w:trPr>
        <w:tc>
          <w:tcPr>
            <w:tcW w:w="488" w:type="pct"/>
            <w:tcBorders>
              <w:top w:val="single" w:sz="12" w:space="0" w:color="008000"/>
              <w:bottom w:val="single" w:sz="6" w:space="0" w:color="008000"/>
            </w:tcBorders>
            <w:shd w:val="clear" w:color="auto" w:fill="FFFFFF"/>
            <w:vAlign w:val="center"/>
          </w:tcPr>
          <w:p w14:paraId="26B35501" w14:textId="48ACE858" w:rsidR="00A279B6" w:rsidRDefault="00A279B6" w:rsidP="00A279B6">
            <w:pPr>
              <w:pStyle w:val="CETBodytext"/>
              <w:jc w:val="center"/>
              <w:rPr>
                <w:lang w:val="en-GB"/>
              </w:rPr>
            </w:pPr>
            <w:r>
              <w:rPr>
                <w:lang w:val="en-GB"/>
              </w:rPr>
              <w:t>pH</w:t>
            </w:r>
          </w:p>
        </w:tc>
        <w:tc>
          <w:tcPr>
            <w:tcW w:w="1333" w:type="pct"/>
            <w:tcBorders>
              <w:top w:val="single" w:sz="12" w:space="0" w:color="008000"/>
              <w:bottom w:val="single" w:sz="6" w:space="0" w:color="008000"/>
            </w:tcBorders>
            <w:shd w:val="clear" w:color="auto" w:fill="FFFFFF"/>
            <w:vAlign w:val="center"/>
          </w:tcPr>
          <w:p w14:paraId="2F44F601" w14:textId="28499356" w:rsidR="00A279B6" w:rsidRDefault="00A279B6" w:rsidP="00A279B6">
            <w:pPr>
              <w:pStyle w:val="CETBodytext"/>
              <w:jc w:val="center"/>
              <w:rPr>
                <w:lang w:val="en-GB"/>
              </w:rPr>
            </w:pPr>
            <w:r>
              <w:rPr>
                <w:lang w:val="en-GB"/>
              </w:rPr>
              <w:t>conductivity</w:t>
            </w:r>
          </w:p>
        </w:tc>
        <w:tc>
          <w:tcPr>
            <w:tcW w:w="794" w:type="pct"/>
            <w:tcBorders>
              <w:top w:val="single" w:sz="12" w:space="0" w:color="008000"/>
              <w:bottom w:val="single" w:sz="6" w:space="0" w:color="008000"/>
            </w:tcBorders>
            <w:shd w:val="clear" w:color="auto" w:fill="FFFFFF"/>
            <w:vAlign w:val="center"/>
          </w:tcPr>
          <w:p w14:paraId="2914409A" w14:textId="32EACFF4" w:rsidR="00A279B6" w:rsidRPr="00B57B36" w:rsidRDefault="00A279B6" w:rsidP="00A279B6">
            <w:pPr>
              <w:pStyle w:val="CETBodytext"/>
              <w:jc w:val="center"/>
              <w:rPr>
                <w:lang w:val="en-GB"/>
              </w:rPr>
            </w:pPr>
            <w:r>
              <w:rPr>
                <w:lang w:val="en-GB"/>
              </w:rPr>
              <w:t>NPOC</w:t>
            </w:r>
          </w:p>
        </w:tc>
        <w:tc>
          <w:tcPr>
            <w:tcW w:w="568" w:type="pct"/>
            <w:tcBorders>
              <w:top w:val="single" w:sz="12" w:space="0" w:color="008000"/>
              <w:bottom w:val="single" w:sz="6" w:space="0" w:color="008000"/>
            </w:tcBorders>
            <w:shd w:val="clear" w:color="auto" w:fill="FFFFFF"/>
            <w:vAlign w:val="center"/>
          </w:tcPr>
          <w:p w14:paraId="08FF10A4" w14:textId="04DF63A6" w:rsidR="00A279B6" w:rsidRPr="00B57B36" w:rsidRDefault="00A279B6" w:rsidP="00A279B6">
            <w:pPr>
              <w:pStyle w:val="CETBodytext"/>
              <w:jc w:val="center"/>
              <w:rPr>
                <w:lang w:val="en-GB"/>
              </w:rPr>
            </w:pPr>
            <w:r>
              <w:rPr>
                <w:lang w:val="en-GB"/>
              </w:rPr>
              <w:t>IC</w:t>
            </w:r>
          </w:p>
        </w:tc>
        <w:tc>
          <w:tcPr>
            <w:tcW w:w="682" w:type="pct"/>
            <w:tcBorders>
              <w:top w:val="single" w:sz="12" w:space="0" w:color="008000"/>
              <w:bottom w:val="single" w:sz="6" w:space="0" w:color="008000"/>
            </w:tcBorders>
            <w:shd w:val="clear" w:color="auto" w:fill="FFFFFF"/>
            <w:vAlign w:val="center"/>
          </w:tcPr>
          <w:p w14:paraId="3C2E1C00" w14:textId="5A6D6447" w:rsidR="00A279B6" w:rsidRPr="00B57B36" w:rsidRDefault="00A279B6" w:rsidP="00A279B6">
            <w:pPr>
              <w:pStyle w:val="CETBodytext"/>
              <w:jc w:val="center"/>
              <w:rPr>
                <w:lang w:val="en-GB"/>
              </w:rPr>
            </w:pPr>
            <w:r>
              <w:rPr>
                <w:lang w:val="en-GB"/>
              </w:rPr>
              <w:t>N:P</w:t>
            </w:r>
          </w:p>
        </w:tc>
        <w:tc>
          <w:tcPr>
            <w:tcW w:w="1134" w:type="pct"/>
            <w:tcBorders>
              <w:top w:val="single" w:sz="12" w:space="0" w:color="008000"/>
              <w:bottom w:val="single" w:sz="6" w:space="0" w:color="008000"/>
            </w:tcBorders>
            <w:shd w:val="clear" w:color="auto" w:fill="FFFFFF"/>
            <w:vAlign w:val="center"/>
          </w:tcPr>
          <w:p w14:paraId="4FF4FD39" w14:textId="1F25C66B" w:rsidR="00A279B6" w:rsidRPr="00B57B36" w:rsidRDefault="00A279B6" w:rsidP="00A279B6">
            <w:pPr>
              <w:pStyle w:val="CETBodytext"/>
              <w:ind w:right="-1"/>
              <w:jc w:val="center"/>
              <w:rPr>
                <w:rFonts w:cs="Arial"/>
                <w:szCs w:val="18"/>
                <w:lang w:val="en-GB"/>
              </w:rPr>
            </w:pPr>
            <w:r w:rsidRPr="00A279B6">
              <w:rPr>
                <w:rFonts w:cs="Arial"/>
                <w:szCs w:val="18"/>
                <w:lang w:val="en-GB"/>
              </w:rPr>
              <w:t>NH</w:t>
            </w:r>
            <w:r w:rsidRPr="00A279B6">
              <w:rPr>
                <w:rFonts w:cs="Arial"/>
                <w:szCs w:val="18"/>
                <w:vertAlign w:val="subscript"/>
                <w:lang w:val="en-GB"/>
              </w:rPr>
              <w:t>4</w:t>
            </w:r>
            <w:r w:rsidRPr="00A279B6">
              <w:rPr>
                <w:rFonts w:cs="Arial"/>
                <w:szCs w:val="18"/>
                <w:vertAlign w:val="superscript"/>
                <w:lang w:val="en-GB"/>
              </w:rPr>
              <w:t>+</w:t>
            </w:r>
            <w:r w:rsidRPr="00A279B6">
              <w:rPr>
                <w:rFonts w:cs="Arial"/>
                <w:szCs w:val="18"/>
                <w:lang w:val="en-GB"/>
              </w:rPr>
              <w:t>:NO</w:t>
            </w:r>
            <w:r w:rsidRPr="00A279B6">
              <w:rPr>
                <w:rFonts w:cs="Arial"/>
                <w:szCs w:val="18"/>
                <w:vertAlign w:val="subscript"/>
                <w:lang w:val="en-GB"/>
              </w:rPr>
              <w:t>3</w:t>
            </w:r>
            <w:r w:rsidRPr="00A279B6">
              <w:rPr>
                <w:rFonts w:cs="Arial"/>
                <w:szCs w:val="18"/>
                <w:vertAlign w:val="superscript"/>
                <w:lang w:val="en-GB"/>
              </w:rPr>
              <w:t>-</w:t>
            </w:r>
          </w:p>
        </w:tc>
      </w:tr>
      <w:tr w:rsidR="00A279B6" w:rsidRPr="00B57B36" w14:paraId="13149DE4" w14:textId="77777777" w:rsidTr="00A279B6">
        <w:trPr>
          <w:jc w:val="center"/>
        </w:trPr>
        <w:tc>
          <w:tcPr>
            <w:tcW w:w="488" w:type="pct"/>
            <w:shd w:val="clear" w:color="auto" w:fill="FFFFFF"/>
            <w:vAlign w:val="center"/>
          </w:tcPr>
          <w:p w14:paraId="0F093677" w14:textId="308CD87A" w:rsidR="00A279B6" w:rsidRPr="00B57B36" w:rsidRDefault="00A279B6" w:rsidP="00A279B6">
            <w:pPr>
              <w:pStyle w:val="CETBodytext"/>
              <w:jc w:val="center"/>
              <w:rPr>
                <w:lang w:val="en-GB"/>
              </w:rPr>
            </w:pPr>
            <w:r>
              <w:rPr>
                <w:lang w:val="en-GB"/>
              </w:rPr>
              <w:t>8.1</w:t>
            </w:r>
          </w:p>
        </w:tc>
        <w:tc>
          <w:tcPr>
            <w:tcW w:w="1333" w:type="pct"/>
            <w:shd w:val="clear" w:color="auto" w:fill="FFFFFF"/>
            <w:vAlign w:val="center"/>
          </w:tcPr>
          <w:p w14:paraId="6C183380" w14:textId="6EB5618A" w:rsidR="00A279B6" w:rsidRPr="00B57B36" w:rsidRDefault="00A279B6" w:rsidP="00A279B6">
            <w:pPr>
              <w:pStyle w:val="CETBodytext"/>
              <w:jc w:val="center"/>
              <w:rPr>
                <w:lang w:val="en-GB"/>
              </w:rPr>
            </w:pPr>
            <w:r w:rsidRPr="00A279B6">
              <w:rPr>
                <w:lang w:val="en-GB"/>
              </w:rPr>
              <w:t>1157.58</w:t>
            </w:r>
            <w:r>
              <w:rPr>
                <w:lang w:val="en-GB"/>
              </w:rPr>
              <w:t xml:space="preserve"> mS</w:t>
            </w:r>
            <w:r w:rsidR="003106CA">
              <w:rPr>
                <w:lang w:val="en-GB"/>
              </w:rPr>
              <w:t xml:space="preserve"> </w:t>
            </w:r>
            <w:proofErr w:type="gramStart"/>
            <w:r>
              <w:rPr>
                <w:lang w:val="en-GB"/>
              </w:rPr>
              <w:t>cm</w:t>
            </w:r>
            <w:r w:rsidR="003106CA" w:rsidRPr="003106CA">
              <w:rPr>
                <w:vertAlign w:val="superscript"/>
                <w:lang w:val="en-GB"/>
              </w:rPr>
              <w:t>-1</w:t>
            </w:r>
            <w:proofErr w:type="gramEnd"/>
          </w:p>
        </w:tc>
        <w:tc>
          <w:tcPr>
            <w:tcW w:w="794" w:type="pct"/>
            <w:shd w:val="clear" w:color="auto" w:fill="FFFFFF"/>
            <w:vAlign w:val="center"/>
          </w:tcPr>
          <w:p w14:paraId="3B73497B" w14:textId="07C64792" w:rsidR="00A279B6" w:rsidRPr="00B57B36" w:rsidRDefault="00A279B6" w:rsidP="00A279B6">
            <w:pPr>
              <w:pStyle w:val="CETBodytext"/>
              <w:jc w:val="center"/>
              <w:rPr>
                <w:lang w:val="en-GB"/>
              </w:rPr>
            </w:pPr>
            <w:r>
              <w:rPr>
                <w:lang w:val="en-GB"/>
              </w:rPr>
              <w:t>87</w:t>
            </w:r>
          </w:p>
        </w:tc>
        <w:tc>
          <w:tcPr>
            <w:tcW w:w="568" w:type="pct"/>
            <w:shd w:val="clear" w:color="auto" w:fill="FFFFFF"/>
            <w:vAlign w:val="center"/>
          </w:tcPr>
          <w:p w14:paraId="50D6D4CA" w14:textId="0E2303BE" w:rsidR="00A279B6" w:rsidRPr="00B57B36" w:rsidRDefault="00A279B6" w:rsidP="00A279B6">
            <w:pPr>
              <w:pStyle w:val="CETBodytext"/>
              <w:jc w:val="center"/>
              <w:rPr>
                <w:lang w:val="en-GB"/>
              </w:rPr>
            </w:pPr>
            <w:r>
              <w:rPr>
                <w:lang w:val="en-GB"/>
              </w:rPr>
              <w:t>33</w:t>
            </w:r>
          </w:p>
        </w:tc>
        <w:tc>
          <w:tcPr>
            <w:tcW w:w="682" w:type="pct"/>
            <w:shd w:val="clear" w:color="auto" w:fill="FFFFFF"/>
            <w:vAlign w:val="center"/>
          </w:tcPr>
          <w:p w14:paraId="5CAE32CE" w14:textId="5D8A00EB" w:rsidR="00A279B6" w:rsidRPr="00B57B36" w:rsidRDefault="00A279B6" w:rsidP="00A279B6">
            <w:pPr>
              <w:pStyle w:val="CETBodytext"/>
              <w:jc w:val="center"/>
              <w:rPr>
                <w:lang w:val="en-GB"/>
              </w:rPr>
            </w:pPr>
            <w:r w:rsidRPr="00A279B6">
              <w:rPr>
                <w:lang w:val="en-GB"/>
              </w:rPr>
              <w:t>14.6</w:t>
            </w:r>
            <w:r>
              <w:rPr>
                <w:lang w:val="en-GB"/>
              </w:rPr>
              <w:t>4</w:t>
            </w:r>
          </w:p>
        </w:tc>
        <w:tc>
          <w:tcPr>
            <w:tcW w:w="1134" w:type="pct"/>
            <w:shd w:val="clear" w:color="auto" w:fill="FFFFFF"/>
            <w:vAlign w:val="center"/>
          </w:tcPr>
          <w:p w14:paraId="21DFF87B" w14:textId="499F18C5" w:rsidR="00A279B6" w:rsidRPr="00B57B36" w:rsidRDefault="00A279B6" w:rsidP="00A279B6">
            <w:pPr>
              <w:pStyle w:val="CETBodytext"/>
              <w:ind w:right="-1"/>
              <w:jc w:val="center"/>
              <w:rPr>
                <w:rFonts w:cs="Arial"/>
                <w:szCs w:val="18"/>
                <w:lang w:val="en-GB"/>
              </w:rPr>
            </w:pPr>
            <w:r w:rsidRPr="00A279B6">
              <w:rPr>
                <w:rFonts w:cs="Arial"/>
                <w:szCs w:val="18"/>
                <w:lang w:val="en-GB"/>
              </w:rPr>
              <w:t>1.5</w:t>
            </w:r>
            <w:r>
              <w:rPr>
                <w:rFonts w:cs="Arial"/>
                <w:szCs w:val="18"/>
                <w:lang w:val="en-GB"/>
              </w:rPr>
              <w:t>3</w:t>
            </w:r>
          </w:p>
        </w:tc>
      </w:tr>
    </w:tbl>
    <w:p w14:paraId="37AE176B" w14:textId="77777777" w:rsidR="00A279B6" w:rsidRDefault="00A279B6" w:rsidP="00674732">
      <w:pPr>
        <w:pStyle w:val="CETBodytext"/>
      </w:pPr>
    </w:p>
    <w:p w14:paraId="786CCEE4" w14:textId="1862D6BC" w:rsidR="00674732" w:rsidRPr="00674732" w:rsidRDefault="00A279B6" w:rsidP="00674732">
      <w:pPr>
        <w:pStyle w:val="CETBodytext"/>
      </w:pPr>
      <w:r>
        <w:t xml:space="preserve">The synthetic sewage was </w:t>
      </w:r>
      <w:r w:rsidRPr="00F10739">
        <w:t>designed to simulate</w:t>
      </w:r>
      <w:r>
        <w:t xml:space="preserve"> the composition of an average civil sewage after the primary treatment, in which there is the removal of suspended solids.</w:t>
      </w:r>
      <w:r w:rsidR="00D947FB">
        <w:t xml:space="preserve"> </w:t>
      </w:r>
      <w:r w:rsidR="00955FDD">
        <w:t>Several studies were taken into</w:t>
      </w:r>
      <w:r w:rsidR="0098556C">
        <w:t xml:space="preserve"> </w:t>
      </w:r>
      <w:r w:rsidR="00955FDD">
        <w:t xml:space="preserve">account for its realization </w:t>
      </w:r>
      <w:r w:rsidR="00AA602B">
        <w:rPr>
          <w:rStyle w:val="Rimandonotaapidipagina"/>
        </w:rPr>
        <w:fldChar w:fldCharType="begin" w:fldLock="1"/>
      </w:r>
      <w:r w:rsidR="00AA602B">
        <w:instrText>ADDIN CSL_CITATION {"citationItems":[{"id":"ITEM-1","itemData":{"DOI":"10.1016/j.biortech.2017.09.074","ISSN":"09608524","abstract":"The ability of Chlorella vulgaris-Bacillus licheniformis and Microcystis aeruginosa-Bacillus licheniformis consortiums to eliminate total dissolved nitrogen (TDN), total dissolved phosphorus (TDP), and soluble chemical oxygen demand (sCOD) from synthetic wastewater was studied. The highest values of dry cell weight, chlorophyll-a, and chlorophyll metabolism related genes/bacterial rRNA gene copies were obtained in the Chlorella vulgaris-Bacillus licheniformis system at Chlorella vulgaris and Bacillus licheniformis ratio of 1:3. On the 10th day, the Chlorella vulgaris-Bacillus licheniformis system at this ratio removed 86.55%, 80.28% and 88.95% of sCOD, TDP and TDN, respectively. But, the Microcystis aeruginosa-Bacillus licheniformis system at this ratio only removed 65.62%, 70.82%, and 21.56% of sCOD, TDP and TDN, respectively. Chlorella vulgaris and Bacillus licheniformis could coexist as an algae-bacteria consortia and quorum sensing substances (autoinducing peptides and bis (3′-5′) diguanylic acid) concentrations were measured. Finally, the interactions and communication patterns between Chlorella vulgaris and Bacillus licheniformis were depicted.","author":[{"dropping-particle":"","family":"Ji","given":"Xiyan","non-dropping-particle":"","parse-names":false,"suffix":""},{"dropping-particle":"","family":"Jiang","given":"Mengqi","non-dropping-particle":"","parse-names":false,"suffix":""},{"dropping-particle":"","family":"Zhang","given":"Jibiao","non-dropping-particle":"","parse-names":false,"suffix":""},{"dropping-particle":"","family":"Jiang","given":"Xuyao","non-dropping-particle":"","parse-names":false,"suffix":""},{"dropping-particle":"","family":"Zheng","given":"Zheng","non-dropping-particle":"","parse-names":false,"suffix":""}],"container-title":"Bioresource Technology","id":"ITEM-1","issued":{"date-parts":[["2018","1"]]},"page":"44-50","publisher":"Elsevier Ltd","title":"The interactions of algae-bacteria symbiotic system and its effects on nutrients removal from synthetic wastewater","type":"article-journal","volume":"247"},"uris":["http://www.mendeley.com/documents/?uuid=a376c1c5-955a-3847-b515-e28bb093925a"]},{"id":"ITEM-2","itemData":{"DOI":"10.1007/s11270-022-05716-4","ISBN":"0123456789","ISSN":"15732932","abstract":"Effects of sludge retention times (SRTs) on system performance, microbial structure and quorum sensing in an activated sludge bioreactor were investigated. SRTs significantly (ANOVA, p &lt; 0.05) affected the total inorganic nitrogen (TIN) removal. Significant (Tukey's HSD, p &lt; 0.05) higher TIN removal efficiency was achieved at the SRT of 5 days (72.3%) than at SRTs of 15 (71.3%) and 25 (67.7%) days, respectively. This could be partially explained by the effect of SRT on the sludge properties, abundance of denitrifying bacterium and genes, and quorum sensing (QS) signals (e.g., N</w:instrText>
      </w:r>
      <w:r w:rsidR="00AA602B">
        <w:rPr>
          <w:rFonts w:ascii="Cambria Math" w:hAnsi="Cambria Math" w:cs="Cambria Math"/>
        </w:rPr>
        <w:instrText>‐</w:instrText>
      </w:r>
      <w:r w:rsidR="00AA602B">
        <w:instrText>acyl</w:instrText>
      </w:r>
      <w:r w:rsidR="00AA602B">
        <w:rPr>
          <w:rFonts w:ascii="Cambria Math" w:hAnsi="Cambria Math" w:cs="Cambria Math"/>
        </w:rPr>
        <w:instrText>‐</w:instrText>
      </w:r>
      <w:r w:rsidR="00AA602B">
        <w:instrText>L</w:instrText>
      </w:r>
      <w:r w:rsidR="00AA602B">
        <w:rPr>
          <w:rFonts w:ascii="Cambria Math" w:hAnsi="Cambria Math" w:cs="Cambria Math"/>
        </w:rPr>
        <w:instrText>‐</w:instrText>
      </w:r>
      <w:r w:rsidR="00AA602B">
        <w:instrText>homoserine lactones (AHLs)). Specifically, a short SRT resulted in a high protein content in tightly bound extracellular polymeric substances (TEPS), which could be an indicator for compact sludge structure. Furthermore, denitrifying bacterium including Candidatus Competibacter, Thauera and Zoogloea and denitrifying genes including napAB, nirS, norB and nosZ were enriched at a short SRT. Moreover, N-decanoyl-L-homoserine lactone and N-3-(oxododecanoyl)-homoserine lactone were the dominating AHLs in the water, EPS and biomass phases of activated sludge and a particular high content of these AHLs was found in sludge at a short SRT. Based on the metagenomic results, functional microorganisms carried both nitrogen metabolism genes and AHLs synthesis genes, allowing their interactions with other autotrophs or heterotrophs through nitrogen conversion and QS signal exchange. Identification of QS and its possible roles in activated sludge systems under different operational conditions may provide potential strategies through QS regulation for enhancing system performance and microbial aggregation capability.","author":[{"dropping-particle":"","family":"Li","given":"Tianle","non-dropping-particle":"","parse-names":false,"suffix":""},{"dropping-particle":"","family":"Li","given":"Bo","non-dropping-particle":"","parse-names":false,"suffix":""},{"dropping-particle":"","family":"Sun","given":"Yuepeng","non-dropping-particle":"","parse-names":false,"suffix":""},{"dropping-particle":"","family":"Wu","given":"Guangxue","non-dropping-particle":"","parse-names":false,"suffix":""}],"container-title":"Water, Air, and Soil Pollution","id":"ITEM-2","issue":"7","issued":{"date-parts":[["2022"]]},"title":"Insights into the Effect of Sludge Retention Times on System Performance, Microbial Structure and Quorum Sensing in an Activated Sludge Bioreactor","type":"article-journal","volume":"233"},"uris":["http://www.mendeley.com/documents/?uuid=c585061c-af33-4b03-80a1-88a0e1a79dc6"]},{"id":"ITEM-3","itemData":{"DOI":"10.1016/j.jwpe.2020.101889","ISSN":"22147144","abstract":"This study aimed at investigating the effect of varying light/dark (L/D) regimes and different tertiary wastewater types (synthetic and real) on the biomass production, nutrient removal, photosynthetic pigments (chlorophyll and carotenoids), and production of value-added products of Chlorella sorokiniana. Algae culture was grown at pH 7, 140–150 rpm agitation, and with controlled temperature (25 °C) under continuous illumination of 140 μmol m−2 s-1. The highest amount of biomass productivity (548 ± 20 mg/L/d), nitrogen and phosphorus removal (60 % and 85 %), the percentage increase in total chlorophyll (63 %), and total carotenoids (Carot) accumulation (11 mg/L) were observed in real wastewater (RWW) under 24/0 h (h) L/D cycles. C. sorokiniana showed autotrophic growth as biomass increased in the light phase and decreased in the dark phase for all culture conditions. Among all the cultivation conditions, a maximum increase in the protein content was 15 % in RWW (24/0 h) and an increase in the carbohydrate content was 6.5 % in synthetic wastewater (SWW) (24/0 h) showing that prolonged light phase positively affects the treatment efficiency. Furthermore, this study demonstrated that biomass productivity reached a threshold and then started to decline after 24 h and 30 h in RWW and SWW under both light regimes. The conditions of the RWW 24/0 h L/D regime with RWW media were found to give the maximum tertiary treatment efficiency, suggesting that selected microalgae cultured under these conditions would be best suited for integrated wastewater treatment.","author":[{"dropping-particle":"","family":"Rani","given":"Swati","non-dropping-particle":"","parse-names":false,"suffix":""},{"dropping-particle":"","family":"Ojha","given":"C. S.P.","non-dropping-particle":"","parse-names":false,"suffix":""}],"container-title":"Journal of Water Process Engineering","id":"ITEM-3","issued":{"date-parts":[["2021","2","1"]]},"publisher":"Elsevier Ltd","title":"Chlorella sorokiniana for integrated wastewater treatment, biomass accumulation and value-added product estimation under varying photoperiod regimes: A comparative study","type":"article-journal","volume":"39"},"uris":["http://www.mendeley.com/documents/?uuid=3faa7938-6ed9-3ff0-a00c-9dfecba41645"]}],"mendeley":{"formattedCitation":"(Ji et al., 2018; Tianle Li et al., 2022; Rani &amp; Ojha, 2021)","plainTextFormattedCitation":"(Ji et al., 2018; Tianle Li et al., 2022; Rani &amp; Ojha, 2021)","previouslyFormattedCitation":"Xiyan Ji and others, ‘The Interactions of Algae-Bacteria Symbiotic System and Its Effects on Nutrients Removal from Synthetic Wastewater’, &lt;i&gt;Bioresource Technology&lt;/i&gt;, 247 (2018), 44–50 &lt;https://doi.org/10.1016/j.biortech.2017.09.074&gt;; Tianle Li and others, ‘Insights into the Effect of Sludge Retention Times on System Performance, Microbial Structure and Quorum Sensing in an Activated Sludge Bioreactor’, &lt;i&gt;Water, Air, and Soil Pollution&lt;/i&gt;, 233.7 (2022) &lt;https://doi.org/10.1007/s11270-022-05716-4&gt;; Swati Rani and C. S.P. Ojha, ‘Chlorella Sorokiniana for Integrated Wastewater Treatment, Biomass Accumulation and Value-Added Product Estimation under Varying Photoperiod Regimes: A Comparative Study’, &lt;i&gt;Journal of Water Process Engineering&lt;/i&gt;, 39 (2021) &lt;https://doi.org/10.1016/j.jwpe.2020.101889&gt;."},"properties":{"noteIndex":0},"schema":"https://github.com/citation-style-language/schema/raw/master/csl-citation.json"}</w:instrText>
      </w:r>
      <w:r w:rsidR="00AA602B">
        <w:rPr>
          <w:rStyle w:val="Rimandonotaapidipagina"/>
        </w:rPr>
        <w:fldChar w:fldCharType="separate"/>
      </w:r>
      <w:r w:rsidR="00AA602B" w:rsidRPr="00AA602B">
        <w:rPr>
          <w:bCs/>
          <w:noProof/>
          <w:lang w:val="it-IT"/>
        </w:rPr>
        <w:t>(Ji et al., 2018; Tianle Li et al., 2022; Rani &amp; Ojha, 2021)</w:t>
      </w:r>
      <w:r w:rsidR="00AA602B">
        <w:rPr>
          <w:rStyle w:val="Rimandonotaapidipagina"/>
        </w:rPr>
        <w:fldChar w:fldCharType="end"/>
      </w:r>
      <w:r w:rsidR="00955FDD">
        <w:t xml:space="preserve"> and the sewage parameters are in the range of what previously suggested. </w:t>
      </w:r>
      <w:r w:rsidR="0075302C">
        <w:t>There is a prevalence of nitrogen over phosphorous, that is in fact often the limiting nutrient in oxidation ponds. There is also a slight prevalence of ammonium nitrogen over nitrate nitrogen.</w:t>
      </w:r>
      <w:r w:rsidR="00CE5B5F">
        <w:t xml:space="preserve"> The synthetic sewage is enriched with a mix of micronutrients normally present in microalgal growth media added for avoiding nutritional deprivations in their growth.</w:t>
      </w:r>
    </w:p>
    <w:p w14:paraId="0636B784" w14:textId="4A8076A6" w:rsidR="00453E24" w:rsidRDefault="00674732" w:rsidP="00674732">
      <w:pPr>
        <w:pStyle w:val="CETheadingx"/>
      </w:pPr>
      <w:r>
        <w:t>Kinetic parameters</w:t>
      </w:r>
    </w:p>
    <w:p w14:paraId="084FAF9A" w14:textId="3512BBE0" w:rsidR="00674732" w:rsidRDefault="00E52B10" w:rsidP="008C5E06">
      <w:pPr>
        <w:tabs>
          <w:tab w:val="clear" w:pos="7100"/>
        </w:tabs>
        <w:autoSpaceDE w:val="0"/>
        <w:autoSpaceDN w:val="0"/>
        <w:adjustRightInd w:val="0"/>
        <w:spacing w:line="240" w:lineRule="auto"/>
        <w:rPr>
          <w:lang w:val="en-US"/>
        </w:rPr>
      </w:pPr>
      <w:proofErr w:type="gramStart"/>
      <w:r w:rsidRPr="00150214">
        <w:rPr>
          <w:lang w:val="en-US"/>
        </w:rPr>
        <w:t>In order to</w:t>
      </w:r>
      <w:proofErr w:type="gramEnd"/>
      <w:r w:rsidRPr="00150214">
        <w:rPr>
          <w:lang w:val="en-US"/>
        </w:rPr>
        <w:t xml:space="preserve"> obtain the kinetic parameters of the Monod equation, batch cultivations</w:t>
      </w:r>
      <w:r>
        <w:rPr>
          <w:lang w:val="en-US"/>
        </w:rPr>
        <w:t xml:space="preserve"> </w:t>
      </w:r>
      <w:r w:rsidRPr="00150214">
        <w:rPr>
          <w:lang w:val="en-US"/>
        </w:rPr>
        <w:t xml:space="preserve">were carried out </w:t>
      </w:r>
      <w:r>
        <w:rPr>
          <w:lang w:val="en-US"/>
        </w:rPr>
        <w:t>in the synthetic sewage with different glucose concentration: 2.2</w:t>
      </w:r>
      <w:r w:rsidRPr="00E95AFB">
        <w:t xml:space="preserve"> </w:t>
      </w:r>
      <w:r>
        <w:t>mg L</w:t>
      </w:r>
      <w:r w:rsidRPr="00AD1B9E">
        <w:rPr>
          <w:vertAlign w:val="superscript"/>
        </w:rPr>
        <w:t>-1</w:t>
      </w:r>
      <w:r>
        <w:rPr>
          <w:lang w:val="en-US"/>
        </w:rPr>
        <w:t>, 6</w:t>
      </w:r>
      <w:r w:rsidRPr="00341FE3">
        <w:rPr>
          <w:lang w:val="en-US"/>
        </w:rPr>
        <w:t>.7</w:t>
      </w:r>
      <w:r w:rsidRPr="00E95AFB">
        <w:t xml:space="preserve"> </w:t>
      </w:r>
      <w:r>
        <w:t>mg L</w:t>
      </w:r>
      <w:r w:rsidRPr="00AD1B9E">
        <w:rPr>
          <w:vertAlign w:val="superscript"/>
        </w:rPr>
        <w:t>-1</w:t>
      </w:r>
      <w:r>
        <w:rPr>
          <w:lang w:val="en-US"/>
        </w:rPr>
        <w:t>,</w:t>
      </w:r>
      <w:r w:rsidRPr="00341FE3">
        <w:rPr>
          <w:lang w:val="en-US"/>
        </w:rPr>
        <w:t>12.6</w:t>
      </w:r>
      <w:r w:rsidRPr="00E95AFB">
        <w:t xml:space="preserve"> </w:t>
      </w:r>
      <w:r>
        <w:t>mg L</w:t>
      </w:r>
      <w:r w:rsidRPr="00AD1B9E">
        <w:rPr>
          <w:vertAlign w:val="superscript"/>
        </w:rPr>
        <w:t>-1</w:t>
      </w:r>
      <w:r>
        <w:rPr>
          <w:lang w:val="en-US"/>
        </w:rPr>
        <w:t xml:space="preserve">, </w:t>
      </w:r>
      <w:r w:rsidRPr="00341FE3">
        <w:rPr>
          <w:lang w:val="en-US"/>
        </w:rPr>
        <w:t>22.2</w:t>
      </w:r>
      <w:r w:rsidRPr="00E95AFB">
        <w:t xml:space="preserve"> </w:t>
      </w:r>
      <w:r>
        <w:t>mg L</w:t>
      </w:r>
      <w:r w:rsidRPr="00AD1B9E">
        <w:rPr>
          <w:vertAlign w:val="superscript"/>
        </w:rPr>
        <w:t>-1</w:t>
      </w:r>
      <w:r>
        <w:rPr>
          <w:lang w:val="en-US"/>
        </w:rPr>
        <w:t xml:space="preserve">, </w:t>
      </w:r>
      <w:r w:rsidRPr="00341FE3">
        <w:rPr>
          <w:lang w:val="en-US"/>
        </w:rPr>
        <w:t>40.0</w:t>
      </w:r>
      <w:r w:rsidRPr="00E95AFB">
        <w:t xml:space="preserve"> </w:t>
      </w:r>
      <w:r>
        <w:t>mg L</w:t>
      </w:r>
      <w:r w:rsidRPr="00AD1B9E">
        <w:rPr>
          <w:vertAlign w:val="superscript"/>
        </w:rPr>
        <w:t>-1</w:t>
      </w:r>
      <w:r>
        <w:rPr>
          <w:lang w:val="en-US"/>
        </w:rPr>
        <w:t xml:space="preserve">, </w:t>
      </w:r>
      <w:r w:rsidRPr="00341FE3">
        <w:rPr>
          <w:lang w:val="en-US"/>
        </w:rPr>
        <w:t>89.3</w:t>
      </w:r>
      <w:r w:rsidRPr="00E95AFB">
        <w:t xml:space="preserve"> </w:t>
      </w:r>
      <w:r>
        <w:t>mg L</w:t>
      </w:r>
      <w:r w:rsidRPr="00AD1B9E">
        <w:rPr>
          <w:vertAlign w:val="superscript"/>
        </w:rPr>
        <w:t>-1</w:t>
      </w:r>
      <w:r>
        <w:rPr>
          <w:lang w:val="en-US"/>
        </w:rPr>
        <w:t xml:space="preserve">, </w:t>
      </w:r>
      <w:r w:rsidRPr="00341FE3">
        <w:rPr>
          <w:lang w:val="en-US"/>
        </w:rPr>
        <w:t>210.2</w:t>
      </w:r>
      <w:r w:rsidRPr="00E95AFB">
        <w:t xml:space="preserve"> </w:t>
      </w:r>
      <w:r>
        <w:t>mg L</w:t>
      </w:r>
      <w:r w:rsidRPr="00AD1B9E">
        <w:rPr>
          <w:vertAlign w:val="superscript"/>
        </w:rPr>
        <w:t>-1</w:t>
      </w:r>
      <w:r>
        <w:rPr>
          <w:lang w:val="en-US"/>
        </w:rPr>
        <w:t xml:space="preserve"> and </w:t>
      </w:r>
      <w:r w:rsidRPr="00341FE3">
        <w:rPr>
          <w:lang w:val="en-US"/>
        </w:rPr>
        <w:t>250.0</w:t>
      </w:r>
      <w:r w:rsidRPr="00E95AFB">
        <w:t xml:space="preserve"> </w:t>
      </w:r>
      <w:r>
        <w:t>mg L</w:t>
      </w:r>
      <w:r w:rsidRPr="00AD1B9E">
        <w:rPr>
          <w:vertAlign w:val="superscript"/>
        </w:rPr>
        <w:t>-1</w:t>
      </w:r>
      <w:r>
        <w:rPr>
          <w:lang w:val="en-US"/>
        </w:rPr>
        <w:t>.</w:t>
      </w:r>
      <w:r w:rsidR="00674732">
        <w:rPr>
          <w:lang w:val="en-US"/>
        </w:rPr>
        <w:t xml:space="preserve"> </w:t>
      </w:r>
      <w:r w:rsidR="00674732" w:rsidRPr="00674732">
        <w:rPr>
          <w:lang w:val="en-US"/>
        </w:rPr>
        <w:t xml:space="preserve">The growth of microalga </w:t>
      </w:r>
      <w:r w:rsidRPr="008C5E06">
        <w:rPr>
          <w:i/>
          <w:iCs/>
          <w:lang w:val="en-US"/>
        </w:rPr>
        <w:t>Chlorella sp</w:t>
      </w:r>
      <w:r>
        <w:rPr>
          <w:lang w:val="en-US"/>
        </w:rPr>
        <w:t>.</w:t>
      </w:r>
      <w:r w:rsidR="00674732" w:rsidRPr="00674732">
        <w:rPr>
          <w:lang w:val="en-US"/>
        </w:rPr>
        <w:t xml:space="preserve"> at 2</w:t>
      </w:r>
      <w:r>
        <w:rPr>
          <w:lang w:val="en-US"/>
        </w:rPr>
        <w:t>7°C</w:t>
      </w:r>
      <w:r w:rsidR="00674732" w:rsidRPr="00674732">
        <w:rPr>
          <w:lang w:val="en-US"/>
        </w:rPr>
        <w:t xml:space="preserve"> and </w:t>
      </w:r>
      <w:r>
        <w:rPr>
          <w:lang w:val="en-US"/>
        </w:rPr>
        <w:t>with different glucose concentration</w:t>
      </w:r>
      <w:r w:rsidR="00674732">
        <w:rPr>
          <w:lang w:val="en-US"/>
        </w:rPr>
        <w:t xml:space="preserve"> </w:t>
      </w:r>
      <w:r w:rsidR="00674732" w:rsidRPr="00674732">
        <w:rPr>
          <w:lang w:val="en-US"/>
        </w:rPr>
        <w:t xml:space="preserve">is shown in Figure </w:t>
      </w:r>
      <w:r w:rsidR="005C40B9">
        <w:rPr>
          <w:lang w:val="en-US"/>
        </w:rPr>
        <w:t>1</w:t>
      </w:r>
      <w:r w:rsidR="00674732">
        <w:rPr>
          <w:lang w:val="en-US"/>
        </w:rPr>
        <w:t>.</w:t>
      </w:r>
    </w:p>
    <w:p w14:paraId="7A1AE7FD" w14:textId="443CF260" w:rsidR="00D1129C" w:rsidRPr="00FF6D41" w:rsidRDefault="00D1129C" w:rsidP="00D1129C">
      <w:pPr>
        <w:tabs>
          <w:tab w:val="clear" w:pos="7100"/>
        </w:tabs>
        <w:autoSpaceDE w:val="0"/>
        <w:autoSpaceDN w:val="0"/>
        <w:adjustRightInd w:val="0"/>
        <w:spacing w:line="240" w:lineRule="auto"/>
        <w:rPr>
          <w:lang w:val="en-US"/>
        </w:rPr>
      </w:pPr>
      <w:r w:rsidRPr="00FF6D41">
        <w:rPr>
          <w:lang w:val="en-US"/>
        </w:rPr>
        <w:t xml:space="preserve">As it can </w:t>
      </w:r>
      <w:r>
        <w:rPr>
          <w:lang w:val="en-US"/>
        </w:rPr>
        <w:t>be seen, the growth is related to the glucose concentration. The slowest growths are shown with the lowest glucose concentrations of 2.2 and 6.7 mg L</w:t>
      </w:r>
      <w:r w:rsidRPr="00FF6D41">
        <w:rPr>
          <w:vertAlign w:val="superscript"/>
          <w:lang w:val="en-US"/>
        </w:rPr>
        <w:t>-1</w:t>
      </w:r>
      <w:r>
        <w:rPr>
          <w:lang w:val="en-US"/>
        </w:rPr>
        <w:t xml:space="preserve"> and it gradually increases with increasing glucose concentration. The highest reached concentration is observed with the concentration of 250 mg L</w:t>
      </w:r>
      <w:r w:rsidRPr="00FF6D41">
        <w:rPr>
          <w:vertAlign w:val="superscript"/>
          <w:lang w:val="en-US"/>
        </w:rPr>
        <w:t>-1</w:t>
      </w:r>
      <w:r>
        <w:rPr>
          <w:vertAlign w:val="superscript"/>
          <w:lang w:val="en-US"/>
        </w:rPr>
        <w:t xml:space="preserve"> </w:t>
      </w:r>
      <w:r>
        <w:rPr>
          <w:lang w:val="en-US"/>
        </w:rPr>
        <w:t xml:space="preserve">of glucose. </w:t>
      </w:r>
    </w:p>
    <w:p w14:paraId="261A87D9" w14:textId="7A6F4BFB" w:rsidR="00342B0D" w:rsidRDefault="00342B0D" w:rsidP="00D1129C">
      <w:pPr>
        <w:tabs>
          <w:tab w:val="clear" w:pos="7100"/>
        </w:tabs>
        <w:autoSpaceDE w:val="0"/>
        <w:autoSpaceDN w:val="0"/>
        <w:adjustRightInd w:val="0"/>
        <w:spacing w:line="240" w:lineRule="auto"/>
        <w:jc w:val="left"/>
        <w:rPr>
          <w:lang w:val="en-US"/>
        </w:rPr>
      </w:pPr>
    </w:p>
    <w:p w14:paraId="48300489" w14:textId="1AC2CAEE" w:rsidR="008C5E06" w:rsidRDefault="00963DA3" w:rsidP="00674732">
      <w:pPr>
        <w:tabs>
          <w:tab w:val="clear" w:pos="7100"/>
        </w:tabs>
        <w:autoSpaceDE w:val="0"/>
        <w:autoSpaceDN w:val="0"/>
        <w:adjustRightInd w:val="0"/>
        <w:spacing w:line="240" w:lineRule="auto"/>
        <w:jc w:val="left"/>
        <w:rPr>
          <w:lang w:val="en-US"/>
        </w:rPr>
      </w:pPr>
      <w:r>
        <w:rPr>
          <w:noProof/>
          <w:lang w:val="it-IT" w:eastAsia="it-IT"/>
        </w:rPr>
        <w:drawing>
          <wp:anchor distT="0" distB="0" distL="114300" distR="114300" simplePos="0" relativeHeight="251669504" behindDoc="0" locked="0" layoutInCell="1" allowOverlap="1" wp14:anchorId="4943E799" wp14:editId="7D0F20E6">
            <wp:simplePos x="0" y="0"/>
            <wp:positionH relativeFrom="margin">
              <wp:align>left</wp:align>
            </wp:positionH>
            <wp:positionV relativeFrom="paragraph">
              <wp:posOffset>11067</wp:posOffset>
            </wp:positionV>
            <wp:extent cx="5684520" cy="2611175"/>
            <wp:effectExtent l="0" t="0" r="0" b="0"/>
            <wp:wrapNone/>
            <wp:docPr id="16" name="Grafico 16">
              <a:extLst xmlns:a="http://schemas.openxmlformats.org/drawingml/2006/main">
                <a:ext uri="{FF2B5EF4-FFF2-40B4-BE49-F238E27FC236}">
                  <a16:creationId xmlns:a16="http://schemas.microsoft.com/office/drawing/2014/main" id="{BAF277C3-5179-4119-8A23-78A36EB63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77411CC" w14:textId="6A650277" w:rsidR="008C5E06" w:rsidRDefault="008C5E06" w:rsidP="00674732">
      <w:pPr>
        <w:tabs>
          <w:tab w:val="clear" w:pos="7100"/>
        </w:tabs>
        <w:autoSpaceDE w:val="0"/>
        <w:autoSpaceDN w:val="0"/>
        <w:adjustRightInd w:val="0"/>
        <w:spacing w:line="240" w:lineRule="auto"/>
        <w:jc w:val="left"/>
        <w:rPr>
          <w:lang w:val="en-US"/>
        </w:rPr>
      </w:pPr>
    </w:p>
    <w:p w14:paraId="1E12C9D3" w14:textId="2FD46DE9" w:rsidR="008C5E06" w:rsidRDefault="008C5E06" w:rsidP="00674732">
      <w:pPr>
        <w:tabs>
          <w:tab w:val="clear" w:pos="7100"/>
        </w:tabs>
        <w:autoSpaceDE w:val="0"/>
        <w:autoSpaceDN w:val="0"/>
        <w:adjustRightInd w:val="0"/>
        <w:spacing w:line="240" w:lineRule="auto"/>
        <w:jc w:val="left"/>
        <w:rPr>
          <w:lang w:val="en-US"/>
        </w:rPr>
      </w:pPr>
    </w:p>
    <w:p w14:paraId="024E09B7" w14:textId="06D75513" w:rsidR="008C5E06" w:rsidRDefault="008C5E06" w:rsidP="00674732">
      <w:pPr>
        <w:tabs>
          <w:tab w:val="clear" w:pos="7100"/>
        </w:tabs>
        <w:autoSpaceDE w:val="0"/>
        <w:autoSpaceDN w:val="0"/>
        <w:adjustRightInd w:val="0"/>
        <w:spacing w:line="240" w:lineRule="auto"/>
        <w:jc w:val="left"/>
        <w:rPr>
          <w:lang w:val="en-US"/>
        </w:rPr>
      </w:pPr>
    </w:p>
    <w:p w14:paraId="0DE77819" w14:textId="6CCF67E4" w:rsidR="008C5E06" w:rsidRDefault="008C5E06" w:rsidP="00674732">
      <w:pPr>
        <w:tabs>
          <w:tab w:val="clear" w:pos="7100"/>
        </w:tabs>
        <w:autoSpaceDE w:val="0"/>
        <w:autoSpaceDN w:val="0"/>
        <w:adjustRightInd w:val="0"/>
        <w:spacing w:line="240" w:lineRule="auto"/>
        <w:jc w:val="left"/>
        <w:rPr>
          <w:lang w:val="en-US"/>
        </w:rPr>
      </w:pPr>
    </w:p>
    <w:p w14:paraId="39704DB9" w14:textId="24627EAC" w:rsidR="008C5E06" w:rsidRDefault="008C5E06" w:rsidP="00674732">
      <w:pPr>
        <w:tabs>
          <w:tab w:val="clear" w:pos="7100"/>
        </w:tabs>
        <w:autoSpaceDE w:val="0"/>
        <w:autoSpaceDN w:val="0"/>
        <w:adjustRightInd w:val="0"/>
        <w:spacing w:line="240" w:lineRule="auto"/>
        <w:jc w:val="left"/>
        <w:rPr>
          <w:lang w:val="en-US"/>
        </w:rPr>
      </w:pPr>
    </w:p>
    <w:p w14:paraId="71A26127" w14:textId="7D75F8BF" w:rsidR="008C5E06" w:rsidRDefault="008C5E06" w:rsidP="00674732">
      <w:pPr>
        <w:tabs>
          <w:tab w:val="clear" w:pos="7100"/>
        </w:tabs>
        <w:autoSpaceDE w:val="0"/>
        <w:autoSpaceDN w:val="0"/>
        <w:adjustRightInd w:val="0"/>
        <w:spacing w:line="240" w:lineRule="auto"/>
        <w:jc w:val="left"/>
        <w:rPr>
          <w:lang w:val="en-US"/>
        </w:rPr>
      </w:pPr>
    </w:p>
    <w:p w14:paraId="31D4A0AA" w14:textId="4524552D" w:rsidR="008C5E06" w:rsidRDefault="008C5E06" w:rsidP="00674732">
      <w:pPr>
        <w:tabs>
          <w:tab w:val="clear" w:pos="7100"/>
        </w:tabs>
        <w:autoSpaceDE w:val="0"/>
        <w:autoSpaceDN w:val="0"/>
        <w:adjustRightInd w:val="0"/>
        <w:spacing w:line="240" w:lineRule="auto"/>
        <w:jc w:val="left"/>
        <w:rPr>
          <w:lang w:val="en-US"/>
        </w:rPr>
      </w:pPr>
    </w:p>
    <w:p w14:paraId="1DE47AC3" w14:textId="61465564" w:rsidR="008C5E06" w:rsidRDefault="008C5E06" w:rsidP="00674732">
      <w:pPr>
        <w:tabs>
          <w:tab w:val="clear" w:pos="7100"/>
        </w:tabs>
        <w:autoSpaceDE w:val="0"/>
        <w:autoSpaceDN w:val="0"/>
        <w:adjustRightInd w:val="0"/>
        <w:spacing w:line="240" w:lineRule="auto"/>
        <w:jc w:val="left"/>
        <w:rPr>
          <w:lang w:val="en-US"/>
        </w:rPr>
      </w:pPr>
    </w:p>
    <w:p w14:paraId="6246D343" w14:textId="46DE8F3D" w:rsidR="008C5E06" w:rsidRDefault="008C5E06" w:rsidP="00674732">
      <w:pPr>
        <w:tabs>
          <w:tab w:val="clear" w:pos="7100"/>
        </w:tabs>
        <w:autoSpaceDE w:val="0"/>
        <w:autoSpaceDN w:val="0"/>
        <w:adjustRightInd w:val="0"/>
        <w:spacing w:line="240" w:lineRule="auto"/>
        <w:jc w:val="left"/>
        <w:rPr>
          <w:lang w:val="en-US"/>
        </w:rPr>
      </w:pPr>
    </w:p>
    <w:p w14:paraId="632A01B5" w14:textId="5D9061D5" w:rsidR="00F939BF" w:rsidRDefault="00F939BF" w:rsidP="00674732">
      <w:pPr>
        <w:tabs>
          <w:tab w:val="clear" w:pos="7100"/>
        </w:tabs>
        <w:autoSpaceDE w:val="0"/>
        <w:autoSpaceDN w:val="0"/>
        <w:adjustRightInd w:val="0"/>
        <w:spacing w:line="240" w:lineRule="auto"/>
        <w:jc w:val="left"/>
        <w:rPr>
          <w:lang w:val="en-US"/>
        </w:rPr>
      </w:pPr>
    </w:p>
    <w:p w14:paraId="0706037F" w14:textId="0CC0CDD2" w:rsidR="00F939BF" w:rsidRDefault="00F939BF" w:rsidP="00674732">
      <w:pPr>
        <w:tabs>
          <w:tab w:val="clear" w:pos="7100"/>
        </w:tabs>
        <w:autoSpaceDE w:val="0"/>
        <w:autoSpaceDN w:val="0"/>
        <w:adjustRightInd w:val="0"/>
        <w:spacing w:line="240" w:lineRule="auto"/>
        <w:jc w:val="left"/>
        <w:rPr>
          <w:lang w:val="en-US"/>
        </w:rPr>
      </w:pPr>
    </w:p>
    <w:p w14:paraId="5BA4AAFC" w14:textId="57405A24" w:rsidR="00F939BF" w:rsidRDefault="00F939BF" w:rsidP="00674732">
      <w:pPr>
        <w:tabs>
          <w:tab w:val="clear" w:pos="7100"/>
        </w:tabs>
        <w:autoSpaceDE w:val="0"/>
        <w:autoSpaceDN w:val="0"/>
        <w:adjustRightInd w:val="0"/>
        <w:spacing w:line="240" w:lineRule="auto"/>
        <w:jc w:val="left"/>
        <w:rPr>
          <w:lang w:val="en-US"/>
        </w:rPr>
      </w:pPr>
    </w:p>
    <w:p w14:paraId="5ACEF3B0" w14:textId="50679442" w:rsidR="00F939BF" w:rsidRDefault="00F939BF" w:rsidP="00674732">
      <w:pPr>
        <w:tabs>
          <w:tab w:val="clear" w:pos="7100"/>
        </w:tabs>
        <w:autoSpaceDE w:val="0"/>
        <w:autoSpaceDN w:val="0"/>
        <w:adjustRightInd w:val="0"/>
        <w:spacing w:line="240" w:lineRule="auto"/>
        <w:jc w:val="left"/>
        <w:rPr>
          <w:lang w:val="en-US"/>
        </w:rPr>
      </w:pPr>
    </w:p>
    <w:p w14:paraId="30AF8257" w14:textId="58281FB1" w:rsidR="00F939BF" w:rsidRDefault="00F939BF" w:rsidP="00674732">
      <w:pPr>
        <w:tabs>
          <w:tab w:val="clear" w:pos="7100"/>
        </w:tabs>
        <w:autoSpaceDE w:val="0"/>
        <w:autoSpaceDN w:val="0"/>
        <w:adjustRightInd w:val="0"/>
        <w:spacing w:line="240" w:lineRule="auto"/>
        <w:jc w:val="left"/>
        <w:rPr>
          <w:lang w:val="en-US"/>
        </w:rPr>
      </w:pPr>
    </w:p>
    <w:p w14:paraId="1654AC36" w14:textId="77113B01" w:rsidR="00F939BF" w:rsidRDefault="00F939BF" w:rsidP="00674732">
      <w:pPr>
        <w:tabs>
          <w:tab w:val="clear" w:pos="7100"/>
        </w:tabs>
        <w:autoSpaceDE w:val="0"/>
        <w:autoSpaceDN w:val="0"/>
        <w:adjustRightInd w:val="0"/>
        <w:spacing w:line="240" w:lineRule="auto"/>
        <w:jc w:val="left"/>
        <w:rPr>
          <w:lang w:val="en-US"/>
        </w:rPr>
      </w:pPr>
    </w:p>
    <w:p w14:paraId="65DE44E8" w14:textId="417DDBC1" w:rsidR="00F939BF" w:rsidRDefault="00F939BF" w:rsidP="00674732">
      <w:pPr>
        <w:tabs>
          <w:tab w:val="clear" w:pos="7100"/>
        </w:tabs>
        <w:autoSpaceDE w:val="0"/>
        <w:autoSpaceDN w:val="0"/>
        <w:adjustRightInd w:val="0"/>
        <w:spacing w:line="240" w:lineRule="auto"/>
        <w:jc w:val="left"/>
        <w:rPr>
          <w:lang w:val="en-US"/>
        </w:rPr>
      </w:pPr>
    </w:p>
    <w:p w14:paraId="6196C6BC" w14:textId="336BEDC0" w:rsidR="00F939BF" w:rsidRDefault="00F939BF" w:rsidP="00674732">
      <w:pPr>
        <w:tabs>
          <w:tab w:val="clear" w:pos="7100"/>
        </w:tabs>
        <w:autoSpaceDE w:val="0"/>
        <w:autoSpaceDN w:val="0"/>
        <w:adjustRightInd w:val="0"/>
        <w:spacing w:line="240" w:lineRule="auto"/>
        <w:jc w:val="left"/>
        <w:rPr>
          <w:lang w:val="en-US"/>
        </w:rPr>
      </w:pPr>
    </w:p>
    <w:p w14:paraId="3D270973" w14:textId="08494741" w:rsidR="00F939BF" w:rsidRDefault="00F939BF" w:rsidP="00674732">
      <w:pPr>
        <w:tabs>
          <w:tab w:val="clear" w:pos="7100"/>
        </w:tabs>
        <w:autoSpaceDE w:val="0"/>
        <w:autoSpaceDN w:val="0"/>
        <w:adjustRightInd w:val="0"/>
        <w:spacing w:line="240" w:lineRule="auto"/>
        <w:jc w:val="left"/>
        <w:rPr>
          <w:lang w:val="en-US"/>
        </w:rPr>
      </w:pPr>
    </w:p>
    <w:p w14:paraId="587213F9" w14:textId="68DBBB01" w:rsidR="00FF6D41" w:rsidRDefault="00963DA3" w:rsidP="00674732">
      <w:pPr>
        <w:tabs>
          <w:tab w:val="clear" w:pos="7100"/>
        </w:tabs>
        <w:autoSpaceDE w:val="0"/>
        <w:autoSpaceDN w:val="0"/>
        <w:adjustRightInd w:val="0"/>
        <w:spacing w:line="240" w:lineRule="auto"/>
        <w:jc w:val="left"/>
        <w:rPr>
          <w:lang w:val="en-US"/>
        </w:rPr>
      </w:pPr>
      <w:r>
        <w:rPr>
          <w:noProof/>
          <w:lang w:val="it-IT" w:eastAsia="it-IT"/>
        </w:rPr>
        <mc:AlternateContent>
          <mc:Choice Requires="wps">
            <w:drawing>
              <wp:anchor distT="0" distB="0" distL="114300" distR="114300" simplePos="0" relativeHeight="251660288" behindDoc="0" locked="0" layoutInCell="1" allowOverlap="1" wp14:anchorId="76987AE1" wp14:editId="50A213C4">
                <wp:simplePos x="0" y="0"/>
                <wp:positionH relativeFrom="margin">
                  <wp:align>left</wp:align>
                </wp:positionH>
                <wp:positionV relativeFrom="paragraph">
                  <wp:posOffset>18753</wp:posOffset>
                </wp:positionV>
                <wp:extent cx="5567023" cy="299545"/>
                <wp:effectExtent l="0" t="0" r="0" b="5715"/>
                <wp:wrapNone/>
                <wp:docPr id="3" name="Casella di testo 3"/>
                <wp:cNvGraphicFramePr/>
                <a:graphic xmlns:a="http://schemas.openxmlformats.org/drawingml/2006/main">
                  <a:graphicData uri="http://schemas.microsoft.com/office/word/2010/wordprocessingShape">
                    <wps:wsp>
                      <wps:cNvSpPr txBox="1"/>
                      <wps:spPr>
                        <a:xfrm>
                          <a:off x="0" y="0"/>
                          <a:ext cx="5567023" cy="299545"/>
                        </a:xfrm>
                        <a:prstGeom prst="rect">
                          <a:avLst/>
                        </a:prstGeom>
                        <a:solidFill>
                          <a:prstClr val="white"/>
                        </a:solidFill>
                        <a:ln>
                          <a:noFill/>
                        </a:ln>
                      </wps:spPr>
                      <wps:txbx>
                        <w:txbxContent>
                          <w:p w14:paraId="680C65D0" w14:textId="379D1F03" w:rsidR="005C40B9" w:rsidRPr="00DD7598" w:rsidRDefault="005C40B9" w:rsidP="005C40B9">
                            <w:pPr>
                              <w:pStyle w:val="CETCaption"/>
                              <w:rPr>
                                <w:noProof/>
                                <w:lang w:val="en-US"/>
                              </w:rPr>
                            </w:pPr>
                            <w:r>
                              <w:t xml:space="preserve">Figure </w:t>
                            </w:r>
                            <w:r>
                              <w:fldChar w:fldCharType="begin"/>
                            </w:r>
                            <w:r>
                              <w:instrText xml:space="preserve"> SEQ Figure \* ARABIC </w:instrText>
                            </w:r>
                            <w:r>
                              <w:fldChar w:fldCharType="separate"/>
                            </w:r>
                            <w:r w:rsidR="001E2312">
                              <w:rPr>
                                <w:noProof/>
                              </w:rPr>
                              <w:t>1</w:t>
                            </w:r>
                            <w:r>
                              <w:fldChar w:fldCharType="end"/>
                            </w:r>
                            <w:r w:rsidR="00E52B10">
                              <w:t xml:space="preserve">: Growth of the microalga </w:t>
                            </w:r>
                            <w:r w:rsidR="00E52B10" w:rsidRPr="00E52B10">
                              <w:rPr>
                                <w:i w:val="0"/>
                                <w:iCs/>
                              </w:rPr>
                              <w:t>Chlorella sp</w:t>
                            </w:r>
                            <w:r w:rsidR="00E52B10">
                              <w:t>. at 27°C in shaking flasks with different glucose concentrations.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87AE1" id="_x0000_t202" coordsize="21600,21600" o:spt="202" path="m,l,21600r21600,l21600,xe">
                <v:stroke joinstyle="miter"/>
                <v:path gradientshapeok="t" o:connecttype="rect"/>
              </v:shapetype>
              <v:shape id="Casella di testo 3" o:spid="_x0000_s1026" type="#_x0000_t202" style="position:absolute;margin-left:0;margin-top:1.5pt;width:438.35pt;height:23.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" stroked="f">
                <v:textbox inset="0,0,0,0">
                  <w:txbxContent>
                    <w:p w14:paraId="680C65D0" w14:textId="379D1F03" w:rsidR="005C40B9" w:rsidRPr="00DD7598" w:rsidRDefault="005C40B9" w:rsidP="005C40B9">
                      <w:pPr>
                        <w:pStyle w:val="CETCaption"/>
                        <w:rPr>
                          <w:noProof/>
                          <w:lang w:val="en-US"/>
                        </w:rPr>
                      </w:pPr>
                      <w:r>
                        <w:t xml:space="preserve">Figure </w:t>
                      </w:r>
                      <w:r>
                        <w:fldChar w:fldCharType="begin"/>
                      </w:r>
                      <w:r>
                        <w:instrText xml:space="preserve"> SEQ Figure \* ARABIC </w:instrText>
                      </w:r>
                      <w:r>
                        <w:fldChar w:fldCharType="separate"/>
                      </w:r>
                      <w:r w:rsidR="001E2312">
                        <w:rPr>
                          <w:noProof/>
                        </w:rPr>
                        <w:t>1</w:t>
                      </w:r>
                      <w:r>
                        <w:fldChar w:fldCharType="end"/>
                      </w:r>
                      <w:r w:rsidR="00E52B10">
                        <w:t xml:space="preserve">: Growth of the microalga </w:t>
                      </w:r>
                      <w:r w:rsidR="00E52B10" w:rsidRPr="00E52B10">
                        <w:rPr>
                          <w:i w:val="0"/>
                          <w:iCs/>
                        </w:rPr>
                        <w:t>Chlorella sp</w:t>
                      </w:r>
                      <w:r w:rsidR="00E52B10">
                        <w:t>. at 27°C in shaking flasks with different glucose concentrations.</w:t>
                      </w:r>
                    </w:p>
                  </w:txbxContent>
                </v:textbox>
                <w10:wrap anchorx="margin"/>
              </v:shape>
            </w:pict>
          </mc:Fallback>
        </mc:AlternateContent>
      </w:r>
    </w:p>
    <w:p w14:paraId="10CE21B5" w14:textId="363C753B" w:rsidR="005C40B9" w:rsidRDefault="005C40B9" w:rsidP="00674732">
      <w:pPr>
        <w:tabs>
          <w:tab w:val="clear" w:pos="7100"/>
        </w:tabs>
        <w:autoSpaceDE w:val="0"/>
        <w:autoSpaceDN w:val="0"/>
        <w:adjustRightInd w:val="0"/>
        <w:spacing w:line="240" w:lineRule="auto"/>
        <w:jc w:val="left"/>
        <w:rPr>
          <w:lang w:val="en-US"/>
        </w:rPr>
      </w:pPr>
    </w:p>
    <w:p w14:paraId="7845CC93" w14:textId="70EDAB91" w:rsidR="00D1129C" w:rsidRDefault="00D1129C" w:rsidP="00674732">
      <w:pPr>
        <w:tabs>
          <w:tab w:val="clear" w:pos="7100"/>
        </w:tabs>
        <w:autoSpaceDE w:val="0"/>
        <w:autoSpaceDN w:val="0"/>
        <w:adjustRightInd w:val="0"/>
        <w:spacing w:line="240" w:lineRule="auto"/>
        <w:jc w:val="left"/>
        <w:rPr>
          <w:lang w:val="en-US"/>
        </w:rPr>
      </w:pPr>
    </w:p>
    <w:p w14:paraId="123624B6" w14:textId="6FF859E5" w:rsidR="00D1129C" w:rsidRDefault="00F939BF" w:rsidP="00F939BF">
      <w:pPr>
        <w:tabs>
          <w:tab w:val="clear" w:pos="7100"/>
        </w:tabs>
        <w:autoSpaceDE w:val="0"/>
        <w:autoSpaceDN w:val="0"/>
        <w:adjustRightInd w:val="0"/>
        <w:spacing w:line="240" w:lineRule="auto"/>
        <w:rPr>
          <w:lang w:val="en-US"/>
        </w:rPr>
      </w:pPr>
      <w:r>
        <w:rPr>
          <w:lang w:val="en-US"/>
        </w:rPr>
        <w:lastRenderedPageBreak/>
        <w:t xml:space="preserve">By employing a linear regression from </w:t>
      </w:r>
      <w:r w:rsidRPr="00F10739">
        <w:rPr>
          <w:lang w:val="en-US"/>
        </w:rPr>
        <w:t xml:space="preserve">data </w:t>
      </w:r>
      <w:r w:rsidR="00963DA3" w:rsidRPr="00F10739">
        <w:rPr>
          <w:lang w:val="en-US"/>
        </w:rPr>
        <w:t xml:space="preserve">in the exponential phase </w:t>
      </w:r>
      <w:r w:rsidRPr="00F10739">
        <w:rPr>
          <w:lang w:val="en-US"/>
        </w:rPr>
        <w:t>of Figure</w:t>
      </w:r>
      <w:r>
        <w:rPr>
          <w:lang w:val="en-US"/>
        </w:rPr>
        <w:t xml:space="preserve"> 1, the specific growth rates were calculated by using Equation 3 and reported in Table 2, together with the R</w:t>
      </w:r>
      <w:r w:rsidRPr="003361F6">
        <w:rPr>
          <w:vertAlign w:val="superscript"/>
          <w:lang w:val="en-US"/>
        </w:rPr>
        <w:t>2</w:t>
      </w:r>
      <w:r>
        <w:rPr>
          <w:lang w:val="en-US"/>
        </w:rPr>
        <w:t xml:space="preserve"> values and the relevant S/</w:t>
      </w:r>
      <w:r>
        <w:rPr>
          <w:rFonts w:cs="Arial"/>
          <w:lang w:val="en-US"/>
        </w:rPr>
        <w:t>µ</w:t>
      </w:r>
      <w:r>
        <w:rPr>
          <w:lang w:val="en-US"/>
        </w:rPr>
        <w:t xml:space="preserve">. It is possible to observe that the growth rates are growing together with the glucose concentration. The observed growth rate were similar to what was previously observed for </w:t>
      </w:r>
      <w:r w:rsidRPr="00C07090">
        <w:rPr>
          <w:i/>
          <w:iCs/>
          <w:lang w:val="en-US"/>
        </w:rPr>
        <w:t xml:space="preserve">Chlorella </w:t>
      </w:r>
      <w:proofErr w:type="spellStart"/>
      <w:r w:rsidRPr="00C07090">
        <w:rPr>
          <w:i/>
          <w:iCs/>
          <w:lang w:val="en-US"/>
        </w:rPr>
        <w:t>sp</w:t>
      </w:r>
      <w:proofErr w:type="spellEnd"/>
      <w:r>
        <w:rPr>
          <w:lang w:val="en-US"/>
        </w:rPr>
        <w:t xml:space="preserve"> growing into sewage </w:t>
      </w:r>
      <w:r w:rsidR="00AA602B">
        <w:rPr>
          <w:rStyle w:val="Rimandonotaapidipagina"/>
          <w:lang w:val="en-US"/>
        </w:rPr>
        <w:fldChar w:fldCharType="begin" w:fldLock="1"/>
      </w:r>
      <w:r w:rsidR="00AA602B">
        <w:rPr>
          <w:lang w:val="en-US"/>
        </w:rPr>
        <w:instrText>ADDIN CSL_CITATION {"citationItems":[{"id":"ITEM-1","itemData":{"DOI":"10.1007/s12010-009-8866-7","ISBN":"1201000988667","ISSN":"0273-2289","abstract":"The objective of this study was to evaluate the growth of green algae Chlorella sp. on wastewaters sampled from four different points of the treatment process flow of a local municipal wastewater treatment plant (MWTP) and how well the algal growth removed nitrogen, phosphorus, chemical oxygen demand (COD), and metal ions from the wastewaters. The four wastewaters were wastewater before primary settling (#1 wastewater), wastewater after primary settling (#2 wastewater), wastewater after activated sludge tank (#3 wastewater), and centrate (#4 wastewater), which is the wastewater generated in sludge centrifuge. The average specific growth rates in the exponential period were 0.412, 0.429, 0.343, and 0.948 day(-1) for wastewaters #1, #2, #3, and #4, respectively. The removal rates of NH4-N were 82.4%, 74.7%, and 78.3% for wastewaters #1, #2, and #4, respectively. For #3 wastewater, 62.5% of NO3-N, the major inorganic nitrogen form, was removed with 6.3-fold of NO2-N generated. From wastewaters #1, #2, and #4, 83.2%, 90.6%, and 85.6% phosphorus and 50.9%, 56.5%, and 83.0% COD were removed, respectively. Only 4.7% was removed in #3 wastewater and the COD in #3 wastewater increased slightly after algal growth, probably due to the excretion of small photosynthetic organic molecules by algae. Metal ions, especially Al, Ca, Fe, Mg, and Mn in centrate, were found to be removed very efficiently. The results of this study suggest that growing algae in nutrient-rich centrate offers a new option of applying algal process in MWTP to manage the nutrient load for the aeration tank to which the centrate is returned, serving the dual roles of nutrient reduction and valuable biofuel feedstock production.","author":[{"dropping-particle":"","family":"Wang","given":"Liang","non-dropping-particle":"","parse-names":false,"suffix":""},{"dropping-particle":"","family":"Min","given":"Min","non-dropping-particle":"","parse-names":false,"suffix":""},{"dropping-particle":"","family":"Li","given":"Yecong","non-dropping-particle":"","parse-names":false,"suffix":""},{"dropping-particle":"","family":"Chen","given":"Paul","non-dropping-particle":"","parse-names":false,"suffix":""},{"dropping-particle":"","family":"Chen","given":"Yifeng","non-dropping-particle":"","parse-names":false,"suffix":""},{"dropping-particle":"","family":"Liu","given":"Yuhuan","non-dropping-particle":"","parse-names":false,"suffix":""},{"dropping-particle":"","family":"Wang","given":"Yingkuan","non-dropping-particle":"","parse-names":false,"suffix":""},{"dropping-particle":"","family":"Ruan","given":"Roger","non-dropping-particle":"","parse-names":false,"suffix":""}],"container-title":"Applied Biochemistry and Biotechnology","id":"ITEM-1","issue":"4","issued":{"date-parts":[["2010","10","24"]]},"page":"1174-1186","title":"Cultivation of Green Algae Chlorella sp. in Different Wastewaters from Municipal Wastewater Treatment Plant","type":"article-journal","volume":"162"},"uris":["http://www.mendeley.com/documents/?uuid=76335c55-9c1c-4ea9-9198-d6250c725762"]}],"mendeley":{"formattedCitation":"(Wang et al., 2010)","plainTextFormattedCitation":"(Wang et al., 2010)","previouslyFormattedCitation":"Liang Wang and others, ‘Cultivation of Green Algae Chlorella Sp. in Different Wastewaters from Municipal Wastewater Treatment Plant’, &lt;i&gt;Applied Biochemistry and Biotechnology&lt;/i&gt;, 162.4 (2010), 1174–86 &lt;https://doi.org/10.1007/s12010-009-8866-7&gt;."},"properties":{"noteIndex":0},"schema":"https://github.com/citation-style-language/schema/raw/master/csl-citation.json"}</w:instrText>
      </w:r>
      <w:r w:rsidR="00AA602B">
        <w:rPr>
          <w:rStyle w:val="Rimandonotaapidipagina"/>
          <w:lang w:val="en-US"/>
        </w:rPr>
        <w:fldChar w:fldCharType="separate"/>
      </w:r>
      <w:r w:rsidR="00AA602B" w:rsidRPr="00AA602B">
        <w:rPr>
          <w:noProof/>
          <w:lang w:val="en-US"/>
        </w:rPr>
        <w:t>(Wang et al., 2010)</w:t>
      </w:r>
      <w:r w:rsidR="00AA602B">
        <w:rPr>
          <w:rStyle w:val="Rimandonotaapidipagina"/>
          <w:lang w:val="en-US"/>
        </w:rPr>
        <w:fldChar w:fldCharType="end"/>
      </w:r>
      <w:r>
        <w:rPr>
          <w:lang w:val="en-US"/>
        </w:rPr>
        <w:t>.</w:t>
      </w:r>
    </w:p>
    <w:p w14:paraId="0C101AF5" w14:textId="0FBCDACC" w:rsidR="00F939BF" w:rsidRPr="0030236C" w:rsidRDefault="00F939BF" w:rsidP="00F939BF">
      <w:pPr>
        <w:tabs>
          <w:tab w:val="clear" w:pos="7100"/>
        </w:tabs>
        <w:autoSpaceDE w:val="0"/>
        <w:autoSpaceDN w:val="0"/>
        <w:adjustRightInd w:val="0"/>
        <w:spacing w:line="240" w:lineRule="auto"/>
        <w:rPr>
          <w:lang w:val="en-US"/>
        </w:rPr>
      </w:pPr>
      <w:r>
        <w:rPr>
          <w:lang w:val="en-US"/>
        </w:rPr>
        <w:t xml:space="preserve">In Figure 2, a Langmuir Plot is shown, obtained by plotting the Equation (4). From the intercept and the slope of the linear regression, the kinetic parameters </w:t>
      </w:r>
      <w:r>
        <w:rPr>
          <w:rFonts w:cs="Arial"/>
          <w:lang w:val="en-US"/>
        </w:rPr>
        <w:t>µ</w:t>
      </w:r>
      <w:r w:rsidRPr="008F3B09">
        <w:rPr>
          <w:vertAlign w:val="subscript"/>
          <w:lang w:val="en-US"/>
        </w:rPr>
        <w:t>max</w:t>
      </w:r>
      <w:r>
        <w:rPr>
          <w:lang w:val="en-US"/>
        </w:rPr>
        <w:t xml:space="preserve"> (0.047 h</w:t>
      </w:r>
      <w:r w:rsidRPr="008F3B09">
        <w:rPr>
          <w:vertAlign w:val="superscript"/>
          <w:lang w:val="en-US"/>
        </w:rPr>
        <w:t>-1</w:t>
      </w:r>
      <w:r>
        <w:rPr>
          <w:lang w:val="en-US"/>
        </w:rPr>
        <w:t>) and K</w:t>
      </w:r>
      <w:r w:rsidRPr="008F3B09">
        <w:rPr>
          <w:vertAlign w:val="subscript"/>
          <w:lang w:val="en-US"/>
        </w:rPr>
        <w:t>s</w:t>
      </w:r>
      <w:r>
        <w:rPr>
          <w:lang w:val="en-US"/>
        </w:rPr>
        <w:t xml:space="preserve"> (2.06 mg L</w:t>
      </w:r>
      <w:r w:rsidRPr="008F3B09">
        <w:rPr>
          <w:vertAlign w:val="superscript"/>
          <w:lang w:val="en-US"/>
        </w:rPr>
        <w:t>-1</w:t>
      </w:r>
      <w:r>
        <w:rPr>
          <w:lang w:val="en-US"/>
        </w:rPr>
        <w:t xml:space="preserve">) are obtained. The kinetic constants were applied in Equation 2 and plotted in Figure 3; the </w:t>
      </w:r>
      <w:r w:rsidRPr="00E501EE">
        <w:rPr>
          <w:lang w:val="en-US"/>
        </w:rPr>
        <w:t>typical Monod curve can be therefore observed</w:t>
      </w:r>
      <w:r w:rsidR="0030236C" w:rsidRPr="00E501EE">
        <w:rPr>
          <w:lang w:val="en-US"/>
        </w:rPr>
        <w:t>.</w:t>
      </w:r>
      <w:r w:rsidRPr="00E501EE">
        <w:rPr>
          <w:lang w:val="en-US"/>
        </w:rPr>
        <w:t xml:space="preserve"> </w:t>
      </w:r>
      <w:r w:rsidR="0030236C" w:rsidRPr="00E501EE">
        <w:rPr>
          <w:lang w:val="en-US"/>
        </w:rPr>
        <w:t>T</w:t>
      </w:r>
      <w:r w:rsidRPr="00E501EE">
        <w:rPr>
          <w:lang w:val="en-US"/>
        </w:rPr>
        <w:t>he substrate constant K</w:t>
      </w:r>
      <w:r w:rsidRPr="00E501EE">
        <w:rPr>
          <w:vertAlign w:val="subscript"/>
          <w:lang w:val="en-US"/>
        </w:rPr>
        <w:t>s</w:t>
      </w:r>
      <w:r w:rsidRPr="00E501EE">
        <w:rPr>
          <w:lang w:val="en-US"/>
        </w:rPr>
        <w:t xml:space="preserve"> is the value at which the growth rate is the half of the maximal. This value is very small, in the order of mg L</w:t>
      </w:r>
      <w:r w:rsidRPr="00E501EE">
        <w:rPr>
          <w:vertAlign w:val="superscript"/>
          <w:lang w:val="en-US"/>
        </w:rPr>
        <w:t xml:space="preserve">-1 </w:t>
      </w:r>
      <w:r w:rsidRPr="00E501EE">
        <w:rPr>
          <w:lang w:val="en-US"/>
        </w:rPr>
        <w:t xml:space="preserve">as typical for carbohydrate substrates </w:t>
      </w:r>
      <w:r w:rsidR="00AA602B">
        <w:rPr>
          <w:rStyle w:val="Rimandonotaapidipagina"/>
          <w:lang w:val="en-US"/>
        </w:rPr>
        <w:fldChar w:fldCharType="begin" w:fldLock="1"/>
      </w:r>
      <w:r w:rsidR="00AA602B">
        <w:rPr>
          <w:lang w:val="en-US"/>
        </w:rPr>
        <w:instrText>ADDIN CSL_CITATION {"citationItems":[{"id":"ITEM-1","itemData":{"ISBN":"978-0-12-220851-5","author":[{"dropping-particle":"","family":"Doran","given":"Pauline M.","non-dropping-particle":"","parse-names":false,"suffix":""}],"edition":"second","id":"ITEM-1","issued":{"date-parts":[["2013"]]},"title":"Bioprocess engineering principles","type":"book"},"uris":["http://www.mendeley.com/documents/?uuid=e2c1ffbb-7a36-487d-a730-a1864f6943a5"]}],"mendeley":{"formattedCitation":"(Doran, 2013)","plainTextFormattedCitation":"(Doran, 2013)","previouslyFormattedCitation":"Doran."},"properties":{"noteIndex":0},"schema":"https://github.com/citation-style-language/schema/raw/master/csl-citation.json"}</w:instrText>
      </w:r>
      <w:r w:rsidR="00AA602B">
        <w:rPr>
          <w:rStyle w:val="Rimandonotaapidipagina"/>
          <w:lang w:val="en-US"/>
        </w:rPr>
        <w:fldChar w:fldCharType="separate"/>
      </w:r>
      <w:r w:rsidR="00AA602B" w:rsidRPr="00AA602B">
        <w:rPr>
          <w:noProof/>
          <w:lang w:val="en-US"/>
        </w:rPr>
        <w:t>(Doran, 2013)</w:t>
      </w:r>
      <w:r w:rsidR="00AA602B">
        <w:rPr>
          <w:rStyle w:val="Rimandonotaapidipagina"/>
          <w:lang w:val="en-US"/>
        </w:rPr>
        <w:fldChar w:fldCharType="end"/>
      </w:r>
      <w:r w:rsidRPr="00E501EE">
        <w:rPr>
          <w:lang w:val="en-US"/>
        </w:rPr>
        <w:t>.</w:t>
      </w:r>
      <w:r w:rsidR="0030236C" w:rsidRPr="00E501EE">
        <w:rPr>
          <w:lang w:val="en-US"/>
        </w:rPr>
        <w:t xml:space="preserve"> This means that the microalga </w:t>
      </w:r>
      <w:r w:rsidR="0030236C" w:rsidRPr="00E501EE">
        <w:rPr>
          <w:i/>
          <w:iCs/>
          <w:lang w:val="en-US"/>
        </w:rPr>
        <w:t xml:space="preserve">Chlorella </w:t>
      </w:r>
      <w:proofErr w:type="spellStart"/>
      <w:r w:rsidR="0030236C" w:rsidRPr="00E501EE">
        <w:rPr>
          <w:i/>
          <w:iCs/>
          <w:lang w:val="en-US"/>
        </w:rPr>
        <w:t>sp</w:t>
      </w:r>
      <w:proofErr w:type="spellEnd"/>
      <w:r w:rsidR="0030236C" w:rsidRPr="00E501EE">
        <w:rPr>
          <w:lang w:val="en-US"/>
        </w:rPr>
        <w:t xml:space="preserve"> CW2 </w:t>
      </w:r>
      <w:proofErr w:type="gramStart"/>
      <w:r w:rsidR="0030236C" w:rsidRPr="00E501EE">
        <w:rPr>
          <w:lang w:val="en-US"/>
        </w:rPr>
        <w:t>is able to</w:t>
      </w:r>
      <w:proofErr w:type="gramEnd"/>
      <w:r w:rsidR="0030236C" w:rsidRPr="00E501EE">
        <w:rPr>
          <w:lang w:val="en-US"/>
        </w:rPr>
        <w:t xml:space="preserve"> use even very small concentrations of glucose, and that the growth rate </w:t>
      </w:r>
      <w:r w:rsidR="0030236C" w:rsidRPr="00E501EE">
        <w:rPr>
          <w:rFonts w:cs="Arial"/>
          <w:lang w:val="en-US"/>
        </w:rPr>
        <w:t>µ</w:t>
      </w:r>
      <w:r w:rsidR="0030236C" w:rsidRPr="00E501EE">
        <w:rPr>
          <w:lang w:val="en-US"/>
        </w:rPr>
        <w:t xml:space="preserve"> is </w:t>
      </w:r>
      <w:r w:rsidR="00E40303" w:rsidRPr="00E501EE">
        <w:rPr>
          <w:lang w:val="en-US"/>
        </w:rPr>
        <w:t xml:space="preserve">influenced by glucose concentration even if it quickly approaches </w:t>
      </w:r>
      <w:r w:rsidR="0030236C" w:rsidRPr="00E501EE">
        <w:rPr>
          <w:lang w:val="en-US"/>
        </w:rPr>
        <w:t xml:space="preserve">the maximum growth rate </w:t>
      </w:r>
      <w:r w:rsidR="0030236C" w:rsidRPr="00E501EE">
        <w:rPr>
          <w:rFonts w:cs="Arial"/>
          <w:lang w:val="en-US"/>
        </w:rPr>
        <w:t>µ</w:t>
      </w:r>
      <w:r w:rsidR="0030236C" w:rsidRPr="00E501EE">
        <w:rPr>
          <w:vertAlign w:val="subscript"/>
          <w:lang w:val="en-US"/>
        </w:rPr>
        <w:t>max</w:t>
      </w:r>
      <w:r w:rsidR="0030236C" w:rsidRPr="00E501EE">
        <w:rPr>
          <w:lang w:val="en-US"/>
        </w:rPr>
        <w:t xml:space="preserve"> </w:t>
      </w:r>
      <w:r w:rsidR="00E40303" w:rsidRPr="00E501EE">
        <w:rPr>
          <w:lang w:val="en-US"/>
        </w:rPr>
        <w:t>for glucose concentration larger than Ks</w:t>
      </w:r>
      <w:r w:rsidR="0030236C" w:rsidRPr="00E501EE">
        <w:rPr>
          <w:lang w:val="en-US"/>
        </w:rPr>
        <w:t xml:space="preserve">. </w:t>
      </w:r>
    </w:p>
    <w:p w14:paraId="471F56C9" w14:textId="07D4BB6C" w:rsidR="00D1129C" w:rsidRDefault="00F939BF" w:rsidP="00F939BF">
      <w:pPr>
        <w:tabs>
          <w:tab w:val="clear" w:pos="7100"/>
        </w:tabs>
        <w:autoSpaceDE w:val="0"/>
        <w:autoSpaceDN w:val="0"/>
        <w:adjustRightInd w:val="0"/>
        <w:spacing w:line="240" w:lineRule="auto"/>
        <w:rPr>
          <w:lang w:val="en-US"/>
        </w:rPr>
      </w:pPr>
      <w:r>
        <w:rPr>
          <w:lang w:val="en-US"/>
        </w:rPr>
        <w:t>The calculated maximum growth rate is similar to what found previously by other authors</w:t>
      </w:r>
      <w:r w:rsidR="0030236C">
        <w:rPr>
          <w:lang w:val="en-US"/>
        </w:rPr>
        <w:t>, for example</w:t>
      </w:r>
      <w:r>
        <w:rPr>
          <w:lang w:val="en-US"/>
        </w:rPr>
        <w:t xml:space="preserve"> in exponential phase for </w:t>
      </w:r>
      <w:r w:rsidRPr="00155916">
        <w:rPr>
          <w:i/>
          <w:iCs/>
          <w:lang w:val="en-US"/>
        </w:rPr>
        <w:t>Chlorella sp</w:t>
      </w:r>
      <w:r>
        <w:rPr>
          <w:lang w:val="en-US"/>
        </w:rPr>
        <w:t xml:space="preserve">. growing in raw </w:t>
      </w:r>
      <w:proofErr w:type="spellStart"/>
      <w:r>
        <w:rPr>
          <w:lang w:val="en-US"/>
        </w:rPr>
        <w:t>centrate</w:t>
      </w:r>
      <w:proofErr w:type="spellEnd"/>
      <w:r>
        <w:rPr>
          <w:lang w:val="en-US"/>
        </w:rPr>
        <w:t xml:space="preserve"> </w:t>
      </w:r>
      <w:r w:rsidR="00AA602B">
        <w:rPr>
          <w:rStyle w:val="Rimandonotaapidipagina"/>
          <w:lang w:val="en-US"/>
        </w:rPr>
        <w:fldChar w:fldCharType="begin" w:fldLock="1"/>
      </w:r>
      <w:r w:rsidR="00AA602B">
        <w:rPr>
          <w:lang w:val="en-US"/>
        </w:rPr>
        <w:instrText>ADDIN CSL_CITATION {"citationItems":[{"id":"ITEM-1","itemData":{"DOI":"10.1016/j.biortech.2011.01.091","ISSN":"09608524","PMID":"21353532","abstract":"The feasibility of growing Chlorella sp. in the centrate, a highly concentrated municipal wastewater stream generated from activated sludge thickening process, for simultaneous wastewater treatment and energy production was tested. The characteristics of algal growth, biodiesel production, wastewater nutrient removal and the viability of scale-up and the stability of continuous operation were examined. Two culture media, namely autoclaved centrate (AC) and raw centrate (RC) were used for comparison. The results showed that by the end of a 14-day batch culture, algae could remove ammonia, total nitrogen, total phosphorus, and chemical oxygen demand (COD) by 93.9%, 89.1%, 80.9%, and 90.8%, respectively from raw centrate, and the fatty acid methyl ester (FAME) content was 11.04% of dry biomass providing a biodiesel yield of 0.12. g-biodiesel/L-algae culture solution. The system could be successfully scaled up, and continuously operated at 50% daily harvesting rate, providing a net biomass productivity of 0.92. g-algae/(L day). © 2011.","author":[{"dropping-particle":"","family":"Li","given":"Yecong","non-dropping-particle":"","parse-names":false,"suffix":""},{"dropping-particle":"","family":"Chen","given":"Yi Feng","non-dropping-particle":"","parse-names":false,"suffix":""},{"dropping-particle":"","family":"Chen","given":"Paul","non-dropping-particle":"","parse-names":false,"suffix":""},{"dropping-particle":"","family":"Min","given":"Min","non-dropping-particle":"","parse-names":false,"suffix":""},{"dropping-particle":"","family":"Zhou","given":"Wenguang","non-dropping-particle":"","parse-names":false,"suffix":""},{"dropping-particle":"","family":"Martinez","given":"Blanca","non-dropping-particle":"","parse-names":false,"suffix":""},{"dropping-particle":"","family":"Zhu","given":"Jun","non-dropping-particle":"","parse-names":false,"suffix":""},{"dropping-particle":"","family":"Ruan","given":"Rog","non-dropping-particle":"","parse-names":false,"suffix":""}],"container-title":"Bioresource Technology","id":"ITEM-1","issue":"8","issued":{"date-parts":[["2011"]]},"page":"5138-5144","publisher":"Elsevier Ltd","title":"Characterization of a microalga Chlorella sp. well adapted to highly concentrated municipal wastewater for nutrient removal and biodiesel production","type":"article-journal","volume":"102"},"uris":["http://www.mendeley.com/documents/?uuid=11e40e19-6b79-4a85-a2ec-39d37a3e3f1e"]}],"mendeley":{"formattedCitation":"(Y. Li et al., 2011)","plainTextFormattedCitation":"(Y. Li et al., 2011)","previouslyFormattedCitation":"Yecong Li and others, ‘Characterization of a Microalga Chlorella Sp. Well Adapted to Highly Concentrated Municipal Wastewater for Nutrient Removal and Biodiesel Production’, &lt;i&gt;Bioresource Technology&lt;/i&gt;, 102.8 (2011), 5138–44 &lt;https://doi.org/10.1016/j.biortech.2011.01.091&gt;."},"properties":{"noteIndex":0},"schema":"https://github.com/citation-style-language/schema/raw/master/csl-citation.json"}</w:instrText>
      </w:r>
      <w:r w:rsidR="00AA602B">
        <w:rPr>
          <w:rStyle w:val="Rimandonotaapidipagina"/>
          <w:lang w:val="en-US"/>
        </w:rPr>
        <w:fldChar w:fldCharType="separate"/>
      </w:r>
      <w:r w:rsidR="00AA602B" w:rsidRPr="00AA602B">
        <w:rPr>
          <w:noProof/>
          <w:lang w:val="en-US"/>
        </w:rPr>
        <w:t>(Y. Li et al., 2011)</w:t>
      </w:r>
      <w:r w:rsidR="00AA602B">
        <w:rPr>
          <w:rStyle w:val="Rimandonotaapidipagina"/>
          <w:lang w:val="en-US"/>
        </w:rPr>
        <w:fldChar w:fldCharType="end"/>
      </w:r>
      <w:r>
        <w:rPr>
          <w:lang w:val="en-US"/>
        </w:rPr>
        <w:t xml:space="preserve">. </w:t>
      </w:r>
    </w:p>
    <w:p w14:paraId="072369DF" w14:textId="77777777" w:rsidR="00966675" w:rsidRDefault="00966675" w:rsidP="00966675">
      <w:pPr>
        <w:tabs>
          <w:tab w:val="clear" w:pos="7100"/>
        </w:tabs>
        <w:autoSpaceDE w:val="0"/>
        <w:autoSpaceDN w:val="0"/>
        <w:adjustRightInd w:val="0"/>
        <w:spacing w:line="240" w:lineRule="auto"/>
        <w:jc w:val="left"/>
        <w:rPr>
          <w:lang w:val="en-US"/>
        </w:rPr>
      </w:pPr>
      <w:r>
        <w:rPr>
          <w:lang w:val="en-US"/>
        </w:rPr>
        <w:t xml:space="preserve">From the observed data, it can be concluded that in a continuous system employing the microalga </w:t>
      </w:r>
      <w:r w:rsidRPr="008D1B34">
        <w:rPr>
          <w:i/>
          <w:iCs/>
          <w:lang w:val="en-US"/>
        </w:rPr>
        <w:t>Chlorella sp.</w:t>
      </w:r>
      <w:r>
        <w:rPr>
          <w:lang w:val="en-US"/>
        </w:rPr>
        <w:t xml:space="preserve"> CW2 and a similar wastewater than the one employed here, the dilution rate, defined as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560"/>
      </w:tblGrid>
      <w:tr w:rsidR="00966675" w14:paraId="2EC93BBD" w14:textId="77777777" w:rsidTr="0075208A">
        <w:tc>
          <w:tcPr>
            <w:tcW w:w="8217" w:type="dxa"/>
          </w:tcPr>
          <w:p w14:paraId="74A145BB" w14:textId="77777777" w:rsidR="00966675" w:rsidRDefault="00966675" w:rsidP="0075208A">
            <w:pPr>
              <w:pStyle w:val="CETEquation"/>
              <w:rPr>
                <w:lang w:val="en-US"/>
              </w:rPr>
            </w:pPr>
            <m:oMathPara>
              <m:oMath>
                <m:r>
                  <w:rPr>
                    <w:rFonts w:ascii="Cambria Math" w:hAnsi="Cambria Math"/>
                    <w:lang w:val="en-US"/>
                  </w:rPr>
                  <m:t>D</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F</m:t>
                    </m:r>
                  </m:num>
                  <m:den>
                    <m:r>
                      <w:rPr>
                        <w:rFonts w:ascii="Cambria Math" w:hAnsi="Cambria Math"/>
                        <w:lang w:val="en-US"/>
                      </w:rPr>
                      <m:t>V</m:t>
                    </m:r>
                  </m:den>
                </m:f>
              </m:oMath>
            </m:oMathPara>
          </w:p>
        </w:tc>
        <w:tc>
          <w:tcPr>
            <w:tcW w:w="560" w:type="dxa"/>
          </w:tcPr>
          <w:p w14:paraId="69FD2033" w14:textId="77777777" w:rsidR="00966675" w:rsidRDefault="00966675" w:rsidP="0075208A">
            <w:pPr>
              <w:tabs>
                <w:tab w:val="clear" w:pos="7100"/>
              </w:tabs>
              <w:autoSpaceDE w:val="0"/>
              <w:autoSpaceDN w:val="0"/>
              <w:adjustRightInd w:val="0"/>
              <w:spacing w:line="240" w:lineRule="auto"/>
              <w:jc w:val="left"/>
              <w:rPr>
                <w:lang w:val="en-US"/>
              </w:rPr>
            </w:pPr>
            <w:r>
              <w:rPr>
                <w:lang w:val="en-US"/>
              </w:rPr>
              <w:t>(5)</w:t>
            </w:r>
          </w:p>
        </w:tc>
      </w:tr>
    </w:tbl>
    <w:p w14:paraId="5EDAB375" w14:textId="13EC4500" w:rsidR="00966675" w:rsidRPr="0030236C" w:rsidRDefault="00966675" w:rsidP="00966675">
      <w:pPr>
        <w:tabs>
          <w:tab w:val="clear" w:pos="7100"/>
        </w:tabs>
        <w:autoSpaceDE w:val="0"/>
        <w:autoSpaceDN w:val="0"/>
        <w:adjustRightInd w:val="0"/>
        <w:spacing w:line="240" w:lineRule="auto"/>
        <w:jc w:val="left"/>
        <w:rPr>
          <w:lang w:val="en-US"/>
        </w:rPr>
      </w:pPr>
      <w:r>
        <w:rPr>
          <w:lang w:val="en-US"/>
        </w:rPr>
        <w:t xml:space="preserve">Where F is the inlet flow inside the reactor and V the volume of the reactor, cannot exceed the value of </w:t>
      </w:r>
      <w:r>
        <w:rPr>
          <w:rFonts w:cs="Arial"/>
          <w:lang w:val="en-US"/>
        </w:rPr>
        <w:t>µ</w:t>
      </w:r>
      <w:r w:rsidRPr="008D1B34">
        <w:rPr>
          <w:vertAlign w:val="subscript"/>
          <w:lang w:val="en-US"/>
        </w:rPr>
        <w:t>max</w:t>
      </w:r>
      <w:r>
        <w:rPr>
          <w:lang w:val="en-US"/>
        </w:rPr>
        <w:t>, 0.047 h</w:t>
      </w:r>
      <w:r w:rsidRPr="008D1B34">
        <w:rPr>
          <w:vertAlign w:val="superscript"/>
          <w:lang w:val="en-US"/>
        </w:rPr>
        <w:t>-1</w:t>
      </w:r>
      <w:r>
        <w:rPr>
          <w:lang w:val="en-US"/>
        </w:rPr>
        <w:t xml:space="preserve"> in order to avoid the washing out </w:t>
      </w:r>
      <w:r w:rsidR="00AA602B">
        <w:rPr>
          <w:rStyle w:val="Rimandonotaapidipagina"/>
          <w:lang w:val="en-US"/>
        </w:rPr>
        <w:fldChar w:fldCharType="begin" w:fldLock="1"/>
      </w:r>
      <w:r w:rsidR="00AA602B">
        <w:rPr>
          <w:lang w:val="en-US"/>
        </w:rPr>
        <w:instrText>ADDIN CSL_CITATION {"citationItems":[{"id":"ITEM-1","itemData":{"ISBN":"978-0-12-220851-5","author":[{"dropping-particle":"","family":"Doran","given":"Pauline M.","non-dropping-particle":"","parse-names":false,"suffix":""}],"edition":"second","id":"ITEM-1","issued":{"date-parts":[["2013"]]},"title":"Bioprocess engineering principles","type":"book"},"uris":["http://www.mendeley.com/documents/?uuid=e2c1ffbb-7a36-487d-a730-a1864f6943a5"]}],"mendeley":{"formattedCitation":"(Doran, 2013)","plainTextFormattedCitation":"(Doran, 2013)","previouslyFormattedCitation":"Doran."},"properties":{"noteIndex":0},"schema":"https://github.com/citation-style-language/schema/raw/master/csl-citation.json"}</w:instrText>
      </w:r>
      <w:r w:rsidR="00AA602B">
        <w:rPr>
          <w:rStyle w:val="Rimandonotaapidipagina"/>
          <w:lang w:val="en-US"/>
        </w:rPr>
        <w:fldChar w:fldCharType="separate"/>
      </w:r>
      <w:r w:rsidR="00AA602B" w:rsidRPr="00AA602B">
        <w:rPr>
          <w:noProof/>
          <w:lang w:val="en-US"/>
        </w:rPr>
        <w:t>(Doran, 2013)</w:t>
      </w:r>
      <w:r w:rsidR="00AA602B">
        <w:rPr>
          <w:rStyle w:val="Rimandonotaapidipagina"/>
          <w:lang w:val="en-US"/>
        </w:rPr>
        <w:fldChar w:fldCharType="end"/>
      </w:r>
      <w:r w:rsidRPr="0030236C">
        <w:rPr>
          <w:lang w:val="en-US"/>
        </w:rPr>
        <w:t>. It is also evident that the ability to removing organic carbon is very high, as the K</w:t>
      </w:r>
      <w:r w:rsidRPr="0030236C">
        <w:rPr>
          <w:vertAlign w:val="subscript"/>
          <w:lang w:val="en-US"/>
        </w:rPr>
        <w:t>s</w:t>
      </w:r>
      <w:r w:rsidRPr="0030236C">
        <w:rPr>
          <w:lang w:val="en-US"/>
        </w:rPr>
        <w:t xml:space="preserve"> is very small.</w:t>
      </w:r>
    </w:p>
    <w:p w14:paraId="77A3BBEB" w14:textId="71E75D9E" w:rsidR="00E40303" w:rsidRDefault="00F939BF" w:rsidP="00E40303">
      <w:pPr>
        <w:pStyle w:val="CETBodytext"/>
      </w:pPr>
      <w:r w:rsidRPr="0030236C">
        <w:t xml:space="preserve">Figure 4 shows the consume of glucose </w:t>
      </w:r>
      <w:r w:rsidR="00963DA3" w:rsidRPr="0030236C">
        <w:t>vs</w:t>
      </w:r>
      <w:r w:rsidRPr="0030236C">
        <w:t xml:space="preserve"> time when starting from different glucose concentrations. </w:t>
      </w:r>
      <w:r w:rsidR="00C31E4E">
        <w:t xml:space="preserve">The results confirm </w:t>
      </w:r>
      <w:r w:rsidR="00E40303">
        <w:t>that</w:t>
      </w:r>
      <w:r w:rsidR="00C31E4E">
        <w:t xml:space="preserve"> microalga </w:t>
      </w:r>
      <w:r w:rsidR="00C31E4E" w:rsidRPr="00C31E4E">
        <w:rPr>
          <w:i/>
          <w:iCs/>
        </w:rPr>
        <w:t>Chlorella sp. CW2</w:t>
      </w:r>
      <w:r w:rsidR="00C31E4E">
        <w:t xml:space="preserve"> </w:t>
      </w:r>
      <w:proofErr w:type="gramStart"/>
      <w:r w:rsidR="00C31E4E">
        <w:t>is able to</w:t>
      </w:r>
      <w:proofErr w:type="gramEnd"/>
      <w:r w:rsidR="00C31E4E">
        <w:t xml:space="preserve"> employ the glucose at all the </w:t>
      </w:r>
      <w:r w:rsidR="00E40303">
        <w:t xml:space="preserve">tested </w:t>
      </w:r>
      <w:r w:rsidR="00C31E4E">
        <w:t>concentration</w:t>
      </w:r>
      <w:r w:rsidR="00E40303">
        <w:t>s</w:t>
      </w:r>
      <w:r w:rsidR="00C31E4E">
        <w:t xml:space="preserve">. </w:t>
      </w:r>
      <w:r w:rsidRPr="0030236C">
        <w:t xml:space="preserve">The removal </w:t>
      </w:r>
      <w:r>
        <w:t xml:space="preserve">occurs already in the first hours after the inoculum. A similar trend was observed before </w:t>
      </w:r>
      <w:r w:rsidR="00AA602B">
        <w:rPr>
          <w:rStyle w:val="Rimandonotaapidipagina"/>
        </w:rPr>
        <w:fldChar w:fldCharType="begin" w:fldLock="1"/>
      </w:r>
      <w:r w:rsidR="00AA602B">
        <w:instrText>ADDIN CSL_CITATION {"citationItems":[{"id":"ITEM-1","itemData":{"DOI":"10.3390/biom12070939","ISSN":"2218273X","PMID":"35883494","abstract":"The microalga Chlorella sorokiniana has attracted much attention for lipid production and wastewater treatment. It can perform photosynthesis and organic carbon utilization concurrently. To understand its phototrophic metabolism, a biomass compositional analysis, a13C metabolic flux analysis, and metabolite pool size analyses were performed. Under dark condition, the oxidative pentose phosphate pathway (OPP) was the major route for glucose catabolism (88% carbon flux) and a cyclic OPP–glycolytic route for glucose catabolism was formed. Under light condition, fluxes in the glucose catabolism, tricarboxylic acid (TCA) cycle, and anaplerotic reaction (CO2 fixation via phosphoenolpyruvate carboxylase) were all suppressed. Meanwhile, the RuBisCO reaction became active and the ratio of its carbon fixation to glucose carbon utilization was determined as 7:100. Moreover, light condition significantly reduced the pool sizes of sugar phosphate metabolites (such as E4P, F6P, and S7P) and promoted biomass synthesis (which reached 0.155 h−1). In addition, light condition increased glucose consumption rates, leading to higher ATP and NADPH production and a higher protein content (43% vs. 30%) in the biomass during the exponential growth phase.","author":[{"dropping-particle":"","family":"Li","given":"Tingting","non-dropping-particle":"","parse-names":false,"suffix":""},{"dropping-particle":"","family":"Pang","given":"Na","non-dropping-particle":"","parse-names":false,"suffix":""},{"dropping-particle":"","family":"He","given":"Lian","non-dropping-particle":"","parse-names":false,"suffix":""},{"dropping-particle":"","family":"Xu","given":"Yuan","non-dropping-particle":"","parse-names":false,"suffix":""},{"dropping-particle":"","family":"Fu","given":"Xinyu","non-dropping-particle":"","parse-names":false,"suffix":""},{"dropping-particle":"","family":"Tang","given":"Yinjie","non-dropping-particle":"","parse-names":false,"suffix":""},{"dropping-particle":"","family":"Shachar-Hill","given":"Yair","non-dropping-particle":"","parse-names":false,"suffix":""},{"dropping-particle":"","family":"Chen","given":"Shulin","non-dropping-particle":"","parse-names":false,"suffix":""}],"container-title":"Biomolecules","id":"ITEM-1","issue":"7","issued":{"date-parts":[["2022"]]},"title":"Re-Programing Glucose Catabolism in the Microalga Chlorella sorokiniana under Light Condition","type":"article-journal","volume":"12"},"uris":["http://www.mendeley.com/documents/?uuid=e327082f-40c4-47a0-8327-3ddc07f8fe8d"]}],"mendeley":{"formattedCitation":"(Tingting Li et al., 2022)","plainTextFormattedCitation":"(Tingting Li et al., 2022)","previouslyFormattedCitation":"Tingting Li and others, ‘Re-Programing Glucose Catabolism in the Microalga Chlorella Sorokiniana under Light Condition’, &lt;i&gt;Biomolecules&lt;/i&gt;, 12.7 (2022) &lt;https://doi.org/10.3390/biom12070939&gt;."},"properties":{"noteIndex":0},"schema":"https://github.com/citation-style-language/schema/raw/master/csl-citation.json"}</w:instrText>
      </w:r>
      <w:r w:rsidR="00AA602B">
        <w:rPr>
          <w:rStyle w:val="Rimandonotaapidipagina"/>
        </w:rPr>
        <w:fldChar w:fldCharType="separate"/>
      </w:r>
      <w:r w:rsidR="00AA602B" w:rsidRPr="00AA602B">
        <w:rPr>
          <w:bCs/>
          <w:noProof/>
          <w:lang w:val="it-IT"/>
        </w:rPr>
        <w:t>(Tingting Li et al., 2022)</w:t>
      </w:r>
      <w:r w:rsidR="00AA602B">
        <w:rPr>
          <w:rStyle w:val="Rimandonotaapidipagina"/>
        </w:rPr>
        <w:fldChar w:fldCharType="end"/>
      </w:r>
      <w:r>
        <w:t xml:space="preserve">. Microalga </w:t>
      </w:r>
      <w:r w:rsidRPr="006E37B9">
        <w:rPr>
          <w:i/>
          <w:iCs/>
        </w:rPr>
        <w:t>Chlorella sp.</w:t>
      </w:r>
      <w:r>
        <w:t xml:space="preserve"> is therefore able to decrease the organic content of the synthetic sewage when growing in mixotrophy whatever is the employed glucose concentration. It is </w:t>
      </w:r>
      <w:r w:rsidRPr="00F10739">
        <w:t xml:space="preserve">worth </w:t>
      </w:r>
      <w:r w:rsidR="00963DA3" w:rsidRPr="00F10739">
        <w:t>noting</w:t>
      </w:r>
      <w:r w:rsidRPr="00F10739">
        <w:t xml:space="preserve"> that the real wastewaters have more complex carbon source</w:t>
      </w:r>
      <w:r w:rsidR="00E40303">
        <w:t>s</w:t>
      </w:r>
      <w:r w:rsidRPr="00F10739">
        <w:t xml:space="preserve"> compared to simple glucose solutions</w:t>
      </w:r>
      <w:r w:rsidR="00E40303">
        <w:t xml:space="preserve"> and this may result in decreased ability to abate the COD/TOC</w:t>
      </w:r>
      <w:r w:rsidRPr="00F10739">
        <w:t>, therefore further</w:t>
      </w:r>
      <w:r>
        <w:t xml:space="preserve"> experiments should be done to assess the carbon consume in real wastewaters. </w:t>
      </w:r>
    </w:p>
    <w:p w14:paraId="71C929CA" w14:textId="5AFB7B1B" w:rsidR="000E4E21" w:rsidRDefault="000E4E21" w:rsidP="00E40303">
      <w:pPr>
        <w:pStyle w:val="CETTabletitle"/>
      </w:pPr>
      <w:r>
        <w:t xml:space="preserve">Table </w:t>
      </w:r>
      <w:r>
        <w:fldChar w:fldCharType="begin"/>
      </w:r>
      <w:r>
        <w:instrText xml:space="preserve"> SEQ Table \* ARABIC </w:instrText>
      </w:r>
      <w:r>
        <w:fldChar w:fldCharType="separate"/>
      </w:r>
      <w:r w:rsidR="001E2312">
        <w:rPr>
          <w:noProof/>
        </w:rPr>
        <w:t>2</w:t>
      </w:r>
      <w:r>
        <w:fldChar w:fldCharType="end"/>
      </w:r>
      <w:r w:rsidR="009277BF">
        <w:t>: Values of specific growth rates and R</w:t>
      </w:r>
      <w:r w:rsidR="009277BF" w:rsidRPr="004E7C8A">
        <w:rPr>
          <w:vertAlign w:val="superscript"/>
        </w:rPr>
        <w:t>2</w:t>
      </w:r>
      <w:r w:rsidR="009277BF">
        <w:t xml:space="preserve"> calculated with different glucose concentrations and a fixed illumination at 27°C in </w:t>
      </w:r>
      <w:r w:rsidR="009277BF" w:rsidRPr="009277BF">
        <w:rPr>
          <w:iCs/>
        </w:rPr>
        <w:t>Chlorella sp</w:t>
      </w:r>
      <w:r w:rsidR="009277BF">
        <w:t>.</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D14A4A" w:rsidRPr="00B57B36" w14:paraId="007BD995" w14:textId="77777777" w:rsidTr="000E4E21">
        <w:trPr>
          <w:jc w:val="center"/>
        </w:trPr>
        <w:tc>
          <w:tcPr>
            <w:tcW w:w="1134" w:type="dxa"/>
            <w:tcBorders>
              <w:top w:val="single" w:sz="12" w:space="0" w:color="008000"/>
              <w:bottom w:val="single" w:sz="6" w:space="0" w:color="008000"/>
            </w:tcBorders>
            <w:shd w:val="clear" w:color="auto" w:fill="FFFFFF"/>
          </w:tcPr>
          <w:p w14:paraId="77F3962B" w14:textId="5AE5903D" w:rsidR="00D14A4A" w:rsidRPr="000E4E21" w:rsidRDefault="00D14A4A" w:rsidP="000E4E21">
            <w:pPr>
              <w:pStyle w:val="CETBodytext"/>
              <w:jc w:val="center"/>
            </w:pPr>
            <w:r w:rsidRPr="000E4E21">
              <w:t>S (mg L</w:t>
            </w:r>
            <w:r w:rsidRPr="000E4E21">
              <w:rPr>
                <w:vertAlign w:val="superscript"/>
              </w:rPr>
              <w:t>-1</w:t>
            </w:r>
            <w:r w:rsidRPr="000E4E21">
              <w:t>)</w:t>
            </w:r>
          </w:p>
        </w:tc>
        <w:tc>
          <w:tcPr>
            <w:tcW w:w="1134" w:type="dxa"/>
            <w:tcBorders>
              <w:top w:val="single" w:sz="12" w:space="0" w:color="008000"/>
              <w:bottom w:val="single" w:sz="6" w:space="0" w:color="008000"/>
            </w:tcBorders>
            <w:shd w:val="clear" w:color="auto" w:fill="FFFFFF"/>
          </w:tcPr>
          <w:p w14:paraId="56D4E050" w14:textId="160512CE" w:rsidR="00D14A4A" w:rsidRPr="000E4E21" w:rsidRDefault="00D14A4A" w:rsidP="000E4E21">
            <w:pPr>
              <w:pStyle w:val="CETBodytext"/>
              <w:jc w:val="center"/>
            </w:pPr>
            <w:r w:rsidRPr="000E4E21">
              <w:t>µ (h</w:t>
            </w:r>
            <w:r w:rsidRPr="000E4E21">
              <w:rPr>
                <w:vertAlign w:val="superscript"/>
              </w:rPr>
              <w:t>-1</w:t>
            </w:r>
            <w:r w:rsidRPr="000E4E21">
              <w:t>)</w:t>
            </w:r>
          </w:p>
        </w:tc>
        <w:tc>
          <w:tcPr>
            <w:tcW w:w="1134" w:type="dxa"/>
            <w:tcBorders>
              <w:top w:val="single" w:sz="12" w:space="0" w:color="008000"/>
              <w:bottom w:val="single" w:sz="6" w:space="0" w:color="008000"/>
            </w:tcBorders>
            <w:shd w:val="clear" w:color="auto" w:fill="FFFFFF"/>
          </w:tcPr>
          <w:p w14:paraId="3FAE3E18" w14:textId="1694C5D1" w:rsidR="00D14A4A" w:rsidRPr="000E4E21" w:rsidRDefault="00D14A4A" w:rsidP="000E4E21">
            <w:pPr>
              <w:pStyle w:val="CETBodytext"/>
              <w:jc w:val="center"/>
            </w:pPr>
            <w:r w:rsidRPr="000E4E21">
              <w:t>S/µ</w:t>
            </w:r>
          </w:p>
        </w:tc>
        <w:tc>
          <w:tcPr>
            <w:tcW w:w="1134" w:type="dxa"/>
            <w:tcBorders>
              <w:top w:val="single" w:sz="12" w:space="0" w:color="008000"/>
              <w:bottom w:val="single" w:sz="6" w:space="0" w:color="008000"/>
            </w:tcBorders>
            <w:shd w:val="clear" w:color="auto" w:fill="FFFFFF"/>
          </w:tcPr>
          <w:p w14:paraId="1A91012D" w14:textId="1E978FFA" w:rsidR="00D14A4A" w:rsidRPr="000E4E21" w:rsidRDefault="00D14A4A" w:rsidP="000E4E21">
            <w:pPr>
              <w:pStyle w:val="CETBodytext"/>
              <w:jc w:val="center"/>
            </w:pPr>
            <w:r w:rsidRPr="000E4E21">
              <w:t>R</w:t>
            </w:r>
            <w:r w:rsidRPr="000E4E21">
              <w:rPr>
                <w:vertAlign w:val="superscript"/>
              </w:rPr>
              <w:t>2</w:t>
            </w:r>
          </w:p>
        </w:tc>
      </w:tr>
      <w:tr w:rsidR="000E4E21" w:rsidRPr="00B57B36" w14:paraId="12C74542" w14:textId="77777777" w:rsidTr="000E4E21">
        <w:trPr>
          <w:jc w:val="center"/>
        </w:trPr>
        <w:tc>
          <w:tcPr>
            <w:tcW w:w="1134" w:type="dxa"/>
            <w:shd w:val="clear" w:color="auto" w:fill="FFFFFF"/>
            <w:vAlign w:val="bottom"/>
          </w:tcPr>
          <w:p w14:paraId="2A56D5B7" w14:textId="774F7532" w:rsidR="000E4E21" w:rsidRPr="000E4E21" w:rsidRDefault="000E4E21" w:rsidP="000E4E21">
            <w:pPr>
              <w:pStyle w:val="CETBodytext"/>
              <w:jc w:val="center"/>
            </w:pPr>
            <w:r w:rsidRPr="000E4E21">
              <w:t>2.2</w:t>
            </w:r>
          </w:p>
        </w:tc>
        <w:tc>
          <w:tcPr>
            <w:tcW w:w="1134" w:type="dxa"/>
            <w:shd w:val="clear" w:color="auto" w:fill="FFFFFF"/>
            <w:vAlign w:val="bottom"/>
          </w:tcPr>
          <w:p w14:paraId="605183E1" w14:textId="17ECD1D3" w:rsidR="000E4E21" w:rsidRPr="000E4E21" w:rsidRDefault="000E4E21" w:rsidP="000E4E21">
            <w:pPr>
              <w:pStyle w:val="CETBodytext"/>
              <w:jc w:val="center"/>
            </w:pPr>
            <w:r w:rsidRPr="000E4E21">
              <w:t>0.0333</w:t>
            </w:r>
          </w:p>
        </w:tc>
        <w:tc>
          <w:tcPr>
            <w:tcW w:w="1134" w:type="dxa"/>
            <w:shd w:val="clear" w:color="auto" w:fill="FFFFFF"/>
            <w:vAlign w:val="bottom"/>
          </w:tcPr>
          <w:p w14:paraId="323D2F22" w14:textId="4A971F39" w:rsidR="000E4E21" w:rsidRPr="000E4E21" w:rsidRDefault="000E4E21" w:rsidP="000E4E21">
            <w:pPr>
              <w:pStyle w:val="CETBodytext"/>
              <w:jc w:val="center"/>
            </w:pPr>
            <w:r w:rsidRPr="000E4E21">
              <w:t>66.6</w:t>
            </w:r>
          </w:p>
        </w:tc>
        <w:tc>
          <w:tcPr>
            <w:tcW w:w="1134" w:type="dxa"/>
            <w:shd w:val="clear" w:color="auto" w:fill="FFFFFF"/>
            <w:vAlign w:val="bottom"/>
          </w:tcPr>
          <w:p w14:paraId="70460C28" w14:textId="2B6640C0" w:rsidR="000E4E21" w:rsidRPr="000E4E21" w:rsidRDefault="000E4E21" w:rsidP="000E4E21">
            <w:pPr>
              <w:pStyle w:val="CETBodytext"/>
              <w:jc w:val="center"/>
            </w:pPr>
            <w:r w:rsidRPr="000E4E21">
              <w:t>0.99</w:t>
            </w:r>
          </w:p>
        </w:tc>
      </w:tr>
      <w:tr w:rsidR="000E4E21" w:rsidRPr="00B57B36" w14:paraId="6EC3AF06" w14:textId="77777777" w:rsidTr="000E4E21">
        <w:trPr>
          <w:jc w:val="center"/>
        </w:trPr>
        <w:tc>
          <w:tcPr>
            <w:tcW w:w="1134" w:type="dxa"/>
            <w:shd w:val="clear" w:color="auto" w:fill="FFFFFF"/>
            <w:vAlign w:val="bottom"/>
          </w:tcPr>
          <w:p w14:paraId="01B8A04A" w14:textId="3E4FE79D" w:rsidR="000E4E21" w:rsidRPr="000E4E21" w:rsidRDefault="000E4E21" w:rsidP="000E4E21">
            <w:pPr>
              <w:pStyle w:val="CETBodytext"/>
              <w:jc w:val="center"/>
            </w:pPr>
            <w:r w:rsidRPr="000E4E21">
              <w:t>6.7</w:t>
            </w:r>
          </w:p>
        </w:tc>
        <w:tc>
          <w:tcPr>
            <w:tcW w:w="1134" w:type="dxa"/>
            <w:shd w:val="clear" w:color="auto" w:fill="FFFFFF"/>
            <w:vAlign w:val="bottom"/>
          </w:tcPr>
          <w:p w14:paraId="22E9E9E9" w14:textId="733A536E" w:rsidR="000E4E21" w:rsidRPr="000E4E21" w:rsidRDefault="000E4E21" w:rsidP="000E4E21">
            <w:pPr>
              <w:pStyle w:val="CETBodytext"/>
              <w:jc w:val="center"/>
            </w:pPr>
            <w:r w:rsidRPr="000E4E21">
              <w:t>0.0352</w:t>
            </w:r>
          </w:p>
        </w:tc>
        <w:tc>
          <w:tcPr>
            <w:tcW w:w="1134" w:type="dxa"/>
            <w:shd w:val="clear" w:color="auto" w:fill="FFFFFF"/>
            <w:vAlign w:val="bottom"/>
          </w:tcPr>
          <w:p w14:paraId="02BF5DE0" w14:textId="0AB7E453" w:rsidR="000E4E21" w:rsidRPr="000E4E21" w:rsidRDefault="000E4E21" w:rsidP="000E4E21">
            <w:pPr>
              <w:pStyle w:val="CETBodytext"/>
              <w:jc w:val="center"/>
            </w:pPr>
            <w:r w:rsidRPr="000E4E21">
              <w:t>188.9</w:t>
            </w:r>
          </w:p>
        </w:tc>
        <w:tc>
          <w:tcPr>
            <w:tcW w:w="1134" w:type="dxa"/>
            <w:shd w:val="clear" w:color="auto" w:fill="FFFFFF"/>
            <w:vAlign w:val="bottom"/>
          </w:tcPr>
          <w:p w14:paraId="028116C5" w14:textId="0CCEC06C" w:rsidR="000E4E21" w:rsidRPr="000E4E21" w:rsidRDefault="000E4E21" w:rsidP="000E4E21">
            <w:pPr>
              <w:pStyle w:val="CETBodytext"/>
              <w:jc w:val="center"/>
            </w:pPr>
            <w:r w:rsidRPr="000E4E21">
              <w:t>0.95</w:t>
            </w:r>
          </w:p>
        </w:tc>
      </w:tr>
      <w:tr w:rsidR="000E4E21" w:rsidRPr="00B57B36" w14:paraId="0FA780FB" w14:textId="77777777" w:rsidTr="000E4E21">
        <w:trPr>
          <w:jc w:val="center"/>
        </w:trPr>
        <w:tc>
          <w:tcPr>
            <w:tcW w:w="1134" w:type="dxa"/>
            <w:shd w:val="clear" w:color="auto" w:fill="FFFFFF"/>
            <w:vAlign w:val="bottom"/>
          </w:tcPr>
          <w:p w14:paraId="34C14D88" w14:textId="1A7553F8" w:rsidR="000E4E21" w:rsidRPr="000E4E21" w:rsidRDefault="000E4E21" w:rsidP="000E4E21">
            <w:pPr>
              <w:pStyle w:val="CETBodytext"/>
              <w:jc w:val="center"/>
            </w:pPr>
            <w:r w:rsidRPr="000E4E21">
              <w:t>12.6</w:t>
            </w:r>
          </w:p>
        </w:tc>
        <w:tc>
          <w:tcPr>
            <w:tcW w:w="1134" w:type="dxa"/>
            <w:shd w:val="clear" w:color="auto" w:fill="FFFFFF"/>
            <w:vAlign w:val="bottom"/>
          </w:tcPr>
          <w:p w14:paraId="76C82B67" w14:textId="11F011B3" w:rsidR="000E4E21" w:rsidRPr="000E4E21" w:rsidRDefault="000E4E21" w:rsidP="000E4E21">
            <w:pPr>
              <w:pStyle w:val="CETBodytext"/>
              <w:jc w:val="center"/>
            </w:pPr>
            <w:r w:rsidRPr="000E4E21">
              <w:t>0.0381</w:t>
            </w:r>
          </w:p>
        </w:tc>
        <w:tc>
          <w:tcPr>
            <w:tcW w:w="1134" w:type="dxa"/>
            <w:shd w:val="clear" w:color="auto" w:fill="FFFFFF"/>
            <w:vAlign w:val="bottom"/>
          </w:tcPr>
          <w:p w14:paraId="7835F5D1" w14:textId="2CF7BADB" w:rsidR="000E4E21" w:rsidRPr="000E4E21" w:rsidRDefault="000E4E21" w:rsidP="000E4E21">
            <w:pPr>
              <w:pStyle w:val="CETBodytext"/>
              <w:jc w:val="center"/>
            </w:pPr>
            <w:r w:rsidRPr="000E4E21">
              <w:t>331.1</w:t>
            </w:r>
          </w:p>
        </w:tc>
        <w:tc>
          <w:tcPr>
            <w:tcW w:w="1134" w:type="dxa"/>
            <w:shd w:val="clear" w:color="auto" w:fill="FFFFFF"/>
            <w:vAlign w:val="bottom"/>
          </w:tcPr>
          <w:p w14:paraId="4924463D" w14:textId="72B8AB53" w:rsidR="000E4E21" w:rsidRPr="000E4E21" w:rsidRDefault="000E4E21" w:rsidP="000E4E21">
            <w:pPr>
              <w:pStyle w:val="CETBodytext"/>
              <w:jc w:val="center"/>
            </w:pPr>
            <w:r w:rsidRPr="000E4E21">
              <w:t>1.00</w:t>
            </w:r>
          </w:p>
        </w:tc>
      </w:tr>
      <w:tr w:rsidR="000E4E21" w:rsidRPr="00B57B36" w14:paraId="1765B5CB" w14:textId="77777777" w:rsidTr="000E4E21">
        <w:trPr>
          <w:jc w:val="center"/>
        </w:trPr>
        <w:tc>
          <w:tcPr>
            <w:tcW w:w="1134" w:type="dxa"/>
            <w:shd w:val="clear" w:color="auto" w:fill="FFFFFF"/>
            <w:vAlign w:val="bottom"/>
          </w:tcPr>
          <w:p w14:paraId="66841ECE" w14:textId="22231415" w:rsidR="000E4E21" w:rsidRPr="000E4E21" w:rsidRDefault="000E4E21" w:rsidP="000E4E21">
            <w:pPr>
              <w:pStyle w:val="CETBodytext"/>
              <w:jc w:val="center"/>
            </w:pPr>
            <w:r w:rsidRPr="000E4E21">
              <w:t>22.2</w:t>
            </w:r>
          </w:p>
        </w:tc>
        <w:tc>
          <w:tcPr>
            <w:tcW w:w="1134" w:type="dxa"/>
            <w:shd w:val="clear" w:color="auto" w:fill="FFFFFF"/>
            <w:vAlign w:val="bottom"/>
          </w:tcPr>
          <w:p w14:paraId="759EBF7E" w14:textId="4A54933A" w:rsidR="000E4E21" w:rsidRPr="000E4E21" w:rsidRDefault="000E4E21" w:rsidP="000E4E21">
            <w:pPr>
              <w:pStyle w:val="CETBodytext"/>
              <w:jc w:val="center"/>
            </w:pPr>
            <w:r w:rsidRPr="000E4E21">
              <w:t>0.046</w:t>
            </w:r>
          </w:p>
        </w:tc>
        <w:tc>
          <w:tcPr>
            <w:tcW w:w="1134" w:type="dxa"/>
            <w:shd w:val="clear" w:color="auto" w:fill="FFFFFF"/>
            <w:vAlign w:val="bottom"/>
          </w:tcPr>
          <w:p w14:paraId="66252BDF" w14:textId="0C871F8F" w:rsidR="000E4E21" w:rsidRPr="000E4E21" w:rsidRDefault="000E4E21" w:rsidP="000E4E21">
            <w:pPr>
              <w:pStyle w:val="CETBodytext"/>
              <w:jc w:val="center"/>
            </w:pPr>
            <w:r w:rsidRPr="000E4E21">
              <w:t>482.0</w:t>
            </w:r>
          </w:p>
        </w:tc>
        <w:tc>
          <w:tcPr>
            <w:tcW w:w="1134" w:type="dxa"/>
            <w:shd w:val="clear" w:color="auto" w:fill="FFFFFF"/>
            <w:vAlign w:val="bottom"/>
          </w:tcPr>
          <w:p w14:paraId="3B1107D1" w14:textId="078545AA" w:rsidR="000E4E21" w:rsidRPr="000E4E21" w:rsidRDefault="000E4E21" w:rsidP="000E4E21">
            <w:pPr>
              <w:pStyle w:val="CETBodytext"/>
              <w:jc w:val="center"/>
            </w:pPr>
            <w:r w:rsidRPr="000E4E21">
              <w:t>0.95</w:t>
            </w:r>
          </w:p>
        </w:tc>
      </w:tr>
      <w:tr w:rsidR="000E4E21" w:rsidRPr="00B57B36" w14:paraId="41DBE067" w14:textId="77777777" w:rsidTr="000E4E21">
        <w:trPr>
          <w:jc w:val="center"/>
        </w:trPr>
        <w:tc>
          <w:tcPr>
            <w:tcW w:w="1134" w:type="dxa"/>
            <w:shd w:val="clear" w:color="auto" w:fill="FFFFFF"/>
            <w:vAlign w:val="bottom"/>
          </w:tcPr>
          <w:p w14:paraId="08C4B2AD" w14:textId="36C62BF1" w:rsidR="000E4E21" w:rsidRPr="000E4E21" w:rsidRDefault="000E4E21" w:rsidP="000E4E21">
            <w:pPr>
              <w:pStyle w:val="CETBodytext"/>
              <w:jc w:val="center"/>
            </w:pPr>
            <w:r w:rsidRPr="000E4E21">
              <w:t>40.0</w:t>
            </w:r>
          </w:p>
        </w:tc>
        <w:tc>
          <w:tcPr>
            <w:tcW w:w="1134" w:type="dxa"/>
            <w:shd w:val="clear" w:color="auto" w:fill="FFFFFF"/>
            <w:vAlign w:val="bottom"/>
          </w:tcPr>
          <w:p w14:paraId="7D075F73" w14:textId="29A10611" w:rsidR="000E4E21" w:rsidRPr="000E4E21" w:rsidRDefault="000E4E21" w:rsidP="000E4E21">
            <w:pPr>
              <w:pStyle w:val="CETBodytext"/>
              <w:jc w:val="center"/>
            </w:pPr>
            <w:r w:rsidRPr="000E4E21">
              <w:t>0.046</w:t>
            </w:r>
          </w:p>
        </w:tc>
        <w:tc>
          <w:tcPr>
            <w:tcW w:w="1134" w:type="dxa"/>
            <w:shd w:val="clear" w:color="auto" w:fill="FFFFFF"/>
            <w:vAlign w:val="bottom"/>
          </w:tcPr>
          <w:p w14:paraId="1EE5BF5B" w14:textId="3AB765ED" w:rsidR="000E4E21" w:rsidRPr="000E4E21" w:rsidRDefault="000E4E21" w:rsidP="000E4E21">
            <w:pPr>
              <w:pStyle w:val="CETBodytext"/>
              <w:jc w:val="center"/>
            </w:pPr>
            <w:r w:rsidRPr="000E4E21">
              <w:t>869.6</w:t>
            </w:r>
          </w:p>
        </w:tc>
        <w:tc>
          <w:tcPr>
            <w:tcW w:w="1134" w:type="dxa"/>
            <w:shd w:val="clear" w:color="auto" w:fill="FFFFFF"/>
            <w:vAlign w:val="bottom"/>
          </w:tcPr>
          <w:p w14:paraId="6EEAD435" w14:textId="36583D46" w:rsidR="000E4E21" w:rsidRPr="000E4E21" w:rsidRDefault="000E4E21" w:rsidP="000E4E21">
            <w:pPr>
              <w:pStyle w:val="CETBodytext"/>
              <w:jc w:val="center"/>
            </w:pPr>
            <w:r w:rsidRPr="000E4E21">
              <w:t>0.99</w:t>
            </w:r>
          </w:p>
        </w:tc>
      </w:tr>
      <w:tr w:rsidR="000E4E21" w:rsidRPr="00B57B36" w14:paraId="7DC85C59" w14:textId="77777777" w:rsidTr="000E4E21">
        <w:trPr>
          <w:jc w:val="center"/>
        </w:trPr>
        <w:tc>
          <w:tcPr>
            <w:tcW w:w="1134" w:type="dxa"/>
            <w:shd w:val="clear" w:color="auto" w:fill="FFFFFF"/>
            <w:vAlign w:val="bottom"/>
          </w:tcPr>
          <w:p w14:paraId="2B3C9FAB" w14:textId="6B908CDF" w:rsidR="000E4E21" w:rsidRPr="000E4E21" w:rsidRDefault="000E4E21" w:rsidP="000E4E21">
            <w:pPr>
              <w:pStyle w:val="CETBodytext"/>
              <w:jc w:val="center"/>
            </w:pPr>
            <w:r w:rsidRPr="000E4E21">
              <w:t>89.3</w:t>
            </w:r>
          </w:p>
        </w:tc>
        <w:tc>
          <w:tcPr>
            <w:tcW w:w="1134" w:type="dxa"/>
            <w:shd w:val="clear" w:color="auto" w:fill="FFFFFF"/>
            <w:vAlign w:val="bottom"/>
          </w:tcPr>
          <w:p w14:paraId="4FC62B34" w14:textId="21728688" w:rsidR="000E4E21" w:rsidRPr="000E4E21" w:rsidRDefault="000E4E21" w:rsidP="000E4E21">
            <w:pPr>
              <w:pStyle w:val="CETBodytext"/>
              <w:jc w:val="center"/>
            </w:pPr>
            <w:r w:rsidRPr="000E4E21">
              <w:t>0.046</w:t>
            </w:r>
          </w:p>
        </w:tc>
        <w:tc>
          <w:tcPr>
            <w:tcW w:w="1134" w:type="dxa"/>
            <w:shd w:val="clear" w:color="auto" w:fill="FFFFFF"/>
            <w:vAlign w:val="bottom"/>
          </w:tcPr>
          <w:p w14:paraId="007439B2" w14:textId="28CE07D2" w:rsidR="000E4E21" w:rsidRPr="000E4E21" w:rsidRDefault="000E4E21" w:rsidP="000E4E21">
            <w:pPr>
              <w:pStyle w:val="CETBodytext"/>
              <w:jc w:val="center"/>
            </w:pPr>
            <w:r w:rsidRPr="000E4E21">
              <w:t>1941.6</w:t>
            </w:r>
          </w:p>
        </w:tc>
        <w:tc>
          <w:tcPr>
            <w:tcW w:w="1134" w:type="dxa"/>
            <w:shd w:val="clear" w:color="auto" w:fill="FFFFFF"/>
            <w:vAlign w:val="bottom"/>
          </w:tcPr>
          <w:p w14:paraId="05D5FFF0" w14:textId="72338057" w:rsidR="000E4E21" w:rsidRPr="000E4E21" w:rsidRDefault="000E4E21" w:rsidP="000E4E21">
            <w:pPr>
              <w:pStyle w:val="CETBodytext"/>
              <w:jc w:val="center"/>
            </w:pPr>
            <w:r w:rsidRPr="000E4E21">
              <w:t>0.99</w:t>
            </w:r>
          </w:p>
        </w:tc>
      </w:tr>
      <w:tr w:rsidR="000E4E21" w:rsidRPr="00B57B36" w14:paraId="1CBADBCC" w14:textId="77777777" w:rsidTr="000E4E21">
        <w:trPr>
          <w:jc w:val="center"/>
        </w:trPr>
        <w:tc>
          <w:tcPr>
            <w:tcW w:w="1134" w:type="dxa"/>
            <w:shd w:val="clear" w:color="auto" w:fill="FFFFFF"/>
            <w:vAlign w:val="bottom"/>
          </w:tcPr>
          <w:p w14:paraId="0A8BB695" w14:textId="23793C6D" w:rsidR="000E4E21" w:rsidRPr="000E4E21" w:rsidRDefault="000E4E21" w:rsidP="000E4E21">
            <w:pPr>
              <w:pStyle w:val="CETBodytext"/>
              <w:jc w:val="center"/>
            </w:pPr>
            <w:r w:rsidRPr="000E4E21">
              <w:t>210.2</w:t>
            </w:r>
          </w:p>
        </w:tc>
        <w:tc>
          <w:tcPr>
            <w:tcW w:w="1134" w:type="dxa"/>
            <w:shd w:val="clear" w:color="auto" w:fill="FFFFFF"/>
            <w:vAlign w:val="bottom"/>
          </w:tcPr>
          <w:p w14:paraId="2CE82A1A" w14:textId="6B84B5EE" w:rsidR="000E4E21" w:rsidRPr="000E4E21" w:rsidRDefault="000E4E21" w:rsidP="000E4E21">
            <w:pPr>
              <w:pStyle w:val="CETBodytext"/>
              <w:jc w:val="center"/>
            </w:pPr>
            <w:r w:rsidRPr="000E4E21">
              <w:t>0.0463</w:t>
            </w:r>
          </w:p>
        </w:tc>
        <w:tc>
          <w:tcPr>
            <w:tcW w:w="1134" w:type="dxa"/>
            <w:shd w:val="clear" w:color="auto" w:fill="FFFFFF"/>
            <w:vAlign w:val="bottom"/>
          </w:tcPr>
          <w:p w14:paraId="61A3F538" w14:textId="030ECB26" w:rsidR="000E4E21" w:rsidRPr="000E4E21" w:rsidRDefault="000E4E21" w:rsidP="000E4E21">
            <w:pPr>
              <w:pStyle w:val="CETBodytext"/>
              <w:jc w:val="center"/>
            </w:pPr>
            <w:r w:rsidRPr="000E4E21">
              <w:t>4540.1</w:t>
            </w:r>
          </w:p>
        </w:tc>
        <w:tc>
          <w:tcPr>
            <w:tcW w:w="1134" w:type="dxa"/>
            <w:shd w:val="clear" w:color="auto" w:fill="FFFFFF"/>
            <w:vAlign w:val="bottom"/>
          </w:tcPr>
          <w:p w14:paraId="6A035403" w14:textId="3CCF889C" w:rsidR="000E4E21" w:rsidRPr="000E4E21" w:rsidRDefault="000E4E21" w:rsidP="000E4E21">
            <w:pPr>
              <w:pStyle w:val="CETBodytext"/>
              <w:jc w:val="center"/>
            </w:pPr>
            <w:r w:rsidRPr="000E4E21">
              <w:t>0.99</w:t>
            </w:r>
          </w:p>
        </w:tc>
      </w:tr>
      <w:tr w:rsidR="000E4E21" w:rsidRPr="00B57B36" w14:paraId="196E0EC7" w14:textId="77777777" w:rsidTr="000E4E21">
        <w:trPr>
          <w:jc w:val="center"/>
        </w:trPr>
        <w:tc>
          <w:tcPr>
            <w:tcW w:w="1134" w:type="dxa"/>
            <w:shd w:val="clear" w:color="auto" w:fill="FFFFFF"/>
            <w:vAlign w:val="bottom"/>
          </w:tcPr>
          <w:p w14:paraId="478ED961" w14:textId="7D0FED59" w:rsidR="000E4E21" w:rsidRPr="000E4E21" w:rsidRDefault="000E4E21" w:rsidP="000E4E21">
            <w:pPr>
              <w:pStyle w:val="CETBodytext"/>
              <w:jc w:val="center"/>
            </w:pPr>
            <w:r w:rsidRPr="000E4E21">
              <w:t>250.0</w:t>
            </w:r>
          </w:p>
        </w:tc>
        <w:tc>
          <w:tcPr>
            <w:tcW w:w="1134" w:type="dxa"/>
            <w:shd w:val="clear" w:color="auto" w:fill="FFFFFF"/>
            <w:vAlign w:val="bottom"/>
          </w:tcPr>
          <w:p w14:paraId="4E3647E3" w14:textId="298B43B2" w:rsidR="000E4E21" w:rsidRPr="000E4E21" w:rsidRDefault="000E4E21" w:rsidP="000E4E21">
            <w:pPr>
              <w:pStyle w:val="CETBodytext"/>
              <w:jc w:val="center"/>
            </w:pPr>
            <w:r w:rsidRPr="000E4E21">
              <w:t>0.048</w:t>
            </w:r>
          </w:p>
        </w:tc>
        <w:tc>
          <w:tcPr>
            <w:tcW w:w="1134" w:type="dxa"/>
            <w:shd w:val="clear" w:color="auto" w:fill="FFFFFF"/>
            <w:vAlign w:val="bottom"/>
          </w:tcPr>
          <w:p w14:paraId="1370ADA7" w14:textId="69942BB2" w:rsidR="000E4E21" w:rsidRPr="000E4E21" w:rsidRDefault="000E4E21" w:rsidP="000E4E21">
            <w:pPr>
              <w:pStyle w:val="CETBodytext"/>
              <w:jc w:val="center"/>
            </w:pPr>
            <w:r w:rsidRPr="000E4E21">
              <w:t>5208.3</w:t>
            </w:r>
          </w:p>
        </w:tc>
        <w:tc>
          <w:tcPr>
            <w:tcW w:w="1134" w:type="dxa"/>
            <w:shd w:val="clear" w:color="auto" w:fill="FFFFFF"/>
            <w:vAlign w:val="bottom"/>
          </w:tcPr>
          <w:p w14:paraId="64C29F81" w14:textId="6A666760" w:rsidR="000E4E21" w:rsidRPr="000E4E21" w:rsidRDefault="000E4E21" w:rsidP="000E4E21">
            <w:pPr>
              <w:pStyle w:val="CETBodytext"/>
              <w:jc w:val="center"/>
            </w:pPr>
            <w:r w:rsidRPr="000E4E21">
              <w:t>0.99</w:t>
            </w:r>
          </w:p>
        </w:tc>
      </w:tr>
    </w:tbl>
    <w:p w14:paraId="1A557227" w14:textId="0351ECD5" w:rsidR="00674732" w:rsidRDefault="00E40303" w:rsidP="00674732">
      <w:pPr>
        <w:tabs>
          <w:tab w:val="clear" w:pos="7100"/>
        </w:tabs>
        <w:autoSpaceDE w:val="0"/>
        <w:autoSpaceDN w:val="0"/>
        <w:adjustRightInd w:val="0"/>
        <w:spacing w:line="240" w:lineRule="auto"/>
        <w:jc w:val="left"/>
        <w:rPr>
          <w:lang w:val="en-US"/>
        </w:rPr>
      </w:pPr>
      <w:r>
        <w:rPr>
          <w:noProof/>
          <w:lang w:val="it-IT" w:eastAsia="it-IT"/>
        </w:rPr>
        <w:drawing>
          <wp:anchor distT="0" distB="0" distL="114300" distR="114300" simplePos="0" relativeHeight="251661312" behindDoc="0" locked="0" layoutInCell="1" allowOverlap="1" wp14:anchorId="464C4C9E" wp14:editId="2F47CB27">
            <wp:simplePos x="0" y="0"/>
            <wp:positionH relativeFrom="page">
              <wp:align>center</wp:align>
            </wp:positionH>
            <wp:positionV relativeFrom="paragraph">
              <wp:posOffset>34764</wp:posOffset>
            </wp:positionV>
            <wp:extent cx="4989195" cy="2837180"/>
            <wp:effectExtent l="0" t="0" r="1905" b="1270"/>
            <wp:wrapNone/>
            <wp:docPr id="8" name="Grafico 8">
              <a:extLst xmlns:a="http://schemas.openxmlformats.org/drawingml/2006/main">
                <a:ext uri="{FF2B5EF4-FFF2-40B4-BE49-F238E27FC236}">
                  <a16:creationId xmlns:a16="http://schemas.microsoft.com/office/drawing/2014/main" id="{230B96AA-011B-4862-9C87-009A43F19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2C740FA" w14:textId="765F3C2E" w:rsidR="00674732" w:rsidRDefault="00674732" w:rsidP="00674732">
      <w:pPr>
        <w:tabs>
          <w:tab w:val="clear" w:pos="7100"/>
        </w:tabs>
        <w:autoSpaceDE w:val="0"/>
        <w:autoSpaceDN w:val="0"/>
        <w:adjustRightInd w:val="0"/>
        <w:spacing w:line="240" w:lineRule="auto"/>
        <w:jc w:val="left"/>
        <w:rPr>
          <w:lang w:val="en-US"/>
        </w:rPr>
      </w:pPr>
    </w:p>
    <w:p w14:paraId="79162212" w14:textId="7169CFB3" w:rsidR="00674732" w:rsidRDefault="00674732" w:rsidP="00674732">
      <w:pPr>
        <w:tabs>
          <w:tab w:val="clear" w:pos="7100"/>
        </w:tabs>
        <w:autoSpaceDE w:val="0"/>
        <w:autoSpaceDN w:val="0"/>
        <w:adjustRightInd w:val="0"/>
        <w:spacing w:line="240" w:lineRule="auto"/>
        <w:jc w:val="left"/>
        <w:rPr>
          <w:lang w:val="en-US"/>
        </w:rPr>
      </w:pPr>
    </w:p>
    <w:p w14:paraId="0B9888A4" w14:textId="7B188983" w:rsidR="00674732" w:rsidRDefault="00674732" w:rsidP="00674732">
      <w:pPr>
        <w:tabs>
          <w:tab w:val="clear" w:pos="7100"/>
        </w:tabs>
        <w:autoSpaceDE w:val="0"/>
        <w:autoSpaceDN w:val="0"/>
        <w:adjustRightInd w:val="0"/>
        <w:spacing w:line="240" w:lineRule="auto"/>
        <w:jc w:val="left"/>
        <w:rPr>
          <w:lang w:val="en-US"/>
        </w:rPr>
      </w:pPr>
    </w:p>
    <w:p w14:paraId="776063A4" w14:textId="47DB90ED" w:rsidR="00E90DD2" w:rsidRDefault="00E90DD2" w:rsidP="00674732">
      <w:pPr>
        <w:tabs>
          <w:tab w:val="clear" w:pos="7100"/>
        </w:tabs>
        <w:autoSpaceDE w:val="0"/>
        <w:autoSpaceDN w:val="0"/>
        <w:adjustRightInd w:val="0"/>
        <w:spacing w:line="240" w:lineRule="auto"/>
        <w:jc w:val="left"/>
        <w:rPr>
          <w:lang w:val="en-US"/>
        </w:rPr>
      </w:pPr>
    </w:p>
    <w:p w14:paraId="4D53A1CC" w14:textId="1C72F6D0" w:rsidR="00E90DD2" w:rsidRDefault="00E90DD2" w:rsidP="00674732">
      <w:pPr>
        <w:tabs>
          <w:tab w:val="clear" w:pos="7100"/>
        </w:tabs>
        <w:autoSpaceDE w:val="0"/>
        <w:autoSpaceDN w:val="0"/>
        <w:adjustRightInd w:val="0"/>
        <w:spacing w:line="240" w:lineRule="auto"/>
        <w:jc w:val="left"/>
        <w:rPr>
          <w:lang w:val="en-US"/>
        </w:rPr>
      </w:pPr>
    </w:p>
    <w:p w14:paraId="01734C07" w14:textId="3F386071" w:rsidR="00E90DD2" w:rsidRDefault="00E90DD2" w:rsidP="00674732">
      <w:pPr>
        <w:tabs>
          <w:tab w:val="clear" w:pos="7100"/>
        </w:tabs>
        <w:autoSpaceDE w:val="0"/>
        <w:autoSpaceDN w:val="0"/>
        <w:adjustRightInd w:val="0"/>
        <w:spacing w:line="240" w:lineRule="auto"/>
        <w:jc w:val="left"/>
        <w:rPr>
          <w:lang w:val="en-US"/>
        </w:rPr>
      </w:pPr>
    </w:p>
    <w:p w14:paraId="70D895DB" w14:textId="3FF9F0D0" w:rsidR="00E90DD2" w:rsidRDefault="00E90DD2" w:rsidP="00674732">
      <w:pPr>
        <w:tabs>
          <w:tab w:val="clear" w:pos="7100"/>
        </w:tabs>
        <w:autoSpaceDE w:val="0"/>
        <w:autoSpaceDN w:val="0"/>
        <w:adjustRightInd w:val="0"/>
        <w:spacing w:line="240" w:lineRule="auto"/>
        <w:jc w:val="left"/>
        <w:rPr>
          <w:lang w:val="en-US"/>
        </w:rPr>
      </w:pPr>
    </w:p>
    <w:p w14:paraId="729837F2" w14:textId="54A73DB1" w:rsidR="00E90DD2" w:rsidRDefault="00E90DD2" w:rsidP="00674732">
      <w:pPr>
        <w:tabs>
          <w:tab w:val="clear" w:pos="7100"/>
        </w:tabs>
        <w:autoSpaceDE w:val="0"/>
        <w:autoSpaceDN w:val="0"/>
        <w:adjustRightInd w:val="0"/>
        <w:spacing w:line="240" w:lineRule="auto"/>
        <w:jc w:val="left"/>
        <w:rPr>
          <w:lang w:val="en-US"/>
        </w:rPr>
      </w:pPr>
    </w:p>
    <w:p w14:paraId="2EF69607" w14:textId="44E66582" w:rsidR="00E90DD2" w:rsidRDefault="00E90DD2" w:rsidP="00674732">
      <w:pPr>
        <w:tabs>
          <w:tab w:val="clear" w:pos="7100"/>
        </w:tabs>
        <w:autoSpaceDE w:val="0"/>
        <w:autoSpaceDN w:val="0"/>
        <w:adjustRightInd w:val="0"/>
        <w:spacing w:line="240" w:lineRule="auto"/>
        <w:jc w:val="left"/>
        <w:rPr>
          <w:lang w:val="en-US"/>
        </w:rPr>
      </w:pPr>
    </w:p>
    <w:p w14:paraId="55D0F355" w14:textId="4C13EC2E" w:rsidR="00E90DD2" w:rsidRDefault="00E90DD2" w:rsidP="00674732">
      <w:pPr>
        <w:tabs>
          <w:tab w:val="clear" w:pos="7100"/>
        </w:tabs>
        <w:autoSpaceDE w:val="0"/>
        <w:autoSpaceDN w:val="0"/>
        <w:adjustRightInd w:val="0"/>
        <w:spacing w:line="240" w:lineRule="auto"/>
        <w:jc w:val="left"/>
        <w:rPr>
          <w:lang w:val="en-US"/>
        </w:rPr>
      </w:pPr>
    </w:p>
    <w:p w14:paraId="3358748F" w14:textId="51EF07A8" w:rsidR="00E90DD2" w:rsidRDefault="00E90DD2" w:rsidP="00674732">
      <w:pPr>
        <w:tabs>
          <w:tab w:val="clear" w:pos="7100"/>
        </w:tabs>
        <w:autoSpaceDE w:val="0"/>
        <w:autoSpaceDN w:val="0"/>
        <w:adjustRightInd w:val="0"/>
        <w:spacing w:line="240" w:lineRule="auto"/>
        <w:jc w:val="left"/>
        <w:rPr>
          <w:lang w:val="en-US"/>
        </w:rPr>
      </w:pPr>
    </w:p>
    <w:p w14:paraId="32F8C754" w14:textId="0D03B823" w:rsidR="00E90DD2" w:rsidRDefault="00E90DD2" w:rsidP="00674732">
      <w:pPr>
        <w:tabs>
          <w:tab w:val="clear" w:pos="7100"/>
        </w:tabs>
        <w:autoSpaceDE w:val="0"/>
        <w:autoSpaceDN w:val="0"/>
        <w:adjustRightInd w:val="0"/>
        <w:spacing w:line="240" w:lineRule="auto"/>
        <w:jc w:val="left"/>
        <w:rPr>
          <w:lang w:val="en-US"/>
        </w:rPr>
      </w:pPr>
    </w:p>
    <w:p w14:paraId="62BBC94A" w14:textId="59260D06" w:rsidR="00E90DD2" w:rsidRDefault="00E90DD2" w:rsidP="00674732">
      <w:pPr>
        <w:tabs>
          <w:tab w:val="clear" w:pos="7100"/>
        </w:tabs>
        <w:autoSpaceDE w:val="0"/>
        <w:autoSpaceDN w:val="0"/>
        <w:adjustRightInd w:val="0"/>
        <w:spacing w:line="240" w:lineRule="auto"/>
        <w:jc w:val="left"/>
        <w:rPr>
          <w:lang w:val="en-US"/>
        </w:rPr>
      </w:pPr>
    </w:p>
    <w:p w14:paraId="23CE83A9" w14:textId="449DB420" w:rsidR="00E90DD2" w:rsidRDefault="00E90DD2" w:rsidP="00674732">
      <w:pPr>
        <w:tabs>
          <w:tab w:val="clear" w:pos="7100"/>
        </w:tabs>
        <w:autoSpaceDE w:val="0"/>
        <w:autoSpaceDN w:val="0"/>
        <w:adjustRightInd w:val="0"/>
        <w:spacing w:line="240" w:lineRule="auto"/>
        <w:jc w:val="left"/>
        <w:rPr>
          <w:lang w:val="en-US"/>
        </w:rPr>
      </w:pPr>
    </w:p>
    <w:p w14:paraId="7113FF45" w14:textId="2734FD7E" w:rsidR="00E90DD2" w:rsidRDefault="00E90DD2" w:rsidP="00674732">
      <w:pPr>
        <w:tabs>
          <w:tab w:val="clear" w:pos="7100"/>
        </w:tabs>
        <w:autoSpaceDE w:val="0"/>
        <w:autoSpaceDN w:val="0"/>
        <w:adjustRightInd w:val="0"/>
        <w:spacing w:line="240" w:lineRule="auto"/>
        <w:jc w:val="left"/>
        <w:rPr>
          <w:lang w:val="en-US"/>
        </w:rPr>
      </w:pPr>
    </w:p>
    <w:p w14:paraId="36ED9554" w14:textId="53868717" w:rsidR="00E90DD2" w:rsidRDefault="00E90DD2" w:rsidP="00674732">
      <w:pPr>
        <w:tabs>
          <w:tab w:val="clear" w:pos="7100"/>
        </w:tabs>
        <w:autoSpaceDE w:val="0"/>
        <w:autoSpaceDN w:val="0"/>
        <w:adjustRightInd w:val="0"/>
        <w:spacing w:line="240" w:lineRule="auto"/>
        <w:jc w:val="left"/>
        <w:rPr>
          <w:lang w:val="en-US"/>
        </w:rPr>
      </w:pPr>
    </w:p>
    <w:p w14:paraId="6AF95372" w14:textId="73F304C7" w:rsidR="00E90DD2" w:rsidRDefault="002C0628" w:rsidP="00674732">
      <w:pPr>
        <w:tabs>
          <w:tab w:val="clear" w:pos="7100"/>
        </w:tabs>
        <w:autoSpaceDE w:val="0"/>
        <w:autoSpaceDN w:val="0"/>
        <w:adjustRightInd w:val="0"/>
        <w:spacing w:line="240" w:lineRule="auto"/>
        <w:jc w:val="left"/>
        <w:rPr>
          <w:lang w:val="en-US"/>
        </w:rPr>
      </w:pPr>
      <w:r>
        <w:rPr>
          <w:noProof/>
          <w:lang w:val="it-IT" w:eastAsia="it-IT"/>
        </w:rPr>
        <mc:AlternateContent>
          <mc:Choice Requires="wps">
            <w:drawing>
              <wp:anchor distT="0" distB="0" distL="114300" distR="114300" simplePos="0" relativeHeight="251666432" behindDoc="1" locked="0" layoutInCell="1" allowOverlap="1" wp14:anchorId="4834D64E" wp14:editId="77AFB894">
                <wp:simplePos x="0" y="0"/>
                <wp:positionH relativeFrom="margin">
                  <wp:posOffset>282216</wp:posOffset>
                </wp:positionH>
                <wp:positionV relativeFrom="paragraph">
                  <wp:posOffset>515092</wp:posOffset>
                </wp:positionV>
                <wp:extent cx="5711825" cy="635"/>
                <wp:effectExtent l="0" t="0" r="3175" b="7620"/>
                <wp:wrapNone/>
                <wp:docPr id="14" name="Casella di testo 14"/>
                <wp:cNvGraphicFramePr/>
                <a:graphic xmlns:a="http://schemas.openxmlformats.org/drawingml/2006/main">
                  <a:graphicData uri="http://schemas.microsoft.com/office/word/2010/wordprocessingShape">
                    <wps:wsp>
                      <wps:cNvSpPr txBox="1"/>
                      <wps:spPr>
                        <a:xfrm>
                          <a:off x="0" y="0"/>
                          <a:ext cx="5711825" cy="635"/>
                        </a:xfrm>
                        <a:prstGeom prst="rect">
                          <a:avLst/>
                        </a:prstGeom>
                        <a:solidFill>
                          <a:prstClr val="white"/>
                        </a:solidFill>
                        <a:ln>
                          <a:noFill/>
                        </a:ln>
                      </wps:spPr>
                      <wps:txbx>
                        <w:txbxContent>
                          <w:p w14:paraId="390A6C6A" w14:textId="5C63CC3E" w:rsidR="004E7C8A" w:rsidRPr="00D55F11" w:rsidRDefault="004E7C8A" w:rsidP="007050E6">
                            <w:pPr>
                              <w:pStyle w:val="CETCaption"/>
                              <w:rPr>
                                <w:noProof/>
                              </w:rPr>
                            </w:pPr>
                            <w:r>
                              <w:t xml:space="preserve">Figure </w:t>
                            </w:r>
                            <w:r>
                              <w:fldChar w:fldCharType="begin"/>
                            </w:r>
                            <w:r>
                              <w:instrText xml:space="preserve"> SEQ Figure \* ARABIC </w:instrText>
                            </w:r>
                            <w:r>
                              <w:fldChar w:fldCharType="separate"/>
                            </w:r>
                            <w:r w:rsidR="001E2312">
                              <w:rPr>
                                <w:noProof/>
                              </w:rPr>
                              <w:t>2</w:t>
                            </w:r>
                            <w:r>
                              <w:fldChar w:fldCharType="end"/>
                            </w:r>
                            <w:r w:rsidR="007050E6">
                              <w:t>: “Langmuir Plot” of experimental values obtained with different glucose concentrations.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34D64E" id="Casella di testo 14" o:spid="_x0000_s1027" type="#_x0000_t202" style="position:absolute;margin-left:22.2pt;margin-top:40.55pt;width:449.75pt;height:.05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" stroked="f">
                <v:textbox style="mso-fit-shape-to-text:t" inset="0,0,0,0">
                  <w:txbxContent>
                    <w:p w14:paraId="390A6C6A" w14:textId="5C63CC3E" w:rsidR="004E7C8A" w:rsidRPr="00D55F11" w:rsidRDefault="004E7C8A" w:rsidP="007050E6">
                      <w:pPr>
                        <w:pStyle w:val="CETCaption"/>
                        <w:rPr>
                          <w:noProof/>
                        </w:rPr>
                      </w:pPr>
                      <w:r>
                        <w:t xml:space="preserve">Figure </w:t>
                      </w:r>
                      <w:r>
                        <w:fldChar w:fldCharType="begin"/>
                      </w:r>
                      <w:r>
                        <w:instrText xml:space="preserve"> SEQ Figure \* ARABIC </w:instrText>
                      </w:r>
                      <w:r>
                        <w:fldChar w:fldCharType="separate"/>
                      </w:r>
                      <w:r w:rsidR="001E2312">
                        <w:rPr>
                          <w:noProof/>
                        </w:rPr>
                        <w:t>2</w:t>
                      </w:r>
                      <w:r>
                        <w:fldChar w:fldCharType="end"/>
                      </w:r>
                      <w:r w:rsidR="007050E6">
                        <w:t>: “Langmuir Plot” of experimental values obtained with different glucose concentrations.</w:t>
                      </w:r>
                    </w:p>
                  </w:txbxContent>
                </v:textbox>
                <w10:wrap anchorx="margin"/>
              </v:shape>
            </w:pict>
          </mc:Fallback>
        </mc:AlternateContent>
      </w:r>
    </w:p>
    <w:p w14:paraId="28AC658D" w14:textId="130D50C5" w:rsidR="00E90DD2" w:rsidRDefault="002C0628" w:rsidP="00674732">
      <w:pPr>
        <w:tabs>
          <w:tab w:val="clear" w:pos="7100"/>
        </w:tabs>
        <w:autoSpaceDE w:val="0"/>
        <w:autoSpaceDN w:val="0"/>
        <w:adjustRightInd w:val="0"/>
        <w:spacing w:line="240" w:lineRule="auto"/>
        <w:jc w:val="left"/>
        <w:rPr>
          <w:lang w:val="en-US"/>
        </w:rPr>
      </w:pPr>
      <w:r>
        <w:rPr>
          <w:noProof/>
          <w:lang w:val="it-IT" w:eastAsia="it-IT"/>
        </w:rPr>
        <w:lastRenderedPageBreak/>
        <w:drawing>
          <wp:inline distT="0" distB="0" distL="0" distR="0" wp14:anchorId="00E0484C" wp14:editId="37423DF6">
            <wp:extent cx="5413020" cy="3284524"/>
            <wp:effectExtent l="0" t="0" r="0" b="0"/>
            <wp:docPr id="13" name="Grafico 13">
              <a:extLst xmlns:a="http://schemas.openxmlformats.org/drawingml/2006/main">
                <a:ext uri="{FF2B5EF4-FFF2-40B4-BE49-F238E27FC236}">
                  <a16:creationId xmlns:a16="http://schemas.microsoft.com/office/drawing/2014/main" id="{0C001EB9-B8E4-49C3-8111-FD850FF15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209DD5" w14:textId="380DEF69" w:rsidR="00E90DD2" w:rsidRDefault="00E90DD2" w:rsidP="00674732">
      <w:pPr>
        <w:tabs>
          <w:tab w:val="clear" w:pos="7100"/>
        </w:tabs>
        <w:autoSpaceDE w:val="0"/>
        <w:autoSpaceDN w:val="0"/>
        <w:adjustRightInd w:val="0"/>
        <w:spacing w:line="240" w:lineRule="auto"/>
        <w:jc w:val="left"/>
        <w:rPr>
          <w:lang w:val="en-US"/>
        </w:rPr>
      </w:pPr>
    </w:p>
    <w:p w14:paraId="6B73E103" w14:textId="39119E4F" w:rsidR="00150214" w:rsidRDefault="00150214" w:rsidP="00674732">
      <w:pPr>
        <w:tabs>
          <w:tab w:val="clear" w:pos="7100"/>
        </w:tabs>
        <w:autoSpaceDE w:val="0"/>
        <w:autoSpaceDN w:val="0"/>
        <w:adjustRightInd w:val="0"/>
        <w:spacing w:line="240" w:lineRule="auto"/>
        <w:jc w:val="left"/>
        <w:rPr>
          <w:lang w:val="en-US"/>
        </w:rPr>
      </w:pPr>
    </w:p>
    <w:p w14:paraId="626AA660" w14:textId="3EB361BF" w:rsidR="00801078" w:rsidRDefault="00150214" w:rsidP="00912BC4">
      <w:pPr>
        <w:keepNext/>
        <w:tabs>
          <w:tab w:val="clear" w:pos="7100"/>
        </w:tabs>
        <w:autoSpaceDE w:val="0"/>
        <w:autoSpaceDN w:val="0"/>
        <w:adjustRightInd w:val="0"/>
        <w:spacing w:line="240" w:lineRule="auto"/>
        <w:jc w:val="left"/>
        <w:rPr>
          <w:rStyle w:val="CETCaptionCarattere"/>
        </w:rPr>
      </w:pPr>
      <w:r>
        <w:rPr>
          <w:noProof/>
          <w:lang w:val="it-IT" w:eastAsia="it-IT"/>
        </w:rPr>
        <mc:AlternateContent>
          <mc:Choice Requires="wps">
            <w:drawing>
              <wp:anchor distT="0" distB="0" distL="114300" distR="114300" simplePos="0" relativeHeight="251663360" behindDoc="0" locked="0" layoutInCell="1" allowOverlap="1" wp14:anchorId="45FDF083" wp14:editId="0BCA772C">
                <wp:simplePos x="0" y="0"/>
                <wp:positionH relativeFrom="column">
                  <wp:posOffset>977265</wp:posOffset>
                </wp:positionH>
                <wp:positionV relativeFrom="paragraph">
                  <wp:posOffset>2279015</wp:posOffset>
                </wp:positionV>
                <wp:extent cx="1155700" cy="374650"/>
                <wp:effectExtent l="0" t="0" r="25400" b="25400"/>
                <wp:wrapNone/>
                <wp:docPr id="9" name="CasellaDiTesto 8">
                  <a:extLst xmlns:a="http://schemas.openxmlformats.org/drawingml/2006/main">
                    <a:ext uri="{FF2B5EF4-FFF2-40B4-BE49-F238E27FC236}">
                      <a16:creationId xmlns:a16="http://schemas.microsoft.com/office/drawing/2014/main" id="{0F962B4E-FF8F-EC24-CCE9-E39A257CCD09}"/>
                    </a:ext>
                  </a:extLst>
                </wp:docPr>
                <wp:cNvGraphicFramePr/>
                <a:graphic xmlns:a="http://schemas.openxmlformats.org/drawingml/2006/main">
                  <a:graphicData uri="http://schemas.microsoft.com/office/word/2010/wordprocessingShape">
                    <wps:wsp>
                      <wps:cNvSpPr txBox="1"/>
                      <wps:spPr>
                        <a:xfrm>
                          <a:off x="0" y="0"/>
                          <a:ext cx="1155700" cy="374650"/>
                        </a:xfrm>
                        <a:prstGeom prst="rect">
                          <a:avLst/>
                        </a:prstGeom>
                        <a:solidFill>
                          <a:sysClr val="window" lastClr="FFFFFF"/>
                        </a:solidFill>
                        <a:ln w="9525" cmpd="sng">
                          <a:solidFill>
                            <a:sysClr val="window" lastClr="FFFFFF">
                              <a:shade val="50000"/>
                            </a:sysClr>
                          </a:solidFill>
                        </a:ln>
                        <a:effectLst/>
                      </wps:spPr>
                      <wps:txbx>
                        <w:txbxContent>
                          <w:p w14:paraId="2A41A999" w14:textId="2870F37D" w:rsidR="001B2934" w:rsidRPr="003F03D1" w:rsidRDefault="001B2934" w:rsidP="001B2934">
                            <w:pPr>
                              <w:rPr>
                                <w:rFonts w:eastAsia="+mn-ea" w:cs="Arial"/>
                                <w:color w:val="000000"/>
                                <w:sz w:val="22"/>
                                <w:szCs w:val="22"/>
                              </w:rPr>
                            </w:pPr>
                            <w:r w:rsidRPr="003F03D1">
                              <w:rPr>
                                <w:rFonts w:eastAsia="+mn-ea" w:cs="Arial"/>
                                <w:color w:val="000000"/>
                                <w:sz w:val="22"/>
                                <w:szCs w:val="22"/>
                              </w:rPr>
                              <w:t>K</w:t>
                            </w:r>
                            <w:r w:rsidRPr="003F03D1">
                              <w:rPr>
                                <w:rFonts w:eastAsia="+mn-ea" w:cs="Arial"/>
                                <w:color w:val="000000"/>
                                <w:position w:val="-8"/>
                                <w:sz w:val="22"/>
                                <w:szCs w:val="22"/>
                                <w:vertAlign w:val="subscript"/>
                              </w:rPr>
                              <w:t>s</w:t>
                            </w:r>
                            <w:r w:rsidRPr="003F03D1">
                              <w:rPr>
                                <w:rFonts w:eastAsia="+mn-ea" w:cs="Arial"/>
                                <w:color w:val="000000"/>
                                <w:sz w:val="22"/>
                                <w:szCs w:val="22"/>
                              </w:rPr>
                              <w:t>=</w:t>
                            </w:r>
                            <w:r w:rsidR="00BB06A3" w:rsidRPr="003F03D1">
                              <w:rPr>
                                <w:rFonts w:eastAsia="+mn-ea" w:cs="Arial"/>
                                <w:color w:val="000000"/>
                                <w:sz w:val="22"/>
                                <w:szCs w:val="22"/>
                              </w:rPr>
                              <w:t xml:space="preserve"> </w:t>
                            </w:r>
                            <w:r w:rsidRPr="003F03D1">
                              <w:rPr>
                                <w:rFonts w:eastAsia="+mn-ea" w:cs="Arial"/>
                                <w:color w:val="000000"/>
                                <w:sz w:val="22"/>
                                <w:szCs w:val="22"/>
                              </w:rPr>
                              <w:t>2.06 mg</w:t>
                            </w:r>
                            <w:r w:rsidR="00BB06A3" w:rsidRPr="003F03D1">
                              <w:rPr>
                                <w:rFonts w:eastAsia="+mn-ea" w:cs="Arial"/>
                                <w:color w:val="000000"/>
                                <w:sz w:val="22"/>
                                <w:szCs w:val="22"/>
                              </w:rPr>
                              <w:t xml:space="preserve"> </w:t>
                            </w:r>
                            <w:r w:rsidRPr="003F03D1">
                              <w:rPr>
                                <w:rFonts w:eastAsia="+mn-ea" w:cs="Arial"/>
                                <w:color w:val="000000"/>
                                <w:sz w:val="22"/>
                                <w:szCs w:val="22"/>
                              </w:rPr>
                              <w:t>L</w:t>
                            </w:r>
                            <w:r w:rsidRPr="003F03D1">
                              <w:rPr>
                                <w:rFonts w:eastAsia="+mn-ea" w:cs="Arial"/>
                                <w:color w:val="000000"/>
                                <w:position w:val="10"/>
                                <w:sz w:val="22"/>
                                <w:szCs w:val="22"/>
                                <w:vertAlign w:val="superscript"/>
                              </w:rPr>
                              <w:t>-1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5FDF083" id="CasellaDiTesto 8" o:spid="_x0000_s1028" type="#_x0000_t202" style="position:absolute;margin-left:76.95pt;margin-top:179.45pt;width:91pt;height: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" fillcolor="window" strokecolor="#bcbcbc">
                <v:textbox>
                  <w:txbxContent>
                    <w:p w14:paraId="2A41A999" w14:textId="2870F37D" w:rsidR="001B2934" w:rsidRPr="003F03D1" w:rsidRDefault="001B2934" w:rsidP="001B2934">
                      <w:pPr>
                        <w:rPr>
                          <w:rFonts w:eastAsia="+mn-ea" w:cs="Arial"/>
                          <w:color w:val="000000"/>
                          <w:sz w:val="22"/>
                          <w:szCs w:val="22"/>
                        </w:rPr>
                      </w:pPr>
                      <w:r w:rsidRPr="003F03D1">
                        <w:rPr>
                          <w:rFonts w:eastAsia="+mn-ea" w:cs="Arial"/>
                          <w:color w:val="000000"/>
                          <w:sz w:val="22"/>
                          <w:szCs w:val="22"/>
                        </w:rPr>
                        <w:t>K</w:t>
                      </w:r>
                      <w:r w:rsidRPr="003F03D1">
                        <w:rPr>
                          <w:rFonts w:eastAsia="+mn-ea" w:cs="Arial"/>
                          <w:color w:val="000000"/>
                          <w:position w:val="-8"/>
                          <w:sz w:val="22"/>
                          <w:szCs w:val="22"/>
                          <w:vertAlign w:val="subscript"/>
                        </w:rPr>
                        <w:t>s</w:t>
                      </w:r>
                      <w:r w:rsidRPr="003F03D1">
                        <w:rPr>
                          <w:rFonts w:eastAsia="+mn-ea" w:cs="Arial"/>
                          <w:color w:val="000000"/>
                          <w:sz w:val="22"/>
                          <w:szCs w:val="22"/>
                        </w:rPr>
                        <w:t>=</w:t>
                      </w:r>
                      <w:r w:rsidR="00BB06A3" w:rsidRPr="003F03D1">
                        <w:rPr>
                          <w:rFonts w:eastAsia="+mn-ea" w:cs="Arial"/>
                          <w:color w:val="000000"/>
                          <w:sz w:val="22"/>
                          <w:szCs w:val="22"/>
                        </w:rPr>
                        <w:t xml:space="preserve"> </w:t>
                      </w:r>
                      <w:r w:rsidRPr="003F03D1">
                        <w:rPr>
                          <w:rFonts w:eastAsia="+mn-ea" w:cs="Arial"/>
                          <w:color w:val="000000"/>
                          <w:sz w:val="22"/>
                          <w:szCs w:val="22"/>
                        </w:rPr>
                        <w:t>2.06 mg</w:t>
                      </w:r>
                      <w:r w:rsidR="00BB06A3" w:rsidRPr="003F03D1">
                        <w:rPr>
                          <w:rFonts w:eastAsia="+mn-ea" w:cs="Arial"/>
                          <w:color w:val="000000"/>
                          <w:sz w:val="22"/>
                          <w:szCs w:val="22"/>
                        </w:rPr>
                        <w:t xml:space="preserve"> </w:t>
                      </w:r>
                      <w:r w:rsidRPr="003F03D1">
                        <w:rPr>
                          <w:rFonts w:eastAsia="+mn-ea" w:cs="Arial"/>
                          <w:color w:val="000000"/>
                          <w:sz w:val="22"/>
                          <w:szCs w:val="22"/>
                        </w:rPr>
                        <w:t>L</w:t>
                      </w:r>
                      <w:r w:rsidRPr="003F03D1">
                        <w:rPr>
                          <w:rFonts w:eastAsia="+mn-ea" w:cs="Arial"/>
                          <w:color w:val="000000"/>
                          <w:position w:val="10"/>
                          <w:sz w:val="22"/>
                          <w:szCs w:val="22"/>
                          <w:vertAlign w:val="superscript"/>
                        </w:rPr>
                        <w:t>-1</w:t>
                      </w:r>
                    </w:p>
                  </w:txbxContent>
                </v:textbox>
              </v:shape>
            </w:pict>
          </mc:Fallback>
        </mc:AlternateContent>
      </w:r>
    </w:p>
    <w:p w14:paraId="3A557960" w14:textId="4B81676A" w:rsidR="003718D8" w:rsidRDefault="007050E6" w:rsidP="00912BC4">
      <w:pPr>
        <w:keepNext/>
        <w:tabs>
          <w:tab w:val="clear" w:pos="7100"/>
        </w:tabs>
        <w:autoSpaceDE w:val="0"/>
        <w:autoSpaceDN w:val="0"/>
        <w:adjustRightInd w:val="0"/>
        <w:spacing w:line="240" w:lineRule="auto"/>
        <w:jc w:val="left"/>
        <w:rPr>
          <w:rStyle w:val="CETCaptionCarattere"/>
        </w:rPr>
      </w:pPr>
      <w:r w:rsidRPr="00912BC4">
        <w:rPr>
          <w:rStyle w:val="CETCaptionCarattere"/>
        </w:rPr>
        <w:t xml:space="preserve">Figure </w:t>
      </w:r>
      <w:r w:rsidRPr="00912BC4">
        <w:rPr>
          <w:rStyle w:val="CETCaptionCarattere"/>
        </w:rPr>
        <w:fldChar w:fldCharType="begin"/>
      </w:r>
      <w:r w:rsidRPr="00912BC4">
        <w:rPr>
          <w:rStyle w:val="CETCaptionCarattere"/>
        </w:rPr>
        <w:instrText xml:space="preserve"> SEQ Figure \* ARABIC </w:instrText>
      </w:r>
      <w:r w:rsidRPr="00912BC4">
        <w:rPr>
          <w:rStyle w:val="CETCaptionCarattere"/>
        </w:rPr>
        <w:fldChar w:fldCharType="separate"/>
      </w:r>
      <w:r w:rsidR="001E2312">
        <w:rPr>
          <w:rStyle w:val="CETCaptionCarattere"/>
          <w:noProof/>
        </w:rPr>
        <w:t>3</w:t>
      </w:r>
      <w:r w:rsidRPr="00912BC4">
        <w:rPr>
          <w:rStyle w:val="CETCaptionCarattere"/>
        </w:rPr>
        <w:fldChar w:fldCharType="end"/>
      </w:r>
      <w:r w:rsidRPr="00912BC4">
        <w:rPr>
          <w:rStyle w:val="CETCaptionCarattere"/>
        </w:rPr>
        <w:t xml:space="preserve">: </w:t>
      </w:r>
      <w:r w:rsidR="004A6D63" w:rsidRPr="00912BC4">
        <w:rPr>
          <w:rStyle w:val="CETCaptionCarattere"/>
        </w:rPr>
        <w:t xml:space="preserve">Specific growth rate versus different irradiation intensities of the microalga </w:t>
      </w:r>
      <w:r w:rsidR="004A6D63" w:rsidRPr="00587C5C">
        <w:rPr>
          <w:rStyle w:val="CETCaptionCarattere"/>
          <w:i w:val="0"/>
          <w:iCs/>
        </w:rPr>
        <w:t>Chlorella sp</w:t>
      </w:r>
      <w:r w:rsidR="004A6D63" w:rsidRPr="00912BC4">
        <w:rPr>
          <w:rStyle w:val="CETCaptionCarattere"/>
        </w:rPr>
        <w:t xml:space="preserve">. </w:t>
      </w:r>
      <w:r w:rsidR="00587C5C">
        <w:rPr>
          <w:rStyle w:val="CETCaptionCarattere"/>
        </w:rPr>
        <w:t>B</w:t>
      </w:r>
      <w:r w:rsidR="004A6D63" w:rsidRPr="00912BC4">
        <w:rPr>
          <w:rStyle w:val="CETCaptionCarattere"/>
        </w:rPr>
        <w:t>lack circles, experimental data; line, Equation (2).</w:t>
      </w:r>
    </w:p>
    <w:p w14:paraId="53B303F9" w14:textId="22CEDEDE" w:rsidR="008145E7" w:rsidRPr="00912BC4" w:rsidRDefault="008145E7" w:rsidP="00912BC4">
      <w:pPr>
        <w:keepNext/>
        <w:tabs>
          <w:tab w:val="clear" w:pos="7100"/>
        </w:tabs>
        <w:autoSpaceDE w:val="0"/>
        <w:autoSpaceDN w:val="0"/>
        <w:adjustRightInd w:val="0"/>
        <w:spacing w:line="240" w:lineRule="auto"/>
        <w:jc w:val="left"/>
        <w:rPr>
          <w:rStyle w:val="CETCaptionCarattere"/>
        </w:rPr>
      </w:pPr>
    </w:p>
    <w:p w14:paraId="29011FF2" w14:textId="4D56E93A" w:rsidR="00912BC4" w:rsidRDefault="00F10739" w:rsidP="00912BC4">
      <w:pPr>
        <w:pStyle w:val="CETBodytext"/>
      </w:pPr>
      <w:r>
        <w:rPr>
          <w:noProof/>
        </w:rPr>
        <w:drawing>
          <wp:anchor distT="0" distB="0" distL="114300" distR="114300" simplePos="0" relativeHeight="251670528" behindDoc="0" locked="0" layoutInCell="1" allowOverlap="1" wp14:anchorId="1C6F3AE6" wp14:editId="523F8E19">
            <wp:simplePos x="0" y="0"/>
            <wp:positionH relativeFrom="margin">
              <wp:align>center</wp:align>
            </wp:positionH>
            <wp:positionV relativeFrom="paragraph">
              <wp:posOffset>108139</wp:posOffset>
            </wp:positionV>
            <wp:extent cx="5142015" cy="2858555"/>
            <wp:effectExtent l="0" t="0" r="1905" b="0"/>
            <wp:wrapNone/>
            <wp:docPr id="1" name="Grafico 1">
              <a:extLst xmlns:a="http://schemas.openxmlformats.org/drawingml/2006/main">
                <a:ext uri="{FF2B5EF4-FFF2-40B4-BE49-F238E27FC236}">
                  <a16:creationId xmlns:a16="http://schemas.microsoft.com/office/drawing/2014/main" id="{9A67464C-A769-42F9-B680-C934B16AB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78E0FEA" w14:textId="50A45228" w:rsidR="00912BC4" w:rsidRDefault="00912BC4" w:rsidP="00150214">
      <w:pPr>
        <w:pStyle w:val="CETHeading1"/>
        <w:numPr>
          <w:ilvl w:val="0"/>
          <w:numId w:val="0"/>
        </w:numPr>
        <w:rPr>
          <w:lang w:val="en-GB"/>
        </w:rPr>
      </w:pPr>
    </w:p>
    <w:p w14:paraId="69BD1631" w14:textId="16BDCE28" w:rsidR="00912BC4" w:rsidRDefault="00912BC4" w:rsidP="00150214">
      <w:pPr>
        <w:pStyle w:val="CETHeading1"/>
        <w:numPr>
          <w:ilvl w:val="0"/>
          <w:numId w:val="0"/>
        </w:numPr>
        <w:rPr>
          <w:lang w:val="en-GB"/>
        </w:rPr>
      </w:pPr>
    </w:p>
    <w:p w14:paraId="7AEB354C" w14:textId="4CE54612" w:rsidR="00912BC4" w:rsidRDefault="00912BC4" w:rsidP="00150214">
      <w:pPr>
        <w:pStyle w:val="CETHeading1"/>
        <w:numPr>
          <w:ilvl w:val="0"/>
          <w:numId w:val="0"/>
        </w:numPr>
        <w:rPr>
          <w:lang w:val="en-GB"/>
        </w:rPr>
      </w:pPr>
    </w:p>
    <w:p w14:paraId="30BC39C3" w14:textId="32DF1409" w:rsidR="00150214" w:rsidRDefault="00150214" w:rsidP="00150214">
      <w:pPr>
        <w:pStyle w:val="CETHeading1"/>
        <w:numPr>
          <w:ilvl w:val="0"/>
          <w:numId w:val="0"/>
        </w:numPr>
        <w:rPr>
          <w:lang w:val="en-GB"/>
        </w:rPr>
      </w:pPr>
    </w:p>
    <w:p w14:paraId="77724178" w14:textId="747AF585" w:rsidR="00150214" w:rsidRDefault="00150214" w:rsidP="00150214">
      <w:pPr>
        <w:pStyle w:val="CETBodytext"/>
        <w:rPr>
          <w:lang w:val="en-GB"/>
        </w:rPr>
      </w:pPr>
    </w:p>
    <w:p w14:paraId="2E107680" w14:textId="489ECB84" w:rsidR="00150214" w:rsidRDefault="00150214" w:rsidP="00150214">
      <w:pPr>
        <w:pStyle w:val="CETBodytext"/>
        <w:rPr>
          <w:lang w:val="en-GB"/>
        </w:rPr>
      </w:pPr>
    </w:p>
    <w:p w14:paraId="0EF25794" w14:textId="51A67B1F" w:rsidR="00150214" w:rsidRDefault="00150214" w:rsidP="00150214">
      <w:pPr>
        <w:pStyle w:val="CETBodytext"/>
        <w:rPr>
          <w:lang w:val="en-GB"/>
        </w:rPr>
      </w:pPr>
    </w:p>
    <w:p w14:paraId="36388AB6" w14:textId="322E2EA1" w:rsidR="00150214" w:rsidRDefault="00150214" w:rsidP="00150214">
      <w:pPr>
        <w:pStyle w:val="CETBodytext"/>
        <w:rPr>
          <w:lang w:val="en-GB"/>
        </w:rPr>
      </w:pPr>
    </w:p>
    <w:p w14:paraId="30BF9E0C" w14:textId="7979DCEF" w:rsidR="00150214" w:rsidRDefault="00150214" w:rsidP="00150214">
      <w:pPr>
        <w:pStyle w:val="CETBodytext"/>
        <w:rPr>
          <w:lang w:val="en-GB"/>
        </w:rPr>
      </w:pPr>
    </w:p>
    <w:p w14:paraId="39131582" w14:textId="2C2CDBC4" w:rsidR="00150214" w:rsidRDefault="00150214" w:rsidP="00150214">
      <w:pPr>
        <w:pStyle w:val="CETBodytext"/>
        <w:rPr>
          <w:lang w:val="en-GB"/>
        </w:rPr>
      </w:pPr>
    </w:p>
    <w:p w14:paraId="4FF7C93E" w14:textId="6FF01D99" w:rsidR="00150214" w:rsidRDefault="00150214" w:rsidP="00150214">
      <w:pPr>
        <w:pStyle w:val="CETBodytext"/>
        <w:rPr>
          <w:lang w:val="en-GB"/>
        </w:rPr>
      </w:pPr>
    </w:p>
    <w:p w14:paraId="69AC5AC2" w14:textId="1422BF23" w:rsidR="00150214" w:rsidRDefault="00150214" w:rsidP="00150214">
      <w:pPr>
        <w:pStyle w:val="CETBodytext"/>
        <w:rPr>
          <w:lang w:val="en-GB"/>
        </w:rPr>
      </w:pPr>
    </w:p>
    <w:p w14:paraId="140B6275" w14:textId="13CCD396" w:rsidR="00150214" w:rsidRDefault="00150214" w:rsidP="00150214">
      <w:pPr>
        <w:pStyle w:val="CETBodytext"/>
        <w:rPr>
          <w:lang w:val="en-GB"/>
        </w:rPr>
      </w:pPr>
    </w:p>
    <w:p w14:paraId="33DDD3FF" w14:textId="08D7E7C1" w:rsidR="00150214" w:rsidRDefault="00150214" w:rsidP="00150214">
      <w:pPr>
        <w:pStyle w:val="CETBodytext"/>
        <w:rPr>
          <w:lang w:val="en-GB"/>
        </w:rPr>
      </w:pPr>
    </w:p>
    <w:p w14:paraId="78B07B03" w14:textId="45B5F90D" w:rsidR="00150214" w:rsidRDefault="00F939BF" w:rsidP="00150214">
      <w:pPr>
        <w:pStyle w:val="CETBodytext"/>
        <w:rPr>
          <w:lang w:val="en-GB"/>
        </w:rPr>
      </w:pPr>
      <w:r>
        <w:rPr>
          <w:noProof/>
          <w:lang w:val="it-IT" w:eastAsia="it-IT"/>
        </w:rPr>
        <mc:AlternateContent>
          <mc:Choice Requires="wps">
            <w:drawing>
              <wp:anchor distT="0" distB="0" distL="114300" distR="114300" simplePos="0" relativeHeight="251668480" behindDoc="0" locked="0" layoutInCell="1" allowOverlap="1" wp14:anchorId="4E23FF60" wp14:editId="0D863E0E">
                <wp:simplePos x="0" y="0"/>
                <wp:positionH relativeFrom="page">
                  <wp:posOffset>1121434</wp:posOffset>
                </wp:positionH>
                <wp:positionV relativeFrom="paragraph">
                  <wp:posOffset>14701</wp:posOffset>
                </wp:positionV>
                <wp:extent cx="5460697" cy="474453"/>
                <wp:effectExtent l="0" t="0" r="6985" b="1905"/>
                <wp:wrapNone/>
                <wp:docPr id="15" name="Casella di testo 15"/>
                <wp:cNvGraphicFramePr/>
                <a:graphic xmlns:a="http://schemas.openxmlformats.org/drawingml/2006/main">
                  <a:graphicData uri="http://schemas.microsoft.com/office/word/2010/wordprocessingShape">
                    <wps:wsp>
                      <wps:cNvSpPr txBox="1"/>
                      <wps:spPr>
                        <a:xfrm>
                          <a:off x="0" y="0"/>
                          <a:ext cx="5460697" cy="474453"/>
                        </a:xfrm>
                        <a:prstGeom prst="rect">
                          <a:avLst/>
                        </a:prstGeom>
                        <a:solidFill>
                          <a:prstClr val="white"/>
                        </a:solidFill>
                        <a:ln>
                          <a:noFill/>
                        </a:ln>
                      </wps:spPr>
                      <wps:txbx>
                        <w:txbxContent>
                          <w:p w14:paraId="287344F0" w14:textId="68D3D1C4" w:rsidR="00AF7886" w:rsidRPr="00004A9A" w:rsidRDefault="00AF7886" w:rsidP="00AF7886">
                            <w:pPr>
                              <w:pStyle w:val="CETCaption"/>
                              <w:rPr>
                                <w:b/>
                                <w:noProof/>
                                <w:sz w:val="20"/>
                                <w:lang w:val="en-US"/>
                              </w:rPr>
                            </w:pPr>
                            <w:r w:rsidRPr="0030236C">
                              <w:t xml:space="preserve">Figure </w:t>
                            </w:r>
                            <w:r w:rsidRPr="0030236C">
                              <w:fldChar w:fldCharType="begin"/>
                            </w:r>
                            <w:r w:rsidRPr="0030236C">
                              <w:instrText xml:space="preserve"> SEQ Figure \* ARABIC </w:instrText>
                            </w:r>
                            <w:r w:rsidRPr="0030236C">
                              <w:fldChar w:fldCharType="separate"/>
                            </w:r>
                            <w:r w:rsidR="001E2312">
                              <w:rPr>
                                <w:noProof/>
                              </w:rPr>
                              <w:t>4</w:t>
                            </w:r>
                            <w:r w:rsidRPr="0030236C">
                              <w:fldChar w:fldCharType="end"/>
                            </w:r>
                            <w:r w:rsidRPr="0030236C">
                              <w:t>: Kinetic of the removal of glucose from synthetic wastewater with different initial concentration of glucose.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FF60" id="Casella di testo 15" o:spid="_x0000_s1029" type="#_x0000_t202" style="position:absolute;left:0;text-align:left;margin-left:88.3pt;margin-top:1.15pt;width:430pt;height:37.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" stroked="f">
                <v:textbox inset="0,0,0,0">
                  <w:txbxContent>
                    <w:p w14:paraId="287344F0" w14:textId="68D3D1C4" w:rsidR="00AF7886" w:rsidRPr="00004A9A" w:rsidRDefault="00AF7886" w:rsidP="00AF7886">
                      <w:pPr>
                        <w:pStyle w:val="CETCaption"/>
                        <w:rPr>
                          <w:b/>
                          <w:noProof/>
                          <w:sz w:val="20"/>
                          <w:lang w:val="en-US"/>
                        </w:rPr>
                      </w:pPr>
                      <w:r w:rsidRPr="0030236C">
                        <w:t xml:space="preserve">Figure </w:t>
                      </w:r>
                      <w:r w:rsidRPr="0030236C">
                        <w:fldChar w:fldCharType="begin"/>
                      </w:r>
                      <w:r w:rsidRPr="0030236C">
                        <w:instrText xml:space="preserve"> SEQ Figure \* ARABIC </w:instrText>
                      </w:r>
                      <w:r w:rsidRPr="0030236C">
                        <w:fldChar w:fldCharType="separate"/>
                      </w:r>
                      <w:r w:rsidR="001E2312">
                        <w:rPr>
                          <w:noProof/>
                        </w:rPr>
                        <w:t>4</w:t>
                      </w:r>
                      <w:r w:rsidRPr="0030236C">
                        <w:fldChar w:fldCharType="end"/>
                      </w:r>
                      <w:r w:rsidRPr="0030236C">
                        <w:t>: Kinetic of the removal of glucose from synthetic wastewater with different initial concentration of glucose.</w:t>
                      </w:r>
                    </w:p>
                  </w:txbxContent>
                </v:textbox>
                <w10:wrap anchorx="page"/>
              </v:shape>
            </w:pict>
          </mc:Fallback>
        </mc:AlternateContent>
      </w:r>
    </w:p>
    <w:p w14:paraId="3DF40572" w14:textId="4A317A93" w:rsidR="00150214" w:rsidRDefault="00150214" w:rsidP="00150214">
      <w:pPr>
        <w:pStyle w:val="CETBodytext"/>
        <w:rPr>
          <w:lang w:val="en-GB"/>
        </w:rPr>
      </w:pPr>
    </w:p>
    <w:p w14:paraId="6C96FC58" w14:textId="712F7C06" w:rsidR="00150214" w:rsidRDefault="00150214" w:rsidP="00150214">
      <w:pPr>
        <w:pStyle w:val="CETBodytext"/>
        <w:rPr>
          <w:lang w:val="en-GB"/>
        </w:rPr>
      </w:pPr>
    </w:p>
    <w:p w14:paraId="14602065" w14:textId="01B43577" w:rsidR="00150214" w:rsidRDefault="00150214" w:rsidP="00150214">
      <w:pPr>
        <w:pStyle w:val="CETBodytext"/>
        <w:rPr>
          <w:lang w:val="en-GB"/>
        </w:rPr>
      </w:pPr>
    </w:p>
    <w:p w14:paraId="7973CC8D" w14:textId="3C00A599" w:rsidR="00E40303" w:rsidRDefault="00E40303" w:rsidP="00150214">
      <w:pPr>
        <w:pStyle w:val="CETBodytext"/>
        <w:rPr>
          <w:lang w:val="en-GB"/>
        </w:rPr>
      </w:pPr>
    </w:p>
    <w:p w14:paraId="7FDDA4A3" w14:textId="37ED3FFF" w:rsidR="002C0628" w:rsidRDefault="002C0628" w:rsidP="00150214">
      <w:pPr>
        <w:pStyle w:val="CETBodytext"/>
        <w:rPr>
          <w:lang w:val="en-GB"/>
        </w:rPr>
      </w:pPr>
    </w:p>
    <w:p w14:paraId="23BCED1C" w14:textId="77777777" w:rsidR="002C0628" w:rsidRDefault="002C0628" w:rsidP="00150214">
      <w:pPr>
        <w:pStyle w:val="CETBodytext"/>
        <w:rPr>
          <w:lang w:val="en-GB"/>
        </w:rPr>
      </w:pPr>
    </w:p>
    <w:p w14:paraId="68D26B83" w14:textId="43A51FA8" w:rsidR="00600535" w:rsidRPr="00B57B36" w:rsidRDefault="00600535" w:rsidP="00600535">
      <w:pPr>
        <w:pStyle w:val="CETHeading1"/>
        <w:rPr>
          <w:lang w:val="en-GB"/>
        </w:rPr>
      </w:pPr>
      <w:r w:rsidRPr="00B57B36">
        <w:rPr>
          <w:lang w:val="en-GB"/>
        </w:rPr>
        <w:lastRenderedPageBreak/>
        <w:t>Conclusions</w:t>
      </w:r>
    </w:p>
    <w:p w14:paraId="477F501E" w14:textId="2970F051" w:rsidR="00D73E4F" w:rsidRDefault="00D73E4F" w:rsidP="00D73E4F">
      <w:pPr>
        <w:pStyle w:val="CETBodytext"/>
      </w:pPr>
      <w:r>
        <w:t xml:space="preserve">In this work, a synthetic wastewater was designed and characterized, showing typical features of civil sewages. The wastewater was employed for the cultivation </w:t>
      </w:r>
      <w:r w:rsidRPr="00F10739">
        <w:t xml:space="preserve">of an autochthonous strain of the microalgae </w:t>
      </w:r>
      <w:r w:rsidRPr="00F10739">
        <w:rPr>
          <w:i/>
          <w:iCs/>
        </w:rPr>
        <w:t xml:space="preserve">Chlorella </w:t>
      </w:r>
      <w:proofErr w:type="spellStart"/>
      <w:r w:rsidRPr="00F10739">
        <w:rPr>
          <w:i/>
          <w:iCs/>
        </w:rPr>
        <w:t>sp</w:t>
      </w:r>
      <w:proofErr w:type="spellEnd"/>
      <w:r w:rsidRPr="00F10739">
        <w:rPr>
          <w:i/>
          <w:iCs/>
        </w:rPr>
        <w:t xml:space="preserve"> </w:t>
      </w:r>
      <w:r w:rsidRPr="00F10739">
        <w:t>CW2. The microalga was cultivated in several batches with growing glucose concentrations with the aim of</w:t>
      </w:r>
      <w:r w:rsidRPr="00F10739">
        <w:rPr>
          <w:lang w:val="en-GB"/>
        </w:rPr>
        <w:t xml:space="preserve"> calculating the growth rate of each cultivation. The </w:t>
      </w:r>
      <w:r w:rsidR="009E590C" w:rsidRPr="00F10739">
        <w:rPr>
          <w:lang w:val="en-GB"/>
        </w:rPr>
        <w:t xml:space="preserve">specific </w:t>
      </w:r>
      <w:r w:rsidRPr="00F10739">
        <w:rPr>
          <w:lang w:val="en-GB"/>
        </w:rPr>
        <w:t xml:space="preserve">growth rate ranged from </w:t>
      </w:r>
      <w:r w:rsidRPr="00F10739">
        <w:t>0.0333 to 0.048 h</w:t>
      </w:r>
      <w:r w:rsidRPr="00F10739">
        <w:rPr>
          <w:vertAlign w:val="superscript"/>
        </w:rPr>
        <w:t>-1</w:t>
      </w:r>
      <w:r w:rsidRPr="00F10739">
        <w:t xml:space="preserve">, with a similar range of other works in literature. </w:t>
      </w:r>
      <w:r w:rsidR="009E590C" w:rsidRPr="00F10739">
        <w:t>The s</w:t>
      </w:r>
      <w:r w:rsidRPr="00F10739">
        <w:t xml:space="preserve">pecific growth rate </w:t>
      </w:r>
      <w:r w:rsidRPr="00F10739">
        <w:rPr>
          <w:lang w:val="en-GB"/>
        </w:rPr>
        <w:t xml:space="preserve">was observed to </w:t>
      </w:r>
      <w:r w:rsidR="009E590C" w:rsidRPr="00F10739">
        <w:rPr>
          <w:lang w:val="en-GB"/>
        </w:rPr>
        <w:t>increase</w:t>
      </w:r>
      <w:r w:rsidRPr="00F10739">
        <w:rPr>
          <w:lang w:val="en-GB"/>
        </w:rPr>
        <w:t xml:space="preserve"> together</w:t>
      </w:r>
      <w:r>
        <w:rPr>
          <w:lang w:val="en-GB"/>
        </w:rPr>
        <w:t xml:space="preserve"> with glucose concentration. The kinetic parameters were estimated through a </w:t>
      </w:r>
      <w:proofErr w:type="spellStart"/>
      <w:r>
        <w:rPr>
          <w:lang w:val="en-GB"/>
        </w:rPr>
        <w:t>Langumuir</w:t>
      </w:r>
      <w:proofErr w:type="spellEnd"/>
      <w:r>
        <w:rPr>
          <w:lang w:val="en-GB"/>
        </w:rPr>
        <w:t xml:space="preserve"> Plot</w:t>
      </w:r>
      <w:r w:rsidR="00927333">
        <w:rPr>
          <w:lang w:val="en-GB"/>
        </w:rPr>
        <w:t xml:space="preserve"> and resulted </w:t>
      </w:r>
      <w:r w:rsidR="009459B6">
        <w:rPr>
          <w:lang w:val="en-GB"/>
        </w:rPr>
        <w:t>2.06 mg L</w:t>
      </w:r>
      <w:r w:rsidR="009459B6" w:rsidRPr="00F939BF">
        <w:rPr>
          <w:vertAlign w:val="superscript"/>
          <w:lang w:val="en-GB"/>
        </w:rPr>
        <w:t>-1</w:t>
      </w:r>
      <w:r w:rsidR="009459B6">
        <w:rPr>
          <w:lang w:val="en-GB"/>
        </w:rPr>
        <w:t xml:space="preserve"> as K</w:t>
      </w:r>
      <w:r w:rsidR="009459B6" w:rsidRPr="009459B6">
        <w:rPr>
          <w:vertAlign w:val="subscript"/>
          <w:lang w:val="en-GB"/>
        </w:rPr>
        <w:t>s</w:t>
      </w:r>
      <w:r w:rsidR="009459B6">
        <w:rPr>
          <w:lang w:val="en-GB"/>
        </w:rPr>
        <w:t xml:space="preserve"> and 0.047 h</w:t>
      </w:r>
      <w:r w:rsidR="009459B6" w:rsidRPr="00F939BF">
        <w:rPr>
          <w:vertAlign w:val="superscript"/>
          <w:lang w:val="en-GB"/>
        </w:rPr>
        <w:t>-1</w:t>
      </w:r>
      <w:r w:rsidR="009459B6">
        <w:rPr>
          <w:lang w:val="en-GB"/>
        </w:rPr>
        <w:t xml:space="preserve"> as </w:t>
      </w:r>
      <w:r w:rsidR="009459B6">
        <w:rPr>
          <w:rFonts w:cs="Arial"/>
          <w:lang w:val="en-GB"/>
        </w:rPr>
        <w:t>µ</w:t>
      </w:r>
      <w:r w:rsidR="009459B6" w:rsidRPr="009459B6">
        <w:rPr>
          <w:rFonts w:cs="Arial"/>
          <w:vertAlign w:val="subscript"/>
          <w:lang w:val="en-GB"/>
        </w:rPr>
        <w:t>max</w:t>
      </w:r>
      <w:r>
        <w:rPr>
          <w:lang w:val="en-GB"/>
        </w:rPr>
        <w:t xml:space="preserve">. </w:t>
      </w:r>
      <w:r w:rsidR="00F939BF">
        <w:rPr>
          <w:lang w:val="en-GB"/>
        </w:rPr>
        <w:t>Also</w:t>
      </w:r>
      <w:r w:rsidR="009E590C">
        <w:rPr>
          <w:lang w:val="en-GB"/>
        </w:rPr>
        <w:t>,</w:t>
      </w:r>
      <w:r>
        <w:rPr>
          <w:lang w:val="en-GB"/>
        </w:rPr>
        <w:t xml:space="preserve"> the decrease of glucose was </w:t>
      </w:r>
      <w:r w:rsidR="00F939BF">
        <w:rPr>
          <w:lang w:val="en-GB"/>
        </w:rPr>
        <w:t xml:space="preserve">analysed for </w:t>
      </w:r>
      <w:r>
        <w:rPr>
          <w:lang w:val="en-GB"/>
        </w:rPr>
        <w:t>each cultivation</w:t>
      </w:r>
      <w:r w:rsidR="00F939BF">
        <w:rPr>
          <w:lang w:val="en-GB"/>
        </w:rPr>
        <w:t>. The results suggest that</w:t>
      </w:r>
      <w:r>
        <w:rPr>
          <w:lang w:val="en-GB"/>
        </w:rPr>
        <w:t xml:space="preserve"> the alga was able to employ each of the tested glucos</w:t>
      </w:r>
      <w:r w:rsidR="00F10739">
        <w:rPr>
          <w:lang w:val="en-GB"/>
        </w:rPr>
        <w:t xml:space="preserve">e </w:t>
      </w:r>
      <w:r w:rsidR="00F10739" w:rsidRPr="00E501EE">
        <w:rPr>
          <w:lang w:val="en-GB"/>
        </w:rPr>
        <w:t>concentration</w:t>
      </w:r>
      <w:r w:rsidR="00E501EE" w:rsidRPr="00E501EE">
        <w:rPr>
          <w:lang w:val="en-GB"/>
        </w:rPr>
        <w:t>s</w:t>
      </w:r>
      <w:r w:rsidR="00F10739" w:rsidRPr="00E501EE">
        <w:rPr>
          <w:lang w:val="en-GB"/>
        </w:rPr>
        <w:t>, indicating that it is a promising strain for being employed in mixotrophy for the abatement of organic matter in civil sewage</w:t>
      </w:r>
      <w:r w:rsidRPr="00E501EE">
        <w:rPr>
          <w:lang w:val="en-GB"/>
        </w:rPr>
        <w:t>.</w:t>
      </w:r>
    </w:p>
    <w:p w14:paraId="07A6D20F" w14:textId="0ECF229E" w:rsidR="00280FAF" w:rsidRPr="00280FAF" w:rsidRDefault="00280FAF" w:rsidP="00674732">
      <w:pPr>
        <w:pStyle w:val="CETHeadingxx"/>
        <w:rPr>
          <w:lang w:val="en-GB"/>
        </w:rPr>
        <w:sectPr w:rsidR="00280FAF" w:rsidRPr="00280FAF" w:rsidSect="007D0951">
          <w:type w:val="continuous"/>
          <w:pgSz w:w="11906" w:h="16838" w:code="9"/>
          <w:pgMar w:top="1701" w:right="1418" w:bottom="1701" w:left="1701" w:header="1701" w:footer="0" w:gutter="0"/>
          <w:cols w:space="708"/>
          <w:formProt w:val="0"/>
          <w:titlePg/>
          <w:docGrid w:linePitch="360"/>
        </w:sectPr>
      </w:pPr>
      <w:r>
        <w:t>Nomenclature</w:t>
      </w:r>
    </w:p>
    <w:p w14:paraId="7DFFBF41" w14:textId="77777777" w:rsidR="00280FAF" w:rsidRPr="00280FAF" w:rsidRDefault="00280FAF" w:rsidP="00280FAF">
      <w:pPr>
        <w:pStyle w:val="CETBodytext"/>
        <w:jc w:val="left"/>
        <w:rPr>
          <w:rFonts w:eastAsia="SimSun"/>
        </w:rPr>
        <w:sectPr w:rsidR="00280FAF" w:rsidRPr="00280FAF" w:rsidSect="0077098D">
          <w:type w:val="continuous"/>
          <w:pgSz w:w="11906" w:h="16838" w:code="9"/>
          <w:pgMar w:top="1701" w:right="1418" w:bottom="1701" w:left="1701" w:header="1701" w:footer="0" w:gutter="0"/>
          <w:cols w:space="708"/>
          <w:formProt w:val="0"/>
          <w:titlePg/>
          <w:docGrid w:linePitch="360"/>
        </w:sectPr>
      </w:pPr>
    </w:p>
    <w:p w14:paraId="21ECAD44" w14:textId="02C71B52" w:rsidR="00983355" w:rsidRDefault="00983355" w:rsidP="00280FAF">
      <w:pPr>
        <w:pStyle w:val="CETBodytext"/>
        <w:jc w:val="left"/>
        <w:rPr>
          <w:rFonts w:eastAsia="SimSun"/>
        </w:rPr>
      </w:pPr>
      <w:r>
        <w:rPr>
          <w:rFonts w:eastAsia="SimSun" w:cs="Arial"/>
        </w:rPr>
        <w:t>µ= specific growth rate, h</w:t>
      </w:r>
      <w:r w:rsidRPr="00983355">
        <w:rPr>
          <w:rFonts w:eastAsia="SimSun" w:cs="Arial"/>
          <w:vertAlign w:val="superscript"/>
        </w:rPr>
        <w:t>-1</w:t>
      </w:r>
    </w:p>
    <w:p w14:paraId="33D176ED" w14:textId="11D8C0E2" w:rsidR="00280FAF" w:rsidRPr="00280FAF" w:rsidRDefault="00474527" w:rsidP="00280FAF">
      <w:pPr>
        <w:pStyle w:val="CETBodytext"/>
        <w:jc w:val="left"/>
        <w:rPr>
          <w:rFonts w:eastAsia="SimSun"/>
        </w:rPr>
      </w:pPr>
      <w:r>
        <w:rPr>
          <w:rFonts w:eastAsia="SimSun"/>
        </w:rPr>
        <w:t>S</w:t>
      </w:r>
      <w:r w:rsidR="00983355">
        <w:rPr>
          <w:rFonts w:eastAsia="SimSun"/>
        </w:rPr>
        <w:t>= substrate concentration, mg L</w:t>
      </w:r>
      <w:r w:rsidR="00983355" w:rsidRPr="00983355">
        <w:rPr>
          <w:rFonts w:eastAsia="SimSun"/>
          <w:vertAlign w:val="superscript"/>
        </w:rPr>
        <w:t>-1</w:t>
      </w:r>
    </w:p>
    <w:p w14:paraId="42FAA691" w14:textId="731AC4EC" w:rsidR="00280FAF" w:rsidRPr="00280FAF" w:rsidRDefault="00474527" w:rsidP="00280FAF">
      <w:pPr>
        <w:pStyle w:val="CETBodytext"/>
        <w:jc w:val="left"/>
        <w:rPr>
          <w:rFonts w:eastAsia="SimSun"/>
        </w:rPr>
      </w:pPr>
      <w:r>
        <w:rPr>
          <w:rFonts w:eastAsia="SimSun"/>
        </w:rPr>
        <w:t>K</w:t>
      </w:r>
      <w:r w:rsidRPr="00DD00BA">
        <w:rPr>
          <w:rFonts w:eastAsia="SimSun"/>
          <w:vertAlign w:val="subscript"/>
        </w:rPr>
        <w:t>s</w:t>
      </w:r>
      <w:r w:rsidR="00DD00BA">
        <w:rPr>
          <w:rFonts w:eastAsia="SimSun"/>
        </w:rPr>
        <w:t>= substrate constant, mg L</w:t>
      </w:r>
      <w:r w:rsidR="00DD00BA" w:rsidRPr="00DD00BA">
        <w:rPr>
          <w:rFonts w:eastAsia="SimSun"/>
          <w:vertAlign w:val="superscript"/>
        </w:rPr>
        <w:t>-1</w:t>
      </w:r>
    </w:p>
    <w:p w14:paraId="2639FC98" w14:textId="3A6BABB3" w:rsidR="00DD00BA" w:rsidRDefault="00DD00BA" w:rsidP="00280FAF">
      <w:pPr>
        <w:pStyle w:val="CETBodytext"/>
        <w:jc w:val="left"/>
        <w:rPr>
          <w:rFonts w:eastAsia="SimSun"/>
          <w:vertAlign w:val="superscript"/>
        </w:rPr>
      </w:pPr>
      <w:r>
        <w:rPr>
          <w:rFonts w:eastAsia="SimSun" w:cs="Arial"/>
        </w:rPr>
        <w:t>µ</w:t>
      </w:r>
      <w:r w:rsidRPr="00B725D3">
        <w:rPr>
          <w:rFonts w:eastAsia="SimSun"/>
          <w:vertAlign w:val="subscript"/>
        </w:rPr>
        <w:t>max</w:t>
      </w:r>
      <w:r>
        <w:rPr>
          <w:rFonts w:eastAsia="SimSun"/>
        </w:rPr>
        <w:t>= maximum specific growth rate, h</w:t>
      </w:r>
      <w:r w:rsidRPr="00DD00BA">
        <w:rPr>
          <w:rFonts w:eastAsia="SimSun"/>
          <w:vertAlign w:val="superscript"/>
        </w:rPr>
        <w:t>-1</w:t>
      </w:r>
    </w:p>
    <w:p w14:paraId="166C3C44" w14:textId="2029D12A" w:rsidR="00280FAF" w:rsidRPr="005F2B1C" w:rsidRDefault="00B725D3" w:rsidP="00280FAF">
      <w:pPr>
        <w:pStyle w:val="CETBodytext"/>
        <w:jc w:val="left"/>
        <w:rPr>
          <w:rFonts w:eastAsia="SimSun"/>
          <w:vertAlign w:val="superscript"/>
        </w:rPr>
      </w:pPr>
      <w:r>
        <w:rPr>
          <w:rFonts w:eastAsia="SimSun"/>
        </w:rPr>
        <w:t>X= biomass concentration, g L</w:t>
      </w:r>
      <w:r w:rsidRPr="00B725D3">
        <w:rPr>
          <w:rFonts w:eastAsia="SimSun"/>
          <w:vertAlign w:val="superscript"/>
        </w:rPr>
        <w:t>-1</w:t>
      </w:r>
    </w:p>
    <w:p w14:paraId="38BFE636" w14:textId="3AA181BF" w:rsidR="005F2B1C" w:rsidRPr="00E377D0" w:rsidRDefault="005F2B1C" w:rsidP="00280FAF">
      <w:pPr>
        <w:pStyle w:val="CETBodytext"/>
        <w:jc w:val="left"/>
        <w:rPr>
          <w:rFonts w:eastAsia="SimSun"/>
        </w:rPr>
        <w:sectPr w:rsidR="005F2B1C" w:rsidRPr="00E377D0" w:rsidSect="00200ECB">
          <w:type w:val="continuous"/>
          <w:pgSz w:w="11906" w:h="16838" w:code="9"/>
          <w:pgMar w:top="1701" w:right="1418" w:bottom="1701" w:left="1701" w:header="1701" w:footer="0" w:gutter="0"/>
          <w:cols w:num="2" w:space="708"/>
          <w:formProt w:val="0"/>
          <w:titlePg/>
          <w:docGrid w:linePitch="360"/>
        </w:sectPr>
      </w:pPr>
      <w:r>
        <w:rPr>
          <w:rFonts w:eastAsia="SimSun"/>
        </w:rPr>
        <w:t>D=dilution rate, h</w:t>
      </w:r>
      <w:r w:rsidRPr="005F2B1C">
        <w:rPr>
          <w:rFonts w:eastAsia="SimSun"/>
          <w:vertAlign w:val="superscript"/>
        </w:rPr>
        <w:t>-1</w:t>
      </w:r>
      <w:r>
        <w:rPr>
          <w:rFonts w:eastAsia="SimSun"/>
        </w:rPr>
        <w:t xml:space="preserve"> </w:t>
      </w:r>
    </w:p>
    <w:p w14:paraId="459D05E6" w14:textId="77777777" w:rsidR="00600535" w:rsidRPr="00B57B36" w:rsidRDefault="00600535" w:rsidP="00600535">
      <w:pPr>
        <w:pStyle w:val="CETAcknowledgementstitle"/>
      </w:pPr>
      <w:r w:rsidRPr="00B57B36">
        <w:t>Acknowledgments</w:t>
      </w:r>
    </w:p>
    <w:p w14:paraId="00BA3D4F" w14:textId="15D3E049" w:rsidR="00C52C3C" w:rsidRPr="00360605" w:rsidRDefault="00474527" w:rsidP="00360605">
      <w:pPr>
        <w:pStyle w:val="CETReference"/>
        <w:rPr>
          <w:b w:val="0"/>
        </w:rPr>
      </w:pPr>
      <w:r w:rsidRPr="00474527">
        <w:rPr>
          <w:b w:val="0"/>
        </w:rPr>
        <w:t>This work was realized with the cofounding of European Union FESR</w:t>
      </w:r>
      <w:r>
        <w:rPr>
          <w:b w:val="0"/>
        </w:rPr>
        <w:t xml:space="preserve"> </w:t>
      </w:r>
      <w:r w:rsidRPr="00474527">
        <w:rPr>
          <w:b w:val="0"/>
        </w:rPr>
        <w:t xml:space="preserve">or FSE, PON </w:t>
      </w:r>
      <w:proofErr w:type="spellStart"/>
      <w:r w:rsidRPr="00474527">
        <w:rPr>
          <w:b w:val="0"/>
        </w:rPr>
        <w:t>Ricerca</w:t>
      </w:r>
      <w:proofErr w:type="spellEnd"/>
      <w:r w:rsidRPr="00474527">
        <w:rPr>
          <w:b w:val="0"/>
        </w:rPr>
        <w:t xml:space="preserve"> e </w:t>
      </w:r>
      <w:proofErr w:type="spellStart"/>
      <w:r w:rsidRPr="00474527">
        <w:rPr>
          <w:b w:val="0"/>
        </w:rPr>
        <w:t>Innovazione</w:t>
      </w:r>
      <w:proofErr w:type="spellEnd"/>
      <w:r w:rsidRPr="00474527">
        <w:rPr>
          <w:b w:val="0"/>
        </w:rPr>
        <w:t xml:space="preserve"> 2014-2020 - DM 1062/2021.</w:t>
      </w:r>
    </w:p>
    <w:p w14:paraId="6C5B23DA" w14:textId="77777777" w:rsidR="004023E2" w:rsidRPr="004023E2" w:rsidRDefault="004023E2" w:rsidP="004023E2">
      <w:pPr>
        <w:widowControl w:val="0"/>
        <w:autoSpaceDE w:val="0"/>
        <w:autoSpaceDN w:val="0"/>
        <w:adjustRightInd w:val="0"/>
        <w:spacing w:line="240" w:lineRule="auto"/>
        <w:rPr>
          <w:b/>
          <w:bCs/>
        </w:rPr>
      </w:pPr>
      <w:r w:rsidRPr="004023E2">
        <w:rPr>
          <w:b/>
          <w:bCs/>
        </w:rPr>
        <w:t xml:space="preserve">References </w:t>
      </w:r>
    </w:p>
    <w:p w14:paraId="7F7B5A74" w14:textId="77777777" w:rsidR="004023E2" w:rsidRDefault="004023E2" w:rsidP="004023E2">
      <w:pPr>
        <w:widowControl w:val="0"/>
        <w:autoSpaceDE w:val="0"/>
        <w:autoSpaceDN w:val="0"/>
        <w:adjustRightInd w:val="0"/>
        <w:spacing w:line="240" w:lineRule="auto"/>
      </w:pPr>
      <w:r>
        <w:t>Doran, P. M. (2013). Bioprocess engineering principles (second).</w:t>
      </w:r>
    </w:p>
    <w:p w14:paraId="3A4A0283" w14:textId="77777777" w:rsidR="004023E2" w:rsidRDefault="004023E2" w:rsidP="004023E2">
      <w:pPr>
        <w:widowControl w:val="0"/>
        <w:autoSpaceDE w:val="0"/>
        <w:autoSpaceDN w:val="0"/>
        <w:adjustRightInd w:val="0"/>
        <w:spacing w:line="240" w:lineRule="auto"/>
      </w:pPr>
      <w:r>
        <w:t>Ji X., Jiang M., Zhang J., Jiang X., Zheng Z., 2018. The interactions of algae-bacteria symbiotic system and its effects on nutrients removal from synthetic wastewater. Bioresource Technology, 247, 44–50. https://doi.org/10.1016/j.biortech.2017.09.074</w:t>
      </w:r>
    </w:p>
    <w:p w14:paraId="444F247F" w14:textId="77777777" w:rsidR="004023E2" w:rsidRDefault="004023E2" w:rsidP="004023E2">
      <w:pPr>
        <w:widowControl w:val="0"/>
        <w:autoSpaceDE w:val="0"/>
        <w:autoSpaceDN w:val="0"/>
        <w:adjustRightInd w:val="0"/>
        <w:spacing w:line="240" w:lineRule="auto"/>
      </w:pPr>
      <w:r>
        <w:t xml:space="preserve">Li </w:t>
      </w:r>
      <w:proofErr w:type="spellStart"/>
      <w:r>
        <w:t>Tianle</w:t>
      </w:r>
      <w:proofErr w:type="spellEnd"/>
      <w:r>
        <w:t>, Li B., Sun Y., Wu G., 2022. Insights into the Effect of Sludge Retention Times on System Performance, Microbial Structure and Quorum Sensing in an Activated Sludge Bioreactor. Water, Air, and Soil Pollution, 233(7). https://doi.org/10.1007/s11270-022-05716-4</w:t>
      </w:r>
    </w:p>
    <w:p w14:paraId="2B37EBDD" w14:textId="77777777" w:rsidR="004023E2" w:rsidRDefault="004023E2" w:rsidP="004023E2">
      <w:pPr>
        <w:widowControl w:val="0"/>
        <w:autoSpaceDE w:val="0"/>
        <w:autoSpaceDN w:val="0"/>
        <w:adjustRightInd w:val="0"/>
        <w:spacing w:line="240" w:lineRule="auto"/>
      </w:pPr>
      <w:r>
        <w:t xml:space="preserve">Li </w:t>
      </w:r>
      <w:proofErr w:type="spellStart"/>
      <w:r>
        <w:t>Tingting</w:t>
      </w:r>
      <w:proofErr w:type="spellEnd"/>
      <w:r>
        <w:t xml:space="preserve">, Pang N., He L., Xu Y., Fu X., Tang Y., </w:t>
      </w:r>
      <w:proofErr w:type="spellStart"/>
      <w:r>
        <w:t>Shachar</w:t>
      </w:r>
      <w:proofErr w:type="spellEnd"/>
      <w:r>
        <w:t>-Hill Y., Chen, S., 2022. Re-</w:t>
      </w:r>
      <w:proofErr w:type="spellStart"/>
      <w:r>
        <w:t>Programing</w:t>
      </w:r>
      <w:proofErr w:type="spellEnd"/>
      <w:r>
        <w:t xml:space="preserve"> Glucose Catabolism in the Microalga Chlorella </w:t>
      </w:r>
      <w:proofErr w:type="spellStart"/>
      <w:r>
        <w:t>sorokiniana</w:t>
      </w:r>
      <w:proofErr w:type="spellEnd"/>
      <w:r>
        <w:t xml:space="preserve"> under Light Condition. Biomolecules, 12(7). https://doi.org/10.3390/biom12070939</w:t>
      </w:r>
    </w:p>
    <w:p w14:paraId="1B603AF4" w14:textId="77777777" w:rsidR="004023E2" w:rsidRDefault="004023E2" w:rsidP="004023E2">
      <w:pPr>
        <w:widowControl w:val="0"/>
        <w:autoSpaceDE w:val="0"/>
        <w:autoSpaceDN w:val="0"/>
        <w:adjustRightInd w:val="0"/>
        <w:spacing w:line="240" w:lineRule="auto"/>
      </w:pPr>
      <w:r>
        <w:t xml:space="preserve">Li Y., Chen Y. F., Chen P., Min M., Zhou W., Martinez B., Zhu J., </w:t>
      </w:r>
      <w:proofErr w:type="spellStart"/>
      <w:r>
        <w:t>Ruan</w:t>
      </w:r>
      <w:proofErr w:type="spellEnd"/>
      <w:r>
        <w:t>, R., 2011. Characterization of a microalga Chlorella sp. well adapted to highly concentrated municipal wastewater for nutrient removal and biodiesel production. Bioresource Technology, 102(8), 5138–5144. https://doi.org/10.1016/j.biortech.2011.01.091</w:t>
      </w:r>
    </w:p>
    <w:p w14:paraId="55C268EC" w14:textId="77777777" w:rsidR="004023E2" w:rsidRDefault="004023E2" w:rsidP="004023E2">
      <w:pPr>
        <w:widowControl w:val="0"/>
        <w:autoSpaceDE w:val="0"/>
        <w:autoSpaceDN w:val="0"/>
        <w:adjustRightInd w:val="0"/>
        <w:spacing w:line="240" w:lineRule="auto"/>
      </w:pPr>
      <w:r>
        <w:t xml:space="preserve">Lima S., </w:t>
      </w:r>
      <w:proofErr w:type="spellStart"/>
      <w:r>
        <w:t>Brucato</w:t>
      </w:r>
      <w:proofErr w:type="spellEnd"/>
      <w:r>
        <w:t xml:space="preserve"> A., Caputo G., </w:t>
      </w:r>
      <w:proofErr w:type="spellStart"/>
      <w:r>
        <w:t>Grisafi</w:t>
      </w:r>
      <w:proofErr w:type="spellEnd"/>
      <w:r>
        <w:t xml:space="preserve"> F., </w:t>
      </w:r>
      <w:proofErr w:type="spellStart"/>
      <w:r>
        <w:t>Scargiali</w:t>
      </w:r>
      <w:proofErr w:type="spellEnd"/>
      <w:r>
        <w:t xml:space="preserve"> F., 2022. Inoculum of indigenous microalgae / activated sludge for optimal treatment of municipal wastewaters and biochemical composition of residual biomass for potential applications. Journal of Water Process Engineering, 49(June), 103142. https://doi.org/10.1016/j.jwpe.2022.103142</w:t>
      </w:r>
    </w:p>
    <w:p w14:paraId="1E400E1D" w14:textId="77777777" w:rsidR="004023E2" w:rsidRDefault="004023E2" w:rsidP="004023E2">
      <w:pPr>
        <w:widowControl w:val="0"/>
        <w:autoSpaceDE w:val="0"/>
        <w:autoSpaceDN w:val="0"/>
        <w:adjustRightInd w:val="0"/>
        <w:spacing w:line="240" w:lineRule="auto"/>
      </w:pPr>
      <w:r>
        <w:t xml:space="preserve">Lima S., </w:t>
      </w:r>
      <w:proofErr w:type="spellStart"/>
      <w:r>
        <w:t>Brucato</w:t>
      </w:r>
      <w:proofErr w:type="spellEnd"/>
      <w:r>
        <w:t xml:space="preserve"> A., Caputo G., Schembri L., </w:t>
      </w:r>
      <w:proofErr w:type="spellStart"/>
      <w:r>
        <w:t>Scargiali</w:t>
      </w:r>
      <w:proofErr w:type="spellEnd"/>
      <w:r>
        <w:t xml:space="preserve"> F., 2022. Modelling Nannochloropsis </w:t>
      </w:r>
      <w:proofErr w:type="spellStart"/>
      <w:r>
        <w:t>gaditana</w:t>
      </w:r>
      <w:proofErr w:type="spellEnd"/>
      <w:r>
        <w:t xml:space="preserve"> Growth in Reactors with Different Geometries, Determination of Kinetic Parameters and Biochemical Analysis in Response to Light Intensity. Applied Sciences, 12(12), 5776. https://doi.org/10.3390/app12125776</w:t>
      </w:r>
    </w:p>
    <w:p w14:paraId="1A6A22FD" w14:textId="77777777" w:rsidR="004023E2" w:rsidRDefault="004023E2" w:rsidP="004023E2">
      <w:pPr>
        <w:widowControl w:val="0"/>
        <w:autoSpaceDE w:val="0"/>
        <w:autoSpaceDN w:val="0"/>
        <w:adjustRightInd w:val="0"/>
        <w:spacing w:line="240" w:lineRule="auto"/>
      </w:pPr>
      <w:r>
        <w:t xml:space="preserve">Lima S., Villanova V., </w:t>
      </w:r>
      <w:proofErr w:type="spellStart"/>
      <w:r>
        <w:t>Richiusa</w:t>
      </w:r>
      <w:proofErr w:type="spellEnd"/>
      <w:r>
        <w:t xml:space="preserve"> M., </w:t>
      </w:r>
      <w:proofErr w:type="spellStart"/>
      <w:r>
        <w:t>Grisafi</w:t>
      </w:r>
      <w:proofErr w:type="spellEnd"/>
      <w:r>
        <w:t xml:space="preserve"> F., </w:t>
      </w:r>
      <w:proofErr w:type="spellStart"/>
      <w:r>
        <w:t>Scargiali</w:t>
      </w:r>
      <w:proofErr w:type="spellEnd"/>
      <w:r>
        <w:t xml:space="preserve"> F., </w:t>
      </w:r>
      <w:proofErr w:type="spellStart"/>
      <w:r>
        <w:t>Brucato</w:t>
      </w:r>
      <w:proofErr w:type="spellEnd"/>
      <w:r>
        <w:t>, A., 2019. Pollutants Removal from Municipal Sewage by Means of Microalgae. CHEMICAL ENGINEERING TRANSACTIONS, 74, 1243–1248. https://doi.org/10.3303/CET1974208</w:t>
      </w:r>
    </w:p>
    <w:p w14:paraId="74CCFD14" w14:textId="77777777" w:rsidR="004023E2" w:rsidRDefault="004023E2" w:rsidP="004023E2">
      <w:pPr>
        <w:widowControl w:val="0"/>
        <w:autoSpaceDE w:val="0"/>
        <w:autoSpaceDN w:val="0"/>
        <w:adjustRightInd w:val="0"/>
        <w:spacing w:line="240" w:lineRule="auto"/>
      </w:pPr>
      <w:r>
        <w:t>Rani S.</w:t>
      </w:r>
      <w:proofErr w:type="gramStart"/>
      <w:r>
        <w:t>,  Ojha</w:t>
      </w:r>
      <w:proofErr w:type="gramEnd"/>
      <w:r>
        <w:t xml:space="preserve"> C. S. P., 2021. Chlorella </w:t>
      </w:r>
      <w:proofErr w:type="spellStart"/>
      <w:r>
        <w:t>sorokiniana</w:t>
      </w:r>
      <w:proofErr w:type="spellEnd"/>
      <w:r>
        <w:t xml:space="preserve"> for integrated wastewater treatment, biomass accumulation and value-added product estimation under varying photoperiod regimes: A comparative study. Journal of Water Process Engineering, 39. https://doi.org/10.1016/j.jwpe.2020.101889</w:t>
      </w:r>
    </w:p>
    <w:p w14:paraId="7715D8CE" w14:textId="77777777" w:rsidR="004023E2" w:rsidRDefault="004023E2" w:rsidP="004023E2">
      <w:pPr>
        <w:widowControl w:val="0"/>
        <w:autoSpaceDE w:val="0"/>
        <w:autoSpaceDN w:val="0"/>
        <w:adjustRightInd w:val="0"/>
        <w:spacing w:line="240" w:lineRule="auto"/>
      </w:pPr>
      <w:r>
        <w:t>Wang L., Min M., Li Y., Chen P., Chen Y., Liu Y., Wang Y.</w:t>
      </w:r>
      <w:proofErr w:type="gramStart"/>
      <w:r>
        <w:t xml:space="preserve">,  </w:t>
      </w:r>
      <w:proofErr w:type="spellStart"/>
      <w:r>
        <w:t>Ruan</w:t>
      </w:r>
      <w:proofErr w:type="spellEnd"/>
      <w:proofErr w:type="gramEnd"/>
      <w:r>
        <w:t xml:space="preserve"> R., 2010. Cultivation of Green Algae Chlorella sp. in Different Wastewaters from Municipal Wastewater Treatment Plant. Applied Biochemistry and Biotechnology, 162(4), 1174–1186. https://doi.org/10.1007/s12010-009-8866-7</w:t>
      </w:r>
    </w:p>
    <w:p w14:paraId="19C4FC68" w14:textId="7802C447" w:rsidR="004628D2" w:rsidRDefault="004628D2" w:rsidP="008D1B34">
      <w:pPr>
        <w:widowControl w:val="0"/>
        <w:autoSpaceDE w:val="0"/>
        <w:autoSpaceDN w:val="0"/>
        <w:adjustRightInd w:val="0"/>
        <w:spacing w:line="240" w:lineRule="auto"/>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95EA3" w14:textId="77777777" w:rsidR="000471CA" w:rsidRDefault="000471CA" w:rsidP="004F5E36">
      <w:r>
        <w:separator/>
      </w:r>
    </w:p>
  </w:endnote>
  <w:endnote w:type="continuationSeparator" w:id="0">
    <w:p w14:paraId="59B2010F" w14:textId="77777777" w:rsidR="000471CA" w:rsidRDefault="000471C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982B0" w14:textId="77777777" w:rsidR="000471CA" w:rsidRDefault="000471CA" w:rsidP="004F5E36">
      <w:r>
        <w:separator/>
      </w:r>
    </w:p>
  </w:footnote>
  <w:footnote w:type="continuationSeparator" w:id="0">
    <w:p w14:paraId="2437A2D6" w14:textId="77777777" w:rsidR="000471CA" w:rsidRDefault="000471C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696CF48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22518024">
    <w:abstractNumId w:val="10"/>
  </w:num>
  <w:num w:numId="2" w16cid:durableId="639043605">
    <w:abstractNumId w:val="8"/>
  </w:num>
  <w:num w:numId="3" w16cid:durableId="191114591">
    <w:abstractNumId w:val="3"/>
  </w:num>
  <w:num w:numId="4" w16cid:durableId="1465073795">
    <w:abstractNumId w:val="2"/>
  </w:num>
  <w:num w:numId="5" w16cid:durableId="1827672305">
    <w:abstractNumId w:val="1"/>
  </w:num>
  <w:num w:numId="6" w16cid:durableId="389887170">
    <w:abstractNumId w:val="0"/>
  </w:num>
  <w:num w:numId="7" w16cid:durableId="1710522305">
    <w:abstractNumId w:val="9"/>
  </w:num>
  <w:num w:numId="8" w16cid:durableId="917666718">
    <w:abstractNumId w:val="7"/>
  </w:num>
  <w:num w:numId="9" w16cid:durableId="1883517204">
    <w:abstractNumId w:val="6"/>
  </w:num>
  <w:num w:numId="10" w16cid:durableId="1694650147">
    <w:abstractNumId w:val="5"/>
  </w:num>
  <w:num w:numId="11" w16cid:durableId="713429601">
    <w:abstractNumId w:val="4"/>
  </w:num>
  <w:num w:numId="12" w16cid:durableId="1536389021">
    <w:abstractNumId w:val="17"/>
  </w:num>
  <w:num w:numId="13" w16cid:durableId="1174220680">
    <w:abstractNumId w:val="12"/>
  </w:num>
  <w:num w:numId="14" w16cid:durableId="1616446706">
    <w:abstractNumId w:val="18"/>
  </w:num>
  <w:num w:numId="15" w16cid:durableId="736822763">
    <w:abstractNumId w:val="20"/>
  </w:num>
  <w:num w:numId="16" w16cid:durableId="921111946">
    <w:abstractNumId w:val="19"/>
  </w:num>
  <w:num w:numId="17" w16cid:durableId="239801434">
    <w:abstractNumId w:val="11"/>
  </w:num>
  <w:num w:numId="18" w16cid:durableId="1776824084">
    <w:abstractNumId w:val="12"/>
    <w:lvlOverride w:ilvl="0">
      <w:startOverride w:val="1"/>
    </w:lvlOverride>
  </w:num>
  <w:num w:numId="19" w16cid:durableId="238096681">
    <w:abstractNumId w:val="16"/>
  </w:num>
  <w:num w:numId="20" w16cid:durableId="77024358">
    <w:abstractNumId w:val="15"/>
  </w:num>
  <w:num w:numId="21" w16cid:durableId="1541236422">
    <w:abstractNumId w:val="14"/>
  </w:num>
  <w:num w:numId="22" w16cid:durableId="144309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471CA"/>
    <w:rsid w:val="00051566"/>
    <w:rsid w:val="000562A9"/>
    <w:rsid w:val="00062A9A"/>
    <w:rsid w:val="00065058"/>
    <w:rsid w:val="000818B1"/>
    <w:rsid w:val="00086C39"/>
    <w:rsid w:val="000A03B2"/>
    <w:rsid w:val="000B6079"/>
    <w:rsid w:val="000D0268"/>
    <w:rsid w:val="000D0DDC"/>
    <w:rsid w:val="000D34BE"/>
    <w:rsid w:val="000E102F"/>
    <w:rsid w:val="000E36F1"/>
    <w:rsid w:val="000E3A73"/>
    <w:rsid w:val="000E414A"/>
    <w:rsid w:val="000E4E21"/>
    <w:rsid w:val="000F093C"/>
    <w:rsid w:val="000F787B"/>
    <w:rsid w:val="00102CA6"/>
    <w:rsid w:val="00103BBB"/>
    <w:rsid w:val="0012091F"/>
    <w:rsid w:val="00126BC2"/>
    <w:rsid w:val="001308B6"/>
    <w:rsid w:val="0013121F"/>
    <w:rsid w:val="00131FE6"/>
    <w:rsid w:val="0013263F"/>
    <w:rsid w:val="001331DF"/>
    <w:rsid w:val="00134DE4"/>
    <w:rsid w:val="0014034D"/>
    <w:rsid w:val="00144D16"/>
    <w:rsid w:val="00150214"/>
    <w:rsid w:val="00150E59"/>
    <w:rsid w:val="00152DE3"/>
    <w:rsid w:val="00153962"/>
    <w:rsid w:val="00155916"/>
    <w:rsid w:val="00164CF9"/>
    <w:rsid w:val="001667A6"/>
    <w:rsid w:val="00174E6E"/>
    <w:rsid w:val="00177EC9"/>
    <w:rsid w:val="00184AD6"/>
    <w:rsid w:val="00196F91"/>
    <w:rsid w:val="001A4AF7"/>
    <w:rsid w:val="001B0349"/>
    <w:rsid w:val="001B1E93"/>
    <w:rsid w:val="001B2934"/>
    <w:rsid w:val="001B65C1"/>
    <w:rsid w:val="001C684B"/>
    <w:rsid w:val="001D0CFB"/>
    <w:rsid w:val="001D21AF"/>
    <w:rsid w:val="001D53FC"/>
    <w:rsid w:val="001E2312"/>
    <w:rsid w:val="001F06C2"/>
    <w:rsid w:val="001F42A5"/>
    <w:rsid w:val="001F7B9D"/>
    <w:rsid w:val="00201C93"/>
    <w:rsid w:val="002224B4"/>
    <w:rsid w:val="002447EF"/>
    <w:rsid w:val="00251550"/>
    <w:rsid w:val="00263B05"/>
    <w:rsid w:val="0027221A"/>
    <w:rsid w:val="00275B61"/>
    <w:rsid w:val="00280FAF"/>
    <w:rsid w:val="00282656"/>
    <w:rsid w:val="00296B83"/>
    <w:rsid w:val="002B4015"/>
    <w:rsid w:val="002B78CE"/>
    <w:rsid w:val="002C0628"/>
    <w:rsid w:val="002C2FB6"/>
    <w:rsid w:val="002E4B26"/>
    <w:rsid w:val="002E4DB5"/>
    <w:rsid w:val="002E5FA7"/>
    <w:rsid w:val="002F09F7"/>
    <w:rsid w:val="002F3309"/>
    <w:rsid w:val="003008CE"/>
    <w:rsid w:val="003009B7"/>
    <w:rsid w:val="00300E56"/>
    <w:rsid w:val="003011A5"/>
    <w:rsid w:val="0030152C"/>
    <w:rsid w:val="0030236C"/>
    <w:rsid w:val="0030469C"/>
    <w:rsid w:val="003106CA"/>
    <w:rsid w:val="00321CA6"/>
    <w:rsid w:val="00323763"/>
    <w:rsid w:val="00323C5F"/>
    <w:rsid w:val="00323DA4"/>
    <w:rsid w:val="00334C09"/>
    <w:rsid w:val="003361F6"/>
    <w:rsid w:val="00341FE3"/>
    <w:rsid w:val="00342B0D"/>
    <w:rsid w:val="00360605"/>
    <w:rsid w:val="00361524"/>
    <w:rsid w:val="003718D8"/>
    <w:rsid w:val="003723D4"/>
    <w:rsid w:val="0037359A"/>
    <w:rsid w:val="003805FF"/>
    <w:rsid w:val="00381905"/>
    <w:rsid w:val="00384CC8"/>
    <w:rsid w:val="003871FD"/>
    <w:rsid w:val="003A1E30"/>
    <w:rsid w:val="003A2829"/>
    <w:rsid w:val="003A7D1C"/>
    <w:rsid w:val="003B304B"/>
    <w:rsid w:val="003B3146"/>
    <w:rsid w:val="003F015E"/>
    <w:rsid w:val="003F03D1"/>
    <w:rsid w:val="003F7FA8"/>
    <w:rsid w:val="00400414"/>
    <w:rsid w:val="004023E2"/>
    <w:rsid w:val="00403B67"/>
    <w:rsid w:val="0041446B"/>
    <w:rsid w:val="0044071E"/>
    <w:rsid w:val="0044329C"/>
    <w:rsid w:val="00453E24"/>
    <w:rsid w:val="00457456"/>
    <w:rsid w:val="004577FE"/>
    <w:rsid w:val="00457B9C"/>
    <w:rsid w:val="0046164A"/>
    <w:rsid w:val="004628D2"/>
    <w:rsid w:val="00462DCD"/>
    <w:rsid w:val="004648AD"/>
    <w:rsid w:val="004703A9"/>
    <w:rsid w:val="00474527"/>
    <w:rsid w:val="004760DE"/>
    <w:rsid w:val="004763D7"/>
    <w:rsid w:val="0048370D"/>
    <w:rsid w:val="00491B3B"/>
    <w:rsid w:val="004A004E"/>
    <w:rsid w:val="004A24CF"/>
    <w:rsid w:val="004A6D63"/>
    <w:rsid w:val="004C3D1D"/>
    <w:rsid w:val="004C3D84"/>
    <w:rsid w:val="004C7913"/>
    <w:rsid w:val="004D5014"/>
    <w:rsid w:val="004E1161"/>
    <w:rsid w:val="004E4DD6"/>
    <w:rsid w:val="004E7C8A"/>
    <w:rsid w:val="004F5E36"/>
    <w:rsid w:val="004F6698"/>
    <w:rsid w:val="00507B47"/>
    <w:rsid w:val="00507BEF"/>
    <w:rsid w:val="00507CC9"/>
    <w:rsid w:val="005119A5"/>
    <w:rsid w:val="005278B7"/>
    <w:rsid w:val="00532016"/>
    <w:rsid w:val="005346C8"/>
    <w:rsid w:val="00535764"/>
    <w:rsid w:val="00543E7D"/>
    <w:rsid w:val="00547A68"/>
    <w:rsid w:val="005531C9"/>
    <w:rsid w:val="00554A80"/>
    <w:rsid w:val="00570C43"/>
    <w:rsid w:val="00587C5C"/>
    <w:rsid w:val="00593D26"/>
    <w:rsid w:val="005A4C74"/>
    <w:rsid w:val="005B2110"/>
    <w:rsid w:val="005B3682"/>
    <w:rsid w:val="005B61E6"/>
    <w:rsid w:val="005C328D"/>
    <w:rsid w:val="005C40B9"/>
    <w:rsid w:val="005C77E1"/>
    <w:rsid w:val="005D668A"/>
    <w:rsid w:val="005D6A2F"/>
    <w:rsid w:val="005D7C76"/>
    <w:rsid w:val="005E1A82"/>
    <w:rsid w:val="005E794C"/>
    <w:rsid w:val="005F0A28"/>
    <w:rsid w:val="005F0E5E"/>
    <w:rsid w:val="005F2B1C"/>
    <w:rsid w:val="00600535"/>
    <w:rsid w:val="00610CD6"/>
    <w:rsid w:val="00620DEE"/>
    <w:rsid w:val="006214D5"/>
    <w:rsid w:val="00621F92"/>
    <w:rsid w:val="0062280A"/>
    <w:rsid w:val="00625639"/>
    <w:rsid w:val="00627C02"/>
    <w:rsid w:val="00631B33"/>
    <w:rsid w:val="0064184D"/>
    <w:rsid w:val="006422CC"/>
    <w:rsid w:val="006506D5"/>
    <w:rsid w:val="0065618F"/>
    <w:rsid w:val="00660E3E"/>
    <w:rsid w:val="00662E74"/>
    <w:rsid w:val="0066595B"/>
    <w:rsid w:val="00670B06"/>
    <w:rsid w:val="00674732"/>
    <w:rsid w:val="00680C23"/>
    <w:rsid w:val="00693766"/>
    <w:rsid w:val="00695F7F"/>
    <w:rsid w:val="006A02B8"/>
    <w:rsid w:val="006A3281"/>
    <w:rsid w:val="006B4888"/>
    <w:rsid w:val="006C2E45"/>
    <w:rsid w:val="006C359C"/>
    <w:rsid w:val="006C5579"/>
    <w:rsid w:val="006D0CEA"/>
    <w:rsid w:val="006D4576"/>
    <w:rsid w:val="006D6E8B"/>
    <w:rsid w:val="006E37B9"/>
    <w:rsid w:val="006E737D"/>
    <w:rsid w:val="006F60F4"/>
    <w:rsid w:val="007050E6"/>
    <w:rsid w:val="00713973"/>
    <w:rsid w:val="00720A24"/>
    <w:rsid w:val="00732386"/>
    <w:rsid w:val="0073514D"/>
    <w:rsid w:val="007447F3"/>
    <w:rsid w:val="00747E9A"/>
    <w:rsid w:val="0075302C"/>
    <w:rsid w:val="0075499F"/>
    <w:rsid w:val="007661C8"/>
    <w:rsid w:val="0077098D"/>
    <w:rsid w:val="007931FA"/>
    <w:rsid w:val="007A4861"/>
    <w:rsid w:val="007A7BBA"/>
    <w:rsid w:val="007B0C50"/>
    <w:rsid w:val="007B48F9"/>
    <w:rsid w:val="007C1A43"/>
    <w:rsid w:val="007C5853"/>
    <w:rsid w:val="007D0951"/>
    <w:rsid w:val="007D78A7"/>
    <w:rsid w:val="0080013E"/>
    <w:rsid w:val="00801078"/>
    <w:rsid w:val="00811A3C"/>
    <w:rsid w:val="00813288"/>
    <w:rsid w:val="008145E7"/>
    <w:rsid w:val="008168FC"/>
    <w:rsid w:val="00830996"/>
    <w:rsid w:val="008345F1"/>
    <w:rsid w:val="00841384"/>
    <w:rsid w:val="00865B07"/>
    <w:rsid w:val="008667EA"/>
    <w:rsid w:val="0087637F"/>
    <w:rsid w:val="00892AD5"/>
    <w:rsid w:val="008977EF"/>
    <w:rsid w:val="008A1512"/>
    <w:rsid w:val="008A3FAF"/>
    <w:rsid w:val="008A50DB"/>
    <w:rsid w:val="008C5E06"/>
    <w:rsid w:val="008D1B34"/>
    <w:rsid w:val="008D32B9"/>
    <w:rsid w:val="008D433B"/>
    <w:rsid w:val="008D4A16"/>
    <w:rsid w:val="008D5B39"/>
    <w:rsid w:val="008E0640"/>
    <w:rsid w:val="008E566E"/>
    <w:rsid w:val="008F3B09"/>
    <w:rsid w:val="0090161A"/>
    <w:rsid w:val="00901EB6"/>
    <w:rsid w:val="00904C62"/>
    <w:rsid w:val="00912BC4"/>
    <w:rsid w:val="00916ECE"/>
    <w:rsid w:val="00922BA8"/>
    <w:rsid w:val="00924DAC"/>
    <w:rsid w:val="00927058"/>
    <w:rsid w:val="00927333"/>
    <w:rsid w:val="009277BF"/>
    <w:rsid w:val="00942750"/>
    <w:rsid w:val="009450CE"/>
    <w:rsid w:val="009459B6"/>
    <w:rsid w:val="009459BB"/>
    <w:rsid w:val="00947179"/>
    <w:rsid w:val="0095164B"/>
    <w:rsid w:val="00954090"/>
    <w:rsid w:val="00955FDD"/>
    <w:rsid w:val="009573E7"/>
    <w:rsid w:val="00963DA3"/>
    <w:rsid w:val="00963E05"/>
    <w:rsid w:val="00964A45"/>
    <w:rsid w:val="00966675"/>
    <w:rsid w:val="00967843"/>
    <w:rsid w:val="00967D54"/>
    <w:rsid w:val="00971028"/>
    <w:rsid w:val="00983355"/>
    <w:rsid w:val="0098556C"/>
    <w:rsid w:val="00993B84"/>
    <w:rsid w:val="00996483"/>
    <w:rsid w:val="00996F5A"/>
    <w:rsid w:val="009B041A"/>
    <w:rsid w:val="009B2FBA"/>
    <w:rsid w:val="009C37C3"/>
    <w:rsid w:val="009C535B"/>
    <w:rsid w:val="009C777F"/>
    <w:rsid w:val="009C7C86"/>
    <w:rsid w:val="009D2FF7"/>
    <w:rsid w:val="009D3770"/>
    <w:rsid w:val="009E590C"/>
    <w:rsid w:val="009E7884"/>
    <w:rsid w:val="009E788A"/>
    <w:rsid w:val="009F0E08"/>
    <w:rsid w:val="009F1339"/>
    <w:rsid w:val="00A1763D"/>
    <w:rsid w:val="00A17CEC"/>
    <w:rsid w:val="00A22F73"/>
    <w:rsid w:val="00A279B6"/>
    <w:rsid w:val="00A27EF0"/>
    <w:rsid w:val="00A42361"/>
    <w:rsid w:val="00A50B20"/>
    <w:rsid w:val="00A51390"/>
    <w:rsid w:val="00A51F27"/>
    <w:rsid w:val="00A60D13"/>
    <w:rsid w:val="00A7106B"/>
    <w:rsid w:val="00A7223D"/>
    <w:rsid w:val="00A72745"/>
    <w:rsid w:val="00A76EFC"/>
    <w:rsid w:val="00A87D50"/>
    <w:rsid w:val="00A91010"/>
    <w:rsid w:val="00A97F29"/>
    <w:rsid w:val="00AA602B"/>
    <w:rsid w:val="00AA702E"/>
    <w:rsid w:val="00AA7D26"/>
    <w:rsid w:val="00AB0964"/>
    <w:rsid w:val="00AB5011"/>
    <w:rsid w:val="00AC7368"/>
    <w:rsid w:val="00AD16B9"/>
    <w:rsid w:val="00AD1B9E"/>
    <w:rsid w:val="00AE377D"/>
    <w:rsid w:val="00AE7173"/>
    <w:rsid w:val="00AF0EBA"/>
    <w:rsid w:val="00AF7886"/>
    <w:rsid w:val="00B02C8A"/>
    <w:rsid w:val="00B17FBD"/>
    <w:rsid w:val="00B2574B"/>
    <w:rsid w:val="00B315A6"/>
    <w:rsid w:val="00B31813"/>
    <w:rsid w:val="00B33365"/>
    <w:rsid w:val="00B50319"/>
    <w:rsid w:val="00B57B36"/>
    <w:rsid w:val="00B57E6F"/>
    <w:rsid w:val="00B725D3"/>
    <w:rsid w:val="00B84A00"/>
    <w:rsid w:val="00B8686D"/>
    <w:rsid w:val="00B93F69"/>
    <w:rsid w:val="00BA38E8"/>
    <w:rsid w:val="00BB06A3"/>
    <w:rsid w:val="00BB1DDC"/>
    <w:rsid w:val="00BC30C9"/>
    <w:rsid w:val="00BD077D"/>
    <w:rsid w:val="00BE3E58"/>
    <w:rsid w:val="00BE638D"/>
    <w:rsid w:val="00C01616"/>
    <w:rsid w:val="00C0162B"/>
    <w:rsid w:val="00C068ED"/>
    <w:rsid w:val="00C069A4"/>
    <w:rsid w:val="00C07090"/>
    <w:rsid w:val="00C22E0C"/>
    <w:rsid w:val="00C31E4E"/>
    <w:rsid w:val="00C345B1"/>
    <w:rsid w:val="00C40142"/>
    <w:rsid w:val="00C42B73"/>
    <w:rsid w:val="00C52C3C"/>
    <w:rsid w:val="00C57182"/>
    <w:rsid w:val="00C57863"/>
    <w:rsid w:val="00C640AF"/>
    <w:rsid w:val="00C655FD"/>
    <w:rsid w:val="00C75407"/>
    <w:rsid w:val="00C83E2C"/>
    <w:rsid w:val="00C870A8"/>
    <w:rsid w:val="00C94434"/>
    <w:rsid w:val="00C95395"/>
    <w:rsid w:val="00CA0D75"/>
    <w:rsid w:val="00CA1C95"/>
    <w:rsid w:val="00CA5A9C"/>
    <w:rsid w:val="00CB50FF"/>
    <w:rsid w:val="00CB7406"/>
    <w:rsid w:val="00CC4C20"/>
    <w:rsid w:val="00CD1329"/>
    <w:rsid w:val="00CD3517"/>
    <w:rsid w:val="00CD5FE2"/>
    <w:rsid w:val="00CE5B5F"/>
    <w:rsid w:val="00CE7C68"/>
    <w:rsid w:val="00D02B4C"/>
    <w:rsid w:val="00D040C4"/>
    <w:rsid w:val="00D1129C"/>
    <w:rsid w:val="00D14A4A"/>
    <w:rsid w:val="00D20AD1"/>
    <w:rsid w:val="00D22B2E"/>
    <w:rsid w:val="00D27D6B"/>
    <w:rsid w:val="00D320FD"/>
    <w:rsid w:val="00D46B7E"/>
    <w:rsid w:val="00D57C84"/>
    <w:rsid w:val="00D6057D"/>
    <w:rsid w:val="00D71640"/>
    <w:rsid w:val="00D73E4F"/>
    <w:rsid w:val="00D836C5"/>
    <w:rsid w:val="00D84576"/>
    <w:rsid w:val="00D947FB"/>
    <w:rsid w:val="00DA0A09"/>
    <w:rsid w:val="00DA1399"/>
    <w:rsid w:val="00DA24C6"/>
    <w:rsid w:val="00DA4D7B"/>
    <w:rsid w:val="00DB333C"/>
    <w:rsid w:val="00DD00BA"/>
    <w:rsid w:val="00DD271C"/>
    <w:rsid w:val="00DE264A"/>
    <w:rsid w:val="00DF3459"/>
    <w:rsid w:val="00DF5072"/>
    <w:rsid w:val="00DF7ACB"/>
    <w:rsid w:val="00E02D18"/>
    <w:rsid w:val="00E041E7"/>
    <w:rsid w:val="00E0780E"/>
    <w:rsid w:val="00E23CA1"/>
    <w:rsid w:val="00E40303"/>
    <w:rsid w:val="00E409A8"/>
    <w:rsid w:val="00E501EE"/>
    <w:rsid w:val="00E50C12"/>
    <w:rsid w:val="00E52B10"/>
    <w:rsid w:val="00E65B91"/>
    <w:rsid w:val="00E7209D"/>
    <w:rsid w:val="00E72EAD"/>
    <w:rsid w:val="00E77223"/>
    <w:rsid w:val="00E7783D"/>
    <w:rsid w:val="00E8528B"/>
    <w:rsid w:val="00E85B94"/>
    <w:rsid w:val="00E90DD2"/>
    <w:rsid w:val="00E9253C"/>
    <w:rsid w:val="00E95AFB"/>
    <w:rsid w:val="00E978D0"/>
    <w:rsid w:val="00EA4613"/>
    <w:rsid w:val="00EA7F91"/>
    <w:rsid w:val="00EB1523"/>
    <w:rsid w:val="00EC0E49"/>
    <w:rsid w:val="00EC101F"/>
    <w:rsid w:val="00EC1D9F"/>
    <w:rsid w:val="00EE0131"/>
    <w:rsid w:val="00EE17B0"/>
    <w:rsid w:val="00EE7C54"/>
    <w:rsid w:val="00EF06D9"/>
    <w:rsid w:val="00EF0D2A"/>
    <w:rsid w:val="00F07F24"/>
    <w:rsid w:val="00F10739"/>
    <w:rsid w:val="00F1679F"/>
    <w:rsid w:val="00F3049E"/>
    <w:rsid w:val="00F30C64"/>
    <w:rsid w:val="00F32BA2"/>
    <w:rsid w:val="00F32CDB"/>
    <w:rsid w:val="00F565FE"/>
    <w:rsid w:val="00F63A70"/>
    <w:rsid w:val="00F63D8C"/>
    <w:rsid w:val="00F738E8"/>
    <w:rsid w:val="00F7534E"/>
    <w:rsid w:val="00F939BF"/>
    <w:rsid w:val="00F93EDF"/>
    <w:rsid w:val="00FA1802"/>
    <w:rsid w:val="00FA21D0"/>
    <w:rsid w:val="00FA5F5F"/>
    <w:rsid w:val="00FB730C"/>
    <w:rsid w:val="00FC2695"/>
    <w:rsid w:val="00FC3E03"/>
    <w:rsid w:val="00FC3FC1"/>
    <w:rsid w:val="00FF6D4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74732"/>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74732"/>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674732"/>
    <w:rPr>
      <w:color w:val="808080"/>
    </w:rPr>
  </w:style>
  <w:style w:type="character" w:styleId="Rimandonotaapidipagina">
    <w:name w:val="footnote reference"/>
    <w:basedOn w:val="Carpredefinitoparagrafo"/>
    <w:uiPriority w:val="99"/>
    <w:semiHidden/>
    <w:unhideWhenUsed/>
    <w:rsid w:val="00AA60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311586">
      <w:bodyDiv w:val="1"/>
      <w:marLeft w:val="0"/>
      <w:marRight w:val="0"/>
      <w:marTop w:val="0"/>
      <w:marBottom w:val="0"/>
      <w:divBdr>
        <w:top w:val="none" w:sz="0" w:space="0" w:color="auto"/>
        <w:left w:val="none" w:sz="0" w:space="0" w:color="auto"/>
        <w:bottom w:val="none" w:sz="0" w:space="0" w:color="auto"/>
        <w:right w:val="none" w:sz="0" w:space="0" w:color="auto"/>
      </w:divBdr>
    </w:div>
    <w:div w:id="397676102">
      <w:bodyDiv w:val="1"/>
      <w:marLeft w:val="0"/>
      <w:marRight w:val="0"/>
      <w:marTop w:val="0"/>
      <w:marBottom w:val="0"/>
      <w:divBdr>
        <w:top w:val="none" w:sz="0" w:space="0" w:color="auto"/>
        <w:left w:val="none" w:sz="0" w:space="0" w:color="auto"/>
        <w:bottom w:val="none" w:sz="0" w:space="0" w:color="auto"/>
        <w:right w:val="none" w:sz="0" w:space="0" w:color="auto"/>
      </w:divBdr>
    </w:div>
    <w:div w:id="466245781">
      <w:bodyDiv w:val="1"/>
      <w:marLeft w:val="0"/>
      <w:marRight w:val="0"/>
      <w:marTop w:val="0"/>
      <w:marBottom w:val="0"/>
      <w:divBdr>
        <w:top w:val="none" w:sz="0" w:space="0" w:color="auto"/>
        <w:left w:val="none" w:sz="0" w:space="0" w:color="auto"/>
        <w:bottom w:val="none" w:sz="0" w:space="0" w:color="auto"/>
        <w:right w:val="none" w:sz="0" w:space="0" w:color="auto"/>
      </w:divBdr>
    </w:div>
    <w:div w:id="56172065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9824874">
      <w:bodyDiv w:val="1"/>
      <w:marLeft w:val="0"/>
      <w:marRight w:val="0"/>
      <w:marTop w:val="0"/>
      <w:marBottom w:val="0"/>
      <w:divBdr>
        <w:top w:val="none" w:sz="0" w:space="0" w:color="auto"/>
        <w:left w:val="none" w:sz="0" w:space="0" w:color="auto"/>
        <w:bottom w:val="none" w:sz="0" w:space="0" w:color="auto"/>
        <w:right w:val="none" w:sz="0" w:space="0" w:color="auto"/>
      </w:divBdr>
    </w:div>
    <w:div w:id="156514134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0551">
      <w:bodyDiv w:val="1"/>
      <w:marLeft w:val="0"/>
      <w:marRight w:val="0"/>
      <w:marTop w:val="0"/>
      <w:marBottom w:val="0"/>
      <w:divBdr>
        <w:top w:val="none" w:sz="0" w:space="0" w:color="auto"/>
        <w:left w:val="none" w:sz="0" w:space="0" w:color="auto"/>
        <w:bottom w:val="none" w:sz="0" w:space="0" w:color="auto"/>
        <w:right w:val="none" w:sz="0" w:space="0" w:color="auto"/>
      </w:divBdr>
    </w:div>
    <w:div w:id="1795515339">
      <w:bodyDiv w:val="1"/>
      <w:marLeft w:val="0"/>
      <w:marRight w:val="0"/>
      <w:marTop w:val="0"/>
      <w:marBottom w:val="0"/>
      <w:divBdr>
        <w:top w:val="none" w:sz="0" w:space="0" w:color="auto"/>
        <w:left w:val="none" w:sz="0" w:space="0" w:color="auto"/>
        <w:bottom w:val="none" w:sz="0" w:space="0" w:color="auto"/>
        <w:right w:val="none" w:sz="0" w:space="0" w:color="auto"/>
      </w:divBdr>
    </w:div>
    <w:div w:id="201445165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C:\Users\serel\Dropbox\alghe%20lab\progetto%20raceway\provecinetica.val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37903076215848"/>
          <c:y val="3.7066547586734264E-2"/>
          <c:w val="0.81988155372691784"/>
          <c:h val="0.81072650063466445"/>
        </c:manualLayout>
      </c:layout>
      <c:scatterChart>
        <c:scatterStyle val="lineMarker"/>
        <c:varyColors val="0"/>
        <c:ser>
          <c:idx val="3"/>
          <c:order val="0"/>
          <c:tx>
            <c:v>2.2 mg/L</c:v>
          </c:tx>
          <c:spPr>
            <a:ln w="12700" cap="rnd">
              <a:solidFill>
                <a:schemeClr val="accent4"/>
              </a:solidFill>
              <a:round/>
            </a:ln>
            <a:effectLst/>
          </c:spPr>
          <c:marker>
            <c:symbol val="circle"/>
            <c:size val="7"/>
            <c:spPr>
              <a:noFill/>
              <a:ln w="9525">
                <a:solidFill>
                  <a:schemeClr val="accent4"/>
                </a:solidFill>
              </a:ln>
              <a:effectLst/>
            </c:spPr>
          </c:marker>
          <c:errBars>
            <c:errDir val="y"/>
            <c:errBarType val="both"/>
            <c:errValType val="cust"/>
            <c:noEndCap val="0"/>
            <c:plus>
              <c:numRef>
                <c:f>'Gluc (2)'!$AU$4:$AU$18</c:f>
                <c:numCache>
                  <c:formatCode>General</c:formatCode>
                  <c:ptCount val="15"/>
                  <c:pt idx="0">
                    <c:v>4.3314839859837068E-4</c:v>
                  </c:pt>
                  <c:pt idx="1">
                    <c:v>1.4877965471909566E-3</c:v>
                  </c:pt>
                  <c:pt idx="2">
                    <c:v>1.0303700658015975E-3</c:v>
                  </c:pt>
                  <c:pt idx="3">
                    <c:v>1.0408064245254007E-3</c:v>
                  </c:pt>
                  <c:pt idx="4">
                    <c:v>5.2718163516793392E-4</c:v>
                  </c:pt>
                  <c:pt idx="5">
                    <c:v>5.7164564581128495E-4</c:v>
                  </c:pt>
                  <c:pt idx="6">
                    <c:v>4.8380176919375146E-4</c:v>
                  </c:pt>
                  <c:pt idx="7">
                    <c:v>2.9037335780852901E-3</c:v>
                  </c:pt>
                  <c:pt idx="8">
                    <c:v>2.581233650957109E-3</c:v>
                  </c:pt>
                  <c:pt idx="9">
                    <c:v>1.2973206779125914E-2</c:v>
                  </c:pt>
                  <c:pt idx="10">
                    <c:v>1.5018107893729782E-2</c:v>
                  </c:pt>
                  <c:pt idx="11">
                    <c:v>2.1062531054695171E-2</c:v>
                  </c:pt>
                  <c:pt idx="12">
                    <c:v>3.767606372981834E-2</c:v>
                  </c:pt>
                  <c:pt idx="13">
                    <c:v>3.8946490641723154E-2</c:v>
                  </c:pt>
                  <c:pt idx="14">
                    <c:v>3.0459630277799028E-2</c:v>
                  </c:pt>
                </c:numCache>
              </c:numRef>
            </c:plus>
            <c:minus>
              <c:numRef>
                <c:f>'Gluc (2)'!$AU$4:$AU$18</c:f>
                <c:numCache>
                  <c:formatCode>General</c:formatCode>
                  <c:ptCount val="15"/>
                  <c:pt idx="0">
                    <c:v>4.3314839859837068E-4</c:v>
                  </c:pt>
                  <c:pt idx="1">
                    <c:v>1.4877965471909566E-3</c:v>
                  </c:pt>
                  <c:pt idx="2">
                    <c:v>1.0303700658015975E-3</c:v>
                  </c:pt>
                  <c:pt idx="3">
                    <c:v>1.0408064245254007E-3</c:v>
                  </c:pt>
                  <c:pt idx="4">
                    <c:v>5.2718163516793392E-4</c:v>
                  </c:pt>
                  <c:pt idx="5">
                    <c:v>5.7164564581128495E-4</c:v>
                  </c:pt>
                  <c:pt idx="6">
                    <c:v>4.8380176919375146E-4</c:v>
                  </c:pt>
                  <c:pt idx="7">
                    <c:v>2.9037335780852901E-3</c:v>
                  </c:pt>
                  <c:pt idx="8">
                    <c:v>2.581233650957109E-3</c:v>
                  </c:pt>
                  <c:pt idx="9">
                    <c:v>1.2973206779125914E-2</c:v>
                  </c:pt>
                  <c:pt idx="10">
                    <c:v>1.5018107893729782E-2</c:v>
                  </c:pt>
                  <c:pt idx="11">
                    <c:v>2.1062531054695171E-2</c:v>
                  </c:pt>
                  <c:pt idx="12">
                    <c:v>3.767606372981834E-2</c:v>
                  </c:pt>
                  <c:pt idx="13">
                    <c:v>3.8946490641723154E-2</c:v>
                  </c:pt>
                  <c:pt idx="14">
                    <c:v>3.0459630277799028E-2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'Gluc (2)'!$AC$4:$AC$19</c:f>
              <c:numCache>
                <c:formatCode>General</c:formatCode>
                <c:ptCount val="16"/>
                <c:pt idx="0">
                  <c:v>0</c:v>
                </c:pt>
                <c:pt idx="1">
                  <c:v>2.5</c:v>
                </c:pt>
                <c:pt idx="2">
                  <c:v>5</c:v>
                </c:pt>
                <c:pt idx="3">
                  <c:v>7.5</c:v>
                </c:pt>
                <c:pt idx="4">
                  <c:v>13.5</c:v>
                </c:pt>
                <c:pt idx="5">
                  <c:v>23</c:v>
                </c:pt>
                <c:pt idx="6">
                  <c:v>27</c:v>
                </c:pt>
                <c:pt idx="7">
                  <c:v>31</c:v>
                </c:pt>
                <c:pt idx="8">
                  <c:v>36</c:v>
                </c:pt>
                <c:pt idx="9">
                  <c:v>47</c:v>
                </c:pt>
                <c:pt idx="10">
                  <c:v>51</c:v>
                </c:pt>
                <c:pt idx="11">
                  <c:v>56.5</c:v>
                </c:pt>
                <c:pt idx="12">
                  <c:v>71</c:v>
                </c:pt>
                <c:pt idx="13">
                  <c:v>79.5</c:v>
                </c:pt>
                <c:pt idx="14">
                  <c:v>85</c:v>
                </c:pt>
                <c:pt idx="15">
                  <c:v>97</c:v>
                </c:pt>
              </c:numCache>
            </c:numRef>
          </c:xVal>
          <c:yVal>
            <c:numRef>
              <c:f>'Gluc (2)'!$AW$4:$AW$18</c:f>
              <c:numCache>
                <c:formatCode>0.00</c:formatCode>
                <c:ptCount val="15"/>
                <c:pt idx="0">
                  <c:v>0</c:v>
                </c:pt>
                <c:pt idx="1">
                  <c:v>5.6217335481442546E-2</c:v>
                </c:pt>
                <c:pt idx="2">
                  <c:v>0.16227381488375239</c:v>
                </c:pt>
                <c:pt idx="3">
                  <c:v>0.24244506091052592</c:v>
                </c:pt>
                <c:pt idx="4">
                  <c:v>0.49262120813402782</c:v>
                </c:pt>
                <c:pt idx="5">
                  <c:v>0.86911808134389934</c:v>
                </c:pt>
                <c:pt idx="6">
                  <c:v>0.94283162639180407</c:v>
                </c:pt>
                <c:pt idx="7">
                  <c:v>0.96864579730447942</c:v>
                </c:pt>
                <c:pt idx="8">
                  <c:v>0.97214537919988964</c:v>
                </c:pt>
                <c:pt idx="9">
                  <c:v>0.95613607989744442</c:v>
                </c:pt>
                <c:pt idx="10">
                  <c:v>0.93964424748700082</c:v>
                </c:pt>
                <c:pt idx="11">
                  <c:v>0.94108675551017695</c:v>
                </c:pt>
                <c:pt idx="12">
                  <c:v>0.95082453983031512</c:v>
                </c:pt>
                <c:pt idx="13">
                  <c:v>0.95</c:v>
                </c:pt>
                <c:pt idx="14">
                  <c:v>0.95</c:v>
                </c:pt>
              </c:numCache>
            </c:numRef>
          </c:yVal>
          <c:smooth val="0"/>
          <c:extLst>
            <c:ext xmlns:c16="http://schemas.microsoft.com/office/drawing/2014/chart" uri="{C3380CC4-5D6E-409C-BE32-E72D297353CC}">
              <c16:uniqueId val="{00000000-E50F-41D1-8255-C53D2AD7F8CA}"/>
            </c:ext>
          </c:extLst>
        </c:ser>
        <c:ser>
          <c:idx val="2"/>
          <c:order val="1"/>
          <c:tx>
            <c:v>6.7 mg/L</c:v>
          </c:tx>
          <c:spPr>
            <a:ln w="12700" cap="rnd">
              <a:solidFill>
                <a:schemeClr val="accent3"/>
              </a:solidFill>
              <a:round/>
            </a:ln>
            <a:effectLst/>
          </c:spPr>
          <c:marker>
            <c:symbol val="diamond"/>
            <c:size val="7"/>
            <c:spPr>
              <a:noFill/>
              <a:ln w="9525">
                <a:solidFill>
                  <a:schemeClr val="accent3"/>
                </a:solidFill>
              </a:ln>
              <a:effectLst/>
            </c:spPr>
          </c:marker>
          <c:errBars>
            <c:errDir val="y"/>
            <c:errBarType val="both"/>
            <c:errValType val="cust"/>
            <c:noEndCap val="0"/>
            <c:plus>
              <c:numRef>
                <c:f>'Gluc (2)'!$AK$4:$AK$18</c:f>
                <c:numCache>
                  <c:formatCode>General</c:formatCode>
                  <c:ptCount val="15"/>
                  <c:pt idx="0">
                    <c:v>2.9313178066073329E-4</c:v>
                  </c:pt>
                  <c:pt idx="1">
                    <c:v>9.9376616307610024E-4</c:v>
                  </c:pt>
                  <c:pt idx="2">
                    <c:v>1.5170464250751586E-3</c:v>
                  </c:pt>
                  <c:pt idx="3">
                    <c:v>2.7447479343891191E-3</c:v>
                  </c:pt>
                  <c:pt idx="4">
                    <c:v>8.4622433496162816E-3</c:v>
                  </c:pt>
                  <c:pt idx="5">
                    <c:v>1.6847893956392062E-2</c:v>
                  </c:pt>
                  <c:pt idx="6">
                    <c:v>1.7303697168548477E-2</c:v>
                  </c:pt>
                  <c:pt idx="7">
                    <c:v>1.0260761453753485E-2</c:v>
                  </c:pt>
                  <c:pt idx="8">
                    <c:v>5.9793511739011746E-3</c:v>
                  </c:pt>
                  <c:pt idx="9">
                    <c:v>1.7905514871314795E-2</c:v>
                  </c:pt>
                  <c:pt idx="10">
                    <c:v>2.3062261142520968E-2</c:v>
                  </c:pt>
                  <c:pt idx="11">
                    <c:v>2.195243024259122E-2</c:v>
                  </c:pt>
                  <c:pt idx="12">
                    <c:v>3.3901728588128302E-2</c:v>
                  </c:pt>
                  <c:pt idx="13">
                    <c:v>3.5361201275421021E-2</c:v>
                  </c:pt>
                  <c:pt idx="14">
                    <c:v>2.8692742474539099E-2</c:v>
                  </c:pt>
                </c:numCache>
              </c:numRef>
            </c:plus>
            <c:minus>
              <c:numRef>
                <c:f>'Gluc (2)'!$AK$4:$AK$18</c:f>
                <c:numCache>
                  <c:formatCode>General</c:formatCode>
                  <c:ptCount val="15"/>
                  <c:pt idx="0">
                    <c:v>2.9313178066073329E-4</c:v>
                  </c:pt>
                  <c:pt idx="1">
                    <c:v>9.9376616307610024E-4</c:v>
                  </c:pt>
                  <c:pt idx="2">
                    <c:v>1.5170464250751586E-3</c:v>
                  </c:pt>
                  <c:pt idx="3">
                    <c:v>2.7447479343891191E-3</c:v>
                  </c:pt>
                  <c:pt idx="4">
                    <c:v>8.4622433496162816E-3</c:v>
                  </c:pt>
                  <c:pt idx="5">
                    <c:v>1.6847893956392062E-2</c:v>
                  </c:pt>
                  <c:pt idx="6">
                    <c:v>1.7303697168548477E-2</c:v>
                  </c:pt>
                  <c:pt idx="7">
                    <c:v>1.0260761453753485E-2</c:v>
                  </c:pt>
                  <c:pt idx="8">
                    <c:v>5.9793511739011746E-3</c:v>
                  </c:pt>
                  <c:pt idx="9">
                    <c:v>1.7905514871314795E-2</c:v>
                  </c:pt>
                  <c:pt idx="10">
                    <c:v>2.3062261142520968E-2</c:v>
                  </c:pt>
                  <c:pt idx="11">
                    <c:v>2.195243024259122E-2</c:v>
                  </c:pt>
                  <c:pt idx="12">
                    <c:v>3.3901728588128302E-2</c:v>
                  </c:pt>
                  <c:pt idx="13">
                    <c:v>3.5361201275421021E-2</c:v>
                  </c:pt>
                  <c:pt idx="14">
                    <c:v>2.8692742474539099E-2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'Gluc (2)'!$AC$4:$AC$18</c:f>
              <c:numCache>
                <c:formatCode>General</c:formatCode>
                <c:ptCount val="15"/>
                <c:pt idx="0">
                  <c:v>0</c:v>
                </c:pt>
                <c:pt idx="1">
                  <c:v>2.5</c:v>
                </c:pt>
                <c:pt idx="2">
                  <c:v>5</c:v>
                </c:pt>
                <c:pt idx="3">
                  <c:v>7.5</c:v>
                </c:pt>
                <c:pt idx="4">
                  <c:v>13.5</c:v>
                </c:pt>
                <c:pt idx="5">
                  <c:v>23</c:v>
                </c:pt>
                <c:pt idx="6">
                  <c:v>27</c:v>
                </c:pt>
                <c:pt idx="7">
                  <c:v>31</c:v>
                </c:pt>
                <c:pt idx="8">
                  <c:v>36</c:v>
                </c:pt>
                <c:pt idx="9">
                  <c:v>47</c:v>
                </c:pt>
                <c:pt idx="10">
                  <c:v>51</c:v>
                </c:pt>
                <c:pt idx="11">
                  <c:v>56.5</c:v>
                </c:pt>
                <c:pt idx="12">
                  <c:v>71</c:v>
                </c:pt>
                <c:pt idx="13">
                  <c:v>79.5</c:v>
                </c:pt>
                <c:pt idx="14">
                  <c:v>85</c:v>
                </c:pt>
              </c:numCache>
            </c:numRef>
          </c:xVal>
          <c:yVal>
            <c:numRef>
              <c:f>'Gluc (2)'!$AM$4:$AM$18</c:f>
              <c:numCache>
                <c:formatCode>0.00</c:formatCode>
                <c:ptCount val="15"/>
                <c:pt idx="0">
                  <c:v>0</c:v>
                </c:pt>
                <c:pt idx="1">
                  <c:v>0.12403023620325475</c:v>
                </c:pt>
                <c:pt idx="2">
                  <c:v>0.21765543050469385</c:v>
                </c:pt>
                <c:pt idx="3">
                  <c:v>0.26198958044775439</c:v>
                </c:pt>
                <c:pt idx="4">
                  <c:v>0.47013408943249002</c:v>
                </c:pt>
                <c:pt idx="5">
                  <c:v>0.80212016144658771</c:v>
                </c:pt>
                <c:pt idx="6">
                  <c:v>0.91439657573002431</c:v>
                </c:pt>
                <c:pt idx="7">
                  <c:v>1.0070281835247905</c:v>
                </c:pt>
                <c:pt idx="8">
                  <c:v>1.0463502277272934</c:v>
                </c:pt>
                <c:pt idx="9">
                  <c:v>1.0704918011552966</c:v>
                </c:pt>
                <c:pt idx="10">
                  <c:v>1.0751559961948749</c:v>
                </c:pt>
                <c:pt idx="11">
                  <c:v>1.0748235599030844</c:v>
                </c:pt>
                <c:pt idx="12">
                  <c:v>1.05</c:v>
                </c:pt>
                <c:pt idx="13">
                  <c:v>1.05</c:v>
                </c:pt>
                <c:pt idx="14">
                  <c:v>1.05</c:v>
                </c:pt>
              </c:numCache>
            </c:numRef>
          </c:yVal>
          <c:smooth val="0"/>
          <c:extLst xmlns:c15="http://schemas.microsoft.com/office/drawing/2012/chart">
            <c:ext xmlns:c16="http://schemas.microsoft.com/office/drawing/2014/chart" uri="{C3380CC4-5D6E-409C-BE32-E72D297353CC}">
              <c16:uniqueId val="{00000001-E50F-41D1-8255-C53D2AD7F8CA}"/>
            </c:ext>
          </c:extLst>
        </c:ser>
        <c:ser>
          <c:idx val="6"/>
          <c:order val="2"/>
          <c:tx>
            <c:v>12.6 mg/L</c:v>
          </c:tx>
          <c:spPr>
            <a:ln w="12700" cap="rnd">
              <a:solidFill>
                <a:schemeClr val="tx2">
                  <a:lumMod val="60000"/>
                  <a:lumOff val="40000"/>
                </a:schemeClr>
              </a:solidFill>
              <a:round/>
            </a:ln>
            <a:effectLst/>
          </c:spPr>
          <c:marker>
            <c:symbol val="triangle"/>
            <c:size val="7"/>
            <c:spPr>
              <a:noFill/>
              <a:ln w="9525">
                <a:solidFill>
                  <a:schemeClr val="accent1">
                    <a:lumMod val="60000"/>
                  </a:schemeClr>
                </a:solidFill>
              </a:ln>
              <a:effectLst/>
            </c:spPr>
          </c:marker>
          <c:xVal>
            <c:numRef>
              <c:f>'Gluc (2)'!$BS$13:$BS$35</c:f>
              <c:numCache>
                <c:formatCode>General</c:formatCode>
                <c:ptCount val="23"/>
                <c:pt idx="0">
                  <c:v>0</c:v>
                </c:pt>
                <c:pt idx="1">
                  <c:v>4</c:v>
                </c:pt>
                <c:pt idx="2">
                  <c:v>6</c:v>
                </c:pt>
                <c:pt idx="3">
                  <c:v>20</c:v>
                </c:pt>
                <c:pt idx="4">
                  <c:v>24</c:v>
                </c:pt>
                <c:pt idx="5">
                  <c:v>28</c:v>
                </c:pt>
                <c:pt idx="6">
                  <c:v>40</c:v>
                </c:pt>
                <c:pt idx="7">
                  <c:v>85</c:v>
                </c:pt>
              </c:numCache>
            </c:numRef>
          </c:xVal>
          <c:yVal>
            <c:numRef>
              <c:f>'Gluc (2)'!$CC$13:$CC$29</c:f>
              <c:numCache>
                <c:formatCode>0.00</c:formatCode>
                <c:ptCount val="17"/>
                <c:pt idx="0">
                  <c:v>0</c:v>
                </c:pt>
                <c:pt idx="1">
                  <c:v>0.15900692284698881</c:v>
                </c:pt>
                <c:pt idx="2">
                  <c:v>0.22677710471745172</c:v>
                </c:pt>
                <c:pt idx="3">
                  <c:v>0.77097017532153467</c:v>
                </c:pt>
                <c:pt idx="4">
                  <c:v>0.84</c:v>
                </c:pt>
                <c:pt idx="5">
                  <c:v>0.88</c:v>
                </c:pt>
                <c:pt idx="6">
                  <c:v>0.9</c:v>
                </c:pt>
                <c:pt idx="7">
                  <c:v>1</c:v>
                </c:pt>
              </c:numCache>
            </c:numRef>
          </c:yVal>
          <c:smooth val="0"/>
          <c:extLst xmlns:c15="http://schemas.microsoft.com/office/drawing/2012/chart">
            <c:ext xmlns:c16="http://schemas.microsoft.com/office/drawing/2014/chart" uri="{C3380CC4-5D6E-409C-BE32-E72D297353CC}">
              <c16:uniqueId val="{00000002-E50F-41D1-8255-C53D2AD7F8CA}"/>
            </c:ext>
          </c:extLst>
        </c:ser>
        <c:ser>
          <c:idx val="5"/>
          <c:order val="3"/>
          <c:tx>
            <c:v>22.2 mg/L</c:v>
          </c:tx>
          <c:spPr>
            <a:ln w="12700" cap="rnd">
              <a:solidFill>
                <a:schemeClr val="accent6"/>
              </a:solidFill>
              <a:round/>
            </a:ln>
            <a:effectLst/>
          </c:spPr>
          <c:marker>
            <c:symbol val="star"/>
            <c:size val="7"/>
            <c:spPr>
              <a:noFill/>
              <a:ln w="9525">
                <a:solidFill>
                  <a:schemeClr val="accent6"/>
                </a:solidFill>
              </a:ln>
              <a:effectLst/>
            </c:spPr>
          </c:marker>
          <c:errBars>
            <c:errDir val="y"/>
            <c:errBarType val="both"/>
            <c:errValType val="cust"/>
            <c:noEndCap val="0"/>
            <c:plus>
              <c:numRef>
                <c:f>'Gluc (2)'!$BP$4:$BP$13</c:f>
                <c:numCache>
                  <c:formatCode>General</c:formatCode>
                  <c:ptCount val="10"/>
                  <c:pt idx="0">
                    <c:v>1.99591848113427E-4</c:v>
                  </c:pt>
                  <c:pt idx="1">
                    <c:v>4.0269245890422827E-4</c:v>
                  </c:pt>
                  <c:pt idx="2">
                    <c:v>3.1600668637440926E-4</c:v>
                  </c:pt>
                  <c:pt idx="3">
                    <c:v>1.9263712079537851E-3</c:v>
                  </c:pt>
                  <c:pt idx="4">
                    <c:v>6.2610407956831182E-3</c:v>
                  </c:pt>
                  <c:pt idx="5">
                    <c:v>1.2246625331656009E-2</c:v>
                  </c:pt>
                  <c:pt idx="6">
                    <c:v>1.2568469161763839E-2</c:v>
                  </c:pt>
                  <c:pt idx="7">
                    <c:v>1.4668936807161583E-2</c:v>
                  </c:pt>
                  <c:pt idx="8">
                    <c:v>1.6878890275207677E-2</c:v>
                  </c:pt>
                  <c:pt idx="9">
                    <c:v>2.490835919642477E-2</c:v>
                  </c:pt>
                </c:numCache>
              </c:numRef>
            </c:plus>
            <c:minus>
              <c:numRef>
                <c:f>'Gluc (2)'!$BP$4:$BP$13</c:f>
                <c:numCache>
                  <c:formatCode>General</c:formatCode>
                  <c:ptCount val="10"/>
                  <c:pt idx="0">
                    <c:v>1.99591848113427E-4</c:v>
                  </c:pt>
                  <c:pt idx="1">
                    <c:v>4.0269245890422827E-4</c:v>
                  </c:pt>
                  <c:pt idx="2">
                    <c:v>3.1600668637440926E-4</c:v>
                  </c:pt>
                  <c:pt idx="3">
                    <c:v>1.9263712079537851E-3</c:v>
                  </c:pt>
                  <c:pt idx="4">
                    <c:v>6.2610407956831182E-3</c:v>
                  </c:pt>
                  <c:pt idx="5">
                    <c:v>1.2246625331656009E-2</c:v>
                  </c:pt>
                  <c:pt idx="6">
                    <c:v>1.2568469161763839E-2</c:v>
                  </c:pt>
                  <c:pt idx="7">
                    <c:v>1.4668936807161583E-2</c:v>
                  </c:pt>
                  <c:pt idx="8">
                    <c:v>1.6878890275207677E-2</c:v>
                  </c:pt>
                  <c:pt idx="9">
                    <c:v>2.490835919642477E-2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'Gluc (2)'!$AC$4:$AC$18</c:f>
              <c:numCache>
                <c:formatCode>General</c:formatCode>
                <c:ptCount val="15"/>
                <c:pt idx="0">
                  <c:v>0</c:v>
                </c:pt>
                <c:pt idx="1">
                  <c:v>2.5</c:v>
                </c:pt>
                <c:pt idx="2">
                  <c:v>5</c:v>
                </c:pt>
                <c:pt idx="3">
                  <c:v>7.5</c:v>
                </c:pt>
                <c:pt idx="4">
                  <c:v>13.5</c:v>
                </c:pt>
                <c:pt idx="5">
                  <c:v>23</c:v>
                </c:pt>
                <c:pt idx="6">
                  <c:v>27</c:v>
                </c:pt>
                <c:pt idx="7">
                  <c:v>31</c:v>
                </c:pt>
                <c:pt idx="8">
                  <c:v>36</c:v>
                </c:pt>
                <c:pt idx="9">
                  <c:v>47</c:v>
                </c:pt>
                <c:pt idx="10">
                  <c:v>51</c:v>
                </c:pt>
                <c:pt idx="11">
                  <c:v>56.5</c:v>
                </c:pt>
                <c:pt idx="12">
                  <c:v>71</c:v>
                </c:pt>
                <c:pt idx="13">
                  <c:v>79.5</c:v>
                </c:pt>
                <c:pt idx="14">
                  <c:v>85</c:v>
                </c:pt>
              </c:numCache>
            </c:numRef>
          </c:xVal>
          <c:yVal>
            <c:numRef>
              <c:f>'Gluc (2)'!$BR$4:$BR$18</c:f>
              <c:numCache>
                <c:formatCode>0.00</c:formatCode>
                <c:ptCount val="15"/>
                <c:pt idx="0">
                  <c:v>0</c:v>
                </c:pt>
                <c:pt idx="1">
                  <c:v>0.15174658712046704</c:v>
                </c:pt>
                <c:pt idx="2">
                  <c:v>0.29977212781786178</c:v>
                </c:pt>
                <c:pt idx="3">
                  <c:v>0.33880081192893524</c:v>
                </c:pt>
                <c:pt idx="4">
                  <c:v>0.51408411308137814</c:v>
                </c:pt>
                <c:pt idx="5">
                  <c:v>0.97608263646504423</c:v>
                </c:pt>
                <c:pt idx="6">
                  <c:v>1.0427215909266718</c:v>
                </c:pt>
                <c:pt idx="7">
                  <c:v>1.063773802093221</c:v>
                </c:pt>
                <c:pt idx="8">
                  <c:v>1.0694064897944497</c:v>
                </c:pt>
                <c:pt idx="9">
                  <c:v>1.0910616431043083</c:v>
                </c:pt>
                <c:pt idx="12">
                  <c:v>1.0910616431043083</c:v>
                </c:pt>
                <c:pt idx="14">
                  <c:v>1.0910616431043083</c:v>
                </c:pt>
              </c:numCache>
            </c:numRef>
          </c:yVal>
          <c:smooth val="0"/>
          <c:extLst xmlns:c15="http://schemas.microsoft.com/office/drawing/2012/chart">
            <c:ext xmlns:c16="http://schemas.microsoft.com/office/drawing/2014/chart" uri="{C3380CC4-5D6E-409C-BE32-E72D297353CC}">
              <c16:uniqueId val="{00000003-E50F-41D1-8255-C53D2AD7F8CA}"/>
            </c:ext>
          </c:extLst>
        </c:ser>
        <c:ser>
          <c:idx val="4"/>
          <c:order val="5"/>
          <c:tx>
            <c:v>89.3 mg/L</c:v>
          </c:tx>
          <c:spPr>
            <a:ln w="12700" cap="rnd">
              <a:solidFill>
                <a:srgbClr val="00B050"/>
              </a:solidFill>
              <a:round/>
            </a:ln>
            <a:effectLst/>
          </c:spPr>
          <c:marker>
            <c:symbol val="triangle"/>
            <c:size val="7"/>
            <c:spPr>
              <a:solidFill>
                <a:srgbClr val="00B050"/>
              </a:solidFill>
              <a:ln w="9525">
                <a:solidFill>
                  <a:srgbClr val="00B050"/>
                </a:solidFill>
              </a:ln>
              <a:effectLst/>
            </c:spPr>
          </c:marker>
          <c:errBars>
            <c:errDir val="y"/>
            <c:errBarType val="both"/>
            <c:errValType val="cust"/>
            <c:noEndCap val="0"/>
            <c:plus>
              <c:numRef>
                <c:f>'Gluc (2)'!$BE$4:$BE$18</c:f>
                <c:numCache>
                  <c:formatCode>General</c:formatCode>
                  <c:ptCount val="15"/>
                  <c:pt idx="0">
                    <c:v>6.482000000000035E-4</c:v>
                  </c:pt>
                  <c:pt idx="1">
                    <c:v>5.6362049454841093E-4</c:v>
                  </c:pt>
                  <c:pt idx="2">
                    <c:v>2.0589622667337389E-3</c:v>
                  </c:pt>
                  <c:pt idx="3">
                    <c:v>7.9623885706488868E-4</c:v>
                  </c:pt>
                  <c:pt idx="4">
                    <c:v>2.9250263950019815E-3</c:v>
                  </c:pt>
                  <c:pt idx="5">
                    <c:v>9.623339258585533E-3</c:v>
                  </c:pt>
                  <c:pt idx="6">
                    <c:v>1.225469654526209E-2</c:v>
                  </c:pt>
                  <c:pt idx="7">
                    <c:v>1.2936128029379584E-2</c:v>
                  </c:pt>
                  <c:pt idx="8">
                    <c:v>1.1401815664072985E-2</c:v>
                  </c:pt>
                  <c:pt idx="9">
                    <c:v>2.0793790829896932E-2</c:v>
                  </c:pt>
                  <c:pt idx="10">
                    <c:v>2.0431807354317818E-2</c:v>
                  </c:pt>
                  <c:pt idx="11">
                    <c:v>1.8404487807688049E-2</c:v>
                  </c:pt>
                  <c:pt idx="12">
                    <c:v>1.6079897068668018E-2</c:v>
                  </c:pt>
                  <c:pt idx="13">
                    <c:v>2.0207722385823208E-2</c:v>
                  </c:pt>
                  <c:pt idx="14">
                    <c:v>2.6694686331627061E-2</c:v>
                  </c:pt>
                </c:numCache>
              </c:numRef>
            </c:plus>
            <c:minus>
              <c:numRef>
                <c:f>'Gluc (2)'!$BE$4:$BE$18</c:f>
                <c:numCache>
                  <c:formatCode>General</c:formatCode>
                  <c:ptCount val="15"/>
                  <c:pt idx="0">
                    <c:v>6.482000000000035E-4</c:v>
                  </c:pt>
                  <c:pt idx="1">
                    <c:v>5.6362049454841093E-4</c:v>
                  </c:pt>
                  <c:pt idx="2">
                    <c:v>2.0589622667337389E-3</c:v>
                  </c:pt>
                  <c:pt idx="3">
                    <c:v>7.9623885706488868E-4</c:v>
                  </c:pt>
                  <c:pt idx="4">
                    <c:v>2.9250263950019815E-3</c:v>
                  </c:pt>
                  <c:pt idx="5">
                    <c:v>9.623339258585533E-3</c:v>
                  </c:pt>
                  <c:pt idx="6">
                    <c:v>1.225469654526209E-2</c:v>
                  </c:pt>
                  <c:pt idx="7">
                    <c:v>1.2936128029379584E-2</c:v>
                  </c:pt>
                  <c:pt idx="8">
                    <c:v>1.1401815664072985E-2</c:v>
                  </c:pt>
                  <c:pt idx="9">
                    <c:v>2.0793790829896932E-2</c:v>
                  </c:pt>
                  <c:pt idx="10">
                    <c:v>2.0431807354317818E-2</c:v>
                  </c:pt>
                  <c:pt idx="11">
                    <c:v>1.8404487807688049E-2</c:v>
                  </c:pt>
                  <c:pt idx="12">
                    <c:v>1.6079897068668018E-2</c:v>
                  </c:pt>
                  <c:pt idx="13">
                    <c:v>2.0207722385823208E-2</c:v>
                  </c:pt>
                  <c:pt idx="14">
                    <c:v>2.6694686331627061E-2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'Gluc (2)'!$AC$4:$AC$18</c:f>
              <c:numCache>
                <c:formatCode>General</c:formatCode>
                <c:ptCount val="15"/>
                <c:pt idx="0">
                  <c:v>0</c:v>
                </c:pt>
                <c:pt idx="1">
                  <c:v>2.5</c:v>
                </c:pt>
                <c:pt idx="2">
                  <c:v>5</c:v>
                </c:pt>
                <c:pt idx="3">
                  <c:v>7.5</c:v>
                </c:pt>
                <c:pt idx="4">
                  <c:v>13.5</c:v>
                </c:pt>
                <c:pt idx="5">
                  <c:v>23</c:v>
                </c:pt>
                <c:pt idx="6">
                  <c:v>27</c:v>
                </c:pt>
                <c:pt idx="7">
                  <c:v>31</c:v>
                </c:pt>
                <c:pt idx="8">
                  <c:v>36</c:v>
                </c:pt>
                <c:pt idx="9">
                  <c:v>47</c:v>
                </c:pt>
                <c:pt idx="10">
                  <c:v>51</c:v>
                </c:pt>
                <c:pt idx="11">
                  <c:v>56.5</c:v>
                </c:pt>
                <c:pt idx="12">
                  <c:v>71</c:v>
                </c:pt>
                <c:pt idx="13">
                  <c:v>79.5</c:v>
                </c:pt>
                <c:pt idx="14">
                  <c:v>85</c:v>
                </c:pt>
              </c:numCache>
            </c:numRef>
          </c:xVal>
          <c:yVal>
            <c:numRef>
              <c:f>'Gluc (2)'!$BG$4:$BG$18</c:f>
              <c:numCache>
                <c:formatCode>0.00</c:formatCode>
                <c:ptCount val="15"/>
                <c:pt idx="0">
                  <c:v>0</c:v>
                </c:pt>
                <c:pt idx="1">
                  <c:v>0.19275989051560061</c:v>
                </c:pt>
                <c:pt idx="2">
                  <c:v>0.39228245789119265</c:v>
                </c:pt>
                <c:pt idx="3">
                  <c:v>0.52296245475890546</c:v>
                </c:pt>
                <c:pt idx="4">
                  <c:v>0.90705036126098038</c:v>
                </c:pt>
                <c:pt idx="5">
                  <c:v>1.0578870716423825</c:v>
                </c:pt>
                <c:pt idx="6">
                  <c:v>1.0529542997915637</c:v>
                </c:pt>
                <c:pt idx="7">
                  <c:v>1.0106451187816632</c:v>
                </c:pt>
                <c:pt idx="8">
                  <c:v>0.9979311749100378</c:v>
                </c:pt>
                <c:pt idx="9">
                  <c:v>0.94134074747123697</c:v>
                </c:pt>
                <c:pt idx="10">
                  <c:v>0.94982362686936717</c:v>
                </c:pt>
                <c:pt idx="11">
                  <c:v>0.98370249201652982</c:v>
                </c:pt>
                <c:pt idx="12">
                  <c:v>1.086397974223682</c:v>
                </c:pt>
                <c:pt idx="13">
                  <c:v>1.07</c:v>
                </c:pt>
                <c:pt idx="14">
                  <c:v>1.07</c:v>
                </c:pt>
              </c:numCache>
            </c:numRef>
          </c:yVal>
          <c:smooth val="0"/>
          <c:extLst>
            <c:ext xmlns:c16="http://schemas.microsoft.com/office/drawing/2014/chart" uri="{C3380CC4-5D6E-409C-BE32-E72D297353CC}">
              <c16:uniqueId val="{00000004-E50F-41D1-8255-C53D2AD7F8CA}"/>
            </c:ext>
          </c:extLst>
        </c:ser>
        <c:ser>
          <c:idx val="14"/>
          <c:order val="6"/>
          <c:tx>
            <c:v>210.0 mg/L</c:v>
          </c:tx>
          <c:spPr>
            <a:ln w="12700" cap="rnd">
              <a:solidFill>
                <a:schemeClr val="tx1"/>
              </a:solidFill>
              <a:round/>
            </a:ln>
            <a:effectLst/>
          </c:spPr>
          <c:marker>
            <c:symbol val="square"/>
            <c:size val="7"/>
            <c:spPr>
              <a:noFill/>
              <a:ln w="9525">
                <a:solidFill>
                  <a:schemeClr val="tx1"/>
                </a:solidFill>
              </a:ln>
              <a:effectLst/>
            </c:spPr>
          </c:marker>
          <c:xVal>
            <c:numRef>
              <c:f>'Gluc (2)'!$DG$25:$DG$36</c:f>
              <c:numCache>
                <c:formatCode>General</c:formatCode>
                <c:ptCount val="12"/>
                <c:pt idx="0">
                  <c:v>0</c:v>
                </c:pt>
                <c:pt idx="1">
                  <c:v>1.5</c:v>
                </c:pt>
                <c:pt idx="2">
                  <c:v>3.5</c:v>
                </c:pt>
                <c:pt idx="3">
                  <c:v>9.5</c:v>
                </c:pt>
                <c:pt idx="4">
                  <c:v>13.5</c:v>
                </c:pt>
                <c:pt idx="5">
                  <c:v>23</c:v>
                </c:pt>
                <c:pt idx="6">
                  <c:v>27.5</c:v>
                </c:pt>
                <c:pt idx="7">
                  <c:v>31</c:v>
                </c:pt>
                <c:pt idx="8">
                  <c:v>40</c:v>
                </c:pt>
                <c:pt idx="9">
                  <c:v>55.5</c:v>
                </c:pt>
                <c:pt idx="11">
                  <c:v>85</c:v>
                </c:pt>
              </c:numCache>
            </c:numRef>
          </c:xVal>
          <c:yVal>
            <c:numRef>
              <c:f>'Gluc (2)'!$DQ$25:$DQ$36</c:f>
              <c:numCache>
                <c:formatCode>0.00</c:formatCode>
                <c:ptCount val="12"/>
                <c:pt idx="0">
                  <c:v>6.6983273250900852E-2</c:v>
                </c:pt>
                <c:pt idx="1">
                  <c:v>4.3820210238780501E-2</c:v>
                </c:pt>
                <c:pt idx="2">
                  <c:v>8.868360172892209E-2</c:v>
                </c:pt>
                <c:pt idx="3">
                  <c:v>0.3</c:v>
                </c:pt>
                <c:pt idx="4">
                  <c:v>0.6</c:v>
                </c:pt>
                <c:pt idx="5">
                  <c:v>0.9</c:v>
                </c:pt>
                <c:pt idx="6">
                  <c:v>1</c:v>
                </c:pt>
                <c:pt idx="7">
                  <c:v>1.1000000000000001</c:v>
                </c:pt>
                <c:pt idx="8">
                  <c:v>1.1000000000000001</c:v>
                </c:pt>
                <c:pt idx="9">
                  <c:v>1.1100000000000001</c:v>
                </c:pt>
                <c:pt idx="11">
                  <c:v>1.1200000000000001</c:v>
                </c:pt>
              </c:numCache>
            </c:numRef>
          </c:yVal>
          <c:smooth val="0"/>
          <c:extLst>
            <c:ext xmlns:c16="http://schemas.microsoft.com/office/drawing/2014/chart" uri="{C3380CC4-5D6E-409C-BE32-E72D297353CC}">
              <c16:uniqueId val="{00000005-E50F-41D1-8255-C53D2AD7F8CA}"/>
            </c:ext>
          </c:extLst>
        </c:ser>
        <c:ser>
          <c:idx val="10"/>
          <c:order val="7"/>
          <c:tx>
            <c:v>250.0 mg/L</c:v>
          </c:tx>
          <c:spPr>
            <a:ln w="12700" cap="rnd">
              <a:solidFill>
                <a:schemeClr val="accent5"/>
              </a:solidFill>
              <a:round/>
            </a:ln>
            <a:effectLst/>
          </c:spPr>
          <c:marker>
            <c:symbol val="circle"/>
            <c:size val="7"/>
            <c:spPr>
              <a:solidFill>
                <a:schemeClr val="accent5"/>
              </a:solidFill>
              <a:ln w="9525">
                <a:solidFill>
                  <a:schemeClr val="accent5"/>
                </a:solidFill>
              </a:ln>
              <a:effectLst/>
            </c:spPr>
          </c:marker>
          <c:dPt>
            <c:idx val="8"/>
            <c:marker>
              <c:symbol val="circle"/>
              <c:size val="7"/>
              <c:spPr>
                <a:solidFill>
                  <a:schemeClr val="accent5"/>
                </a:solidFill>
                <a:ln w="9525">
                  <a:solidFill>
                    <a:schemeClr val="accent5"/>
                  </a:solidFill>
                </a:ln>
                <a:effectLst/>
              </c:spPr>
            </c:marker>
            <c:bubble3D val="0"/>
            <c:spPr>
              <a:ln w="12700" cap="rnd">
                <a:solidFill>
                  <a:schemeClr val="accent5"/>
                </a:solidFill>
                <a:round/>
              </a:ln>
              <a:effectLst/>
            </c:spPr>
            <c:extLst>
              <c:ext xmlns:c16="http://schemas.microsoft.com/office/drawing/2014/chart" uri="{C3380CC4-5D6E-409C-BE32-E72D297353CC}">
                <c16:uniqueId val="{00000008-E50F-41D1-8255-C53D2AD7F8CA}"/>
              </c:ext>
            </c:extLst>
          </c:dPt>
          <c:errBars>
            <c:errDir val="y"/>
            <c:errBarType val="both"/>
            <c:errValType val="cust"/>
            <c:noEndCap val="0"/>
            <c:plus>
              <c:numRef>
                <c:f>'Gluc (2)'!$DY$4:$DY$11</c:f>
                <c:numCache>
                  <c:formatCode>General</c:formatCode>
                  <c:ptCount val="8"/>
                  <c:pt idx="0">
                    <c:v>8.1538734443106092E-4</c:v>
                  </c:pt>
                  <c:pt idx="1">
                    <c:v>6.5081288849663614E-4</c:v>
                  </c:pt>
                  <c:pt idx="2">
                    <c:v>1.3132907467979125E-3</c:v>
                  </c:pt>
                  <c:pt idx="3">
                    <c:v>2.8185303259189976E-3</c:v>
                  </c:pt>
                  <c:pt idx="4">
                    <c:v>9.3669359959313806E-3</c:v>
                  </c:pt>
                  <c:pt idx="5">
                    <c:v>5.7834511921048028E-3</c:v>
                  </c:pt>
                  <c:pt idx="6">
                    <c:v>3.5803441535870546E-3</c:v>
                  </c:pt>
                  <c:pt idx="7">
                    <c:v>7.5771379915726298E-3</c:v>
                  </c:pt>
                </c:numCache>
              </c:numRef>
            </c:plus>
            <c:minus>
              <c:numRef>
                <c:f>'Gluc (2)'!$DY$4:$DY$11</c:f>
                <c:numCache>
                  <c:formatCode>General</c:formatCode>
                  <c:ptCount val="8"/>
                  <c:pt idx="0">
                    <c:v>8.1538734443106092E-4</c:v>
                  </c:pt>
                  <c:pt idx="1">
                    <c:v>6.5081288849663614E-4</c:v>
                  </c:pt>
                  <c:pt idx="2">
                    <c:v>1.3132907467979125E-3</c:v>
                  </c:pt>
                  <c:pt idx="3">
                    <c:v>2.8185303259189976E-3</c:v>
                  </c:pt>
                  <c:pt idx="4">
                    <c:v>9.3669359959313806E-3</c:v>
                  </c:pt>
                  <c:pt idx="5">
                    <c:v>5.7834511921048028E-3</c:v>
                  </c:pt>
                  <c:pt idx="6">
                    <c:v>3.5803441535870546E-3</c:v>
                  </c:pt>
                  <c:pt idx="7">
                    <c:v>7.5771379915726298E-3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'Gluc (2)'!$DG$4:$DG$12</c:f>
              <c:numCache>
                <c:formatCode>General</c:formatCode>
                <c:ptCount val="9"/>
                <c:pt idx="0">
                  <c:v>0</c:v>
                </c:pt>
                <c:pt idx="1">
                  <c:v>2.5</c:v>
                </c:pt>
                <c:pt idx="2">
                  <c:v>5</c:v>
                </c:pt>
                <c:pt idx="3">
                  <c:v>8</c:v>
                </c:pt>
                <c:pt idx="4">
                  <c:v>23.5</c:v>
                </c:pt>
                <c:pt idx="5">
                  <c:v>26</c:v>
                </c:pt>
                <c:pt idx="6">
                  <c:v>28</c:v>
                </c:pt>
                <c:pt idx="7">
                  <c:v>32</c:v>
                </c:pt>
                <c:pt idx="8" formatCode="0">
                  <c:v>85</c:v>
                </c:pt>
              </c:numCache>
            </c:numRef>
          </c:xVal>
          <c:yVal>
            <c:numRef>
              <c:f>'Gluc (2)'!$EA$4:$EA$12</c:f>
              <c:numCache>
                <c:formatCode>0.00</c:formatCode>
                <c:ptCount val="9"/>
                <c:pt idx="0">
                  <c:v>0</c:v>
                </c:pt>
                <c:pt idx="1">
                  <c:v>8.5926074109809097E-2</c:v>
                </c:pt>
                <c:pt idx="2">
                  <c:v>0.1535024139368594</c:v>
                </c:pt>
                <c:pt idx="3">
                  <c:v>0.3</c:v>
                </c:pt>
                <c:pt idx="4">
                  <c:v>1.1000000000000001</c:v>
                </c:pt>
                <c:pt idx="5">
                  <c:v>1.1100000000000001</c:v>
                </c:pt>
                <c:pt idx="6">
                  <c:v>1.1200000000000001</c:v>
                </c:pt>
                <c:pt idx="7">
                  <c:v>1.1299999999999999</c:v>
                </c:pt>
                <c:pt idx="8">
                  <c:v>1.2</c:v>
                </c:pt>
              </c:numCache>
            </c:numRef>
          </c:yVal>
          <c:smooth val="0"/>
          <c:extLst>
            <c:ext xmlns:c16="http://schemas.microsoft.com/office/drawing/2014/chart" uri="{C3380CC4-5D6E-409C-BE32-E72D297353CC}">
              <c16:uniqueId val="{00000006-E50F-41D1-8255-C53D2AD7F8CA}"/>
            </c:ext>
          </c:extLst>
        </c:ser>
        <c:dLbls>
          <c:showLegendKey val="0"/>
          <c:showVal val="0"/>
          <c:showCatName val="0"/>
          <c:showSerName val="0"/>
          <c:showPercent val="0"/>
          <c:showBubbleSize val="0"/>
        </c:dLbls>
        <c:axId val="-1186848112"/>
        <c:axId val="-1186844304"/>
        <c:extLst>
          <c:ext xmlns:c15="http://schemas.microsoft.com/office/drawing/2012/chart" uri="{02D57815-91ED-43cb-92C2-25804820EDAC}">
            <c15:filteredScatterSeries>
              <c15:ser>
                <c:idx val="12"/>
                <c:order val="4"/>
                <c:tx>
                  <c:v>gluc8R 40</c:v>
                </c:tx>
                <c:spPr>
                  <a:ln w="19050" cap="rnd">
                    <a:solidFill>
                      <a:schemeClr val="accent2"/>
                    </a:solidFill>
                    <a:round/>
                  </a:ln>
                  <a:effectLst/>
                </c:spPr>
                <c:marker>
                  <c:symbol val="circle"/>
                  <c:size val="5"/>
                  <c:spPr>
                    <a:solidFill>
                      <a:schemeClr val="accent1">
                        <a:lumMod val="80000"/>
                        <a:lumOff val="20000"/>
                      </a:schemeClr>
                    </a:solidFill>
                    <a:ln w="9525">
                      <a:solidFill>
                        <a:schemeClr val="accent2"/>
                      </a:solidFill>
                    </a:ln>
                    <a:effectLst/>
                  </c:spPr>
                </c:marker>
                <c:xVal>
                  <c:numRef>
                    <c:extLst>
                      <c:ext uri="{02D57815-91ED-43cb-92C2-25804820EDAC}">
                        <c15:formulaRef>
                          <c15:sqref>'Gluc (2)'!$EC$4:$EC$17</c15:sqref>
                        </c15:formulaRef>
                      </c:ext>
                    </c:extLst>
                    <c:numCache>
                      <c:formatCode>General</c:formatCode>
                      <c:ptCount val="14"/>
                      <c:pt idx="0">
                        <c:v>0</c:v>
                      </c:pt>
                      <c:pt idx="1">
                        <c:v>1.5</c:v>
                      </c:pt>
                      <c:pt idx="2">
                        <c:v>3.5</c:v>
                      </c:pt>
                      <c:pt idx="3">
                        <c:v>9.5</c:v>
                      </c:pt>
                      <c:pt idx="4">
                        <c:v>13.5</c:v>
                      </c:pt>
                      <c:pt idx="5">
                        <c:v>23</c:v>
                      </c:pt>
                      <c:pt idx="6">
                        <c:v>25</c:v>
                      </c:pt>
                      <c:pt idx="7">
                        <c:v>27.5</c:v>
                      </c:pt>
                      <c:pt idx="8" formatCode="0">
                        <c:v>31</c:v>
                      </c:pt>
                      <c:pt idx="9" formatCode="0.00">
                        <c:v>47.5</c:v>
                      </c:pt>
                      <c:pt idx="11" formatCode="0.00">
                        <c:v>57.5</c:v>
                      </c:pt>
                      <c:pt idx="13" formatCode="0.00">
                        <c:v>80</c:v>
                      </c:pt>
                    </c:numCache>
                  </c:numRef>
                </c:xVal>
                <c:yVal>
                  <c:numRef>
                    <c:extLst>
                      <c:ext uri="{02D57815-91ED-43cb-92C2-25804820EDAC}">
                        <c15:formulaRef>
                          <c15:sqref>'Gluc (2)'!$EM$4:$EM$17</c15:sqref>
                        </c15:formulaRef>
                      </c:ext>
                    </c:extLst>
                    <c:numCache>
                      <c:formatCode>0.00</c:formatCode>
                      <c:ptCount val="14"/>
                      <c:pt idx="0">
                        <c:v>0</c:v>
                      </c:pt>
                      <c:pt idx="1">
                        <c:v>0.02</c:v>
                      </c:pt>
                      <c:pt idx="2">
                        <c:v>0.03</c:v>
                      </c:pt>
                      <c:pt idx="3">
                        <c:v>0.04</c:v>
                      </c:pt>
                      <c:pt idx="4">
                        <c:v>0.08</c:v>
                      </c:pt>
                      <c:pt idx="5">
                        <c:v>0.474478330749599</c:v>
                      </c:pt>
                      <c:pt idx="6">
                        <c:v>0.54874990598921802</c:v>
                      </c:pt>
                      <c:pt idx="7">
                        <c:v>0.60192712839125329</c:v>
                      </c:pt>
                      <c:pt idx="8">
                        <c:v>0.63026571030399448</c:v>
                      </c:pt>
                      <c:pt idx="9">
                        <c:v>0.65</c:v>
                      </c:pt>
                      <c:pt idx="11">
                        <c:v>0.66</c:v>
                      </c:pt>
                      <c:pt idx="12">
                        <c:v>0.67</c:v>
                      </c:pt>
                      <c:pt idx="13">
                        <c:v>0.68</c:v>
                      </c:pt>
                    </c:numCache>
                  </c:numRef>
                </c:yVal>
                <c:smooth val="0"/>
                <c:extLst>
                  <c:ext xmlns:c16="http://schemas.microsoft.com/office/drawing/2014/chart" uri="{C3380CC4-5D6E-409C-BE32-E72D297353CC}">
                    <c16:uniqueId val="{00000007-E50F-41D1-8255-C53D2AD7F8CA}"/>
                  </c:ext>
                </c:extLst>
              </c15:ser>
            </c15:filteredScatterSeries>
          </c:ext>
        </c:extLst>
      </c:scatterChart>
      <c:valAx>
        <c:axId val="-1186848112"/>
        <c:scaling>
          <c:orientation val="minMax"/>
          <c:max val="8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00"/>
                  <a:t>Time (h)</a:t>
                </a:r>
              </a:p>
            </c:rich>
          </c:tx>
          <c:layout>
            <c:manualLayout>
              <c:xMode val="edge"/>
              <c:yMode val="edge"/>
              <c:x val="0.45346613239776135"/>
              <c:y val="0.942916140714635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186844304"/>
        <c:crosses val="autoZero"/>
        <c:crossBetween val="midCat"/>
      </c:valAx>
      <c:valAx>
        <c:axId val="-118684430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00"/>
                  <a:t>ln(X/X</a:t>
                </a:r>
                <a:r>
                  <a:rPr lang="it-IT" sz="1000" baseline="-25000"/>
                  <a:t>0</a:t>
                </a:r>
                <a:r>
                  <a:rPr lang="it-IT" sz="1000"/>
                  <a:t>)</a:t>
                </a:r>
              </a:p>
            </c:rich>
          </c:tx>
          <c:layout>
            <c:manualLayout>
              <c:xMode val="edge"/>
              <c:yMode val="edge"/>
              <c:x val="8.0191836723721224E-3"/>
              <c:y val="0.321558753820292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186848112"/>
        <c:crosses val="autoZero"/>
        <c:crossBetween val="midCat"/>
      </c:valAx>
      <c:spPr>
        <a:noFill/>
        <a:ln>
          <a:solidFill>
            <a:schemeClr val="bg2">
              <a:lumMod val="50000"/>
            </a:schemeClr>
          </a:solidFill>
        </a:ln>
        <a:effectLst/>
      </c:spPr>
    </c:plotArea>
    <c:legend>
      <c:legendPos val="r"/>
      <c:layout>
        <c:manualLayout>
          <c:xMode val="edge"/>
          <c:yMode val="edge"/>
          <c:x val="0.70748949996818866"/>
          <c:y val="0.2696030774141488"/>
          <c:w val="0.23779240807599636"/>
          <c:h val="0.592257839336667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legend>
    <c:plotVisOnly val="1"/>
    <c:dispBlanksAs val="span"/>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6"/>
            <c:spPr>
              <a:solidFill>
                <a:schemeClr val="tx1"/>
              </a:solidFill>
              <a:ln w="9525">
                <a:solidFill>
                  <a:schemeClr val="tx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FF0000"/>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rendlineLbl>
          </c:trendline>
          <c:xVal>
            <c:numRef>
              <c:f>'Gluc (2)'!$BM$22:$BM$29</c:f>
              <c:numCache>
                <c:formatCode>0.0</c:formatCode>
                <c:ptCount val="8"/>
                <c:pt idx="0">
                  <c:v>2.2170000000000001</c:v>
                </c:pt>
                <c:pt idx="1">
                  <c:v>6.6509999999999998</c:v>
                </c:pt>
                <c:pt idx="2">
                  <c:v>12.616099200000001</c:v>
                </c:pt>
                <c:pt idx="3">
                  <c:v>22.169999999999998</c:v>
                </c:pt>
                <c:pt idx="4">
                  <c:v>40</c:v>
                </c:pt>
                <c:pt idx="5">
                  <c:v>89.3116512</c:v>
                </c:pt>
                <c:pt idx="6">
                  <c:v>210.20700959999999</c:v>
                </c:pt>
                <c:pt idx="7">
                  <c:v>250</c:v>
                </c:pt>
              </c:numCache>
            </c:numRef>
          </c:xVal>
          <c:yVal>
            <c:numRef>
              <c:f>'Gluc (2)'!$BN$22:$BN$29</c:f>
              <c:numCache>
                <c:formatCode>0.0</c:formatCode>
                <c:ptCount val="8"/>
                <c:pt idx="0">
                  <c:v>66.576576576576571</c:v>
                </c:pt>
                <c:pt idx="1">
                  <c:v>188.94886363636363</c:v>
                </c:pt>
                <c:pt idx="2">
                  <c:v>331.13121259842518</c:v>
                </c:pt>
                <c:pt idx="3">
                  <c:v>481.95652173913038</c:v>
                </c:pt>
                <c:pt idx="4">
                  <c:v>869.56521739130437</c:v>
                </c:pt>
                <c:pt idx="5">
                  <c:v>1941.5576347826088</c:v>
                </c:pt>
                <c:pt idx="6">
                  <c:v>4540.1081987041034</c:v>
                </c:pt>
                <c:pt idx="7">
                  <c:v>5208.333333333333</c:v>
                </c:pt>
              </c:numCache>
            </c:numRef>
          </c:yVal>
          <c:smooth val="0"/>
          <c:extLst>
            <c:ext xmlns:c16="http://schemas.microsoft.com/office/drawing/2014/chart" uri="{C3380CC4-5D6E-409C-BE32-E72D297353CC}">
              <c16:uniqueId val="{00000002-BC44-429A-AD3F-E76DD855184E}"/>
            </c:ext>
          </c:extLst>
        </c:ser>
        <c:dLbls>
          <c:showLegendKey val="0"/>
          <c:showVal val="0"/>
          <c:showCatName val="0"/>
          <c:showSerName val="0"/>
          <c:showPercent val="0"/>
          <c:showBubbleSize val="0"/>
        </c:dLbls>
        <c:axId val="-1186846480"/>
        <c:axId val="-1186843216"/>
      </c:scatterChart>
      <c:valAx>
        <c:axId val="-118684648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50">
                    <a:latin typeface="Arial" panose="020B0604020202020204" pitchFamily="34" charset="0"/>
                    <a:cs typeface="Arial" panose="020B0604020202020204" pitchFamily="34" charset="0"/>
                  </a:rPr>
                  <a:t>S (mg </a:t>
                </a:r>
                <a:r>
                  <a:rPr lang="it-IT" sz="1050" b="0" i="0" u="none" strike="noStrike" baseline="0">
                    <a:effectLst/>
                  </a:rPr>
                  <a:t>L</a:t>
                </a:r>
                <a:r>
                  <a:rPr lang="it-IT" sz="1050" b="0" i="0" u="none" strike="noStrike" baseline="30000">
                    <a:effectLst/>
                  </a:rPr>
                  <a:t>-1</a:t>
                </a:r>
                <a:r>
                  <a:rPr lang="it-IT" sz="1050">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186843216"/>
        <c:crosses val="autoZero"/>
        <c:crossBetween val="midCat"/>
      </c:valAx>
      <c:valAx>
        <c:axId val="-118684321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50">
                    <a:latin typeface="Arial" panose="020B0604020202020204" pitchFamily="34" charset="0"/>
                    <a:cs typeface="Arial" panose="020B0604020202020204" pitchFamily="34" charset="0"/>
                  </a:rPr>
                  <a:t>S/µ</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186846480"/>
        <c:crosses val="autoZero"/>
        <c:crossBetween val="midCat"/>
      </c:valAx>
      <c:spPr>
        <a:noFill/>
        <a:ln>
          <a:solidFill>
            <a:schemeClr val="bg2">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35167401353106"/>
          <c:y val="9.924243808271066E-2"/>
          <c:w val="0.7789009206111186"/>
          <c:h val="0.76288215531683834"/>
        </c:manualLayout>
      </c:layout>
      <c:scatterChart>
        <c:scatterStyle val="lineMarker"/>
        <c:varyColors val="0"/>
        <c:ser>
          <c:idx val="0"/>
          <c:order val="0"/>
          <c:spPr>
            <a:ln w="25400" cap="rnd">
              <a:noFill/>
              <a:round/>
            </a:ln>
            <a:effectLst/>
          </c:spPr>
          <c:marker>
            <c:symbol val="circle"/>
            <c:size val="6"/>
            <c:spPr>
              <a:solidFill>
                <a:schemeClr val="tx1"/>
              </a:solidFill>
              <a:ln w="9525">
                <a:solidFill>
                  <a:schemeClr val="tx1"/>
                </a:solidFill>
              </a:ln>
              <a:effectLst/>
            </c:spPr>
          </c:marker>
          <c:xVal>
            <c:numRef>
              <c:f>'Gluc (2)'!$BM$22:$BM$29</c:f>
              <c:numCache>
                <c:formatCode>0.0</c:formatCode>
                <c:ptCount val="8"/>
                <c:pt idx="0">
                  <c:v>2.2170000000000001</c:v>
                </c:pt>
                <c:pt idx="1">
                  <c:v>6.6509999999999998</c:v>
                </c:pt>
                <c:pt idx="2">
                  <c:v>12.616099200000001</c:v>
                </c:pt>
                <c:pt idx="3">
                  <c:v>22.169999999999998</c:v>
                </c:pt>
                <c:pt idx="4">
                  <c:v>40</c:v>
                </c:pt>
                <c:pt idx="5">
                  <c:v>89.3116512</c:v>
                </c:pt>
                <c:pt idx="6">
                  <c:v>210.20700959999999</c:v>
                </c:pt>
                <c:pt idx="7">
                  <c:v>250</c:v>
                </c:pt>
              </c:numCache>
            </c:numRef>
          </c:xVal>
          <c:yVal>
            <c:numRef>
              <c:f>'Gluc (2)'!$BL$22:$BL$29</c:f>
              <c:numCache>
                <c:formatCode>General</c:formatCode>
                <c:ptCount val="8"/>
                <c:pt idx="0">
                  <c:v>3.3300000000000003E-2</c:v>
                </c:pt>
                <c:pt idx="1">
                  <c:v>3.5200000000000002E-2</c:v>
                </c:pt>
                <c:pt idx="2">
                  <c:v>3.8100000000000002E-2</c:v>
                </c:pt>
                <c:pt idx="3">
                  <c:v>4.5999999999999999E-2</c:v>
                </c:pt>
                <c:pt idx="4">
                  <c:v>4.5999999999999999E-2</c:v>
                </c:pt>
                <c:pt idx="5">
                  <c:v>4.5999999999999999E-2</c:v>
                </c:pt>
                <c:pt idx="6">
                  <c:v>4.6300000000000001E-2</c:v>
                </c:pt>
                <c:pt idx="7">
                  <c:v>4.8000000000000001E-2</c:v>
                </c:pt>
              </c:numCache>
            </c:numRef>
          </c:yVal>
          <c:smooth val="0"/>
          <c:extLst>
            <c:ext xmlns:c16="http://schemas.microsoft.com/office/drawing/2014/chart" uri="{C3380CC4-5D6E-409C-BE32-E72D297353CC}">
              <c16:uniqueId val="{00000000-528A-410C-A4DF-9935138F515B}"/>
            </c:ext>
          </c:extLst>
        </c:ser>
        <c:ser>
          <c:idx val="1"/>
          <c:order val="1"/>
          <c:spPr>
            <a:ln w="12700" cap="rnd">
              <a:solidFill>
                <a:schemeClr val="tx1"/>
              </a:solidFill>
              <a:prstDash val="dash"/>
              <a:round/>
            </a:ln>
            <a:effectLst/>
          </c:spPr>
          <c:marker>
            <c:symbol val="none"/>
          </c:marker>
          <c:xVal>
            <c:numRef>
              <c:f>'Gluc (2)'!$CH$27:$CH$28</c:f>
              <c:numCache>
                <c:formatCode>General</c:formatCode>
                <c:ptCount val="2"/>
                <c:pt idx="0">
                  <c:v>0</c:v>
                </c:pt>
                <c:pt idx="1">
                  <c:v>300</c:v>
                </c:pt>
              </c:numCache>
            </c:numRef>
          </c:xVal>
          <c:yVal>
            <c:numRef>
              <c:f>'Gluc (2)'!$CI$27:$CI$28</c:f>
              <c:numCache>
                <c:formatCode>General</c:formatCode>
                <c:ptCount val="2"/>
                <c:pt idx="0">
                  <c:v>4.7673531655225018E-2</c:v>
                </c:pt>
                <c:pt idx="1">
                  <c:v>4.7673531655225018E-2</c:v>
                </c:pt>
              </c:numCache>
            </c:numRef>
          </c:yVal>
          <c:smooth val="0"/>
          <c:extLst>
            <c:ext xmlns:c16="http://schemas.microsoft.com/office/drawing/2014/chart" uri="{C3380CC4-5D6E-409C-BE32-E72D297353CC}">
              <c16:uniqueId val="{00000001-528A-410C-A4DF-9935138F515B}"/>
            </c:ext>
          </c:extLst>
        </c:ser>
        <c:ser>
          <c:idx val="2"/>
          <c:order val="2"/>
          <c:spPr>
            <a:ln w="15875" cap="rnd">
              <a:solidFill>
                <a:srgbClr val="FF0000"/>
              </a:solidFill>
              <a:prstDash val="dash"/>
              <a:round/>
            </a:ln>
            <a:effectLst/>
          </c:spPr>
          <c:marker>
            <c:symbol val="none"/>
          </c:marker>
          <c:xVal>
            <c:numRef>
              <c:f>'Gluc (2)'!$CH$32:$CH$33</c:f>
              <c:numCache>
                <c:formatCode>General</c:formatCode>
                <c:ptCount val="2"/>
                <c:pt idx="0">
                  <c:v>2.0645499618611747</c:v>
                </c:pt>
                <c:pt idx="1">
                  <c:v>2.0645499618611747</c:v>
                </c:pt>
              </c:numCache>
            </c:numRef>
          </c:xVal>
          <c:yVal>
            <c:numRef>
              <c:f>'Gluc (2)'!$CI$32:$CI$33</c:f>
              <c:numCache>
                <c:formatCode>General</c:formatCode>
                <c:ptCount val="2"/>
                <c:pt idx="0">
                  <c:v>0</c:v>
                </c:pt>
                <c:pt idx="1">
                  <c:v>5.5E-2</c:v>
                </c:pt>
              </c:numCache>
            </c:numRef>
          </c:yVal>
          <c:smooth val="0"/>
          <c:extLst>
            <c:ext xmlns:c16="http://schemas.microsoft.com/office/drawing/2014/chart" uri="{C3380CC4-5D6E-409C-BE32-E72D297353CC}">
              <c16:uniqueId val="{00000002-528A-410C-A4DF-9935138F515B}"/>
            </c:ext>
          </c:extLst>
        </c:ser>
        <c:ser>
          <c:idx val="3"/>
          <c:order val="3"/>
          <c:spPr>
            <a:ln w="9525" cap="rnd">
              <a:solidFill>
                <a:schemeClr val="tx1"/>
              </a:solidFill>
              <a:prstDash val="solid"/>
              <a:round/>
            </a:ln>
            <a:effectLst/>
          </c:spPr>
          <c:marker>
            <c:symbol val="none"/>
          </c:marker>
          <c:xVal>
            <c:numRef>
              <c:f>'Gluc (2)'!$CH$38:$CH$54</c:f>
              <c:numCache>
                <c:formatCode>General</c:formatCode>
                <c:ptCount val="17"/>
                <c:pt idx="0">
                  <c:v>0</c:v>
                </c:pt>
                <c:pt idx="1">
                  <c:v>5</c:v>
                </c:pt>
                <c:pt idx="2">
                  <c:v>10</c:v>
                </c:pt>
                <c:pt idx="3">
                  <c:v>15</c:v>
                </c:pt>
                <c:pt idx="4">
                  <c:v>20</c:v>
                </c:pt>
                <c:pt idx="5">
                  <c:v>25</c:v>
                </c:pt>
                <c:pt idx="6">
                  <c:v>50</c:v>
                </c:pt>
                <c:pt idx="7">
                  <c:v>75</c:v>
                </c:pt>
                <c:pt idx="8">
                  <c:v>100</c:v>
                </c:pt>
                <c:pt idx="9">
                  <c:v>125</c:v>
                </c:pt>
                <c:pt idx="10">
                  <c:v>150</c:v>
                </c:pt>
                <c:pt idx="11">
                  <c:v>175</c:v>
                </c:pt>
                <c:pt idx="12">
                  <c:v>200</c:v>
                </c:pt>
                <c:pt idx="13">
                  <c:v>225</c:v>
                </c:pt>
                <c:pt idx="14">
                  <c:v>250</c:v>
                </c:pt>
                <c:pt idx="15">
                  <c:v>275</c:v>
                </c:pt>
                <c:pt idx="16">
                  <c:v>300</c:v>
                </c:pt>
              </c:numCache>
            </c:numRef>
          </c:xVal>
          <c:yVal>
            <c:numRef>
              <c:f>'Gluc (2)'!$CI$38:$CI$54</c:f>
              <c:numCache>
                <c:formatCode>General</c:formatCode>
                <c:ptCount val="17"/>
                <c:pt idx="0">
                  <c:v>0</c:v>
                </c:pt>
                <c:pt idx="1">
                  <c:v>3.3741379077645663E-2</c:v>
                </c:pt>
                <c:pt idx="2">
                  <c:v>3.9515383338733771E-2</c:v>
                </c:pt>
                <c:pt idx="3">
                  <c:v>4.1905762321690979E-2</c:v>
                </c:pt>
                <c:pt idx="4">
                  <c:v>4.3212784070039284E-2</c:v>
                </c:pt>
                <c:pt idx="5">
                  <c:v>4.4036878243316077E-2</c:v>
                </c:pt>
                <c:pt idx="6">
                  <c:v>4.5783101640316959E-2</c:v>
                </c:pt>
                <c:pt idx="7">
                  <c:v>4.6396363514889516E-2</c:v>
                </c:pt>
                <c:pt idx="8">
                  <c:v>4.6709196947460556E-2</c:v>
                </c:pt>
                <c:pt idx="9">
                  <c:v>4.6898930179123902E-2</c:v>
                </c:pt>
                <c:pt idx="10">
                  <c:v>4.7026277656937662E-2</c:v>
                </c:pt>
                <c:pt idx="11">
                  <c:v>4.7117664385453728E-2</c:v>
                </c:pt>
                <c:pt idx="12">
                  <c:v>4.7186437862775231E-2</c:v>
                </c:pt>
                <c:pt idx="13">
                  <c:v>4.7240067303448784E-2</c:v>
                </c:pt>
                <c:pt idx="14">
                  <c:v>4.7283058707023956E-2</c:v>
                </c:pt>
                <c:pt idx="15">
                  <c:v>4.7318291737400341E-2</c:v>
                </c:pt>
                <c:pt idx="16">
                  <c:v>4.7347692731150644E-2</c:v>
                </c:pt>
              </c:numCache>
            </c:numRef>
          </c:yVal>
          <c:smooth val="0"/>
          <c:extLst>
            <c:ext xmlns:c16="http://schemas.microsoft.com/office/drawing/2014/chart" uri="{C3380CC4-5D6E-409C-BE32-E72D297353CC}">
              <c16:uniqueId val="{00000003-528A-410C-A4DF-9935138F515B}"/>
            </c:ext>
          </c:extLst>
        </c:ser>
        <c:dLbls>
          <c:showLegendKey val="0"/>
          <c:showVal val="0"/>
          <c:showCatName val="0"/>
          <c:showSerName val="0"/>
          <c:showPercent val="0"/>
          <c:showBubbleSize val="0"/>
        </c:dLbls>
        <c:axId val="-1186845392"/>
        <c:axId val="-1186842672"/>
      </c:scatterChart>
      <c:valAx>
        <c:axId val="-1186845392"/>
        <c:scaling>
          <c:orientation val="minMax"/>
          <c:max val="300"/>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50">
                    <a:latin typeface="Arial" panose="020B0604020202020204" pitchFamily="34" charset="0"/>
                    <a:cs typeface="Arial" panose="020B0604020202020204" pitchFamily="34" charset="0"/>
                  </a:rPr>
                  <a:t>S (mg L</a:t>
                </a:r>
                <a:r>
                  <a:rPr lang="it-IT" sz="1050" baseline="30000">
                    <a:latin typeface="Arial" panose="020B0604020202020204" pitchFamily="34" charset="0"/>
                    <a:cs typeface="Arial" panose="020B0604020202020204" pitchFamily="34" charset="0"/>
                  </a:rPr>
                  <a:t>-1</a:t>
                </a:r>
                <a:r>
                  <a:rPr lang="it-IT" sz="1050">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186842672"/>
        <c:crosses val="autoZero"/>
        <c:crossBetween val="midCat"/>
        <c:majorUnit val="50"/>
      </c:valAx>
      <c:valAx>
        <c:axId val="-1186842672"/>
        <c:scaling>
          <c:orientation val="minMax"/>
          <c:max val="5.000000000000001E-2"/>
          <c:min val="0"/>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50">
                    <a:latin typeface="Arial" panose="020B0604020202020204" pitchFamily="34" charset="0"/>
                    <a:cs typeface="Arial" panose="020B0604020202020204" pitchFamily="34" charset="0"/>
                  </a:rPr>
                  <a:t>µ (h</a:t>
                </a:r>
                <a:r>
                  <a:rPr lang="it-IT" sz="1050" baseline="30000">
                    <a:latin typeface="Arial" panose="020B0604020202020204" pitchFamily="34" charset="0"/>
                    <a:cs typeface="Arial" panose="020B0604020202020204" pitchFamily="34" charset="0"/>
                  </a:rPr>
                  <a:t>-1</a:t>
                </a:r>
                <a:r>
                  <a:rPr lang="it-IT" sz="1050">
                    <a:latin typeface="Arial" panose="020B0604020202020204" pitchFamily="34" charset="0"/>
                    <a:cs typeface="Arial" panose="020B0604020202020204" pitchFamily="34" charset="0"/>
                  </a:rPr>
                  <a:t>)</a:t>
                </a:r>
              </a:p>
            </c:rich>
          </c:tx>
          <c:layout>
            <c:manualLayout>
              <c:xMode val="edge"/>
              <c:yMode val="edge"/>
              <c:x val="2.3451071688759966E-2"/>
              <c:y val="0.42395986265365759"/>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186845392"/>
        <c:crosses val="autoZero"/>
        <c:crossBetween val="midCat"/>
      </c:valAx>
      <c:spPr>
        <a:noFill/>
        <a:ln>
          <a:solidFill>
            <a:schemeClr val="bg2">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87370925222796"/>
          <c:y val="3.0634986918394332E-2"/>
          <c:w val="0.82496026161017622"/>
          <c:h val="0.81295425163611934"/>
        </c:manualLayout>
      </c:layout>
      <c:scatterChart>
        <c:scatterStyle val="lineMarker"/>
        <c:varyColors val="0"/>
        <c:ser>
          <c:idx val="1"/>
          <c:order val="0"/>
          <c:tx>
            <c:v>12.6 mg/L</c:v>
          </c:tx>
          <c:spPr>
            <a:ln w="12700" cap="rnd">
              <a:solidFill>
                <a:schemeClr val="accent2"/>
              </a:solidFill>
              <a:prstDash val="dash"/>
              <a:round/>
            </a:ln>
            <a:effectLst/>
          </c:spPr>
          <c:marker>
            <c:symbol val="plus"/>
            <c:size val="7"/>
            <c:spPr>
              <a:noFill/>
              <a:ln w="9525">
                <a:solidFill>
                  <a:schemeClr val="accent2"/>
                </a:solidFill>
              </a:ln>
              <a:effectLst/>
            </c:spPr>
          </c:marker>
          <c:xVal>
            <c:numRef>
              <c:f>'Gluc (2)'!$I$59:$I$61</c:f>
              <c:numCache>
                <c:formatCode>General</c:formatCode>
                <c:ptCount val="3"/>
                <c:pt idx="0" formatCode="0.0">
                  <c:v>0</c:v>
                </c:pt>
                <c:pt idx="1">
                  <c:v>4</c:v>
                </c:pt>
                <c:pt idx="2">
                  <c:v>6</c:v>
                </c:pt>
              </c:numCache>
            </c:numRef>
          </c:xVal>
          <c:yVal>
            <c:numRef>
              <c:f>'Gluc (2)'!$M$59:$M$62</c:f>
              <c:numCache>
                <c:formatCode>0.0</c:formatCode>
                <c:ptCount val="4"/>
                <c:pt idx="0">
                  <c:v>12.616099200000001</c:v>
                </c:pt>
                <c:pt idx="1">
                  <c:v>7.0037424000000001</c:v>
                </c:pt>
                <c:pt idx="2">
                  <c:v>0</c:v>
                </c:pt>
              </c:numCache>
            </c:numRef>
          </c:yVal>
          <c:smooth val="0"/>
          <c:extLst>
            <c:ext xmlns:c16="http://schemas.microsoft.com/office/drawing/2014/chart" uri="{C3380CC4-5D6E-409C-BE32-E72D297353CC}">
              <c16:uniqueId val="{00000000-45A0-48D5-BE5C-177AA3DC1F39}"/>
            </c:ext>
          </c:extLst>
        </c:ser>
        <c:ser>
          <c:idx val="2"/>
          <c:order val="1"/>
          <c:tx>
            <c:v>40 mg/L</c:v>
          </c:tx>
          <c:spPr>
            <a:ln w="12700" cap="rnd">
              <a:solidFill>
                <a:schemeClr val="accent3"/>
              </a:solidFill>
              <a:prstDash val="dash"/>
              <a:round/>
            </a:ln>
            <a:effectLst/>
          </c:spPr>
          <c:marker>
            <c:symbol val="star"/>
            <c:size val="7"/>
            <c:spPr>
              <a:noFill/>
              <a:ln w="9525">
                <a:solidFill>
                  <a:schemeClr val="accent3"/>
                </a:solidFill>
              </a:ln>
              <a:effectLst/>
            </c:spPr>
          </c:marker>
          <c:xVal>
            <c:numRef>
              <c:f>'Gluc (2)'!$A$67:$A$72</c:f>
              <c:numCache>
                <c:formatCode>General</c:formatCode>
                <c:ptCount val="6"/>
                <c:pt idx="0">
                  <c:v>0</c:v>
                </c:pt>
                <c:pt idx="1">
                  <c:v>2.5</c:v>
                </c:pt>
                <c:pt idx="2">
                  <c:v>5</c:v>
                </c:pt>
                <c:pt idx="3">
                  <c:v>8</c:v>
                </c:pt>
                <c:pt idx="4">
                  <c:v>13.5</c:v>
                </c:pt>
                <c:pt idx="5">
                  <c:v>23.5</c:v>
                </c:pt>
              </c:numCache>
            </c:numRef>
          </c:xVal>
          <c:yVal>
            <c:numRef>
              <c:f>'Gluc (2)'!$E$67:$E$72</c:f>
              <c:numCache>
                <c:formatCode>0.0</c:formatCode>
                <c:ptCount val="6"/>
                <c:pt idx="0">
                  <c:v>46.3301856</c:v>
                </c:pt>
                <c:pt idx="1">
                  <c:v>34.506287999999998</c:v>
                </c:pt>
                <c:pt idx="2">
                  <c:v>23.141764799999997</c:v>
                </c:pt>
                <c:pt idx="3">
                  <c:v>9.5402879999999985</c:v>
                </c:pt>
                <c:pt idx="4">
                  <c:v>7.6428719999999988</c:v>
                </c:pt>
                <c:pt idx="5">
                  <c:v>0</c:v>
                </c:pt>
              </c:numCache>
            </c:numRef>
          </c:yVal>
          <c:smooth val="0"/>
          <c:extLst>
            <c:ext xmlns:c16="http://schemas.microsoft.com/office/drawing/2014/chart" uri="{C3380CC4-5D6E-409C-BE32-E72D297353CC}">
              <c16:uniqueId val="{00000001-45A0-48D5-BE5C-177AA3DC1F39}"/>
            </c:ext>
          </c:extLst>
        </c:ser>
        <c:ser>
          <c:idx val="0"/>
          <c:order val="2"/>
          <c:tx>
            <c:v>89.3 mg/L</c:v>
          </c:tx>
          <c:spPr>
            <a:ln w="12700" cap="rnd">
              <a:solidFill>
                <a:schemeClr val="accent1"/>
              </a:solidFill>
              <a:prstDash val="dash"/>
              <a:round/>
            </a:ln>
            <a:effectLst/>
          </c:spPr>
          <c:marker>
            <c:symbol val="diamond"/>
            <c:size val="7"/>
            <c:spPr>
              <a:solidFill>
                <a:schemeClr val="accent1"/>
              </a:solidFill>
              <a:ln w="9525">
                <a:solidFill>
                  <a:schemeClr val="accent1"/>
                </a:solidFill>
              </a:ln>
              <a:effectLst/>
            </c:spPr>
          </c:marker>
          <c:xVal>
            <c:numRef>
              <c:f>'Gluc (2)'!$A$59:$A$63</c:f>
              <c:numCache>
                <c:formatCode>General</c:formatCode>
                <c:ptCount val="5"/>
                <c:pt idx="0">
                  <c:v>0</c:v>
                </c:pt>
                <c:pt idx="1">
                  <c:v>2.5</c:v>
                </c:pt>
                <c:pt idx="2">
                  <c:v>5</c:v>
                </c:pt>
                <c:pt idx="3">
                  <c:v>7.5</c:v>
                </c:pt>
                <c:pt idx="4">
                  <c:v>23</c:v>
                </c:pt>
              </c:numCache>
            </c:numRef>
          </c:xVal>
          <c:yVal>
            <c:numRef>
              <c:f>'Gluc (2)'!$AH$59:$AH$63</c:f>
              <c:numCache>
                <c:formatCode>0.0</c:formatCode>
                <c:ptCount val="5"/>
                <c:pt idx="0">
                  <c:v>89.3116512</c:v>
                </c:pt>
                <c:pt idx="1">
                  <c:v>68.859504000000001</c:v>
                </c:pt>
                <c:pt idx="2">
                  <c:v>60.470928000000001</c:v>
                </c:pt>
                <c:pt idx="3">
                  <c:v>48.467275200000003</c:v>
                </c:pt>
                <c:pt idx="4">
                  <c:v>0</c:v>
                </c:pt>
              </c:numCache>
            </c:numRef>
          </c:yVal>
          <c:smooth val="0"/>
          <c:extLst>
            <c:ext xmlns:c16="http://schemas.microsoft.com/office/drawing/2014/chart" uri="{C3380CC4-5D6E-409C-BE32-E72D297353CC}">
              <c16:uniqueId val="{00000002-45A0-48D5-BE5C-177AA3DC1F39}"/>
            </c:ext>
          </c:extLst>
        </c:ser>
        <c:ser>
          <c:idx val="5"/>
          <c:order val="3"/>
          <c:tx>
            <c:v>150 mg/L</c:v>
          </c:tx>
          <c:spPr>
            <a:ln w="12700" cap="rnd">
              <a:solidFill>
                <a:schemeClr val="accent6"/>
              </a:solidFill>
              <a:prstDash val="dash"/>
              <a:round/>
            </a:ln>
            <a:effectLst/>
          </c:spPr>
          <c:marker>
            <c:symbol val="x"/>
            <c:size val="7"/>
            <c:spPr>
              <a:solidFill>
                <a:schemeClr val="accent6"/>
              </a:solidFill>
              <a:ln w="9525">
                <a:solidFill>
                  <a:schemeClr val="accent6"/>
                </a:solidFill>
              </a:ln>
              <a:effectLst/>
            </c:spPr>
          </c:marker>
          <c:xVal>
            <c:numRef>
              <c:f>'Gluc (2)'!$L$75:$L$79</c:f>
              <c:numCache>
                <c:formatCode>General</c:formatCode>
                <c:ptCount val="5"/>
                <c:pt idx="0">
                  <c:v>0</c:v>
                </c:pt>
                <c:pt idx="1">
                  <c:v>1.5</c:v>
                </c:pt>
                <c:pt idx="2">
                  <c:v>3</c:v>
                </c:pt>
                <c:pt idx="3">
                  <c:v>8</c:v>
                </c:pt>
                <c:pt idx="4">
                  <c:v>23.5</c:v>
                </c:pt>
              </c:numCache>
            </c:numRef>
          </c:xVal>
          <c:yVal>
            <c:numRef>
              <c:f>'Gluc (2)'!$P$75:$P$79</c:f>
              <c:numCache>
                <c:formatCode>0.0</c:formatCode>
                <c:ptCount val="5"/>
                <c:pt idx="0">
                  <c:v>150</c:v>
                </c:pt>
                <c:pt idx="1">
                  <c:v>135.16919999999999</c:v>
                </c:pt>
                <c:pt idx="2">
                  <c:v>123.4651392</c:v>
                </c:pt>
                <c:pt idx="3">
                  <c:v>105.20999999999998</c:v>
                </c:pt>
                <c:pt idx="4">
                  <c:v>9.34056</c:v>
                </c:pt>
              </c:numCache>
            </c:numRef>
          </c:yVal>
          <c:smooth val="0"/>
          <c:extLst>
            <c:ext xmlns:c16="http://schemas.microsoft.com/office/drawing/2014/chart" uri="{C3380CC4-5D6E-409C-BE32-E72D297353CC}">
              <c16:uniqueId val="{00000003-45A0-48D5-BE5C-177AA3DC1F39}"/>
            </c:ext>
          </c:extLst>
        </c:ser>
        <c:ser>
          <c:idx val="6"/>
          <c:order val="4"/>
          <c:tx>
            <c:v>210 mg/L</c:v>
          </c:tx>
          <c:spPr>
            <a:ln w="12700" cap="rnd">
              <a:solidFill>
                <a:schemeClr val="accent1"/>
              </a:solidFill>
              <a:prstDash val="dash"/>
              <a:round/>
            </a:ln>
            <a:effectLst/>
          </c:spPr>
          <c:marker>
            <c:symbol val="triangle"/>
            <c:size val="7"/>
            <c:spPr>
              <a:solidFill>
                <a:schemeClr val="accent1">
                  <a:lumMod val="60000"/>
                </a:schemeClr>
              </a:solidFill>
              <a:ln w="9525">
                <a:solidFill>
                  <a:schemeClr val="accent1">
                    <a:lumMod val="60000"/>
                  </a:schemeClr>
                </a:solidFill>
              </a:ln>
              <a:effectLst/>
            </c:spPr>
          </c:marker>
          <c:xVal>
            <c:numRef>
              <c:f>Std!$B$51:$B$57</c:f>
              <c:numCache>
                <c:formatCode>General</c:formatCode>
                <c:ptCount val="7"/>
                <c:pt idx="0">
                  <c:v>0</c:v>
                </c:pt>
                <c:pt idx="1">
                  <c:v>0</c:v>
                </c:pt>
                <c:pt idx="2">
                  <c:v>3.5</c:v>
                </c:pt>
                <c:pt idx="3">
                  <c:v>5.5</c:v>
                </c:pt>
                <c:pt idx="4">
                  <c:v>9.5</c:v>
                </c:pt>
                <c:pt idx="5">
                  <c:v>13.5</c:v>
                </c:pt>
                <c:pt idx="6">
                  <c:v>23</c:v>
                </c:pt>
              </c:numCache>
            </c:numRef>
          </c:xVal>
          <c:yVal>
            <c:numRef>
              <c:f>Std!$F$51:$F$57</c:f>
              <c:numCache>
                <c:formatCode>General</c:formatCode>
                <c:ptCount val="7"/>
                <c:pt idx="0" formatCode="0.0">
                  <c:v>210.20700959999999</c:v>
                </c:pt>
                <c:pt idx="2" formatCode="0.0">
                  <c:v>176.31316799999999</c:v>
                </c:pt>
                <c:pt idx="3" formatCode="0.0">
                  <c:v>160.91413919999999</c:v>
                </c:pt>
                <c:pt idx="5" formatCode="0.0">
                  <c:v>135.14922719999998</c:v>
                </c:pt>
                <c:pt idx="6" formatCode="0.0">
                  <c:v>122.00712479999997</c:v>
                </c:pt>
              </c:numCache>
            </c:numRef>
          </c:yVal>
          <c:smooth val="0"/>
          <c:extLst>
            <c:ext xmlns:c16="http://schemas.microsoft.com/office/drawing/2014/chart" uri="{C3380CC4-5D6E-409C-BE32-E72D297353CC}">
              <c16:uniqueId val="{00000004-45A0-48D5-BE5C-177AA3DC1F39}"/>
            </c:ext>
          </c:extLst>
        </c:ser>
        <c:ser>
          <c:idx val="3"/>
          <c:order val="5"/>
          <c:tx>
            <c:v>250 mg/L</c:v>
          </c:tx>
          <c:spPr>
            <a:ln w="12700" cap="rnd">
              <a:solidFill>
                <a:schemeClr val="accent4"/>
              </a:solidFill>
              <a:prstDash val="dash"/>
              <a:round/>
            </a:ln>
            <a:effectLst/>
          </c:spPr>
          <c:marker>
            <c:symbol val="circle"/>
            <c:size val="7"/>
            <c:spPr>
              <a:solidFill>
                <a:schemeClr val="accent4"/>
              </a:solidFill>
              <a:ln w="9525">
                <a:solidFill>
                  <a:schemeClr val="accent4"/>
                </a:solidFill>
              </a:ln>
              <a:effectLst/>
            </c:spPr>
          </c:marker>
          <c:xVal>
            <c:numRef>
              <c:f>'Gluc (2)'!$A$67:$A$72</c:f>
              <c:numCache>
                <c:formatCode>General</c:formatCode>
                <c:ptCount val="6"/>
                <c:pt idx="0">
                  <c:v>0</c:v>
                </c:pt>
                <c:pt idx="1">
                  <c:v>2.5</c:v>
                </c:pt>
                <c:pt idx="2">
                  <c:v>5</c:v>
                </c:pt>
                <c:pt idx="3">
                  <c:v>8</c:v>
                </c:pt>
                <c:pt idx="4">
                  <c:v>13.5</c:v>
                </c:pt>
                <c:pt idx="5">
                  <c:v>23.5</c:v>
                </c:pt>
              </c:numCache>
            </c:numRef>
          </c:xVal>
          <c:yVal>
            <c:numRef>
              <c:f>'Gluc (2)'!$M$67:$M$70</c:f>
              <c:numCache>
                <c:formatCode>0.0</c:formatCode>
                <c:ptCount val="4"/>
                <c:pt idx="0">
                  <c:v>248.11538399999998</c:v>
                </c:pt>
                <c:pt idx="1">
                  <c:v>226.3250592</c:v>
                </c:pt>
                <c:pt idx="2">
                  <c:v>219.45441600000001</c:v>
                </c:pt>
                <c:pt idx="3">
                  <c:v>191.61233280000002</c:v>
                </c:pt>
              </c:numCache>
            </c:numRef>
          </c:yVal>
          <c:smooth val="0"/>
          <c:extLst>
            <c:ext xmlns:c16="http://schemas.microsoft.com/office/drawing/2014/chart" uri="{C3380CC4-5D6E-409C-BE32-E72D297353CC}">
              <c16:uniqueId val="{00000005-45A0-48D5-BE5C-177AA3DC1F39}"/>
            </c:ext>
          </c:extLst>
        </c:ser>
        <c:dLbls>
          <c:showLegendKey val="0"/>
          <c:showVal val="0"/>
          <c:showCatName val="0"/>
          <c:showSerName val="0"/>
          <c:showPercent val="0"/>
          <c:showBubbleSize val="0"/>
        </c:dLbls>
        <c:axId val="-1679805312"/>
        <c:axId val="-1679810208"/>
      </c:scatterChart>
      <c:valAx>
        <c:axId val="-1679805312"/>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50">
                    <a:latin typeface="Arial" panose="020B0604020202020204" pitchFamily="34" charset="0"/>
                    <a:cs typeface="Arial" panose="020B0604020202020204" pitchFamily="34" charset="0"/>
                  </a:rPr>
                  <a:t>Time</a:t>
                </a:r>
                <a:r>
                  <a:rPr lang="it-IT" sz="1050" baseline="0">
                    <a:latin typeface="Arial" panose="020B0604020202020204" pitchFamily="34" charset="0"/>
                    <a:cs typeface="Arial" panose="020B0604020202020204" pitchFamily="34" charset="0"/>
                  </a:rPr>
                  <a:t> </a:t>
                </a:r>
                <a:endParaRPr lang="it-IT" sz="1050" baseline="30000">
                  <a:latin typeface="Arial" panose="020B0604020202020204" pitchFamily="34" charset="0"/>
                  <a:cs typeface="Arial" panose="020B0604020202020204" pitchFamily="34" charset="0"/>
                </a:endParaRPr>
              </a:p>
            </c:rich>
          </c:tx>
          <c:layout>
            <c:manualLayout>
              <c:xMode val="edge"/>
              <c:yMode val="edge"/>
              <c:x val="0.45038868919935959"/>
              <c:y val="0.9354327923546585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679810208"/>
        <c:crosses val="autoZero"/>
        <c:crossBetween val="midCat"/>
      </c:valAx>
      <c:valAx>
        <c:axId val="-167981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50">
                    <a:latin typeface="Arial" panose="020B0604020202020204" pitchFamily="34" charset="0"/>
                    <a:cs typeface="Arial" panose="020B0604020202020204" pitchFamily="34" charset="0"/>
                  </a:rPr>
                  <a:t>mg</a:t>
                </a:r>
                <a:r>
                  <a:rPr lang="it-IT" sz="1050" baseline="0">
                    <a:latin typeface="Arial" panose="020B0604020202020204" pitchFamily="34" charset="0"/>
                    <a:cs typeface="Arial" panose="020B0604020202020204" pitchFamily="34" charset="0"/>
                  </a:rPr>
                  <a:t> L</a:t>
                </a:r>
                <a:r>
                  <a:rPr lang="it-IT" sz="1050" baseline="30000">
                    <a:latin typeface="Arial" panose="020B0604020202020204" pitchFamily="34" charset="0"/>
                    <a:cs typeface="Arial" panose="020B0604020202020204" pitchFamily="34" charset="0"/>
                  </a:rPr>
                  <a:t>-1</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679805312"/>
        <c:crosses val="autoZero"/>
        <c:crossBetween val="midCat"/>
      </c:valAx>
      <c:spPr>
        <a:noFill/>
        <a:ln>
          <a:solidFill>
            <a:schemeClr val="bg2">
              <a:lumMod val="75000"/>
            </a:schemeClr>
          </a:solidFill>
        </a:ln>
        <a:effectLst/>
      </c:spPr>
    </c:plotArea>
    <c:legend>
      <c:legendPos val="r"/>
      <c:layout>
        <c:manualLayout>
          <c:xMode val="edge"/>
          <c:yMode val="edge"/>
          <c:x val="0.68118840261945468"/>
          <c:y val="3.4715031310250666E-2"/>
          <c:w val="0.25928793016481005"/>
          <c:h val="0.43389910933841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0.68655</cdr:x>
      <cdr:y>0.15571</cdr:y>
    </cdr:from>
    <cdr:to>
      <cdr:x>0.90819</cdr:x>
      <cdr:y>0.24169</cdr:y>
    </cdr:to>
    <cdr:sp macro="" textlink="">
      <cdr:nvSpPr>
        <cdr:cNvPr id="2" name="CasellaDiTesto 9">
          <a:extLst xmlns:a="http://schemas.openxmlformats.org/drawingml/2006/main">
            <a:ext uri="{FF2B5EF4-FFF2-40B4-BE49-F238E27FC236}">
              <a16:creationId xmlns:a16="http://schemas.microsoft.com/office/drawing/2014/main" id="{4BF68EAA-EA0A-4B13-B4F7-BA1E9D6DD722}"/>
            </a:ext>
          </a:extLst>
        </cdr:cNvPr>
        <cdr:cNvSpPr txBox="1"/>
      </cdr:nvSpPr>
      <cdr:spPr>
        <a:xfrm xmlns:a="http://schemas.openxmlformats.org/drawingml/2006/main">
          <a:off x="3716123" y="511398"/>
          <a:ext cx="1199692" cy="282352"/>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txBody>
        <a:bodyPr xmlns:a="http://schemas.openxmlformats.org/drawingml/2006/main" wrap="square" rtlCol="0" anchor="t">
          <a:noAutofit/>
        </a:bodyPr>
        <a:lstStyle xmlns:a="http://schemas.openxmlformats.org/drawingml/2006/main"/>
        <a:p xmlns:a="http://schemas.openxmlformats.org/drawingml/2006/main">
          <a:pPr algn="just">
            <a:lnSpc>
              <a:spcPct val="110000"/>
            </a:lnSpc>
            <a:tabLst>
              <a:tab pos="4508500" algn="r"/>
            </a:tabLst>
          </a:pPr>
          <a:r>
            <a:rPr lang="en-GB" sz="1100">
              <a:solidFill>
                <a:srgbClr val="000000"/>
              </a:solidFill>
              <a:effectLst/>
              <a:latin typeface="Arial" panose="020B0604020202020204" pitchFamily="34" charset="0"/>
              <a:ea typeface="+mn-ea"/>
              <a:cs typeface="Arial" panose="020B0604020202020204" pitchFamily="34" charset="0"/>
            </a:rPr>
            <a:t>µ</a:t>
          </a:r>
          <a:r>
            <a:rPr lang="en-GB" sz="1100" baseline="-25000">
              <a:solidFill>
                <a:srgbClr val="000000"/>
              </a:solidFill>
              <a:effectLst/>
              <a:latin typeface="Arial" panose="020B0604020202020204" pitchFamily="34" charset="0"/>
              <a:ea typeface="+mn-ea"/>
              <a:cs typeface="Arial" panose="020B0604020202020204" pitchFamily="34" charset="0"/>
            </a:rPr>
            <a:t>max</a:t>
          </a:r>
          <a:r>
            <a:rPr lang="en-GB" sz="1100">
              <a:solidFill>
                <a:srgbClr val="000000"/>
              </a:solidFill>
              <a:effectLst/>
              <a:latin typeface="Arial" panose="020B0604020202020204" pitchFamily="34" charset="0"/>
              <a:ea typeface="+mn-ea"/>
              <a:cs typeface="Arial" panose="020B0604020202020204" pitchFamily="34" charset="0"/>
            </a:rPr>
            <a:t>= 0.047 h</a:t>
          </a:r>
          <a:r>
            <a:rPr lang="en-GB" sz="1100" baseline="30000">
              <a:solidFill>
                <a:srgbClr val="000000"/>
              </a:solidFill>
              <a:effectLst/>
              <a:latin typeface="Arial" panose="020B0604020202020204" pitchFamily="34" charset="0"/>
              <a:ea typeface="+mn-ea"/>
              <a:cs typeface="Arial" panose="020B0604020202020204" pitchFamily="34" charset="0"/>
            </a:rPr>
            <a:t>-1</a:t>
          </a:r>
          <a:endParaRPr lang="it-IT"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72E63-A468-433E-97D2-97285F73F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Pages>
  <Words>7470</Words>
  <Characters>42582</Characters>
  <Application>Microsoft Office Word</Application>
  <DocSecurity>0</DocSecurity>
  <Lines>354</Lines>
  <Paragraphs>99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49953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SERENA LIMA</cp:lastModifiedBy>
  <cp:revision>13</cp:revision>
  <cp:lastPrinted>2023-02-07T10:39:00Z</cp:lastPrinted>
  <dcterms:created xsi:type="dcterms:W3CDTF">2023-02-01T17:17:00Z</dcterms:created>
  <dcterms:modified xsi:type="dcterms:W3CDTF">2023-04-07T09:00:00Z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http://www.zotero.org/styles/applied-sciences</vt:lpwstr>
  </property>
  <property fmtid="{D5CDD505-2E9C-101B-9397-08002B2CF9AE}" pid="11" name="Mendeley Recent Style Name 3_1">
    <vt:lpwstr>Applied Sciences</vt:lpwstr>
  </property>
  <property fmtid="{D5CDD505-2E9C-101B-9397-08002B2CF9AE}" pid="12" name="Mendeley Recent Style Id 4_1">
    <vt:lpwstr>http://www.zotero.org/styles/chemical-engineering-journal</vt:lpwstr>
  </property>
  <property fmtid="{D5CDD505-2E9C-101B-9397-08002B2CF9AE}" pid="13" name="Mendeley Recent Style Name 4_1">
    <vt:lpwstr>Chemical Engineering Journal</vt:lpwstr>
  </property>
  <property fmtid="{D5CDD505-2E9C-101B-9397-08002B2CF9AE}" pid="14" name="Mendeley Recent Style Id 5_1">
    <vt:lpwstr>http://www.zotero.org/styles/chemical-engineering-research-and-design</vt:lpwstr>
  </property>
  <property fmtid="{D5CDD505-2E9C-101B-9397-08002B2CF9AE}" pid="15" name="Mendeley Recent Style Name 5_1">
    <vt:lpwstr>Chemical Engineering Research and Design</vt:lpwstr>
  </property>
  <property fmtid="{D5CDD505-2E9C-101B-9397-08002B2CF9AE}" pid="16" name="Mendeley Recent Style Id 6_1">
    <vt:lpwstr>http://www.zotero.org/styles/journal-of-environmental-chemical-engineering</vt:lpwstr>
  </property>
  <property fmtid="{D5CDD505-2E9C-101B-9397-08002B2CF9AE}" pid="17" name="Mendeley Recent Style Name 6_1">
    <vt:lpwstr>Journal of Environmental Chemical Engineering</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http://www.zotero.org/styles/process-safety-and-environmental-protection</vt:lpwstr>
  </property>
  <property fmtid="{D5CDD505-2E9C-101B-9397-08002B2CF9AE}" pid="23" name="Mendeley Recent Style Name 9_1">
    <vt:lpwstr>Process Safety and Environmental Protection</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c0416b1d-a45d-37db-8b8d-0e4a2257ae54</vt:lpwstr>
  </property>
</Properties>
</file>