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7E7AF1B2" w14:textId="77777777" w:rsidTr="00DE264A">
        <w:trPr>
          <w:trHeight w:val="852"/>
          <w:jc w:val="center"/>
        </w:trPr>
        <w:tc>
          <w:tcPr>
            <w:tcW w:w="6946" w:type="dxa"/>
            <w:vMerge w:val="restart"/>
            <w:tcBorders>
              <w:right w:val="single" w:sz="4" w:space="0" w:color="auto"/>
            </w:tcBorders>
          </w:tcPr>
          <w:p w14:paraId="0DCDA7AF"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3212EDF0" wp14:editId="1B3EE63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5A68E63" w14:textId="77777777"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01B12D15"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51B2C30" w14:textId="77777777" w:rsidR="000A03B2" w:rsidRPr="00B57B36" w:rsidRDefault="000A03B2" w:rsidP="00CD5FE2">
            <w:pPr>
              <w:jc w:val="right"/>
            </w:pPr>
            <w:r w:rsidRPr="00B57B36">
              <w:rPr>
                <w:noProof/>
                <w:lang w:eastAsia="en-GB"/>
              </w:rPr>
              <w:drawing>
                <wp:inline distT="0" distB="0" distL="0" distR="0" wp14:anchorId="571246CF" wp14:editId="73335EF1">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8EE6E2A" w14:textId="77777777" w:rsidTr="00DE264A">
        <w:trPr>
          <w:trHeight w:val="567"/>
          <w:jc w:val="center"/>
        </w:trPr>
        <w:tc>
          <w:tcPr>
            <w:tcW w:w="6946" w:type="dxa"/>
            <w:vMerge/>
            <w:tcBorders>
              <w:right w:val="single" w:sz="4" w:space="0" w:color="auto"/>
            </w:tcBorders>
          </w:tcPr>
          <w:p w14:paraId="4D973CB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E00AA7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3A9898B5"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B272CCD"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1714FC20" w14:textId="77777777" w:rsidTr="00DE264A">
        <w:trPr>
          <w:trHeight w:val="68"/>
          <w:jc w:val="center"/>
        </w:trPr>
        <w:tc>
          <w:tcPr>
            <w:tcW w:w="8789" w:type="dxa"/>
            <w:gridSpan w:val="2"/>
          </w:tcPr>
          <w:p w14:paraId="6E053C36"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59E3E6AA"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1B190E7A" w14:textId="77777777" w:rsidR="00E978D0" w:rsidRPr="00B57B36" w:rsidRDefault="00147FCB" w:rsidP="00E978D0">
      <w:pPr>
        <w:pStyle w:val="CETTitle"/>
      </w:pPr>
      <w:r>
        <w:t>Discrete Formulation for Multi-objective Optimal Design of Produced Water Treatment</w:t>
      </w:r>
    </w:p>
    <w:p w14:paraId="2B4D104D" w14:textId="77777777" w:rsidR="00B57E6F" w:rsidRPr="009540AA" w:rsidRDefault="00147FCB" w:rsidP="00B57E6F">
      <w:pPr>
        <w:pStyle w:val="CETAuthors"/>
        <w:rPr>
          <w:lang w:val="es-ES"/>
        </w:rPr>
      </w:pPr>
      <w:r w:rsidRPr="009540AA">
        <w:rPr>
          <w:lang w:val="es-ES"/>
        </w:rPr>
        <w:t xml:space="preserve">Mariam Falahi, Vivek Dua, Eric S. Fraga </w:t>
      </w:r>
    </w:p>
    <w:p w14:paraId="4677135E" w14:textId="77777777" w:rsidR="00B57E6F" w:rsidRPr="00B57B36" w:rsidRDefault="00147FCB" w:rsidP="00B57E6F">
      <w:pPr>
        <w:pStyle w:val="CETAddress"/>
      </w:pPr>
      <w:r>
        <w:t>Sargent Centre for Process Systems Engineering, Department of Chemical Engineering, University College London (UCL), London, United Kingdom</w:t>
      </w:r>
    </w:p>
    <w:p w14:paraId="612EDC3B" w14:textId="104F8E87" w:rsidR="00B57E6F" w:rsidRDefault="00000000" w:rsidP="00147FCB">
      <w:pPr>
        <w:pStyle w:val="CETAddress"/>
      </w:pPr>
      <w:hyperlink r:id="rId10" w:history="1">
        <w:r w:rsidR="008F06BE" w:rsidRPr="00E60604">
          <w:rPr>
            <w:rStyle w:val="Hyperlink"/>
          </w:rPr>
          <w:t>e.fraga@ucl.ac.uk</w:t>
        </w:r>
      </w:hyperlink>
    </w:p>
    <w:p w14:paraId="19CB4FF8" w14:textId="77777777" w:rsidR="008F06BE" w:rsidRPr="00B57B36" w:rsidRDefault="008F06BE" w:rsidP="00147FCB">
      <w:pPr>
        <w:pStyle w:val="CETAddress"/>
      </w:pPr>
    </w:p>
    <w:p w14:paraId="5DC3B087" w14:textId="77777777" w:rsidR="00147FCB" w:rsidRPr="008F06BE" w:rsidRDefault="00147FCB" w:rsidP="008F06BE">
      <w:pPr>
        <w:pStyle w:val="CETBodytext"/>
      </w:pPr>
      <w:r w:rsidRPr="008F06BE">
        <w:t xml:space="preserve">Produced Water is naturally occurring water that is brought to the surface during the extraction of the oil and gas and it constitutes the largest waste stream in the oil and gas industry. In offshore platforms, </w:t>
      </w:r>
      <w:proofErr w:type="gramStart"/>
      <w:r w:rsidRPr="008F06BE">
        <w:t>the majority of</w:t>
      </w:r>
      <w:proofErr w:type="gramEnd"/>
      <w:r w:rsidRPr="008F06BE">
        <w:t xml:space="preserve"> the produced water is discharged into the ocean, threatening marine life. The treatment of produced water is attractive, not only to meet regulations but to secure a potential source of fresh water. The design of water treatment should consider economic, environmental, and social aspects.</w:t>
      </w:r>
    </w:p>
    <w:p w14:paraId="375816DE" w14:textId="77777777" w:rsidR="00147FCB" w:rsidRPr="008F06BE" w:rsidRDefault="00147FCB" w:rsidP="008F06BE">
      <w:pPr>
        <w:pStyle w:val="CETBodytext"/>
      </w:pPr>
      <w:r w:rsidRPr="008F06BE">
        <w:t xml:space="preserve">This paper presents a discrete model for the evolution of oil droplet distribution due to breakage and coalescence phenomena. The discrete model combined with a superstructure representation for process design results in a </w:t>
      </w:r>
      <w:r w:rsidR="00931BF0" w:rsidRPr="008F06BE">
        <w:t>mixed integer non-linear program</w:t>
      </w:r>
      <w:r w:rsidRPr="008F06BE">
        <w:t xml:space="preserve"> which is solved using a nature-inspired meta-heuristic optimization method.</w:t>
      </w:r>
    </w:p>
    <w:p w14:paraId="497204BC" w14:textId="77777777" w:rsidR="00147FCB" w:rsidRDefault="00147FCB" w:rsidP="00B3764A">
      <w:pPr>
        <w:pStyle w:val="CETHeading1"/>
        <w:ind w:left="0"/>
      </w:pPr>
      <w:bookmarkStart w:id="0" w:name="introduction"/>
      <w:r>
        <w:t>Introduction</w:t>
      </w:r>
      <w:bookmarkEnd w:id="0"/>
    </w:p>
    <w:p w14:paraId="648714AD" w14:textId="0373266C" w:rsidR="00862E4F" w:rsidRPr="008F06BE" w:rsidRDefault="00147FCB" w:rsidP="0056599B">
      <w:pPr>
        <w:pStyle w:val="CETBodytext"/>
      </w:pPr>
      <w:r w:rsidRPr="008F06BE">
        <w:t xml:space="preserve">Produced Water (PW) represents the largest waste stream associated with oil and gas production with a global estimated 3:1 volume to product ratio </w:t>
      </w:r>
      <w:r w:rsidRPr="000C1ACF">
        <w:rPr>
          <w:szCs w:val="18"/>
        </w:rPr>
        <w:t>(</w:t>
      </w:r>
      <w:proofErr w:type="spellStart"/>
      <w:r w:rsidR="00A13688" w:rsidRPr="000C1ACF">
        <w:rPr>
          <w:rFonts w:cs="Arial"/>
          <w:color w:val="222222"/>
          <w:szCs w:val="18"/>
          <w:shd w:val="clear" w:color="auto" w:fill="FFFFFF"/>
        </w:rPr>
        <w:t>Fakhru’l</w:t>
      </w:r>
      <w:proofErr w:type="spellEnd"/>
      <w:r w:rsidR="00A13688" w:rsidRPr="000C1ACF">
        <w:rPr>
          <w:rFonts w:cs="Arial"/>
          <w:color w:val="222222"/>
          <w:szCs w:val="18"/>
          <w:shd w:val="clear" w:color="auto" w:fill="FFFFFF"/>
        </w:rPr>
        <w:t xml:space="preserve">-Razi, </w:t>
      </w:r>
      <w:proofErr w:type="spellStart"/>
      <w:r w:rsidR="00A13688" w:rsidRPr="000C1ACF">
        <w:rPr>
          <w:rFonts w:cs="Arial"/>
          <w:color w:val="222222"/>
          <w:szCs w:val="18"/>
          <w:shd w:val="clear" w:color="auto" w:fill="FFFFFF"/>
        </w:rPr>
        <w:t>Pendashteh</w:t>
      </w:r>
      <w:proofErr w:type="spellEnd"/>
      <w:r w:rsidR="00A13688" w:rsidRPr="000C1ACF">
        <w:rPr>
          <w:rFonts w:cs="Arial"/>
          <w:color w:val="222222"/>
          <w:szCs w:val="18"/>
          <w:shd w:val="clear" w:color="auto" w:fill="FFFFFF"/>
        </w:rPr>
        <w:t xml:space="preserve">, Abdullah, Biak, </w:t>
      </w:r>
      <w:proofErr w:type="spellStart"/>
      <w:r w:rsidR="00A13688" w:rsidRPr="000C1ACF">
        <w:rPr>
          <w:rFonts w:cs="Arial"/>
          <w:color w:val="222222"/>
          <w:szCs w:val="18"/>
          <w:shd w:val="clear" w:color="auto" w:fill="FFFFFF"/>
        </w:rPr>
        <w:t>Madaeni</w:t>
      </w:r>
      <w:proofErr w:type="spellEnd"/>
      <w:r w:rsidR="00A13688" w:rsidRPr="000C1ACF">
        <w:rPr>
          <w:rFonts w:cs="Arial"/>
          <w:color w:val="222222"/>
          <w:szCs w:val="18"/>
          <w:shd w:val="clear" w:color="auto" w:fill="FFFFFF"/>
        </w:rPr>
        <w:t xml:space="preserve">, Abidin </w:t>
      </w:r>
      <w:r w:rsidRPr="000C1ACF">
        <w:rPr>
          <w:szCs w:val="18"/>
        </w:rPr>
        <w:t>2009).</w:t>
      </w:r>
      <w:r w:rsidRPr="008F06BE">
        <w:t xml:space="preserve"> In 2022, the world generated more than 20 billion </w:t>
      </w:r>
      <w:proofErr w:type="gramStart"/>
      <w:r w:rsidRPr="008F06BE">
        <w:t>barrel</w:t>
      </w:r>
      <w:proofErr w:type="gramEnd"/>
      <w:r w:rsidRPr="008F06BE">
        <w:t xml:space="preserve"> of PW. The PW composition varies from one field to another. In general, it comprises of dissolved and dispersed oil compounds, dissolved formation minerals, production chemical compounds, production solids, and dissolved gases.</w:t>
      </w:r>
    </w:p>
    <w:p w14:paraId="675202A3" w14:textId="52650DA2" w:rsidR="0056599B" w:rsidRDefault="00147FCB" w:rsidP="0056599B">
      <w:pPr>
        <w:pStyle w:val="CETBodytext"/>
      </w:pPr>
      <w:r>
        <w:t xml:space="preserve">Currently, the majority of PW is treated in order to be discharged or re-injected. In offshore facilities, discharging is the most adopted practice. This option can result in polluting surface water in addition to </w:t>
      </w:r>
      <w:r w:rsidR="31ABF12A">
        <w:t>creating a</w:t>
      </w:r>
      <w:r>
        <w:t xml:space="preserve"> health hazard for both animals and plants (</w:t>
      </w:r>
      <w:proofErr w:type="gramStart"/>
      <w:r w:rsidR="00A13688">
        <w:t>Jimenez ,</w:t>
      </w:r>
      <w:proofErr w:type="gramEnd"/>
      <w:r w:rsidR="00A13688">
        <w:t xml:space="preserve"> </w:t>
      </w:r>
      <w:proofErr w:type="spellStart"/>
      <w:r w:rsidR="00A13688">
        <w:t>Mico</w:t>
      </w:r>
      <w:proofErr w:type="spellEnd"/>
      <w:r w:rsidR="00A13688">
        <w:t xml:space="preserve"> , </w:t>
      </w:r>
      <w:proofErr w:type="spellStart"/>
      <w:r w:rsidR="00A13688">
        <w:t>Arnaldos</w:t>
      </w:r>
      <w:proofErr w:type="spellEnd"/>
      <w:r w:rsidR="00A13688">
        <w:t xml:space="preserve">, Medina, Contreras </w:t>
      </w:r>
      <w:r>
        <w:t xml:space="preserve"> 2018; Neff, Lee, </w:t>
      </w:r>
      <w:proofErr w:type="spellStart"/>
      <w:r>
        <w:t>DeBlois</w:t>
      </w:r>
      <w:proofErr w:type="spellEnd"/>
      <w:r>
        <w:t xml:space="preserve"> 2011). Treatment of the water to be discharged must be economical but also environmentally benign (</w:t>
      </w:r>
      <w:proofErr w:type="spellStart"/>
      <w:r w:rsidR="00A13688" w:rsidRPr="30003814">
        <w:rPr>
          <w:lang w:val="es-ES"/>
        </w:rPr>
        <w:t>Onishi</w:t>
      </w:r>
      <w:proofErr w:type="spellEnd"/>
      <w:r w:rsidR="00A13688" w:rsidRPr="30003814">
        <w:rPr>
          <w:lang w:val="es-ES"/>
        </w:rPr>
        <w:t>, Ruiz-</w:t>
      </w:r>
      <w:proofErr w:type="spellStart"/>
      <w:r w:rsidR="00A13688" w:rsidRPr="30003814">
        <w:rPr>
          <w:lang w:val="es-ES"/>
        </w:rPr>
        <w:t>Femenia</w:t>
      </w:r>
      <w:proofErr w:type="spellEnd"/>
      <w:r w:rsidR="00A13688" w:rsidRPr="30003814">
        <w:rPr>
          <w:lang w:val="es-ES"/>
        </w:rPr>
        <w:t>, Salcedo-Diaz, Carrero-</w:t>
      </w:r>
      <w:proofErr w:type="spellStart"/>
      <w:r w:rsidR="00A13688" w:rsidRPr="30003814">
        <w:rPr>
          <w:lang w:val="es-ES"/>
        </w:rPr>
        <w:t>Parreno</w:t>
      </w:r>
      <w:proofErr w:type="spellEnd"/>
      <w:r w:rsidR="00A13688" w:rsidRPr="30003814">
        <w:rPr>
          <w:lang w:val="es-ES"/>
        </w:rPr>
        <w:t xml:space="preserve">, Reyes-Labarta, Caballero </w:t>
      </w:r>
      <w:r>
        <w:t>2017) and socially acceptable. Therefore, there is a need to develop a methodology for designing a cost-efficient PW treatment system which addresses environmental impact simultaneously.</w:t>
      </w:r>
      <w:bookmarkStart w:id="1" w:name="produced-water-treatment"/>
    </w:p>
    <w:p w14:paraId="50E92BC7" w14:textId="46668D92" w:rsidR="00147FCB" w:rsidRDefault="00147FCB" w:rsidP="00B3764A">
      <w:pPr>
        <w:pStyle w:val="CETHeading1"/>
        <w:ind w:left="0"/>
      </w:pPr>
      <w:r>
        <w:t>Produced water treatment</w:t>
      </w:r>
      <w:bookmarkEnd w:id="1"/>
    </w:p>
    <w:p w14:paraId="0F5C6F7E" w14:textId="4CA4D67B" w:rsidR="00862E4F" w:rsidRDefault="00147FCB" w:rsidP="0056599B">
      <w:pPr>
        <w:pStyle w:val="CETBodytext"/>
      </w:pPr>
      <w:r>
        <w:t>Produced water may be treated using physical, chemical, membrane and biological methods. The complex nature of PW and its varying composition makes it difficult to choose the most suitable treatment option that can meet the regulatory requirements for discharge, re-</w:t>
      </w:r>
      <w:proofErr w:type="gramStart"/>
      <w:r>
        <w:t>injection</w:t>
      </w:r>
      <w:proofErr w:type="gramEnd"/>
      <w:r>
        <w:t xml:space="preserve"> or reuse. Therefore PW </w:t>
      </w:r>
      <w:r w:rsidR="42D61C2C">
        <w:t xml:space="preserve">is </w:t>
      </w:r>
      <w:r>
        <w:t xml:space="preserve">treated </w:t>
      </w:r>
      <w:r w:rsidR="155FAE15">
        <w:t>with multiple</w:t>
      </w:r>
      <w:r>
        <w:t xml:space="preserve"> stages</w:t>
      </w:r>
      <w:r w:rsidR="3CF3B7EA">
        <w:t xml:space="preserve"> and multiple technologies</w:t>
      </w:r>
      <w:r>
        <w:t xml:space="preserve"> as it is not possible for one technology to achieve the final destination requirements (</w:t>
      </w:r>
      <w:r w:rsidR="00A13688">
        <w:t>Al-</w:t>
      </w:r>
      <w:proofErr w:type="spellStart"/>
      <w:r w:rsidR="00A13688">
        <w:t>Ghouti</w:t>
      </w:r>
      <w:proofErr w:type="spellEnd"/>
      <w:r w:rsidR="00A13688">
        <w:t>, Al-</w:t>
      </w:r>
      <w:proofErr w:type="spellStart"/>
      <w:r w:rsidR="00A13688">
        <w:t>Kaabi</w:t>
      </w:r>
      <w:proofErr w:type="spellEnd"/>
      <w:r w:rsidR="00A13688">
        <w:t xml:space="preserve">, Ashfaq, </w:t>
      </w:r>
      <w:proofErr w:type="spellStart"/>
      <w:proofErr w:type="gramStart"/>
      <w:r w:rsidR="00A13688">
        <w:t>Da’na</w:t>
      </w:r>
      <w:proofErr w:type="spellEnd"/>
      <w:r w:rsidR="00A13688">
        <w:t xml:space="preserve">  </w:t>
      </w:r>
      <w:r>
        <w:t>2019</w:t>
      </w:r>
      <w:proofErr w:type="gramEnd"/>
      <w:r>
        <w:t>). Typical technologies are listed here:</w:t>
      </w:r>
    </w:p>
    <w:p w14:paraId="46449920" w14:textId="249E5F6E" w:rsidR="00862E4F" w:rsidRDefault="00147FCB" w:rsidP="0056599B">
      <w:pPr>
        <w:pStyle w:val="CETBodytext"/>
      </w:pPr>
      <w:r w:rsidRPr="30003814">
        <w:rPr>
          <w:b/>
          <w:bCs/>
        </w:rPr>
        <w:t>American Petroleum Institution Separator</w:t>
      </w:r>
      <w:r>
        <w:t xml:space="preserve"> (API): The separation of the oil droplets is based on the rise rate or vertical velocity of the oil droplets to the separator surface due to the difference in density between phases according to Stokes’</w:t>
      </w:r>
      <w:r w:rsidR="000C1ACF">
        <w:t>s</w:t>
      </w:r>
      <w:r>
        <w:t xml:space="preserve"> Law. Any oil droplets with rise rate greater than the surface loading rate, which is the flow rate divided by the separator surface area, will reach the surface of the separator within the processing residence </w:t>
      </w:r>
      <w:proofErr w:type="gramStart"/>
      <w:r>
        <w:t>time</w:t>
      </w:r>
      <w:proofErr w:type="gramEnd"/>
      <w:r>
        <w:t xml:space="preserve"> and will be removed. </w:t>
      </w:r>
      <w:r w:rsidR="7B989D1B">
        <w:t xml:space="preserve">The </w:t>
      </w:r>
      <w:r>
        <w:t xml:space="preserve">API </w:t>
      </w:r>
      <w:r w:rsidR="6FCBB549">
        <w:t xml:space="preserve">separator </w:t>
      </w:r>
      <w:r>
        <w:t>is a rectangular tank with two baffles to provide quiescent flow. The model of the API unit can be found in (</w:t>
      </w:r>
      <w:proofErr w:type="spellStart"/>
      <w:r>
        <w:t>Odiete</w:t>
      </w:r>
      <w:proofErr w:type="spellEnd"/>
      <w:r>
        <w:t xml:space="preserve"> and </w:t>
      </w:r>
      <w:proofErr w:type="spellStart"/>
      <w:r>
        <w:t>Agunwamba</w:t>
      </w:r>
      <w:proofErr w:type="spellEnd"/>
      <w:r>
        <w:t xml:space="preserve"> 2019; </w:t>
      </w:r>
      <w:proofErr w:type="spellStart"/>
      <w:r>
        <w:t>Api</w:t>
      </w:r>
      <w:proofErr w:type="spellEnd"/>
      <w:r>
        <w:t xml:space="preserve"> 1990).</w:t>
      </w:r>
    </w:p>
    <w:p w14:paraId="081E6A2A" w14:textId="4DBB911B" w:rsidR="00862E4F" w:rsidRDefault="00147FCB" w:rsidP="0056599B">
      <w:pPr>
        <w:pStyle w:val="CETBodytext"/>
      </w:pPr>
      <w:r w:rsidRPr="00862E4F">
        <w:rPr>
          <w:b/>
          <w:bCs/>
        </w:rPr>
        <w:t>Corrugated Plat Interceptors</w:t>
      </w:r>
      <w:r>
        <w:t xml:space="preserve"> (CPI): CPI is an improvement of API separator with a smaller volume and higher efficiency and a set of plates added to the separation tank. The aim of the plates is to increase the coalescence </w:t>
      </w:r>
      <w:r>
        <w:lastRenderedPageBreak/>
        <w:t>between the oil droplets which increases their rise rate and hence the separation efficiency. (</w:t>
      </w:r>
      <w:proofErr w:type="spellStart"/>
      <w:r>
        <w:t>Api</w:t>
      </w:r>
      <w:proofErr w:type="spellEnd"/>
      <w:r>
        <w:t xml:space="preserve"> 1990; </w:t>
      </w:r>
      <w:proofErr w:type="spellStart"/>
      <w:r w:rsidR="00AF2274">
        <w:t>Pangestu</w:t>
      </w:r>
      <w:proofErr w:type="spellEnd"/>
      <w:r w:rsidR="00AF2274">
        <w:t xml:space="preserve">, Zahra, </w:t>
      </w:r>
      <w:proofErr w:type="spellStart"/>
      <w:r w:rsidR="00AF2274">
        <w:t>Sarwono</w:t>
      </w:r>
      <w:proofErr w:type="spellEnd"/>
      <w:r w:rsidR="00AF2274">
        <w:t xml:space="preserve">, </w:t>
      </w:r>
      <w:proofErr w:type="spellStart"/>
      <w:r w:rsidR="00AF2274">
        <w:t>Suryawan</w:t>
      </w:r>
      <w:proofErr w:type="spellEnd"/>
      <w:r w:rsidR="00AF2274">
        <w:t xml:space="preserve"> </w:t>
      </w:r>
      <w:r>
        <w:t xml:space="preserve">2021; </w:t>
      </w:r>
      <w:proofErr w:type="spellStart"/>
      <w:r>
        <w:t>Okam</w:t>
      </w:r>
      <w:proofErr w:type="spellEnd"/>
      <w:r>
        <w:t xml:space="preserve"> 2008; </w:t>
      </w:r>
      <w:proofErr w:type="spellStart"/>
      <w:r>
        <w:t>Boraey</w:t>
      </w:r>
      <w:proofErr w:type="spellEnd"/>
      <w:r>
        <w:t xml:space="preserve"> 2018).</w:t>
      </w:r>
    </w:p>
    <w:p w14:paraId="2B6B0F0B" w14:textId="16E60F76" w:rsidR="00862E4F" w:rsidRDefault="00147FCB" w:rsidP="0056599B">
      <w:pPr>
        <w:pStyle w:val="CETBodytext"/>
      </w:pPr>
      <w:proofErr w:type="spellStart"/>
      <w:r w:rsidRPr="30003814">
        <w:rPr>
          <w:b/>
          <w:bCs/>
        </w:rPr>
        <w:t>Hydrocyclone</w:t>
      </w:r>
      <w:proofErr w:type="spellEnd"/>
      <w:r>
        <w:t xml:space="preserve"> (HC): HC is a separation device that uses inertia to remove droplets and particles from liquids. The rotating body of the HC creates a spiral vortex. The droplets and particles gain inertia. The larger and denser droplets/particles </w:t>
      </w:r>
      <w:r w:rsidR="401FE68F">
        <w:t xml:space="preserve">have higher </w:t>
      </w:r>
      <w:r>
        <w:t xml:space="preserve">inertia </w:t>
      </w:r>
      <w:r w:rsidR="1F6B31F3">
        <w:t xml:space="preserve">and, </w:t>
      </w:r>
      <w:r>
        <w:t xml:space="preserve">therefore, they </w:t>
      </w:r>
      <w:r w:rsidR="00E07BD9">
        <w:t>cannot</w:t>
      </w:r>
      <w:r>
        <w:t xml:space="preserve"> follow the high-speed spiral motion of the water. They hit the internal wall of the HC body and move down to the collection point where they leave the stream. The smaller droplets/particles on the other hand,</w:t>
      </w:r>
      <w:r w:rsidR="003B0523">
        <w:t xml:space="preserve"> </w:t>
      </w:r>
      <w:r>
        <w:t xml:space="preserve">follow the vortex due to their smaller inertia and move upward </w:t>
      </w:r>
      <w:r w:rsidR="2B12E457">
        <w:t>in</w:t>
      </w:r>
      <w:r>
        <w:t xml:space="preserve"> the same direction as the clean feed that leaves the device</w:t>
      </w:r>
      <w:r w:rsidR="3A3D824D">
        <w:t xml:space="preserve"> </w:t>
      </w:r>
      <w:r>
        <w:t>(Coker 2007).</w:t>
      </w:r>
    </w:p>
    <w:p w14:paraId="63A44481" w14:textId="76EBB28F" w:rsidR="007E1624" w:rsidRDefault="00147FCB" w:rsidP="0056599B">
      <w:pPr>
        <w:pStyle w:val="CETBodytext"/>
      </w:pPr>
      <w:r w:rsidRPr="30003814">
        <w:rPr>
          <w:b/>
          <w:bCs/>
        </w:rPr>
        <w:t>Induced Gas Flotation</w:t>
      </w:r>
      <w:r>
        <w:t xml:space="preserve"> (IGF): </w:t>
      </w:r>
      <w:proofErr w:type="gramStart"/>
      <w:r>
        <w:t>Similar to</w:t>
      </w:r>
      <w:proofErr w:type="gramEnd"/>
      <w:r>
        <w:t xml:space="preserve"> API and CPI, IGF separation is based on the difference in density between phases. In this process, the difference is increased by inducing gas bubbles to the unit. The bubbles attach to the oil droplets and solids. The new agglomerate has a lower density than oil and hence rise faster to the surface</w:t>
      </w:r>
      <w:r w:rsidR="74D17738">
        <w:t>,</w:t>
      </w:r>
      <w:r>
        <w:t xml:space="preserve"> where they are skimmed off (Selvam 2018).</w:t>
      </w:r>
    </w:p>
    <w:p w14:paraId="2FE4FF7A" w14:textId="6101365E" w:rsidR="00147FCB" w:rsidRDefault="00147FCB" w:rsidP="00147FCB">
      <w:pPr>
        <w:pStyle w:val="CETBodytext"/>
      </w:pPr>
      <w:r>
        <w:t xml:space="preserve">PW treatment </w:t>
      </w:r>
      <w:r w:rsidR="7EC4CBC0">
        <w:t xml:space="preserve">traditionally </w:t>
      </w:r>
      <w:r>
        <w:t xml:space="preserve">has </w:t>
      </w:r>
      <w:r w:rsidR="2470F3E2">
        <w:t>four</w:t>
      </w:r>
      <w:r>
        <w:t xml:space="preserve"> main stages: primary, secondary, polishing (optional) and tertiary treatment. The purpose of the primary treatment is to remove small oil droplets and suspended solids and is usually performed through API, parallel </w:t>
      </w:r>
      <w:r w:rsidR="003B0523">
        <w:t>plate’s</w:t>
      </w:r>
      <w:r>
        <w:t xml:space="preserve"> </w:t>
      </w:r>
      <w:proofErr w:type="gramStart"/>
      <w:r>
        <w:t>interceptors</w:t>
      </w:r>
      <w:proofErr w:type="gramEnd"/>
      <w:r>
        <w:t xml:space="preserve"> or skim tanks. In the following stage, secondary treatment, technologies such as flotation, hydro-cyclone and centrifuge are used to remove smaller oil droplets and solids. In the polishing step, dispersed oil and ultra-small droplets and particles are removed. The tertiary step is used to remove dissolved solids and gas. Nevertheless, for purposes of conceptual design</w:t>
      </w:r>
      <w:r w:rsidR="2C3F85F0">
        <w:t xml:space="preserve"> and to reduce a priori assumptions that restrict the design options</w:t>
      </w:r>
      <w:r>
        <w:t>, all units can be considered for each stage and the number of treatment steps is left open.</w:t>
      </w:r>
    </w:p>
    <w:p w14:paraId="7F29B366" w14:textId="77777777" w:rsidR="00147FCB" w:rsidRDefault="00147FCB" w:rsidP="00B3764A">
      <w:pPr>
        <w:pStyle w:val="CETHeading1"/>
        <w:ind w:hanging="567"/>
      </w:pPr>
      <w:bookmarkStart w:id="2" w:name="droplets-size-distribution"/>
      <w:r>
        <w:t xml:space="preserve">Droplets Size Distribution </w:t>
      </w:r>
      <w:bookmarkEnd w:id="2"/>
    </w:p>
    <w:p w14:paraId="5396970D" w14:textId="18336A94" w:rsidR="007E1624" w:rsidRDefault="00147FCB" w:rsidP="0056599B">
      <w:pPr>
        <w:pStyle w:val="CETBodytext"/>
      </w:pPr>
      <w:r>
        <w:t>Oil exists in water in form of droplets that range from 0.5 to 500 micron in diameter. The droplets size distribution (DSD) has a significant influence on the performance of the separation unit. A distribution is typically described by a continuous function. However, for design, we consider a discrete formulation based on a logarithmic based discretization of the space (droplet volume). The continuous distribution is mapped to discrete space by the number of droplets present for any volume class size.</w:t>
      </w:r>
    </w:p>
    <w:p w14:paraId="1CC3AB7B" w14:textId="078C70A8" w:rsidR="00C44FB3" w:rsidRDefault="00147FCB" w:rsidP="0056599B">
      <w:pPr>
        <w:pStyle w:val="CETBodytext"/>
      </w:pPr>
      <w:r>
        <w:t xml:space="preserve">The DSD does not remain constant during the treatment process due to breakage and coalescence phenomena. Coalescence is a </w:t>
      </w:r>
      <w:r w:rsidR="007359DC">
        <w:t>favorable</w:t>
      </w:r>
      <w:r>
        <w:t xml:space="preserve"> phenomenon as it improves the efficiency of the separation process. API and CPI units are designed to increase the coalescence frequency between the oil droplets as </w:t>
      </w:r>
      <w:proofErr w:type="gramStart"/>
      <w:r>
        <w:t>that results</w:t>
      </w:r>
      <w:proofErr w:type="gramEnd"/>
      <w:r>
        <w:t xml:space="preserve"> in larger oil droplets and hence a higher rise velocity. Coalescence takes place in laminar flow condition only. The coalescence frequency between the oil droplets is a function of the collision frequency </w:t>
      </w:r>
      <m:oMath>
        <m:r>
          <w:rPr>
            <w:rFonts w:ascii="Cambria Math" w:hAnsi="Cambria Math"/>
          </w:rPr>
          <m:t>h(</m:t>
        </m:r>
        <m:sSub>
          <m:sSubPr>
            <m:ctrlPr>
              <w:rPr>
                <w:rFonts w:ascii="Cambria Math" w:hAnsi="Cambria Math"/>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j</m:t>
            </m:r>
          </m:sub>
        </m:sSub>
        <m:r>
          <w:rPr>
            <w:rFonts w:ascii="Cambria Math" w:hAnsi="Cambria Math"/>
          </w:rPr>
          <m:t>)</m:t>
        </m:r>
      </m:oMath>
      <w:r>
        <w:t xml:space="preserve"> and coalescence </w:t>
      </w:r>
      <w:r w:rsidR="003B0523">
        <w:t>efficiency</w:t>
      </w:r>
      <m:oMath>
        <m:r>
          <w:rPr>
            <w:rFonts w:ascii="Cambria Math" w:hAnsi="Cambria Math"/>
          </w:rPr>
          <m:t>λ(</m:t>
        </m:r>
        <m:sSub>
          <m:sSubPr>
            <m:ctrlPr>
              <w:rPr>
                <w:rFonts w:ascii="Cambria Math" w:hAnsi="Cambria Math"/>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j</m:t>
            </m:r>
          </m:sub>
        </m:sSub>
        <m:r>
          <w:rPr>
            <w:rFonts w:ascii="Cambria Math" w:hAnsi="Cambria Math"/>
          </w:rPr>
          <m:t>)</m:t>
        </m:r>
      </m:oMath>
      <w:r>
        <w:t>:</w:t>
      </w:r>
    </w:p>
    <w:tbl>
      <w:tblPr>
        <w:tblW w:w="5000" w:type="pct"/>
        <w:tblLook w:val="04A0" w:firstRow="1" w:lastRow="0" w:firstColumn="1" w:lastColumn="0" w:noHBand="0" w:noVBand="1"/>
      </w:tblPr>
      <w:tblGrid>
        <w:gridCol w:w="7984"/>
        <w:gridCol w:w="803"/>
      </w:tblGrid>
      <w:tr w:rsidR="00C44FB3" w:rsidRPr="00C44FB3" w14:paraId="23390445" w14:textId="77777777" w:rsidTr="00CB4540">
        <w:tc>
          <w:tcPr>
            <w:tcW w:w="8188" w:type="dxa"/>
            <w:shd w:val="clear" w:color="auto" w:fill="auto"/>
            <w:vAlign w:val="center"/>
          </w:tcPr>
          <w:p w14:paraId="1996613B" w14:textId="77777777" w:rsidR="00C44FB3" w:rsidRPr="00C44FB3" w:rsidRDefault="00C44FB3" w:rsidP="00C44FB3">
            <w:pPr>
              <w:pStyle w:val="CETEquation"/>
              <w:rPr>
                <w:rFonts w:cs="Arial"/>
              </w:rPr>
            </w:pPr>
            <m:oMathPara>
              <m:oMathParaPr>
                <m:jc m:val="left"/>
              </m:oMathParaPr>
              <m:oMath>
                <m:r>
                  <w:rPr>
                    <w:rFonts w:ascii="Cambria Math" w:hAnsi="Cambria Math" w:cs="Arial"/>
                  </w:rPr>
                  <m:t>Ω</m:t>
                </m:r>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w:rPr>
                        <w:rFonts w:ascii="Cambria Math" w:hAnsi="Cambria Math" w:cs="Arial"/>
                      </w:rPr>
                      <m:t>i</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w:rPr>
                        <w:rFonts w:ascii="Cambria Math" w:hAnsi="Cambria Math" w:cs="Arial"/>
                      </w:rPr>
                      <m:t>j</m:t>
                    </m:r>
                  </m:sub>
                </m:sSub>
                <m:r>
                  <m:rPr>
                    <m:sty m:val="p"/>
                  </m:rPr>
                  <w:rPr>
                    <w:rFonts w:ascii="Cambria Math" w:hAnsi="Cambria Math" w:cs="Arial"/>
                  </w:rPr>
                  <m:t>)=</m:t>
                </m:r>
                <m:r>
                  <w:rPr>
                    <w:rFonts w:ascii="Cambria Math" w:hAnsi="Cambria Math" w:cs="Arial"/>
                  </w:rPr>
                  <m:t>h</m:t>
                </m:r>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w:rPr>
                        <w:rFonts w:ascii="Cambria Math" w:hAnsi="Cambria Math" w:cs="Arial"/>
                      </w:rPr>
                      <m:t>i</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w:rPr>
                        <w:rFonts w:ascii="Cambria Math" w:hAnsi="Cambria Math" w:cs="Arial"/>
                      </w:rPr>
                      <m:t>j</m:t>
                    </m:r>
                  </m:sub>
                </m:sSub>
                <m:r>
                  <m:rPr>
                    <m:sty m:val="p"/>
                  </m:rPr>
                  <w:rPr>
                    <w:rFonts w:ascii="Cambria Math" w:hAnsi="Cambria Math" w:cs="Arial"/>
                  </w:rPr>
                  <m:t>) </m:t>
                </m:r>
                <m:r>
                  <w:rPr>
                    <w:rFonts w:ascii="Cambria Math" w:hAnsi="Cambria Math" w:cs="Arial"/>
                  </w:rPr>
                  <m:t>λ</m:t>
                </m:r>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w:rPr>
                        <w:rFonts w:ascii="Cambria Math" w:hAnsi="Cambria Math" w:cs="Arial"/>
                      </w:rPr>
                      <m:t>i</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d</m:t>
                    </m:r>
                  </m:e>
                  <m:sub>
                    <m:r>
                      <w:rPr>
                        <w:rFonts w:ascii="Cambria Math" w:hAnsi="Cambria Math" w:cs="Arial"/>
                      </w:rPr>
                      <m:t>j</m:t>
                    </m:r>
                  </m:sub>
                </m:sSub>
                <m:r>
                  <m:rPr>
                    <m:sty m:val="p"/>
                  </m:rPr>
                  <w:rPr>
                    <w:rFonts w:ascii="Cambria Math" w:hAnsi="Cambria Math" w:cs="Arial"/>
                  </w:rPr>
                  <m:t>)</m:t>
                </m:r>
              </m:oMath>
            </m:oMathPara>
          </w:p>
        </w:tc>
        <w:tc>
          <w:tcPr>
            <w:tcW w:w="815" w:type="dxa"/>
            <w:shd w:val="clear" w:color="auto" w:fill="auto"/>
            <w:vAlign w:val="center"/>
          </w:tcPr>
          <w:p w14:paraId="391CDC37" w14:textId="77777777" w:rsidR="00C44FB3" w:rsidRPr="00C44FB3" w:rsidRDefault="00C44FB3" w:rsidP="00CB4540">
            <w:pPr>
              <w:pStyle w:val="CETEquation"/>
              <w:jc w:val="right"/>
              <w:rPr>
                <w:rFonts w:cs="Arial"/>
              </w:rPr>
            </w:pPr>
            <w:r w:rsidRPr="00C44FB3">
              <w:rPr>
                <w:rFonts w:cs="Arial"/>
              </w:rPr>
              <w:t>(1)</w:t>
            </w:r>
          </w:p>
        </w:tc>
      </w:tr>
    </w:tbl>
    <w:p w14:paraId="23263FEC" w14:textId="3F15DD5E" w:rsidR="007E1624" w:rsidRDefault="00147FCB" w:rsidP="0056599B">
      <w:pPr>
        <w:pStyle w:val="CETBodytext"/>
      </w:pPr>
      <w:r>
        <w:t>The frequency is calculated using the Prince and Blanch model (Prince and Blanch 1990) while the efficiency is modelled based on the film drainage theory: for the coalescence to take place, the contact time between two droplets is equal to or higher than the time needed for the film between the droplets to drain (Li and Huang 2017).</w:t>
      </w:r>
    </w:p>
    <w:p w14:paraId="0D6EF75C" w14:textId="4A9425E4" w:rsidR="00147FCB" w:rsidRDefault="00147FCB" w:rsidP="0056599B">
      <w:pPr>
        <w:pStyle w:val="CETBodytext"/>
      </w:pPr>
      <w:r>
        <w:t>Unlike coalescence, breakage makes the separation more difficult as it results in smaller oil droplets which affects the rise rate negatively</w:t>
      </w:r>
      <w:r w:rsidR="525D2A91">
        <w:t>, leading to the requirement of</w:t>
      </w:r>
      <w:r>
        <w:t xml:space="preserve"> more processing to achieve the </w:t>
      </w:r>
      <w:r w:rsidR="2BABFCCB">
        <w:t>desired</w:t>
      </w:r>
      <w:r>
        <w:t xml:space="preserve"> quality of the output. In a liquid-liquid dispersion, breakage takes place due to the different forces applied to the droplet. In turbulent flow, the stress from the continuous phase destroys the droplets while the surface stress of the droplets and the viscous stress of the fluid inside it retain its form. The breakage frequency of a droplet of volume </w:t>
      </w:r>
      <m:oMath>
        <m:r>
          <w:rPr>
            <w:rFonts w:ascii="Cambria Math" w:hAnsi="Cambria Math"/>
          </w:rPr>
          <m:t>v</m:t>
        </m:r>
      </m:oMath>
      <w:r>
        <w:t xml:space="preserve"> is calculated using</w:t>
      </w:r>
    </w:p>
    <w:tbl>
      <w:tblPr>
        <w:tblW w:w="5000" w:type="pct"/>
        <w:tblLook w:val="04A0" w:firstRow="1" w:lastRow="0" w:firstColumn="1" w:lastColumn="0" w:noHBand="0" w:noVBand="1"/>
      </w:tblPr>
      <w:tblGrid>
        <w:gridCol w:w="7987"/>
        <w:gridCol w:w="800"/>
      </w:tblGrid>
      <w:tr w:rsidR="00C44FB3" w:rsidRPr="00B57B36" w14:paraId="04519E28" w14:textId="77777777" w:rsidTr="00CB4540">
        <w:tc>
          <w:tcPr>
            <w:tcW w:w="8188" w:type="dxa"/>
            <w:shd w:val="clear" w:color="auto" w:fill="auto"/>
            <w:vAlign w:val="center"/>
          </w:tcPr>
          <w:p w14:paraId="751447DB" w14:textId="77777777" w:rsidR="00C44FB3" w:rsidRPr="00C44FB3" w:rsidRDefault="00C44FB3" w:rsidP="00C44FB3">
            <w:pPr>
              <w:pStyle w:val="CETEquation"/>
            </w:pPr>
            <m:oMathPara>
              <m:oMathParaPr>
                <m:jc m:val="left"/>
              </m:oMathParaPr>
              <m:oMath>
                <m:r>
                  <w:rPr>
                    <w:rFonts w:ascii="Cambria Math" w:hAnsi="Cambria Math"/>
                  </w:rPr>
                  <m:t>Ω</m:t>
                </m:r>
                <m:r>
                  <m:rPr>
                    <m:sty m:val="p"/>
                  </m:rPr>
                  <w:rPr>
                    <w:rFonts w:ascii="Cambria Math" w:hAnsi="Cambria Math"/>
                  </w:rPr>
                  <m:t>(</m:t>
                </m:r>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f>
                  <m:fPr>
                    <m:ctrlPr>
                      <w:rPr>
                        <w:rFonts w:ascii="Cambria Math" w:hAnsi="Cambria Math"/>
                      </w:rPr>
                    </m:ctrlPr>
                  </m:fPr>
                  <m:num>
                    <m:sSup>
                      <m:sSupPr>
                        <m:ctrlPr>
                          <w:rPr>
                            <w:rFonts w:ascii="Cambria Math" w:hAnsi="Cambria Math"/>
                          </w:rPr>
                        </m:ctrlPr>
                      </m:sSupPr>
                      <m:e>
                        <m:r>
                          <w:rPr>
                            <w:rFonts w:ascii="Cambria Math" w:hAnsi="Cambria Math"/>
                          </w:rPr>
                          <m:t>ε</m:t>
                        </m:r>
                      </m:e>
                      <m:sup>
                        <m:r>
                          <m:rPr>
                            <m:sty m:val="p"/>
                          </m:rPr>
                          <w:rPr>
                            <w:rFonts w:ascii="Cambria Math" w:hAnsi="Cambria Math"/>
                          </w:rPr>
                          <m:t>1/3</m:t>
                        </m:r>
                      </m:sup>
                    </m:sSup>
                  </m:num>
                  <m:den>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 </m:t>
                    </m:r>
                    <m:sSup>
                      <m:sSupPr>
                        <m:ctrlPr>
                          <w:rPr>
                            <w:rFonts w:ascii="Cambria Math" w:hAnsi="Cambria Math"/>
                          </w:rPr>
                        </m:ctrlPr>
                      </m:sSupPr>
                      <m:e>
                        <m:r>
                          <w:rPr>
                            <w:rFonts w:ascii="Cambria Math" w:hAnsi="Cambria Math"/>
                          </w:rPr>
                          <m:t>d</m:t>
                        </m:r>
                      </m:e>
                      <m:sup>
                        <m:r>
                          <m:rPr>
                            <m:sty m:val="p"/>
                          </m:rPr>
                          <w:rPr>
                            <w:rFonts w:ascii="Cambria Math" w:hAnsi="Cambria Math"/>
                          </w:rPr>
                          <m:t>2/3</m:t>
                        </m:r>
                      </m:sup>
                    </m:sSup>
                  </m:den>
                </m:f>
                <m:r>
                  <m:rPr>
                    <m:sty m:val="p"/>
                  </m:rPr>
                  <w:rPr>
                    <w:rFonts w:ascii="Cambria Math" w:hAnsi="Cambria Math"/>
                  </w:rPr>
                  <m:t> </m:t>
                </m:r>
                <m:r>
                  <w:rPr>
                    <w:rFonts w:ascii="Cambria Math" w:hAnsi="Cambria Math"/>
                  </w:rPr>
                  <m:t>exp</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2</m:t>
                            </m:r>
                          </m:sub>
                        </m:sSub>
                        <m:r>
                          <w:rPr>
                            <w:rFonts w:ascii="Cambria Math" w:hAnsi="Cambria Math"/>
                          </w:rPr>
                          <m:t>σ</m:t>
                        </m:r>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d</m:t>
                            </m:r>
                          </m:sub>
                        </m:sSub>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num>
                      <m:den>
                        <m:sSub>
                          <m:sSubPr>
                            <m:ctrlPr>
                              <w:rPr>
                                <w:rFonts w:ascii="Cambria Math" w:hAnsi="Cambria Math"/>
                              </w:rPr>
                            </m:ctrlPr>
                          </m:sSubPr>
                          <m:e>
                            <m:r>
                              <w:rPr>
                                <w:rFonts w:ascii="Cambria Math" w:hAnsi="Cambria Math"/>
                              </w:rPr>
                              <m:t>ρ</m:t>
                            </m:r>
                          </m:e>
                          <m:sub>
                            <m:r>
                              <w:rPr>
                                <w:rFonts w:ascii="Cambria Math" w:hAnsi="Cambria Math"/>
                              </w:rPr>
                              <m:t>d</m:t>
                            </m:r>
                          </m:sub>
                        </m:sSub>
                        <m:sSup>
                          <m:sSupPr>
                            <m:ctrlPr>
                              <w:rPr>
                                <w:rFonts w:ascii="Cambria Math" w:hAnsi="Cambria Math"/>
                              </w:rPr>
                            </m:ctrlPr>
                          </m:sSupPr>
                          <m:e>
                            <m:r>
                              <w:rPr>
                                <w:rFonts w:ascii="Cambria Math" w:hAnsi="Cambria Math"/>
                              </w:rPr>
                              <m:t>ε</m:t>
                            </m:r>
                          </m:e>
                          <m:sup>
                            <m:r>
                              <m:rPr>
                                <m:sty m:val="p"/>
                              </m:rPr>
                              <w:rPr>
                                <w:rFonts w:ascii="Cambria Math" w:hAnsi="Cambria Math"/>
                              </w:rPr>
                              <m:t>2/3</m:t>
                            </m:r>
                          </m:sup>
                        </m:sSup>
                        <m:sSup>
                          <m:sSupPr>
                            <m:ctrlPr>
                              <w:rPr>
                                <w:rFonts w:ascii="Cambria Math" w:hAnsi="Cambria Math"/>
                              </w:rPr>
                            </m:ctrlPr>
                          </m:sSupPr>
                          <m:e>
                            <m:r>
                              <w:rPr>
                                <w:rFonts w:ascii="Cambria Math" w:hAnsi="Cambria Math"/>
                              </w:rPr>
                              <m:t>d</m:t>
                            </m:r>
                          </m:e>
                          <m:sup>
                            <m:r>
                              <m:rPr>
                                <m:sty m:val="p"/>
                              </m:rPr>
                              <w:rPr>
                                <w:rFonts w:ascii="Cambria Math" w:hAnsi="Cambria Math"/>
                              </w:rPr>
                              <m:t>5/3</m:t>
                            </m:r>
                          </m:sup>
                        </m:sSup>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3</m:t>
                            </m:r>
                          </m:sub>
                        </m:sSub>
                        <m:sSub>
                          <m:sSubPr>
                            <m:ctrlPr>
                              <w:rPr>
                                <w:rFonts w:ascii="Cambria Math" w:hAnsi="Cambria Math"/>
                              </w:rPr>
                            </m:ctrlPr>
                          </m:sSubPr>
                          <m:e>
                            <m:r>
                              <w:rPr>
                                <w:rFonts w:ascii="Cambria Math" w:hAnsi="Cambria Math"/>
                              </w:rPr>
                              <m:t>μ</m:t>
                            </m:r>
                          </m:e>
                          <m:sub>
                            <m:r>
                              <w:rPr>
                                <w:rFonts w:ascii="Cambria Math" w:hAnsi="Cambria Math"/>
                              </w:rPr>
                              <m:t>d</m:t>
                            </m:r>
                          </m:sub>
                        </m:sSub>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num>
                      <m:den>
                        <m:sSub>
                          <m:sSubPr>
                            <m:ctrlPr>
                              <w:rPr>
                                <w:rFonts w:ascii="Cambria Math" w:hAnsi="Cambria Math"/>
                              </w:rPr>
                            </m:ctrlPr>
                          </m:sSubPr>
                          <m:e>
                            <m:r>
                              <w:rPr>
                                <w:rFonts w:ascii="Cambria Math" w:hAnsi="Cambria Math"/>
                              </w:rPr>
                              <m:t>ρ</m:t>
                            </m:r>
                          </m:e>
                          <m:sub>
                            <m:r>
                              <w:rPr>
                                <w:rFonts w:ascii="Cambria Math" w:hAnsi="Cambria Math"/>
                              </w:rPr>
                              <m:t>d</m:t>
                            </m:r>
                          </m:sub>
                        </m:sSub>
                        <m:sSup>
                          <m:sSupPr>
                            <m:ctrlPr>
                              <w:rPr>
                                <w:rFonts w:ascii="Cambria Math" w:hAnsi="Cambria Math"/>
                              </w:rPr>
                            </m:ctrlPr>
                          </m:sSupPr>
                          <m:e>
                            <m:r>
                              <w:rPr>
                                <w:rFonts w:ascii="Cambria Math" w:hAnsi="Cambria Math"/>
                              </w:rPr>
                              <m:t>ε</m:t>
                            </m:r>
                          </m:e>
                          <m:sup>
                            <m:r>
                              <m:rPr>
                                <m:sty m:val="p"/>
                              </m:rPr>
                              <w:rPr>
                                <w:rFonts w:ascii="Cambria Math" w:hAnsi="Cambria Math"/>
                              </w:rPr>
                              <m:t>1/3</m:t>
                            </m:r>
                          </m:sup>
                        </m:sSup>
                        <m:sSup>
                          <m:sSupPr>
                            <m:ctrlPr>
                              <w:rPr>
                                <w:rFonts w:ascii="Cambria Math" w:hAnsi="Cambria Math"/>
                              </w:rPr>
                            </m:ctrlPr>
                          </m:sSupPr>
                          <m:e>
                            <m:r>
                              <w:rPr>
                                <w:rFonts w:ascii="Cambria Math" w:hAnsi="Cambria Math"/>
                              </w:rPr>
                              <m:t>d</m:t>
                            </m:r>
                          </m:e>
                          <m:sup>
                            <m:r>
                              <m:rPr>
                                <m:sty m:val="p"/>
                              </m:rPr>
                              <w:rPr>
                                <w:rFonts w:ascii="Cambria Math" w:hAnsi="Cambria Math"/>
                              </w:rPr>
                              <m:t>4/3</m:t>
                            </m:r>
                          </m:sup>
                        </m:sSup>
                      </m:den>
                    </m:f>
                  </m:e>
                </m:d>
              </m:oMath>
            </m:oMathPara>
          </w:p>
          <w:p w14:paraId="261588AF" w14:textId="77777777" w:rsidR="00C44FB3" w:rsidRPr="00B57B36" w:rsidRDefault="00C44FB3" w:rsidP="00C44FB3">
            <w:pPr>
              <w:pStyle w:val="CETEquation"/>
            </w:pPr>
          </w:p>
        </w:tc>
        <w:tc>
          <w:tcPr>
            <w:tcW w:w="815" w:type="dxa"/>
            <w:shd w:val="clear" w:color="auto" w:fill="auto"/>
            <w:vAlign w:val="center"/>
          </w:tcPr>
          <w:p w14:paraId="2329593F" w14:textId="77777777" w:rsidR="00C44FB3" w:rsidRPr="00B57B36" w:rsidRDefault="00E07BD9" w:rsidP="00C44FB3">
            <w:pPr>
              <w:pStyle w:val="CETEquation"/>
            </w:pPr>
            <w:r>
              <w:t xml:space="preserve">       </w:t>
            </w:r>
            <w:r w:rsidR="00C44FB3" w:rsidRPr="00B57B36">
              <w:t>(</w:t>
            </w:r>
            <w:r w:rsidR="00C44FB3">
              <w:t>2</w:t>
            </w:r>
            <w:r w:rsidR="00C44FB3" w:rsidRPr="00B57B36">
              <w:t>)</w:t>
            </w:r>
          </w:p>
        </w:tc>
      </w:tr>
    </w:tbl>
    <w:p w14:paraId="499A15F9" w14:textId="43218335" w:rsidR="00147FCB" w:rsidRDefault="00147FCB" w:rsidP="0056599B">
      <w:pPr>
        <w:pStyle w:val="CETBodytext"/>
      </w:pPr>
      <w:r>
        <w:t xml:space="preserve">The </w:t>
      </w:r>
      <w:r w:rsidR="67DE4004">
        <w:t xml:space="preserve">conservation of the </w:t>
      </w:r>
      <w:r>
        <w:t xml:space="preserve">total volume of droplets is </w:t>
      </w:r>
      <w:r w:rsidR="7FD26023">
        <w:t>modelled with</w:t>
      </w:r>
      <w:r>
        <w:t xml:space="preserve"> discrete population balance equations. These equations capture the exchange of the volume between the discrete classes using birth and death rate equations, corresponding to the breakage and coalescence phenomena</w:t>
      </w:r>
      <w:r w:rsidR="3775EC43">
        <w:t xml:space="preserve"> described above</w:t>
      </w:r>
      <w:r>
        <w:t>. Due to the discrete nature of the representation, the number of new droplets</w:t>
      </w:r>
      <w:r w:rsidR="00C565F9">
        <w:t>,</w:t>
      </w:r>
      <w:r w:rsidR="79D60D81">
        <w:t xml:space="preserve"> </w:t>
      </w:r>
      <m:oMath>
        <m:r>
          <w:rPr>
            <w:rFonts w:ascii="Cambria Math" w:hAnsi="Cambria Math"/>
          </w:rPr>
          <m:t>n</m:t>
        </m:r>
      </m:oMath>
      <w:r>
        <w:t xml:space="preserve">, of a given volume, </w:t>
      </w:r>
      <m:oMath>
        <m:r>
          <w:rPr>
            <w:rFonts w:ascii="Cambria Math" w:hAnsi="Cambria Math"/>
          </w:rPr>
          <m:t>v</m:t>
        </m:r>
      </m:oMath>
      <w:r>
        <w:t xml:space="preserve">, are distributed to two neighbouring volume classes, </w:t>
      </w:r>
      <m:oMath>
        <m:sSub>
          <m:sSubPr>
            <m:ctrlPr>
              <w:rPr>
                <w:rFonts w:ascii="Cambria Math" w:hAnsi="Cambria Math"/>
              </w:rPr>
            </m:ctrlPr>
          </m:sSubPr>
          <m:e>
            <m:r>
              <w:rPr>
                <w:rFonts w:ascii="Cambria Math" w:hAnsi="Cambria Math"/>
              </w:rPr>
              <m:t>v</m:t>
            </m:r>
          </m:e>
          <m:sub>
            <m:r>
              <w:rPr>
                <w:rFonts w:ascii="Cambria Math" w:hAnsi="Cambria Math"/>
              </w:rPr>
              <m:t>i</m:t>
            </m:r>
          </m:sub>
        </m:sSub>
      </m:oMath>
      <w:r>
        <w:t xml:space="preserve"> and </w:t>
      </w:r>
      <m:oMath>
        <m:sSub>
          <m:sSubPr>
            <m:ctrlPr>
              <w:rPr>
                <w:rFonts w:ascii="Cambria Math" w:hAnsi="Cambria Math"/>
              </w:rPr>
            </m:ctrlPr>
          </m:sSubPr>
          <m:e>
            <m:r>
              <w:rPr>
                <w:rFonts w:ascii="Cambria Math" w:hAnsi="Cambria Math"/>
              </w:rPr>
              <m:t>v</m:t>
            </m:r>
          </m:e>
          <m:sub>
            <m:r>
              <w:rPr>
                <w:rFonts w:ascii="Cambria Math" w:hAnsi="Cambria Math"/>
              </w:rPr>
              <m:t>i+1</m:t>
            </m:r>
          </m:sub>
        </m:sSub>
      </m:oMath>
      <w:r>
        <w:t xml:space="preserve">, where </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i+1</m:t>
            </m:r>
          </m:sub>
        </m:sSub>
        <m:r>
          <w:rPr>
            <w:rFonts w:ascii="Cambria Math" w:hAnsi="Cambria Math"/>
          </w:rPr>
          <m:t>]</m:t>
        </m:r>
      </m:oMath>
      <w:r>
        <w:t>, to ensure that the total volume overall remains constant:</w:t>
      </w:r>
    </w:p>
    <w:tbl>
      <w:tblPr>
        <w:tblW w:w="5000" w:type="pct"/>
        <w:tblLook w:val="04A0" w:firstRow="1" w:lastRow="0" w:firstColumn="1" w:lastColumn="0" w:noHBand="0" w:noVBand="1"/>
      </w:tblPr>
      <w:tblGrid>
        <w:gridCol w:w="7983"/>
        <w:gridCol w:w="804"/>
      </w:tblGrid>
      <w:tr w:rsidR="00C44FB3" w:rsidRPr="00B57B36" w14:paraId="63A37E47" w14:textId="77777777" w:rsidTr="00E07BD9">
        <w:tc>
          <w:tcPr>
            <w:tcW w:w="7983" w:type="dxa"/>
            <w:shd w:val="clear" w:color="auto" w:fill="auto"/>
            <w:vAlign w:val="center"/>
          </w:tcPr>
          <w:p w14:paraId="3749E0CD" w14:textId="77777777" w:rsidR="00C44FB3" w:rsidRPr="00C44FB3" w:rsidRDefault="00C44FB3" w:rsidP="00C44FB3">
            <w:pPr>
              <w:pStyle w:val="CETEquation"/>
            </w:pPr>
            <m:oMathPara>
              <m:oMathParaPr>
                <m:jc m:val="left"/>
              </m:oMathParaPr>
              <m:oMath>
                <m:r>
                  <w:rPr>
                    <w:rFonts w:ascii="Cambria Math" w:hAnsi="Cambria Math"/>
                  </w:rPr>
                  <m:t>nv</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sSub>
                  <m:sSubPr>
                    <m:ctrlPr>
                      <w:rPr>
                        <w:rFonts w:ascii="Cambria Math" w:hAnsi="Cambria Math"/>
                      </w:rPr>
                    </m:ctrlPr>
                  </m:sSubPr>
                  <m:e>
                    <m:r>
                      <w:rPr>
                        <w:rFonts w:ascii="Cambria Math" w:hAnsi="Cambria Math"/>
                      </w:rPr>
                      <m:t>v</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r>
                      <m:rPr>
                        <m:sty m:val="p"/>
                      </m:rPr>
                      <w:rPr>
                        <w:rFonts w:ascii="Cambria Math" w:hAnsi="Cambria Math"/>
                      </w:rPr>
                      <m:t>+1</m:t>
                    </m:r>
                  </m:sub>
                </m:sSub>
                <m:sSub>
                  <m:sSubPr>
                    <m:ctrlPr>
                      <w:rPr>
                        <w:rFonts w:ascii="Cambria Math" w:hAnsi="Cambria Math"/>
                      </w:rPr>
                    </m:ctrlPr>
                  </m:sSubPr>
                  <m:e>
                    <m:r>
                      <w:rPr>
                        <w:rFonts w:ascii="Cambria Math" w:hAnsi="Cambria Math"/>
                      </w:rPr>
                      <m:t>v</m:t>
                    </m:r>
                  </m:e>
                  <m:sub>
                    <m:r>
                      <w:rPr>
                        <w:rFonts w:ascii="Cambria Math" w:hAnsi="Cambria Math"/>
                      </w:rPr>
                      <m:t>i</m:t>
                    </m:r>
                    <m:r>
                      <m:rPr>
                        <m:sty m:val="p"/>
                      </m:rPr>
                      <w:rPr>
                        <w:rFonts w:ascii="Cambria Math" w:hAnsi="Cambria Math"/>
                      </w:rPr>
                      <m:t>+1</m:t>
                    </m:r>
                  </m:sub>
                </m:sSub>
              </m:oMath>
            </m:oMathPara>
          </w:p>
        </w:tc>
        <w:tc>
          <w:tcPr>
            <w:tcW w:w="804" w:type="dxa"/>
            <w:shd w:val="clear" w:color="auto" w:fill="auto"/>
            <w:vAlign w:val="center"/>
          </w:tcPr>
          <w:p w14:paraId="2841EF2B" w14:textId="77777777" w:rsidR="00C44FB3" w:rsidRDefault="00C44FB3" w:rsidP="00E07BD9">
            <w:pPr>
              <w:pStyle w:val="CETEquation"/>
              <w:jc w:val="right"/>
            </w:pPr>
            <w:r w:rsidRPr="00B57B36">
              <w:t>(</w:t>
            </w:r>
            <w:r w:rsidR="00E07BD9">
              <w:t>3</w:t>
            </w:r>
            <w:r w:rsidRPr="00B57B36">
              <w:t>)</w:t>
            </w:r>
          </w:p>
          <w:p w14:paraId="0480FE2C" w14:textId="77777777" w:rsidR="00E07BD9" w:rsidRPr="00E07BD9" w:rsidRDefault="00E07BD9" w:rsidP="00E07BD9">
            <w:pPr>
              <w:pStyle w:val="CETBodytext"/>
              <w:rPr>
                <w:lang w:val="en-GB"/>
              </w:rPr>
            </w:pPr>
          </w:p>
        </w:tc>
      </w:tr>
      <w:tr w:rsidR="00E07BD9" w:rsidRPr="00B57B36" w14:paraId="214D2B93" w14:textId="77777777" w:rsidTr="00E07BD9">
        <w:tc>
          <w:tcPr>
            <w:tcW w:w="7983" w:type="dxa"/>
            <w:shd w:val="clear" w:color="auto" w:fill="auto"/>
            <w:vAlign w:val="center"/>
          </w:tcPr>
          <w:p w14:paraId="6245FC83" w14:textId="6A66B8B9" w:rsidR="00E07BD9" w:rsidRPr="0056599B" w:rsidRDefault="00000000" w:rsidP="0056599B">
            <w:pPr>
              <w:pStyle w:val="CETEquation"/>
            </w:pPr>
            <m:oMathPara>
              <m:oMathParaPr>
                <m:jc m:val="left"/>
              </m:oMathParaPr>
              <m:oMath>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r>
                      <m:rPr>
                        <m:sty m:val="p"/>
                      </m:rPr>
                      <w:rPr>
                        <w:rFonts w:ascii="Cambria Math" w:hAnsi="Cambria Math"/>
                      </w:rPr>
                      <m:t>+1</m:t>
                    </m:r>
                  </m:sub>
                </m:sSub>
                <m:r>
                  <m:rPr>
                    <m:sty m:val="p"/>
                  </m:rPr>
                  <w:rPr>
                    <w:rFonts w:ascii="Cambria Math" w:hAnsi="Cambria Math"/>
                  </w:rPr>
                  <m:t>=</m:t>
                </m:r>
                <m:r>
                  <w:rPr>
                    <w:rFonts w:ascii="Cambria Math" w:hAnsi="Cambria Math"/>
                  </w:rPr>
                  <m:t>n</m:t>
                </m:r>
              </m:oMath>
            </m:oMathPara>
          </w:p>
        </w:tc>
        <w:tc>
          <w:tcPr>
            <w:tcW w:w="804" w:type="dxa"/>
            <w:shd w:val="clear" w:color="auto" w:fill="auto"/>
            <w:vAlign w:val="center"/>
          </w:tcPr>
          <w:p w14:paraId="31F50EFF" w14:textId="77777777" w:rsidR="00E07BD9" w:rsidRPr="00B57B36" w:rsidRDefault="00E07BD9" w:rsidP="00E07BD9">
            <w:pPr>
              <w:pStyle w:val="CETEquation"/>
              <w:jc w:val="right"/>
            </w:pPr>
            <w:r w:rsidRPr="00B57B36">
              <w:t>(</w:t>
            </w:r>
            <w:r>
              <w:t>4</w:t>
            </w:r>
            <w:r w:rsidRPr="00B57B36">
              <w:t>)</w:t>
            </w:r>
          </w:p>
        </w:tc>
      </w:tr>
    </w:tbl>
    <w:p w14:paraId="288D5F33" w14:textId="77777777" w:rsidR="00147FCB" w:rsidRDefault="00147FCB" w:rsidP="00147FCB">
      <w:pPr>
        <w:pStyle w:val="CETBodytext"/>
      </w:pPr>
      <w:r>
        <w:t xml:space="preserve">where </w:t>
      </w:r>
      <m:oMath>
        <m:r>
          <w:rPr>
            <w:rFonts w:ascii="Cambria Math" w:hAnsi="Cambria Math"/>
          </w:rPr>
          <m:t>i</m:t>
        </m:r>
      </m:oMath>
      <w:r>
        <w:t xml:space="preserve"> is the class of drops with volume </w:t>
      </w:r>
      <m:oMath>
        <m:sSub>
          <m:sSubPr>
            <m:ctrlPr>
              <w:rPr>
                <w:rFonts w:ascii="Cambria Math" w:hAnsi="Cambria Math"/>
              </w:rPr>
            </m:ctrlPr>
          </m:sSubPr>
          <m:e>
            <m:r>
              <w:rPr>
                <w:rFonts w:ascii="Cambria Math" w:hAnsi="Cambria Math"/>
              </w:rPr>
              <m:t>v</m:t>
            </m:r>
          </m:e>
          <m:sub>
            <m:r>
              <w:rPr>
                <w:rFonts w:ascii="Cambria Math" w:hAnsi="Cambria Math"/>
              </w:rPr>
              <m:t>i</m:t>
            </m:r>
          </m:sub>
        </m:sSub>
      </m:oMath>
      <w:r>
        <w:t xml:space="preserve"> and number </w:t>
      </w:r>
      <m:oMath>
        <m:sSub>
          <m:sSubPr>
            <m:ctrlPr>
              <w:rPr>
                <w:rFonts w:ascii="Cambria Math" w:hAnsi="Cambria Math"/>
              </w:rPr>
            </m:ctrlPr>
          </m:sSubPr>
          <m:e>
            <m:r>
              <w:rPr>
                <w:rFonts w:ascii="Cambria Math" w:hAnsi="Cambria Math"/>
              </w:rPr>
              <m:t>n</m:t>
            </m:r>
          </m:e>
          <m:sub>
            <m:r>
              <w:rPr>
                <w:rFonts w:ascii="Cambria Math" w:hAnsi="Cambria Math"/>
              </w:rPr>
              <m:t>i</m:t>
            </m:r>
          </m:sub>
        </m:sSub>
      </m:oMath>
      <w:r>
        <w:t xml:space="preserve">. This mapping to discrete space applies to new droplets generated by either coalescence or breakage. It is assumed that droplets in the largest volume class, </w:t>
      </w:r>
      <m:oMath>
        <m:r>
          <w:rPr>
            <w:rFonts w:ascii="Cambria Math" w:hAnsi="Cambria Math"/>
          </w:rPr>
          <m:t>i=</m:t>
        </m:r>
        <m:sSub>
          <m:sSubPr>
            <m:ctrlPr>
              <w:rPr>
                <w:rFonts w:ascii="Cambria Math" w:hAnsi="Cambria Math"/>
              </w:rPr>
            </m:ctrlPr>
          </m:sSubPr>
          <m:e>
            <m:r>
              <w:rPr>
                <w:rFonts w:ascii="Cambria Math" w:hAnsi="Cambria Math"/>
              </w:rPr>
              <m:t>n</m:t>
            </m:r>
          </m:e>
          <m:sub>
            <m:r>
              <m:rPr>
                <m:nor/>
              </m:rPr>
              <m:t>class</m:t>
            </m:r>
          </m:sub>
        </m:sSub>
      </m:oMath>
      <w:r>
        <w:t xml:space="preserve">, do not coalesce and there is no breakage for droplets in the smallest class size, </w:t>
      </w:r>
      <m:oMath>
        <m:r>
          <w:rPr>
            <w:rFonts w:ascii="Cambria Math" w:hAnsi="Cambria Math"/>
          </w:rPr>
          <m:t>i=1</m:t>
        </m:r>
      </m:oMath>
      <w:r>
        <w:t>.</w:t>
      </w:r>
    </w:p>
    <w:p w14:paraId="119199C6" w14:textId="77777777" w:rsidR="00147FCB" w:rsidRDefault="00147FCB" w:rsidP="0056599B">
      <w:pPr>
        <w:pStyle w:val="CETBodytext"/>
      </w:pPr>
      <w:r>
        <w:t>The evolution of the DSD over time is modelled using ordinary differential equations for each technology listed in the previous section. Each processing step is simulated for the residence time of each processing unit. The residence time is a function of units’ design variables.</w:t>
      </w:r>
    </w:p>
    <w:p w14:paraId="19C50365" w14:textId="77777777" w:rsidR="00147FCB" w:rsidRDefault="00147FCB" w:rsidP="00B3764A">
      <w:pPr>
        <w:pStyle w:val="CETHeading1"/>
        <w:ind w:hanging="567"/>
      </w:pPr>
      <w:bookmarkStart w:id="3" w:name="case-study"/>
      <w:r>
        <w:t>Case study</w:t>
      </w:r>
      <w:bookmarkEnd w:id="3"/>
    </w:p>
    <w:p w14:paraId="0961BD34" w14:textId="0C47909A" w:rsidR="0056599B" w:rsidRDefault="00147FCB" w:rsidP="0056599B">
      <w:pPr>
        <w:pStyle w:val="CETBodytext"/>
      </w:pPr>
      <w:r>
        <w:t>Produced water from an offshore facility of an oil and gas industry is treated in order to meet discharge requirements. The main contaminants to be removed from the feed stream are</w:t>
      </w:r>
      <w:r w:rsidR="5F02DA52">
        <w:t xml:space="preserve"> oil and grease (O&amp;G)</w:t>
      </w:r>
      <w:r>
        <w:t xml:space="preserve"> and</w:t>
      </w:r>
      <w:r w:rsidR="4CD77B6A">
        <w:t xml:space="preserve"> total suspended solids (TSS).</w:t>
      </w:r>
      <w:r>
        <w:t xml:space="preserve"> The initial concentrations of these contaminants and their desired values are shown in Table (</w:t>
      </w:r>
      <w:hyperlink w:anchor="tab:cont">
        <w:r>
          <w:rPr>
            <w:rStyle w:val="Hyperlink"/>
          </w:rPr>
          <w:t>1</w:t>
        </w:r>
      </w:hyperlink>
      <w:r>
        <w:t>).</w:t>
      </w:r>
      <w:bookmarkStart w:id="4" w:name="tab:cont"/>
    </w:p>
    <w:p w14:paraId="0283F4AB" w14:textId="7097C4B1" w:rsidR="003B0523" w:rsidRPr="00B57B36" w:rsidRDefault="003B0523" w:rsidP="004C390C">
      <w:pPr>
        <w:pStyle w:val="CETTabletitle"/>
      </w:pPr>
      <w:r w:rsidRPr="00B57B36">
        <w:t xml:space="preserve">Table 1: </w:t>
      </w:r>
      <w:r>
        <w:t xml:space="preserve">Target contaminations and their desired values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843"/>
        <w:gridCol w:w="1984"/>
      </w:tblGrid>
      <w:tr w:rsidR="003B0523" w:rsidRPr="00B57B36" w14:paraId="3C53FD97" w14:textId="77777777" w:rsidTr="30003814">
        <w:tc>
          <w:tcPr>
            <w:tcW w:w="1276" w:type="dxa"/>
            <w:tcBorders>
              <w:top w:val="single" w:sz="12" w:space="0" w:color="008000"/>
              <w:bottom w:val="single" w:sz="6" w:space="0" w:color="008000"/>
            </w:tcBorders>
            <w:shd w:val="clear" w:color="auto" w:fill="FFFFFF" w:themeFill="background1"/>
          </w:tcPr>
          <w:p w14:paraId="1B4DEA30" w14:textId="77777777" w:rsidR="003B0523" w:rsidRPr="00B57B36" w:rsidRDefault="003B0523" w:rsidP="00CB4540">
            <w:pPr>
              <w:pStyle w:val="CETBodytext"/>
              <w:rPr>
                <w:lang w:val="en-GB"/>
              </w:rPr>
            </w:pPr>
            <w:r>
              <w:rPr>
                <w:lang w:val="en-GB"/>
              </w:rPr>
              <w:t xml:space="preserve">Contamination </w:t>
            </w:r>
            <w:r w:rsidRPr="00B57B36">
              <w:rPr>
                <w:lang w:val="en-GB"/>
              </w:rPr>
              <w:t xml:space="preserve"> </w:t>
            </w:r>
          </w:p>
        </w:tc>
        <w:tc>
          <w:tcPr>
            <w:tcW w:w="1843" w:type="dxa"/>
            <w:tcBorders>
              <w:top w:val="single" w:sz="12" w:space="0" w:color="008000"/>
              <w:bottom w:val="single" w:sz="6" w:space="0" w:color="008000"/>
            </w:tcBorders>
            <w:shd w:val="clear" w:color="auto" w:fill="FFFFFF" w:themeFill="background1"/>
          </w:tcPr>
          <w:p w14:paraId="171DF169" w14:textId="1F8F4A54" w:rsidR="003B0523" w:rsidRPr="00B57B36" w:rsidRDefault="003B0523" w:rsidP="30003814">
            <w:pPr>
              <w:pStyle w:val="CETBodytext"/>
              <w:rPr>
                <w:lang w:val="en-GB"/>
              </w:rPr>
            </w:pPr>
            <w:r>
              <w:rPr>
                <w:lang w:val="en-GB"/>
              </w:rPr>
              <w:t xml:space="preserve">  Initial Value (mg </w:t>
            </w:r>
            <w:r w:rsidR="3251344C" w:rsidRPr="30003814">
              <w:rPr>
                <w:lang w:val="en-GB"/>
              </w:rPr>
              <w:t>L</w:t>
            </w:r>
            <w:r w:rsidR="3251344C" w:rsidRPr="30003814">
              <w:rPr>
                <w:vertAlign w:val="superscript"/>
                <w:lang w:val="en-GB"/>
              </w:rPr>
              <w:t>-1</w:t>
            </w:r>
            <w:r>
              <w:rPr>
                <w:szCs w:val="18"/>
              </w:rPr>
              <w:t>)</w:t>
            </w:r>
          </w:p>
        </w:tc>
        <w:tc>
          <w:tcPr>
            <w:tcW w:w="1984" w:type="dxa"/>
            <w:tcBorders>
              <w:top w:val="single" w:sz="12" w:space="0" w:color="008000"/>
              <w:bottom w:val="single" w:sz="6" w:space="0" w:color="008000"/>
            </w:tcBorders>
            <w:shd w:val="clear" w:color="auto" w:fill="FFFFFF" w:themeFill="background1"/>
          </w:tcPr>
          <w:p w14:paraId="72C2F593" w14:textId="6DF2DF2A" w:rsidR="003B0523" w:rsidRPr="00B57B36" w:rsidRDefault="003B0523" w:rsidP="003B0523">
            <w:pPr>
              <w:pStyle w:val="CETBodytext"/>
              <w:rPr>
                <w:lang w:val="en-GB"/>
              </w:rPr>
            </w:pPr>
            <w:r>
              <w:rPr>
                <w:lang w:val="en-GB"/>
              </w:rPr>
              <w:t xml:space="preserve">  Desired Value (mg </w:t>
            </w:r>
            <w:r w:rsidR="5F870C74">
              <w:rPr>
                <w:lang w:val="en-GB"/>
              </w:rPr>
              <w:t>L</w:t>
            </w:r>
            <w:r w:rsidR="5F870C74" w:rsidRPr="30003814">
              <w:rPr>
                <w:vertAlign w:val="superscript"/>
                <w:lang w:val="en-GB"/>
              </w:rPr>
              <w:t>-1</w:t>
            </w:r>
            <w:r>
              <w:rPr>
                <w:szCs w:val="18"/>
              </w:rPr>
              <w:t>)</w:t>
            </w:r>
          </w:p>
        </w:tc>
      </w:tr>
      <w:tr w:rsidR="003B0523" w:rsidRPr="00B57B36" w14:paraId="4AEFC6BD" w14:textId="77777777" w:rsidTr="30003814">
        <w:tc>
          <w:tcPr>
            <w:tcW w:w="1276" w:type="dxa"/>
            <w:shd w:val="clear" w:color="auto" w:fill="FFFFFF" w:themeFill="background1"/>
          </w:tcPr>
          <w:p w14:paraId="7D3466FD" w14:textId="77777777" w:rsidR="003B0523" w:rsidRPr="00B57B36" w:rsidRDefault="003B0523" w:rsidP="00CB4540">
            <w:pPr>
              <w:pStyle w:val="CETBodytext"/>
              <w:rPr>
                <w:lang w:val="en-GB"/>
              </w:rPr>
            </w:pPr>
            <w:r>
              <w:rPr>
                <w:lang w:val="en-GB"/>
              </w:rPr>
              <w:t>O&amp;G</w:t>
            </w:r>
          </w:p>
        </w:tc>
        <w:tc>
          <w:tcPr>
            <w:tcW w:w="1843" w:type="dxa"/>
            <w:shd w:val="clear" w:color="auto" w:fill="FFFFFF" w:themeFill="background1"/>
          </w:tcPr>
          <w:p w14:paraId="5E5FEFA5" w14:textId="77777777" w:rsidR="003B0523" w:rsidRPr="00B57B36" w:rsidRDefault="003B0523" w:rsidP="00CB4540">
            <w:pPr>
              <w:pStyle w:val="CETBodytext"/>
              <w:rPr>
                <w:lang w:val="en-GB"/>
              </w:rPr>
            </w:pPr>
            <w:r>
              <w:rPr>
                <w:lang w:val="en-GB"/>
              </w:rPr>
              <w:t xml:space="preserve">  1500-2200</w:t>
            </w:r>
          </w:p>
        </w:tc>
        <w:tc>
          <w:tcPr>
            <w:tcW w:w="1984" w:type="dxa"/>
            <w:shd w:val="clear" w:color="auto" w:fill="FFFFFF" w:themeFill="background1"/>
          </w:tcPr>
          <w:p w14:paraId="217970F9" w14:textId="77777777" w:rsidR="003B0523" w:rsidRPr="00B57B36" w:rsidRDefault="003B0523" w:rsidP="00CB4540">
            <w:pPr>
              <w:pStyle w:val="CETBodytext"/>
              <w:rPr>
                <w:lang w:val="en-GB"/>
              </w:rPr>
            </w:pPr>
            <w:r>
              <w:rPr>
                <w:lang w:val="en-GB"/>
              </w:rPr>
              <w:t xml:space="preserve">  40</w:t>
            </w:r>
          </w:p>
        </w:tc>
      </w:tr>
      <w:tr w:rsidR="003B0523" w:rsidRPr="00B57B36" w14:paraId="1C7E8770" w14:textId="77777777" w:rsidTr="30003814">
        <w:tc>
          <w:tcPr>
            <w:tcW w:w="1276" w:type="dxa"/>
            <w:tcBorders>
              <w:bottom w:val="single" w:sz="2" w:space="0" w:color="008000"/>
            </w:tcBorders>
            <w:shd w:val="clear" w:color="auto" w:fill="FFFFFF" w:themeFill="background1"/>
          </w:tcPr>
          <w:p w14:paraId="6BA82908" w14:textId="77777777" w:rsidR="003B0523" w:rsidRPr="00B57B36" w:rsidRDefault="003B0523" w:rsidP="00CB4540">
            <w:pPr>
              <w:pStyle w:val="CETBodytext"/>
              <w:ind w:right="-1"/>
              <w:rPr>
                <w:rFonts w:cs="Arial"/>
                <w:szCs w:val="18"/>
                <w:lang w:val="en-GB"/>
              </w:rPr>
            </w:pPr>
            <w:r>
              <w:rPr>
                <w:rFonts w:cs="Arial"/>
                <w:szCs w:val="18"/>
                <w:lang w:val="en-GB"/>
              </w:rPr>
              <w:t>TSS</w:t>
            </w:r>
          </w:p>
        </w:tc>
        <w:tc>
          <w:tcPr>
            <w:tcW w:w="1843" w:type="dxa"/>
            <w:tcBorders>
              <w:bottom w:val="single" w:sz="2" w:space="0" w:color="008000"/>
            </w:tcBorders>
            <w:shd w:val="clear" w:color="auto" w:fill="FFFFFF" w:themeFill="background1"/>
          </w:tcPr>
          <w:p w14:paraId="2D3B1916" w14:textId="77777777" w:rsidR="003B0523" w:rsidRPr="00B57B36" w:rsidRDefault="003B0523" w:rsidP="00CB4540">
            <w:pPr>
              <w:pStyle w:val="CETBodytext"/>
              <w:ind w:right="-1"/>
              <w:rPr>
                <w:rFonts w:cs="Arial"/>
                <w:szCs w:val="18"/>
                <w:lang w:val="en-GB"/>
              </w:rPr>
            </w:pPr>
            <w:r>
              <w:rPr>
                <w:rFonts w:cs="Arial"/>
                <w:szCs w:val="18"/>
                <w:lang w:val="en-GB"/>
              </w:rPr>
              <w:t xml:space="preserve">  189</w:t>
            </w:r>
          </w:p>
        </w:tc>
        <w:tc>
          <w:tcPr>
            <w:tcW w:w="1984" w:type="dxa"/>
            <w:tcBorders>
              <w:bottom w:val="single" w:sz="2" w:space="0" w:color="008000"/>
            </w:tcBorders>
            <w:shd w:val="clear" w:color="auto" w:fill="FFFFFF" w:themeFill="background1"/>
          </w:tcPr>
          <w:p w14:paraId="4F3E1A29" w14:textId="77777777" w:rsidR="003B0523" w:rsidRPr="00B57B36" w:rsidRDefault="003B0523" w:rsidP="00CB4540">
            <w:pPr>
              <w:pStyle w:val="CETBodytext"/>
              <w:ind w:right="-1"/>
              <w:rPr>
                <w:rFonts w:cs="Arial"/>
                <w:szCs w:val="18"/>
                <w:lang w:val="en-GB"/>
              </w:rPr>
            </w:pPr>
            <w:r>
              <w:rPr>
                <w:rFonts w:cs="Arial"/>
                <w:szCs w:val="18"/>
                <w:lang w:val="en-GB"/>
              </w:rPr>
              <w:t xml:space="preserve">  30</w:t>
            </w:r>
          </w:p>
        </w:tc>
      </w:tr>
    </w:tbl>
    <w:bookmarkEnd w:id="4"/>
    <w:p w14:paraId="5BF1315A" w14:textId="09B6899B" w:rsidR="00147FCB" w:rsidRDefault="00147FCB" w:rsidP="00862E4F">
      <w:pPr>
        <w:pStyle w:val="CETBodytext"/>
      </w:pPr>
      <w:r>
        <w:t xml:space="preserve">The aim of the design problem is to determine the sequence of treatment technologies along with the values of the design variables for each technology. The superstructure allows for up to 4 stages of processing. The </w:t>
      </w:r>
      <w:proofErr w:type="spellStart"/>
      <w:r>
        <w:t>objective</w:t>
      </w:r>
      <w:r w:rsidR="1B6EE1C2">
        <w:t>ss</w:t>
      </w:r>
      <w:proofErr w:type="spellEnd"/>
      <w:r w:rsidR="1B6EE1C2">
        <w:t xml:space="preserve"> are</w:t>
      </w:r>
      <w:r>
        <w:t xml:space="preserve"> to minimize </w:t>
      </w:r>
      <w:r w:rsidR="01A2E6D5">
        <w:t xml:space="preserve">both </w:t>
      </w:r>
      <w:r>
        <w:t xml:space="preserve">the total system cost and the environmental impact. The total cost consists of the capital cost, cost of building and constructing the system, </w:t>
      </w:r>
      <w:proofErr w:type="spellStart"/>
      <w:r>
        <w:t>annualised</w:t>
      </w:r>
      <w:proofErr w:type="spellEnd"/>
      <w:r>
        <w:t xml:space="preserve"> assuming a plant life of 1 year (which can be changed), and the annual operating cost including the cost of chemicals, energy, and sludge handling (Bagheri, </w:t>
      </w:r>
      <w:proofErr w:type="spellStart"/>
      <w:r>
        <w:t>Roshandel</w:t>
      </w:r>
      <w:proofErr w:type="spellEnd"/>
      <w:r>
        <w:t xml:space="preserve">, </w:t>
      </w:r>
      <w:proofErr w:type="spellStart"/>
      <w:r>
        <w:t>Shayegan</w:t>
      </w:r>
      <w:proofErr w:type="spellEnd"/>
      <w:r>
        <w:t xml:space="preserve"> 2018). The environmental impact is represented by an estimate of the total </w:t>
      </w:r>
      <w:r w:rsidR="0E329639">
        <w:t>CO</w:t>
      </w:r>
      <w:r w:rsidR="0E329639" w:rsidRPr="30003814">
        <w:rPr>
          <w:vertAlign w:val="subscript"/>
        </w:rPr>
        <w:t>2</w:t>
      </w:r>
      <w:r>
        <w:t xml:space="preserve"> emission due to energy consumption. Other criteria could be used.</w:t>
      </w:r>
      <w:r w:rsidR="001C2C44">
        <w:t xml:space="preserve"> </w:t>
      </w:r>
    </w:p>
    <w:p w14:paraId="081F5950" w14:textId="02015F6D" w:rsidR="0056599B" w:rsidRDefault="00147FCB" w:rsidP="0056599B">
      <w:pPr>
        <w:pStyle w:val="CETBodytext"/>
      </w:pPr>
      <w:r>
        <w:t>The inlet DSD of O&amp;G and TSS follows a normal distribution and is represented by the discrete mapping shown in Table</w:t>
      </w:r>
      <w:r w:rsidR="003B0523">
        <w:t xml:space="preserve"> </w:t>
      </w:r>
      <w:r>
        <w:t>(</w:t>
      </w:r>
      <w:hyperlink w:anchor="tab:PSD">
        <w:r>
          <w:rPr>
            <w:rStyle w:val="Hyperlink"/>
          </w:rPr>
          <w:t>2</w:t>
        </w:r>
      </w:hyperlink>
      <w:r>
        <w:t xml:space="preserve">) using 10 discrete classes for illustration. The values of </w:t>
      </w:r>
      <m:oMath>
        <m:sSub>
          <m:sSubPr>
            <m:ctrlPr>
              <w:rPr>
                <w:rFonts w:ascii="Cambria Math" w:hAnsi="Cambria Math"/>
                <w:i/>
              </w:rPr>
            </m:ctrlPr>
          </m:sSubPr>
          <m:e>
            <m:r>
              <w:rPr>
                <w:rFonts w:ascii="Cambria Math" w:hAnsi="Cambria Math"/>
              </w:rPr>
              <m:t>log</m:t>
            </m:r>
          </m:e>
          <m:sub>
            <m:r>
              <w:rPr>
                <w:rFonts w:ascii="Cambria Math" w:hAnsi="Cambria Math"/>
              </w:rPr>
              <m:t>Vmin</m:t>
            </m:r>
          </m:sub>
        </m:sSub>
      </m:oMath>
      <w:r w:rsidR="001C2C44">
        <w:t>and</w:t>
      </w:r>
      <w:r>
        <w:t xml:space="preserve"> </w:t>
      </w:r>
      <m:oMath>
        <m:sSub>
          <m:sSubPr>
            <m:ctrlPr>
              <w:rPr>
                <w:rFonts w:ascii="Cambria Math" w:hAnsi="Cambria Math"/>
                <w:i/>
              </w:rPr>
            </m:ctrlPr>
          </m:sSubPr>
          <m:e>
            <m:r>
              <w:rPr>
                <w:rFonts w:ascii="Cambria Math" w:hAnsi="Cambria Math"/>
              </w:rPr>
              <m:t>log</m:t>
            </m:r>
          </m:e>
          <m:sub>
            <m:r>
              <w:rPr>
                <w:rFonts w:ascii="Cambria Math" w:hAnsi="Cambria Math"/>
              </w:rPr>
              <m:t>Vm</m:t>
            </m:r>
            <m:r>
              <w:rPr>
                <w:rFonts w:ascii="Cambria Math" w:hAnsi="Cambria Math"/>
              </w:rPr>
              <m:t>ax</m:t>
            </m:r>
          </m:sub>
        </m:sSub>
      </m:oMath>
      <w:r>
        <w:t xml:space="preserve"> are chosen to be 11 and 16 respectively which result in droplets/particles diameters ranging from 5.7 to 267.3 </w:t>
      </w:r>
      <w:r w:rsidR="1E2BF1A6">
        <w:t>µm</w:t>
      </w:r>
      <w:r>
        <w:t xml:space="preserve"> for </w:t>
      </w:r>
      <w:r w:rsidR="37E86AEE">
        <w:t>O&amp;G</w:t>
      </w:r>
      <w:r>
        <w:t xml:space="preserve"> and </w:t>
      </w:r>
      <w:r w:rsidR="295FCFAE">
        <w:t>TSS</w:t>
      </w:r>
      <w:r>
        <w:t>.</w:t>
      </w:r>
      <w:bookmarkStart w:id="5" w:name="tab:PSD"/>
    </w:p>
    <w:p w14:paraId="06A71C88" w14:textId="7994573A" w:rsidR="00C565F9" w:rsidRPr="00C44FB3" w:rsidRDefault="00C565F9" w:rsidP="004C390C">
      <w:pPr>
        <w:pStyle w:val="CETTabletitle"/>
      </w:pPr>
      <w:r w:rsidRPr="00C44FB3">
        <w:t xml:space="preserve">Table </w:t>
      </w:r>
      <w:r w:rsidR="00C44FB3">
        <w:t>2</w:t>
      </w:r>
      <w:r w:rsidRPr="00C44FB3">
        <w:t xml:space="preserve">: The initial droplets/particles size distribution of </w:t>
      </w:r>
      <w:r w:rsidR="3A39AD68" w:rsidRPr="00C44FB3">
        <w:t>O&amp;G</w:t>
      </w:r>
      <w:r w:rsidRPr="00C44FB3">
        <w:t xml:space="preserve"> and </w:t>
      </w:r>
      <w:r w:rsidR="4128FF5C" w:rsidRPr="00C44FB3">
        <w:t>TSS</w:t>
      </w:r>
      <w:r w:rsidRPr="00C44FB3">
        <w:t xml:space="preserve"> in the PW inflow</w:t>
      </w:r>
      <w:r w:rsidR="009540AA">
        <w:t xml:space="preserve"> using 10 discrete volume classes</w:t>
      </w:r>
    </w:p>
    <w:tbl>
      <w:tblPr>
        <w:tblStyle w:val="TableGrid"/>
        <w:tblW w:w="0" w:type="auto"/>
        <w:tblBorders>
          <w:top w:val="single" w:sz="12" w:space="0" w:color="008000"/>
          <w:left w:val="none" w:sz="0" w:space="0" w:color="auto"/>
          <w:bottom w:val="single" w:sz="2" w:space="0" w:color="008000"/>
          <w:right w:val="none" w:sz="0" w:space="0" w:color="auto"/>
          <w:insideH w:val="single" w:sz="4" w:space="0" w:color="008000"/>
          <w:insideV w:val="none" w:sz="0" w:space="0" w:color="auto"/>
        </w:tblBorders>
        <w:tblLook w:val="04A0" w:firstRow="1" w:lastRow="0" w:firstColumn="1" w:lastColumn="0" w:noHBand="0" w:noVBand="1"/>
      </w:tblPr>
      <w:tblGrid>
        <w:gridCol w:w="697"/>
        <w:gridCol w:w="667"/>
        <w:gridCol w:w="667"/>
        <w:gridCol w:w="667"/>
        <w:gridCol w:w="667"/>
        <w:gridCol w:w="667"/>
        <w:gridCol w:w="667"/>
        <w:gridCol w:w="667"/>
        <w:gridCol w:w="667"/>
        <w:gridCol w:w="667"/>
        <w:gridCol w:w="667"/>
      </w:tblGrid>
      <w:tr w:rsidR="00CB38A2" w14:paraId="257456E5" w14:textId="77777777" w:rsidTr="00E07BD9">
        <w:tc>
          <w:tcPr>
            <w:tcW w:w="697" w:type="dxa"/>
          </w:tcPr>
          <w:p w14:paraId="53FE4766"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I</w:t>
            </w:r>
          </w:p>
        </w:tc>
        <w:tc>
          <w:tcPr>
            <w:tcW w:w="667" w:type="dxa"/>
          </w:tcPr>
          <w:p w14:paraId="5D060485"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1</w:t>
            </w:r>
          </w:p>
        </w:tc>
        <w:tc>
          <w:tcPr>
            <w:tcW w:w="667" w:type="dxa"/>
          </w:tcPr>
          <w:p w14:paraId="4AE854CE"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2</w:t>
            </w:r>
          </w:p>
        </w:tc>
        <w:tc>
          <w:tcPr>
            <w:tcW w:w="667" w:type="dxa"/>
          </w:tcPr>
          <w:p w14:paraId="4E0A51A8"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3</w:t>
            </w:r>
          </w:p>
        </w:tc>
        <w:tc>
          <w:tcPr>
            <w:tcW w:w="667" w:type="dxa"/>
          </w:tcPr>
          <w:p w14:paraId="7CEB664E"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4</w:t>
            </w:r>
          </w:p>
        </w:tc>
        <w:tc>
          <w:tcPr>
            <w:tcW w:w="667" w:type="dxa"/>
          </w:tcPr>
          <w:p w14:paraId="6DC0BB17"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5</w:t>
            </w:r>
          </w:p>
        </w:tc>
        <w:tc>
          <w:tcPr>
            <w:tcW w:w="667" w:type="dxa"/>
          </w:tcPr>
          <w:p w14:paraId="15D64BD5"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6</w:t>
            </w:r>
          </w:p>
        </w:tc>
        <w:tc>
          <w:tcPr>
            <w:tcW w:w="667" w:type="dxa"/>
          </w:tcPr>
          <w:p w14:paraId="5927E233"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7</w:t>
            </w:r>
          </w:p>
        </w:tc>
        <w:tc>
          <w:tcPr>
            <w:tcW w:w="667" w:type="dxa"/>
          </w:tcPr>
          <w:p w14:paraId="6A1DA4BA"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8</w:t>
            </w:r>
          </w:p>
        </w:tc>
        <w:tc>
          <w:tcPr>
            <w:tcW w:w="667" w:type="dxa"/>
          </w:tcPr>
          <w:p w14:paraId="0E456A7C"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9</w:t>
            </w:r>
          </w:p>
        </w:tc>
        <w:tc>
          <w:tcPr>
            <w:tcW w:w="667" w:type="dxa"/>
          </w:tcPr>
          <w:p w14:paraId="1812D4A4"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10</w:t>
            </w:r>
          </w:p>
        </w:tc>
      </w:tr>
      <w:tr w:rsidR="00CB38A2" w14:paraId="48CB2E56" w14:textId="77777777" w:rsidTr="00E07BD9">
        <w:tc>
          <w:tcPr>
            <w:tcW w:w="697" w:type="dxa"/>
          </w:tcPr>
          <w:p w14:paraId="7B365552"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DSD</w:t>
            </w:r>
          </w:p>
        </w:tc>
        <w:tc>
          <w:tcPr>
            <w:tcW w:w="667" w:type="dxa"/>
          </w:tcPr>
          <w:p w14:paraId="6E742B97"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0.05</w:t>
            </w:r>
          </w:p>
        </w:tc>
        <w:tc>
          <w:tcPr>
            <w:tcW w:w="667" w:type="dxa"/>
          </w:tcPr>
          <w:p w14:paraId="79B922FB"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0.08</w:t>
            </w:r>
          </w:p>
        </w:tc>
        <w:tc>
          <w:tcPr>
            <w:tcW w:w="667" w:type="dxa"/>
          </w:tcPr>
          <w:p w14:paraId="4E800360"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0.11</w:t>
            </w:r>
          </w:p>
        </w:tc>
        <w:tc>
          <w:tcPr>
            <w:tcW w:w="667" w:type="dxa"/>
          </w:tcPr>
          <w:p w14:paraId="200E4E06"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0.14</w:t>
            </w:r>
          </w:p>
        </w:tc>
        <w:tc>
          <w:tcPr>
            <w:tcW w:w="667" w:type="dxa"/>
          </w:tcPr>
          <w:p w14:paraId="5FD3EEFB"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0.17</w:t>
            </w:r>
          </w:p>
        </w:tc>
        <w:tc>
          <w:tcPr>
            <w:tcW w:w="667" w:type="dxa"/>
          </w:tcPr>
          <w:p w14:paraId="6083F2DE"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0.14</w:t>
            </w:r>
          </w:p>
        </w:tc>
        <w:tc>
          <w:tcPr>
            <w:tcW w:w="667" w:type="dxa"/>
          </w:tcPr>
          <w:p w14:paraId="410906C4"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0.11</w:t>
            </w:r>
          </w:p>
        </w:tc>
        <w:tc>
          <w:tcPr>
            <w:tcW w:w="667" w:type="dxa"/>
          </w:tcPr>
          <w:p w14:paraId="1255580F"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0.08</w:t>
            </w:r>
          </w:p>
        </w:tc>
        <w:tc>
          <w:tcPr>
            <w:tcW w:w="667" w:type="dxa"/>
          </w:tcPr>
          <w:p w14:paraId="6F1FFC88"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0.05</w:t>
            </w:r>
          </w:p>
        </w:tc>
        <w:tc>
          <w:tcPr>
            <w:tcW w:w="667" w:type="dxa"/>
          </w:tcPr>
          <w:p w14:paraId="3927D961" w14:textId="77777777" w:rsidR="00CB38A2" w:rsidRPr="00CB38A2" w:rsidRDefault="00CB38A2" w:rsidP="00CB38A2">
            <w:pPr>
              <w:pStyle w:val="Compact"/>
              <w:jc w:val="center"/>
              <w:rPr>
                <w:rFonts w:ascii="Arial" w:hAnsi="Arial" w:cs="Arial"/>
                <w:sz w:val="18"/>
                <w:szCs w:val="18"/>
              </w:rPr>
            </w:pPr>
            <w:r w:rsidRPr="00CB38A2">
              <w:rPr>
                <w:rFonts w:ascii="Arial" w:hAnsi="Arial" w:cs="Arial"/>
                <w:sz w:val="18"/>
                <w:szCs w:val="18"/>
              </w:rPr>
              <w:t>0.02</w:t>
            </w:r>
          </w:p>
        </w:tc>
      </w:tr>
    </w:tbl>
    <w:bookmarkEnd w:id="5"/>
    <w:p w14:paraId="046DAE99" w14:textId="77777777" w:rsidR="0056599B" w:rsidRDefault="00147FCB" w:rsidP="0056599B">
      <w:pPr>
        <w:pStyle w:val="CETBodytext"/>
      </w:pPr>
      <w:r>
        <w:t>The resulting optimization problem was solved using a nature inspired meta-heuristic optimization procedure based on plant propagation</w:t>
      </w:r>
      <w:r w:rsidR="009540AA">
        <w:t xml:space="preserve"> (</w:t>
      </w:r>
      <w:proofErr w:type="spellStart"/>
      <w:r w:rsidR="009540AA">
        <w:t>Salhi</w:t>
      </w:r>
      <w:proofErr w:type="spellEnd"/>
      <w:r w:rsidR="009540AA">
        <w:t xml:space="preserve"> and Fraga 2011)</w:t>
      </w:r>
      <w:r>
        <w:t xml:space="preserve"> </w:t>
      </w:r>
      <w:r w:rsidR="009540AA">
        <w:t xml:space="preserve">with an implementation in Julia </w:t>
      </w:r>
      <w:r>
        <w:t>(Fraga 2021</w:t>
      </w:r>
      <w:r w:rsidR="009540AA">
        <w:t>) and which has been previously used to solve dynamic optimization problems (</w:t>
      </w:r>
      <w:r w:rsidR="00DA1000">
        <w:t>Fraga 2019</w:t>
      </w:r>
      <w:r>
        <w:t>).</w:t>
      </w:r>
      <w:bookmarkStart w:id="6" w:name="results-and-discussion"/>
    </w:p>
    <w:p w14:paraId="01B039A3" w14:textId="59614A56" w:rsidR="00147FCB" w:rsidRDefault="00147FCB" w:rsidP="00B3764A">
      <w:pPr>
        <w:pStyle w:val="CETHeading1"/>
        <w:ind w:hanging="567"/>
      </w:pPr>
      <w:r>
        <w:t>Results and discussion</w:t>
      </w:r>
      <w:bookmarkEnd w:id="6"/>
    </w:p>
    <w:p w14:paraId="609FC50E" w14:textId="0A5E3589" w:rsidR="00147FCB" w:rsidRDefault="00147FCB" w:rsidP="00862E4F">
      <w:pPr>
        <w:pStyle w:val="CETBodytext"/>
      </w:pPr>
      <w:r>
        <w:t xml:space="preserve">Two non-dominated solutions are identified for the multi-objective design problem. Both solutions represent the same configuration but with different values of the design variables. The first solution costs 2,827,023 USD </w:t>
      </w:r>
      <w:r w:rsidR="4A2145CD">
        <w:t>y</w:t>
      </w:r>
      <w:r w:rsidR="4A2145CD" w:rsidRPr="30003814">
        <w:rPr>
          <w:vertAlign w:val="superscript"/>
        </w:rPr>
        <w:t>-1</w:t>
      </w:r>
      <w:r>
        <w:t xml:space="preserve"> and its annual </w:t>
      </w:r>
      <w:r w:rsidR="3C5CB82A">
        <w:t>CO</w:t>
      </w:r>
      <w:r w:rsidR="3C5CB82A" w:rsidRPr="30003814">
        <w:rPr>
          <w:vertAlign w:val="subscript"/>
        </w:rPr>
        <w:t>2</w:t>
      </w:r>
      <w:r>
        <w:t xml:space="preserve"> emission is 718,993 </w:t>
      </w:r>
      <w:r w:rsidR="00E07BD9">
        <w:t>kg</w:t>
      </w:r>
      <w:r w:rsidR="5CD0D6D7">
        <w:t xml:space="preserve"> CO</w:t>
      </w:r>
      <w:r w:rsidR="5CD0D6D7" w:rsidRPr="30003814">
        <w:rPr>
          <w:vertAlign w:val="subscript"/>
        </w:rPr>
        <w:t>2</w:t>
      </w:r>
      <w:r w:rsidR="08C62AFF">
        <w:t xml:space="preserve">e. </w:t>
      </w:r>
      <w:r>
        <w:t>The second solution reduced the emission by 159,486 kg</w:t>
      </w:r>
      <w:r w:rsidR="3CEE2CDD">
        <w:t xml:space="preserve"> CO</w:t>
      </w:r>
      <w:r w:rsidR="3CEE2CDD" w:rsidRPr="30003814">
        <w:rPr>
          <w:vertAlign w:val="subscript"/>
        </w:rPr>
        <w:t>2</w:t>
      </w:r>
      <w:r w:rsidR="3CEE2CDD">
        <w:t>e</w:t>
      </w:r>
      <w:r>
        <w:t xml:space="preserve"> but increased the annual cost by 46,455 </w:t>
      </w:r>
      <w:r w:rsidR="00E07BD9">
        <w:t>USD</w:t>
      </w:r>
      <w:r w:rsidR="41627A19">
        <w:t xml:space="preserve"> y</w:t>
      </w:r>
      <w:r w:rsidR="41627A19" w:rsidRPr="30003814">
        <w:rPr>
          <w:vertAlign w:val="superscript"/>
        </w:rPr>
        <w:t>-1</w:t>
      </w:r>
      <w:r>
        <w:t>.</w:t>
      </w:r>
    </w:p>
    <w:p w14:paraId="6C4897B3" w14:textId="09FC9AF2" w:rsidR="0056599B" w:rsidRDefault="00147FCB" w:rsidP="0056599B">
      <w:pPr>
        <w:pStyle w:val="CETBodytext"/>
      </w:pPr>
      <w:r>
        <w:t xml:space="preserve">The optimal configuration of the system is the CPI as a primary treatment followed by HC and then IGF. API is not chosen since CPI is found to be better. CPI has a higher total separation surface compared to API for the same footprint. In both configurations, CPI was chosen as a primary unit to satisfy the inlet constraints of the secondary stage. IGF needs to have a </w:t>
      </w:r>
      <w:r w:rsidR="00E07BD9">
        <w:t>pre-treatment</w:t>
      </w:r>
      <w:r>
        <w:t xml:space="preserve"> as it cannot handle an inlet oil concentration of more than </w:t>
      </w:r>
      <w:r w:rsidR="00E07BD9">
        <w:t>1000</w:t>
      </w:r>
      <w:r w:rsidR="7461983D">
        <w:t xml:space="preserve"> mg L</w:t>
      </w:r>
      <w:r w:rsidR="7461983D" w:rsidRPr="30003814">
        <w:rPr>
          <w:vertAlign w:val="subscript"/>
        </w:rPr>
        <w:t>-1</w:t>
      </w:r>
      <w:r>
        <w:t xml:space="preserve">. Similarly, HC </w:t>
      </w:r>
      <w:r w:rsidR="53B40AD6">
        <w:t xml:space="preserve">is not able to </w:t>
      </w:r>
      <w:r>
        <w:t xml:space="preserve">process </w:t>
      </w:r>
      <w:r w:rsidR="1BFDD3BF">
        <w:t xml:space="preserve">an </w:t>
      </w:r>
      <w:r>
        <w:t xml:space="preserve">inlet with oil droplets larger than </w:t>
      </w:r>
      <w:r w:rsidR="00E07BD9">
        <w:t>200</w:t>
      </w:r>
      <w:r w:rsidR="29874362">
        <w:t xml:space="preserve"> µm</w:t>
      </w:r>
      <w:r>
        <w:t>.</w:t>
      </w:r>
    </w:p>
    <w:p w14:paraId="279DDC14" w14:textId="3C4BE532" w:rsidR="0056599B" w:rsidRDefault="00147FCB" w:rsidP="0056599B">
      <w:pPr>
        <w:pStyle w:val="CETBodytext"/>
      </w:pPr>
      <w:r>
        <w:t>The values of</w:t>
      </w:r>
      <w:r w:rsidR="69CE5C18">
        <w:t xml:space="preserve"> D</w:t>
      </w:r>
      <w:r w:rsidR="69CE5C18" w:rsidRPr="30003814">
        <w:rPr>
          <w:vertAlign w:val="subscript"/>
        </w:rPr>
        <w:t>O&amp;G</w:t>
      </w:r>
      <w:r w:rsidR="69CE5C18" w:rsidRPr="30003814">
        <w:rPr>
          <w:vertAlign w:val="superscript"/>
        </w:rPr>
        <w:t>CPI</w:t>
      </w:r>
      <w:r w:rsidR="69CE5C18">
        <w:t xml:space="preserve"> and </w:t>
      </w:r>
      <w:proofErr w:type="spellStart"/>
      <w:r w:rsidR="69CE5C18">
        <w:t>h</w:t>
      </w:r>
      <w:r w:rsidR="69CE5C18" w:rsidRPr="30003814">
        <w:rPr>
          <w:vertAlign w:val="superscript"/>
        </w:rPr>
        <w:t>CPI</w:t>
      </w:r>
      <w:proofErr w:type="spellEnd"/>
      <w:r>
        <w:t xml:space="preserve"> determined by the optimization are close to their lower bounds, 40 </w:t>
      </w:r>
      <w:r w:rsidR="778DC6E2">
        <w:t>µ</w:t>
      </w:r>
      <w:r>
        <w:t>m and 0.012 m respectively. Th</w:t>
      </w:r>
      <w:r w:rsidR="0E203160">
        <w:t>i</w:t>
      </w:r>
      <w:r>
        <w:t xml:space="preserve">s value of the cut diameter allows the removal of approximately 65% of the oil and solid volumes at the first stage while the small distance between the plates in the CPI separator increases the coalescence between the droplets and hence improves their removal efficiency. The two solutions differ in the values </w:t>
      </w:r>
      <w:r w:rsidR="00E07BD9">
        <w:t>of</w:t>
      </w:r>
      <w:r w:rsidR="6535D21C">
        <w:t xml:space="preserve"> D</w:t>
      </w:r>
      <w:r w:rsidR="6535D21C" w:rsidRPr="30003814">
        <w:rPr>
          <w:vertAlign w:val="subscript"/>
        </w:rPr>
        <w:t>O&amp;G</w:t>
      </w:r>
      <w:r w:rsidR="6535D21C" w:rsidRPr="30003814">
        <w:rPr>
          <w:vertAlign w:val="superscript"/>
        </w:rPr>
        <w:t>CPI</w:t>
      </w:r>
      <w:r>
        <w:t>, 40 versus 40.3</w:t>
      </w:r>
      <w:r w:rsidR="00E07BD9">
        <w:t>,</w:t>
      </w:r>
      <w:r w:rsidR="656267FA">
        <w:t xml:space="preserve"> </w:t>
      </w:r>
      <w:proofErr w:type="spellStart"/>
      <w:r w:rsidR="656267FA">
        <w:t>h</w:t>
      </w:r>
      <w:r w:rsidR="656267FA" w:rsidRPr="30003814">
        <w:rPr>
          <w:vertAlign w:val="superscript"/>
        </w:rPr>
        <w:t>CPI</w:t>
      </w:r>
      <w:proofErr w:type="spellEnd"/>
      <w:r w:rsidR="0DF0DEEF">
        <w:t xml:space="preserve">, </w:t>
      </w:r>
      <w:r>
        <w:t xml:space="preserve">0.0127 versus 0.0129, and in the width of the plates, 6 m versus 5.4 m. In the HC model, </w:t>
      </w:r>
      <w:r w:rsidR="7811F904">
        <w:t xml:space="preserve">a </w:t>
      </w:r>
      <w:r>
        <w:t xml:space="preserve">higher number of parallel </w:t>
      </w:r>
      <w:proofErr w:type="spellStart"/>
      <w:r>
        <w:t>hydrocyclones</w:t>
      </w:r>
      <w:proofErr w:type="spellEnd"/>
      <w:r>
        <w:t xml:space="preserve"> </w:t>
      </w:r>
      <w:r w:rsidR="005B44C5">
        <w:rPr>
          <w:noProof/>
          <w:lang w:eastAsia="en-GB"/>
        </w:rPr>
        <w:lastRenderedPageBreak/>
        <mc:AlternateContent>
          <mc:Choice Requires="wps">
            <w:drawing>
              <wp:anchor distT="0" distB="0" distL="114300" distR="114300" simplePos="0" relativeHeight="251660288" behindDoc="0" locked="0" layoutInCell="1" allowOverlap="1" wp14:anchorId="14CE4B66" wp14:editId="3C2AC049">
                <wp:simplePos x="0" y="0"/>
                <wp:positionH relativeFrom="margin">
                  <wp:align>right</wp:align>
                </wp:positionH>
                <wp:positionV relativeFrom="paragraph">
                  <wp:posOffset>4159250</wp:posOffset>
                </wp:positionV>
                <wp:extent cx="5581650" cy="564515"/>
                <wp:effectExtent l="0" t="0" r="0" b="6985"/>
                <wp:wrapTopAndBottom/>
                <wp:docPr id="3" name="Text Box 3"/>
                <wp:cNvGraphicFramePr/>
                <a:graphic xmlns:a="http://schemas.openxmlformats.org/drawingml/2006/main">
                  <a:graphicData uri="http://schemas.microsoft.com/office/word/2010/wordprocessingShape">
                    <wps:wsp>
                      <wps:cNvSpPr txBox="1"/>
                      <wps:spPr>
                        <a:xfrm>
                          <a:off x="0" y="0"/>
                          <a:ext cx="5581816" cy="564515"/>
                        </a:xfrm>
                        <a:prstGeom prst="rect">
                          <a:avLst/>
                        </a:prstGeom>
                        <a:solidFill>
                          <a:prstClr val="white"/>
                        </a:solidFill>
                        <a:ln>
                          <a:noFill/>
                        </a:ln>
                      </wps:spPr>
                      <wps:txbx>
                        <w:txbxContent>
                          <w:p w14:paraId="34CA38A5" w14:textId="77777777" w:rsidR="000F777A" w:rsidRPr="004C390C" w:rsidRDefault="000F777A" w:rsidP="004C390C">
                            <w:pPr>
                              <w:pStyle w:val="CETCaption"/>
                            </w:pPr>
                            <w:r w:rsidRPr="004C390C">
                              <w:t xml:space="preserve">Figure </w:t>
                            </w:r>
                            <w:r w:rsidRPr="004C390C">
                              <w:fldChar w:fldCharType="begin"/>
                            </w:r>
                            <w:r w:rsidRPr="004C390C">
                              <w:instrText xml:space="preserve"> SEQ Figure \* ARABIC </w:instrText>
                            </w:r>
                            <w:r w:rsidRPr="004C390C">
                              <w:fldChar w:fldCharType="separate"/>
                            </w:r>
                            <w:r w:rsidRPr="004C390C">
                              <w:t>1</w:t>
                            </w:r>
                            <w:r w:rsidRPr="004C390C">
                              <w:fldChar w:fldCharType="end"/>
                            </w:r>
                            <w:r w:rsidRPr="004C390C">
                              <w:t xml:space="preserve"> Pareto front of the PW treatment system annual cost and CO2 emission obtained by solving the multi-objective optimization problem for 25 classes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E4B66" id="_x0000_t202" coordsize="21600,21600" o:spt="202" path="m,l,21600r21600,l21600,xe">
                <v:stroke joinstyle="miter"/>
                <v:path gradientshapeok="t" o:connecttype="rect"/>
              </v:shapetype>
              <v:shape id="Text Box 3" o:spid="_x0000_s1026" type="#_x0000_t202" style="position:absolute;left:0;text-align:left;margin-left:388.3pt;margin-top:327.5pt;width:439.5pt;height:44.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" stroked="f">
                <v:textbox inset="0,0,0,0">
                  <w:txbxContent>
                    <w:p w14:paraId="34CA38A5" w14:textId="77777777" w:rsidR="000F777A" w:rsidRPr="004C390C" w:rsidRDefault="000F777A" w:rsidP="004C390C">
                      <w:pPr>
                        <w:pStyle w:val="CETCaption"/>
                      </w:pPr>
                      <w:r w:rsidRPr="004C390C">
                        <w:t xml:space="preserve">Figure </w:t>
                      </w:r>
                      <w:r w:rsidRPr="004C390C">
                        <w:fldChar w:fldCharType="begin"/>
                      </w:r>
                      <w:r w:rsidRPr="004C390C">
                        <w:instrText xml:space="preserve"> SEQ Figure \* ARABIC </w:instrText>
                      </w:r>
                      <w:r w:rsidRPr="004C390C">
                        <w:fldChar w:fldCharType="separate"/>
                      </w:r>
                      <w:r w:rsidRPr="004C390C">
                        <w:t>1</w:t>
                      </w:r>
                      <w:r w:rsidRPr="004C390C">
                        <w:fldChar w:fldCharType="end"/>
                      </w:r>
                      <w:r w:rsidRPr="004C390C">
                        <w:t xml:space="preserve"> Pareto front of the PW treatment system annual cost and CO2 emission obtained by solving the multi-objective optimization problem for 25 classes</w:t>
                      </w:r>
                    </w:p>
                  </w:txbxContent>
                </v:textbox>
                <w10:wrap type="topAndBottom" anchorx="margin"/>
              </v:shape>
            </w:pict>
          </mc:Fallback>
        </mc:AlternateContent>
      </w:r>
      <w:r w:rsidR="005B44C5">
        <w:rPr>
          <w:noProof/>
          <w:lang w:eastAsia="en-GB"/>
        </w:rPr>
        <w:drawing>
          <wp:inline distT="0" distB="0" distL="0" distR="0" wp14:anchorId="119CC9B7" wp14:editId="30898CE6">
            <wp:extent cx="5511800" cy="4134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25-corrected.png"/>
                    <pic:cNvPicPr/>
                  </pic:nvPicPr>
                  <pic:blipFill>
                    <a:blip r:embed="rId11">
                      <a:extLst>
                        <a:ext uri="{28A0092B-C50C-407E-A947-70E740481C1C}">
                          <a14:useLocalDpi xmlns:a14="http://schemas.microsoft.com/office/drawing/2010/main" val="0"/>
                        </a:ext>
                      </a:extLst>
                    </a:blip>
                    <a:stretch>
                      <a:fillRect/>
                    </a:stretch>
                  </pic:blipFill>
                  <pic:spPr>
                    <a:xfrm>
                      <a:off x="0" y="0"/>
                      <a:ext cx="5516378" cy="4137946"/>
                    </a:xfrm>
                    <a:prstGeom prst="rect">
                      <a:avLst/>
                    </a:prstGeom>
                  </pic:spPr>
                </pic:pic>
              </a:graphicData>
            </a:graphic>
          </wp:inline>
        </w:drawing>
      </w:r>
      <w:r>
        <w:t>with smaller diameter</w:t>
      </w:r>
      <w:r w:rsidR="0E8253A2">
        <w:t>s</w:t>
      </w:r>
      <w:r>
        <w:t xml:space="preserve"> (</w:t>
      </w:r>
      <w:r w:rsidR="00E07BD9">
        <w:t>0.4</w:t>
      </w:r>
      <w:r w:rsidR="6E00285B">
        <w:t>m</w:t>
      </w:r>
      <w:r>
        <w:t>) were chosen as the smaller diameter cyclone has a higher separation ability than the larger ones.</w:t>
      </w:r>
    </w:p>
    <w:p w14:paraId="0C8D4A7A" w14:textId="203CE1C3" w:rsidR="0056599B" w:rsidRDefault="00147FCB" w:rsidP="0056599B">
      <w:pPr>
        <w:pStyle w:val="CETBodytext"/>
      </w:pPr>
      <w:r>
        <w:t>The impact of the DSD on the process design was tested by varying the number of classes from 5 to 25. The problem with 5 class sizes resulted in a process design with two units only, CPI and IGF. This is because in case of 5 classes, the volume is distributed among fewer classes and hence the removal accuracy is compromised. In all other cases</w:t>
      </w:r>
      <w:r w:rsidR="639D9A95">
        <w:t>, using a finer discretization of the volume</w:t>
      </w:r>
      <w:r>
        <w:t>, 3 stages were required to meet the process specifications. As the number of classes increases, the oil and solid volumes are distributed more accurately among the classes and hence the separation efficiency is more sensitive to the cut diameter of the processing units. For 15-25 class sizes, two different configurations are identified: CPI</w:t>
      </w:r>
      <w:r w:rsidR="093C2407">
        <w:t xml:space="preserve"> →</w:t>
      </w:r>
      <w:r>
        <w:t xml:space="preserve"> HC</w:t>
      </w:r>
      <w:r w:rsidR="36B6DE36">
        <w:t xml:space="preserve"> →</w:t>
      </w:r>
      <w:r>
        <w:t xml:space="preserve"> IGF and CPI</w:t>
      </w:r>
      <w:r w:rsidR="13881591">
        <w:t xml:space="preserve"> → </w:t>
      </w:r>
      <w:r>
        <w:t>IGF</w:t>
      </w:r>
      <w:r w:rsidR="1B398EC9">
        <w:t xml:space="preserve"> →</w:t>
      </w:r>
      <w:r>
        <w:t xml:space="preserve"> HC. The computational effort grows as the square of the number of classes, requiring 24 minutes to solve the problem with 25 classes on an </w:t>
      </w:r>
      <w:proofErr w:type="gramStart"/>
      <w:r>
        <w:t>8 core</w:t>
      </w:r>
      <w:proofErr w:type="gramEnd"/>
      <w:r>
        <w:t xml:space="preserve"> </w:t>
      </w:r>
      <w:r w:rsidR="6EF52D03">
        <w:t xml:space="preserve">computer </w:t>
      </w:r>
      <w:r>
        <w:t>system.</w:t>
      </w:r>
    </w:p>
    <w:p w14:paraId="22EFDFB7" w14:textId="5724A64C" w:rsidR="004C390C" w:rsidRDefault="00C960A2" w:rsidP="004C390C">
      <w:pPr>
        <w:pStyle w:val="CETBodytext"/>
      </w:pPr>
      <w:r>
        <w:t xml:space="preserve">Figure 1 shows the </w:t>
      </w:r>
      <w:r w:rsidR="00103878">
        <w:t>Pareto</w:t>
      </w:r>
      <w:r>
        <w:t xml:space="preserve"> front obtained by solving the multi-objective problem for 25 classes. </w:t>
      </w:r>
      <w:r w:rsidR="009540AA">
        <w:t xml:space="preserve">Using </w:t>
      </w:r>
      <w:r w:rsidR="004C73B2">
        <w:t xml:space="preserve">25 </w:t>
      </w:r>
      <w:r w:rsidR="009540AA">
        <w:t>classes</w:t>
      </w:r>
      <w:r w:rsidR="004C73B2">
        <w:t xml:space="preserve"> resulted in two different configurations compared </w:t>
      </w:r>
      <w:r w:rsidR="009540AA">
        <w:t>with just</w:t>
      </w:r>
      <w:r w:rsidR="004C73B2">
        <w:t xml:space="preserve"> one</w:t>
      </w:r>
      <w:r w:rsidR="009540AA">
        <w:t xml:space="preserve"> obtained with 10 classes</w:t>
      </w:r>
      <w:r w:rsidR="004C73B2">
        <w:t xml:space="preserve">. The objective function values are lower for all solutions in the 25 classes. The </w:t>
      </w:r>
      <w:r w:rsidR="003F4A74">
        <w:t xml:space="preserve">cost of the </w:t>
      </w:r>
      <w:r w:rsidR="004C73B2">
        <w:t xml:space="preserve">most </w:t>
      </w:r>
      <w:r w:rsidR="0069384F">
        <w:t xml:space="preserve">environmentally friendly </w:t>
      </w:r>
      <w:r w:rsidR="004C73B2">
        <w:t xml:space="preserve">solutions in case of the 25 classes is lower than that of the 10 classes by 6% </w:t>
      </w:r>
      <w:r w:rsidR="0069384F">
        <w:t xml:space="preserve">(2,710,370 vs 2,873,479) </w:t>
      </w:r>
      <w:r w:rsidR="004C73B2">
        <w:t>while the emission is lower by 77%</w:t>
      </w:r>
      <w:r w:rsidR="0069384F">
        <w:t xml:space="preserve"> (127,655 vs 559,508)</w:t>
      </w:r>
      <w:r w:rsidR="004C73B2">
        <w:t xml:space="preserve">. The significant change in the emission is due to the reduction of </w:t>
      </w:r>
      <w:r w:rsidR="0069384F">
        <w:t>the IGF</w:t>
      </w:r>
      <w:r w:rsidR="004C73B2">
        <w:t xml:space="preserve"> unit h</w:t>
      </w:r>
      <w:r w:rsidR="6D91FA83">
        <w:t>eight</w:t>
      </w:r>
      <w:r w:rsidR="004C73B2">
        <w:t xml:space="preserve"> from </w:t>
      </w:r>
      <w:r w:rsidR="0069384F">
        <w:t>5.7</w:t>
      </w:r>
      <w:r w:rsidR="004C73B2">
        <w:t xml:space="preserve"> to 0.5 </w:t>
      </w:r>
      <m:oMath>
        <m:r>
          <w:rPr>
            <w:rFonts w:ascii="Cambria Math" w:hAnsi="Cambria Math"/>
          </w:rPr>
          <m:t>m</m:t>
        </m:r>
      </m:oMath>
      <w:r w:rsidR="004C73B2">
        <w:t xml:space="preserve">. </w:t>
      </w:r>
      <w:r w:rsidR="0069384F">
        <w:t xml:space="preserve">The highest point to the left of the graph is the most </w:t>
      </w:r>
      <w:proofErr w:type="gramStart"/>
      <w:r w:rsidR="0069384F">
        <w:t>cost effective</w:t>
      </w:r>
      <w:proofErr w:type="gramEnd"/>
      <w:r w:rsidR="0069384F">
        <w:t xml:space="preserve"> solution with 2,</w:t>
      </w:r>
      <w:r w:rsidR="00396E0B">
        <w:t>522,537</w:t>
      </w:r>
      <w:r w:rsidR="0069384F">
        <w:t xml:space="preserve"> </w:t>
      </w:r>
      <w:r w:rsidR="00396E0B" w:rsidRPr="30003814">
        <w:rPr>
          <w:sz w:val="16"/>
          <w:szCs w:val="16"/>
        </w:rPr>
        <w:t>USD</w:t>
      </w:r>
      <w:r w:rsidR="18B14D52" w:rsidRPr="30003814">
        <w:rPr>
          <w:sz w:val="16"/>
          <w:szCs w:val="16"/>
        </w:rPr>
        <w:t xml:space="preserve"> y</w:t>
      </w:r>
      <w:r w:rsidR="18B14D52" w:rsidRPr="30003814">
        <w:rPr>
          <w:sz w:val="16"/>
          <w:szCs w:val="16"/>
          <w:vertAlign w:val="superscript"/>
        </w:rPr>
        <w:t>-1</w:t>
      </w:r>
      <w:r w:rsidR="0069384F">
        <w:t xml:space="preserve"> and </w:t>
      </w:r>
      <w:r w:rsidR="00396E0B">
        <w:t>154,444</w:t>
      </w:r>
      <w:r w:rsidR="0069384F">
        <w:t xml:space="preserve"> kg</w:t>
      </w:r>
      <w:r w:rsidR="0A4E12DF">
        <w:t xml:space="preserve"> CO</w:t>
      </w:r>
      <w:r w:rsidR="0A4E12DF" w:rsidRPr="30003814">
        <w:rPr>
          <w:vertAlign w:val="subscript"/>
        </w:rPr>
        <w:t>2</w:t>
      </w:r>
      <w:r w:rsidR="0A4E12DF">
        <w:t>e</w:t>
      </w:r>
      <w:r w:rsidR="0069384F">
        <w:t xml:space="preserve">. </w:t>
      </w:r>
      <w:r w:rsidR="00103878">
        <w:t>The difference in the number</w:t>
      </w:r>
      <w:r w:rsidR="2D9A1235">
        <w:t xml:space="preserve"> of</w:t>
      </w:r>
      <w:r w:rsidR="0CEC84CE">
        <w:t xml:space="preserve"> parallel</w:t>
      </w:r>
      <w:r w:rsidR="2D9A1235">
        <w:t xml:space="preserve"> </w:t>
      </w:r>
      <w:proofErr w:type="spellStart"/>
      <w:r w:rsidR="2D9A1235">
        <w:t>hydrocyclones</w:t>
      </w:r>
      <w:proofErr w:type="spellEnd"/>
      <w:r w:rsidR="00103878">
        <w:t xml:space="preserve"> and </w:t>
      </w:r>
      <w:r w:rsidR="7297BC72">
        <w:t xml:space="preserve">their </w:t>
      </w:r>
      <w:r w:rsidR="00103878">
        <w:t>diameter</w:t>
      </w:r>
      <w:r w:rsidR="63C50E49">
        <w:t>s</w:t>
      </w:r>
      <w:r w:rsidR="00103878">
        <w:t xml:space="preserve"> and </w:t>
      </w:r>
      <w:r w:rsidR="58B1C9BF">
        <w:t xml:space="preserve">the height of the </w:t>
      </w:r>
      <w:r w:rsidR="00103878">
        <w:t>IGF are the main contributor to the cost and emission reduction</w:t>
      </w:r>
      <w:r w:rsidR="351A9D6A">
        <w:t>s</w:t>
      </w:r>
      <w:r w:rsidR="003F4A74">
        <w:t xml:space="preserve"> in comparison</w:t>
      </w:r>
      <w:r w:rsidR="00103878">
        <w:t>. The values of the design variables of the main case (10 classes)</w:t>
      </w:r>
      <w:r w:rsidR="00396E0B">
        <w:t>, shown in Table 3, are</w:t>
      </w:r>
      <w:r w:rsidR="00103878">
        <w:t xml:space="preserve"> 8, 0.49 m and 7.4 </w:t>
      </w:r>
      <w:r w:rsidR="3F930863">
        <w:t>m</w:t>
      </w:r>
      <w:r w:rsidR="00103878">
        <w:t xml:space="preserve"> compared to 1, 0.9 </w:t>
      </w:r>
      <w:r w:rsidR="0FAE9D0B">
        <w:t>m</w:t>
      </w:r>
      <w:r w:rsidR="00103878">
        <w:t xml:space="preserve"> and 0.5 </w:t>
      </w:r>
      <w:r w:rsidR="1674C16D">
        <w:t>m</w:t>
      </w:r>
      <w:r w:rsidR="00103878">
        <w:t xml:space="preserve"> in 25 classes. </w:t>
      </w:r>
      <w:bookmarkStart w:id="7" w:name="conclusion"/>
    </w:p>
    <w:p w14:paraId="13BD5C4A" w14:textId="77777777" w:rsidR="00C37CDC" w:rsidRDefault="00C37CDC" w:rsidP="004C390C">
      <w:pPr>
        <w:pStyle w:val="CETBodytext"/>
      </w:pPr>
    </w:p>
    <w:p w14:paraId="6AB90013" w14:textId="77777777" w:rsidR="00C37CDC" w:rsidRDefault="00C37CDC" w:rsidP="004C390C">
      <w:pPr>
        <w:pStyle w:val="CETBodytext"/>
        <w:rPr>
          <w:lang w:val="en-GB"/>
        </w:rPr>
      </w:pPr>
    </w:p>
    <w:p w14:paraId="2031BB3B" w14:textId="77777777" w:rsidR="00C37CDC" w:rsidRDefault="00C37CDC" w:rsidP="004C390C">
      <w:pPr>
        <w:pStyle w:val="CETBodytext"/>
        <w:rPr>
          <w:lang w:val="en-GB"/>
        </w:rPr>
      </w:pPr>
    </w:p>
    <w:p w14:paraId="2ABE8D1B" w14:textId="77777777" w:rsidR="00C37CDC" w:rsidRDefault="00C37CDC" w:rsidP="004C390C">
      <w:pPr>
        <w:pStyle w:val="CETBodytext"/>
        <w:rPr>
          <w:lang w:val="en-GB"/>
        </w:rPr>
      </w:pPr>
    </w:p>
    <w:p w14:paraId="62785DEC" w14:textId="77777777" w:rsidR="00C37CDC" w:rsidRDefault="00C37CDC" w:rsidP="004C390C">
      <w:pPr>
        <w:pStyle w:val="CETBodytext"/>
        <w:rPr>
          <w:lang w:val="en-GB"/>
        </w:rPr>
      </w:pPr>
    </w:p>
    <w:p w14:paraId="4F4636FD" w14:textId="2CDB1DDD" w:rsidR="00C37CDC" w:rsidRPr="00C37CDC" w:rsidRDefault="00C37CDC" w:rsidP="00C37CDC">
      <w:pPr>
        <w:pStyle w:val="CETTabletitle"/>
      </w:pPr>
      <w:r w:rsidRPr="004C390C">
        <w:lastRenderedPageBreak/>
        <w:t xml:space="preserve">Table 3 The optimal values of the units’ design variables obtained from solving the multi-objectives optimization problem for 25 classes </w:t>
      </w:r>
    </w:p>
    <w:tbl>
      <w:tblPr>
        <w:tblStyle w:val="TableGrid"/>
        <w:tblpPr w:leftFromText="180" w:rightFromText="180" w:vertAnchor="page" w:horzAnchor="margin" w:tblpY="2372"/>
        <w:tblW w:w="8919" w:type="dxa"/>
        <w:tblBorders>
          <w:top w:val="single" w:sz="12" w:space="0" w:color="008000"/>
          <w:left w:val="none" w:sz="0" w:space="0" w:color="auto"/>
          <w:bottom w:val="single" w:sz="2" w:space="0" w:color="008000"/>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88"/>
        <w:gridCol w:w="905"/>
        <w:gridCol w:w="586"/>
        <w:gridCol w:w="513"/>
        <w:gridCol w:w="569"/>
        <w:gridCol w:w="692"/>
        <w:gridCol w:w="425"/>
        <w:gridCol w:w="567"/>
        <w:gridCol w:w="425"/>
        <w:gridCol w:w="567"/>
        <w:gridCol w:w="567"/>
        <w:gridCol w:w="981"/>
      </w:tblGrid>
      <w:tr w:rsidR="00C37CDC" w:rsidRPr="00BA4D1B" w14:paraId="28844E6D" w14:textId="77777777" w:rsidTr="00C37CDC">
        <w:tc>
          <w:tcPr>
            <w:tcW w:w="1134" w:type="dxa"/>
            <w:vMerge w:val="restart"/>
            <w:tcBorders>
              <w:top w:val="single" w:sz="12" w:space="0" w:color="008000"/>
              <w:bottom w:val="nil"/>
            </w:tcBorders>
          </w:tcPr>
          <w:p w14:paraId="2D379AB8" w14:textId="77777777" w:rsidR="00C37CDC" w:rsidRPr="00BA4D1B" w:rsidRDefault="00C37CDC" w:rsidP="00C37CDC">
            <w:pPr>
              <w:pStyle w:val="BodyText"/>
              <w:jc w:val="center"/>
              <w:rPr>
                <w:szCs w:val="18"/>
              </w:rPr>
            </w:pPr>
            <w:r w:rsidRPr="00BA4D1B">
              <w:rPr>
                <w:szCs w:val="18"/>
              </w:rPr>
              <w:t>Annual Cost</w:t>
            </w:r>
          </w:p>
          <w:p w14:paraId="49375EC2" w14:textId="77777777" w:rsidR="00C37CDC" w:rsidRPr="00BA4D1B" w:rsidRDefault="00C37CDC" w:rsidP="00C37CDC">
            <w:pPr>
              <w:pStyle w:val="BodyText"/>
              <w:rPr>
                <w:szCs w:val="18"/>
              </w:rPr>
            </w:pPr>
            <w:proofErr w:type="gramStart"/>
            <w:r w:rsidRPr="00396E0B">
              <w:rPr>
                <w:sz w:val="16"/>
                <w:szCs w:val="18"/>
              </w:rPr>
              <w:t>(</w:t>
            </w:r>
            <w:r w:rsidRPr="00396E0B">
              <w:rPr>
                <w:sz w:val="16"/>
              </w:rPr>
              <w:t xml:space="preserve"> USD</w:t>
            </w:r>
            <w:proofErr w:type="gramEnd"/>
            <m:oMath>
              <m:sSup>
                <m:sSupPr>
                  <m:ctrlPr>
                    <w:rPr>
                      <w:rFonts w:ascii="Cambria Math" w:hAnsi="Cambria Math"/>
                      <w:sz w:val="16"/>
                    </w:rPr>
                  </m:ctrlPr>
                </m:sSupPr>
                <m:e>
                  <m:r>
                    <w:rPr>
                      <w:rFonts w:ascii="Cambria Math" w:hAnsi="Cambria Math"/>
                      <w:sz w:val="16"/>
                    </w:rPr>
                    <m:t>y</m:t>
                  </m:r>
                </m:e>
                <m:sup>
                  <m:r>
                    <w:rPr>
                      <w:rFonts w:ascii="Cambria Math" w:hAnsi="Cambria Math"/>
                      <w:sz w:val="16"/>
                    </w:rPr>
                    <m:t>-1</m:t>
                  </m:r>
                </m:sup>
              </m:sSup>
            </m:oMath>
            <w:r w:rsidRPr="00396E0B">
              <w:rPr>
                <w:sz w:val="16"/>
              </w:rPr>
              <w:t>.</w:t>
            </w:r>
            <w:r w:rsidRPr="00396E0B">
              <w:rPr>
                <w:sz w:val="16"/>
                <w:szCs w:val="18"/>
              </w:rPr>
              <w:t>)</w:t>
            </w:r>
          </w:p>
        </w:tc>
        <w:tc>
          <w:tcPr>
            <w:tcW w:w="988" w:type="dxa"/>
            <w:vMerge w:val="restart"/>
            <w:tcBorders>
              <w:top w:val="single" w:sz="12" w:space="0" w:color="008000"/>
              <w:bottom w:val="nil"/>
            </w:tcBorders>
          </w:tcPr>
          <w:p w14:paraId="6C3B111D" w14:textId="77777777" w:rsidR="00C37CDC" w:rsidRPr="00BA4D1B" w:rsidRDefault="00C37CDC" w:rsidP="00C37CDC">
            <w:pPr>
              <w:pStyle w:val="BodyText"/>
              <w:jc w:val="center"/>
              <w:rPr>
                <w:szCs w:val="18"/>
              </w:rPr>
            </w:pPr>
            <w:r w:rsidRPr="00BA4D1B">
              <w:rPr>
                <w:szCs w:val="18"/>
              </w:rPr>
              <w:t>CO</w:t>
            </w:r>
            <w:r w:rsidRPr="00BA4D1B">
              <w:rPr>
                <w:szCs w:val="18"/>
                <w:vertAlign w:val="subscript"/>
              </w:rPr>
              <w:t>2</w:t>
            </w:r>
            <w:r w:rsidRPr="00BA4D1B">
              <w:rPr>
                <w:szCs w:val="18"/>
              </w:rPr>
              <w:t xml:space="preserve"> Emission</w:t>
            </w:r>
          </w:p>
          <w:p w14:paraId="310C812B" w14:textId="77777777" w:rsidR="00C37CDC" w:rsidRPr="00BA4D1B" w:rsidRDefault="00C37CDC" w:rsidP="00C37CDC">
            <w:pPr>
              <w:pStyle w:val="BodyText"/>
              <w:jc w:val="center"/>
              <w:rPr>
                <w:szCs w:val="18"/>
              </w:rPr>
            </w:pPr>
            <w:r w:rsidRPr="00BA4D1B">
              <w:rPr>
                <w:szCs w:val="18"/>
              </w:rPr>
              <w:t>(kgCO</w:t>
            </w:r>
            <w:r w:rsidRPr="00BA4D1B">
              <w:rPr>
                <w:szCs w:val="18"/>
                <w:vertAlign w:val="subscript"/>
              </w:rPr>
              <w:t>2</w:t>
            </w:r>
            <w:r w:rsidRPr="00BA4D1B">
              <w:rPr>
                <w:szCs w:val="18"/>
              </w:rPr>
              <w:t>e</w:t>
            </w:r>
            <w:r>
              <w:rPr>
                <w:szCs w:val="18"/>
              </w:rPr>
              <w:t>)</w:t>
            </w:r>
          </w:p>
        </w:tc>
        <w:tc>
          <w:tcPr>
            <w:tcW w:w="905" w:type="dxa"/>
            <w:vMerge w:val="restart"/>
            <w:tcBorders>
              <w:top w:val="single" w:sz="12" w:space="0" w:color="008000"/>
              <w:bottom w:val="nil"/>
            </w:tcBorders>
          </w:tcPr>
          <w:p w14:paraId="47C41D5F" w14:textId="77777777" w:rsidR="00C37CDC" w:rsidRPr="00BA4D1B" w:rsidRDefault="00C37CDC" w:rsidP="00C37CDC">
            <w:pPr>
              <w:pStyle w:val="BodyText"/>
              <w:jc w:val="center"/>
              <w:rPr>
                <w:szCs w:val="18"/>
              </w:rPr>
            </w:pPr>
            <w:r w:rsidRPr="00BA4D1B">
              <w:rPr>
                <w:szCs w:val="18"/>
              </w:rPr>
              <w:t>Sequence</w:t>
            </w:r>
          </w:p>
        </w:tc>
        <w:tc>
          <w:tcPr>
            <w:tcW w:w="2360" w:type="dxa"/>
            <w:gridSpan w:val="4"/>
            <w:tcBorders>
              <w:top w:val="single" w:sz="12" w:space="0" w:color="008000"/>
              <w:bottom w:val="nil"/>
            </w:tcBorders>
          </w:tcPr>
          <w:p w14:paraId="49A79BAE" w14:textId="77777777" w:rsidR="00C37CDC" w:rsidRPr="00BA4D1B" w:rsidRDefault="00C37CDC" w:rsidP="00C37CDC">
            <w:pPr>
              <w:pStyle w:val="BodyText"/>
              <w:jc w:val="center"/>
              <w:rPr>
                <w:szCs w:val="18"/>
              </w:rPr>
            </w:pPr>
            <w:r w:rsidRPr="00BA4D1B">
              <w:rPr>
                <w:szCs w:val="18"/>
              </w:rPr>
              <w:t xml:space="preserve">CPI </w:t>
            </w:r>
          </w:p>
        </w:tc>
        <w:tc>
          <w:tcPr>
            <w:tcW w:w="992" w:type="dxa"/>
            <w:gridSpan w:val="2"/>
            <w:tcBorders>
              <w:top w:val="single" w:sz="12" w:space="0" w:color="008000"/>
              <w:bottom w:val="nil"/>
            </w:tcBorders>
          </w:tcPr>
          <w:p w14:paraId="3E0C37B4" w14:textId="77777777" w:rsidR="00C37CDC" w:rsidRPr="00BA4D1B" w:rsidRDefault="00C37CDC" w:rsidP="00C37CDC">
            <w:pPr>
              <w:pStyle w:val="BodyText"/>
              <w:jc w:val="center"/>
              <w:rPr>
                <w:szCs w:val="18"/>
              </w:rPr>
            </w:pPr>
            <w:r w:rsidRPr="00BA4D1B">
              <w:rPr>
                <w:szCs w:val="18"/>
              </w:rPr>
              <w:t xml:space="preserve">HC </w:t>
            </w:r>
          </w:p>
        </w:tc>
        <w:tc>
          <w:tcPr>
            <w:tcW w:w="2540" w:type="dxa"/>
            <w:gridSpan w:val="4"/>
            <w:tcBorders>
              <w:top w:val="single" w:sz="12" w:space="0" w:color="008000"/>
              <w:bottom w:val="nil"/>
            </w:tcBorders>
          </w:tcPr>
          <w:p w14:paraId="75C1D7E4" w14:textId="77777777" w:rsidR="00C37CDC" w:rsidRPr="00BA4D1B" w:rsidRDefault="00C37CDC" w:rsidP="00C37CDC">
            <w:pPr>
              <w:pStyle w:val="BodyText"/>
              <w:jc w:val="center"/>
              <w:rPr>
                <w:szCs w:val="18"/>
              </w:rPr>
            </w:pPr>
            <w:r w:rsidRPr="00BA4D1B">
              <w:rPr>
                <w:szCs w:val="18"/>
              </w:rPr>
              <w:t xml:space="preserve">IGF </w:t>
            </w:r>
          </w:p>
        </w:tc>
      </w:tr>
      <w:tr w:rsidR="00C37CDC" w:rsidRPr="00BA4D1B" w14:paraId="2A548266" w14:textId="77777777" w:rsidTr="00C37CDC">
        <w:tc>
          <w:tcPr>
            <w:tcW w:w="1134" w:type="dxa"/>
            <w:vMerge/>
            <w:tcBorders>
              <w:top w:val="nil"/>
              <w:bottom w:val="single" w:sz="2" w:space="0" w:color="008000"/>
            </w:tcBorders>
          </w:tcPr>
          <w:p w14:paraId="76C1642A" w14:textId="77777777" w:rsidR="00C37CDC" w:rsidRPr="00BA4D1B" w:rsidRDefault="00C37CDC" w:rsidP="00C37CDC">
            <w:pPr>
              <w:pStyle w:val="BodyText"/>
              <w:rPr>
                <w:szCs w:val="18"/>
              </w:rPr>
            </w:pPr>
          </w:p>
        </w:tc>
        <w:tc>
          <w:tcPr>
            <w:tcW w:w="988" w:type="dxa"/>
            <w:vMerge/>
            <w:tcBorders>
              <w:top w:val="nil"/>
              <w:bottom w:val="single" w:sz="2" w:space="0" w:color="008000"/>
            </w:tcBorders>
          </w:tcPr>
          <w:p w14:paraId="742CA4C7" w14:textId="77777777" w:rsidR="00C37CDC" w:rsidRPr="00BA4D1B" w:rsidRDefault="00C37CDC" w:rsidP="00C37CDC">
            <w:pPr>
              <w:pStyle w:val="BodyText"/>
              <w:rPr>
                <w:szCs w:val="18"/>
              </w:rPr>
            </w:pPr>
          </w:p>
        </w:tc>
        <w:tc>
          <w:tcPr>
            <w:tcW w:w="905" w:type="dxa"/>
            <w:vMerge/>
            <w:tcBorders>
              <w:top w:val="nil"/>
              <w:bottom w:val="single" w:sz="2" w:space="0" w:color="008000"/>
            </w:tcBorders>
          </w:tcPr>
          <w:p w14:paraId="6FBA5A81" w14:textId="77777777" w:rsidR="00C37CDC" w:rsidRPr="00BA4D1B" w:rsidRDefault="00C37CDC" w:rsidP="00C37CDC">
            <w:pPr>
              <w:pStyle w:val="BodyText"/>
              <w:rPr>
                <w:szCs w:val="18"/>
              </w:rPr>
            </w:pPr>
          </w:p>
        </w:tc>
        <w:tc>
          <w:tcPr>
            <w:tcW w:w="586" w:type="dxa"/>
            <w:tcBorders>
              <w:top w:val="nil"/>
              <w:bottom w:val="single" w:sz="2" w:space="0" w:color="008000"/>
            </w:tcBorders>
            <w:vAlign w:val="bottom"/>
          </w:tcPr>
          <w:p w14:paraId="5B2EFC93" w14:textId="77777777" w:rsidR="00C37CDC" w:rsidRPr="00D8703F" w:rsidRDefault="00C37CDC" w:rsidP="00C37CDC">
            <w:pPr>
              <w:pStyle w:val="BodyText"/>
              <w:rPr>
                <w:szCs w:val="18"/>
              </w:rPr>
            </w:pPr>
            <m:oMathPara>
              <m:oMath>
                <m:sSubSup>
                  <m:sSubSupPr>
                    <m:ctrlPr>
                      <w:rPr>
                        <w:rFonts w:ascii="Cambria Math" w:hAnsi="Cambria Math"/>
                        <w:szCs w:val="18"/>
                      </w:rPr>
                    </m:ctrlPr>
                  </m:sSubSupPr>
                  <m:e>
                    <m:r>
                      <w:rPr>
                        <w:rFonts w:ascii="Cambria Math" w:hAnsi="Cambria Math"/>
                        <w:szCs w:val="18"/>
                      </w:rPr>
                      <m:t>D</m:t>
                    </m:r>
                  </m:e>
                  <m:sub>
                    <m:r>
                      <w:rPr>
                        <w:rFonts w:ascii="Cambria Math" w:hAnsi="Cambria Math"/>
                        <w:szCs w:val="18"/>
                      </w:rPr>
                      <m:t>OnG</m:t>
                    </m:r>
                  </m:sub>
                  <m:sup>
                    <m:r>
                      <w:rPr>
                        <w:rFonts w:ascii="Cambria Math" w:hAnsi="Cambria Math"/>
                        <w:szCs w:val="18"/>
                      </w:rPr>
                      <m:t>CPI</m:t>
                    </m:r>
                  </m:sup>
                </m:sSubSup>
              </m:oMath>
            </m:oMathPara>
          </w:p>
          <w:p w14:paraId="349C7B07" w14:textId="77777777" w:rsidR="00C37CDC" w:rsidRPr="00BA4D1B" w:rsidRDefault="00C37CDC" w:rsidP="00C37CDC">
            <w:pPr>
              <w:pStyle w:val="BodyText"/>
              <w:rPr>
                <w:szCs w:val="18"/>
              </w:rPr>
            </w:pPr>
            <m:oMathPara>
              <m:oMath>
                <m:r>
                  <w:rPr>
                    <w:rFonts w:ascii="Cambria Math" w:hAnsi="Cambria Math"/>
                  </w:rPr>
                  <m:t>μm</m:t>
                </m:r>
              </m:oMath>
            </m:oMathPara>
          </w:p>
        </w:tc>
        <w:tc>
          <w:tcPr>
            <w:tcW w:w="513" w:type="dxa"/>
            <w:tcBorders>
              <w:top w:val="nil"/>
              <w:bottom w:val="single" w:sz="2" w:space="0" w:color="008000"/>
            </w:tcBorders>
            <w:vAlign w:val="bottom"/>
          </w:tcPr>
          <w:p w14:paraId="72289D66" w14:textId="77777777" w:rsidR="00C37CDC" w:rsidRPr="00D8703F" w:rsidRDefault="00C37CDC" w:rsidP="00C37CDC">
            <w:pPr>
              <w:pStyle w:val="BodyText"/>
              <w:jc w:val="center"/>
              <w:rPr>
                <w:rFonts w:cs="Arial"/>
                <w:szCs w:val="18"/>
              </w:rPr>
            </w:pPr>
            <m:oMathPara>
              <m:oMath>
                <m:sSup>
                  <m:sSupPr>
                    <m:ctrlPr>
                      <w:rPr>
                        <w:rFonts w:ascii="Cambria Math" w:hAnsi="Cambria Math" w:cs="Arial"/>
                        <w:szCs w:val="18"/>
                      </w:rPr>
                    </m:ctrlPr>
                  </m:sSupPr>
                  <m:e>
                    <m:r>
                      <w:rPr>
                        <w:rFonts w:ascii="Cambria Math" w:hAnsi="Cambria Math" w:cs="Arial"/>
                        <w:szCs w:val="18"/>
                      </w:rPr>
                      <m:t>L</m:t>
                    </m:r>
                  </m:e>
                  <m:sup>
                    <m:r>
                      <w:rPr>
                        <w:rFonts w:ascii="Cambria Math" w:hAnsi="Cambria Math" w:cs="Arial"/>
                        <w:szCs w:val="18"/>
                      </w:rPr>
                      <m:t>CPI</m:t>
                    </m:r>
                  </m:sup>
                </m:sSup>
              </m:oMath>
            </m:oMathPara>
          </w:p>
          <w:p w14:paraId="1B2B3470" w14:textId="77777777" w:rsidR="00C37CDC" w:rsidRPr="00D8703F" w:rsidRDefault="00C37CDC" w:rsidP="00C37CDC">
            <w:pPr>
              <w:pStyle w:val="BodyText"/>
              <w:jc w:val="center"/>
              <w:rPr>
                <w:rFonts w:cs="Arial"/>
                <w:szCs w:val="18"/>
              </w:rPr>
            </w:pPr>
            <m:oMathPara>
              <m:oMath>
                <m:r>
                  <w:rPr>
                    <w:rFonts w:ascii="Cambria Math" w:hAnsi="Cambria Math"/>
                  </w:rPr>
                  <m:t>m</m:t>
                </m:r>
              </m:oMath>
            </m:oMathPara>
          </w:p>
        </w:tc>
        <w:tc>
          <w:tcPr>
            <w:tcW w:w="569" w:type="dxa"/>
            <w:tcBorders>
              <w:top w:val="nil"/>
              <w:bottom w:val="single" w:sz="2" w:space="0" w:color="008000"/>
            </w:tcBorders>
            <w:vAlign w:val="bottom"/>
          </w:tcPr>
          <w:p w14:paraId="63877331" w14:textId="77777777" w:rsidR="00C37CDC" w:rsidRPr="00D8703F" w:rsidRDefault="00C37CDC" w:rsidP="00C37CDC">
            <w:pPr>
              <w:pStyle w:val="BodyText"/>
              <w:jc w:val="center"/>
              <w:rPr>
                <w:rFonts w:cs="Arial"/>
                <w:szCs w:val="18"/>
              </w:rPr>
            </w:pPr>
            <m:oMathPara>
              <m:oMath>
                <m:sSup>
                  <m:sSupPr>
                    <m:ctrlPr>
                      <w:rPr>
                        <w:rFonts w:ascii="Cambria Math" w:hAnsi="Cambria Math" w:cs="Arial"/>
                        <w:szCs w:val="18"/>
                      </w:rPr>
                    </m:ctrlPr>
                  </m:sSupPr>
                  <m:e>
                    <m:r>
                      <w:rPr>
                        <w:rFonts w:ascii="Cambria Math" w:hAnsi="Cambria Math" w:cs="Arial"/>
                        <w:szCs w:val="18"/>
                      </w:rPr>
                      <m:t>w</m:t>
                    </m:r>
                  </m:e>
                  <m:sup>
                    <m:r>
                      <w:rPr>
                        <w:rFonts w:ascii="Cambria Math" w:hAnsi="Cambria Math" w:cs="Arial"/>
                        <w:szCs w:val="18"/>
                      </w:rPr>
                      <m:t>CPI</m:t>
                    </m:r>
                  </m:sup>
                </m:sSup>
              </m:oMath>
            </m:oMathPara>
          </w:p>
          <w:p w14:paraId="5E5B1C14" w14:textId="77777777" w:rsidR="00C37CDC" w:rsidRPr="00D8703F" w:rsidRDefault="00C37CDC" w:rsidP="00C37CDC">
            <w:pPr>
              <w:pStyle w:val="BodyText"/>
              <w:jc w:val="center"/>
              <w:rPr>
                <w:rFonts w:cs="Arial"/>
                <w:szCs w:val="18"/>
              </w:rPr>
            </w:pPr>
            <m:oMathPara>
              <m:oMath>
                <m:r>
                  <w:rPr>
                    <w:rFonts w:ascii="Cambria Math" w:hAnsi="Cambria Math"/>
                  </w:rPr>
                  <m:t>m</m:t>
                </m:r>
              </m:oMath>
            </m:oMathPara>
          </w:p>
        </w:tc>
        <w:tc>
          <w:tcPr>
            <w:tcW w:w="692" w:type="dxa"/>
            <w:tcBorders>
              <w:top w:val="nil"/>
              <w:bottom w:val="single" w:sz="2" w:space="0" w:color="008000"/>
            </w:tcBorders>
            <w:vAlign w:val="bottom"/>
          </w:tcPr>
          <w:p w14:paraId="68512014" w14:textId="77777777" w:rsidR="00C37CDC" w:rsidRPr="00D8703F" w:rsidRDefault="00C37CDC" w:rsidP="00C37CDC">
            <w:pPr>
              <w:pStyle w:val="BodyText"/>
              <w:jc w:val="center"/>
              <w:rPr>
                <w:rFonts w:cs="Arial"/>
                <w:szCs w:val="18"/>
              </w:rPr>
            </w:pPr>
            <m:oMathPara>
              <m:oMath>
                <m:sSup>
                  <m:sSupPr>
                    <m:ctrlPr>
                      <w:rPr>
                        <w:rFonts w:ascii="Cambria Math" w:hAnsi="Cambria Math" w:cs="Arial"/>
                        <w:szCs w:val="18"/>
                      </w:rPr>
                    </m:ctrlPr>
                  </m:sSupPr>
                  <m:e>
                    <m:r>
                      <w:rPr>
                        <w:rFonts w:ascii="Cambria Math" w:hAnsi="Cambria Math" w:cs="Arial"/>
                        <w:szCs w:val="18"/>
                      </w:rPr>
                      <m:t>h</m:t>
                    </m:r>
                  </m:e>
                  <m:sup>
                    <m:r>
                      <w:rPr>
                        <w:rFonts w:ascii="Cambria Math" w:hAnsi="Cambria Math" w:cs="Arial"/>
                        <w:szCs w:val="18"/>
                      </w:rPr>
                      <m:t>CPI</m:t>
                    </m:r>
                  </m:sup>
                </m:sSup>
              </m:oMath>
            </m:oMathPara>
          </w:p>
          <w:p w14:paraId="0B487FED" w14:textId="77777777" w:rsidR="00C37CDC" w:rsidRPr="00D8703F" w:rsidRDefault="00C37CDC" w:rsidP="00C37CDC">
            <w:pPr>
              <w:pStyle w:val="BodyText"/>
              <w:jc w:val="center"/>
              <w:rPr>
                <w:rFonts w:cs="Arial"/>
                <w:szCs w:val="18"/>
              </w:rPr>
            </w:pPr>
            <m:oMathPara>
              <m:oMath>
                <m:r>
                  <w:rPr>
                    <w:rFonts w:ascii="Cambria Math" w:hAnsi="Cambria Math"/>
                  </w:rPr>
                  <m:t>m</m:t>
                </m:r>
              </m:oMath>
            </m:oMathPara>
          </w:p>
        </w:tc>
        <w:tc>
          <w:tcPr>
            <w:tcW w:w="425" w:type="dxa"/>
            <w:tcBorders>
              <w:top w:val="nil"/>
              <w:bottom w:val="single" w:sz="2" w:space="0" w:color="008000"/>
            </w:tcBorders>
            <w:vAlign w:val="bottom"/>
          </w:tcPr>
          <w:p w14:paraId="776066B5" w14:textId="77777777" w:rsidR="00C37CDC" w:rsidRPr="00D8703F" w:rsidRDefault="00C37CDC" w:rsidP="00C37CDC">
            <w:pPr>
              <w:pStyle w:val="BodyText"/>
              <w:jc w:val="center"/>
              <w:rPr>
                <w:rFonts w:cs="Arial"/>
                <w:szCs w:val="18"/>
              </w:rPr>
            </w:pPr>
            <m:oMathPara>
              <m:oMath>
                <m:sSup>
                  <m:sSupPr>
                    <m:ctrlPr>
                      <w:rPr>
                        <w:rFonts w:ascii="Cambria Math" w:hAnsi="Cambria Math" w:cs="Arial"/>
                        <w:szCs w:val="18"/>
                      </w:rPr>
                    </m:ctrlPr>
                  </m:sSupPr>
                  <m:e>
                    <m:r>
                      <w:rPr>
                        <w:rFonts w:ascii="Cambria Math" w:hAnsi="Cambria Math" w:cs="Arial"/>
                        <w:szCs w:val="18"/>
                      </w:rPr>
                      <m:t>n</m:t>
                    </m:r>
                  </m:e>
                  <m:sup>
                    <m:r>
                      <w:rPr>
                        <w:rFonts w:ascii="Cambria Math" w:hAnsi="Cambria Math" w:cs="Arial"/>
                        <w:szCs w:val="18"/>
                      </w:rPr>
                      <m:t>HC</m:t>
                    </m:r>
                  </m:sup>
                </m:sSup>
              </m:oMath>
            </m:oMathPara>
          </w:p>
          <w:p w14:paraId="48513620" w14:textId="77777777" w:rsidR="00C37CDC" w:rsidRPr="00D8703F" w:rsidRDefault="00C37CDC" w:rsidP="00C37CDC">
            <w:pPr>
              <w:pStyle w:val="BodyText"/>
              <w:jc w:val="center"/>
              <w:rPr>
                <w:rFonts w:cs="Arial"/>
                <w:szCs w:val="18"/>
              </w:rPr>
            </w:pPr>
          </w:p>
        </w:tc>
        <w:tc>
          <w:tcPr>
            <w:tcW w:w="567" w:type="dxa"/>
            <w:tcBorders>
              <w:top w:val="nil"/>
              <w:bottom w:val="single" w:sz="2" w:space="0" w:color="008000"/>
            </w:tcBorders>
            <w:vAlign w:val="bottom"/>
          </w:tcPr>
          <w:p w14:paraId="6E963394" w14:textId="77777777" w:rsidR="00C37CDC" w:rsidRPr="00D8703F" w:rsidRDefault="00C37CDC" w:rsidP="00C37CDC">
            <w:pPr>
              <w:pStyle w:val="BodyText"/>
              <w:jc w:val="center"/>
              <w:rPr>
                <w:rFonts w:cs="Arial"/>
                <w:szCs w:val="18"/>
              </w:rPr>
            </w:pPr>
            <m:oMathPara>
              <m:oMath>
                <m:sSup>
                  <m:sSupPr>
                    <m:ctrlPr>
                      <w:rPr>
                        <w:rFonts w:ascii="Cambria Math" w:hAnsi="Cambria Math" w:cs="Arial"/>
                        <w:szCs w:val="18"/>
                      </w:rPr>
                    </m:ctrlPr>
                  </m:sSupPr>
                  <m:e>
                    <m:r>
                      <w:rPr>
                        <w:rFonts w:ascii="Cambria Math" w:hAnsi="Cambria Math" w:cs="Arial"/>
                        <w:szCs w:val="18"/>
                      </w:rPr>
                      <m:t>d</m:t>
                    </m:r>
                  </m:e>
                  <m:sup>
                    <m:r>
                      <w:rPr>
                        <w:rFonts w:ascii="Cambria Math" w:hAnsi="Cambria Math" w:cs="Arial"/>
                        <w:szCs w:val="18"/>
                      </w:rPr>
                      <m:t>HC</m:t>
                    </m:r>
                  </m:sup>
                </m:sSup>
              </m:oMath>
            </m:oMathPara>
          </w:p>
          <w:p w14:paraId="13459953" w14:textId="77777777" w:rsidR="00C37CDC" w:rsidRPr="00D8703F" w:rsidRDefault="00C37CDC" w:rsidP="00C37CDC">
            <w:pPr>
              <w:pStyle w:val="BodyText"/>
              <w:jc w:val="center"/>
              <w:rPr>
                <w:rFonts w:cs="Arial"/>
                <w:szCs w:val="18"/>
              </w:rPr>
            </w:pPr>
            <m:oMathPara>
              <m:oMath>
                <m:r>
                  <w:rPr>
                    <w:rFonts w:ascii="Cambria Math" w:hAnsi="Cambria Math"/>
                  </w:rPr>
                  <m:t>m</m:t>
                </m:r>
              </m:oMath>
            </m:oMathPara>
          </w:p>
        </w:tc>
        <w:tc>
          <w:tcPr>
            <w:tcW w:w="425" w:type="dxa"/>
            <w:tcBorders>
              <w:top w:val="nil"/>
              <w:bottom w:val="single" w:sz="2" w:space="0" w:color="008000"/>
            </w:tcBorders>
            <w:vAlign w:val="bottom"/>
          </w:tcPr>
          <w:p w14:paraId="7017AFA2" w14:textId="77777777" w:rsidR="00C37CDC" w:rsidRPr="00D8703F" w:rsidRDefault="00C37CDC" w:rsidP="00C37CDC">
            <w:pPr>
              <w:pStyle w:val="BodyText"/>
              <w:jc w:val="center"/>
              <w:rPr>
                <w:rFonts w:cs="Arial"/>
                <w:szCs w:val="18"/>
              </w:rPr>
            </w:pPr>
            <m:oMathPara>
              <m:oMath>
                <m:sSup>
                  <m:sSupPr>
                    <m:ctrlPr>
                      <w:rPr>
                        <w:rFonts w:ascii="Cambria Math" w:hAnsi="Cambria Math" w:cs="Arial"/>
                        <w:szCs w:val="18"/>
                      </w:rPr>
                    </m:ctrlPr>
                  </m:sSupPr>
                  <m:e>
                    <m:r>
                      <w:rPr>
                        <w:rFonts w:ascii="Cambria Math" w:hAnsi="Cambria Math" w:cs="Arial"/>
                        <w:szCs w:val="18"/>
                      </w:rPr>
                      <m:t>n</m:t>
                    </m:r>
                  </m:e>
                  <m:sup>
                    <m:r>
                      <w:rPr>
                        <w:rFonts w:ascii="Cambria Math" w:hAnsi="Cambria Math" w:cs="Arial"/>
                        <w:szCs w:val="18"/>
                      </w:rPr>
                      <m:t>IGF</m:t>
                    </m:r>
                  </m:sup>
                </m:sSup>
              </m:oMath>
            </m:oMathPara>
          </w:p>
          <w:p w14:paraId="57B9D9AE" w14:textId="77777777" w:rsidR="00C37CDC" w:rsidRPr="00D8703F" w:rsidRDefault="00C37CDC" w:rsidP="00C37CDC">
            <w:pPr>
              <w:pStyle w:val="BodyText"/>
              <w:jc w:val="center"/>
              <w:rPr>
                <w:rFonts w:cs="Arial"/>
                <w:szCs w:val="18"/>
              </w:rPr>
            </w:pPr>
          </w:p>
        </w:tc>
        <w:tc>
          <w:tcPr>
            <w:tcW w:w="567" w:type="dxa"/>
            <w:tcBorders>
              <w:top w:val="nil"/>
              <w:bottom w:val="single" w:sz="2" w:space="0" w:color="008000"/>
            </w:tcBorders>
            <w:vAlign w:val="bottom"/>
          </w:tcPr>
          <w:p w14:paraId="0FE0BD8F" w14:textId="77777777" w:rsidR="00C37CDC" w:rsidRPr="00D8703F" w:rsidRDefault="00C37CDC" w:rsidP="00C37CDC">
            <w:pPr>
              <w:pStyle w:val="BodyText"/>
              <w:jc w:val="center"/>
              <w:rPr>
                <w:rFonts w:cs="Arial"/>
                <w:szCs w:val="18"/>
              </w:rPr>
            </w:pPr>
            <m:oMathPara>
              <m:oMath>
                <m:sSup>
                  <m:sSupPr>
                    <m:ctrlPr>
                      <w:rPr>
                        <w:rFonts w:ascii="Cambria Math" w:hAnsi="Cambria Math" w:cs="Arial"/>
                        <w:szCs w:val="18"/>
                      </w:rPr>
                    </m:ctrlPr>
                  </m:sSupPr>
                  <m:e>
                    <m:r>
                      <w:rPr>
                        <w:rFonts w:ascii="Cambria Math" w:hAnsi="Cambria Math" w:cs="Arial"/>
                        <w:szCs w:val="18"/>
                      </w:rPr>
                      <m:t>r</m:t>
                    </m:r>
                  </m:e>
                  <m:sup>
                    <m:r>
                      <w:rPr>
                        <w:rFonts w:ascii="Cambria Math" w:hAnsi="Cambria Math" w:cs="Arial"/>
                        <w:szCs w:val="18"/>
                      </w:rPr>
                      <m:t>IGF</m:t>
                    </m:r>
                  </m:sup>
                </m:sSup>
              </m:oMath>
            </m:oMathPara>
          </w:p>
          <w:p w14:paraId="3BD4C628" w14:textId="77777777" w:rsidR="00C37CDC" w:rsidRPr="00D8703F" w:rsidRDefault="00C37CDC" w:rsidP="00C37CDC">
            <w:pPr>
              <w:pStyle w:val="BodyText"/>
              <w:jc w:val="center"/>
              <w:rPr>
                <w:rFonts w:cs="Arial"/>
                <w:szCs w:val="18"/>
              </w:rPr>
            </w:pPr>
            <m:oMathPara>
              <m:oMath>
                <m:r>
                  <w:rPr>
                    <w:rFonts w:ascii="Cambria Math" w:hAnsi="Cambria Math"/>
                  </w:rPr>
                  <m:t>m</m:t>
                </m:r>
              </m:oMath>
            </m:oMathPara>
          </w:p>
        </w:tc>
        <w:tc>
          <w:tcPr>
            <w:tcW w:w="567" w:type="dxa"/>
            <w:tcBorders>
              <w:top w:val="nil"/>
              <w:bottom w:val="single" w:sz="2" w:space="0" w:color="008000"/>
            </w:tcBorders>
            <w:vAlign w:val="bottom"/>
          </w:tcPr>
          <w:p w14:paraId="6CC2B0A3" w14:textId="77777777" w:rsidR="00C37CDC" w:rsidRPr="00D8703F" w:rsidRDefault="00C37CDC" w:rsidP="00C37CDC">
            <w:pPr>
              <w:pStyle w:val="BodyText"/>
              <w:jc w:val="center"/>
              <w:rPr>
                <w:rFonts w:cs="Arial"/>
                <w:szCs w:val="18"/>
              </w:rPr>
            </w:pPr>
            <m:oMathPara>
              <m:oMath>
                <m:sSup>
                  <m:sSupPr>
                    <m:ctrlPr>
                      <w:rPr>
                        <w:rFonts w:ascii="Cambria Math" w:hAnsi="Cambria Math" w:cs="Arial"/>
                        <w:szCs w:val="18"/>
                      </w:rPr>
                    </m:ctrlPr>
                  </m:sSupPr>
                  <m:e>
                    <m:r>
                      <w:rPr>
                        <w:rFonts w:ascii="Cambria Math" w:hAnsi="Cambria Math" w:cs="Arial"/>
                        <w:szCs w:val="18"/>
                      </w:rPr>
                      <m:t>h</m:t>
                    </m:r>
                  </m:e>
                  <m:sup>
                    <m:r>
                      <w:rPr>
                        <w:rFonts w:ascii="Cambria Math" w:hAnsi="Cambria Math" w:cs="Arial"/>
                        <w:szCs w:val="18"/>
                      </w:rPr>
                      <m:t>IGF</m:t>
                    </m:r>
                  </m:sup>
                </m:sSup>
              </m:oMath>
            </m:oMathPara>
          </w:p>
          <w:p w14:paraId="03FF61B1" w14:textId="77777777" w:rsidR="00C37CDC" w:rsidRPr="00D8703F" w:rsidRDefault="00C37CDC" w:rsidP="00C37CDC">
            <w:pPr>
              <w:pStyle w:val="BodyText"/>
              <w:jc w:val="center"/>
              <w:rPr>
                <w:rFonts w:cs="Arial"/>
                <w:szCs w:val="18"/>
              </w:rPr>
            </w:pPr>
            <m:oMathPara>
              <m:oMath>
                <m:r>
                  <w:rPr>
                    <w:rFonts w:ascii="Cambria Math" w:hAnsi="Cambria Math"/>
                  </w:rPr>
                  <m:t>m</m:t>
                </m:r>
              </m:oMath>
            </m:oMathPara>
          </w:p>
        </w:tc>
        <w:tc>
          <w:tcPr>
            <w:tcW w:w="981" w:type="dxa"/>
            <w:tcBorders>
              <w:top w:val="nil"/>
              <w:bottom w:val="single" w:sz="2" w:space="0" w:color="008000"/>
            </w:tcBorders>
            <w:vAlign w:val="bottom"/>
          </w:tcPr>
          <w:p w14:paraId="77537C2B" w14:textId="77777777" w:rsidR="00C37CDC" w:rsidRPr="00D8703F" w:rsidRDefault="00C37CDC" w:rsidP="00C37CDC">
            <w:pPr>
              <w:pStyle w:val="BodyText"/>
              <w:jc w:val="center"/>
              <w:rPr>
                <w:rFonts w:cs="Arial"/>
                <w:szCs w:val="18"/>
              </w:rPr>
            </w:pPr>
            <m:oMathPara>
              <m:oMath>
                <m:r>
                  <m:rPr>
                    <m:sty m:val="p"/>
                  </m:rPr>
                  <w:rPr>
                    <w:rFonts w:ascii="Cambria Math" w:hAnsi="Cambria Math" w:cs="Arial"/>
                    <w:szCs w:val="18"/>
                  </w:rPr>
                  <m:t>Qg</m:t>
                </m:r>
              </m:oMath>
            </m:oMathPara>
          </w:p>
          <w:p w14:paraId="58CF78A7" w14:textId="77777777" w:rsidR="00C37CDC" w:rsidRPr="00D8703F" w:rsidRDefault="00C37CDC" w:rsidP="00C37CDC">
            <w:pPr>
              <w:pStyle w:val="BodyText"/>
              <w:jc w:val="center"/>
              <w:rPr>
                <w:rFonts w:cs="Arial"/>
                <w:szCs w:val="18"/>
                <w:vertAlign w:val="superscript"/>
              </w:rPr>
            </w:pPr>
            <m:oMath>
              <m:r>
                <w:rPr>
                  <w:rFonts w:ascii="Cambria Math" w:hAnsi="Cambria Math"/>
                </w:rPr>
                <m:t>m</m:t>
              </m:r>
            </m:oMath>
            <w:r w:rsidRPr="00D8703F">
              <w:rPr>
                <w:rFonts w:cs="Arial"/>
                <w:szCs w:val="18"/>
                <w:vertAlign w:val="superscript"/>
              </w:rPr>
              <w:t xml:space="preserve"> 3 </w:t>
            </w:r>
            <w:r w:rsidRPr="00D8703F">
              <w:rPr>
                <w:rFonts w:cs="Arial"/>
                <w:szCs w:val="18"/>
              </w:rPr>
              <w:t>s</w:t>
            </w:r>
            <w:r w:rsidRPr="00D8703F">
              <w:rPr>
                <w:rFonts w:cs="Arial"/>
                <w:szCs w:val="18"/>
                <w:vertAlign w:val="superscript"/>
              </w:rPr>
              <w:t>-1</w:t>
            </w:r>
          </w:p>
        </w:tc>
      </w:tr>
      <w:tr w:rsidR="00C37CDC" w:rsidRPr="00BA4D1B" w14:paraId="6423293B" w14:textId="77777777" w:rsidTr="00C37CDC">
        <w:tc>
          <w:tcPr>
            <w:tcW w:w="1134" w:type="dxa"/>
            <w:tcBorders>
              <w:top w:val="single" w:sz="2" w:space="0" w:color="008000"/>
            </w:tcBorders>
          </w:tcPr>
          <w:p w14:paraId="071B53D5" w14:textId="77777777" w:rsidR="00C37CDC" w:rsidRPr="00F41E36" w:rsidRDefault="00C37CDC" w:rsidP="00C37CDC">
            <w:pPr>
              <w:pStyle w:val="BodyText"/>
              <w:rPr>
                <w:szCs w:val="18"/>
              </w:rPr>
            </w:pPr>
            <w:r w:rsidRPr="00F41E36">
              <w:rPr>
                <w:szCs w:val="18"/>
              </w:rPr>
              <w:t>2,644,501</w:t>
            </w:r>
          </w:p>
        </w:tc>
        <w:tc>
          <w:tcPr>
            <w:tcW w:w="988" w:type="dxa"/>
            <w:tcBorders>
              <w:top w:val="single" w:sz="2" w:space="0" w:color="008000"/>
            </w:tcBorders>
          </w:tcPr>
          <w:p w14:paraId="3E6BBE83" w14:textId="77777777" w:rsidR="00C37CDC" w:rsidRPr="00F41E36" w:rsidRDefault="00C37CDC" w:rsidP="00C37CDC">
            <w:pPr>
              <w:pStyle w:val="BodyText"/>
              <w:rPr>
                <w:szCs w:val="18"/>
              </w:rPr>
            </w:pPr>
            <w:r w:rsidRPr="00F41E36">
              <w:rPr>
                <w:szCs w:val="18"/>
              </w:rPr>
              <w:t>134,087</w:t>
            </w:r>
          </w:p>
        </w:tc>
        <w:tc>
          <w:tcPr>
            <w:tcW w:w="905" w:type="dxa"/>
            <w:tcBorders>
              <w:top w:val="single" w:sz="2" w:space="0" w:color="008000"/>
            </w:tcBorders>
          </w:tcPr>
          <w:p w14:paraId="467880E8" w14:textId="77777777" w:rsidR="00C37CDC" w:rsidRPr="00F41E36" w:rsidRDefault="00C37CDC" w:rsidP="00C37CDC">
            <w:pPr>
              <w:pStyle w:val="BodyText"/>
              <w:jc w:val="center"/>
              <w:rPr>
                <w:szCs w:val="18"/>
              </w:rPr>
            </w:pPr>
            <w:r w:rsidRPr="00F41E36">
              <w:rPr>
                <w:szCs w:val="18"/>
              </w:rPr>
              <w:t>CPI, IGF, HC</w:t>
            </w:r>
          </w:p>
        </w:tc>
        <w:tc>
          <w:tcPr>
            <w:tcW w:w="586" w:type="dxa"/>
            <w:tcBorders>
              <w:top w:val="single" w:sz="2" w:space="0" w:color="008000"/>
            </w:tcBorders>
          </w:tcPr>
          <w:p w14:paraId="17F60B8A" w14:textId="77777777" w:rsidR="00C37CDC" w:rsidRPr="00F41E36" w:rsidRDefault="00C37CDC" w:rsidP="00C37CDC">
            <w:pPr>
              <w:pStyle w:val="BodyText"/>
              <w:rPr>
                <w:szCs w:val="18"/>
              </w:rPr>
            </w:pPr>
            <w:r w:rsidRPr="00F41E36">
              <w:rPr>
                <w:szCs w:val="18"/>
              </w:rPr>
              <w:t>45.7</w:t>
            </w:r>
          </w:p>
        </w:tc>
        <w:tc>
          <w:tcPr>
            <w:tcW w:w="513" w:type="dxa"/>
            <w:tcBorders>
              <w:top w:val="single" w:sz="2" w:space="0" w:color="008000"/>
            </w:tcBorders>
          </w:tcPr>
          <w:p w14:paraId="55257D01" w14:textId="77777777" w:rsidR="00C37CDC" w:rsidRPr="00F41E36" w:rsidRDefault="00C37CDC" w:rsidP="00C37CDC">
            <w:pPr>
              <w:pStyle w:val="BodyText"/>
              <w:rPr>
                <w:szCs w:val="18"/>
              </w:rPr>
            </w:pPr>
            <w:r w:rsidRPr="00F41E36">
              <w:rPr>
                <w:szCs w:val="18"/>
              </w:rPr>
              <w:t>3.5</w:t>
            </w:r>
          </w:p>
        </w:tc>
        <w:tc>
          <w:tcPr>
            <w:tcW w:w="569" w:type="dxa"/>
            <w:tcBorders>
              <w:top w:val="single" w:sz="2" w:space="0" w:color="008000"/>
            </w:tcBorders>
          </w:tcPr>
          <w:p w14:paraId="1A398155" w14:textId="77777777" w:rsidR="00C37CDC" w:rsidRPr="00F41E36" w:rsidRDefault="00C37CDC" w:rsidP="00C37CDC">
            <w:pPr>
              <w:pStyle w:val="BodyText"/>
              <w:rPr>
                <w:szCs w:val="18"/>
              </w:rPr>
            </w:pPr>
            <w:r w:rsidRPr="00F41E36">
              <w:rPr>
                <w:szCs w:val="18"/>
              </w:rPr>
              <w:t>1.9</w:t>
            </w:r>
          </w:p>
        </w:tc>
        <w:tc>
          <w:tcPr>
            <w:tcW w:w="692" w:type="dxa"/>
            <w:tcBorders>
              <w:top w:val="single" w:sz="2" w:space="0" w:color="008000"/>
            </w:tcBorders>
          </w:tcPr>
          <w:p w14:paraId="2B2357EC" w14:textId="77777777" w:rsidR="00C37CDC" w:rsidRPr="00F41E36" w:rsidRDefault="00C37CDC" w:rsidP="00C37CDC">
            <w:pPr>
              <w:pStyle w:val="BodyText"/>
              <w:rPr>
                <w:szCs w:val="18"/>
              </w:rPr>
            </w:pPr>
            <w:r w:rsidRPr="00F41E36">
              <w:rPr>
                <w:szCs w:val="18"/>
              </w:rPr>
              <w:t>0.015</w:t>
            </w:r>
          </w:p>
        </w:tc>
        <w:tc>
          <w:tcPr>
            <w:tcW w:w="425" w:type="dxa"/>
            <w:tcBorders>
              <w:top w:val="single" w:sz="2" w:space="0" w:color="008000"/>
            </w:tcBorders>
          </w:tcPr>
          <w:p w14:paraId="05F0BB80" w14:textId="77777777" w:rsidR="00C37CDC" w:rsidRPr="00F41E36" w:rsidRDefault="00C37CDC" w:rsidP="00C37CDC">
            <w:pPr>
              <w:pStyle w:val="BodyText"/>
              <w:rPr>
                <w:szCs w:val="18"/>
              </w:rPr>
            </w:pPr>
            <w:r w:rsidRPr="00F41E36">
              <w:rPr>
                <w:szCs w:val="18"/>
              </w:rPr>
              <w:t>7</w:t>
            </w:r>
          </w:p>
        </w:tc>
        <w:tc>
          <w:tcPr>
            <w:tcW w:w="567" w:type="dxa"/>
            <w:tcBorders>
              <w:top w:val="single" w:sz="2" w:space="0" w:color="008000"/>
            </w:tcBorders>
          </w:tcPr>
          <w:p w14:paraId="7F55CAE7" w14:textId="77777777" w:rsidR="00C37CDC" w:rsidRPr="00F41E36" w:rsidRDefault="00C37CDC" w:rsidP="00C37CDC">
            <w:pPr>
              <w:pStyle w:val="BodyText"/>
              <w:rPr>
                <w:szCs w:val="18"/>
              </w:rPr>
            </w:pPr>
            <w:r w:rsidRPr="00F41E36">
              <w:rPr>
                <w:szCs w:val="18"/>
              </w:rPr>
              <w:t>0.51</w:t>
            </w:r>
          </w:p>
        </w:tc>
        <w:tc>
          <w:tcPr>
            <w:tcW w:w="425" w:type="dxa"/>
            <w:tcBorders>
              <w:top w:val="single" w:sz="2" w:space="0" w:color="008000"/>
            </w:tcBorders>
          </w:tcPr>
          <w:p w14:paraId="195602F8" w14:textId="77777777" w:rsidR="00C37CDC" w:rsidRPr="00F41E36" w:rsidRDefault="00C37CDC" w:rsidP="00C37CDC">
            <w:pPr>
              <w:pStyle w:val="BodyText"/>
              <w:rPr>
                <w:szCs w:val="18"/>
              </w:rPr>
            </w:pPr>
            <w:r w:rsidRPr="00F41E36">
              <w:rPr>
                <w:szCs w:val="18"/>
              </w:rPr>
              <w:t>4</w:t>
            </w:r>
          </w:p>
        </w:tc>
        <w:tc>
          <w:tcPr>
            <w:tcW w:w="567" w:type="dxa"/>
            <w:tcBorders>
              <w:top w:val="single" w:sz="2" w:space="0" w:color="008000"/>
            </w:tcBorders>
          </w:tcPr>
          <w:p w14:paraId="13BCB219" w14:textId="77777777" w:rsidR="00C37CDC" w:rsidRPr="00F41E36" w:rsidRDefault="00C37CDC" w:rsidP="00C37CDC">
            <w:pPr>
              <w:pStyle w:val="BodyText"/>
              <w:rPr>
                <w:szCs w:val="18"/>
              </w:rPr>
            </w:pPr>
            <w:r w:rsidRPr="00F41E36">
              <w:rPr>
                <w:szCs w:val="18"/>
              </w:rPr>
              <w:t>1.7</w:t>
            </w:r>
          </w:p>
        </w:tc>
        <w:tc>
          <w:tcPr>
            <w:tcW w:w="567" w:type="dxa"/>
            <w:tcBorders>
              <w:top w:val="single" w:sz="2" w:space="0" w:color="008000"/>
            </w:tcBorders>
          </w:tcPr>
          <w:p w14:paraId="49091FEE" w14:textId="77777777" w:rsidR="00C37CDC" w:rsidRPr="00F41E36" w:rsidRDefault="00C37CDC" w:rsidP="00C37CDC">
            <w:pPr>
              <w:pStyle w:val="BodyText"/>
              <w:rPr>
                <w:szCs w:val="18"/>
              </w:rPr>
            </w:pPr>
            <w:r w:rsidRPr="00F41E36">
              <w:rPr>
                <w:szCs w:val="18"/>
              </w:rPr>
              <w:t>0.5</w:t>
            </w:r>
          </w:p>
        </w:tc>
        <w:tc>
          <w:tcPr>
            <w:tcW w:w="981" w:type="dxa"/>
            <w:tcBorders>
              <w:top w:val="single" w:sz="2" w:space="0" w:color="008000"/>
            </w:tcBorders>
          </w:tcPr>
          <w:p w14:paraId="7E1AC5CC" w14:textId="77777777" w:rsidR="00C37CDC" w:rsidRPr="00F41E36" w:rsidRDefault="00C37CDC" w:rsidP="00C37CDC">
            <w:pPr>
              <w:pStyle w:val="BodyText"/>
              <w:rPr>
                <w:szCs w:val="18"/>
              </w:rPr>
            </w:pPr>
            <w:r w:rsidRPr="00F41E36">
              <w:rPr>
                <w:szCs w:val="18"/>
              </w:rPr>
              <w:t>0.00002</w:t>
            </w:r>
          </w:p>
        </w:tc>
      </w:tr>
      <w:tr w:rsidR="00C37CDC" w:rsidRPr="00BA4D1B" w14:paraId="3D51CA8A" w14:textId="77777777" w:rsidTr="00C37CDC">
        <w:tc>
          <w:tcPr>
            <w:tcW w:w="1134" w:type="dxa"/>
          </w:tcPr>
          <w:p w14:paraId="33F19BAB" w14:textId="77777777" w:rsidR="00C37CDC" w:rsidRPr="00F41E36" w:rsidRDefault="00C37CDC" w:rsidP="00C37CDC">
            <w:pPr>
              <w:pStyle w:val="BodyText"/>
              <w:rPr>
                <w:szCs w:val="18"/>
              </w:rPr>
            </w:pPr>
            <w:r w:rsidRPr="00F41E36">
              <w:rPr>
                <w:szCs w:val="18"/>
              </w:rPr>
              <w:t>2,522,537</w:t>
            </w:r>
          </w:p>
        </w:tc>
        <w:tc>
          <w:tcPr>
            <w:tcW w:w="988" w:type="dxa"/>
          </w:tcPr>
          <w:p w14:paraId="56EDC3CA" w14:textId="77777777" w:rsidR="00C37CDC" w:rsidRPr="00F41E36" w:rsidRDefault="00C37CDC" w:rsidP="00C37CDC">
            <w:pPr>
              <w:pStyle w:val="BodyText"/>
              <w:rPr>
                <w:szCs w:val="18"/>
              </w:rPr>
            </w:pPr>
            <w:r w:rsidRPr="00F41E36">
              <w:rPr>
                <w:szCs w:val="18"/>
              </w:rPr>
              <w:t>154,444</w:t>
            </w:r>
          </w:p>
        </w:tc>
        <w:tc>
          <w:tcPr>
            <w:tcW w:w="905" w:type="dxa"/>
          </w:tcPr>
          <w:p w14:paraId="7A7CFFF6" w14:textId="77777777" w:rsidR="00C37CDC" w:rsidRPr="00F41E36" w:rsidRDefault="00C37CDC" w:rsidP="00C37CDC">
            <w:pPr>
              <w:pStyle w:val="BodyText"/>
              <w:jc w:val="center"/>
              <w:rPr>
                <w:szCs w:val="18"/>
              </w:rPr>
            </w:pPr>
            <w:r w:rsidRPr="00F41E36">
              <w:rPr>
                <w:szCs w:val="18"/>
              </w:rPr>
              <w:t>CPI, IGF, HC</w:t>
            </w:r>
          </w:p>
        </w:tc>
        <w:tc>
          <w:tcPr>
            <w:tcW w:w="586" w:type="dxa"/>
          </w:tcPr>
          <w:p w14:paraId="28746991" w14:textId="77777777" w:rsidR="00C37CDC" w:rsidRPr="00F41E36" w:rsidRDefault="00C37CDC" w:rsidP="00C37CDC">
            <w:pPr>
              <w:pStyle w:val="BodyText"/>
              <w:rPr>
                <w:szCs w:val="18"/>
              </w:rPr>
            </w:pPr>
            <w:r w:rsidRPr="00F41E36">
              <w:rPr>
                <w:szCs w:val="18"/>
              </w:rPr>
              <w:t>49.3</w:t>
            </w:r>
          </w:p>
        </w:tc>
        <w:tc>
          <w:tcPr>
            <w:tcW w:w="513" w:type="dxa"/>
          </w:tcPr>
          <w:p w14:paraId="1502BA6B" w14:textId="77777777" w:rsidR="00C37CDC" w:rsidRPr="00F41E36" w:rsidRDefault="00C37CDC" w:rsidP="00C37CDC">
            <w:pPr>
              <w:pStyle w:val="BodyText"/>
              <w:rPr>
                <w:szCs w:val="18"/>
              </w:rPr>
            </w:pPr>
            <w:r w:rsidRPr="00F41E36">
              <w:rPr>
                <w:szCs w:val="18"/>
              </w:rPr>
              <w:t>4.3</w:t>
            </w:r>
          </w:p>
        </w:tc>
        <w:tc>
          <w:tcPr>
            <w:tcW w:w="569" w:type="dxa"/>
          </w:tcPr>
          <w:p w14:paraId="24B64D13" w14:textId="77777777" w:rsidR="00C37CDC" w:rsidRPr="00F41E36" w:rsidRDefault="00C37CDC" w:rsidP="00C37CDC">
            <w:pPr>
              <w:pStyle w:val="BodyText"/>
              <w:rPr>
                <w:szCs w:val="18"/>
              </w:rPr>
            </w:pPr>
            <w:r w:rsidRPr="00F41E36">
              <w:rPr>
                <w:szCs w:val="18"/>
              </w:rPr>
              <w:t>5.1</w:t>
            </w:r>
          </w:p>
        </w:tc>
        <w:tc>
          <w:tcPr>
            <w:tcW w:w="692" w:type="dxa"/>
          </w:tcPr>
          <w:p w14:paraId="00B7A035" w14:textId="77777777" w:rsidR="00C37CDC" w:rsidRPr="00F41E36" w:rsidRDefault="00C37CDC" w:rsidP="00C37CDC">
            <w:pPr>
              <w:pStyle w:val="BodyText"/>
              <w:rPr>
                <w:szCs w:val="18"/>
              </w:rPr>
            </w:pPr>
            <w:r w:rsidRPr="00F41E36">
              <w:rPr>
                <w:szCs w:val="18"/>
              </w:rPr>
              <w:t>0.012</w:t>
            </w:r>
          </w:p>
        </w:tc>
        <w:tc>
          <w:tcPr>
            <w:tcW w:w="425" w:type="dxa"/>
          </w:tcPr>
          <w:p w14:paraId="1F89BD9D" w14:textId="77777777" w:rsidR="00C37CDC" w:rsidRPr="00F41E36" w:rsidRDefault="00C37CDC" w:rsidP="00C37CDC">
            <w:pPr>
              <w:pStyle w:val="BodyText"/>
              <w:rPr>
                <w:szCs w:val="18"/>
              </w:rPr>
            </w:pPr>
            <w:r w:rsidRPr="00F41E36">
              <w:rPr>
                <w:szCs w:val="18"/>
              </w:rPr>
              <w:t>1</w:t>
            </w:r>
          </w:p>
        </w:tc>
        <w:tc>
          <w:tcPr>
            <w:tcW w:w="567" w:type="dxa"/>
          </w:tcPr>
          <w:p w14:paraId="023BF7E6" w14:textId="77777777" w:rsidR="00C37CDC" w:rsidRPr="00F41E36" w:rsidRDefault="00C37CDC" w:rsidP="00C37CDC">
            <w:pPr>
              <w:pStyle w:val="BodyText"/>
              <w:rPr>
                <w:szCs w:val="18"/>
              </w:rPr>
            </w:pPr>
            <w:r w:rsidRPr="00F41E36">
              <w:rPr>
                <w:szCs w:val="18"/>
              </w:rPr>
              <w:t>0.90</w:t>
            </w:r>
          </w:p>
        </w:tc>
        <w:tc>
          <w:tcPr>
            <w:tcW w:w="425" w:type="dxa"/>
          </w:tcPr>
          <w:p w14:paraId="51A1D296" w14:textId="77777777" w:rsidR="00C37CDC" w:rsidRPr="00F41E36" w:rsidRDefault="00C37CDC" w:rsidP="00C37CDC">
            <w:pPr>
              <w:pStyle w:val="BodyText"/>
              <w:rPr>
                <w:szCs w:val="18"/>
              </w:rPr>
            </w:pPr>
            <w:r w:rsidRPr="00F41E36">
              <w:rPr>
                <w:szCs w:val="18"/>
              </w:rPr>
              <w:t>2</w:t>
            </w:r>
          </w:p>
        </w:tc>
        <w:tc>
          <w:tcPr>
            <w:tcW w:w="567" w:type="dxa"/>
          </w:tcPr>
          <w:p w14:paraId="4818A424" w14:textId="77777777" w:rsidR="00C37CDC" w:rsidRPr="00F41E36" w:rsidRDefault="00C37CDC" w:rsidP="00C37CDC">
            <w:pPr>
              <w:pStyle w:val="BodyText"/>
              <w:rPr>
                <w:szCs w:val="18"/>
              </w:rPr>
            </w:pPr>
            <w:r w:rsidRPr="00F41E36">
              <w:rPr>
                <w:szCs w:val="18"/>
              </w:rPr>
              <w:t>1.5</w:t>
            </w:r>
          </w:p>
        </w:tc>
        <w:tc>
          <w:tcPr>
            <w:tcW w:w="567" w:type="dxa"/>
          </w:tcPr>
          <w:p w14:paraId="745DD17E" w14:textId="77777777" w:rsidR="00C37CDC" w:rsidRPr="00F41E36" w:rsidRDefault="00C37CDC" w:rsidP="00C37CDC">
            <w:pPr>
              <w:pStyle w:val="BodyText"/>
              <w:rPr>
                <w:szCs w:val="18"/>
              </w:rPr>
            </w:pPr>
            <w:r w:rsidRPr="00F41E36">
              <w:rPr>
                <w:szCs w:val="18"/>
              </w:rPr>
              <w:t>0.5</w:t>
            </w:r>
          </w:p>
        </w:tc>
        <w:tc>
          <w:tcPr>
            <w:tcW w:w="981" w:type="dxa"/>
          </w:tcPr>
          <w:p w14:paraId="4E3AB580" w14:textId="77777777" w:rsidR="00C37CDC" w:rsidRPr="00F41E36" w:rsidRDefault="00C37CDC" w:rsidP="00C37CDC">
            <w:pPr>
              <w:pStyle w:val="BodyText"/>
              <w:rPr>
                <w:szCs w:val="18"/>
              </w:rPr>
            </w:pPr>
            <w:r w:rsidRPr="00F41E36">
              <w:rPr>
                <w:szCs w:val="18"/>
              </w:rPr>
              <w:t>0.00004</w:t>
            </w:r>
          </w:p>
        </w:tc>
      </w:tr>
      <w:tr w:rsidR="00C37CDC" w:rsidRPr="00BA4D1B" w14:paraId="33EA8AFD" w14:textId="77777777" w:rsidTr="00C37CDC">
        <w:tc>
          <w:tcPr>
            <w:tcW w:w="1134" w:type="dxa"/>
          </w:tcPr>
          <w:p w14:paraId="05D3DE36" w14:textId="77777777" w:rsidR="00C37CDC" w:rsidRPr="00F41E36" w:rsidRDefault="00C37CDC" w:rsidP="00C37CDC">
            <w:pPr>
              <w:pStyle w:val="BodyText"/>
              <w:rPr>
                <w:szCs w:val="18"/>
              </w:rPr>
            </w:pPr>
            <w:r w:rsidRPr="00F41E36">
              <w:rPr>
                <w:szCs w:val="18"/>
              </w:rPr>
              <w:t>2,710,370</w:t>
            </w:r>
          </w:p>
        </w:tc>
        <w:tc>
          <w:tcPr>
            <w:tcW w:w="988" w:type="dxa"/>
          </w:tcPr>
          <w:p w14:paraId="2C007B6F" w14:textId="77777777" w:rsidR="00C37CDC" w:rsidRPr="00F41E36" w:rsidRDefault="00C37CDC" w:rsidP="00C37CDC">
            <w:pPr>
              <w:pStyle w:val="BodyText"/>
              <w:rPr>
                <w:szCs w:val="18"/>
              </w:rPr>
            </w:pPr>
            <w:r w:rsidRPr="00F41E36">
              <w:rPr>
                <w:szCs w:val="18"/>
              </w:rPr>
              <w:t>127,655</w:t>
            </w:r>
          </w:p>
        </w:tc>
        <w:tc>
          <w:tcPr>
            <w:tcW w:w="905" w:type="dxa"/>
          </w:tcPr>
          <w:p w14:paraId="298C258C" w14:textId="77777777" w:rsidR="00C37CDC" w:rsidRPr="00F41E36" w:rsidRDefault="00C37CDC" w:rsidP="00C37CDC">
            <w:pPr>
              <w:pStyle w:val="BodyText"/>
              <w:rPr>
                <w:szCs w:val="18"/>
              </w:rPr>
            </w:pPr>
            <w:r w:rsidRPr="00F41E36">
              <w:rPr>
                <w:szCs w:val="18"/>
              </w:rPr>
              <w:t>CPI, HC, IGF</w:t>
            </w:r>
          </w:p>
        </w:tc>
        <w:tc>
          <w:tcPr>
            <w:tcW w:w="586" w:type="dxa"/>
          </w:tcPr>
          <w:p w14:paraId="008925A2" w14:textId="77777777" w:rsidR="00C37CDC" w:rsidRPr="00F41E36" w:rsidRDefault="00C37CDC" w:rsidP="00C37CDC">
            <w:pPr>
              <w:pStyle w:val="BodyText"/>
              <w:rPr>
                <w:szCs w:val="18"/>
              </w:rPr>
            </w:pPr>
            <w:r w:rsidRPr="00F41E36">
              <w:rPr>
                <w:szCs w:val="18"/>
              </w:rPr>
              <w:t>49.5</w:t>
            </w:r>
          </w:p>
        </w:tc>
        <w:tc>
          <w:tcPr>
            <w:tcW w:w="513" w:type="dxa"/>
          </w:tcPr>
          <w:p w14:paraId="28756D0D" w14:textId="77777777" w:rsidR="00C37CDC" w:rsidRPr="00F41E36" w:rsidRDefault="00C37CDC" w:rsidP="00C37CDC">
            <w:pPr>
              <w:pStyle w:val="BodyText"/>
              <w:rPr>
                <w:szCs w:val="18"/>
              </w:rPr>
            </w:pPr>
            <w:r w:rsidRPr="00F41E36">
              <w:rPr>
                <w:szCs w:val="18"/>
              </w:rPr>
              <w:t>3.6</w:t>
            </w:r>
          </w:p>
        </w:tc>
        <w:tc>
          <w:tcPr>
            <w:tcW w:w="569" w:type="dxa"/>
          </w:tcPr>
          <w:p w14:paraId="3BE56437" w14:textId="77777777" w:rsidR="00C37CDC" w:rsidRPr="00F41E36" w:rsidRDefault="00C37CDC" w:rsidP="00C37CDC">
            <w:pPr>
              <w:pStyle w:val="BodyText"/>
              <w:rPr>
                <w:szCs w:val="18"/>
              </w:rPr>
            </w:pPr>
            <w:r w:rsidRPr="00F41E36">
              <w:rPr>
                <w:szCs w:val="18"/>
              </w:rPr>
              <w:t>2.6</w:t>
            </w:r>
          </w:p>
        </w:tc>
        <w:tc>
          <w:tcPr>
            <w:tcW w:w="692" w:type="dxa"/>
          </w:tcPr>
          <w:p w14:paraId="6A4264D0" w14:textId="77777777" w:rsidR="00C37CDC" w:rsidRPr="00F41E36" w:rsidRDefault="00C37CDC" w:rsidP="00C37CDC">
            <w:pPr>
              <w:pStyle w:val="BodyText"/>
              <w:rPr>
                <w:szCs w:val="18"/>
              </w:rPr>
            </w:pPr>
            <w:r w:rsidRPr="00F41E36">
              <w:rPr>
                <w:szCs w:val="18"/>
              </w:rPr>
              <w:t>0.012</w:t>
            </w:r>
          </w:p>
        </w:tc>
        <w:tc>
          <w:tcPr>
            <w:tcW w:w="425" w:type="dxa"/>
          </w:tcPr>
          <w:p w14:paraId="10226505" w14:textId="77777777" w:rsidR="00C37CDC" w:rsidRPr="00F41E36" w:rsidRDefault="00C37CDC" w:rsidP="00C37CDC">
            <w:pPr>
              <w:pStyle w:val="BodyText"/>
              <w:rPr>
                <w:szCs w:val="18"/>
              </w:rPr>
            </w:pPr>
            <w:r w:rsidRPr="00F41E36">
              <w:rPr>
                <w:szCs w:val="18"/>
              </w:rPr>
              <w:t>11</w:t>
            </w:r>
          </w:p>
        </w:tc>
        <w:tc>
          <w:tcPr>
            <w:tcW w:w="567" w:type="dxa"/>
          </w:tcPr>
          <w:p w14:paraId="128A220C" w14:textId="77777777" w:rsidR="00C37CDC" w:rsidRPr="00F41E36" w:rsidRDefault="00C37CDC" w:rsidP="00C37CDC">
            <w:pPr>
              <w:pStyle w:val="BodyText"/>
              <w:rPr>
                <w:szCs w:val="18"/>
              </w:rPr>
            </w:pPr>
            <w:r w:rsidRPr="00F41E36">
              <w:rPr>
                <w:szCs w:val="18"/>
              </w:rPr>
              <w:t>0.45</w:t>
            </w:r>
          </w:p>
        </w:tc>
        <w:tc>
          <w:tcPr>
            <w:tcW w:w="425" w:type="dxa"/>
          </w:tcPr>
          <w:p w14:paraId="5848E6CC" w14:textId="77777777" w:rsidR="00C37CDC" w:rsidRPr="00F41E36" w:rsidRDefault="00C37CDC" w:rsidP="00C37CDC">
            <w:pPr>
              <w:pStyle w:val="BodyText"/>
              <w:rPr>
                <w:szCs w:val="18"/>
              </w:rPr>
            </w:pPr>
            <w:r w:rsidRPr="00F41E36">
              <w:rPr>
                <w:szCs w:val="18"/>
              </w:rPr>
              <w:t>4</w:t>
            </w:r>
          </w:p>
        </w:tc>
        <w:tc>
          <w:tcPr>
            <w:tcW w:w="567" w:type="dxa"/>
          </w:tcPr>
          <w:p w14:paraId="7FCB0209" w14:textId="77777777" w:rsidR="00C37CDC" w:rsidRPr="00F41E36" w:rsidRDefault="00C37CDC" w:rsidP="00C37CDC">
            <w:pPr>
              <w:pStyle w:val="BodyText"/>
              <w:rPr>
                <w:szCs w:val="18"/>
              </w:rPr>
            </w:pPr>
            <w:r w:rsidRPr="00F41E36">
              <w:rPr>
                <w:szCs w:val="18"/>
              </w:rPr>
              <w:t>1.5</w:t>
            </w:r>
          </w:p>
        </w:tc>
        <w:tc>
          <w:tcPr>
            <w:tcW w:w="567" w:type="dxa"/>
          </w:tcPr>
          <w:p w14:paraId="2A1A22FC" w14:textId="77777777" w:rsidR="00C37CDC" w:rsidRPr="00F41E36" w:rsidRDefault="00C37CDC" w:rsidP="00C37CDC">
            <w:pPr>
              <w:pStyle w:val="BodyText"/>
              <w:rPr>
                <w:szCs w:val="18"/>
              </w:rPr>
            </w:pPr>
            <w:r w:rsidRPr="00F41E36">
              <w:rPr>
                <w:szCs w:val="18"/>
              </w:rPr>
              <w:t>0.5</w:t>
            </w:r>
          </w:p>
        </w:tc>
        <w:tc>
          <w:tcPr>
            <w:tcW w:w="981" w:type="dxa"/>
          </w:tcPr>
          <w:p w14:paraId="47BCE002" w14:textId="77777777" w:rsidR="00C37CDC" w:rsidRPr="00F41E36" w:rsidRDefault="00C37CDC" w:rsidP="00C37CDC">
            <w:pPr>
              <w:pStyle w:val="BodyText"/>
              <w:rPr>
                <w:szCs w:val="18"/>
              </w:rPr>
            </w:pPr>
            <w:r w:rsidRPr="00F41E36">
              <w:rPr>
                <w:szCs w:val="18"/>
              </w:rPr>
              <w:t>0.00002</w:t>
            </w:r>
          </w:p>
        </w:tc>
      </w:tr>
      <w:tr w:rsidR="00C37CDC" w:rsidRPr="00BA4D1B" w14:paraId="06DD658B" w14:textId="77777777" w:rsidTr="00C37CDC">
        <w:tc>
          <w:tcPr>
            <w:tcW w:w="1134" w:type="dxa"/>
          </w:tcPr>
          <w:p w14:paraId="47E2D2B8" w14:textId="77777777" w:rsidR="00C37CDC" w:rsidRPr="00F41E36" w:rsidRDefault="00C37CDC" w:rsidP="00C37CDC">
            <w:pPr>
              <w:pStyle w:val="BodyText"/>
              <w:rPr>
                <w:szCs w:val="18"/>
              </w:rPr>
            </w:pPr>
            <w:r w:rsidRPr="00F41E36">
              <w:rPr>
                <w:szCs w:val="18"/>
              </w:rPr>
              <w:t>2,638,694</w:t>
            </w:r>
          </w:p>
        </w:tc>
        <w:tc>
          <w:tcPr>
            <w:tcW w:w="988" w:type="dxa"/>
          </w:tcPr>
          <w:p w14:paraId="63BAA945" w14:textId="77777777" w:rsidR="00C37CDC" w:rsidRPr="00F41E36" w:rsidRDefault="00C37CDC" w:rsidP="00C37CDC">
            <w:pPr>
              <w:pStyle w:val="BodyText"/>
              <w:rPr>
                <w:szCs w:val="18"/>
              </w:rPr>
            </w:pPr>
            <w:r w:rsidRPr="00F41E36">
              <w:rPr>
                <w:szCs w:val="18"/>
              </w:rPr>
              <w:t>134,805</w:t>
            </w:r>
          </w:p>
        </w:tc>
        <w:tc>
          <w:tcPr>
            <w:tcW w:w="905" w:type="dxa"/>
          </w:tcPr>
          <w:p w14:paraId="0AFCA066" w14:textId="77777777" w:rsidR="00C37CDC" w:rsidRPr="00F41E36" w:rsidRDefault="00C37CDC" w:rsidP="00C37CDC">
            <w:pPr>
              <w:pStyle w:val="BodyText"/>
              <w:rPr>
                <w:szCs w:val="18"/>
              </w:rPr>
            </w:pPr>
            <w:r w:rsidRPr="00F41E36">
              <w:rPr>
                <w:szCs w:val="18"/>
              </w:rPr>
              <w:t>CPI, IGF, HC</w:t>
            </w:r>
          </w:p>
        </w:tc>
        <w:tc>
          <w:tcPr>
            <w:tcW w:w="586" w:type="dxa"/>
          </w:tcPr>
          <w:p w14:paraId="18A224DA" w14:textId="77777777" w:rsidR="00C37CDC" w:rsidRPr="00F41E36" w:rsidRDefault="00C37CDC" w:rsidP="00C37CDC">
            <w:pPr>
              <w:pStyle w:val="BodyText"/>
              <w:rPr>
                <w:szCs w:val="18"/>
              </w:rPr>
            </w:pPr>
            <w:r w:rsidRPr="00F41E36">
              <w:rPr>
                <w:szCs w:val="18"/>
              </w:rPr>
              <w:t>46.0</w:t>
            </w:r>
          </w:p>
        </w:tc>
        <w:tc>
          <w:tcPr>
            <w:tcW w:w="513" w:type="dxa"/>
          </w:tcPr>
          <w:p w14:paraId="1F6C70BA" w14:textId="77777777" w:rsidR="00C37CDC" w:rsidRPr="00F41E36" w:rsidRDefault="00C37CDC" w:rsidP="00C37CDC">
            <w:pPr>
              <w:pStyle w:val="BodyText"/>
              <w:rPr>
                <w:szCs w:val="18"/>
              </w:rPr>
            </w:pPr>
            <w:r w:rsidRPr="00F41E36">
              <w:rPr>
                <w:szCs w:val="18"/>
              </w:rPr>
              <w:t>3.5</w:t>
            </w:r>
          </w:p>
        </w:tc>
        <w:tc>
          <w:tcPr>
            <w:tcW w:w="569" w:type="dxa"/>
          </w:tcPr>
          <w:p w14:paraId="1E2D4585" w14:textId="77777777" w:rsidR="00C37CDC" w:rsidRPr="00F41E36" w:rsidRDefault="00C37CDC" w:rsidP="00C37CDC">
            <w:pPr>
              <w:pStyle w:val="BodyText"/>
              <w:rPr>
                <w:szCs w:val="18"/>
              </w:rPr>
            </w:pPr>
            <w:r w:rsidRPr="00F41E36">
              <w:rPr>
                <w:szCs w:val="18"/>
              </w:rPr>
              <w:t>2.0</w:t>
            </w:r>
          </w:p>
        </w:tc>
        <w:tc>
          <w:tcPr>
            <w:tcW w:w="692" w:type="dxa"/>
          </w:tcPr>
          <w:p w14:paraId="49D0D0C3" w14:textId="77777777" w:rsidR="00C37CDC" w:rsidRPr="00F41E36" w:rsidRDefault="00C37CDC" w:rsidP="00C37CDC">
            <w:pPr>
              <w:pStyle w:val="BodyText"/>
              <w:rPr>
                <w:szCs w:val="18"/>
              </w:rPr>
            </w:pPr>
            <w:r w:rsidRPr="00F41E36">
              <w:rPr>
                <w:szCs w:val="18"/>
              </w:rPr>
              <w:t>0.015</w:t>
            </w:r>
          </w:p>
        </w:tc>
        <w:tc>
          <w:tcPr>
            <w:tcW w:w="425" w:type="dxa"/>
          </w:tcPr>
          <w:p w14:paraId="6AE5B3AF" w14:textId="77777777" w:rsidR="00C37CDC" w:rsidRPr="00F41E36" w:rsidRDefault="00C37CDC" w:rsidP="00C37CDC">
            <w:pPr>
              <w:pStyle w:val="BodyText"/>
              <w:rPr>
                <w:szCs w:val="18"/>
              </w:rPr>
            </w:pPr>
            <w:r w:rsidRPr="00F41E36">
              <w:rPr>
                <w:szCs w:val="18"/>
              </w:rPr>
              <w:t>7</w:t>
            </w:r>
          </w:p>
        </w:tc>
        <w:tc>
          <w:tcPr>
            <w:tcW w:w="567" w:type="dxa"/>
          </w:tcPr>
          <w:p w14:paraId="092B4188" w14:textId="77777777" w:rsidR="00C37CDC" w:rsidRPr="00F41E36" w:rsidRDefault="00C37CDC" w:rsidP="00C37CDC">
            <w:pPr>
              <w:pStyle w:val="BodyText"/>
              <w:rPr>
                <w:szCs w:val="18"/>
              </w:rPr>
            </w:pPr>
            <w:r w:rsidRPr="00F41E36">
              <w:rPr>
                <w:szCs w:val="18"/>
              </w:rPr>
              <w:t>0.51</w:t>
            </w:r>
          </w:p>
        </w:tc>
        <w:tc>
          <w:tcPr>
            <w:tcW w:w="425" w:type="dxa"/>
          </w:tcPr>
          <w:p w14:paraId="5B7DA2BF" w14:textId="77777777" w:rsidR="00C37CDC" w:rsidRPr="00F41E36" w:rsidRDefault="00C37CDC" w:rsidP="00C37CDC">
            <w:pPr>
              <w:pStyle w:val="BodyText"/>
              <w:rPr>
                <w:szCs w:val="18"/>
              </w:rPr>
            </w:pPr>
            <w:r w:rsidRPr="00F41E36">
              <w:rPr>
                <w:szCs w:val="18"/>
              </w:rPr>
              <w:t>4</w:t>
            </w:r>
          </w:p>
        </w:tc>
        <w:tc>
          <w:tcPr>
            <w:tcW w:w="567" w:type="dxa"/>
          </w:tcPr>
          <w:p w14:paraId="7DD956E5" w14:textId="77777777" w:rsidR="00C37CDC" w:rsidRPr="00F41E36" w:rsidRDefault="00C37CDC" w:rsidP="00C37CDC">
            <w:pPr>
              <w:pStyle w:val="BodyText"/>
              <w:rPr>
                <w:szCs w:val="18"/>
              </w:rPr>
            </w:pPr>
            <w:r w:rsidRPr="00F41E36">
              <w:rPr>
                <w:szCs w:val="18"/>
              </w:rPr>
              <w:t>1.7</w:t>
            </w:r>
          </w:p>
        </w:tc>
        <w:tc>
          <w:tcPr>
            <w:tcW w:w="567" w:type="dxa"/>
          </w:tcPr>
          <w:p w14:paraId="15E78368" w14:textId="77777777" w:rsidR="00C37CDC" w:rsidRPr="00F41E36" w:rsidRDefault="00C37CDC" w:rsidP="00C37CDC">
            <w:pPr>
              <w:pStyle w:val="BodyText"/>
              <w:rPr>
                <w:szCs w:val="18"/>
              </w:rPr>
            </w:pPr>
            <w:r w:rsidRPr="00F41E36">
              <w:rPr>
                <w:szCs w:val="18"/>
              </w:rPr>
              <w:t>0.5</w:t>
            </w:r>
          </w:p>
        </w:tc>
        <w:tc>
          <w:tcPr>
            <w:tcW w:w="981" w:type="dxa"/>
          </w:tcPr>
          <w:p w14:paraId="6DA8FC21" w14:textId="77777777" w:rsidR="00C37CDC" w:rsidRPr="00F41E36" w:rsidRDefault="00C37CDC" w:rsidP="00C37CDC">
            <w:pPr>
              <w:pStyle w:val="BodyText"/>
              <w:rPr>
                <w:szCs w:val="18"/>
              </w:rPr>
            </w:pPr>
            <w:r w:rsidRPr="00F41E36">
              <w:rPr>
                <w:szCs w:val="18"/>
              </w:rPr>
              <w:t>0.00002</w:t>
            </w:r>
          </w:p>
        </w:tc>
      </w:tr>
      <w:tr w:rsidR="00C37CDC" w:rsidRPr="00BA4D1B" w14:paraId="39539129" w14:textId="77777777" w:rsidTr="00C37CDC">
        <w:tc>
          <w:tcPr>
            <w:tcW w:w="1134" w:type="dxa"/>
          </w:tcPr>
          <w:p w14:paraId="768D3A2B" w14:textId="77777777" w:rsidR="00C37CDC" w:rsidRPr="00F41E36" w:rsidRDefault="00C37CDC" w:rsidP="00C37CDC">
            <w:pPr>
              <w:pStyle w:val="BodyText"/>
              <w:rPr>
                <w:szCs w:val="18"/>
              </w:rPr>
            </w:pPr>
            <w:r w:rsidRPr="00F41E36">
              <w:rPr>
                <w:szCs w:val="18"/>
              </w:rPr>
              <w:t>2,704,604</w:t>
            </w:r>
          </w:p>
        </w:tc>
        <w:tc>
          <w:tcPr>
            <w:tcW w:w="988" w:type="dxa"/>
          </w:tcPr>
          <w:p w14:paraId="22FD7810" w14:textId="77777777" w:rsidR="00C37CDC" w:rsidRPr="00F41E36" w:rsidRDefault="00C37CDC" w:rsidP="00C37CDC">
            <w:pPr>
              <w:pStyle w:val="BodyText"/>
              <w:rPr>
                <w:szCs w:val="18"/>
              </w:rPr>
            </w:pPr>
            <w:r w:rsidRPr="00F41E36">
              <w:rPr>
                <w:szCs w:val="18"/>
              </w:rPr>
              <w:t>130,397</w:t>
            </w:r>
          </w:p>
        </w:tc>
        <w:tc>
          <w:tcPr>
            <w:tcW w:w="905" w:type="dxa"/>
          </w:tcPr>
          <w:p w14:paraId="70F3BBC7" w14:textId="77777777" w:rsidR="00C37CDC" w:rsidRPr="00F41E36" w:rsidRDefault="00C37CDC" w:rsidP="00C37CDC">
            <w:pPr>
              <w:pStyle w:val="BodyText"/>
              <w:rPr>
                <w:szCs w:val="18"/>
              </w:rPr>
            </w:pPr>
            <w:r w:rsidRPr="00F41E36">
              <w:rPr>
                <w:szCs w:val="18"/>
              </w:rPr>
              <w:t>CPI, IGF, HC</w:t>
            </w:r>
          </w:p>
        </w:tc>
        <w:tc>
          <w:tcPr>
            <w:tcW w:w="586" w:type="dxa"/>
          </w:tcPr>
          <w:p w14:paraId="5177A373" w14:textId="77777777" w:rsidR="00C37CDC" w:rsidRPr="00F41E36" w:rsidRDefault="00C37CDC" w:rsidP="00C37CDC">
            <w:pPr>
              <w:pStyle w:val="BodyText"/>
              <w:rPr>
                <w:szCs w:val="18"/>
              </w:rPr>
            </w:pPr>
            <w:r w:rsidRPr="00F41E36">
              <w:rPr>
                <w:szCs w:val="18"/>
              </w:rPr>
              <w:t>45.9</w:t>
            </w:r>
          </w:p>
        </w:tc>
        <w:tc>
          <w:tcPr>
            <w:tcW w:w="513" w:type="dxa"/>
          </w:tcPr>
          <w:p w14:paraId="75C64AD1" w14:textId="77777777" w:rsidR="00C37CDC" w:rsidRPr="00F41E36" w:rsidRDefault="00C37CDC" w:rsidP="00C37CDC">
            <w:pPr>
              <w:pStyle w:val="BodyText"/>
              <w:rPr>
                <w:szCs w:val="18"/>
              </w:rPr>
            </w:pPr>
            <w:r w:rsidRPr="00F41E36">
              <w:rPr>
                <w:szCs w:val="18"/>
              </w:rPr>
              <w:t>3.6</w:t>
            </w:r>
          </w:p>
        </w:tc>
        <w:tc>
          <w:tcPr>
            <w:tcW w:w="569" w:type="dxa"/>
          </w:tcPr>
          <w:p w14:paraId="53311E2C" w14:textId="77777777" w:rsidR="00C37CDC" w:rsidRPr="00F41E36" w:rsidRDefault="00C37CDC" w:rsidP="00C37CDC">
            <w:pPr>
              <w:pStyle w:val="BodyText"/>
              <w:rPr>
                <w:szCs w:val="18"/>
              </w:rPr>
            </w:pPr>
            <w:r w:rsidRPr="00F41E36">
              <w:rPr>
                <w:szCs w:val="18"/>
              </w:rPr>
              <w:t>2.6</w:t>
            </w:r>
          </w:p>
        </w:tc>
        <w:tc>
          <w:tcPr>
            <w:tcW w:w="692" w:type="dxa"/>
          </w:tcPr>
          <w:p w14:paraId="1E5F6DB4" w14:textId="77777777" w:rsidR="00C37CDC" w:rsidRPr="00F41E36" w:rsidRDefault="00C37CDC" w:rsidP="00C37CDC">
            <w:pPr>
              <w:pStyle w:val="BodyText"/>
              <w:rPr>
                <w:szCs w:val="18"/>
              </w:rPr>
            </w:pPr>
            <w:r w:rsidRPr="00F41E36">
              <w:rPr>
                <w:szCs w:val="18"/>
              </w:rPr>
              <w:t>0.0129</w:t>
            </w:r>
          </w:p>
        </w:tc>
        <w:tc>
          <w:tcPr>
            <w:tcW w:w="425" w:type="dxa"/>
          </w:tcPr>
          <w:p w14:paraId="4E00658F" w14:textId="77777777" w:rsidR="00C37CDC" w:rsidRPr="00F41E36" w:rsidRDefault="00C37CDC" w:rsidP="00C37CDC">
            <w:pPr>
              <w:pStyle w:val="BodyText"/>
              <w:rPr>
                <w:szCs w:val="18"/>
              </w:rPr>
            </w:pPr>
            <w:r w:rsidRPr="00F41E36">
              <w:rPr>
                <w:szCs w:val="18"/>
              </w:rPr>
              <w:t>11</w:t>
            </w:r>
          </w:p>
        </w:tc>
        <w:tc>
          <w:tcPr>
            <w:tcW w:w="567" w:type="dxa"/>
          </w:tcPr>
          <w:p w14:paraId="0045109F" w14:textId="77777777" w:rsidR="00C37CDC" w:rsidRPr="00F41E36" w:rsidRDefault="00C37CDC" w:rsidP="00C37CDC">
            <w:pPr>
              <w:pStyle w:val="BodyText"/>
              <w:rPr>
                <w:szCs w:val="18"/>
              </w:rPr>
            </w:pPr>
            <w:r w:rsidRPr="00F41E36">
              <w:rPr>
                <w:szCs w:val="18"/>
              </w:rPr>
              <w:t>0.45</w:t>
            </w:r>
          </w:p>
        </w:tc>
        <w:tc>
          <w:tcPr>
            <w:tcW w:w="425" w:type="dxa"/>
          </w:tcPr>
          <w:p w14:paraId="749B45ED" w14:textId="77777777" w:rsidR="00C37CDC" w:rsidRPr="00F41E36" w:rsidRDefault="00C37CDC" w:rsidP="00C37CDC">
            <w:pPr>
              <w:pStyle w:val="BodyText"/>
              <w:rPr>
                <w:szCs w:val="18"/>
              </w:rPr>
            </w:pPr>
            <w:r w:rsidRPr="00F41E36">
              <w:rPr>
                <w:szCs w:val="18"/>
              </w:rPr>
              <w:t>4</w:t>
            </w:r>
          </w:p>
        </w:tc>
        <w:tc>
          <w:tcPr>
            <w:tcW w:w="567" w:type="dxa"/>
          </w:tcPr>
          <w:p w14:paraId="03D68EB6" w14:textId="77777777" w:rsidR="00C37CDC" w:rsidRPr="00F41E36" w:rsidRDefault="00C37CDC" w:rsidP="00C37CDC">
            <w:pPr>
              <w:pStyle w:val="BodyText"/>
              <w:rPr>
                <w:szCs w:val="18"/>
              </w:rPr>
            </w:pPr>
            <w:r w:rsidRPr="00F41E36">
              <w:rPr>
                <w:szCs w:val="18"/>
              </w:rPr>
              <w:t>1.5</w:t>
            </w:r>
          </w:p>
        </w:tc>
        <w:tc>
          <w:tcPr>
            <w:tcW w:w="567" w:type="dxa"/>
          </w:tcPr>
          <w:p w14:paraId="592D967C" w14:textId="77777777" w:rsidR="00C37CDC" w:rsidRPr="00F41E36" w:rsidRDefault="00C37CDC" w:rsidP="00C37CDC">
            <w:pPr>
              <w:pStyle w:val="BodyText"/>
              <w:rPr>
                <w:szCs w:val="18"/>
              </w:rPr>
            </w:pPr>
            <w:r w:rsidRPr="00F41E36">
              <w:rPr>
                <w:szCs w:val="18"/>
              </w:rPr>
              <w:t>0.5</w:t>
            </w:r>
          </w:p>
        </w:tc>
        <w:tc>
          <w:tcPr>
            <w:tcW w:w="981" w:type="dxa"/>
          </w:tcPr>
          <w:p w14:paraId="44F2FFFE" w14:textId="77777777" w:rsidR="00C37CDC" w:rsidRPr="00F41E36" w:rsidRDefault="00C37CDC" w:rsidP="00C37CDC">
            <w:pPr>
              <w:pStyle w:val="BodyText"/>
              <w:rPr>
                <w:szCs w:val="18"/>
              </w:rPr>
            </w:pPr>
            <w:r w:rsidRPr="00F41E36">
              <w:rPr>
                <w:szCs w:val="18"/>
              </w:rPr>
              <w:t>0.00002</w:t>
            </w:r>
          </w:p>
        </w:tc>
      </w:tr>
    </w:tbl>
    <w:p w14:paraId="27EE8507" w14:textId="4A963C93" w:rsidR="000C6A66" w:rsidRDefault="00C37CDC" w:rsidP="00B3764A">
      <w:pPr>
        <w:pStyle w:val="CETHeading1"/>
        <w:ind w:hanging="567"/>
      </w:pPr>
      <w:r>
        <w:t xml:space="preserve"> </w:t>
      </w:r>
      <w:r w:rsidR="000C6A66">
        <w:t>Conclusion</w:t>
      </w:r>
      <w:bookmarkEnd w:id="7"/>
    </w:p>
    <w:p w14:paraId="29CC9E6B" w14:textId="6581B6BA" w:rsidR="000C6A66" w:rsidRDefault="000C6A66" w:rsidP="0056599B">
      <w:pPr>
        <w:pStyle w:val="CETBodytext"/>
      </w:pPr>
      <w:r>
        <w:t xml:space="preserve">The design of the process for produced water treatment has been formulated as a discrete nonlinear dynamic multi-objective optimization problem. This enables us to investigate the trade-off between economic and environmental criteria, specifically the total cost and </w:t>
      </w:r>
      <m:oMath>
        <m:r>
          <w:rPr>
            <w:rFonts w:ascii="Cambria Math" w:hAnsi="Cambria Math"/>
          </w:rPr>
          <m:t>C</m:t>
        </m:r>
        <m:sSub>
          <m:sSubPr>
            <m:ctrlPr>
              <w:rPr>
                <w:rFonts w:ascii="Cambria Math" w:hAnsi="Cambria Math"/>
              </w:rPr>
            </m:ctrlPr>
          </m:sSubPr>
          <m:e>
            <m:r>
              <w:rPr>
                <w:rFonts w:ascii="Cambria Math" w:hAnsi="Cambria Math"/>
              </w:rPr>
              <m:t>O</m:t>
            </m:r>
          </m:e>
          <m:sub>
            <m:r>
              <w:rPr>
                <w:rFonts w:ascii="Cambria Math" w:hAnsi="Cambria Math"/>
              </w:rPr>
              <m:t>2</m:t>
            </m:r>
          </m:sub>
        </m:sSub>
      </m:oMath>
      <w:r>
        <w:t xml:space="preserve"> emissions. The discrete dynamic model has been solved for different class sizes, demonstrating that the discretization has an impact on the types of solutions obtained al</w:t>
      </w:r>
      <w:r w:rsidR="6C3EF766">
        <w:t>o</w:t>
      </w:r>
      <w:r>
        <w:t>ng with the values of the two objective functions.</w:t>
      </w:r>
    </w:p>
    <w:p w14:paraId="29E62FB0" w14:textId="4AFAFDB0" w:rsidR="000C6A66" w:rsidRDefault="000C6A66" w:rsidP="0056599B">
      <w:pPr>
        <w:pStyle w:val="CETBodytext"/>
      </w:pPr>
      <w:r>
        <w:t>The case study presented considers a droplet size distribution where all the drops are larger than 5</w:t>
      </w:r>
      <w:r w:rsidR="33958BEF">
        <w:t xml:space="preserve"> µm</w:t>
      </w:r>
      <w:r>
        <w:t>. However, in some cases, the smallest droplets may be as small as 0.5</w:t>
      </w:r>
      <w:r w:rsidR="1B68CA95">
        <w:t xml:space="preserve"> µm</w:t>
      </w:r>
      <w:r>
        <w:t>. To address design problems considering droplets in this range of size will require using technologies with higher separation efficiencies, such as membrane</w:t>
      </w:r>
      <w:r w:rsidR="7F42FDC0">
        <w:t>s</w:t>
      </w:r>
      <w:r>
        <w:t>, nutshell filter</w:t>
      </w:r>
      <w:r w:rsidR="0FF7BA86">
        <w:t>s</w:t>
      </w:r>
      <w:r>
        <w:t xml:space="preserve"> and centrifuge separator</w:t>
      </w:r>
      <w:r w:rsidR="7EB6EF12">
        <w:t>s</w:t>
      </w:r>
      <w:r>
        <w:t xml:space="preserve">. </w:t>
      </w:r>
      <w:r w:rsidR="39C61730">
        <w:t>The d</w:t>
      </w:r>
      <w:r>
        <w:t xml:space="preserve">evelopment </w:t>
      </w:r>
      <w:r w:rsidR="5FCCD331">
        <w:t xml:space="preserve">and implementation </w:t>
      </w:r>
      <w:r>
        <w:t xml:space="preserve">of models for these technologies is now being considered and will be incorporated into the superstructure to enable solving a broader range of problems for produced water treatment. Furthermore, </w:t>
      </w:r>
      <w:proofErr w:type="gramStart"/>
      <w:r w:rsidR="646FF80F">
        <w:t xml:space="preserve">incorporating </w:t>
      </w:r>
      <w:r>
        <w:t xml:space="preserve"> such</w:t>
      </w:r>
      <w:proofErr w:type="gramEnd"/>
      <w:r>
        <w:t xml:space="preserve"> units </w:t>
      </w:r>
      <w:r w:rsidR="2744D524">
        <w:t xml:space="preserve">into the superstructure optimization procedure </w:t>
      </w:r>
      <w:r>
        <w:t>will enable the design of system</w:t>
      </w:r>
      <w:r w:rsidR="62473631">
        <w:t>s</w:t>
      </w:r>
      <w:r>
        <w:t xml:space="preserve"> capable of meeting the requirements of other PW destinations such as re-injection and beneficial reuse.</w:t>
      </w:r>
    </w:p>
    <w:p w14:paraId="78068408" w14:textId="1F6C64F7" w:rsidR="000F777A" w:rsidRDefault="00761D88" w:rsidP="007359DC">
      <w:pPr>
        <w:pStyle w:val="CETHeadingxx"/>
      </w:pPr>
      <w:r>
        <w:t>Nomenclature</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031"/>
        <w:gridCol w:w="604"/>
        <w:gridCol w:w="3808"/>
      </w:tblGrid>
      <w:tr w:rsidR="00761D88" w14:paraId="5FC7781E" w14:textId="77777777" w:rsidTr="0056599B">
        <w:trPr>
          <w:trHeight w:hRule="exact" w:val="340"/>
        </w:trPr>
        <w:tc>
          <w:tcPr>
            <w:tcW w:w="624" w:type="dxa"/>
          </w:tcPr>
          <w:p w14:paraId="0F7F3BB7" w14:textId="631FBFC6" w:rsidR="00761D88" w:rsidRPr="00761D88" w:rsidRDefault="00761D88" w:rsidP="00761D88">
            <w:pPr>
              <w:pStyle w:val="CETReferencetext"/>
              <w:ind w:left="0" w:firstLine="0"/>
            </w:pPr>
            <m:oMathPara>
              <m:oMathParaPr>
                <m:jc m:val="center"/>
              </m:oMathParaPr>
              <m:oMath>
                <m:r>
                  <w:rPr>
                    <w:rFonts w:ascii="Cambria Math" w:hAnsi="Cambria Math"/>
                  </w:rPr>
                  <m:t>n</m:t>
                </m:r>
              </m:oMath>
            </m:oMathPara>
          </w:p>
        </w:tc>
        <w:tc>
          <w:tcPr>
            <w:tcW w:w="4031" w:type="dxa"/>
          </w:tcPr>
          <w:p w14:paraId="1F22928E" w14:textId="0EEA4027" w:rsidR="00761D88" w:rsidRPr="00761D88" w:rsidRDefault="00761D88" w:rsidP="00761D88">
            <w:pPr>
              <w:pStyle w:val="CETHeadingxx"/>
              <w:rPr>
                <w:rFonts w:cs="Arial"/>
                <w:b w:val="0"/>
                <w:szCs w:val="18"/>
                <w:lang w:val="en-GB"/>
              </w:rPr>
            </w:pPr>
            <w:r w:rsidRPr="00761D88">
              <w:rPr>
                <w:rFonts w:cs="Arial"/>
                <w:b w:val="0"/>
                <w:szCs w:val="18"/>
                <w:lang w:val="en-GB"/>
              </w:rPr>
              <w:t>Number of droplets/particles</w:t>
            </w:r>
          </w:p>
        </w:tc>
        <w:tc>
          <w:tcPr>
            <w:tcW w:w="604" w:type="dxa"/>
          </w:tcPr>
          <w:p w14:paraId="0C5D1879" w14:textId="2ECC4E76" w:rsidR="00761D88" w:rsidRPr="000F777A" w:rsidRDefault="00000000" w:rsidP="00761D88">
            <w:pPr>
              <w:pStyle w:val="CETBodytext"/>
            </w:pPr>
            <m:oMathPara>
              <m:oMathParaPr>
                <m:jc m:val="left"/>
              </m:oMathParaPr>
              <m:oMath>
                <m:sSub>
                  <m:sSubPr>
                    <m:ctrlPr>
                      <w:rPr>
                        <w:rFonts w:ascii="Cambria Math" w:hAnsi="Cambria Math"/>
                      </w:rPr>
                    </m:ctrlPr>
                  </m:sSubPr>
                  <m:e>
                    <m:r>
                      <w:rPr>
                        <w:rFonts w:ascii="Cambria Math" w:hAnsi="Cambria Math"/>
                      </w:rPr>
                      <m:t>μ</m:t>
                    </m:r>
                  </m:e>
                  <m:sub>
                    <m:r>
                      <w:rPr>
                        <w:rFonts w:ascii="Cambria Math" w:hAnsi="Cambria Math"/>
                      </w:rPr>
                      <m:t>d</m:t>
                    </m:r>
                  </m:sub>
                </m:sSub>
              </m:oMath>
            </m:oMathPara>
          </w:p>
        </w:tc>
        <w:tc>
          <w:tcPr>
            <w:tcW w:w="3808" w:type="dxa"/>
          </w:tcPr>
          <w:p w14:paraId="6A8086FD" w14:textId="3361BDFA" w:rsidR="00761D88" w:rsidRDefault="00761D88" w:rsidP="00761D88">
            <w:pPr>
              <w:pStyle w:val="CETHeadingxx"/>
              <w:rPr>
                <w:lang w:val="en-GB"/>
              </w:rPr>
            </w:pPr>
            <w:r w:rsidRPr="00761D88">
              <w:rPr>
                <w:rFonts w:cs="Arial"/>
                <w:b w:val="0"/>
                <w:szCs w:val="18"/>
              </w:rPr>
              <w:t>viscosity of the dispersed phase</w:t>
            </w:r>
            <w:r w:rsidR="000C6A66">
              <w:rPr>
                <w:rFonts w:cs="Arial"/>
                <w:b w:val="0"/>
                <w:szCs w:val="18"/>
              </w:rPr>
              <w:t xml:space="preserve">, </w:t>
            </w:r>
            <m:oMath>
              <m:sSup>
                <m:sSupPr>
                  <m:ctrlPr>
                    <w:rPr>
                      <w:rFonts w:ascii="Cambria Math" w:hAnsi="Cambria Math" w:cs="Arial"/>
                      <w:b w:val="0"/>
                      <w:i/>
                      <w:szCs w:val="18"/>
                    </w:rPr>
                  </m:ctrlPr>
                </m:sSupPr>
                <m:e>
                  <m:r>
                    <m:rPr>
                      <m:sty m:val="bi"/>
                    </m:rPr>
                    <w:rPr>
                      <w:rFonts w:ascii="Cambria Math" w:hAnsi="Cambria Math" w:cs="Arial"/>
                      <w:szCs w:val="18"/>
                    </w:rPr>
                    <m:t>kg m</m:t>
                  </m:r>
                </m:e>
                <m:sup>
                  <m:r>
                    <m:rPr>
                      <m:sty m:val="bi"/>
                    </m:rPr>
                    <w:rPr>
                      <w:rFonts w:ascii="Cambria Math" w:hAnsi="Cambria Math" w:cs="Arial"/>
                      <w:szCs w:val="18"/>
                    </w:rPr>
                    <m:t>-1</m:t>
                  </m:r>
                </m:sup>
              </m:sSup>
              <m:sSup>
                <m:sSupPr>
                  <m:ctrlPr>
                    <w:rPr>
                      <w:rFonts w:ascii="Cambria Math" w:hAnsi="Cambria Math" w:cs="Arial"/>
                      <w:b w:val="0"/>
                      <w:i/>
                      <w:szCs w:val="18"/>
                    </w:rPr>
                  </m:ctrlPr>
                </m:sSupPr>
                <m:e>
                  <m:r>
                    <m:rPr>
                      <m:sty m:val="bi"/>
                    </m:rPr>
                    <w:rPr>
                      <w:rFonts w:ascii="Cambria Math" w:hAnsi="Cambria Math" w:cs="Arial"/>
                      <w:szCs w:val="18"/>
                    </w:rPr>
                    <m:t>s</m:t>
                  </m:r>
                </m:e>
                <m:sup>
                  <m:r>
                    <m:rPr>
                      <m:sty m:val="bi"/>
                    </m:rPr>
                    <w:rPr>
                      <w:rFonts w:ascii="Cambria Math" w:hAnsi="Cambria Math" w:cs="Arial"/>
                      <w:szCs w:val="18"/>
                    </w:rPr>
                    <m:t>-1</m:t>
                  </m:r>
                </m:sup>
              </m:sSup>
            </m:oMath>
          </w:p>
        </w:tc>
      </w:tr>
      <w:tr w:rsidR="00761D88" w14:paraId="5D6F3B6F" w14:textId="77777777" w:rsidTr="0056599B">
        <w:trPr>
          <w:trHeight w:hRule="exact" w:val="340"/>
        </w:trPr>
        <w:tc>
          <w:tcPr>
            <w:tcW w:w="624" w:type="dxa"/>
          </w:tcPr>
          <w:p w14:paraId="54C538D0" w14:textId="7252329D" w:rsidR="00761D88" w:rsidRDefault="00761D88" w:rsidP="00761D88">
            <w:pPr>
              <w:pStyle w:val="CETReferencetext"/>
              <w:ind w:left="0" w:firstLine="0"/>
            </w:pPr>
            <m:oMathPara>
              <m:oMath>
                <m:r>
                  <w:rPr>
                    <w:rFonts w:ascii="Cambria Math" w:hAnsi="Cambria Math"/>
                  </w:rPr>
                  <m:t>d</m:t>
                </m:r>
              </m:oMath>
            </m:oMathPara>
          </w:p>
        </w:tc>
        <w:tc>
          <w:tcPr>
            <w:tcW w:w="4031" w:type="dxa"/>
          </w:tcPr>
          <w:p w14:paraId="2D2179BA" w14:textId="6FC8FB75" w:rsidR="00761D88" w:rsidRPr="00761D88" w:rsidRDefault="00761D88" w:rsidP="00761D88">
            <w:pPr>
              <w:pStyle w:val="CETHeadingxx"/>
              <w:rPr>
                <w:rFonts w:cs="Arial"/>
                <w:b w:val="0"/>
                <w:szCs w:val="18"/>
                <w:lang w:val="en-GB"/>
              </w:rPr>
            </w:pPr>
            <w:r w:rsidRPr="00761D88">
              <w:rPr>
                <w:rFonts w:cs="Arial"/>
                <w:b w:val="0"/>
                <w:szCs w:val="18"/>
                <w:lang w:val="en-GB"/>
              </w:rPr>
              <w:t>Diameter of droplets/particles</w:t>
            </w:r>
            <w:r w:rsidR="000C6A66">
              <w:rPr>
                <w:rFonts w:cs="Arial"/>
                <w:b w:val="0"/>
                <w:szCs w:val="18"/>
                <w:lang w:val="en-GB"/>
              </w:rPr>
              <w:t xml:space="preserve">, </w:t>
            </w:r>
            <m:oMath>
              <m:r>
                <m:rPr>
                  <m:sty m:val="bi"/>
                </m:rPr>
                <w:rPr>
                  <w:rFonts w:ascii="Cambria Math" w:hAnsi="Cambria Math"/>
                </w:rPr>
                <m:t>μm</m:t>
              </m:r>
            </m:oMath>
          </w:p>
        </w:tc>
        <w:tc>
          <w:tcPr>
            <w:tcW w:w="604" w:type="dxa"/>
          </w:tcPr>
          <w:p w14:paraId="7847A6D7" w14:textId="2D05F7CB" w:rsidR="00761D88" w:rsidRPr="000F777A" w:rsidRDefault="00000000" w:rsidP="00761D88">
            <w:pPr>
              <w:pStyle w:val="BodyText"/>
              <w:jc w:val="center"/>
              <w:rPr>
                <w:rFonts w:cs="Arial"/>
                <w:szCs w:val="18"/>
              </w:rPr>
            </w:pPr>
            <m:oMathPara>
              <m:oMathParaPr>
                <m:jc m:val="left"/>
              </m:oMathParaPr>
              <m:oMath>
                <m:sSubSup>
                  <m:sSubSupPr>
                    <m:ctrlPr>
                      <w:rPr>
                        <w:rFonts w:ascii="Cambria Math" w:hAnsi="Cambria Math"/>
                        <w:szCs w:val="18"/>
                      </w:rPr>
                    </m:ctrlPr>
                  </m:sSubSupPr>
                  <m:e>
                    <m:r>
                      <w:rPr>
                        <w:rFonts w:ascii="Cambria Math" w:hAnsi="Cambria Math"/>
                        <w:szCs w:val="18"/>
                      </w:rPr>
                      <m:t>D</m:t>
                    </m:r>
                  </m:e>
                  <m:sub>
                    <m:r>
                      <w:rPr>
                        <w:rFonts w:ascii="Cambria Math" w:hAnsi="Cambria Math"/>
                        <w:szCs w:val="18"/>
                      </w:rPr>
                      <m:t>OnG</m:t>
                    </m:r>
                  </m:sub>
                  <m:sup>
                    <m:r>
                      <w:rPr>
                        <w:rFonts w:ascii="Cambria Math" w:hAnsi="Cambria Math"/>
                        <w:szCs w:val="18"/>
                      </w:rPr>
                      <m:t>CPI</m:t>
                    </m:r>
                  </m:sup>
                </m:sSubSup>
              </m:oMath>
            </m:oMathPara>
          </w:p>
        </w:tc>
        <w:tc>
          <w:tcPr>
            <w:tcW w:w="3808" w:type="dxa"/>
          </w:tcPr>
          <w:p w14:paraId="6FD870E0" w14:textId="507AE8D8" w:rsidR="00761D88" w:rsidRPr="00761D88" w:rsidRDefault="00761D88" w:rsidP="00761D88">
            <w:pPr>
              <w:pStyle w:val="CETHeadingxx"/>
              <w:rPr>
                <w:rFonts w:cs="Arial"/>
                <w:b w:val="0"/>
                <w:szCs w:val="18"/>
              </w:rPr>
            </w:pPr>
            <w:r w:rsidRPr="00761D88">
              <w:rPr>
                <w:rFonts w:cs="Arial"/>
                <w:b w:val="0"/>
                <w:szCs w:val="18"/>
              </w:rPr>
              <w:t xml:space="preserve">cut diameter of CPI for </w:t>
            </w:r>
            <w:r>
              <w:rPr>
                <w:rFonts w:cs="Arial"/>
                <w:b w:val="0"/>
                <w:szCs w:val="18"/>
              </w:rPr>
              <w:t>O&amp;G</w:t>
            </w:r>
            <w:r w:rsidRPr="00761D88">
              <w:rPr>
                <w:rFonts w:cs="Arial"/>
                <w:b w:val="0"/>
                <w:szCs w:val="18"/>
              </w:rPr>
              <w:t xml:space="preserve"> droplets</w:t>
            </w:r>
            <w:r>
              <w:rPr>
                <w:rFonts w:cs="Arial"/>
                <w:b w:val="0"/>
                <w:szCs w:val="18"/>
              </w:rPr>
              <w:t xml:space="preserve">, </w:t>
            </w:r>
            <m:oMath>
              <m:r>
                <m:rPr>
                  <m:sty m:val="bi"/>
                </m:rPr>
                <w:rPr>
                  <w:rFonts w:ascii="Cambria Math" w:hAnsi="Cambria Math"/>
                </w:rPr>
                <m:t>μm</m:t>
              </m:r>
            </m:oMath>
          </w:p>
        </w:tc>
      </w:tr>
      <w:tr w:rsidR="00761D88" w14:paraId="1E6F9717" w14:textId="77777777" w:rsidTr="0056599B">
        <w:trPr>
          <w:trHeight w:hRule="exact" w:val="440"/>
        </w:trPr>
        <w:tc>
          <w:tcPr>
            <w:tcW w:w="624" w:type="dxa"/>
          </w:tcPr>
          <w:p w14:paraId="0257F96F" w14:textId="76D1F399" w:rsidR="00761D88" w:rsidRDefault="00761D88" w:rsidP="00761D88">
            <w:pPr>
              <w:pStyle w:val="CETHeadingxx"/>
              <w:jc w:val="both"/>
              <w:rPr>
                <w:lang w:val="en-GB"/>
              </w:rPr>
            </w:pPr>
            <m:oMathPara>
              <m:oMath>
                <m:r>
                  <m:rPr>
                    <m:sty m:val="bi"/>
                  </m:rPr>
                  <w:rPr>
                    <w:rFonts w:ascii="Cambria Math" w:hAnsi="Cambria Math"/>
                  </w:rPr>
                  <m:t>h</m:t>
                </m:r>
              </m:oMath>
            </m:oMathPara>
          </w:p>
        </w:tc>
        <w:tc>
          <w:tcPr>
            <w:tcW w:w="4031" w:type="dxa"/>
          </w:tcPr>
          <w:p w14:paraId="0408C556" w14:textId="121BF21C" w:rsidR="00761D88" w:rsidRPr="00761D88" w:rsidRDefault="00761D88" w:rsidP="000C6A66">
            <w:pPr>
              <w:pStyle w:val="CETHeadingxx"/>
              <w:rPr>
                <w:rFonts w:cs="Arial"/>
                <w:b w:val="0"/>
                <w:szCs w:val="18"/>
                <w:lang w:val="en-GB"/>
              </w:rPr>
            </w:pPr>
            <w:r w:rsidRPr="00761D88">
              <w:rPr>
                <w:rFonts w:cs="Arial"/>
                <w:b w:val="0"/>
                <w:szCs w:val="18"/>
              </w:rPr>
              <w:t xml:space="preserve">collision frequency </w:t>
            </w:r>
          </w:p>
        </w:tc>
        <w:tc>
          <w:tcPr>
            <w:tcW w:w="604" w:type="dxa"/>
          </w:tcPr>
          <w:p w14:paraId="5F871596" w14:textId="58FFFA71" w:rsidR="00761D88" w:rsidRDefault="00000000" w:rsidP="00761D88">
            <w:pPr>
              <w:pStyle w:val="CETHeadingxx"/>
              <w:rPr>
                <w:lang w:val="en-GB"/>
              </w:rPr>
            </w:pPr>
            <m:oMathPara>
              <m:oMath>
                <m:sSup>
                  <m:sSupPr>
                    <m:ctrlPr>
                      <w:rPr>
                        <w:rFonts w:ascii="Cambria Math" w:hAnsi="Cambria Math" w:cs="Arial"/>
                        <w:szCs w:val="18"/>
                      </w:rPr>
                    </m:ctrlPr>
                  </m:sSupPr>
                  <m:e>
                    <m:r>
                      <m:rPr>
                        <m:sty m:val="bi"/>
                      </m:rPr>
                      <w:rPr>
                        <w:rFonts w:ascii="Cambria Math" w:hAnsi="Cambria Math" w:cs="Arial"/>
                        <w:szCs w:val="18"/>
                      </w:rPr>
                      <m:t>L</m:t>
                    </m:r>
                  </m:e>
                  <m:sup>
                    <m:r>
                      <m:rPr>
                        <m:sty m:val="bi"/>
                      </m:rPr>
                      <w:rPr>
                        <w:rFonts w:ascii="Cambria Math" w:hAnsi="Cambria Math" w:cs="Arial"/>
                        <w:szCs w:val="18"/>
                      </w:rPr>
                      <m:t>CPI</m:t>
                    </m:r>
                  </m:sup>
                </m:sSup>
              </m:oMath>
            </m:oMathPara>
          </w:p>
        </w:tc>
        <w:tc>
          <w:tcPr>
            <w:tcW w:w="3808" w:type="dxa"/>
          </w:tcPr>
          <w:p w14:paraId="5C5405CE" w14:textId="0E076079" w:rsidR="00761D88" w:rsidRPr="00761D88" w:rsidRDefault="00761D88" w:rsidP="00761D88">
            <w:pPr>
              <w:pStyle w:val="CETHeadingxx"/>
              <w:rPr>
                <w:rFonts w:cs="Arial"/>
                <w:b w:val="0"/>
                <w:szCs w:val="18"/>
              </w:rPr>
            </w:pPr>
            <w:r w:rsidRPr="00761D88">
              <w:rPr>
                <w:rFonts w:cs="Arial"/>
                <w:b w:val="0"/>
                <w:szCs w:val="18"/>
              </w:rPr>
              <w:t>length of the CPI plate</w:t>
            </w:r>
            <w:r>
              <w:rPr>
                <w:rFonts w:cs="Arial"/>
                <w:b w:val="0"/>
                <w:szCs w:val="18"/>
              </w:rPr>
              <w:t xml:space="preserve">, </w:t>
            </w:r>
            <m:oMath>
              <m:r>
                <m:rPr>
                  <m:sty m:val="bi"/>
                </m:rPr>
                <w:rPr>
                  <w:rFonts w:ascii="Cambria Math" w:hAnsi="Cambria Math"/>
                </w:rPr>
                <m:t>m</m:t>
              </m:r>
            </m:oMath>
          </w:p>
        </w:tc>
      </w:tr>
      <w:tr w:rsidR="00761D88" w14:paraId="13D03E92" w14:textId="77777777" w:rsidTr="0056599B">
        <w:trPr>
          <w:trHeight w:hRule="exact" w:val="421"/>
        </w:trPr>
        <w:tc>
          <w:tcPr>
            <w:tcW w:w="624" w:type="dxa"/>
          </w:tcPr>
          <w:p w14:paraId="3A040C5F" w14:textId="3A351FBB" w:rsidR="00761D88" w:rsidRDefault="00761D88" w:rsidP="00761D88">
            <w:pPr>
              <w:pStyle w:val="CETHeadingxx"/>
              <w:jc w:val="both"/>
              <w:rPr>
                <w:lang w:val="en-GB"/>
              </w:rPr>
            </w:pPr>
            <m:oMathPara>
              <m:oMath>
                <m:r>
                  <m:rPr>
                    <m:sty m:val="bi"/>
                  </m:rPr>
                  <w:rPr>
                    <w:rFonts w:ascii="Cambria Math" w:hAnsi="Cambria Math"/>
                  </w:rPr>
                  <m:t>λ</m:t>
                </m:r>
              </m:oMath>
            </m:oMathPara>
          </w:p>
        </w:tc>
        <w:tc>
          <w:tcPr>
            <w:tcW w:w="4031" w:type="dxa"/>
          </w:tcPr>
          <w:p w14:paraId="485B6922" w14:textId="35B8EAFE" w:rsidR="00761D88" w:rsidRPr="00761D88" w:rsidRDefault="00761D88" w:rsidP="000C6A66">
            <w:pPr>
              <w:pStyle w:val="CETHeadingxx"/>
              <w:rPr>
                <w:rFonts w:cs="Arial"/>
                <w:b w:val="0"/>
                <w:szCs w:val="18"/>
                <w:lang w:val="en-GB"/>
              </w:rPr>
            </w:pPr>
            <w:r w:rsidRPr="00761D88">
              <w:rPr>
                <w:rFonts w:cs="Arial"/>
                <w:b w:val="0"/>
                <w:szCs w:val="18"/>
              </w:rPr>
              <w:t xml:space="preserve">coalescence efficiency </w:t>
            </w:r>
          </w:p>
        </w:tc>
        <w:tc>
          <w:tcPr>
            <w:tcW w:w="604" w:type="dxa"/>
          </w:tcPr>
          <w:p w14:paraId="6F3796C4" w14:textId="77777777" w:rsidR="00761D88" w:rsidRPr="0076074E" w:rsidRDefault="00000000" w:rsidP="00761D88">
            <w:pPr>
              <w:pStyle w:val="BodyText"/>
              <w:jc w:val="center"/>
              <w:rPr>
                <w:rFonts w:cs="Arial"/>
                <w:szCs w:val="18"/>
              </w:rPr>
            </w:pPr>
            <m:oMathPara>
              <m:oMathParaPr>
                <m:jc m:val="left"/>
              </m:oMathParaPr>
              <m:oMath>
                <m:sSup>
                  <m:sSupPr>
                    <m:ctrlPr>
                      <w:rPr>
                        <w:rFonts w:ascii="Cambria Math" w:hAnsi="Cambria Math" w:cs="Arial"/>
                        <w:szCs w:val="18"/>
                      </w:rPr>
                    </m:ctrlPr>
                  </m:sSupPr>
                  <m:e>
                    <m:r>
                      <w:rPr>
                        <w:rFonts w:ascii="Cambria Math" w:hAnsi="Cambria Math" w:cs="Arial"/>
                        <w:szCs w:val="18"/>
                      </w:rPr>
                      <m:t>w</m:t>
                    </m:r>
                  </m:e>
                  <m:sup>
                    <m:r>
                      <w:rPr>
                        <w:rFonts w:ascii="Cambria Math" w:hAnsi="Cambria Math" w:cs="Arial"/>
                        <w:szCs w:val="18"/>
                      </w:rPr>
                      <m:t>CPI</m:t>
                    </m:r>
                  </m:sup>
                </m:sSup>
              </m:oMath>
            </m:oMathPara>
          </w:p>
          <w:p w14:paraId="75DD2845" w14:textId="77777777" w:rsidR="00761D88" w:rsidRDefault="00761D88" w:rsidP="00761D88">
            <w:pPr>
              <w:pStyle w:val="CETHeadingxx"/>
              <w:rPr>
                <w:lang w:val="en-GB"/>
              </w:rPr>
            </w:pPr>
          </w:p>
        </w:tc>
        <w:tc>
          <w:tcPr>
            <w:tcW w:w="3808" w:type="dxa"/>
          </w:tcPr>
          <w:p w14:paraId="405EE6FD" w14:textId="77FCA8E6" w:rsidR="00761D88" w:rsidRPr="00761D88" w:rsidRDefault="00761D88" w:rsidP="00761D88">
            <w:pPr>
              <w:pStyle w:val="CETHeadingxx"/>
              <w:rPr>
                <w:rFonts w:cs="Arial"/>
                <w:b w:val="0"/>
                <w:szCs w:val="18"/>
              </w:rPr>
            </w:pPr>
            <w:r w:rsidRPr="00761D88">
              <w:rPr>
                <w:rFonts w:cs="Arial"/>
                <w:b w:val="0"/>
                <w:szCs w:val="18"/>
              </w:rPr>
              <w:t>width of the CPI plate</w:t>
            </w:r>
            <w:r>
              <w:rPr>
                <w:rFonts w:cs="Arial"/>
                <w:b w:val="0"/>
                <w:szCs w:val="18"/>
              </w:rPr>
              <w:t xml:space="preserve">, </w:t>
            </w:r>
            <m:oMath>
              <m:r>
                <m:rPr>
                  <m:sty m:val="bi"/>
                </m:rPr>
                <w:rPr>
                  <w:rFonts w:ascii="Cambria Math" w:hAnsi="Cambria Math"/>
                </w:rPr>
                <m:t>m</m:t>
              </m:r>
            </m:oMath>
          </w:p>
        </w:tc>
      </w:tr>
      <w:tr w:rsidR="00761D88" w14:paraId="1B7DBBB5" w14:textId="77777777" w:rsidTr="0056599B">
        <w:trPr>
          <w:trHeight w:hRule="exact" w:val="340"/>
        </w:trPr>
        <w:tc>
          <w:tcPr>
            <w:tcW w:w="624" w:type="dxa"/>
          </w:tcPr>
          <w:p w14:paraId="36FD2588" w14:textId="6A801A41" w:rsidR="00761D88" w:rsidRDefault="00000000" w:rsidP="00761D88">
            <w:pPr>
              <w:pStyle w:val="CETHeadingxx"/>
              <w:jc w:val="both"/>
              <w:rPr>
                <w:lang w:val="en-GB"/>
              </w:rPr>
            </w:pPr>
            <m:oMathPara>
              <m:oMath>
                <m:sSub>
                  <m:sSubPr>
                    <m:ctrlPr>
                      <w:rPr>
                        <w:rFonts w:ascii="Cambria Math" w:hAnsi="Cambria Math" w:cs="Arial"/>
                        <w:i/>
                      </w:rPr>
                    </m:ctrlPr>
                  </m:sSubPr>
                  <m:e>
                    <m:r>
                      <m:rPr>
                        <m:sty m:val="bi"/>
                      </m:rPr>
                      <w:rPr>
                        <w:rFonts w:ascii="Cambria Math" w:hAnsi="Cambria Math" w:cs="Arial"/>
                      </w:rPr>
                      <m:t>Ω</m:t>
                    </m:r>
                  </m:e>
                  <m:sub>
                    <m:r>
                      <m:rPr>
                        <m:sty m:val="bi"/>
                      </m:rPr>
                      <w:rPr>
                        <w:rFonts w:ascii="Cambria Math" w:hAnsi="Cambria Math" w:cs="Arial"/>
                      </w:rPr>
                      <m:t>C</m:t>
                    </m:r>
                  </m:sub>
                </m:sSub>
              </m:oMath>
            </m:oMathPara>
          </w:p>
        </w:tc>
        <w:tc>
          <w:tcPr>
            <w:tcW w:w="4031" w:type="dxa"/>
          </w:tcPr>
          <w:p w14:paraId="2895989E" w14:textId="0E48927A" w:rsidR="00761D88" w:rsidRPr="00761D88" w:rsidRDefault="00761D88" w:rsidP="00761D88">
            <w:pPr>
              <w:pStyle w:val="CETHeadingxx"/>
              <w:rPr>
                <w:rFonts w:cs="Arial"/>
                <w:b w:val="0"/>
                <w:szCs w:val="18"/>
                <w:lang w:val="en-GB"/>
              </w:rPr>
            </w:pPr>
            <w:r w:rsidRPr="00761D88">
              <w:rPr>
                <w:rFonts w:cs="Arial"/>
                <w:b w:val="0"/>
                <w:szCs w:val="18"/>
              </w:rPr>
              <w:t>coalescence frequency</w:t>
            </w:r>
            <w:r w:rsidR="000C6A66">
              <w:rPr>
                <w:rFonts w:cs="Arial"/>
                <w:b w:val="0"/>
                <w:szCs w:val="18"/>
              </w:rPr>
              <w:t xml:space="preserve"> </w:t>
            </w:r>
            <w:r w:rsidR="000C6A66" w:rsidRPr="00761D88">
              <w:rPr>
                <w:rFonts w:cs="Arial"/>
                <w:b w:val="0"/>
                <w:szCs w:val="18"/>
              </w:rPr>
              <w:t xml:space="preserve">between </w:t>
            </w:r>
            <w:r w:rsidR="000C6A66" w:rsidRPr="00761D88">
              <w:rPr>
                <w:rFonts w:cs="Arial"/>
                <w:b w:val="0"/>
                <w:szCs w:val="18"/>
                <w:lang w:val="en-GB"/>
              </w:rPr>
              <w:t>droplets/particles</w:t>
            </w:r>
          </w:p>
        </w:tc>
        <w:tc>
          <w:tcPr>
            <w:tcW w:w="604" w:type="dxa"/>
          </w:tcPr>
          <w:p w14:paraId="429FD59D" w14:textId="77777777" w:rsidR="00761D88" w:rsidRPr="0076074E" w:rsidRDefault="00000000" w:rsidP="00761D88">
            <w:pPr>
              <w:pStyle w:val="BodyText"/>
              <w:jc w:val="center"/>
              <w:rPr>
                <w:rFonts w:cs="Arial"/>
                <w:szCs w:val="18"/>
              </w:rPr>
            </w:pPr>
            <m:oMathPara>
              <m:oMathParaPr>
                <m:jc m:val="left"/>
              </m:oMathParaPr>
              <m:oMath>
                <m:sSup>
                  <m:sSupPr>
                    <m:ctrlPr>
                      <w:rPr>
                        <w:rFonts w:ascii="Cambria Math" w:hAnsi="Cambria Math" w:cs="Arial"/>
                        <w:szCs w:val="18"/>
                      </w:rPr>
                    </m:ctrlPr>
                  </m:sSupPr>
                  <m:e>
                    <m:r>
                      <w:rPr>
                        <w:rFonts w:ascii="Cambria Math" w:hAnsi="Cambria Math" w:cs="Arial"/>
                        <w:szCs w:val="18"/>
                      </w:rPr>
                      <m:t>h</m:t>
                    </m:r>
                  </m:e>
                  <m:sup>
                    <m:r>
                      <w:rPr>
                        <w:rFonts w:ascii="Cambria Math" w:hAnsi="Cambria Math" w:cs="Arial"/>
                        <w:szCs w:val="18"/>
                      </w:rPr>
                      <m:t>CPI</m:t>
                    </m:r>
                  </m:sup>
                </m:sSup>
              </m:oMath>
            </m:oMathPara>
          </w:p>
          <w:p w14:paraId="0E0CA072" w14:textId="77777777" w:rsidR="00761D88" w:rsidRDefault="00761D88" w:rsidP="00761D88">
            <w:pPr>
              <w:pStyle w:val="CETHeadingxx"/>
              <w:rPr>
                <w:lang w:val="en-GB"/>
              </w:rPr>
            </w:pPr>
          </w:p>
        </w:tc>
        <w:tc>
          <w:tcPr>
            <w:tcW w:w="3808" w:type="dxa"/>
          </w:tcPr>
          <w:p w14:paraId="1573EDFD" w14:textId="2E212BFF" w:rsidR="00761D88" w:rsidRPr="00761D88" w:rsidRDefault="00761D88" w:rsidP="00761D88">
            <w:pPr>
              <w:pStyle w:val="CETHeadingxx"/>
              <w:rPr>
                <w:rFonts w:cs="Arial"/>
                <w:b w:val="0"/>
                <w:szCs w:val="18"/>
              </w:rPr>
            </w:pPr>
            <w:r w:rsidRPr="00761D88">
              <w:rPr>
                <w:rFonts w:cs="Arial"/>
                <w:b w:val="0"/>
                <w:szCs w:val="18"/>
              </w:rPr>
              <w:t>distance between CPI plates</w:t>
            </w:r>
            <w:r>
              <w:rPr>
                <w:rFonts w:cs="Arial"/>
                <w:b w:val="0"/>
                <w:szCs w:val="18"/>
              </w:rPr>
              <w:t xml:space="preserve">, </w:t>
            </w:r>
            <m:oMath>
              <m:r>
                <m:rPr>
                  <m:sty m:val="bi"/>
                </m:rPr>
                <w:rPr>
                  <w:rFonts w:ascii="Cambria Math" w:hAnsi="Cambria Math" w:cs="Arial"/>
                  <w:szCs w:val="18"/>
                </w:rPr>
                <m:t xml:space="preserve"> </m:t>
              </m:r>
              <m:r>
                <m:rPr>
                  <m:sty m:val="bi"/>
                </m:rPr>
                <w:rPr>
                  <w:rFonts w:ascii="Cambria Math" w:hAnsi="Cambria Math"/>
                </w:rPr>
                <m:t>m</m:t>
              </m:r>
            </m:oMath>
          </w:p>
        </w:tc>
      </w:tr>
      <w:tr w:rsidR="00761D88" w14:paraId="5155112A" w14:textId="77777777" w:rsidTr="0056599B">
        <w:trPr>
          <w:trHeight w:hRule="exact" w:val="340"/>
        </w:trPr>
        <w:tc>
          <w:tcPr>
            <w:tcW w:w="624" w:type="dxa"/>
          </w:tcPr>
          <w:p w14:paraId="4196DC74" w14:textId="1B6133A0" w:rsidR="00761D88" w:rsidRDefault="00000000" w:rsidP="00761D88">
            <w:pPr>
              <w:pStyle w:val="CETHeadingxx"/>
              <w:jc w:val="both"/>
              <w:rPr>
                <w:lang w:val="en-GB"/>
              </w:rPr>
            </w:pPr>
            <m:oMathPara>
              <m:oMath>
                <m:sSub>
                  <m:sSubPr>
                    <m:ctrlPr>
                      <w:rPr>
                        <w:rFonts w:ascii="Cambria Math" w:hAnsi="Cambria Math"/>
                        <w:i/>
                      </w:rPr>
                    </m:ctrlPr>
                  </m:sSubPr>
                  <m:e>
                    <m:r>
                      <m:rPr>
                        <m:sty m:val="bi"/>
                      </m:rPr>
                      <w:rPr>
                        <w:rFonts w:ascii="Cambria Math" w:hAnsi="Cambria Math"/>
                      </w:rPr>
                      <m:t>Ω</m:t>
                    </m:r>
                  </m:e>
                  <m:sub>
                    <m:r>
                      <m:rPr>
                        <m:sty m:val="bi"/>
                      </m:rPr>
                      <w:rPr>
                        <w:rFonts w:ascii="Cambria Math" w:hAnsi="Cambria Math"/>
                      </w:rPr>
                      <m:t>B</m:t>
                    </m:r>
                  </m:sub>
                </m:sSub>
              </m:oMath>
            </m:oMathPara>
          </w:p>
        </w:tc>
        <w:tc>
          <w:tcPr>
            <w:tcW w:w="4031" w:type="dxa"/>
          </w:tcPr>
          <w:p w14:paraId="539435D7" w14:textId="5523DBDC" w:rsidR="00761D88" w:rsidRPr="00761D88" w:rsidRDefault="00761D88" w:rsidP="000C6A66">
            <w:pPr>
              <w:pStyle w:val="CETHeadingxx"/>
              <w:rPr>
                <w:rFonts w:cs="Arial"/>
                <w:b w:val="0"/>
                <w:szCs w:val="18"/>
                <w:lang w:val="en-GB"/>
              </w:rPr>
            </w:pPr>
            <w:r w:rsidRPr="00761D88">
              <w:rPr>
                <w:rFonts w:cs="Arial"/>
                <w:b w:val="0"/>
                <w:szCs w:val="18"/>
              </w:rPr>
              <w:t>coalescence frequency</w:t>
            </w:r>
            <w:r w:rsidR="000C6A66">
              <w:rPr>
                <w:rFonts w:cs="Arial"/>
                <w:b w:val="0"/>
                <w:szCs w:val="18"/>
              </w:rPr>
              <w:t xml:space="preserve"> </w:t>
            </w:r>
          </w:p>
        </w:tc>
        <w:tc>
          <w:tcPr>
            <w:tcW w:w="604" w:type="dxa"/>
          </w:tcPr>
          <w:p w14:paraId="08D2BDFB" w14:textId="77777777" w:rsidR="00761D88" w:rsidRPr="0076074E" w:rsidRDefault="00000000" w:rsidP="00761D88">
            <w:pPr>
              <w:pStyle w:val="BodyText"/>
              <w:jc w:val="center"/>
              <w:rPr>
                <w:rFonts w:cs="Arial"/>
                <w:szCs w:val="18"/>
              </w:rPr>
            </w:pPr>
            <m:oMathPara>
              <m:oMathParaPr>
                <m:jc m:val="left"/>
              </m:oMathParaPr>
              <m:oMath>
                <m:sSup>
                  <m:sSupPr>
                    <m:ctrlPr>
                      <w:rPr>
                        <w:rFonts w:ascii="Cambria Math" w:hAnsi="Cambria Math" w:cs="Arial"/>
                        <w:szCs w:val="18"/>
                      </w:rPr>
                    </m:ctrlPr>
                  </m:sSupPr>
                  <m:e>
                    <m:r>
                      <w:rPr>
                        <w:rFonts w:ascii="Cambria Math" w:hAnsi="Cambria Math" w:cs="Arial"/>
                        <w:szCs w:val="18"/>
                      </w:rPr>
                      <m:t>n</m:t>
                    </m:r>
                  </m:e>
                  <m:sup>
                    <m:r>
                      <w:rPr>
                        <w:rFonts w:ascii="Cambria Math" w:hAnsi="Cambria Math" w:cs="Arial"/>
                        <w:szCs w:val="18"/>
                      </w:rPr>
                      <m:t>HC</m:t>
                    </m:r>
                  </m:sup>
                </m:sSup>
              </m:oMath>
            </m:oMathPara>
          </w:p>
          <w:p w14:paraId="77E261ED" w14:textId="77777777" w:rsidR="00761D88" w:rsidRDefault="00761D88" w:rsidP="00761D88">
            <w:pPr>
              <w:pStyle w:val="CETHeadingxx"/>
              <w:rPr>
                <w:lang w:val="en-GB"/>
              </w:rPr>
            </w:pPr>
          </w:p>
        </w:tc>
        <w:tc>
          <w:tcPr>
            <w:tcW w:w="3808" w:type="dxa"/>
          </w:tcPr>
          <w:p w14:paraId="42D3C5B9" w14:textId="54E296C9" w:rsidR="00761D88" w:rsidRPr="00761D88" w:rsidRDefault="00761D88" w:rsidP="00761D88">
            <w:pPr>
              <w:pStyle w:val="CETHeadingxx"/>
              <w:rPr>
                <w:rFonts w:cs="Arial"/>
                <w:b w:val="0"/>
                <w:szCs w:val="18"/>
              </w:rPr>
            </w:pPr>
            <w:r w:rsidRPr="00761D88">
              <w:rPr>
                <w:rFonts w:cs="Arial"/>
                <w:b w:val="0"/>
                <w:szCs w:val="18"/>
              </w:rPr>
              <w:t xml:space="preserve">number of the parallel </w:t>
            </w:r>
            <w:proofErr w:type="spellStart"/>
            <w:r w:rsidRPr="00761D88">
              <w:rPr>
                <w:rFonts w:cs="Arial"/>
                <w:b w:val="0"/>
                <w:szCs w:val="18"/>
              </w:rPr>
              <w:t>Hydrocyclone</w:t>
            </w:r>
            <w:proofErr w:type="spellEnd"/>
          </w:p>
        </w:tc>
      </w:tr>
      <w:tr w:rsidR="00761D88" w14:paraId="772547C3" w14:textId="77777777" w:rsidTr="0056599B">
        <w:trPr>
          <w:trHeight w:hRule="exact" w:val="340"/>
        </w:trPr>
        <w:tc>
          <w:tcPr>
            <w:tcW w:w="624" w:type="dxa"/>
          </w:tcPr>
          <w:p w14:paraId="4780529F" w14:textId="7A95EB6D" w:rsidR="00761D88" w:rsidRDefault="00000000" w:rsidP="00761D88">
            <w:pPr>
              <w:pStyle w:val="CETHeadingxx"/>
              <w:jc w:val="both"/>
              <w:rPr>
                <w:lang w:val="en-GB"/>
              </w:rPr>
            </w:pPr>
            <m:oMathPara>
              <m:oMath>
                <m:sSub>
                  <m:sSubPr>
                    <m:ctrlPr>
                      <w:rPr>
                        <w:rFonts w:ascii="Cambria Math" w:hAnsi="Cambria Math"/>
                        <w:i/>
                        <w:lang w:val="en-GB"/>
                      </w:rPr>
                    </m:ctrlPr>
                  </m:sSubPr>
                  <m:e>
                    <m:r>
                      <m:rPr>
                        <m:sty m:val="bi"/>
                      </m:rPr>
                      <w:rPr>
                        <w:rFonts w:ascii="Cambria Math" w:hAnsi="Cambria Math"/>
                        <w:lang w:val="en-GB"/>
                      </w:rPr>
                      <m:t>C</m:t>
                    </m:r>
                  </m:e>
                  <m:sub>
                    <m:r>
                      <m:rPr>
                        <m:sty m:val="bi"/>
                      </m:rPr>
                      <w:rPr>
                        <w:rFonts w:ascii="Cambria Math" w:hAnsi="Cambria Math"/>
                        <w:lang w:val="en-GB"/>
                      </w:rPr>
                      <m:t>1,2,3</m:t>
                    </m:r>
                  </m:sub>
                </m:sSub>
              </m:oMath>
            </m:oMathPara>
          </w:p>
        </w:tc>
        <w:tc>
          <w:tcPr>
            <w:tcW w:w="4031" w:type="dxa"/>
          </w:tcPr>
          <w:p w14:paraId="33B9EDDE" w14:textId="77777777" w:rsidR="00761D88" w:rsidRPr="00761D88" w:rsidRDefault="00761D88" w:rsidP="00761D88">
            <w:pPr>
              <w:pStyle w:val="CETBodytext"/>
              <w:jc w:val="left"/>
              <w:rPr>
                <w:rFonts w:cs="Arial"/>
                <w:szCs w:val="18"/>
              </w:rPr>
            </w:pPr>
            <w:r w:rsidRPr="00761D88">
              <w:rPr>
                <w:rFonts w:cs="Arial"/>
                <w:szCs w:val="18"/>
              </w:rPr>
              <w:t>constants</w:t>
            </w:r>
          </w:p>
          <w:p w14:paraId="20EE79DA" w14:textId="77777777" w:rsidR="00761D88" w:rsidRPr="00761D88" w:rsidRDefault="00761D88" w:rsidP="00761D88">
            <w:pPr>
              <w:pStyle w:val="CETHeadingxx"/>
              <w:rPr>
                <w:rFonts w:cs="Arial"/>
                <w:b w:val="0"/>
                <w:szCs w:val="18"/>
                <w:lang w:val="en-GB"/>
              </w:rPr>
            </w:pPr>
          </w:p>
        </w:tc>
        <w:tc>
          <w:tcPr>
            <w:tcW w:w="604" w:type="dxa"/>
          </w:tcPr>
          <w:p w14:paraId="17CF06C6" w14:textId="77777777" w:rsidR="00761D88" w:rsidRPr="0076074E" w:rsidRDefault="00000000" w:rsidP="00761D88">
            <w:pPr>
              <w:pStyle w:val="BodyText"/>
              <w:jc w:val="center"/>
              <w:rPr>
                <w:rFonts w:cs="Arial"/>
                <w:szCs w:val="18"/>
              </w:rPr>
            </w:pPr>
            <m:oMathPara>
              <m:oMathParaPr>
                <m:jc m:val="left"/>
              </m:oMathParaPr>
              <m:oMath>
                <m:sSup>
                  <m:sSupPr>
                    <m:ctrlPr>
                      <w:rPr>
                        <w:rFonts w:ascii="Cambria Math" w:hAnsi="Cambria Math" w:cs="Arial"/>
                        <w:szCs w:val="18"/>
                      </w:rPr>
                    </m:ctrlPr>
                  </m:sSupPr>
                  <m:e>
                    <m:r>
                      <w:rPr>
                        <w:rFonts w:ascii="Cambria Math" w:hAnsi="Cambria Math" w:cs="Arial"/>
                        <w:szCs w:val="18"/>
                      </w:rPr>
                      <m:t>d</m:t>
                    </m:r>
                  </m:e>
                  <m:sup>
                    <m:r>
                      <w:rPr>
                        <w:rFonts w:ascii="Cambria Math" w:hAnsi="Cambria Math" w:cs="Arial"/>
                        <w:szCs w:val="18"/>
                      </w:rPr>
                      <m:t>HC</m:t>
                    </m:r>
                  </m:sup>
                </m:sSup>
              </m:oMath>
            </m:oMathPara>
          </w:p>
          <w:p w14:paraId="77C55CBC" w14:textId="77777777" w:rsidR="00761D88" w:rsidRDefault="00761D88" w:rsidP="00761D88">
            <w:pPr>
              <w:pStyle w:val="CETHeadingxx"/>
              <w:rPr>
                <w:lang w:val="en-GB"/>
              </w:rPr>
            </w:pPr>
          </w:p>
        </w:tc>
        <w:tc>
          <w:tcPr>
            <w:tcW w:w="3808" w:type="dxa"/>
          </w:tcPr>
          <w:p w14:paraId="69838F81" w14:textId="44E67B26" w:rsidR="00761D88" w:rsidRPr="00761D88" w:rsidRDefault="00761D88" w:rsidP="00761D88">
            <w:pPr>
              <w:pStyle w:val="CETHeadingxx"/>
              <w:rPr>
                <w:rFonts w:cs="Arial"/>
                <w:b w:val="0"/>
                <w:szCs w:val="18"/>
              </w:rPr>
            </w:pPr>
            <w:r w:rsidRPr="00761D88">
              <w:rPr>
                <w:rFonts w:cs="Arial"/>
                <w:b w:val="0"/>
                <w:szCs w:val="18"/>
              </w:rPr>
              <w:t xml:space="preserve">body diameter of the </w:t>
            </w:r>
            <w:proofErr w:type="spellStart"/>
            <w:r w:rsidRPr="00761D88">
              <w:rPr>
                <w:rFonts w:cs="Arial"/>
                <w:b w:val="0"/>
                <w:szCs w:val="18"/>
              </w:rPr>
              <w:t>Hydrocyclone</w:t>
            </w:r>
            <w:proofErr w:type="spellEnd"/>
            <w:r>
              <w:rPr>
                <w:rFonts w:cs="Arial"/>
                <w:b w:val="0"/>
                <w:szCs w:val="18"/>
              </w:rPr>
              <w:t xml:space="preserve">, </w:t>
            </w:r>
            <m:oMath>
              <m:r>
                <m:rPr>
                  <m:sty m:val="bi"/>
                </m:rPr>
                <w:rPr>
                  <w:rFonts w:ascii="Cambria Math" w:hAnsi="Cambria Math"/>
                </w:rPr>
                <m:t>m</m:t>
              </m:r>
            </m:oMath>
          </w:p>
        </w:tc>
      </w:tr>
      <w:tr w:rsidR="00761D88" w14:paraId="2BA02791" w14:textId="77777777" w:rsidTr="0056599B">
        <w:trPr>
          <w:trHeight w:hRule="exact" w:val="340"/>
        </w:trPr>
        <w:tc>
          <w:tcPr>
            <w:tcW w:w="624" w:type="dxa"/>
          </w:tcPr>
          <w:p w14:paraId="6C3F065D" w14:textId="1E096693" w:rsidR="00761D88" w:rsidRDefault="00761D88" w:rsidP="00761D88">
            <w:pPr>
              <w:pStyle w:val="CETHeadingxx"/>
              <w:jc w:val="both"/>
              <w:rPr>
                <w:lang w:val="en-GB"/>
              </w:rPr>
            </w:pPr>
            <m:oMathPara>
              <m:oMath>
                <m:r>
                  <m:rPr>
                    <m:sty m:val="bi"/>
                  </m:rPr>
                  <w:rPr>
                    <w:rFonts w:ascii="Cambria Math" w:hAnsi="Cambria Math"/>
                  </w:rPr>
                  <m:t>ε</m:t>
                </m:r>
              </m:oMath>
            </m:oMathPara>
          </w:p>
        </w:tc>
        <w:tc>
          <w:tcPr>
            <w:tcW w:w="4031" w:type="dxa"/>
          </w:tcPr>
          <w:p w14:paraId="7EE72A99" w14:textId="601CDCE0" w:rsidR="00761D88" w:rsidRPr="00761D88" w:rsidRDefault="00761D88" w:rsidP="00761D88">
            <w:pPr>
              <w:pStyle w:val="CETBodytext"/>
              <w:jc w:val="left"/>
              <w:rPr>
                <w:rFonts w:cs="Arial"/>
                <w:szCs w:val="18"/>
              </w:rPr>
            </w:pPr>
            <w:r>
              <w:t>energy dissipation rate</w:t>
            </w:r>
            <w:r w:rsidR="00347FE0">
              <w:t xml:space="preserve">, </w:t>
            </w:r>
            <m:oMath>
              <m:sSup>
                <m:sSupPr>
                  <m:ctrlPr>
                    <w:rPr>
                      <w:rFonts w:ascii="Cambria Math" w:hAnsi="Cambria Math" w:cs="Arial"/>
                      <w:i/>
                      <w:szCs w:val="18"/>
                    </w:rPr>
                  </m:ctrlPr>
                </m:sSupPr>
                <m:e>
                  <m:r>
                    <m:rPr>
                      <m:sty m:val="bi"/>
                    </m:rPr>
                    <w:rPr>
                      <w:rFonts w:ascii="Cambria Math" w:hAnsi="Cambria Math" w:cs="Arial"/>
                      <w:szCs w:val="18"/>
                    </w:rPr>
                    <m:t xml:space="preserve"> m</m:t>
                  </m:r>
                </m:e>
                <m:sup>
                  <m:r>
                    <w:rPr>
                      <w:rFonts w:ascii="Cambria Math" w:hAnsi="Cambria Math" w:cs="Arial"/>
                      <w:szCs w:val="18"/>
                    </w:rPr>
                    <m:t>2</m:t>
                  </m:r>
                </m:sup>
              </m:sSup>
              <m:sSup>
                <m:sSupPr>
                  <m:ctrlPr>
                    <w:rPr>
                      <w:rFonts w:ascii="Cambria Math" w:hAnsi="Cambria Math" w:cs="Arial"/>
                      <w:i/>
                      <w:szCs w:val="18"/>
                    </w:rPr>
                  </m:ctrlPr>
                </m:sSupPr>
                <m:e>
                  <m:r>
                    <m:rPr>
                      <m:sty m:val="bi"/>
                    </m:rPr>
                    <w:rPr>
                      <w:rFonts w:ascii="Cambria Math" w:hAnsi="Cambria Math" w:cs="Arial"/>
                      <w:szCs w:val="18"/>
                    </w:rPr>
                    <m:t>s</m:t>
                  </m:r>
                </m:e>
                <m:sup>
                  <m:r>
                    <m:rPr>
                      <m:sty m:val="bi"/>
                    </m:rPr>
                    <w:rPr>
                      <w:rFonts w:ascii="Cambria Math" w:hAnsi="Cambria Math" w:cs="Arial"/>
                      <w:szCs w:val="18"/>
                    </w:rPr>
                    <m:t>-3</m:t>
                  </m:r>
                </m:sup>
              </m:sSup>
            </m:oMath>
          </w:p>
          <w:p w14:paraId="48E407CF" w14:textId="77777777" w:rsidR="00761D88" w:rsidRPr="00761D88" w:rsidRDefault="00761D88" w:rsidP="00761D88">
            <w:pPr>
              <w:pStyle w:val="CETHeadingxx"/>
              <w:rPr>
                <w:rFonts w:cs="Arial"/>
                <w:b w:val="0"/>
                <w:szCs w:val="18"/>
                <w:lang w:val="en-GB"/>
              </w:rPr>
            </w:pPr>
          </w:p>
        </w:tc>
        <w:tc>
          <w:tcPr>
            <w:tcW w:w="604" w:type="dxa"/>
          </w:tcPr>
          <w:p w14:paraId="7C43A36E" w14:textId="77777777" w:rsidR="00761D88" w:rsidRPr="0076074E" w:rsidRDefault="00000000" w:rsidP="00761D88">
            <w:pPr>
              <w:pStyle w:val="BodyText"/>
              <w:jc w:val="center"/>
              <w:rPr>
                <w:rFonts w:cs="Arial"/>
                <w:szCs w:val="18"/>
              </w:rPr>
            </w:pPr>
            <m:oMathPara>
              <m:oMathParaPr>
                <m:jc m:val="left"/>
              </m:oMathParaPr>
              <m:oMath>
                <m:sSup>
                  <m:sSupPr>
                    <m:ctrlPr>
                      <w:rPr>
                        <w:rFonts w:ascii="Cambria Math" w:hAnsi="Cambria Math" w:cs="Arial"/>
                        <w:szCs w:val="18"/>
                      </w:rPr>
                    </m:ctrlPr>
                  </m:sSupPr>
                  <m:e>
                    <m:r>
                      <w:rPr>
                        <w:rFonts w:ascii="Cambria Math" w:hAnsi="Cambria Math" w:cs="Arial"/>
                        <w:szCs w:val="18"/>
                      </w:rPr>
                      <m:t>n</m:t>
                    </m:r>
                  </m:e>
                  <m:sup>
                    <m:r>
                      <w:rPr>
                        <w:rFonts w:ascii="Cambria Math" w:hAnsi="Cambria Math" w:cs="Arial"/>
                        <w:szCs w:val="18"/>
                      </w:rPr>
                      <m:t>IGF</m:t>
                    </m:r>
                  </m:sup>
                </m:sSup>
              </m:oMath>
            </m:oMathPara>
          </w:p>
          <w:p w14:paraId="6F0C6AEF" w14:textId="77777777" w:rsidR="00761D88" w:rsidRDefault="00761D88" w:rsidP="00761D88">
            <w:pPr>
              <w:pStyle w:val="CETHeadingxx"/>
              <w:rPr>
                <w:lang w:val="en-GB"/>
              </w:rPr>
            </w:pPr>
          </w:p>
        </w:tc>
        <w:tc>
          <w:tcPr>
            <w:tcW w:w="3808" w:type="dxa"/>
          </w:tcPr>
          <w:p w14:paraId="4A6F51C1" w14:textId="34B556C8" w:rsidR="00761D88" w:rsidRPr="00761D88" w:rsidRDefault="00761D88" w:rsidP="00761D88">
            <w:pPr>
              <w:pStyle w:val="CETHeadingxx"/>
              <w:rPr>
                <w:rFonts w:cs="Arial"/>
                <w:b w:val="0"/>
                <w:szCs w:val="18"/>
              </w:rPr>
            </w:pPr>
            <w:r w:rsidRPr="00761D88">
              <w:rPr>
                <w:rFonts w:cs="Arial"/>
                <w:b w:val="0"/>
                <w:szCs w:val="18"/>
              </w:rPr>
              <w:t>number of IGF cells</w:t>
            </w:r>
          </w:p>
        </w:tc>
      </w:tr>
      <w:tr w:rsidR="00761D88" w14:paraId="7F36971D" w14:textId="77777777" w:rsidTr="0056599B">
        <w:trPr>
          <w:trHeight w:hRule="exact" w:val="340"/>
        </w:trPr>
        <w:tc>
          <w:tcPr>
            <w:tcW w:w="624" w:type="dxa"/>
          </w:tcPr>
          <w:p w14:paraId="3A1A9FF8" w14:textId="3380F3CB" w:rsidR="00761D88" w:rsidRDefault="00000000" w:rsidP="00761D88">
            <w:pPr>
              <w:pStyle w:val="CETHeadingxx"/>
              <w:jc w:val="both"/>
              <w:rPr>
                <w:lang w:val="en-GB"/>
              </w:rPr>
            </w:pPr>
            <m:oMathPara>
              <m:oMath>
                <m:sSub>
                  <m:sSubPr>
                    <m:ctrlPr>
                      <w:rPr>
                        <w:rFonts w:ascii="Cambria Math" w:hAnsi="Cambria Math"/>
                      </w:rPr>
                    </m:ctrlPr>
                  </m:sSubPr>
                  <m:e>
                    <m:r>
                      <m:rPr>
                        <m:sty m:val="bi"/>
                      </m:rPr>
                      <w:rPr>
                        <w:rFonts w:ascii="Cambria Math" w:hAnsi="Cambria Math"/>
                      </w:rPr>
                      <m:t>α</m:t>
                    </m:r>
                  </m:e>
                  <m:sub>
                    <m:r>
                      <m:rPr>
                        <m:sty m:val="bi"/>
                      </m:rPr>
                      <w:rPr>
                        <w:rFonts w:ascii="Cambria Math" w:hAnsi="Cambria Math"/>
                      </w:rPr>
                      <m:t>d</m:t>
                    </m:r>
                  </m:sub>
                </m:sSub>
              </m:oMath>
            </m:oMathPara>
          </w:p>
        </w:tc>
        <w:tc>
          <w:tcPr>
            <w:tcW w:w="4031" w:type="dxa"/>
          </w:tcPr>
          <w:p w14:paraId="2A77D313" w14:textId="1366667F" w:rsidR="00761D88" w:rsidRPr="00761D88" w:rsidRDefault="00761D88" w:rsidP="00761D88">
            <w:pPr>
              <w:pStyle w:val="CETHeadingxx"/>
              <w:rPr>
                <w:rFonts w:cs="Arial"/>
                <w:b w:val="0"/>
                <w:szCs w:val="18"/>
                <w:lang w:val="en-GB"/>
              </w:rPr>
            </w:pPr>
            <w:r w:rsidRPr="00761D88">
              <w:rPr>
                <w:rFonts w:cs="Arial"/>
                <w:b w:val="0"/>
                <w:szCs w:val="18"/>
              </w:rPr>
              <w:t>volume fraction of the dispersed phase</w:t>
            </w:r>
          </w:p>
        </w:tc>
        <w:tc>
          <w:tcPr>
            <w:tcW w:w="604" w:type="dxa"/>
          </w:tcPr>
          <w:p w14:paraId="49E1BA6E" w14:textId="77777777" w:rsidR="00761D88" w:rsidRPr="0076074E" w:rsidRDefault="00000000" w:rsidP="00761D88">
            <w:pPr>
              <w:pStyle w:val="BodyText"/>
              <w:jc w:val="center"/>
              <w:rPr>
                <w:rFonts w:cs="Arial"/>
                <w:szCs w:val="18"/>
              </w:rPr>
            </w:pPr>
            <m:oMathPara>
              <m:oMathParaPr>
                <m:jc m:val="left"/>
              </m:oMathParaPr>
              <m:oMath>
                <m:sSup>
                  <m:sSupPr>
                    <m:ctrlPr>
                      <w:rPr>
                        <w:rFonts w:ascii="Cambria Math" w:hAnsi="Cambria Math" w:cs="Arial"/>
                        <w:szCs w:val="18"/>
                      </w:rPr>
                    </m:ctrlPr>
                  </m:sSupPr>
                  <m:e>
                    <m:r>
                      <w:rPr>
                        <w:rFonts w:ascii="Cambria Math" w:hAnsi="Cambria Math" w:cs="Arial"/>
                        <w:szCs w:val="18"/>
                      </w:rPr>
                      <m:t>r</m:t>
                    </m:r>
                  </m:e>
                  <m:sup>
                    <m:r>
                      <w:rPr>
                        <w:rFonts w:ascii="Cambria Math" w:hAnsi="Cambria Math" w:cs="Arial"/>
                        <w:szCs w:val="18"/>
                      </w:rPr>
                      <m:t>IGF</m:t>
                    </m:r>
                  </m:sup>
                </m:sSup>
              </m:oMath>
            </m:oMathPara>
          </w:p>
          <w:p w14:paraId="51E93B8B" w14:textId="77777777" w:rsidR="00761D88" w:rsidRDefault="00761D88" w:rsidP="00761D88">
            <w:pPr>
              <w:pStyle w:val="CETHeadingxx"/>
              <w:rPr>
                <w:lang w:val="en-GB"/>
              </w:rPr>
            </w:pPr>
          </w:p>
        </w:tc>
        <w:tc>
          <w:tcPr>
            <w:tcW w:w="3808" w:type="dxa"/>
          </w:tcPr>
          <w:p w14:paraId="7B9E33CF" w14:textId="1D6ECBFB" w:rsidR="00761D88" w:rsidRPr="00761D88" w:rsidRDefault="00761D88" w:rsidP="00761D88">
            <w:pPr>
              <w:pStyle w:val="CETHeadingxx"/>
              <w:rPr>
                <w:rFonts w:cs="Arial"/>
                <w:b w:val="0"/>
                <w:szCs w:val="18"/>
              </w:rPr>
            </w:pPr>
            <w:r w:rsidRPr="00761D88">
              <w:rPr>
                <w:rFonts w:cs="Arial"/>
                <w:b w:val="0"/>
                <w:szCs w:val="18"/>
              </w:rPr>
              <w:t>radius of IGF cells</w:t>
            </w:r>
            <w:r>
              <w:rPr>
                <w:rFonts w:cs="Arial"/>
                <w:b w:val="0"/>
                <w:szCs w:val="18"/>
              </w:rPr>
              <w:t xml:space="preserve">, </w:t>
            </w:r>
            <m:oMath>
              <m:r>
                <m:rPr>
                  <m:sty m:val="bi"/>
                </m:rPr>
                <w:rPr>
                  <w:rFonts w:ascii="Cambria Math" w:hAnsi="Cambria Math"/>
                </w:rPr>
                <m:t>m</m:t>
              </m:r>
            </m:oMath>
          </w:p>
        </w:tc>
      </w:tr>
      <w:tr w:rsidR="00761D88" w14:paraId="75BCCBD3" w14:textId="77777777" w:rsidTr="0056599B">
        <w:trPr>
          <w:trHeight w:hRule="exact" w:val="435"/>
        </w:trPr>
        <w:tc>
          <w:tcPr>
            <w:tcW w:w="624" w:type="dxa"/>
          </w:tcPr>
          <w:p w14:paraId="36ED5CD0" w14:textId="512A226E" w:rsidR="00761D88" w:rsidRDefault="00761D88" w:rsidP="00761D88">
            <w:pPr>
              <w:pStyle w:val="CETHeadingxx"/>
              <w:jc w:val="both"/>
              <w:rPr>
                <w:lang w:val="en-GB"/>
              </w:rPr>
            </w:pPr>
            <m:oMathPara>
              <m:oMath>
                <m:r>
                  <m:rPr>
                    <m:sty m:val="bi"/>
                  </m:rPr>
                  <w:rPr>
                    <w:rFonts w:ascii="Cambria Math" w:hAnsi="Cambria Math"/>
                  </w:rPr>
                  <m:t>σ</m:t>
                </m:r>
              </m:oMath>
            </m:oMathPara>
          </w:p>
        </w:tc>
        <w:tc>
          <w:tcPr>
            <w:tcW w:w="4031" w:type="dxa"/>
          </w:tcPr>
          <w:p w14:paraId="4B0E71DA" w14:textId="5756E712" w:rsidR="00761D88" w:rsidRPr="00761D88" w:rsidRDefault="00761D88" w:rsidP="00347FE0">
            <w:pPr>
              <w:pStyle w:val="CETHeadingxx"/>
              <w:rPr>
                <w:rFonts w:cs="Arial"/>
                <w:b w:val="0"/>
                <w:szCs w:val="18"/>
                <w:lang w:val="en-GB"/>
              </w:rPr>
            </w:pPr>
            <w:r w:rsidRPr="00761D88">
              <w:rPr>
                <w:rFonts w:cs="Arial"/>
                <w:b w:val="0"/>
                <w:szCs w:val="18"/>
              </w:rPr>
              <w:t>interfacial tension between oil and water</w:t>
            </w:r>
            <w:r w:rsidR="00347FE0">
              <w:rPr>
                <w:rFonts w:cs="Arial"/>
                <w:b w:val="0"/>
                <w:szCs w:val="18"/>
              </w:rPr>
              <w:t>, kg</w:t>
            </w:r>
            <m:oMath>
              <m:r>
                <m:rPr>
                  <m:sty m:val="bi"/>
                </m:rPr>
                <w:rPr>
                  <w:rFonts w:ascii="Cambria Math" w:hAnsi="Cambria Math"/>
                </w:rPr>
                <m:t xml:space="preserve"> </m:t>
              </m:r>
              <m:sSup>
                <m:sSupPr>
                  <m:ctrlPr>
                    <w:rPr>
                      <w:rFonts w:ascii="Cambria Math" w:hAnsi="Cambria Math" w:cs="Arial"/>
                      <w:b w:val="0"/>
                      <w:i/>
                      <w:szCs w:val="18"/>
                    </w:rPr>
                  </m:ctrlPr>
                </m:sSupPr>
                <m:e>
                  <m:r>
                    <m:rPr>
                      <m:sty m:val="bi"/>
                    </m:rPr>
                    <w:rPr>
                      <w:rFonts w:ascii="Cambria Math" w:hAnsi="Cambria Math" w:cs="Arial"/>
                      <w:szCs w:val="18"/>
                    </w:rPr>
                    <m:t>s</m:t>
                  </m:r>
                </m:e>
                <m:sup>
                  <m:r>
                    <m:rPr>
                      <m:sty m:val="bi"/>
                    </m:rPr>
                    <w:rPr>
                      <w:rFonts w:ascii="Cambria Math" w:hAnsi="Cambria Math" w:cs="Arial"/>
                      <w:szCs w:val="18"/>
                    </w:rPr>
                    <m:t>-2</m:t>
                  </m:r>
                </m:sup>
              </m:sSup>
            </m:oMath>
          </w:p>
        </w:tc>
        <w:tc>
          <w:tcPr>
            <w:tcW w:w="604" w:type="dxa"/>
          </w:tcPr>
          <w:p w14:paraId="04328D51" w14:textId="35AE7536" w:rsidR="00761D88" w:rsidRPr="00761D88" w:rsidRDefault="00000000" w:rsidP="00761D88">
            <w:pPr>
              <w:pStyle w:val="BodyText"/>
              <w:jc w:val="center"/>
              <w:rPr>
                <w:rFonts w:cs="Arial"/>
                <w:szCs w:val="18"/>
              </w:rPr>
            </w:pPr>
            <m:oMathPara>
              <m:oMath>
                <m:sSup>
                  <m:sSupPr>
                    <m:ctrlPr>
                      <w:rPr>
                        <w:rFonts w:ascii="Cambria Math" w:hAnsi="Cambria Math" w:cs="Arial"/>
                        <w:szCs w:val="18"/>
                      </w:rPr>
                    </m:ctrlPr>
                  </m:sSupPr>
                  <m:e>
                    <m:r>
                      <w:rPr>
                        <w:rFonts w:ascii="Cambria Math" w:hAnsi="Cambria Math" w:cs="Arial"/>
                        <w:szCs w:val="18"/>
                      </w:rPr>
                      <m:t>h</m:t>
                    </m:r>
                  </m:e>
                  <m:sup>
                    <m:r>
                      <w:rPr>
                        <w:rFonts w:ascii="Cambria Math" w:hAnsi="Cambria Math" w:cs="Arial"/>
                        <w:szCs w:val="18"/>
                      </w:rPr>
                      <m:t>IGF</m:t>
                    </m:r>
                  </m:sup>
                </m:sSup>
              </m:oMath>
            </m:oMathPara>
          </w:p>
        </w:tc>
        <w:tc>
          <w:tcPr>
            <w:tcW w:w="3808" w:type="dxa"/>
          </w:tcPr>
          <w:p w14:paraId="22641D17" w14:textId="7677B670" w:rsidR="00761D88" w:rsidRPr="00761D88" w:rsidRDefault="00761D88" w:rsidP="00761D88">
            <w:pPr>
              <w:pStyle w:val="CETHeadingxx"/>
              <w:rPr>
                <w:rFonts w:cs="Arial"/>
                <w:b w:val="0"/>
                <w:szCs w:val="18"/>
              </w:rPr>
            </w:pPr>
            <w:r w:rsidRPr="00761D88">
              <w:rPr>
                <w:rFonts w:cs="Arial"/>
                <w:b w:val="0"/>
                <w:szCs w:val="18"/>
              </w:rPr>
              <w:t>high of IGF cells</w:t>
            </w:r>
            <w:r>
              <w:rPr>
                <w:rFonts w:cs="Arial"/>
                <w:b w:val="0"/>
                <w:szCs w:val="18"/>
              </w:rPr>
              <w:t xml:space="preserve">, </w:t>
            </w:r>
            <m:oMath>
              <m:r>
                <m:rPr>
                  <m:sty m:val="bi"/>
                </m:rPr>
                <w:rPr>
                  <w:rFonts w:ascii="Cambria Math" w:hAnsi="Cambria Math"/>
                </w:rPr>
                <m:t>m</m:t>
              </m:r>
            </m:oMath>
          </w:p>
        </w:tc>
      </w:tr>
      <w:tr w:rsidR="00761D88" w14:paraId="434AF396" w14:textId="77777777" w:rsidTr="0056599B">
        <w:trPr>
          <w:trHeight w:hRule="exact" w:val="340"/>
        </w:trPr>
        <w:tc>
          <w:tcPr>
            <w:tcW w:w="624" w:type="dxa"/>
          </w:tcPr>
          <w:p w14:paraId="4D17B131" w14:textId="43146C98" w:rsidR="00761D88" w:rsidRDefault="00000000" w:rsidP="00761D88">
            <w:pPr>
              <w:pStyle w:val="CETHeadingxx"/>
              <w:jc w:val="both"/>
              <w:rPr>
                <w:lang w:val="en-GB"/>
              </w:rPr>
            </w:pPr>
            <m:oMathPara>
              <m:oMath>
                <m:sSub>
                  <m:sSubPr>
                    <m:ctrlPr>
                      <w:rPr>
                        <w:rFonts w:ascii="Cambria Math" w:hAnsi="Cambria Math"/>
                      </w:rPr>
                    </m:ctrlPr>
                  </m:sSubPr>
                  <m:e>
                    <m:r>
                      <m:rPr>
                        <m:sty m:val="bi"/>
                      </m:rPr>
                      <w:rPr>
                        <w:rFonts w:ascii="Cambria Math" w:hAnsi="Cambria Math"/>
                      </w:rPr>
                      <m:t>ρ</m:t>
                    </m:r>
                  </m:e>
                  <m:sub>
                    <m:r>
                      <m:rPr>
                        <m:sty m:val="bi"/>
                      </m:rPr>
                      <w:rPr>
                        <w:rFonts w:ascii="Cambria Math" w:hAnsi="Cambria Math"/>
                      </w:rPr>
                      <m:t>d</m:t>
                    </m:r>
                  </m:sub>
                </m:sSub>
              </m:oMath>
            </m:oMathPara>
          </w:p>
        </w:tc>
        <w:tc>
          <w:tcPr>
            <w:tcW w:w="4031" w:type="dxa"/>
          </w:tcPr>
          <w:p w14:paraId="20F57E31" w14:textId="6F60F6EF" w:rsidR="00761D88" w:rsidRPr="00761D88" w:rsidRDefault="00761D88" w:rsidP="00347FE0">
            <w:pPr>
              <w:pStyle w:val="CETHeadingxx"/>
              <w:rPr>
                <w:rFonts w:cs="Arial"/>
                <w:b w:val="0"/>
                <w:szCs w:val="18"/>
                <w:lang w:val="en-GB"/>
              </w:rPr>
            </w:pPr>
            <w:r w:rsidRPr="00761D88">
              <w:rPr>
                <w:rFonts w:cs="Arial"/>
                <w:b w:val="0"/>
                <w:szCs w:val="18"/>
              </w:rPr>
              <w:t>density of oil</w:t>
            </w:r>
            <w:r>
              <w:rPr>
                <w:rFonts w:cs="Arial"/>
                <w:b w:val="0"/>
                <w:szCs w:val="18"/>
              </w:rPr>
              <w:t xml:space="preserve">, </w:t>
            </w:r>
            <m:oMath>
              <m:r>
                <m:rPr>
                  <m:sty m:val="bi"/>
                </m:rPr>
                <w:rPr>
                  <w:rFonts w:ascii="Cambria Math" w:hAnsi="Cambria Math"/>
                </w:rPr>
                <m:t xml:space="preserve">kg </m:t>
              </m:r>
              <m:sSup>
                <m:sSupPr>
                  <m:ctrlPr>
                    <w:rPr>
                      <w:rFonts w:ascii="Cambria Math" w:hAnsi="Cambria Math" w:cs="Arial"/>
                      <w:b w:val="0"/>
                      <w:i/>
                      <w:szCs w:val="18"/>
                    </w:rPr>
                  </m:ctrlPr>
                </m:sSupPr>
                <m:e>
                  <m:r>
                    <m:rPr>
                      <m:sty m:val="bi"/>
                    </m:rPr>
                    <w:rPr>
                      <w:rFonts w:ascii="Cambria Math" w:hAnsi="Cambria Math" w:cs="Arial"/>
                      <w:szCs w:val="18"/>
                    </w:rPr>
                    <m:t>m</m:t>
                  </m:r>
                </m:e>
                <m:sup>
                  <m:r>
                    <m:rPr>
                      <m:sty m:val="bi"/>
                    </m:rPr>
                    <w:rPr>
                      <w:rFonts w:ascii="Cambria Math" w:hAnsi="Cambria Math" w:cs="Arial"/>
                      <w:szCs w:val="18"/>
                    </w:rPr>
                    <m:t>-3</m:t>
                  </m:r>
                </m:sup>
              </m:sSup>
            </m:oMath>
          </w:p>
        </w:tc>
        <w:tc>
          <w:tcPr>
            <w:tcW w:w="604" w:type="dxa"/>
          </w:tcPr>
          <w:p w14:paraId="7706DAFD" w14:textId="77777777" w:rsidR="00761D88" w:rsidRPr="0076074E" w:rsidRDefault="00761D88" w:rsidP="00761D88">
            <w:pPr>
              <w:pStyle w:val="BodyText"/>
              <w:jc w:val="center"/>
              <w:rPr>
                <w:rFonts w:cs="Arial"/>
                <w:szCs w:val="18"/>
              </w:rPr>
            </w:pPr>
            <m:oMathPara>
              <m:oMathParaPr>
                <m:jc m:val="left"/>
              </m:oMathParaPr>
              <m:oMath>
                <m:r>
                  <m:rPr>
                    <m:sty m:val="p"/>
                  </m:rPr>
                  <w:rPr>
                    <w:rFonts w:ascii="Cambria Math" w:hAnsi="Cambria Math" w:cs="Arial"/>
                    <w:szCs w:val="18"/>
                  </w:rPr>
                  <m:t>Qg</m:t>
                </m:r>
              </m:oMath>
            </m:oMathPara>
          </w:p>
          <w:p w14:paraId="04F6EC08" w14:textId="77777777" w:rsidR="00761D88" w:rsidRDefault="00761D88" w:rsidP="00761D88">
            <w:pPr>
              <w:pStyle w:val="CETHeadingxx"/>
              <w:rPr>
                <w:lang w:val="en-GB"/>
              </w:rPr>
            </w:pPr>
          </w:p>
        </w:tc>
        <w:tc>
          <w:tcPr>
            <w:tcW w:w="3808" w:type="dxa"/>
          </w:tcPr>
          <w:p w14:paraId="0FC9944C" w14:textId="6B0EE714" w:rsidR="00761D88" w:rsidRPr="00761D88" w:rsidRDefault="00761D88" w:rsidP="00761D88">
            <w:pPr>
              <w:pStyle w:val="CETHeadingxx"/>
              <w:rPr>
                <w:rFonts w:cs="Arial"/>
                <w:b w:val="0"/>
                <w:szCs w:val="18"/>
              </w:rPr>
            </w:pPr>
            <w:r w:rsidRPr="00761D88">
              <w:rPr>
                <w:rFonts w:cs="Arial"/>
                <w:b w:val="0"/>
                <w:szCs w:val="18"/>
              </w:rPr>
              <w:t>gas flowrate into IGF cells</w:t>
            </w:r>
            <w:r>
              <w:rPr>
                <w:rFonts w:cs="Arial"/>
                <w:b w:val="0"/>
                <w:szCs w:val="18"/>
              </w:rPr>
              <w:t xml:space="preserve">, </w:t>
            </w:r>
            <m:oMath>
              <m:r>
                <m:rPr>
                  <m:sty m:val="bi"/>
                </m:rPr>
                <w:rPr>
                  <w:rFonts w:ascii="Cambria Math" w:hAnsi="Cambria Math"/>
                </w:rPr>
                <m:t>m</m:t>
              </m:r>
            </m:oMath>
            <w:r w:rsidRPr="00D8703F">
              <w:rPr>
                <w:rFonts w:cs="Arial"/>
                <w:szCs w:val="18"/>
                <w:vertAlign w:val="superscript"/>
              </w:rPr>
              <w:t xml:space="preserve"> 3 </w:t>
            </w:r>
            <w:r w:rsidRPr="00D8703F">
              <w:rPr>
                <w:rFonts w:cs="Arial"/>
                <w:szCs w:val="18"/>
              </w:rPr>
              <w:t>s</w:t>
            </w:r>
            <w:r w:rsidRPr="00D8703F">
              <w:rPr>
                <w:rFonts w:cs="Arial"/>
                <w:szCs w:val="18"/>
                <w:vertAlign w:val="superscript"/>
              </w:rPr>
              <w:t>-1</w:t>
            </w:r>
          </w:p>
        </w:tc>
      </w:tr>
    </w:tbl>
    <w:p w14:paraId="0B7CACC9" w14:textId="77777777" w:rsidR="004C390C" w:rsidRDefault="004C390C" w:rsidP="004C390C">
      <w:pPr>
        <w:pStyle w:val="BodyText"/>
      </w:pPr>
    </w:p>
    <w:p w14:paraId="6A8F16BF" w14:textId="77777777" w:rsidR="00C37CDC" w:rsidRDefault="00C37CDC" w:rsidP="005665C2">
      <w:pPr>
        <w:pStyle w:val="CETReference"/>
      </w:pPr>
    </w:p>
    <w:p w14:paraId="745FD69E" w14:textId="6D1570A3" w:rsidR="00862E4F" w:rsidRDefault="00862E4F" w:rsidP="005665C2">
      <w:pPr>
        <w:pStyle w:val="CETReference"/>
      </w:pPr>
      <w:r w:rsidRPr="005665C2">
        <w:lastRenderedPageBreak/>
        <w:t>References</w:t>
      </w:r>
    </w:p>
    <w:p w14:paraId="1BB9745F" w14:textId="25BDB111" w:rsidR="00147FCB" w:rsidRDefault="00147FCB" w:rsidP="004C390C">
      <w:pPr>
        <w:pStyle w:val="CETReferencetext"/>
      </w:pPr>
      <w:bookmarkStart w:id="8" w:name="ref-al2019produced"/>
      <w:bookmarkStart w:id="9" w:name="refs"/>
      <w:r>
        <w:t>Al-</w:t>
      </w:r>
      <w:proofErr w:type="spellStart"/>
      <w:r>
        <w:t>Ghouti</w:t>
      </w:r>
      <w:proofErr w:type="spellEnd"/>
      <w:r w:rsidR="00B406B2">
        <w:t xml:space="preserve"> M.</w:t>
      </w:r>
      <w:r>
        <w:t>, Al-</w:t>
      </w:r>
      <w:proofErr w:type="spellStart"/>
      <w:r>
        <w:t>Kaabi</w:t>
      </w:r>
      <w:proofErr w:type="spellEnd"/>
      <w:r w:rsidR="006237E1">
        <w:t xml:space="preserve"> M.</w:t>
      </w:r>
      <w:r>
        <w:t>, Ashfaq</w:t>
      </w:r>
      <w:r w:rsidR="006237E1">
        <w:t xml:space="preserve"> M.</w:t>
      </w:r>
      <w:r>
        <w:t xml:space="preserve">, </w:t>
      </w:r>
      <w:proofErr w:type="spellStart"/>
      <w:r>
        <w:t>Da’na</w:t>
      </w:r>
      <w:proofErr w:type="spellEnd"/>
      <w:r w:rsidR="006237E1">
        <w:t xml:space="preserve"> D., </w:t>
      </w:r>
      <w:r>
        <w:t>2019</w:t>
      </w:r>
      <w:r w:rsidR="00DC4597">
        <w:t>,</w:t>
      </w:r>
      <w:r>
        <w:t xml:space="preserve"> Produced Water Characteristics, Treatment and Reuse: A Review</w:t>
      </w:r>
      <w:r w:rsidR="00DC4597">
        <w:t>,</w:t>
      </w:r>
      <w:r>
        <w:t xml:space="preserve"> </w:t>
      </w:r>
      <w:r>
        <w:rPr>
          <w:i/>
        </w:rPr>
        <w:t>Journal of Water Process Engineering</w:t>
      </w:r>
      <w:r w:rsidR="00DC4597">
        <w:rPr>
          <w:i/>
        </w:rPr>
        <w:t>,</w:t>
      </w:r>
      <w:r>
        <w:t xml:space="preserve"> 28</w:t>
      </w:r>
      <w:r w:rsidR="00DC4597">
        <w:t>,</w:t>
      </w:r>
      <w:r>
        <w:t xml:space="preserve"> 222–39.</w:t>
      </w:r>
    </w:p>
    <w:p w14:paraId="34B2157D" w14:textId="6A241E96" w:rsidR="00147FCB" w:rsidRDefault="0063599D" w:rsidP="004C390C">
      <w:pPr>
        <w:pStyle w:val="CETReferencetext"/>
      </w:pPr>
      <w:bookmarkStart w:id="10" w:name="ref-api1990monographs"/>
      <w:bookmarkEnd w:id="8"/>
      <w:r w:rsidRPr="00D04BB2">
        <w:t>API</w:t>
      </w:r>
      <w:r w:rsidR="00147FCB" w:rsidRPr="00D04BB2">
        <w:t>, 1990</w:t>
      </w:r>
      <w:r w:rsidR="00DC4597" w:rsidRPr="00D04BB2">
        <w:t>,</w:t>
      </w:r>
      <w:r w:rsidR="00147FCB" w:rsidRPr="00D04BB2">
        <w:t xml:space="preserve"> Monographs on Refinery Environmental Control-Management of Water Discharges. </w:t>
      </w:r>
      <w:r w:rsidR="00147FCB" w:rsidRPr="00D04BB2">
        <w:rPr>
          <w:i/>
        </w:rPr>
        <w:t>Design and Operation of Oil-Water Separators</w:t>
      </w:r>
      <w:r w:rsidR="00147FCB" w:rsidRPr="00D04BB2">
        <w:t>. American Petroleum Institute Publication</w:t>
      </w:r>
      <w:r w:rsidR="00FE387B" w:rsidRPr="00D04BB2">
        <w:t>,</w:t>
      </w:r>
      <w:r w:rsidR="00147FCB" w:rsidRPr="00D04BB2">
        <w:t xml:space="preserve"> </w:t>
      </w:r>
      <w:r w:rsidR="00D04BB2" w:rsidRPr="00D04BB2">
        <w:t xml:space="preserve">Publication </w:t>
      </w:r>
      <w:r w:rsidR="00147FCB" w:rsidRPr="00D04BB2">
        <w:t>421.</w:t>
      </w:r>
    </w:p>
    <w:p w14:paraId="2EEF1FFF" w14:textId="62D95654" w:rsidR="00147FCB" w:rsidRDefault="00147FCB" w:rsidP="004C390C">
      <w:pPr>
        <w:pStyle w:val="CETReferencetext"/>
      </w:pPr>
      <w:bookmarkStart w:id="11" w:name="ref-bagheri_optimal_2018"/>
      <w:bookmarkEnd w:id="10"/>
      <w:r w:rsidRPr="00FE387B">
        <w:t>Bagheri</w:t>
      </w:r>
      <w:r w:rsidR="00FE387B" w:rsidRPr="00FE387B">
        <w:t xml:space="preserve"> M.</w:t>
      </w:r>
      <w:r w:rsidRPr="00FE387B">
        <w:t xml:space="preserve">, </w:t>
      </w:r>
      <w:proofErr w:type="spellStart"/>
      <w:r w:rsidR="00FE387B" w:rsidRPr="00FE387B">
        <w:t>R</w:t>
      </w:r>
      <w:r w:rsidRPr="00FE387B">
        <w:t>oshandel</w:t>
      </w:r>
      <w:proofErr w:type="spellEnd"/>
      <w:r w:rsidR="00FE387B" w:rsidRPr="00FE387B">
        <w:t xml:space="preserve"> R.</w:t>
      </w:r>
      <w:r w:rsidRPr="00FE387B">
        <w:t xml:space="preserve">, </w:t>
      </w:r>
      <w:proofErr w:type="spellStart"/>
      <w:r w:rsidRPr="00FE387B">
        <w:t>Shayegan</w:t>
      </w:r>
      <w:proofErr w:type="spellEnd"/>
      <w:r w:rsidR="00FE387B" w:rsidRPr="00FE387B">
        <w:t xml:space="preserve"> J., </w:t>
      </w:r>
      <w:r w:rsidRPr="00FE387B">
        <w:t>2018</w:t>
      </w:r>
      <w:r w:rsidR="00FE387B" w:rsidRPr="00FE387B">
        <w:t>,</w:t>
      </w:r>
      <w:r w:rsidRPr="00FE387B">
        <w:t xml:space="preserve"> Optimal Selection of an Integrated Produced Water Treatment System in the Upstream of Oil Industry</w:t>
      </w:r>
      <w:r w:rsidR="00FE387B" w:rsidRPr="00FE387B">
        <w:t>,</w:t>
      </w:r>
      <w:r w:rsidRPr="00FE387B">
        <w:t xml:space="preserve"> </w:t>
      </w:r>
      <w:r w:rsidRPr="00FE387B">
        <w:rPr>
          <w:i/>
        </w:rPr>
        <w:t>Process Safety and Environmental Protection</w:t>
      </w:r>
      <w:r w:rsidR="00FE387B" w:rsidRPr="00FE387B">
        <w:rPr>
          <w:i/>
        </w:rPr>
        <w:t>,</w:t>
      </w:r>
      <w:r w:rsidRPr="00FE387B">
        <w:t xml:space="preserve"> 117</w:t>
      </w:r>
      <w:r w:rsidR="00FE387B" w:rsidRPr="00FE387B">
        <w:t>,</w:t>
      </w:r>
      <w:r w:rsidRPr="00FE387B">
        <w:t xml:space="preserve"> 67–81.</w:t>
      </w:r>
    </w:p>
    <w:p w14:paraId="26AB4D55" w14:textId="2CB1B1FF" w:rsidR="00147FCB" w:rsidRDefault="00147FCB" w:rsidP="004C390C">
      <w:pPr>
        <w:pStyle w:val="CETReferencetext"/>
      </w:pPr>
      <w:bookmarkStart w:id="12" w:name="ref-boraey2018hydro"/>
      <w:bookmarkEnd w:id="11"/>
      <w:proofErr w:type="spellStart"/>
      <w:r>
        <w:t>Boraey</w:t>
      </w:r>
      <w:proofErr w:type="spellEnd"/>
      <w:r w:rsidR="005A0407">
        <w:t xml:space="preserve"> M.</w:t>
      </w:r>
      <w:r>
        <w:t>, 2018</w:t>
      </w:r>
      <w:r w:rsidR="00DC4597">
        <w:t>,</w:t>
      </w:r>
      <w:r>
        <w:t xml:space="preserve"> A Hydro-Kinematic Approach for the Design of Compact Corrugated Plate Interceptors for the de-Oiling of Produced Water</w:t>
      </w:r>
      <w:r w:rsidR="00DC4597">
        <w:t>,</w:t>
      </w:r>
      <w:r>
        <w:t xml:space="preserve"> </w:t>
      </w:r>
      <w:r>
        <w:rPr>
          <w:i/>
        </w:rPr>
        <w:t>Chemical Engineering and Processing-Process Intensification</w:t>
      </w:r>
      <w:r w:rsidR="00DC4597">
        <w:rPr>
          <w:i/>
        </w:rPr>
        <w:t>,</w:t>
      </w:r>
      <w:r>
        <w:t xml:space="preserve"> 130</w:t>
      </w:r>
      <w:r w:rsidR="00DC4597">
        <w:t xml:space="preserve">, </w:t>
      </w:r>
      <w:r>
        <w:t>127–33.</w:t>
      </w:r>
    </w:p>
    <w:p w14:paraId="14C28B9A" w14:textId="5D83E6CD" w:rsidR="00147FCB" w:rsidRDefault="00147FCB" w:rsidP="00FE387B">
      <w:pPr>
        <w:pStyle w:val="CETReferencetext"/>
      </w:pPr>
      <w:bookmarkStart w:id="13" w:name="ref-coker2007ludwig"/>
      <w:bookmarkEnd w:id="12"/>
      <w:r w:rsidRPr="00FE387B">
        <w:t>Coker</w:t>
      </w:r>
      <w:r w:rsidR="00DC4597" w:rsidRPr="00FE387B">
        <w:t xml:space="preserve"> K.</w:t>
      </w:r>
      <w:r w:rsidRPr="00FE387B">
        <w:t>, 2007</w:t>
      </w:r>
      <w:r w:rsidR="00DC4597" w:rsidRPr="00FE387B">
        <w:t>,</w:t>
      </w:r>
      <w:r w:rsidRPr="00FE387B">
        <w:t xml:space="preserve"> Ludwig’s Applied Process Design for Chemical and Petrochemical Plants, </w:t>
      </w:r>
      <w:r w:rsidR="00FE387B" w:rsidRPr="00FE387B">
        <w:rPr>
          <w:rFonts w:cs="Arial"/>
          <w:color w:val="222222"/>
          <w:sz w:val="20"/>
          <w:shd w:val="clear" w:color="auto" w:fill="FFFFFF"/>
        </w:rPr>
        <w:t>Gulf Professional,</w:t>
      </w:r>
      <w:r w:rsidR="00FE387B" w:rsidRPr="00FE387B">
        <w:t xml:space="preserve"> </w:t>
      </w:r>
      <w:r w:rsidRPr="00FE387B">
        <w:t xml:space="preserve">1. </w:t>
      </w:r>
    </w:p>
    <w:p w14:paraId="06723EA2" w14:textId="0A237EE7" w:rsidR="00147FCB" w:rsidRDefault="00CC6A38" w:rsidP="004C390C">
      <w:pPr>
        <w:pStyle w:val="CETReferencetext"/>
      </w:pPr>
      <w:bookmarkStart w:id="14" w:name="ref-fakhrul-razi_review_2009"/>
      <w:bookmarkEnd w:id="13"/>
      <w:proofErr w:type="spellStart"/>
      <w:r>
        <w:rPr>
          <w:rFonts w:cs="Arial"/>
          <w:color w:val="222222"/>
          <w:sz w:val="20"/>
          <w:shd w:val="clear" w:color="auto" w:fill="FFFFFF"/>
        </w:rPr>
        <w:t>Fakhru’l</w:t>
      </w:r>
      <w:proofErr w:type="spellEnd"/>
      <w:r>
        <w:rPr>
          <w:rFonts w:cs="Arial"/>
          <w:color w:val="222222"/>
          <w:sz w:val="20"/>
          <w:shd w:val="clear" w:color="auto" w:fill="FFFFFF"/>
        </w:rPr>
        <w:t xml:space="preserve">-Razi A., </w:t>
      </w:r>
      <w:proofErr w:type="spellStart"/>
      <w:r>
        <w:rPr>
          <w:rFonts w:cs="Arial"/>
          <w:color w:val="222222"/>
          <w:sz w:val="20"/>
          <w:shd w:val="clear" w:color="auto" w:fill="FFFFFF"/>
        </w:rPr>
        <w:t>Pendashteh</w:t>
      </w:r>
      <w:proofErr w:type="spellEnd"/>
      <w:r>
        <w:rPr>
          <w:rFonts w:cs="Arial"/>
          <w:color w:val="222222"/>
          <w:sz w:val="20"/>
          <w:shd w:val="clear" w:color="auto" w:fill="FFFFFF"/>
        </w:rPr>
        <w:t xml:space="preserve"> A., Abdullah L., Biak D., </w:t>
      </w:r>
      <w:proofErr w:type="spellStart"/>
      <w:r>
        <w:rPr>
          <w:rFonts w:cs="Arial"/>
          <w:color w:val="222222"/>
          <w:sz w:val="20"/>
          <w:shd w:val="clear" w:color="auto" w:fill="FFFFFF"/>
        </w:rPr>
        <w:t>Madaeni</w:t>
      </w:r>
      <w:proofErr w:type="spellEnd"/>
      <w:r>
        <w:rPr>
          <w:rFonts w:cs="Arial"/>
          <w:color w:val="222222"/>
          <w:sz w:val="20"/>
          <w:shd w:val="clear" w:color="auto" w:fill="FFFFFF"/>
        </w:rPr>
        <w:t xml:space="preserve"> S., Abidin Z.</w:t>
      </w:r>
      <w:r w:rsidR="00DC4597">
        <w:t>,</w:t>
      </w:r>
      <w:r w:rsidR="00147FCB">
        <w:t xml:space="preserve"> 2009</w:t>
      </w:r>
      <w:r w:rsidR="00DC4597">
        <w:t>,</w:t>
      </w:r>
      <w:r w:rsidR="00147FCB">
        <w:t xml:space="preserve"> Review of Technologies for Oil and Gas Produced Water Treatment</w:t>
      </w:r>
      <w:r w:rsidR="00DC4597">
        <w:t>,</w:t>
      </w:r>
      <w:r w:rsidR="00147FCB">
        <w:t xml:space="preserve"> </w:t>
      </w:r>
      <w:r w:rsidR="00147FCB">
        <w:rPr>
          <w:i/>
        </w:rPr>
        <w:t>Journal of Hazardous Materials</w:t>
      </w:r>
      <w:r>
        <w:rPr>
          <w:i/>
        </w:rPr>
        <w:t>,</w:t>
      </w:r>
      <w:r w:rsidR="00147FCB">
        <w:t xml:space="preserve"> 170 (2)</w:t>
      </w:r>
      <w:r w:rsidR="00DC4597">
        <w:t>,</w:t>
      </w:r>
      <w:r w:rsidR="00147FCB">
        <w:t xml:space="preserve"> 530–51. </w:t>
      </w:r>
    </w:p>
    <w:p w14:paraId="67D97C5B" w14:textId="6A71B529" w:rsidR="00147FCB" w:rsidRDefault="00147FCB" w:rsidP="004C390C">
      <w:pPr>
        <w:pStyle w:val="CETReferencetext"/>
      </w:pPr>
      <w:bookmarkStart w:id="15" w:name="ref-fresa"/>
      <w:bookmarkEnd w:id="14"/>
      <w:r w:rsidRPr="005665C2">
        <w:t>Fraga</w:t>
      </w:r>
      <w:r w:rsidR="005A0407" w:rsidRPr="005665C2">
        <w:t xml:space="preserve"> E.</w:t>
      </w:r>
      <w:r w:rsidR="0063599D" w:rsidRPr="005665C2">
        <w:t>S.</w:t>
      </w:r>
      <w:r w:rsidRPr="005665C2">
        <w:t>, 2021</w:t>
      </w:r>
      <w:r w:rsidR="00DC4597" w:rsidRPr="005665C2">
        <w:t>,</w:t>
      </w:r>
      <w:r w:rsidRPr="005665C2">
        <w:t xml:space="preserve"> </w:t>
      </w:r>
      <w:proofErr w:type="spellStart"/>
      <w:r w:rsidRPr="005665C2">
        <w:t>ericsfraga</w:t>
      </w:r>
      <w:proofErr w:type="spellEnd"/>
      <w:r w:rsidRPr="005665C2">
        <w:t>/</w:t>
      </w:r>
      <w:proofErr w:type="spellStart"/>
      <w:r w:rsidRPr="005665C2">
        <w:t>Fresa.jl</w:t>
      </w:r>
      <w:proofErr w:type="spellEnd"/>
      <w:r w:rsidRPr="005665C2">
        <w:t>: First Public Release (R2021.06.30)</w:t>
      </w:r>
      <w:r w:rsidR="00DC4597" w:rsidRPr="005665C2">
        <w:t>,</w:t>
      </w:r>
      <w:r w:rsidRPr="005665C2">
        <w:t xml:space="preserve"> </w:t>
      </w:r>
      <w:proofErr w:type="spellStart"/>
      <w:r w:rsidRPr="005665C2">
        <w:rPr>
          <w:i/>
        </w:rPr>
        <w:t>Zenodo</w:t>
      </w:r>
      <w:proofErr w:type="spellEnd"/>
      <w:r w:rsidRPr="005665C2">
        <w:t xml:space="preserve">. </w:t>
      </w:r>
      <w:r w:rsidR="0063599D" w:rsidRPr="005665C2">
        <w:t>D</w:t>
      </w:r>
      <w:r w:rsidRPr="005665C2">
        <w:t>oi</w:t>
      </w:r>
      <w:r w:rsidR="0063599D" w:rsidRPr="005665C2">
        <w:t>:</w:t>
      </w:r>
      <w:r w:rsidRPr="005665C2">
        <w:t>10.5281/zenodo.5045812.</w:t>
      </w:r>
    </w:p>
    <w:p w14:paraId="1D848F0B" w14:textId="273FC521" w:rsidR="00931BF0" w:rsidRDefault="00931BF0" w:rsidP="004C390C">
      <w:pPr>
        <w:pStyle w:val="CETReferencetext"/>
      </w:pPr>
      <w:r>
        <w:t>Fraga</w:t>
      </w:r>
      <w:r w:rsidR="005A0407">
        <w:t xml:space="preserve"> E.</w:t>
      </w:r>
      <w:r w:rsidR="0063599D">
        <w:t>S.</w:t>
      </w:r>
      <w:r>
        <w:t>,</w:t>
      </w:r>
      <w:r w:rsidR="005A0407">
        <w:t xml:space="preserve"> </w:t>
      </w:r>
      <w:r>
        <w:t>2019</w:t>
      </w:r>
      <w:r w:rsidR="00DC4597">
        <w:t>,</w:t>
      </w:r>
      <w:r>
        <w:t xml:space="preserve"> An example of multi-objective optimization for dynamic processes</w:t>
      </w:r>
      <w:r w:rsidR="00DC4597">
        <w:t>,</w:t>
      </w:r>
      <w:r>
        <w:t xml:space="preserve"> </w:t>
      </w:r>
      <w:r>
        <w:rPr>
          <w:i/>
          <w:iCs/>
        </w:rPr>
        <w:t>Chemical Engineering Transactions</w:t>
      </w:r>
      <w:r>
        <w:t xml:space="preserve">, </w:t>
      </w:r>
      <w:r>
        <w:rPr>
          <w:i/>
          <w:iCs/>
        </w:rPr>
        <w:t>74</w:t>
      </w:r>
      <w:r>
        <w:t>, 601-606.</w:t>
      </w:r>
    </w:p>
    <w:p w14:paraId="017066A0" w14:textId="551B2A35" w:rsidR="00147FCB" w:rsidRDefault="00147FCB" w:rsidP="004C390C">
      <w:pPr>
        <w:pStyle w:val="CETReferencetext"/>
      </w:pPr>
      <w:bookmarkStart w:id="16" w:name="ref-jimenez_state_2018"/>
      <w:bookmarkEnd w:id="15"/>
      <w:r w:rsidRPr="00DC4597">
        <w:rPr>
          <w:lang w:val="en-US"/>
        </w:rPr>
        <w:t>Jimenez</w:t>
      </w:r>
      <w:r w:rsidR="00CC6A38">
        <w:rPr>
          <w:lang w:val="en-US"/>
        </w:rPr>
        <w:t xml:space="preserve"> </w:t>
      </w:r>
      <w:r w:rsidRPr="00DC4597">
        <w:rPr>
          <w:lang w:val="en-US"/>
        </w:rPr>
        <w:t xml:space="preserve">S., </w:t>
      </w:r>
      <w:proofErr w:type="spellStart"/>
      <w:r w:rsidRPr="00DC4597">
        <w:rPr>
          <w:lang w:val="en-US"/>
        </w:rPr>
        <w:t>Mico</w:t>
      </w:r>
      <w:proofErr w:type="spellEnd"/>
      <w:r w:rsidR="00CC6A38">
        <w:rPr>
          <w:lang w:val="en-US"/>
        </w:rPr>
        <w:t xml:space="preserve"> M.</w:t>
      </w:r>
      <w:r w:rsidRPr="00DC4597">
        <w:rPr>
          <w:lang w:val="en-US"/>
        </w:rPr>
        <w:t xml:space="preserve">, </w:t>
      </w:r>
      <w:proofErr w:type="spellStart"/>
      <w:r w:rsidRPr="00DC4597">
        <w:rPr>
          <w:lang w:val="en-US"/>
        </w:rPr>
        <w:t>Arnaldos</w:t>
      </w:r>
      <w:proofErr w:type="spellEnd"/>
      <w:r w:rsidR="00CC6A38">
        <w:rPr>
          <w:lang w:val="en-US"/>
        </w:rPr>
        <w:t xml:space="preserve"> M.</w:t>
      </w:r>
      <w:r w:rsidRPr="00DC4597">
        <w:rPr>
          <w:lang w:val="en-US"/>
        </w:rPr>
        <w:t>, Medina</w:t>
      </w:r>
      <w:r w:rsidR="00CC6A38">
        <w:rPr>
          <w:lang w:val="en-US"/>
        </w:rPr>
        <w:t xml:space="preserve"> F.</w:t>
      </w:r>
      <w:r w:rsidRPr="00DC4597">
        <w:rPr>
          <w:lang w:val="en-US"/>
        </w:rPr>
        <w:t>, Contreras</w:t>
      </w:r>
      <w:r w:rsidR="00CC6A38">
        <w:rPr>
          <w:lang w:val="en-US"/>
        </w:rPr>
        <w:t xml:space="preserve"> S.</w:t>
      </w:r>
      <w:r w:rsidR="00DC4597" w:rsidRPr="00DC4597">
        <w:rPr>
          <w:lang w:val="en-US"/>
        </w:rPr>
        <w:t>,</w:t>
      </w:r>
      <w:r w:rsidRPr="00DC4597">
        <w:rPr>
          <w:lang w:val="en-US"/>
        </w:rPr>
        <w:t xml:space="preserve"> </w:t>
      </w:r>
      <w:r>
        <w:t>2018</w:t>
      </w:r>
      <w:r w:rsidR="00DC4597">
        <w:t>,</w:t>
      </w:r>
      <w:r>
        <w:t xml:space="preserve"> State of the Art of Produced Water Treatment</w:t>
      </w:r>
      <w:r w:rsidR="00DC4597">
        <w:t>,</w:t>
      </w:r>
      <w:r>
        <w:t xml:space="preserve"> </w:t>
      </w:r>
      <w:r>
        <w:rPr>
          <w:i/>
        </w:rPr>
        <w:t>Chemosphere</w:t>
      </w:r>
      <w:r w:rsidR="00DC4597">
        <w:rPr>
          <w:i/>
        </w:rPr>
        <w:t>,</w:t>
      </w:r>
      <w:r>
        <w:t xml:space="preserve"> 192</w:t>
      </w:r>
      <w:r w:rsidR="00DC4597">
        <w:t>,</w:t>
      </w:r>
      <w:r>
        <w:t xml:space="preserve"> 186–208.</w:t>
      </w:r>
    </w:p>
    <w:p w14:paraId="501DC27E" w14:textId="3960D28F" w:rsidR="00147FCB" w:rsidRDefault="00147FCB" w:rsidP="004C390C">
      <w:pPr>
        <w:pStyle w:val="CETReferencetext"/>
      </w:pPr>
      <w:bookmarkStart w:id="17" w:name="ref-li2017analysis"/>
      <w:bookmarkEnd w:id="16"/>
      <w:r>
        <w:t>Li</w:t>
      </w:r>
      <w:r w:rsidR="00CC6A38">
        <w:t xml:space="preserve"> </w:t>
      </w:r>
      <w:r>
        <w:t>C</w:t>
      </w:r>
      <w:r w:rsidR="00CC6A38">
        <w:t>.</w:t>
      </w:r>
      <w:r>
        <w:t>, Huang</w:t>
      </w:r>
      <w:r w:rsidR="00CC6A38">
        <w:t xml:space="preserve"> Q.</w:t>
      </w:r>
      <w:r w:rsidR="00DC4597">
        <w:t>,</w:t>
      </w:r>
      <w:r>
        <w:t xml:space="preserve"> 2017</w:t>
      </w:r>
      <w:r w:rsidR="00DC4597">
        <w:t>,</w:t>
      </w:r>
      <w:r>
        <w:t xml:space="preserve"> Analysis of Droplet </w:t>
      </w:r>
      <w:proofErr w:type="spellStart"/>
      <w:r>
        <w:t>Behavior</w:t>
      </w:r>
      <w:proofErr w:type="spellEnd"/>
      <w:r>
        <w:t xml:space="preserve"> in a de-Oiling </w:t>
      </w:r>
      <w:proofErr w:type="spellStart"/>
      <w:r>
        <w:t>Hydrocyclone</w:t>
      </w:r>
      <w:proofErr w:type="spellEnd"/>
      <w:r>
        <w:t xml:space="preserve">. </w:t>
      </w:r>
      <w:r>
        <w:rPr>
          <w:i/>
        </w:rPr>
        <w:t>Journal of Dispersion Science and Technology</w:t>
      </w:r>
      <w:r w:rsidR="00DC4597">
        <w:rPr>
          <w:i/>
        </w:rPr>
        <w:t>,</w:t>
      </w:r>
      <w:r>
        <w:t xml:space="preserve"> 38 (3)</w:t>
      </w:r>
      <w:r w:rsidR="00DC4597">
        <w:t>,</w:t>
      </w:r>
      <w:r>
        <w:t xml:space="preserve"> 317–27.</w:t>
      </w:r>
    </w:p>
    <w:p w14:paraId="20BB48B9" w14:textId="726978CD" w:rsidR="00147FCB" w:rsidRDefault="00147FCB" w:rsidP="004C390C">
      <w:pPr>
        <w:pStyle w:val="CETReferencetext"/>
      </w:pPr>
      <w:bookmarkStart w:id="18" w:name="ref-lee_produced_2011"/>
      <w:bookmarkEnd w:id="17"/>
      <w:r>
        <w:t>Neff</w:t>
      </w:r>
      <w:r w:rsidR="00C3251F">
        <w:t xml:space="preserve"> J.</w:t>
      </w:r>
      <w:r>
        <w:t>, Lee</w:t>
      </w:r>
      <w:r w:rsidR="00C3251F">
        <w:t xml:space="preserve"> K.</w:t>
      </w:r>
      <w:r>
        <w:t xml:space="preserve">, </w:t>
      </w:r>
      <w:proofErr w:type="spellStart"/>
      <w:r>
        <w:t>DeBlois</w:t>
      </w:r>
      <w:proofErr w:type="spellEnd"/>
      <w:r w:rsidR="00C3251F">
        <w:t xml:space="preserve"> E.</w:t>
      </w:r>
      <w:r w:rsidR="00DC4597">
        <w:t>,</w:t>
      </w:r>
      <w:r>
        <w:t xml:space="preserve"> 2011</w:t>
      </w:r>
      <w:r w:rsidR="00DC4597">
        <w:t>,</w:t>
      </w:r>
      <w:r>
        <w:t xml:space="preserve"> Produced Water: Overview of Composition, Fates, and Effects</w:t>
      </w:r>
      <w:r w:rsidR="00DC4597">
        <w:t>,</w:t>
      </w:r>
      <w:r>
        <w:t xml:space="preserve"> In </w:t>
      </w:r>
      <w:r w:rsidRPr="30003814">
        <w:rPr>
          <w:i/>
          <w:iCs/>
        </w:rPr>
        <w:t>Produced Water</w:t>
      </w:r>
      <w:r>
        <w:t xml:space="preserve">, </w:t>
      </w:r>
      <w:r w:rsidR="00C3251F" w:rsidRPr="30003814">
        <w:rPr>
          <w:rFonts w:cs="Arial"/>
          <w:i/>
          <w:iCs/>
          <w:color w:val="222222"/>
          <w:sz w:val="20"/>
          <w:shd w:val="clear" w:color="auto" w:fill="FFFFFF"/>
        </w:rPr>
        <w:t>Produced water: Environmental risks and advances in mitigation technologies, 3-</w:t>
      </w:r>
      <w:r w:rsidR="00CC6A38" w:rsidRPr="30003814">
        <w:rPr>
          <w:rFonts w:cs="Arial"/>
          <w:i/>
          <w:iCs/>
          <w:color w:val="222222"/>
          <w:sz w:val="20"/>
          <w:shd w:val="clear" w:color="auto" w:fill="FFFFFF"/>
        </w:rPr>
        <w:t>54</w:t>
      </w:r>
      <w:r>
        <w:t>.</w:t>
      </w:r>
    </w:p>
    <w:p w14:paraId="4BE1A431" w14:textId="4AC6C39C" w:rsidR="00147FCB" w:rsidRDefault="00147FCB" w:rsidP="004C390C">
      <w:pPr>
        <w:pStyle w:val="CETReferencetext"/>
      </w:pPr>
      <w:bookmarkStart w:id="19" w:name="ref-odiete2019novel"/>
      <w:bookmarkEnd w:id="18"/>
      <w:proofErr w:type="spellStart"/>
      <w:r>
        <w:t>Odiete</w:t>
      </w:r>
      <w:proofErr w:type="spellEnd"/>
      <w:r w:rsidR="00C3251F">
        <w:t xml:space="preserve"> W.</w:t>
      </w:r>
      <w:r>
        <w:t xml:space="preserve">, </w:t>
      </w:r>
      <w:proofErr w:type="spellStart"/>
      <w:r>
        <w:t>Agunwamba</w:t>
      </w:r>
      <w:proofErr w:type="spellEnd"/>
      <w:r w:rsidR="00C3251F">
        <w:t xml:space="preserve"> J.,</w:t>
      </w:r>
      <w:r>
        <w:t xml:space="preserve"> 2019</w:t>
      </w:r>
      <w:r w:rsidR="00DC4597">
        <w:t>,</w:t>
      </w:r>
      <w:r>
        <w:t xml:space="preserve"> Novel Design Methods for Conventional Oil-Water </w:t>
      </w:r>
      <w:r w:rsidRPr="005665C2">
        <w:t>Separators</w:t>
      </w:r>
      <w:r w:rsidR="00DC4597" w:rsidRPr="005665C2">
        <w:t>,</w:t>
      </w:r>
      <w:r w:rsidRPr="005665C2">
        <w:t xml:space="preserve"> </w:t>
      </w:r>
      <w:proofErr w:type="spellStart"/>
      <w:r w:rsidRPr="005665C2">
        <w:rPr>
          <w:i/>
        </w:rPr>
        <w:t>Heliyon</w:t>
      </w:r>
      <w:proofErr w:type="spellEnd"/>
      <w:r w:rsidRPr="005665C2">
        <w:t xml:space="preserve"> 5 (5): e01620.</w:t>
      </w:r>
    </w:p>
    <w:p w14:paraId="2A64D47A" w14:textId="7EF333D6" w:rsidR="00147FCB" w:rsidRPr="009540AA" w:rsidRDefault="00147FCB" w:rsidP="004C390C">
      <w:pPr>
        <w:pStyle w:val="CETReferencetext"/>
        <w:rPr>
          <w:lang w:val="es-ES"/>
        </w:rPr>
      </w:pPr>
      <w:bookmarkStart w:id="20" w:name="ref-okam2008investigation"/>
      <w:bookmarkEnd w:id="19"/>
      <w:proofErr w:type="spellStart"/>
      <w:r>
        <w:t>Okam</w:t>
      </w:r>
      <w:proofErr w:type="spellEnd"/>
      <w:r w:rsidR="00CC6A38">
        <w:t xml:space="preserve"> C.</w:t>
      </w:r>
      <w:r>
        <w:t>, 2008</w:t>
      </w:r>
      <w:r w:rsidR="00DC4597">
        <w:t>,</w:t>
      </w:r>
      <w:r>
        <w:t xml:space="preserve"> </w:t>
      </w:r>
      <w:r>
        <w:rPr>
          <w:i/>
        </w:rPr>
        <w:t>Investigation of Oily Wastewater Treatment Processes</w:t>
      </w:r>
      <w:r w:rsidR="00DC4597">
        <w:t>,</w:t>
      </w:r>
      <w:r>
        <w:t xml:space="preserve"> </w:t>
      </w:r>
      <w:r w:rsidRPr="009540AA">
        <w:rPr>
          <w:lang w:val="es-ES"/>
        </w:rPr>
        <w:t xml:space="preserve">Swansea </w:t>
      </w:r>
      <w:proofErr w:type="spellStart"/>
      <w:r w:rsidRPr="009540AA">
        <w:rPr>
          <w:lang w:val="es-ES"/>
        </w:rPr>
        <w:t>University</w:t>
      </w:r>
      <w:proofErr w:type="spellEnd"/>
      <w:r w:rsidRPr="009540AA">
        <w:rPr>
          <w:lang w:val="es-ES"/>
        </w:rPr>
        <w:t xml:space="preserve"> (</w:t>
      </w:r>
      <w:proofErr w:type="spellStart"/>
      <w:r w:rsidRPr="009540AA">
        <w:rPr>
          <w:lang w:val="es-ES"/>
        </w:rPr>
        <w:t>United</w:t>
      </w:r>
      <w:proofErr w:type="spellEnd"/>
      <w:r w:rsidRPr="009540AA">
        <w:rPr>
          <w:lang w:val="es-ES"/>
        </w:rPr>
        <w:t xml:space="preserve"> </w:t>
      </w:r>
      <w:proofErr w:type="spellStart"/>
      <w:r w:rsidRPr="009540AA">
        <w:rPr>
          <w:lang w:val="es-ES"/>
        </w:rPr>
        <w:t>Kingdom</w:t>
      </w:r>
      <w:proofErr w:type="spellEnd"/>
      <w:r w:rsidRPr="009540AA">
        <w:rPr>
          <w:lang w:val="es-ES"/>
        </w:rPr>
        <w:t>).</w:t>
      </w:r>
    </w:p>
    <w:p w14:paraId="79381CA4" w14:textId="2BF5331A" w:rsidR="00147FCB" w:rsidRDefault="00147FCB" w:rsidP="004C390C">
      <w:pPr>
        <w:pStyle w:val="CETReferencetext"/>
      </w:pPr>
      <w:bookmarkStart w:id="21" w:name="ref-onishi2017multi"/>
      <w:bookmarkEnd w:id="20"/>
      <w:proofErr w:type="spellStart"/>
      <w:r w:rsidRPr="009540AA">
        <w:rPr>
          <w:lang w:val="es-ES"/>
        </w:rPr>
        <w:t>Onishi</w:t>
      </w:r>
      <w:proofErr w:type="spellEnd"/>
      <w:r w:rsidR="00C3251F">
        <w:rPr>
          <w:lang w:val="es-ES"/>
        </w:rPr>
        <w:t xml:space="preserve"> V.</w:t>
      </w:r>
      <w:r w:rsidRPr="009540AA">
        <w:rPr>
          <w:lang w:val="es-ES"/>
        </w:rPr>
        <w:t>, Ruiz-</w:t>
      </w:r>
      <w:proofErr w:type="spellStart"/>
      <w:r w:rsidRPr="009540AA">
        <w:rPr>
          <w:lang w:val="es-ES"/>
        </w:rPr>
        <w:t>Femenia</w:t>
      </w:r>
      <w:proofErr w:type="spellEnd"/>
      <w:r w:rsidR="00C3251F">
        <w:rPr>
          <w:lang w:val="es-ES"/>
        </w:rPr>
        <w:t xml:space="preserve"> R.</w:t>
      </w:r>
      <w:r w:rsidRPr="009540AA">
        <w:rPr>
          <w:lang w:val="es-ES"/>
        </w:rPr>
        <w:t>, Salcedo-Diaz</w:t>
      </w:r>
      <w:r w:rsidR="00C3251F">
        <w:rPr>
          <w:lang w:val="es-ES"/>
        </w:rPr>
        <w:t xml:space="preserve"> R.</w:t>
      </w:r>
      <w:r w:rsidRPr="009540AA">
        <w:rPr>
          <w:lang w:val="es-ES"/>
        </w:rPr>
        <w:t>, Carrero-</w:t>
      </w:r>
      <w:proofErr w:type="spellStart"/>
      <w:r w:rsidRPr="009540AA">
        <w:rPr>
          <w:lang w:val="es-ES"/>
        </w:rPr>
        <w:t>Parreno</w:t>
      </w:r>
      <w:proofErr w:type="spellEnd"/>
      <w:r w:rsidR="00C3251F">
        <w:rPr>
          <w:lang w:val="es-ES"/>
        </w:rPr>
        <w:t xml:space="preserve"> A.</w:t>
      </w:r>
      <w:r w:rsidRPr="009540AA">
        <w:rPr>
          <w:lang w:val="es-ES"/>
        </w:rPr>
        <w:t>, Reyes-Labarta</w:t>
      </w:r>
      <w:r w:rsidR="00C3251F">
        <w:rPr>
          <w:lang w:val="es-ES"/>
        </w:rPr>
        <w:t xml:space="preserve"> J.</w:t>
      </w:r>
      <w:r w:rsidRPr="009540AA">
        <w:rPr>
          <w:lang w:val="es-ES"/>
        </w:rPr>
        <w:t>, Caballero</w:t>
      </w:r>
      <w:r w:rsidR="00C3251F">
        <w:rPr>
          <w:lang w:val="es-ES"/>
        </w:rPr>
        <w:t xml:space="preserve"> J.</w:t>
      </w:r>
      <w:r w:rsidR="00DC4597">
        <w:rPr>
          <w:lang w:val="es-ES"/>
        </w:rPr>
        <w:t>,</w:t>
      </w:r>
      <w:r w:rsidRPr="009540AA">
        <w:rPr>
          <w:lang w:val="es-ES"/>
        </w:rPr>
        <w:t xml:space="preserve"> </w:t>
      </w:r>
      <w:r>
        <w:t>2017</w:t>
      </w:r>
      <w:r w:rsidR="00DC4597">
        <w:t>,</w:t>
      </w:r>
      <w:r>
        <w:t xml:space="preserve"> Multi-Objective Optimization of Renewable Energy-Driven Desalination Systems</w:t>
      </w:r>
      <w:r w:rsidR="00DC4597">
        <w:t>,</w:t>
      </w:r>
      <w:r>
        <w:t xml:space="preserve"> In </w:t>
      </w:r>
      <w:r>
        <w:rPr>
          <w:i/>
        </w:rPr>
        <w:t>Computer Aided Chemical Engineering</w:t>
      </w:r>
      <w:r>
        <w:t>, 40</w:t>
      </w:r>
      <w:r w:rsidR="00DC4597">
        <w:t xml:space="preserve">, </w:t>
      </w:r>
      <w:r>
        <w:t>499–504. Elsevier.</w:t>
      </w:r>
    </w:p>
    <w:p w14:paraId="78AFB4FD" w14:textId="4D04A5C5" w:rsidR="00147FCB" w:rsidRDefault="00147FCB" w:rsidP="004C390C">
      <w:pPr>
        <w:pStyle w:val="CETReferencetext"/>
      </w:pPr>
      <w:bookmarkStart w:id="22" w:name="ref-pangestu2021produced"/>
      <w:bookmarkEnd w:id="21"/>
      <w:proofErr w:type="spellStart"/>
      <w:r>
        <w:t>Pangestu</w:t>
      </w:r>
      <w:proofErr w:type="spellEnd"/>
      <w:r w:rsidR="00C3251F">
        <w:t xml:space="preserve"> N.</w:t>
      </w:r>
      <w:r>
        <w:t>, Zahra</w:t>
      </w:r>
      <w:r w:rsidR="00C3251F">
        <w:t xml:space="preserve"> N.</w:t>
      </w:r>
      <w:r>
        <w:t xml:space="preserve">, </w:t>
      </w:r>
      <w:proofErr w:type="spellStart"/>
      <w:r>
        <w:t>Sarwono</w:t>
      </w:r>
      <w:proofErr w:type="spellEnd"/>
      <w:r w:rsidR="00C3251F">
        <w:t xml:space="preserve"> A.</w:t>
      </w:r>
      <w:r>
        <w:t xml:space="preserve">, </w:t>
      </w:r>
      <w:proofErr w:type="spellStart"/>
      <w:r>
        <w:t>Suryawan</w:t>
      </w:r>
      <w:proofErr w:type="spellEnd"/>
      <w:r w:rsidR="00C3251F">
        <w:t xml:space="preserve"> I.</w:t>
      </w:r>
      <w:r w:rsidR="00DC4597">
        <w:t>,</w:t>
      </w:r>
      <w:r>
        <w:t xml:space="preserve"> 2021</w:t>
      </w:r>
      <w:r w:rsidR="00DC4597">
        <w:t xml:space="preserve">, </w:t>
      </w:r>
      <w:r>
        <w:t>Produced Water Treatment Planning Using Corrugated Plate Interceptor and Ultra Filtration for Water Recycling</w:t>
      </w:r>
      <w:r w:rsidR="00DC4597">
        <w:t>,</w:t>
      </w:r>
      <w:r>
        <w:t xml:space="preserve"> </w:t>
      </w:r>
      <w:proofErr w:type="spellStart"/>
      <w:r>
        <w:rPr>
          <w:i/>
        </w:rPr>
        <w:t>Jurnal</w:t>
      </w:r>
      <w:proofErr w:type="spellEnd"/>
      <w:r>
        <w:rPr>
          <w:i/>
        </w:rPr>
        <w:t xml:space="preserve"> </w:t>
      </w:r>
      <w:proofErr w:type="spellStart"/>
      <w:r>
        <w:rPr>
          <w:i/>
        </w:rPr>
        <w:t>Serambi</w:t>
      </w:r>
      <w:proofErr w:type="spellEnd"/>
      <w:r>
        <w:rPr>
          <w:i/>
        </w:rPr>
        <w:t xml:space="preserve"> Engineering</w:t>
      </w:r>
      <w:r>
        <w:t xml:space="preserve"> 6 (4).</w:t>
      </w:r>
    </w:p>
    <w:p w14:paraId="07BF4008" w14:textId="7E60D458" w:rsidR="00147FCB" w:rsidRDefault="00147FCB" w:rsidP="004C390C">
      <w:pPr>
        <w:pStyle w:val="CETReferencetext"/>
      </w:pPr>
      <w:bookmarkStart w:id="23" w:name="ref-panneer2018removal"/>
      <w:bookmarkEnd w:id="22"/>
      <w:r>
        <w:t>Selvam</w:t>
      </w:r>
      <w:r w:rsidR="00AF2274">
        <w:t xml:space="preserve"> A.</w:t>
      </w:r>
      <w:r>
        <w:t>, 2018</w:t>
      </w:r>
      <w:r w:rsidR="00DC4597">
        <w:t>,</w:t>
      </w:r>
      <w:r>
        <w:t xml:space="preserve"> Removal of Dispersed Oil Drops by Induced Gas </w:t>
      </w:r>
      <w:proofErr w:type="gramStart"/>
      <w:r>
        <w:t>Flotation</w:t>
      </w:r>
      <w:r w:rsidR="00616DEF">
        <w:t xml:space="preserve">, </w:t>
      </w:r>
      <w:r>
        <w:t xml:space="preserve"> Master’s</w:t>
      </w:r>
      <w:proofErr w:type="gramEnd"/>
      <w:r>
        <w:t xml:space="preserve"> thesis, </w:t>
      </w:r>
      <w:r w:rsidR="00AF2274">
        <w:t>Norwegian University of Science and Technology</w:t>
      </w:r>
      <w:r>
        <w:t>.</w:t>
      </w:r>
    </w:p>
    <w:p w14:paraId="4F081898" w14:textId="69719CD1" w:rsidR="00147FCB" w:rsidRDefault="00147FCB" w:rsidP="004C390C">
      <w:pPr>
        <w:pStyle w:val="CETReferencetext"/>
      </w:pPr>
      <w:bookmarkStart w:id="24" w:name="ref-prince1990bubble"/>
      <w:bookmarkEnd w:id="23"/>
      <w:r>
        <w:t>Prince</w:t>
      </w:r>
      <w:r w:rsidR="000C31D6">
        <w:t xml:space="preserve"> M.</w:t>
      </w:r>
      <w:r>
        <w:t>, Blanch</w:t>
      </w:r>
      <w:r w:rsidR="000C31D6">
        <w:t xml:space="preserve"> H.</w:t>
      </w:r>
      <w:r w:rsidR="00616DEF">
        <w:t>,</w:t>
      </w:r>
      <w:r>
        <w:t xml:space="preserve"> 1990</w:t>
      </w:r>
      <w:r w:rsidR="00616DEF">
        <w:t>,</w:t>
      </w:r>
      <w:r>
        <w:t xml:space="preserve"> Bubble Coalescence and Break-up in Air-Sparged Bubble Columns</w:t>
      </w:r>
      <w:r w:rsidR="00616DEF">
        <w:t>,</w:t>
      </w:r>
      <w:r>
        <w:t xml:space="preserve"> </w:t>
      </w:r>
      <w:r>
        <w:rPr>
          <w:i/>
        </w:rPr>
        <w:t>AIChE Journal</w:t>
      </w:r>
      <w:r>
        <w:t xml:space="preserve"> 36 (10)</w:t>
      </w:r>
      <w:r w:rsidR="00616DEF">
        <w:t>,</w:t>
      </w:r>
      <w:r>
        <w:t xml:space="preserve"> 1485–99.</w:t>
      </w:r>
    </w:p>
    <w:p w14:paraId="04A46713" w14:textId="42950871" w:rsidR="00147FCB" w:rsidRDefault="00147FCB" w:rsidP="004C390C">
      <w:pPr>
        <w:pStyle w:val="CETReferencetext"/>
      </w:pPr>
      <w:bookmarkStart w:id="25" w:name="ref-salhi-fraga-2011a"/>
      <w:bookmarkEnd w:id="24"/>
      <w:proofErr w:type="spellStart"/>
      <w:r>
        <w:t>Salhi</w:t>
      </w:r>
      <w:proofErr w:type="spellEnd"/>
      <w:r w:rsidR="00616DEF">
        <w:t xml:space="preserve"> A.</w:t>
      </w:r>
      <w:r>
        <w:t>, Fraga</w:t>
      </w:r>
      <w:r w:rsidR="00616DEF">
        <w:t xml:space="preserve"> E.</w:t>
      </w:r>
      <w:r w:rsidR="0063599D">
        <w:t>S.</w:t>
      </w:r>
      <w:r w:rsidR="00616DEF">
        <w:t>,</w:t>
      </w:r>
      <w:r>
        <w:t xml:space="preserve"> 2011</w:t>
      </w:r>
      <w:r w:rsidR="00616DEF">
        <w:t>,</w:t>
      </w:r>
      <w:r>
        <w:t xml:space="preserve"> Nature-Inspired Optimisation Approaches and the New Plant Propagation Algorithm</w:t>
      </w:r>
      <w:r w:rsidR="00616DEF">
        <w:t>,</w:t>
      </w:r>
      <w:r>
        <w:t xml:space="preserve"> </w:t>
      </w:r>
      <w:r>
        <w:rPr>
          <w:i/>
        </w:rPr>
        <w:t>2011, the International Conference on Numerical Analysis and Optimization</w:t>
      </w:r>
      <w:r>
        <w:t xml:space="preserve">, </w:t>
      </w:r>
      <w:r w:rsidRPr="005665C2">
        <w:t>K2</w:t>
      </w:r>
      <w:r w:rsidR="00616DEF" w:rsidRPr="005665C2">
        <w:t>,</w:t>
      </w:r>
      <w:r w:rsidRPr="005665C2">
        <w:t>1–8.</w:t>
      </w:r>
      <w:r>
        <w:t xml:space="preserve"> </w:t>
      </w:r>
      <w:bookmarkEnd w:id="9"/>
      <w:bookmarkEnd w:id="25"/>
    </w:p>
    <w:sectPr w:rsidR="00147FCB"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BCA1" w14:textId="77777777" w:rsidR="006D33D8" w:rsidRDefault="006D33D8" w:rsidP="004F5E36">
      <w:r>
        <w:separator/>
      </w:r>
    </w:p>
  </w:endnote>
  <w:endnote w:type="continuationSeparator" w:id="0">
    <w:p w14:paraId="276ABB2D" w14:textId="77777777" w:rsidR="006D33D8" w:rsidRDefault="006D33D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310A" w14:textId="77777777" w:rsidR="006D33D8" w:rsidRDefault="006D33D8" w:rsidP="004F5E36">
      <w:r>
        <w:separator/>
      </w:r>
    </w:p>
  </w:footnote>
  <w:footnote w:type="continuationSeparator" w:id="0">
    <w:p w14:paraId="619E1AB7" w14:textId="77777777" w:rsidR="006D33D8" w:rsidRDefault="006D33D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567"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C1AE401"/>
    <w:multiLevelType w:val="multilevel"/>
    <w:tmpl w:val="72663B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7623833">
    <w:abstractNumId w:val="10"/>
  </w:num>
  <w:num w:numId="2" w16cid:durableId="204370421">
    <w:abstractNumId w:val="8"/>
  </w:num>
  <w:num w:numId="3" w16cid:durableId="1317951131">
    <w:abstractNumId w:val="3"/>
  </w:num>
  <w:num w:numId="4" w16cid:durableId="674304045">
    <w:abstractNumId w:val="2"/>
  </w:num>
  <w:num w:numId="5" w16cid:durableId="757940218">
    <w:abstractNumId w:val="1"/>
  </w:num>
  <w:num w:numId="6" w16cid:durableId="1516722368">
    <w:abstractNumId w:val="0"/>
  </w:num>
  <w:num w:numId="7" w16cid:durableId="224528501">
    <w:abstractNumId w:val="9"/>
  </w:num>
  <w:num w:numId="8" w16cid:durableId="103159905">
    <w:abstractNumId w:val="7"/>
  </w:num>
  <w:num w:numId="9" w16cid:durableId="1047220316">
    <w:abstractNumId w:val="6"/>
  </w:num>
  <w:num w:numId="10" w16cid:durableId="844712659">
    <w:abstractNumId w:val="5"/>
  </w:num>
  <w:num w:numId="11" w16cid:durableId="1836647267">
    <w:abstractNumId w:val="4"/>
  </w:num>
  <w:num w:numId="12" w16cid:durableId="218706418">
    <w:abstractNumId w:val="18"/>
  </w:num>
  <w:num w:numId="13" w16cid:durableId="1546216276">
    <w:abstractNumId w:val="13"/>
  </w:num>
  <w:num w:numId="14" w16cid:durableId="1754663821">
    <w:abstractNumId w:val="19"/>
  </w:num>
  <w:num w:numId="15" w16cid:durableId="1237280832">
    <w:abstractNumId w:val="21"/>
  </w:num>
  <w:num w:numId="16" w16cid:durableId="1949579682">
    <w:abstractNumId w:val="20"/>
  </w:num>
  <w:num w:numId="17" w16cid:durableId="960919678">
    <w:abstractNumId w:val="12"/>
  </w:num>
  <w:num w:numId="18" w16cid:durableId="681132382">
    <w:abstractNumId w:val="13"/>
    <w:lvlOverride w:ilvl="0">
      <w:startOverride w:val="1"/>
    </w:lvlOverride>
  </w:num>
  <w:num w:numId="19" w16cid:durableId="1635259032">
    <w:abstractNumId w:val="17"/>
  </w:num>
  <w:num w:numId="20" w16cid:durableId="1653831018">
    <w:abstractNumId w:val="16"/>
  </w:num>
  <w:num w:numId="21" w16cid:durableId="1074354739">
    <w:abstractNumId w:val="15"/>
  </w:num>
  <w:num w:numId="22" w16cid:durableId="780732422">
    <w:abstractNumId w:val="14"/>
  </w:num>
  <w:num w:numId="23" w16cid:durableId="1194273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C1ACF"/>
    <w:rsid w:val="000C31D6"/>
    <w:rsid w:val="000C5EA0"/>
    <w:rsid w:val="000C6A66"/>
    <w:rsid w:val="000D0268"/>
    <w:rsid w:val="000D34BE"/>
    <w:rsid w:val="000E102F"/>
    <w:rsid w:val="000E36F1"/>
    <w:rsid w:val="000E3A73"/>
    <w:rsid w:val="000E414A"/>
    <w:rsid w:val="000F093C"/>
    <w:rsid w:val="000F777A"/>
    <w:rsid w:val="000F787B"/>
    <w:rsid w:val="00103878"/>
    <w:rsid w:val="0012091F"/>
    <w:rsid w:val="00126BC2"/>
    <w:rsid w:val="001308B6"/>
    <w:rsid w:val="0013121F"/>
    <w:rsid w:val="00131FE6"/>
    <w:rsid w:val="0013263F"/>
    <w:rsid w:val="001331DF"/>
    <w:rsid w:val="00134DE4"/>
    <w:rsid w:val="0014034D"/>
    <w:rsid w:val="00144D16"/>
    <w:rsid w:val="00147FCB"/>
    <w:rsid w:val="00150E59"/>
    <w:rsid w:val="00152DE3"/>
    <w:rsid w:val="00164CF9"/>
    <w:rsid w:val="001667A6"/>
    <w:rsid w:val="00184AD6"/>
    <w:rsid w:val="00185DFB"/>
    <w:rsid w:val="001875EF"/>
    <w:rsid w:val="001A4AF7"/>
    <w:rsid w:val="001A5203"/>
    <w:rsid w:val="001B0349"/>
    <w:rsid w:val="001B1E93"/>
    <w:rsid w:val="001B65C1"/>
    <w:rsid w:val="001C2C44"/>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34C4E"/>
    <w:rsid w:val="00347FE0"/>
    <w:rsid w:val="003723D4"/>
    <w:rsid w:val="00381905"/>
    <w:rsid w:val="00384CC8"/>
    <w:rsid w:val="003871FD"/>
    <w:rsid w:val="00396E0B"/>
    <w:rsid w:val="003A1E30"/>
    <w:rsid w:val="003A2829"/>
    <w:rsid w:val="003A7D1C"/>
    <w:rsid w:val="003B0523"/>
    <w:rsid w:val="003B304B"/>
    <w:rsid w:val="003B3146"/>
    <w:rsid w:val="003C579F"/>
    <w:rsid w:val="003F015E"/>
    <w:rsid w:val="003F4A74"/>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978CC"/>
    <w:rsid w:val="004A004E"/>
    <w:rsid w:val="004A24CF"/>
    <w:rsid w:val="004C390C"/>
    <w:rsid w:val="004C3D1D"/>
    <w:rsid w:val="004C3D84"/>
    <w:rsid w:val="004C73B2"/>
    <w:rsid w:val="004C7913"/>
    <w:rsid w:val="004E4DD6"/>
    <w:rsid w:val="004F21E9"/>
    <w:rsid w:val="004F5E36"/>
    <w:rsid w:val="00507B47"/>
    <w:rsid w:val="00507BEF"/>
    <w:rsid w:val="00507CC9"/>
    <w:rsid w:val="005119A5"/>
    <w:rsid w:val="005278B7"/>
    <w:rsid w:val="00532016"/>
    <w:rsid w:val="005346C8"/>
    <w:rsid w:val="00543E7D"/>
    <w:rsid w:val="00547A68"/>
    <w:rsid w:val="005531C9"/>
    <w:rsid w:val="0056599B"/>
    <w:rsid w:val="005665C2"/>
    <w:rsid w:val="00570C43"/>
    <w:rsid w:val="00596B93"/>
    <w:rsid w:val="005A0407"/>
    <w:rsid w:val="005B2110"/>
    <w:rsid w:val="005B44C5"/>
    <w:rsid w:val="005B61E6"/>
    <w:rsid w:val="005C77E1"/>
    <w:rsid w:val="005D668A"/>
    <w:rsid w:val="005D6A2F"/>
    <w:rsid w:val="005E1A82"/>
    <w:rsid w:val="005E794C"/>
    <w:rsid w:val="005F0A28"/>
    <w:rsid w:val="005F0E5E"/>
    <w:rsid w:val="00600535"/>
    <w:rsid w:val="00610CD6"/>
    <w:rsid w:val="00616DEF"/>
    <w:rsid w:val="00620DEE"/>
    <w:rsid w:val="00621F92"/>
    <w:rsid w:val="0062280A"/>
    <w:rsid w:val="006237E1"/>
    <w:rsid w:val="00625639"/>
    <w:rsid w:val="00631B33"/>
    <w:rsid w:val="0063599D"/>
    <w:rsid w:val="0064184D"/>
    <w:rsid w:val="006422CC"/>
    <w:rsid w:val="00660E3E"/>
    <w:rsid w:val="00662E74"/>
    <w:rsid w:val="00680C23"/>
    <w:rsid w:val="00693766"/>
    <w:rsid w:val="0069384F"/>
    <w:rsid w:val="006A3281"/>
    <w:rsid w:val="006B4888"/>
    <w:rsid w:val="006C2E45"/>
    <w:rsid w:val="006C359C"/>
    <w:rsid w:val="006C5579"/>
    <w:rsid w:val="006D33D8"/>
    <w:rsid w:val="006D6E8B"/>
    <w:rsid w:val="006E737D"/>
    <w:rsid w:val="00713973"/>
    <w:rsid w:val="00720A24"/>
    <w:rsid w:val="00732386"/>
    <w:rsid w:val="0073514D"/>
    <w:rsid w:val="007359DC"/>
    <w:rsid w:val="007447F3"/>
    <w:rsid w:val="0075499F"/>
    <w:rsid w:val="00761D88"/>
    <w:rsid w:val="007661C8"/>
    <w:rsid w:val="0077098D"/>
    <w:rsid w:val="007931FA"/>
    <w:rsid w:val="00797EA6"/>
    <w:rsid w:val="007A4861"/>
    <w:rsid w:val="007A682C"/>
    <w:rsid w:val="007A7BBA"/>
    <w:rsid w:val="007B0C50"/>
    <w:rsid w:val="007B48F9"/>
    <w:rsid w:val="007C1A43"/>
    <w:rsid w:val="007D0951"/>
    <w:rsid w:val="007E1624"/>
    <w:rsid w:val="0080013E"/>
    <w:rsid w:val="00813288"/>
    <w:rsid w:val="008168FC"/>
    <w:rsid w:val="00830996"/>
    <w:rsid w:val="008345F1"/>
    <w:rsid w:val="00862E4F"/>
    <w:rsid w:val="00865B07"/>
    <w:rsid w:val="008667EA"/>
    <w:rsid w:val="0087637F"/>
    <w:rsid w:val="00892AD5"/>
    <w:rsid w:val="008A1512"/>
    <w:rsid w:val="008D32B9"/>
    <w:rsid w:val="008D433B"/>
    <w:rsid w:val="008D4A16"/>
    <w:rsid w:val="008E566E"/>
    <w:rsid w:val="008F06BE"/>
    <w:rsid w:val="0090161A"/>
    <w:rsid w:val="00901EB6"/>
    <w:rsid w:val="00904C62"/>
    <w:rsid w:val="00922BA8"/>
    <w:rsid w:val="00924DAC"/>
    <w:rsid w:val="00927058"/>
    <w:rsid w:val="00931BF0"/>
    <w:rsid w:val="00942750"/>
    <w:rsid w:val="009450CE"/>
    <w:rsid w:val="009459BB"/>
    <w:rsid w:val="00947179"/>
    <w:rsid w:val="0095164B"/>
    <w:rsid w:val="00954090"/>
    <w:rsid w:val="009540AA"/>
    <w:rsid w:val="009573E7"/>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9F1339"/>
    <w:rsid w:val="00A13688"/>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10B2"/>
    <w:rsid w:val="00AE377D"/>
    <w:rsid w:val="00AF0EBA"/>
    <w:rsid w:val="00AF2274"/>
    <w:rsid w:val="00B02C8A"/>
    <w:rsid w:val="00B17FBD"/>
    <w:rsid w:val="00B315A6"/>
    <w:rsid w:val="00B31813"/>
    <w:rsid w:val="00B33365"/>
    <w:rsid w:val="00B3764A"/>
    <w:rsid w:val="00B406B2"/>
    <w:rsid w:val="00B57B36"/>
    <w:rsid w:val="00B57E6F"/>
    <w:rsid w:val="00B8686D"/>
    <w:rsid w:val="00B93F69"/>
    <w:rsid w:val="00BA4D1B"/>
    <w:rsid w:val="00BB1DDC"/>
    <w:rsid w:val="00BC30C9"/>
    <w:rsid w:val="00BD077D"/>
    <w:rsid w:val="00BE3E58"/>
    <w:rsid w:val="00C01616"/>
    <w:rsid w:val="00C0162B"/>
    <w:rsid w:val="00C068ED"/>
    <w:rsid w:val="00C22E0C"/>
    <w:rsid w:val="00C2781B"/>
    <w:rsid w:val="00C3251F"/>
    <w:rsid w:val="00C345B1"/>
    <w:rsid w:val="00C37CDC"/>
    <w:rsid w:val="00C40142"/>
    <w:rsid w:val="00C42B73"/>
    <w:rsid w:val="00C44FB3"/>
    <w:rsid w:val="00C52C3C"/>
    <w:rsid w:val="00C565F9"/>
    <w:rsid w:val="00C57182"/>
    <w:rsid w:val="00C57863"/>
    <w:rsid w:val="00C640AF"/>
    <w:rsid w:val="00C655FD"/>
    <w:rsid w:val="00C75407"/>
    <w:rsid w:val="00C870A8"/>
    <w:rsid w:val="00C94434"/>
    <w:rsid w:val="00C960A2"/>
    <w:rsid w:val="00CA0D75"/>
    <w:rsid w:val="00CA1C95"/>
    <w:rsid w:val="00CA5A9C"/>
    <w:rsid w:val="00CB38A2"/>
    <w:rsid w:val="00CB4540"/>
    <w:rsid w:val="00CC4C20"/>
    <w:rsid w:val="00CC6A38"/>
    <w:rsid w:val="00CD3517"/>
    <w:rsid w:val="00CD5FE2"/>
    <w:rsid w:val="00CE7C68"/>
    <w:rsid w:val="00D02B4C"/>
    <w:rsid w:val="00D040C4"/>
    <w:rsid w:val="00D04BB2"/>
    <w:rsid w:val="00D20AD1"/>
    <w:rsid w:val="00D46B7E"/>
    <w:rsid w:val="00D57C84"/>
    <w:rsid w:val="00D6057D"/>
    <w:rsid w:val="00D71640"/>
    <w:rsid w:val="00D836C5"/>
    <w:rsid w:val="00D84576"/>
    <w:rsid w:val="00D8703F"/>
    <w:rsid w:val="00DA1000"/>
    <w:rsid w:val="00DA1399"/>
    <w:rsid w:val="00DA24C6"/>
    <w:rsid w:val="00DA3BBF"/>
    <w:rsid w:val="00DA4D7B"/>
    <w:rsid w:val="00DC4597"/>
    <w:rsid w:val="00DD271C"/>
    <w:rsid w:val="00DE264A"/>
    <w:rsid w:val="00DF5072"/>
    <w:rsid w:val="00E02D18"/>
    <w:rsid w:val="00E041E7"/>
    <w:rsid w:val="00E07BD9"/>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D261A"/>
    <w:rsid w:val="00ED7550"/>
    <w:rsid w:val="00EE0131"/>
    <w:rsid w:val="00EE17B0"/>
    <w:rsid w:val="00EF06D9"/>
    <w:rsid w:val="00F3049E"/>
    <w:rsid w:val="00F30C64"/>
    <w:rsid w:val="00F32BA2"/>
    <w:rsid w:val="00F32CDB"/>
    <w:rsid w:val="00F41E36"/>
    <w:rsid w:val="00F565FE"/>
    <w:rsid w:val="00F63A70"/>
    <w:rsid w:val="00F63D8C"/>
    <w:rsid w:val="00F7534E"/>
    <w:rsid w:val="00F93EDF"/>
    <w:rsid w:val="00FA1802"/>
    <w:rsid w:val="00FA21D0"/>
    <w:rsid w:val="00FA5F5F"/>
    <w:rsid w:val="00FB730C"/>
    <w:rsid w:val="00FC2695"/>
    <w:rsid w:val="00FC3E03"/>
    <w:rsid w:val="00FC3FC1"/>
    <w:rsid w:val="00FE387B"/>
    <w:rsid w:val="00FF2335"/>
    <w:rsid w:val="01A2E6D5"/>
    <w:rsid w:val="02EFDDD2"/>
    <w:rsid w:val="08C62AFF"/>
    <w:rsid w:val="093C2407"/>
    <w:rsid w:val="099A9623"/>
    <w:rsid w:val="0A4E12DF"/>
    <w:rsid w:val="0B366684"/>
    <w:rsid w:val="0BC97A75"/>
    <w:rsid w:val="0CB90E88"/>
    <w:rsid w:val="0CEC84CE"/>
    <w:rsid w:val="0DF0DEEF"/>
    <w:rsid w:val="0E203160"/>
    <w:rsid w:val="0E329639"/>
    <w:rsid w:val="0E8253A2"/>
    <w:rsid w:val="0FAE9D0B"/>
    <w:rsid w:val="0FF7BA86"/>
    <w:rsid w:val="13881591"/>
    <w:rsid w:val="155FAE15"/>
    <w:rsid w:val="1674C16D"/>
    <w:rsid w:val="1679192B"/>
    <w:rsid w:val="18B14D52"/>
    <w:rsid w:val="19B0B9ED"/>
    <w:rsid w:val="1B398EC9"/>
    <w:rsid w:val="1B4C8A4E"/>
    <w:rsid w:val="1B68CA95"/>
    <w:rsid w:val="1B6EE1C2"/>
    <w:rsid w:val="1BFDD3BF"/>
    <w:rsid w:val="1CE85AAF"/>
    <w:rsid w:val="1DB122F6"/>
    <w:rsid w:val="1E2BF1A6"/>
    <w:rsid w:val="1F6B31F3"/>
    <w:rsid w:val="2470F3E2"/>
    <w:rsid w:val="25E72F87"/>
    <w:rsid w:val="2744D524"/>
    <w:rsid w:val="295FCFAE"/>
    <w:rsid w:val="29874362"/>
    <w:rsid w:val="2A48B6D1"/>
    <w:rsid w:val="2B12E457"/>
    <w:rsid w:val="2BABFCCB"/>
    <w:rsid w:val="2C3F85F0"/>
    <w:rsid w:val="2C56710B"/>
    <w:rsid w:val="2D9A1235"/>
    <w:rsid w:val="30003814"/>
    <w:rsid w:val="30F69650"/>
    <w:rsid w:val="31ABF12A"/>
    <w:rsid w:val="3251344C"/>
    <w:rsid w:val="33958BEF"/>
    <w:rsid w:val="351A9D6A"/>
    <w:rsid w:val="36083FCC"/>
    <w:rsid w:val="36B6DE36"/>
    <w:rsid w:val="3765D7D4"/>
    <w:rsid w:val="3775EC43"/>
    <w:rsid w:val="37E86AEE"/>
    <w:rsid w:val="39C61730"/>
    <w:rsid w:val="3A39AD68"/>
    <w:rsid w:val="3A3D824D"/>
    <w:rsid w:val="3A9D7896"/>
    <w:rsid w:val="3C5CB82A"/>
    <w:rsid w:val="3CEE2CDD"/>
    <w:rsid w:val="3CF3B7EA"/>
    <w:rsid w:val="3EDE3A6F"/>
    <w:rsid w:val="3F930863"/>
    <w:rsid w:val="401FE68F"/>
    <w:rsid w:val="4128FF5C"/>
    <w:rsid w:val="412ECB21"/>
    <w:rsid w:val="41627A19"/>
    <w:rsid w:val="42D61C2C"/>
    <w:rsid w:val="43A53618"/>
    <w:rsid w:val="4A2145CD"/>
    <w:rsid w:val="4CD77B6A"/>
    <w:rsid w:val="52066124"/>
    <w:rsid w:val="525D2A91"/>
    <w:rsid w:val="5380207E"/>
    <w:rsid w:val="53B40AD6"/>
    <w:rsid w:val="553E01E6"/>
    <w:rsid w:val="55572A43"/>
    <w:rsid w:val="585391A1"/>
    <w:rsid w:val="5875A2A8"/>
    <w:rsid w:val="58B1C9BF"/>
    <w:rsid w:val="5AB5EA0A"/>
    <w:rsid w:val="5C51BA6B"/>
    <w:rsid w:val="5CA9588A"/>
    <w:rsid w:val="5CD0D6D7"/>
    <w:rsid w:val="5F02DA52"/>
    <w:rsid w:val="5F870C74"/>
    <w:rsid w:val="5FCCD331"/>
    <w:rsid w:val="605EA386"/>
    <w:rsid w:val="62247274"/>
    <w:rsid w:val="62473631"/>
    <w:rsid w:val="639D9A95"/>
    <w:rsid w:val="63B8554F"/>
    <w:rsid w:val="63C50E49"/>
    <w:rsid w:val="646FF80F"/>
    <w:rsid w:val="6535D21C"/>
    <w:rsid w:val="655C1336"/>
    <w:rsid w:val="656267FA"/>
    <w:rsid w:val="66EFF611"/>
    <w:rsid w:val="67DE4004"/>
    <w:rsid w:val="69CE5C18"/>
    <w:rsid w:val="6AC5F35A"/>
    <w:rsid w:val="6BA943B3"/>
    <w:rsid w:val="6BCB54BA"/>
    <w:rsid w:val="6C3EF766"/>
    <w:rsid w:val="6D91FA83"/>
    <w:rsid w:val="6E00285B"/>
    <w:rsid w:val="6EE0E475"/>
    <w:rsid w:val="6EF52D03"/>
    <w:rsid w:val="6F02F57C"/>
    <w:rsid w:val="6FCBB549"/>
    <w:rsid w:val="72188537"/>
    <w:rsid w:val="7297BC72"/>
    <w:rsid w:val="73D6669F"/>
    <w:rsid w:val="7461983D"/>
    <w:rsid w:val="74D17738"/>
    <w:rsid w:val="770E0761"/>
    <w:rsid w:val="778DC6E2"/>
    <w:rsid w:val="7811F904"/>
    <w:rsid w:val="79D60D81"/>
    <w:rsid w:val="7B989D1B"/>
    <w:rsid w:val="7EB6EF12"/>
    <w:rsid w:val="7EC4CBC0"/>
    <w:rsid w:val="7F42FDC0"/>
    <w:rsid w:val="7FD1A2D5"/>
    <w:rsid w:val="7FD2602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E263F"/>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unhideWhenUsed/>
    <w:rsid w:val="0003148D"/>
    <w:pPr>
      <w:spacing w:after="120"/>
    </w:pPr>
  </w:style>
  <w:style w:type="character" w:customStyle="1" w:styleId="BodyTextChar">
    <w:name w:val="Body Text Char"/>
    <w:basedOn w:val="DefaultParagraphFont"/>
    <w:link w:val="BodyText"/>
    <w:uiPriority w:val="99"/>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FirstParagraph">
    <w:name w:val="First Paragraph"/>
    <w:basedOn w:val="BodyText"/>
    <w:next w:val="BodyText"/>
    <w:qFormat/>
    <w:rsid w:val="00147FCB"/>
    <w:pPr>
      <w:tabs>
        <w:tab w:val="clear" w:pos="7100"/>
      </w:tabs>
      <w:spacing w:before="180" w:after="180" w:line="240" w:lineRule="auto"/>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147FCB"/>
    <w:pPr>
      <w:tabs>
        <w:tab w:val="clear" w:pos="7100"/>
      </w:tabs>
      <w:spacing w:before="36" w:after="36" w:line="240" w:lineRule="auto"/>
      <w:jc w:val="left"/>
    </w:pPr>
    <w:rPr>
      <w:rFonts w:asciiTheme="minorHAnsi" w:eastAsiaTheme="minorHAnsi" w:hAnsiTheme="minorHAnsi" w:cstheme="minorBidi"/>
      <w:sz w:val="24"/>
      <w:szCs w:val="24"/>
      <w:lang w:val="en-US"/>
    </w:rPr>
  </w:style>
  <w:style w:type="paragraph" w:styleId="Title">
    <w:name w:val="Title"/>
    <w:basedOn w:val="Normal"/>
    <w:next w:val="BodyText"/>
    <w:link w:val="TitleChar"/>
    <w:qFormat/>
    <w:rsid w:val="00147FCB"/>
    <w:pPr>
      <w:keepNext/>
      <w:keepLines/>
      <w:tabs>
        <w:tab w:val="clear" w:pos="7100"/>
      </w:tabs>
      <w:spacing w:before="480" w:after="240" w:line="240" w:lineRule="auto"/>
      <w:jc w:val="center"/>
    </w:pPr>
    <w:rPr>
      <w:rFonts w:asciiTheme="majorHAnsi" w:eastAsiaTheme="majorEastAsia" w:hAnsiTheme="majorHAnsi" w:cstheme="majorBidi"/>
      <w:b/>
      <w:bCs/>
      <w:color w:val="345A8A" w:themeColor="accent1" w:themeShade="B5"/>
      <w:sz w:val="36"/>
      <w:szCs w:val="36"/>
      <w:lang w:val="en-US"/>
    </w:rPr>
  </w:style>
  <w:style w:type="character" w:customStyle="1" w:styleId="TitleChar">
    <w:name w:val="Title Char"/>
    <w:basedOn w:val="DefaultParagraphFont"/>
    <w:link w:val="Title"/>
    <w:rsid w:val="00147FCB"/>
    <w:rPr>
      <w:rFonts w:asciiTheme="majorHAnsi" w:eastAsiaTheme="majorEastAsia" w:hAnsiTheme="majorHAnsi" w:cstheme="majorBidi"/>
      <w:b/>
      <w:bCs/>
      <w:color w:val="345A8A" w:themeColor="accent1" w:themeShade="B5"/>
      <w:sz w:val="36"/>
      <w:szCs w:val="36"/>
      <w:lang w:val="en-US"/>
    </w:rPr>
  </w:style>
  <w:style w:type="paragraph" w:customStyle="1" w:styleId="Author">
    <w:name w:val="Author"/>
    <w:next w:val="BodyText"/>
    <w:qFormat/>
    <w:rsid w:val="00147FCB"/>
    <w:pPr>
      <w:keepNext/>
      <w:keepLines/>
      <w:spacing w:line="240" w:lineRule="auto"/>
      <w:jc w:val="center"/>
    </w:pPr>
    <w:rPr>
      <w:sz w:val="24"/>
      <w:szCs w:val="24"/>
      <w:lang w:val="en-US"/>
    </w:rPr>
  </w:style>
  <w:style w:type="paragraph" w:customStyle="1" w:styleId="Abstract">
    <w:name w:val="Abstract"/>
    <w:basedOn w:val="Normal"/>
    <w:next w:val="BodyText"/>
    <w:qFormat/>
    <w:rsid w:val="00147FCB"/>
    <w:pPr>
      <w:keepNext/>
      <w:keepLines/>
      <w:tabs>
        <w:tab w:val="clear" w:pos="7100"/>
      </w:tabs>
      <w:spacing w:before="300" w:after="300" w:line="240" w:lineRule="auto"/>
      <w:jc w:val="left"/>
    </w:pPr>
    <w:rPr>
      <w:rFonts w:asciiTheme="minorHAnsi" w:eastAsiaTheme="minorHAnsi" w:hAnsiTheme="minorHAnsi" w:cstheme="minorBidi"/>
      <w:sz w:val="20"/>
      <w:lang w:val="en-US"/>
    </w:rPr>
  </w:style>
  <w:style w:type="table" w:customStyle="1" w:styleId="Table">
    <w:name w:val="Table"/>
    <w:semiHidden/>
    <w:unhideWhenUsed/>
    <w:qFormat/>
    <w:rsid w:val="00147FCB"/>
    <w:pPr>
      <w:spacing w:line="240" w:lineRule="auto"/>
    </w:pPr>
    <w:rPr>
      <w:sz w:val="24"/>
      <w:szCs w:val="24"/>
      <w:lang w:val="en-US"/>
    </w:rPr>
    <w:tblPr>
      <w:tblInd w:w="0" w:type="dxa"/>
      <w:tblCellMar>
        <w:top w:w="0" w:type="dxa"/>
        <w:left w:w="108" w:type="dxa"/>
        <w:bottom w:w="0" w:type="dxa"/>
        <w:right w:w="108" w:type="dxa"/>
      </w:tblCellMar>
    </w:tblPr>
  </w:style>
  <w:style w:type="paragraph" w:customStyle="1" w:styleId="DefinitionTerm">
    <w:name w:val="Definition Term"/>
    <w:basedOn w:val="Normal"/>
    <w:next w:val="Definition"/>
    <w:rsid w:val="00147FCB"/>
    <w:pPr>
      <w:keepNext/>
      <w:keepLines/>
      <w:tabs>
        <w:tab w:val="clear" w:pos="7100"/>
      </w:tabs>
      <w:spacing w:line="240" w:lineRule="auto"/>
      <w:jc w:val="left"/>
    </w:pPr>
    <w:rPr>
      <w:rFonts w:asciiTheme="minorHAnsi" w:eastAsiaTheme="minorHAnsi" w:hAnsiTheme="minorHAnsi" w:cstheme="minorBidi"/>
      <w:b/>
      <w:sz w:val="24"/>
      <w:szCs w:val="24"/>
      <w:lang w:val="en-US"/>
    </w:rPr>
  </w:style>
  <w:style w:type="paragraph" w:customStyle="1" w:styleId="Definition">
    <w:name w:val="Definition"/>
    <w:basedOn w:val="Normal"/>
    <w:rsid w:val="00147FCB"/>
    <w:pPr>
      <w:tabs>
        <w:tab w:val="clear" w:pos="7100"/>
      </w:tabs>
      <w:spacing w:after="200" w:line="240" w:lineRule="auto"/>
      <w:jc w:val="left"/>
    </w:pPr>
    <w:rPr>
      <w:rFonts w:asciiTheme="minorHAnsi" w:eastAsiaTheme="minorHAnsi" w:hAnsiTheme="minorHAnsi" w:cstheme="minorBidi"/>
      <w:sz w:val="24"/>
      <w:szCs w:val="24"/>
      <w:lang w:val="en-US"/>
    </w:rPr>
  </w:style>
  <w:style w:type="paragraph" w:customStyle="1" w:styleId="TableCaption">
    <w:name w:val="Table Caption"/>
    <w:basedOn w:val="Caption"/>
    <w:rsid w:val="00147FCB"/>
    <w:pPr>
      <w:keepNext/>
      <w:tabs>
        <w:tab w:val="clear" w:pos="7100"/>
      </w:tabs>
      <w:spacing w:after="120"/>
      <w:jc w:val="left"/>
    </w:pPr>
    <w:rPr>
      <w:rFonts w:asciiTheme="minorHAnsi" w:eastAsiaTheme="minorHAnsi" w:hAnsiTheme="minorHAnsi" w:cstheme="minorBidi"/>
      <w:b w:val="0"/>
      <w:bCs w:val="0"/>
      <w:i/>
      <w:color w:val="auto"/>
      <w:sz w:val="24"/>
      <w:szCs w:val="24"/>
      <w:lang w:val="en-US"/>
    </w:rPr>
  </w:style>
  <w:style w:type="character" w:customStyle="1" w:styleId="VerbatimChar">
    <w:name w:val="Verbatim Char"/>
    <w:basedOn w:val="DefaultParagraphFont"/>
    <w:link w:val="SourceCode"/>
    <w:rsid w:val="00147FCB"/>
    <w:rPr>
      <w:rFonts w:ascii="Consolas" w:hAnsi="Consolas"/>
    </w:rPr>
  </w:style>
  <w:style w:type="paragraph" w:customStyle="1" w:styleId="SourceCode">
    <w:name w:val="Source Code"/>
    <w:basedOn w:val="Normal"/>
    <w:link w:val="VerbatimChar"/>
    <w:rsid w:val="00147FCB"/>
    <w:pPr>
      <w:tabs>
        <w:tab w:val="clear" w:pos="7100"/>
      </w:tabs>
      <w:wordWrap w:val="0"/>
      <w:spacing w:after="200" w:line="240" w:lineRule="auto"/>
      <w:jc w:val="left"/>
    </w:pPr>
    <w:rPr>
      <w:rFonts w:ascii="Consolas" w:eastAsiaTheme="minorHAnsi" w:hAnsi="Consolas" w:cstheme="minorBidi"/>
      <w:sz w:val="22"/>
      <w:szCs w:val="22"/>
      <w:lang w:val="it-IT"/>
    </w:rPr>
  </w:style>
  <w:style w:type="character" w:styleId="PlaceholderText">
    <w:name w:val="Placeholder Text"/>
    <w:basedOn w:val="DefaultParagraphFont"/>
    <w:uiPriority w:val="99"/>
    <w:semiHidden/>
    <w:rsid w:val="000F777A"/>
    <w:rPr>
      <w:color w:val="808080"/>
    </w:rPr>
  </w:style>
  <w:style w:type="character" w:styleId="UnresolvedMention">
    <w:name w:val="Unresolved Mention"/>
    <w:basedOn w:val="DefaultParagraphFont"/>
    <w:uiPriority w:val="99"/>
    <w:semiHidden/>
    <w:unhideWhenUsed/>
    <w:rsid w:val="008F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712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5696">
      <w:bodyDiv w:val="1"/>
      <w:marLeft w:val="0"/>
      <w:marRight w:val="0"/>
      <w:marTop w:val="0"/>
      <w:marBottom w:val="0"/>
      <w:divBdr>
        <w:top w:val="none" w:sz="0" w:space="0" w:color="auto"/>
        <w:left w:val="none" w:sz="0" w:space="0" w:color="auto"/>
        <w:bottom w:val="none" w:sz="0" w:space="0" w:color="auto"/>
        <w:right w:val="none" w:sz="0" w:space="0" w:color="auto"/>
      </w:divBdr>
    </w:div>
    <w:div w:id="1877618975">
      <w:bodyDiv w:val="1"/>
      <w:marLeft w:val="0"/>
      <w:marRight w:val="0"/>
      <w:marTop w:val="0"/>
      <w:marBottom w:val="0"/>
      <w:divBdr>
        <w:top w:val="none" w:sz="0" w:space="0" w:color="auto"/>
        <w:left w:val="none" w:sz="0" w:space="0" w:color="auto"/>
        <w:bottom w:val="none" w:sz="0" w:space="0" w:color="auto"/>
        <w:right w:val="none" w:sz="0" w:space="0" w:color="auto"/>
      </w:divBdr>
      <w:divsChild>
        <w:div w:id="711225642">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e.fraga@ucl.ac.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C5FF-023C-4FBB-B5CF-AF982C0D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Dipartimento CMIC - Politecnico di Milano</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Fraga</dc:creator>
  <cp:lastModifiedBy>Mariam Falahi</cp:lastModifiedBy>
  <cp:revision>2</cp:revision>
  <cp:lastPrinted>2015-05-12T18:31:00Z</cp:lastPrinted>
  <dcterms:created xsi:type="dcterms:W3CDTF">2023-04-14T12:27:00Z</dcterms:created>
  <dcterms:modified xsi:type="dcterms:W3CDTF">2023-04-14T12:27:00Z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