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71521" w14:paraId="2A131A54" w14:textId="77777777" w:rsidTr="00D151F9">
        <w:trPr>
          <w:trHeight w:val="852"/>
          <w:jc w:val="center"/>
        </w:trPr>
        <w:tc>
          <w:tcPr>
            <w:tcW w:w="6940" w:type="dxa"/>
            <w:vMerge w:val="restart"/>
            <w:tcBorders>
              <w:right w:val="single" w:sz="4" w:space="0" w:color="auto"/>
            </w:tcBorders>
          </w:tcPr>
          <w:p w14:paraId="38C3D2BA" w14:textId="77777777" w:rsidR="000A03B2" w:rsidRPr="00271521" w:rsidRDefault="000A03B2" w:rsidP="00DE264A">
            <w:pPr>
              <w:tabs>
                <w:tab w:val="left" w:pos="-108"/>
              </w:tabs>
              <w:ind w:left="-108"/>
              <w:jc w:val="left"/>
              <w:rPr>
                <w:rFonts w:cs="Arial"/>
                <w:b/>
                <w:bCs/>
                <w:i/>
                <w:iCs/>
                <w:color w:val="000066"/>
                <w:sz w:val="12"/>
                <w:szCs w:val="12"/>
                <w:lang w:eastAsia="it-IT"/>
              </w:rPr>
            </w:pPr>
            <w:r w:rsidRPr="00271521">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71521">
              <w:rPr>
                <w:rFonts w:ascii="AdvP6960" w:hAnsi="AdvP6960" w:cs="AdvP6960"/>
                <w:color w:val="241F20"/>
                <w:szCs w:val="18"/>
                <w:lang w:eastAsia="it-IT"/>
              </w:rPr>
              <w:t xml:space="preserve"> </w:t>
            </w:r>
            <w:r w:rsidRPr="00271521">
              <w:rPr>
                <w:rFonts w:cs="Arial"/>
                <w:b/>
                <w:bCs/>
                <w:i/>
                <w:iCs/>
                <w:color w:val="000066"/>
                <w:sz w:val="24"/>
                <w:szCs w:val="24"/>
                <w:lang w:eastAsia="it-IT"/>
              </w:rPr>
              <w:t>CHEMICAL ENGINEERING</w:t>
            </w:r>
            <w:r w:rsidRPr="00271521">
              <w:rPr>
                <w:rFonts w:cs="Arial"/>
                <w:b/>
                <w:bCs/>
                <w:i/>
                <w:iCs/>
                <w:color w:val="0033FF"/>
                <w:sz w:val="24"/>
                <w:szCs w:val="24"/>
                <w:lang w:eastAsia="it-IT"/>
              </w:rPr>
              <w:t xml:space="preserve"> </w:t>
            </w:r>
            <w:r w:rsidRPr="00271521">
              <w:rPr>
                <w:rFonts w:cs="Arial"/>
                <w:b/>
                <w:bCs/>
                <w:i/>
                <w:iCs/>
                <w:color w:val="666666"/>
                <w:sz w:val="24"/>
                <w:szCs w:val="24"/>
                <w:lang w:eastAsia="it-IT"/>
              </w:rPr>
              <w:t>TRANSACTIONS</w:t>
            </w:r>
            <w:r w:rsidRPr="00271521">
              <w:rPr>
                <w:color w:val="333333"/>
                <w:sz w:val="24"/>
                <w:szCs w:val="24"/>
                <w:lang w:eastAsia="it-IT"/>
              </w:rPr>
              <w:t xml:space="preserve"> </w:t>
            </w:r>
            <w:r w:rsidRPr="00271521">
              <w:rPr>
                <w:rFonts w:cs="Arial"/>
                <w:b/>
                <w:bCs/>
                <w:i/>
                <w:iCs/>
                <w:color w:val="000066"/>
                <w:sz w:val="27"/>
                <w:szCs w:val="27"/>
                <w:lang w:eastAsia="it-IT"/>
              </w:rPr>
              <w:br/>
            </w:r>
          </w:p>
          <w:p w14:paraId="4B780582" w14:textId="530285EB" w:rsidR="000A03B2" w:rsidRPr="00271521" w:rsidRDefault="00A76EFC" w:rsidP="001D21AF">
            <w:pPr>
              <w:tabs>
                <w:tab w:val="left" w:pos="-108"/>
              </w:tabs>
              <w:ind w:left="-108"/>
              <w:rPr>
                <w:rFonts w:cs="Arial"/>
                <w:b/>
                <w:bCs/>
                <w:i/>
                <w:iCs/>
                <w:color w:val="000066"/>
                <w:sz w:val="22"/>
                <w:szCs w:val="22"/>
                <w:lang w:eastAsia="it-IT"/>
              </w:rPr>
            </w:pPr>
            <w:r w:rsidRPr="00271521">
              <w:rPr>
                <w:rFonts w:cs="Arial"/>
                <w:b/>
                <w:bCs/>
                <w:i/>
                <w:iCs/>
                <w:color w:val="000066"/>
                <w:sz w:val="22"/>
                <w:szCs w:val="22"/>
                <w:lang w:eastAsia="it-IT"/>
              </w:rPr>
              <w:t xml:space="preserve">VOL. </w:t>
            </w:r>
            <w:r w:rsidR="0030152C" w:rsidRPr="00271521">
              <w:rPr>
                <w:rFonts w:cs="Arial"/>
                <w:b/>
                <w:bCs/>
                <w:i/>
                <w:iCs/>
                <w:color w:val="000066"/>
                <w:sz w:val="22"/>
                <w:szCs w:val="22"/>
                <w:lang w:eastAsia="it-IT"/>
              </w:rPr>
              <w:t xml:space="preserve"> </w:t>
            </w:r>
            <w:proofErr w:type="gramStart"/>
            <w:r w:rsidR="0030152C" w:rsidRPr="00271521">
              <w:rPr>
                <w:rFonts w:cs="Arial"/>
                <w:b/>
                <w:bCs/>
                <w:i/>
                <w:iCs/>
                <w:color w:val="000066"/>
                <w:sz w:val="22"/>
                <w:szCs w:val="22"/>
                <w:lang w:eastAsia="it-IT"/>
              </w:rPr>
              <w:t xml:space="preserve">  </w:t>
            </w:r>
            <w:r w:rsidR="007B48F9" w:rsidRPr="00271521">
              <w:rPr>
                <w:rFonts w:cs="Arial"/>
                <w:b/>
                <w:bCs/>
                <w:i/>
                <w:iCs/>
                <w:color w:val="000066"/>
                <w:sz w:val="22"/>
                <w:szCs w:val="22"/>
                <w:lang w:eastAsia="it-IT"/>
              </w:rPr>
              <w:t>,</w:t>
            </w:r>
            <w:proofErr w:type="gramEnd"/>
            <w:r w:rsidR="00FA5F5F" w:rsidRPr="00271521">
              <w:rPr>
                <w:rFonts w:cs="Arial"/>
                <w:b/>
                <w:bCs/>
                <w:i/>
                <w:iCs/>
                <w:color w:val="000066"/>
                <w:sz w:val="22"/>
                <w:szCs w:val="22"/>
                <w:lang w:eastAsia="it-IT"/>
              </w:rPr>
              <w:t xml:space="preserve"> </w:t>
            </w:r>
            <w:r w:rsidR="0030152C" w:rsidRPr="00271521">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271521" w:rsidRDefault="000A03B2" w:rsidP="00CD5FE2">
            <w:pPr>
              <w:spacing w:line="140" w:lineRule="atLeast"/>
              <w:jc w:val="right"/>
              <w:rPr>
                <w:rFonts w:cs="Arial"/>
                <w:sz w:val="14"/>
                <w:szCs w:val="14"/>
              </w:rPr>
            </w:pPr>
            <w:r w:rsidRPr="00271521">
              <w:rPr>
                <w:rFonts w:cs="Arial"/>
                <w:sz w:val="14"/>
                <w:szCs w:val="14"/>
              </w:rPr>
              <w:t>A publication of</w:t>
            </w:r>
          </w:p>
          <w:p w14:paraId="599E5441" w14:textId="77777777" w:rsidR="000A03B2" w:rsidRPr="00271521" w:rsidRDefault="000A03B2" w:rsidP="00CD5FE2">
            <w:pPr>
              <w:jc w:val="right"/>
            </w:pPr>
            <w:r w:rsidRPr="00271521">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71521" w14:paraId="380FA3CD" w14:textId="77777777" w:rsidTr="00D151F9">
        <w:trPr>
          <w:trHeight w:val="567"/>
          <w:jc w:val="center"/>
        </w:trPr>
        <w:tc>
          <w:tcPr>
            <w:tcW w:w="6940" w:type="dxa"/>
            <w:vMerge/>
            <w:tcBorders>
              <w:right w:val="single" w:sz="4" w:space="0" w:color="auto"/>
            </w:tcBorders>
          </w:tcPr>
          <w:p w14:paraId="39E5E4C1" w14:textId="77777777" w:rsidR="000A03B2" w:rsidRPr="00271521"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271521" w:rsidRDefault="000A03B2" w:rsidP="00CD5FE2">
            <w:pPr>
              <w:spacing w:line="140" w:lineRule="atLeast"/>
              <w:jc w:val="right"/>
              <w:rPr>
                <w:rFonts w:cs="Arial"/>
                <w:sz w:val="14"/>
                <w:szCs w:val="14"/>
              </w:rPr>
            </w:pPr>
            <w:r w:rsidRPr="00271521">
              <w:rPr>
                <w:rFonts w:cs="Arial"/>
                <w:sz w:val="14"/>
                <w:szCs w:val="14"/>
              </w:rPr>
              <w:t>The Italian Association</w:t>
            </w:r>
          </w:p>
          <w:p w14:paraId="7522B1D2" w14:textId="77777777" w:rsidR="000A03B2" w:rsidRPr="00271521" w:rsidRDefault="000A03B2" w:rsidP="00CD5FE2">
            <w:pPr>
              <w:spacing w:line="140" w:lineRule="atLeast"/>
              <w:jc w:val="right"/>
              <w:rPr>
                <w:rFonts w:cs="Arial"/>
                <w:sz w:val="14"/>
                <w:szCs w:val="14"/>
              </w:rPr>
            </w:pPr>
            <w:r w:rsidRPr="00271521">
              <w:rPr>
                <w:rFonts w:cs="Arial"/>
                <w:sz w:val="14"/>
                <w:szCs w:val="14"/>
              </w:rPr>
              <w:t>of Chemical Engineering</w:t>
            </w:r>
          </w:p>
          <w:p w14:paraId="4F0CC5DE" w14:textId="47FDB2FC" w:rsidR="000A03B2" w:rsidRPr="00271521" w:rsidRDefault="000D0268" w:rsidP="00CD5FE2">
            <w:pPr>
              <w:spacing w:line="140" w:lineRule="atLeast"/>
              <w:jc w:val="right"/>
              <w:rPr>
                <w:rFonts w:cs="Arial"/>
                <w:sz w:val="13"/>
                <w:szCs w:val="13"/>
              </w:rPr>
            </w:pPr>
            <w:r w:rsidRPr="00271521">
              <w:rPr>
                <w:rFonts w:cs="Arial"/>
                <w:sz w:val="13"/>
                <w:szCs w:val="13"/>
              </w:rPr>
              <w:t>Online at www.cetjournal.it</w:t>
            </w:r>
          </w:p>
        </w:tc>
      </w:tr>
      <w:tr w:rsidR="000A03B2" w:rsidRPr="00271521" w14:paraId="2D1B7169" w14:textId="77777777" w:rsidTr="00D151F9">
        <w:trPr>
          <w:trHeight w:val="68"/>
          <w:jc w:val="center"/>
        </w:trPr>
        <w:tc>
          <w:tcPr>
            <w:tcW w:w="8782" w:type="dxa"/>
            <w:gridSpan w:val="2"/>
          </w:tcPr>
          <w:p w14:paraId="1D8DD3C9" w14:textId="72C518CF" w:rsidR="00AA7D26" w:rsidRPr="00271521" w:rsidRDefault="00AA7D26" w:rsidP="00AA7D26">
            <w:pPr>
              <w:ind w:left="-107"/>
              <w:outlineLvl w:val="2"/>
              <w:rPr>
                <w:rFonts w:ascii="Tahoma" w:hAnsi="Tahoma" w:cs="Tahoma"/>
                <w:bCs/>
                <w:color w:val="000000"/>
                <w:sz w:val="14"/>
                <w:szCs w:val="14"/>
                <w:lang w:eastAsia="it-IT"/>
              </w:rPr>
            </w:pPr>
            <w:r w:rsidRPr="00271521">
              <w:rPr>
                <w:rFonts w:ascii="Tahoma" w:hAnsi="Tahoma" w:cs="Tahoma"/>
                <w:iCs/>
                <w:color w:val="333333"/>
                <w:sz w:val="14"/>
                <w:szCs w:val="14"/>
                <w:lang w:eastAsia="it-IT"/>
              </w:rPr>
              <w:t>Guest Editor:</w:t>
            </w:r>
            <w:r w:rsidRPr="00271521">
              <w:rPr>
                <w:rFonts w:ascii="Tahoma" w:hAnsi="Tahoma" w:cs="Tahoma"/>
                <w:color w:val="000000"/>
                <w:sz w:val="14"/>
                <w:szCs w:val="14"/>
                <w:shd w:val="clear" w:color="auto" w:fill="FFFFFF"/>
              </w:rPr>
              <w:t xml:space="preserve"> </w:t>
            </w:r>
            <w:proofErr w:type="spellStart"/>
            <w:r w:rsidRPr="00271521">
              <w:rPr>
                <w:rFonts w:ascii="Tahoma" w:hAnsi="Tahoma" w:cs="Tahoma"/>
                <w:sz w:val="14"/>
                <w:szCs w:val="14"/>
              </w:rPr>
              <w:t>Sauro</w:t>
            </w:r>
            <w:proofErr w:type="spellEnd"/>
            <w:r w:rsidRPr="00271521">
              <w:rPr>
                <w:rFonts w:ascii="Tahoma" w:hAnsi="Tahoma" w:cs="Tahoma"/>
                <w:sz w:val="14"/>
                <w:szCs w:val="14"/>
              </w:rPr>
              <w:t xml:space="preserve"> </w:t>
            </w:r>
            <w:proofErr w:type="spellStart"/>
            <w:r w:rsidRPr="00271521">
              <w:rPr>
                <w:rFonts w:ascii="Tahoma" w:hAnsi="Tahoma" w:cs="Tahoma"/>
                <w:sz w:val="14"/>
                <w:szCs w:val="14"/>
              </w:rPr>
              <w:t>Pierucci</w:t>
            </w:r>
            <w:proofErr w:type="spellEnd"/>
          </w:p>
          <w:p w14:paraId="1B0F1814" w14:textId="650290B9" w:rsidR="000A03B2" w:rsidRPr="00271521" w:rsidRDefault="00AA7D26" w:rsidP="00AA7D26">
            <w:pPr>
              <w:tabs>
                <w:tab w:val="left" w:pos="-108"/>
              </w:tabs>
              <w:spacing w:line="140" w:lineRule="atLeast"/>
              <w:ind w:left="-107"/>
              <w:jc w:val="left"/>
            </w:pPr>
            <w:r w:rsidRPr="00271521">
              <w:rPr>
                <w:rFonts w:ascii="Tahoma" w:hAnsi="Tahoma" w:cs="Tahoma"/>
                <w:iCs/>
                <w:color w:val="333333"/>
                <w:sz w:val="14"/>
                <w:szCs w:val="14"/>
                <w:lang w:eastAsia="it-IT"/>
              </w:rPr>
              <w:t xml:space="preserve">Copyright © 2023, AIDIC </w:t>
            </w:r>
            <w:proofErr w:type="spellStart"/>
            <w:r w:rsidRPr="00271521">
              <w:rPr>
                <w:rFonts w:ascii="Tahoma" w:hAnsi="Tahoma" w:cs="Tahoma"/>
                <w:iCs/>
                <w:color w:val="333333"/>
                <w:sz w:val="14"/>
                <w:szCs w:val="14"/>
                <w:lang w:eastAsia="it-IT"/>
              </w:rPr>
              <w:t>Servizi</w:t>
            </w:r>
            <w:proofErr w:type="spellEnd"/>
            <w:r w:rsidRPr="00271521">
              <w:rPr>
                <w:rFonts w:ascii="Tahoma" w:hAnsi="Tahoma" w:cs="Tahoma"/>
                <w:iCs/>
                <w:color w:val="333333"/>
                <w:sz w:val="14"/>
                <w:szCs w:val="14"/>
                <w:lang w:eastAsia="it-IT"/>
              </w:rPr>
              <w:t xml:space="preserve"> </w:t>
            </w:r>
            <w:proofErr w:type="spellStart"/>
            <w:r w:rsidRPr="00271521">
              <w:rPr>
                <w:rFonts w:ascii="Tahoma" w:hAnsi="Tahoma" w:cs="Tahoma"/>
                <w:iCs/>
                <w:color w:val="333333"/>
                <w:sz w:val="14"/>
                <w:szCs w:val="14"/>
                <w:lang w:eastAsia="it-IT"/>
              </w:rPr>
              <w:t>S.r.l</w:t>
            </w:r>
            <w:proofErr w:type="spellEnd"/>
            <w:r w:rsidRPr="00271521">
              <w:rPr>
                <w:rFonts w:ascii="Tahoma" w:hAnsi="Tahoma" w:cs="Tahoma"/>
                <w:iCs/>
                <w:color w:val="333333"/>
                <w:sz w:val="14"/>
                <w:szCs w:val="14"/>
                <w:lang w:eastAsia="it-IT"/>
              </w:rPr>
              <w:t>.</w:t>
            </w:r>
            <w:r w:rsidRPr="00271521">
              <w:rPr>
                <w:rFonts w:ascii="Tahoma" w:hAnsi="Tahoma" w:cs="Tahoma"/>
                <w:iCs/>
                <w:color w:val="333333"/>
                <w:sz w:val="14"/>
                <w:szCs w:val="14"/>
                <w:lang w:eastAsia="it-IT"/>
              </w:rPr>
              <w:br/>
            </w:r>
            <w:r w:rsidRPr="00271521">
              <w:rPr>
                <w:rFonts w:ascii="Tahoma" w:hAnsi="Tahoma" w:cs="Tahoma"/>
                <w:b/>
                <w:iCs/>
                <w:color w:val="000000"/>
                <w:sz w:val="14"/>
                <w:szCs w:val="14"/>
                <w:lang w:eastAsia="it-IT"/>
              </w:rPr>
              <w:t>ISBN</w:t>
            </w:r>
            <w:r w:rsidRPr="00271521">
              <w:rPr>
                <w:rFonts w:ascii="Tahoma" w:hAnsi="Tahoma" w:cs="Tahoma"/>
                <w:iCs/>
                <w:color w:val="000000"/>
                <w:sz w:val="14"/>
                <w:szCs w:val="14"/>
                <w:lang w:eastAsia="it-IT"/>
              </w:rPr>
              <w:t xml:space="preserve"> </w:t>
            </w:r>
            <w:r w:rsidRPr="00271521">
              <w:rPr>
                <w:rFonts w:ascii="Tahoma" w:hAnsi="Tahoma" w:cs="Tahoma"/>
                <w:sz w:val="14"/>
                <w:szCs w:val="14"/>
              </w:rPr>
              <w:t>978-88-95608-98-3</w:t>
            </w:r>
            <w:r w:rsidRPr="00271521">
              <w:rPr>
                <w:rFonts w:ascii="Tahoma" w:hAnsi="Tahoma" w:cs="Tahoma"/>
                <w:iCs/>
                <w:color w:val="333333"/>
                <w:sz w:val="14"/>
                <w:szCs w:val="14"/>
                <w:lang w:eastAsia="it-IT"/>
              </w:rPr>
              <w:t xml:space="preserve">; </w:t>
            </w:r>
            <w:r w:rsidRPr="00271521">
              <w:rPr>
                <w:rFonts w:ascii="Tahoma" w:hAnsi="Tahoma" w:cs="Tahoma"/>
                <w:b/>
                <w:iCs/>
                <w:color w:val="333333"/>
                <w:sz w:val="14"/>
                <w:szCs w:val="14"/>
                <w:lang w:eastAsia="it-IT"/>
              </w:rPr>
              <w:t>ISSN</w:t>
            </w:r>
            <w:r w:rsidRPr="00271521">
              <w:rPr>
                <w:rFonts w:ascii="Tahoma" w:hAnsi="Tahoma" w:cs="Tahoma"/>
                <w:iCs/>
                <w:color w:val="333333"/>
                <w:sz w:val="14"/>
                <w:szCs w:val="14"/>
                <w:lang w:eastAsia="it-IT"/>
              </w:rPr>
              <w:t xml:space="preserve"> 2283-9216</w:t>
            </w:r>
          </w:p>
        </w:tc>
      </w:tr>
    </w:tbl>
    <w:p w14:paraId="2E667253" w14:textId="670BA15E" w:rsidR="00E978D0" w:rsidRPr="00336AEF" w:rsidRDefault="00D151F9" w:rsidP="00E978D0">
      <w:pPr>
        <w:pStyle w:val="CETTitle"/>
        <w:rPr>
          <w:lang w:val="en-US"/>
        </w:rPr>
      </w:pPr>
      <w:r w:rsidRPr="00271521">
        <w:t>Q</w:t>
      </w:r>
      <w:r w:rsidR="00376541">
        <w:t xml:space="preserve">uantitative </w:t>
      </w:r>
      <w:r w:rsidRPr="00271521">
        <w:t>R</w:t>
      </w:r>
      <w:r w:rsidR="00376541">
        <w:t xml:space="preserve">isk </w:t>
      </w:r>
      <w:r w:rsidRPr="00271521">
        <w:t>A</w:t>
      </w:r>
      <w:r w:rsidR="00376541">
        <w:t>ssessment</w:t>
      </w:r>
      <w:r w:rsidRPr="00271521">
        <w:t>: Best Practices and Limitations</w:t>
      </w:r>
    </w:p>
    <w:p w14:paraId="7EF4CA39" w14:textId="4EF02EBD" w:rsidR="00D151F9" w:rsidRPr="00336AEF" w:rsidRDefault="00376541" w:rsidP="00D151F9">
      <w:pPr>
        <w:pStyle w:val="CETAuthors"/>
        <w:rPr>
          <w:lang w:val="it-IT"/>
        </w:rPr>
      </w:pPr>
      <w:r w:rsidRPr="00376541">
        <w:rPr>
          <w:lang w:val="it-IT"/>
        </w:rPr>
        <w:t xml:space="preserve">Mauro Gotti*, </w:t>
      </w:r>
      <w:r w:rsidR="00D151F9" w:rsidRPr="00376541">
        <w:rPr>
          <w:lang w:val="it-IT"/>
        </w:rPr>
        <w:t>Leo</w:t>
      </w:r>
      <w:r w:rsidRPr="00376541">
        <w:rPr>
          <w:lang w:val="it-IT"/>
        </w:rPr>
        <w:t>n</w:t>
      </w:r>
      <w:r w:rsidR="00D151F9" w:rsidRPr="00376541">
        <w:rPr>
          <w:lang w:val="it-IT"/>
        </w:rPr>
        <w:t xml:space="preserve">ardo </w:t>
      </w:r>
      <w:r w:rsidRPr="00376541">
        <w:rPr>
          <w:lang w:val="it-IT"/>
        </w:rPr>
        <w:t>M</w:t>
      </w:r>
      <w:r>
        <w:rPr>
          <w:lang w:val="it-IT"/>
        </w:rPr>
        <w:t>.</w:t>
      </w:r>
      <w:r w:rsidRPr="00376541">
        <w:rPr>
          <w:lang w:val="it-IT"/>
        </w:rPr>
        <w:t xml:space="preserve"> </w:t>
      </w:r>
      <w:r w:rsidR="00D151F9" w:rsidRPr="00376541">
        <w:rPr>
          <w:lang w:val="it-IT"/>
        </w:rPr>
        <w:t>Carluccio</w:t>
      </w:r>
    </w:p>
    <w:p w14:paraId="6B2D21B3" w14:textId="6E3FA9CB" w:rsidR="00B57E6F" w:rsidRPr="00376541" w:rsidRDefault="00D151F9" w:rsidP="00B57E6F">
      <w:pPr>
        <w:pStyle w:val="CETAddress"/>
        <w:rPr>
          <w:lang w:val="it-IT"/>
        </w:rPr>
      </w:pPr>
      <w:r w:rsidRPr="00376541">
        <w:rPr>
          <w:lang w:val="it-IT"/>
        </w:rPr>
        <w:t>DEKRA Italia S.r.l., Process Safety Department, via Fratelli Gracchi, 27 – 20092 Cinisello Balsamo (MI)</w:t>
      </w:r>
    </w:p>
    <w:p w14:paraId="73F1267A" w14:textId="442870ED" w:rsidR="00B57E6F" w:rsidRPr="00271521" w:rsidRDefault="00D151F9" w:rsidP="00B57E6F">
      <w:pPr>
        <w:pStyle w:val="CETemail"/>
      </w:pPr>
      <w:r w:rsidRPr="00271521">
        <w:t>mauro.gotti@dekra.com</w:t>
      </w:r>
    </w:p>
    <w:p w14:paraId="22C66309" w14:textId="77777777" w:rsidR="005D315B" w:rsidRDefault="00D151F9" w:rsidP="00D151F9">
      <w:pPr>
        <w:pStyle w:val="CETBodytext"/>
        <w:rPr>
          <w:lang w:val="en-GB"/>
        </w:rPr>
      </w:pPr>
      <w:r w:rsidRPr="00271521">
        <w:rPr>
          <w:lang w:val="en-GB"/>
        </w:rPr>
        <w:t xml:space="preserve">Over the past decades, safety has been permeating process industry with the aim to ensure the protection of people involved in process plants and to prevent catastrophic events and industrial accidents that could be dangerous for the environment and the entire society. </w:t>
      </w:r>
    </w:p>
    <w:p w14:paraId="2B86D2C7" w14:textId="77777777" w:rsidR="005D315B" w:rsidRDefault="00D151F9" w:rsidP="00D151F9">
      <w:pPr>
        <w:pStyle w:val="CETBodytext"/>
        <w:rPr>
          <w:lang w:val="en-GB"/>
        </w:rPr>
      </w:pPr>
      <w:r w:rsidRPr="00271521">
        <w:rPr>
          <w:lang w:val="en-GB"/>
        </w:rPr>
        <w:t xml:space="preserve">Nowadays, process industry requires specific and validated hazard assessment methods to understand the risks to which people are exposed. As a matter of fact, industrial accidents involving either installations or transportation of chemical compounds occur with relative high frequency and lead to many major accidents. </w:t>
      </w:r>
    </w:p>
    <w:p w14:paraId="75E5008D" w14:textId="7A2DA39D" w:rsidR="00336AEF" w:rsidRDefault="006E3C30" w:rsidP="00D151F9">
      <w:pPr>
        <w:pStyle w:val="CETBodytext"/>
        <w:rPr>
          <w:lang w:val="en-GB"/>
        </w:rPr>
      </w:pPr>
      <w:r>
        <w:rPr>
          <w:lang w:val="en-GB"/>
        </w:rPr>
        <w:t>QRA</w:t>
      </w:r>
      <w:r w:rsidR="00336AEF" w:rsidRPr="00271521">
        <w:rPr>
          <w:lang w:val="en-GB"/>
        </w:rPr>
        <w:t xml:space="preserve"> analysis </w:t>
      </w:r>
      <w:r>
        <w:rPr>
          <w:lang w:val="en-GB"/>
        </w:rPr>
        <w:t>(</w:t>
      </w:r>
      <w:r w:rsidRPr="00271521">
        <w:rPr>
          <w:lang w:val="en-GB"/>
        </w:rPr>
        <w:t xml:space="preserve">QRA is an acronym for </w:t>
      </w:r>
      <w:r>
        <w:rPr>
          <w:lang w:val="en-GB"/>
        </w:rPr>
        <w:t>Q</w:t>
      </w:r>
      <w:r w:rsidRPr="00271521">
        <w:rPr>
          <w:lang w:val="en-GB"/>
        </w:rPr>
        <w:t xml:space="preserve">uantitative </w:t>
      </w:r>
      <w:r>
        <w:rPr>
          <w:lang w:val="en-GB"/>
        </w:rPr>
        <w:t>R</w:t>
      </w:r>
      <w:r w:rsidRPr="00271521">
        <w:rPr>
          <w:lang w:val="en-GB"/>
        </w:rPr>
        <w:t xml:space="preserve">isk </w:t>
      </w:r>
      <w:r>
        <w:rPr>
          <w:lang w:val="en-GB"/>
        </w:rPr>
        <w:t>A</w:t>
      </w:r>
      <w:r w:rsidRPr="00271521">
        <w:rPr>
          <w:lang w:val="en-GB"/>
        </w:rPr>
        <w:t>ssessment</w:t>
      </w:r>
      <w:r>
        <w:rPr>
          <w:lang w:val="en-GB"/>
        </w:rPr>
        <w:t xml:space="preserve">) </w:t>
      </w:r>
      <w:r w:rsidR="00336AEF" w:rsidRPr="00271521">
        <w:rPr>
          <w:lang w:val="en-GB"/>
        </w:rPr>
        <w:t>is a formal and systematic risk analysis approach for quantifying the risks associated with the operation of an engineering process. It can be used for the calculation of the economic and environmental impact that an industry could face after an incidental scenario has occurred, but its focus is on the loss of life</w:t>
      </w:r>
      <w:r w:rsidR="00336AEF">
        <w:rPr>
          <w:lang w:val="en-GB"/>
        </w:rPr>
        <w:t>; h</w:t>
      </w:r>
      <w:r w:rsidR="00D151F9" w:rsidRPr="00271521">
        <w:rPr>
          <w:lang w:val="en-GB"/>
        </w:rPr>
        <w:t>owever, many pitfalls are hidden in this analysis, and we need to be aware of them and to avoid them.</w:t>
      </w:r>
    </w:p>
    <w:p w14:paraId="02F3ABE3" w14:textId="79B6692A" w:rsidR="00336AEF" w:rsidRDefault="00336AEF" w:rsidP="00336AEF">
      <w:pPr>
        <w:pStyle w:val="CETBodytext"/>
        <w:rPr>
          <w:lang w:val="en-GB"/>
        </w:rPr>
      </w:pPr>
      <w:r w:rsidRPr="00271521">
        <w:rPr>
          <w:lang w:val="en-GB"/>
        </w:rPr>
        <w:t xml:space="preserve">The paper aims to show the so-called “Seven Deadly Sins” and the “Five Commandments” of QRA, highlighting through real cases and examples from </w:t>
      </w:r>
      <w:r>
        <w:rPr>
          <w:lang w:val="en-GB"/>
        </w:rPr>
        <w:t xml:space="preserve">more than thirty years long experience </w:t>
      </w:r>
      <w:r w:rsidRPr="00271521">
        <w:rPr>
          <w:lang w:val="en-GB"/>
        </w:rPr>
        <w:t>how small mistakes in the input data can generate enormous mistakes. It will also show the golden rules to ensure that a QRA will give as an output useful and meaningful results.</w:t>
      </w:r>
    </w:p>
    <w:p w14:paraId="39B6F307" w14:textId="77777777" w:rsidR="00D151F9" w:rsidRPr="00271521" w:rsidRDefault="00D151F9" w:rsidP="00600535">
      <w:pPr>
        <w:pStyle w:val="CETBodytext"/>
        <w:rPr>
          <w:lang w:val="en-GB"/>
        </w:rPr>
      </w:pPr>
    </w:p>
    <w:p w14:paraId="476B2F2E" w14:textId="77777777" w:rsidR="00600535" w:rsidRPr="00271521" w:rsidRDefault="00600535" w:rsidP="00600535">
      <w:pPr>
        <w:pStyle w:val="CETHeading1"/>
        <w:rPr>
          <w:lang w:val="en-GB"/>
        </w:rPr>
      </w:pPr>
      <w:r w:rsidRPr="00271521">
        <w:rPr>
          <w:lang w:val="en-GB"/>
        </w:rPr>
        <w:t>Introduction</w:t>
      </w:r>
    </w:p>
    <w:p w14:paraId="651DA6A0" w14:textId="1FC90D02" w:rsidR="00833A99" w:rsidRDefault="00336AEF" w:rsidP="00336AEF">
      <w:pPr>
        <w:pStyle w:val="CETBodytext"/>
        <w:rPr>
          <w:lang w:val="en-GB"/>
        </w:rPr>
      </w:pPr>
      <w:r w:rsidRPr="00271521">
        <w:rPr>
          <w:lang w:val="en-GB"/>
        </w:rPr>
        <w:t>By means of QRA (Quantitative Risk Assessment) several scenarios can be evaluated to understand if the associated risk can be acceptable or not</w:t>
      </w:r>
      <w:r>
        <w:rPr>
          <w:lang w:val="en-GB"/>
        </w:rPr>
        <w:t xml:space="preserve">, </w:t>
      </w:r>
      <w:r w:rsidRPr="00271521">
        <w:rPr>
          <w:lang w:val="en-GB"/>
        </w:rPr>
        <w:t xml:space="preserve">according to the chosen risk matrix (see </w:t>
      </w:r>
      <w:r w:rsidR="006E3C30">
        <w:rPr>
          <w:lang w:val="en-GB"/>
        </w:rPr>
        <w:fldChar w:fldCharType="begin"/>
      </w:r>
      <w:r w:rsidR="006E3C30">
        <w:rPr>
          <w:lang w:val="en-GB"/>
        </w:rPr>
        <w:instrText xml:space="preserve"> REF _Ref132721257 \h </w:instrText>
      </w:r>
      <w:r w:rsidR="006E3C30">
        <w:rPr>
          <w:lang w:val="en-GB"/>
        </w:rPr>
      </w:r>
      <w:r w:rsidR="006E3C30">
        <w:rPr>
          <w:lang w:val="en-GB"/>
        </w:rPr>
        <w:fldChar w:fldCharType="separate"/>
      </w:r>
      <w:r w:rsidR="00901531">
        <w:t xml:space="preserve">Table </w:t>
      </w:r>
      <w:r w:rsidR="00901531">
        <w:rPr>
          <w:noProof/>
        </w:rPr>
        <w:t>1</w:t>
      </w:r>
      <w:r w:rsidR="006E3C30">
        <w:rPr>
          <w:lang w:val="en-GB"/>
        </w:rPr>
        <w:fldChar w:fldCharType="end"/>
      </w:r>
      <w:r w:rsidRPr="00271521">
        <w:rPr>
          <w:lang w:val="en-GB"/>
        </w:rPr>
        <w:t>).</w:t>
      </w:r>
      <w:r>
        <w:rPr>
          <w:lang w:val="en-GB"/>
        </w:rPr>
        <w:t xml:space="preserve"> </w:t>
      </w:r>
      <w:r w:rsidRPr="00271521">
        <w:rPr>
          <w:lang w:val="en-GB"/>
        </w:rPr>
        <w:t>Indeed, the goal is to calculate the individual risk indices, also called IRPA (Individual Risk per Annum), that are combined with the frequency of presence of operators in each risk area.</w:t>
      </w:r>
      <w:r w:rsidR="00833A99">
        <w:rPr>
          <w:lang w:val="en-GB"/>
        </w:rPr>
        <w:t xml:space="preserve"> </w:t>
      </w:r>
      <w:r w:rsidRPr="00271521">
        <w:rPr>
          <w:lang w:val="en-GB"/>
        </w:rPr>
        <w:t xml:space="preserve">The resulting assessment is used to demonstrate that an asset meets acceptability criteria and that potential risks are as low as reasonably practicable (ALARP). For this reason, one of the most important things before conducing a QRA is to define the aim of the study. </w:t>
      </w:r>
    </w:p>
    <w:p w14:paraId="157F9867" w14:textId="63058073" w:rsidR="00336AEF" w:rsidRDefault="00336AEF" w:rsidP="00336AEF">
      <w:pPr>
        <w:pStyle w:val="CETBodytext"/>
        <w:rPr>
          <w:lang w:val="en-GB"/>
        </w:rPr>
      </w:pPr>
      <w:r w:rsidRPr="00271521">
        <w:rPr>
          <w:lang w:val="en-GB"/>
        </w:rPr>
        <w:t xml:space="preserve">If you are not aware of the real scope, you may be wrong in setting up the correct criteria and the entire study could be affected by this initial mistake. Of course, this is not the only thing you have to worry about: in this kind of analysis many pitfalls are hidden. </w:t>
      </w:r>
    </w:p>
    <w:p w14:paraId="1CF5A3E0" w14:textId="01ECDF89" w:rsidR="0044172E" w:rsidRPr="00271521" w:rsidRDefault="0044172E" w:rsidP="00336AEF">
      <w:pPr>
        <w:pStyle w:val="CETBodytext"/>
        <w:rPr>
          <w:lang w:val="en-GB"/>
        </w:rPr>
      </w:pPr>
      <w:r>
        <w:rPr>
          <w:lang w:val="en-GB"/>
        </w:rPr>
        <w:t xml:space="preserve">In the following sections, common errors are described, </w:t>
      </w:r>
      <w:r w:rsidRPr="0044172E">
        <w:rPr>
          <w:lang w:val="en-GB"/>
        </w:rPr>
        <w:t xml:space="preserve">along with useful tips to avoid making </w:t>
      </w:r>
      <w:r>
        <w:rPr>
          <w:lang w:val="en-GB"/>
        </w:rPr>
        <w:t>such</w:t>
      </w:r>
      <w:r w:rsidRPr="0044172E">
        <w:rPr>
          <w:lang w:val="en-GB"/>
        </w:rPr>
        <w:t xml:space="preserve"> mistakes</w:t>
      </w:r>
      <w:r>
        <w:rPr>
          <w:lang w:val="en-GB"/>
        </w:rPr>
        <w:t>.</w:t>
      </w:r>
    </w:p>
    <w:p w14:paraId="5BA713B2" w14:textId="0906BE1E" w:rsidR="006E3C30" w:rsidRDefault="006E3C30" w:rsidP="006E3C30">
      <w:pPr>
        <w:pStyle w:val="CETTabletitle"/>
      </w:pPr>
      <w:bookmarkStart w:id="0" w:name="_Ref132721257"/>
      <w:r>
        <w:t xml:space="preserve">Table </w:t>
      </w:r>
      <w:r>
        <w:fldChar w:fldCharType="begin"/>
      </w:r>
      <w:r>
        <w:instrText xml:space="preserve"> SEQ Table \* ARABIC </w:instrText>
      </w:r>
      <w:r>
        <w:fldChar w:fldCharType="separate"/>
      </w:r>
      <w:r w:rsidR="00901531">
        <w:rPr>
          <w:noProof/>
        </w:rPr>
        <w:t>1</w:t>
      </w:r>
      <w:r>
        <w:fldChar w:fldCharType="end"/>
      </w:r>
      <w:bookmarkEnd w:id="0"/>
      <w:r>
        <w:t>: Risk Tolerability Criteria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3402"/>
      </w:tblGrid>
      <w:tr w:rsidR="00336AEF" w:rsidRPr="00271521" w14:paraId="555211E5" w14:textId="77777777" w:rsidTr="00315C86">
        <w:tc>
          <w:tcPr>
            <w:tcW w:w="2268" w:type="dxa"/>
            <w:tcBorders>
              <w:top w:val="single" w:sz="12" w:space="0" w:color="008000"/>
              <w:bottom w:val="single" w:sz="6" w:space="0" w:color="008000"/>
            </w:tcBorders>
            <w:shd w:val="clear" w:color="auto" w:fill="FFFFFF"/>
          </w:tcPr>
          <w:p w14:paraId="7A849485" w14:textId="77777777" w:rsidR="00336AEF" w:rsidRPr="00271521" w:rsidRDefault="00336AEF" w:rsidP="00315C86">
            <w:pPr>
              <w:pStyle w:val="CETBodytext"/>
              <w:rPr>
                <w:lang w:val="en-GB"/>
              </w:rPr>
            </w:pPr>
            <w:r w:rsidRPr="00271521">
              <w:rPr>
                <w:lang w:val="en-GB"/>
              </w:rPr>
              <w:t xml:space="preserve">Risk Zone </w:t>
            </w:r>
          </w:p>
        </w:tc>
        <w:tc>
          <w:tcPr>
            <w:tcW w:w="3402" w:type="dxa"/>
            <w:tcBorders>
              <w:top w:val="single" w:sz="12" w:space="0" w:color="008000"/>
              <w:bottom w:val="single" w:sz="6" w:space="0" w:color="008000"/>
            </w:tcBorders>
            <w:shd w:val="clear" w:color="auto" w:fill="FFFFFF"/>
          </w:tcPr>
          <w:p w14:paraId="4B429B71" w14:textId="77777777" w:rsidR="00336AEF" w:rsidRPr="00271521" w:rsidRDefault="00336AEF" w:rsidP="00315C86">
            <w:pPr>
              <w:pStyle w:val="CETBodytext"/>
              <w:rPr>
                <w:lang w:val="en-GB"/>
              </w:rPr>
            </w:pPr>
            <w:r w:rsidRPr="00271521">
              <w:rPr>
                <w:lang w:val="en-GB"/>
              </w:rPr>
              <w:t>Risk Tolerability Criteria (events/year)</w:t>
            </w:r>
          </w:p>
        </w:tc>
      </w:tr>
      <w:tr w:rsidR="00336AEF" w:rsidRPr="00271521" w14:paraId="7C84C2D4" w14:textId="77777777" w:rsidTr="00315C86">
        <w:tc>
          <w:tcPr>
            <w:tcW w:w="2268" w:type="dxa"/>
            <w:shd w:val="clear" w:color="auto" w:fill="FFFFFF"/>
          </w:tcPr>
          <w:p w14:paraId="488561D9" w14:textId="77777777" w:rsidR="00336AEF" w:rsidRPr="00271521" w:rsidRDefault="00336AEF" w:rsidP="00315C86">
            <w:pPr>
              <w:pStyle w:val="CETBodytext"/>
              <w:rPr>
                <w:lang w:val="en-GB"/>
              </w:rPr>
            </w:pPr>
            <w:r w:rsidRPr="00271521">
              <w:rPr>
                <w:lang w:val="en-GB"/>
              </w:rPr>
              <w:t>Low Risk Area</w:t>
            </w:r>
          </w:p>
        </w:tc>
        <w:tc>
          <w:tcPr>
            <w:tcW w:w="3402" w:type="dxa"/>
            <w:shd w:val="clear" w:color="auto" w:fill="FFFFFF"/>
          </w:tcPr>
          <w:p w14:paraId="40078BA3" w14:textId="20751A7C" w:rsidR="00336AEF" w:rsidRPr="00271521" w:rsidRDefault="00336AEF" w:rsidP="00315C86">
            <w:pPr>
              <w:pStyle w:val="CETBodytext"/>
              <w:jc w:val="center"/>
              <w:rPr>
                <w:lang w:val="en-GB"/>
              </w:rPr>
            </w:pPr>
            <w:r w:rsidRPr="00271521">
              <w:rPr>
                <w:lang w:val="en-GB"/>
              </w:rPr>
              <w:t>Risk &lt; 1</w:t>
            </w:r>
            <w:r w:rsidR="00833A99" w:rsidRPr="00456F5F">
              <w:t>·</w:t>
            </w:r>
            <w:r w:rsidR="00833A99">
              <w:t>10</w:t>
            </w:r>
            <w:r w:rsidRPr="00833A99">
              <w:rPr>
                <w:vertAlign w:val="superscript"/>
                <w:lang w:val="en-GB"/>
              </w:rPr>
              <w:t>-6</w:t>
            </w:r>
          </w:p>
        </w:tc>
      </w:tr>
      <w:tr w:rsidR="00336AEF" w:rsidRPr="00271521" w14:paraId="573B7106" w14:textId="77777777" w:rsidTr="00315C86">
        <w:tc>
          <w:tcPr>
            <w:tcW w:w="2268" w:type="dxa"/>
            <w:shd w:val="clear" w:color="auto" w:fill="FFFFFF"/>
          </w:tcPr>
          <w:p w14:paraId="0C333E53" w14:textId="77777777" w:rsidR="00336AEF" w:rsidRPr="00271521" w:rsidRDefault="00336AEF" w:rsidP="00315C86">
            <w:pPr>
              <w:pStyle w:val="CETBodytext"/>
              <w:ind w:right="-1"/>
              <w:rPr>
                <w:rFonts w:cs="Arial"/>
                <w:szCs w:val="18"/>
                <w:lang w:val="en-GB"/>
              </w:rPr>
            </w:pPr>
            <w:r w:rsidRPr="00271521">
              <w:rPr>
                <w:lang w:val="en-GB"/>
              </w:rPr>
              <w:t>Medium Risk Area</w:t>
            </w:r>
          </w:p>
        </w:tc>
        <w:tc>
          <w:tcPr>
            <w:tcW w:w="3402" w:type="dxa"/>
            <w:shd w:val="clear" w:color="auto" w:fill="FFFFFF"/>
          </w:tcPr>
          <w:p w14:paraId="24EA9AA5" w14:textId="14163CD9" w:rsidR="00336AEF" w:rsidRPr="00271521" w:rsidRDefault="00336AEF" w:rsidP="00315C86">
            <w:pPr>
              <w:pStyle w:val="CETBodytext"/>
              <w:ind w:right="-1"/>
              <w:jc w:val="center"/>
              <w:rPr>
                <w:rFonts w:cs="Arial"/>
                <w:szCs w:val="18"/>
                <w:lang w:val="en-GB"/>
              </w:rPr>
            </w:pPr>
            <w:r w:rsidRPr="00271521">
              <w:rPr>
                <w:lang w:val="en-GB"/>
              </w:rPr>
              <w:t>1</w:t>
            </w:r>
            <w:r w:rsidR="00833A99" w:rsidRPr="00456F5F">
              <w:t>·</w:t>
            </w:r>
            <w:r w:rsidR="00833A99">
              <w:t>10</w:t>
            </w:r>
            <w:r w:rsidR="00833A99" w:rsidRPr="00833A99">
              <w:rPr>
                <w:vertAlign w:val="superscript"/>
              </w:rPr>
              <w:t>-</w:t>
            </w:r>
            <w:r w:rsidR="00833A99">
              <w:rPr>
                <w:vertAlign w:val="superscript"/>
              </w:rPr>
              <w:t>6</w:t>
            </w:r>
            <w:r w:rsidRPr="00271521">
              <w:rPr>
                <w:lang w:val="en-GB"/>
              </w:rPr>
              <w:t xml:space="preserve"> ≤ Risk &lt; 1</w:t>
            </w:r>
            <w:r w:rsidR="00833A99" w:rsidRPr="00456F5F">
              <w:t>·</w:t>
            </w:r>
            <w:r w:rsidR="00833A99">
              <w:t>10</w:t>
            </w:r>
            <w:r w:rsidR="00833A99" w:rsidRPr="00833A99">
              <w:rPr>
                <w:vertAlign w:val="superscript"/>
              </w:rPr>
              <w:t>-</w:t>
            </w:r>
            <w:r w:rsidRPr="00833A99">
              <w:rPr>
                <w:vertAlign w:val="superscript"/>
                <w:lang w:val="en-GB"/>
              </w:rPr>
              <w:t>4</w:t>
            </w:r>
          </w:p>
        </w:tc>
      </w:tr>
      <w:tr w:rsidR="00336AEF" w:rsidRPr="00271521" w14:paraId="1D205058" w14:textId="77777777" w:rsidTr="00315C86">
        <w:tc>
          <w:tcPr>
            <w:tcW w:w="2268" w:type="dxa"/>
            <w:shd w:val="clear" w:color="auto" w:fill="FFFFFF"/>
          </w:tcPr>
          <w:p w14:paraId="1E6BDF27" w14:textId="77777777" w:rsidR="00336AEF" w:rsidRPr="00271521" w:rsidRDefault="00336AEF" w:rsidP="00315C86">
            <w:pPr>
              <w:pStyle w:val="CETBodytext"/>
              <w:ind w:right="-1"/>
              <w:rPr>
                <w:rFonts w:cs="Arial"/>
                <w:szCs w:val="18"/>
                <w:lang w:val="en-GB"/>
              </w:rPr>
            </w:pPr>
            <w:r w:rsidRPr="00271521">
              <w:rPr>
                <w:lang w:val="en-GB"/>
              </w:rPr>
              <w:t>Medium-high Risk Area</w:t>
            </w:r>
          </w:p>
        </w:tc>
        <w:tc>
          <w:tcPr>
            <w:tcW w:w="3402" w:type="dxa"/>
            <w:shd w:val="clear" w:color="auto" w:fill="FFFFFF"/>
          </w:tcPr>
          <w:p w14:paraId="2B5CAB31" w14:textId="60C6CC67" w:rsidR="00336AEF" w:rsidRPr="00271521" w:rsidRDefault="00336AEF" w:rsidP="00315C86">
            <w:pPr>
              <w:pStyle w:val="CETBodytext"/>
              <w:ind w:right="-1"/>
              <w:jc w:val="center"/>
              <w:rPr>
                <w:rFonts w:cs="Arial"/>
                <w:szCs w:val="18"/>
                <w:lang w:val="en-GB"/>
              </w:rPr>
            </w:pPr>
            <w:r w:rsidRPr="00271521">
              <w:rPr>
                <w:lang w:val="en-GB"/>
              </w:rPr>
              <w:t>1</w:t>
            </w:r>
            <w:r w:rsidR="00833A99" w:rsidRPr="00456F5F">
              <w:t>·</w:t>
            </w:r>
            <w:r w:rsidR="00833A99">
              <w:t>10</w:t>
            </w:r>
            <w:r w:rsidR="00833A99" w:rsidRPr="00833A99">
              <w:rPr>
                <w:vertAlign w:val="superscript"/>
              </w:rPr>
              <w:t>-</w:t>
            </w:r>
            <w:r w:rsidR="00833A99" w:rsidRPr="00833A99">
              <w:rPr>
                <w:vertAlign w:val="superscript"/>
                <w:lang w:val="en-GB"/>
              </w:rPr>
              <w:t>4</w:t>
            </w:r>
            <w:r w:rsidRPr="00271521">
              <w:rPr>
                <w:lang w:val="en-GB"/>
              </w:rPr>
              <w:t xml:space="preserve"> ≤ Risk &lt; 1</w:t>
            </w:r>
            <w:r w:rsidR="00833A99" w:rsidRPr="00456F5F">
              <w:t>·</w:t>
            </w:r>
            <w:r w:rsidR="00833A99">
              <w:t>10</w:t>
            </w:r>
            <w:r w:rsidRPr="00833A99">
              <w:rPr>
                <w:vertAlign w:val="superscript"/>
                <w:lang w:val="en-GB"/>
              </w:rPr>
              <w:t>-3</w:t>
            </w:r>
          </w:p>
        </w:tc>
      </w:tr>
      <w:tr w:rsidR="00336AEF" w:rsidRPr="00271521" w14:paraId="40C9AE11" w14:textId="77777777" w:rsidTr="00315C86">
        <w:tc>
          <w:tcPr>
            <w:tcW w:w="2268" w:type="dxa"/>
            <w:shd w:val="clear" w:color="auto" w:fill="FFFFFF"/>
          </w:tcPr>
          <w:p w14:paraId="7BB6F5C4" w14:textId="77777777" w:rsidR="00336AEF" w:rsidRPr="00271521" w:rsidRDefault="00336AEF" w:rsidP="00315C86">
            <w:pPr>
              <w:pStyle w:val="CETBodytext"/>
              <w:ind w:right="-1"/>
              <w:rPr>
                <w:rFonts w:cs="Arial"/>
                <w:szCs w:val="18"/>
                <w:lang w:val="en-GB"/>
              </w:rPr>
            </w:pPr>
            <w:r w:rsidRPr="00271521">
              <w:rPr>
                <w:lang w:val="en-GB"/>
              </w:rPr>
              <w:t>High Risk Area</w:t>
            </w:r>
          </w:p>
        </w:tc>
        <w:tc>
          <w:tcPr>
            <w:tcW w:w="3402" w:type="dxa"/>
            <w:shd w:val="clear" w:color="auto" w:fill="FFFFFF"/>
          </w:tcPr>
          <w:p w14:paraId="34FF4A14" w14:textId="50ED185C" w:rsidR="00336AEF" w:rsidRPr="00271521" w:rsidRDefault="00336AEF" w:rsidP="00315C86">
            <w:pPr>
              <w:pStyle w:val="CETBodytext"/>
              <w:ind w:right="-1"/>
              <w:jc w:val="center"/>
              <w:rPr>
                <w:rFonts w:cs="Arial"/>
                <w:szCs w:val="18"/>
                <w:lang w:val="en-GB"/>
              </w:rPr>
            </w:pPr>
            <w:r w:rsidRPr="00271521">
              <w:rPr>
                <w:lang w:val="en-GB"/>
              </w:rPr>
              <w:t>Risk ≥ 1</w:t>
            </w:r>
            <w:r w:rsidR="00833A99" w:rsidRPr="00456F5F">
              <w:t>·</w:t>
            </w:r>
            <w:r w:rsidR="00833A99">
              <w:t>10</w:t>
            </w:r>
            <w:r w:rsidR="00833A99" w:rsidRPr="00833A99">
              <w:rPr>
                <w:vertAlign w:val="superscript"/>
              </w:rPr>
              <w:t>-</w:t>
            </w:r>
            <w:r w:rsidRPr="00833A99">
              <w:rPr>
                <w:vertAlign w:val="superscript"/>
                <w:lang w:val="en-GB"/>
              </w:rPr>
              <w:t>3</w:t>
            </w:r>
          </w:p>
        </w:tc>
      </w:tr>
    </w:tbl>
    <w:p w14:paraId="795D3F9B" w14:textId="2043F41E" w:rsidR="004625AD" w:rsidRPr="00271521" w:rsidRDefault="004625AD" w:rsidP="00600535">
      <w:pPr>
        <w:pStyle w:val="CETBodytext"/>
        <w:rPr>
          <w:lang w:val="en-GB"/>
        </w:rPr>
      </w:pPr>
    </w:p>
    <w:p w14:paraId="67100CE2" w14:textId="1AC87E89" w:rsidR="004625AD" w:rsidRPr="00271521" w:rsidRDefault="004625AD" w:rsidP="004625AD">
      <w:pPr>
        <w:pStyle w:val="CETHeading1"/>
        <w:rPr>
          <w:lang w:val="en-GB"/>
        </w:rPr>
      </w:pPr>
      <w:r w:rsidRPr="00271521">
        <w:rPr>
          <w:lang w:val="en-GB"/>
        </w:rPr>
        <w:lastRenderedPageBreak/>
        <w:t>The Seven Deadly Sins</w:t>
      </w:r>
    </w:p>
    <w:p w14:paraId="6DCB16C9" w14:textId="374738F8" w:rsidR="004625AD" w:rsidRPr="00271521" w:rsidRDefault="004625AD" w:rsidP="004625AD">
      <w:pPr>
        <w:pStyle w:val="CETBodytext"/>
        <w:rPr>
          <w:lang w:val="en-GB"/>
        </w:rPr>
      </w:pPr>
      <w:r w:rsidRPr="00271521">
        <w:rPr>
          <w:lang w:val="en-GB"/>
        </w:rPr>
        <w:t>The “Seven Deadly Sins” are common mistakes that can affect the success of a structured and tricky study such as QRA</w:t>
      </w:r>
      <w:r w:rsidR="00D11EB2">
        <w:rPr>
          <w:lang w:val="en-GB"/>
        </w:rPr>
        <w:t xml:space="preserve"> (i</w:t>
      </w:r>
      <w:r w:rsidRPr="00271521">
        <w:rPr>
          <w:lang w:val="en-GB"/>
        </w:rPr>
        <w:t>ndeed, the adjective “deadly” is not used here by chance</w:t>
      </w:r>
      <w:r w:rsidR="00D11EB2">
        <w:rPr>
          <w:lang w:val="en-GB"/>
        </w:rPr>
        <w:t>); they</w:t>
      </w:r>
      <w:r w:rsidRPr="00271521">
        <w:rPr>
          <w:lang w:val="en-GB"/>
        </w:rPr>
        <w:t xml:space="preserve"> refer to the consequences that we could have in a plant (e.g., in a pharmaceutical plant or in a refinery) if the risk assessment and the incidental scenarios are not evaluated according to the best practices.</w:t>
      </w:r>
    </w:p>
    <w:p w14:paraId="2336114F" w14:textId="5C01024C" w:rsidR="004625AD" w:rsidRPr="00271521" w:rsidRDefault="0075563A" w:rsidP="004625AD">
      <w:pPr>
        <w:pStyle w:val="CETBodytext"/>
        <w:rPr>
          <w:lang w:val="en-GB"/>
        </w:rPr>
      </w:pPr>
      <w:r w:rsidRPr="00271521">
        <w:rPr>
          <w:lang w:val="en-GB"/>
        </w:rPr>
        <w:t>First</w:t>
      </w:r>
      <w:r w:rsidR="004625AD" w:rsidRPr="00271521">
        <w:rPr>
          <w:lang w:val="en-GB"/>
        </w:rPr>
        <w:t>, the list of such errors is shown below. Then, each one of them is discussed one by one:</w:t>
      </w:r>
    </w:p>
    <w:p w14:paraId="6C42D9F0" w14:textId="426140BC" w:rsidR="004625AD" w:rsidRPr="00271521" w:rsidRDefault="004625AD" w:rsidP="004625AD">
      <w:pPr>
        <w:pStyle w:val="CETListbullets"/>
        <w:numPr>
          <w:ilvl w:val="0"/>
          <w:numId w:val="13"/>
        </w:numPr>
      </w:pPr>
      <w:r w:rsidRPr="00271521">
        <w:t xml:space="preserve">Carrying out a risk assessment to attempt to justify a decision that has already been </w:t>
      </w:r>
      <w:proofErr w:type="gramStart"/>
      <w:r w:rsidRPr="00271521">
        <w:t>made</w:t>
      </w:r>
      <w:r w:rsidR="00D11EB2">
        <w:t>;</w:t>
      </w:r>
      <w:proofErr w:type="gramEnd"/>
    </w:p>
    <w:p w14:paraId="5BAFCF03" w14:textId="27FD4071" w:rsidR="004625AD" w:rsidRPr="00271521" w:rsidRDefault="004625AD" w:rsidP="004625AD">
      <w:pPr>
        <w:pStyle w:val="CETListbullets"/>
        <w:numPr>
          <w:ilvl w:val="0"/>
          <w:numId w:val="13"/>
        </w:numPr>
      </w:pPr>
      <w:r w:rsidRPr="00271521">
        <w:t xml:space="preserve">Inappropriate use of </w:t>
      </w:r>
      <w:proofErr w:type="gramStart"/>
      <w:r w:rsidRPr="00271521">
        <w:t>data</w:t>
      </w:r>
      <w:r w:rsidR="00D11EB2">
        <w:t>;</w:t>
      </w:r>
      <w:proofErr w:type="gramEnd"/>
    </w:p>
    <w:p w14:paraId="02A585A1" w14:textId="399E0837" w:rsidR="004625AD" w:rsidRPr="00271521" w:rsidRDefault="004625AD" w:rsidP="004625AD">
      <w:pPr>
        <w:pStyle w:val="CETListbullets"/>
        <w:numPr>
          <w:ilvl w:val="0"/>
          <w:numId w:val="13"/>
        </w:numPr>
      </w:pPr>
      <w:r w:rsidRPr="00271521">
        <w:t xml:space="preserve">Inappropriate definition of a representative sample of </w:t>
      </w:r>
      <w:proofErr w:type="gramStart"/>
      <w:r w:rsidRPr="00271521">
        <w:t>events</w:t>
      </w:r>
      <w:r w:rsidR="00D11EB2">
        <w:t>;</w:t>
      </w:r>
      <w:proofErr w:type="gramEnd"/>
    </w:p>
    <w:p w14:paraId="2304154E" w14:textId="7EAE05A9" w:rsidR="004625AD" w:rsidRPr="00271521" w:rsidRDefault="004625AD" w:rsidP="004625AD">
      <w:pPr>
        <w:pStyle w:val="CETListbullets"/>
        <w:numPr>
          <w:ilvl w:val="0"/>
          <w:numId w:val="13"/>
        </w:numPr>
      </w:pPr>
      <w:r w:rsidRPr="00271521">
        <w:t xml:space="preserve">Inappropriate use of risk </w:t>
      </w:r>
      <w:proofErr w:type="gramStart"/>
      <w:r w:rsidRPr="00271521">
        <w:t>criteria</w:t>
      </w:r>
      <w:r w:rsidR="00D11EB2">
        <w:t>;</w:t>
      </w:r>
      <w:proofErr w:type="gramEnd"/>
    </w:p>
    <w:p w14:paraId="6EB2246E" w14:textId="751C22DF" w:rsidR="004625AD" w:rsidRPr="00271521" w:rsidRDefault="004625AD" w:rsidP="004625AD">
      <w:pPr>
        <w:pStyle w:val="CETListbullets"/>
        <w:numPr>
          <w:ilvl w:val="0"/>
          <w:numId w:val="13"/>
        </w:numPr>
      </w:pPr>
      <w:r w:rsidRPr="00271521">
        <w:t xml:space="preserve">Inappropriate use of </w:t>
      </w:r>
      <w:proofErr w:type="gramStart"/>
      <w:r w:rsidRPr="00271521">
        <w:t>statistics</w:t>
      </w:r>
      <w:r w:rsidR="00D11EB2">
        <w:t>;</w:t>
      </w:r>
      <w:proofErr w:type="gramEnd"/>
    </w:p>
    <w:p w14:paraId="432C91A9" w14:textId="5372B63A" w:rsidR="004625AD" w:rsidRPr="00271521" w:rsidRDefault="004625AD" w:rsidP="004625AD">
      <w:pPr>
        <w:pStyle w:val="CETListbullets"/>
        <w:numPr>
          <w:ilvl w:val="0"/>
          <w:numId w:val="13"/>
        </w:numPr>
      </w:pPr>
      <w:r w:rsidRPr="00271521">
        <w:t xml:space="preserve">Using "reverse ALARP" </w:t>
      </w:r>
      <w:proofErr w:type="gramStart"/>
      <w:r w:rsidRPr="00271521">
        <w:t>arguments</w:t>
      </w:r>
      <w:r w:rsidR="00D11EB2">
        <w:t>;</w:t>
      </w:r>
      <w:proofErr w:type="gramEnd"/>
    </w:p>
    <w:p w14:paraId="1FDCEA6C" w14:textId="789C3627" w:rsidR="004625AD" w:rsidRDefault="004625AD" w:rsidP="004625AD">
      <w:pPr>
        <w:pStyle w:val="CETListbullets"/>
        <w:numPr>
          <w:ilvl w:val="0"/>
          <w:numId w:val="13"/>
        </w:numPr>
      </w:pPr>
      <w:r w:rsidRPr="00271521">
        <w:t>Not doing anything with the results of the assessment.</w:t>
      </w:r>
    </w:p>
    <w:p w14:paraId="1BD67FBD" w14:textId="77777777" w:rsidR="00B965BD" w:rsidRPr="00271521" w:rsidRDefault="00B965BD" w:rsidP="00B965BD">
      <w:pPr>
        <w:pStyle w:val="CETListbullets"/>
      </w:pPr>
    </w:p>
    <w:p w14:paraId="7919E588" w14:textId="1D5DFAA4" w:rsidR="004625AD" w:rsidRPr="00271521" w:rsidRDefault="004625AD" w:rsidP="004625AD">
      <w:pPr>
        <w:pStyle w:val="CETheadingx"/>
        <w:rPr>
          <w:lang w:val="en-GB"/>
        </w:rPr>
      </w:pPr>
      <w:r w:rsidRPr="00271521">
        <w:rPr>
          <w:lang w:val="en-GB"/>
        </w:rPr>
        <w:t>Carrying out a risk assessment to attempt to justify a decision that has already been made</w:t>
      </w:r>
    </w:p>
    <w:p w14:paraId="71878A5D" w14:textId="56D1C66C" w:rsidR="004625AD" w:rsidRPr="00271521" w:rsidRDefault="004625AD" w:rsidP="004625AD">
      <w:pPr>
        <w:pStyle w:val="CETBodytext"/>
        <w:rPr>
          <w:lang w:val="en-GB"/>
        </w:rPr>
      </w:pPr>
      <w:r w:rsidRPr="00271521">
        <w:rPr>
          <w:lang w:val="en-GB"/>
        </w:rPr>
        <w:t>This can happen when a plant decides to build a new area. Instead of evaluating if this new construction may carry new risks for the people, they complete the project and only at the end they start asking themselves if this could affect the risk analysis of the old plant, increasing or not the overall risk (and if this risk is acceptable or not).</w:t>
      </w:r>
      <w:r w:rsidR="00D75D37" w:rsidRPr="00271521">
        <w:rPr>
          <w:lang w:val="en-GB"/>
        </w:rPr>
        <w:t xml:space="preserve"> Another typical situation is when, due to delay in scheduling, the risk assessment is developed when equipment or vessels have already been ordered or bought.</w:t>
      </w:r>
    </w:p>
    <w:p w14:paraId="72CAAF10" w14:textId="02A0BF0B" w:rsidR="00D75D37" w:rsidRPr="00271521" w:rsidRDefault="004625AD" w:rsidP="004625AD">
      <w:pPr>
        <w:pStyle w:val="CETBodytext"/>
        <w:rPr>
          <w:lang w:val="en-GB"/>
        </w:rPr>
      </w:pPr>
      <w:r w:rsidRPr="00271521">
        <w:rPr>
          <w:lang w:val="en-GB"/>
        </w:rPr>
        <w:t>This dodgy decision brings many drawbacks</w:t>
      </w:r>
      <w:r w:rsidR="00D11EB2">
        <w:rPr>
          <w:lang w:val="en-GB"/>
        </w:rPr>
        <w:t>: f</w:t>
      </w:r>
      <w:r w:rsidRPr="00271521">
        <w:rPr>
          <w:lang w:val="en-GB"/>
        </w:rPr>
        <w:t xml:space="preserve">irst, the results of the QRA could be influenced by “external pressure” since a lot of money has been already invested. </w:t>
      </w:r>
      <w:r w:rsidR="00D75D37" w:rsidRPr="00271521">
        <w:rPr>
          <w:lang w:val="en-GB"/>
        </w:rPr>
        <w:t>This will involve the people that will develop the study, and all the stakeholders, as everyone will try to pass the buck (and relative costs) to others, such as main client, EPC company, supplier of packages, and so on.</w:t>
      </w:r>
    </w:p>
    <w:p w14:paraId="70BBEB62" w14:textId="78B9CA08" w:rsidR="005D315B" w:rsidRDefault="004625AD" w:rsidP="005D315B">
      <w:pPr>
        <w:pStyle w:val="CETBodytext"/>
        <w:rPr>
          <w:lang w:val="en-GB"/>
        </w:rPr>
      </w:pPr>
      <w:r w:rsidRPr="00271521">
        <w:rPr>
          <w:lang w:val="en-GB"/>
        </w:rPr>
        <w:t>Secondly, if the QRA results highlight the need of some changes, it could be much trickier to modify the new plant, once built, instead of in the design phase.</w:t>
      </w:r>
      <w:r w:rsidR="0087397F">
        <w:rPr>
          <w:lang w:val="en-GB"/>
        </w:rPr>
        <w:t xml:space="preserve"> </w:t>
      </w:r>
      <w:r w:rsidR="005D315B">
        <w:rPr>
          <w:lang w:val="en-GB"/>
        </w:rPr>
        <w:t>In a similar way, i</w:t>
      </w:r>
      <w:r w:rsidR="005D315B" w:rsidRPr="00271521">
        <w:rPr>
          <w:lang w:val="en-GB"/>
        </w:rPr>
        <w:t xml:space="preserve">t is never a good decision </w:t>
      </w:r>
      <w:r w:rsidR="005D315B">
        <w:rPr>
          <w:lang w:val="en-GB"/>
        </w:rPr>
        <w:t xml:space="preserve">to carry </w:t>
      </w:r>
      <w:r w:rsidR="005D315B" w:rsidRPr="00271521">
        <w:rPr>
          <w:lang w:val="en-GB"/>
        </w:rPr>
        <w:t>out a Quantitative Risk Assessment for avoiding the implementation of an element of normal good practices. A QRA to show that the element is not worth should not be accomplished.</w:t>
      </w:r>
    </w:p>
    <w:p w14:paraId="36DDB2D6" w14:textId="7A163E2F" w:rsidR="00D75D37" w:rsidRDefault="00D11EB2" w:rsidP="004625AD">
      <w:pPr>
        <w:pStyle w:val="CETBodytext"/>
        <w:rPr>
          <w:lang w:val="en-GB"/>
        </w:rPr>
      </w:pPr>
      <w:r>
        <w:rPr>
          <w:lang w:val="en-GB"/>
        </w:rPr>
        <w:t>To avoid this situation, it is possible</w:t>
      </w:r>
      <w:r w:rsidR="00D75D37" w:rsidRPr="00271521">
        <w:rPr>
          <w:lang w:val="en-GB"/>
        </w:rPr>
        <w:t xml:space="preserve"> to anticipate the risk assessment as early as possible</w:t>
      </w:r>
      <w:r>
        <w:rPr>
          <w:lang w:val="en-GB"/>
        </w:rPr>
        <w:t>; t</w:t>
      </w:r>
      <w:r w:rsidR="00D75D37" w:rsidRPr="00271521">
        <w:rPr>
          <w:lang w:val="en-GB"/>
        </w:rPr>
        <w:t>his can be achieved using different tools according to the stage (and progress) of the project</w:t>
      </w:r>
      <w:r w:rsidR="007E3100" w:rsidRPr="00271521">
        <w:rPr>
          <w:lang w:val="en-GB"/>
        </w:rPr>
        <w:t>, as described below</w:t>
      </w:r>
      <w:r w:rsidR="00B93386" w:rsidRPr="00271521">
        <w:rPr>
          <w:lang w:val="en-GB"/>
        </w:rPr>
        <w:t>: Preliminary Risk Assessment, or PRA and HAZID, or Hazard Identification and FERA, or Fire and Explosion Risk Assessment</w:t>
      </w:r>
      <w:r w:rsidR="007E3100" w:rsidRPr="00271521">
        <w:rPr>
          <w:lang w:val="en-GB"/>
        </w:rPr>
        <w:t>.</w:t>
      </w:r>
    </w:p>
    <w:p w14:paraId="77000233" w14:textId="77777777" w:rsidR="00B965BD" w:rsidRPr="00271521" w:rsidRDefault="00B965BD" w:rsidP="004625AD">
      <w:pPr>
        <w:pStyle w:val="CETBodytext"/>
        <w:rPr>
          <w:lang w:val="en-GB"/>
        </w:rPr>
      </w:pPr>
    </w:p>
    <w:p w14:paraId="6C9D23CB" w14:textId="05057349" w:rsidR="007E3100" w:rsidRPr="00CE731E" w:rsidRDefault="00B93386" w:rsidP="007E3100">
      <w:pPr>
        <w:rPr>
          <w:rFonts w:asciiTheme="minorBidi" w:hAnsiTheme="minorBidi" w:cstheme="minorBidi"/>
          <w:b/>
          <w:bCs/>
          <w:szCs w:val="18"/>
        </w:rPr>
      </w:pPr>
      <w:r w:rsidRPr="00CE731E">
        <w:rPr>
          <w:rFonts w:asciiTheme="minorBidi" w:hAnsiTheme="minorBidi" w:cstheme="minorBidi"/>
          <w:b/>
          <w:bCs/>
          <w:szCs w:val="18"/>
        </w:rPr>
        <w:t>Preliminary Risk Assessment (PRA)</w:t>
      </w:r>
    </w:p>
    <w:p w14:paraId="7881F966" w14:textId="21A7DA09" w:rsidR="005D315B" w:rsidRDefault="00D75D37" w:rsidP="007E3100">
      <w:pPr>
        <w:pStyle w:val="CETBodytext"/>
        <w:rPr>
          <w:lang w:val="en-GB"/>
        </w:rPr>
      </w:pPr>
      <w:r w:rsidRPr="00271521">
        <w:rPr>
          <w:lang w:val="en-GB"/>
        </w:rPr>
        <w:t>Preliminary risk assessment</w:t>
      </w:r>
      <w:r w:rsidR="007E3100" w:rsidRPr="00271521">
        <w:rPr>
          <w:lang w:val="en-GB"/>
        </w:rPr>
        <w:t xml:space="preserve"> is developed i</w:t>
      </w:r>
      <w:r w:rsidRPr="00271521">
        <w:rPr>
          <w:lang w:val="en-GB"/>
        </w:rPr>
        <w:t xml:space="preserve">n the </w:t>
      </w:r>
      <w:r w:rsidR="007E3100" w:rsidRPr="00271521">
        <w:rPr>
          <w:lang w:val="en-GB"/>
        </w:rPr>
        <w:t>“</w:t>
      </w:r>
      <w:r w:rsidRPr="00271521">
        <w:rPr>
          <w:lang w:val="en-GB"/>
        </w:rPr>
        <w:t>conceptual design</w:t>
      </w:r>
      <w:r w:rsidR="007E3100" w:rsidRPr="00271521">
        <w:rPr>
          <w:lang w:val="en-GB"/>
        </w:rPr>
        <w:t>”</w:t>
      </w:r>
      <w:r w:rsidRPr="00271521">
        <w:rPr>
          <w:lang w:val="en-GB"/>
        </w:rPr>
        <w:t xml:space="preserve"> stage</w:t>
      </w:r>
      <w:r w:rsidR="007E3100" w:rsidRPr="00271521">
        <w:rPr>
          <w:lang w:val="en-GB"/>
        </w:rPr>
        <w:t>, which means that the main goals of the project</w:t>
      </w:r>
      <w:r w:rsidR="00395A9C" w:rsidRPr="00271521">
        <w:rPr>
          <w:lang w:val="en-GB"/>
        </w:rPr>
        <w:t>, including “safe design philosophy”,</w:t>
      </w:r>
      <w:r w:rsidR="007E3100" w:rsidRPr="00271521">
        <w:rPr>
          <w:lang w:val="en-GB"/>
        </w:rPr>
        <w:t xml:space="preserve"> have been defined, with approximate vessel, </w:t>
      </w:r>
      <w:r w:rsidR="002B7258" w:rsidRPr="00271521">
        <w:rPr>
          <w:lang w:val="en-GB"/>
        </w:rPr>
        <w:t>chemicals,</w:t>
      </w:r>
      <w:r w:rsidR="007E3100" w:rsidRPr="00271521">
        <w:rPr>
          <w:lang w:val="en-GB"/>
        </w:rPr>
        <w:t xml:space="preserve"> and mass flow estimate, but with no detailed process Flow diagram or heat and material balance defined yet. </w:t>
      </w:r>
    </w:p>
    <w:p w14:paraId="5AA4A242" w14:textId="5C77135F" w:rsidR="007E3100" w:rsidRPr="00271521" w:rsidRDefault="007E3100" w:rsidP="007E3100">
      <w:pPr>
        <w:pStyle w:val="CETBodytext"/>
        <w:rPr>
          <w:lang w:val="en-GB"/>
        </w:rPr>
      </w:pPr>
      <w:r w:rsidRPr="00271521">
        <w:rPr>
          <w:lang w:val="en-GB"/>
        </w:rPr>
        <w:t>It’s a</w:t>
      </w:r>
      <w:r w:rsidR="00D75D37" w:rsidRPr="00271521">
        <w:rPr>
          <w:lang w:val="en-GB"/>
        </w:rPr>
        <w:t xml:space="preserve"> </w:t>
      </w:r>
      <w:r w:rsidR="002B7258" w:rsidRPr="00271521">
        <w:rPr>
          <w:lang w:val="en-GB"/>
        </w:rPr>
        <w:t>high</w:t>
      </w:r>
      <w:r w:rsidR="0044172E">
        <w:rPr>
          <w:lang w:val="en-GB"/>
        </w:rPr>
        <w:t>-</w:t>
      </w:r>
      <w:r w:rsidR="00D75D37" w:rsidRPr="00271521">
        <w:rPr>
          <w:lang w:val="en-GB"/>
        </w:rPr>
        <w:t>level brainstorming</w:t>
      </w:r>
      <w:r w:rsidRPr="00271521">
        <w:rPr>
          <w:lang w:val="en-GB"/>
        </w:rPr>
        <w:t xml:space="preserve">, starting from </w:t>
      </w:r>
      <w:r w:rsidR="0044172E" w:rsidRPr="00271521">
        <w:rPr>
          <w:lang w:val="en-GB"/>
        </w:rPr>
        <w:t>an</w:t>
      </w:r>
      <w:r w:rsidRPr="00271521">
        <w:rPr>
          <w:lang w:val="en-GB"/>
        </w:rPr>
        <w:t xml:space="preserve"> agreed checklist, covering the main safety issues, such as</w:t>
      </w:r>
      <w:r w:rsidR="00395A9C" w:rsidRPr="00271521">
        <w:rPr>
          <w:lang w:val="en-GB"/>
        </w:rPr>
        <w:t>, but not limited to</w:t>
      </w:r>
      <w:r w:rsidRPr="00271521">
        <w:rPr>
          <w:lang w:val="en-GB"/>
        </w:rPr>
        <w:t>:</w:t>
      </w:r>
    </w:p>
    <w:p w14:paraId="1F96CE3A" w14:textId="05F89994" w:rsidR="00395A9C" w:rsidRPr="00271521" w:rsidRDefault="00395A9C" w:rsidP="007D2AB5">
      <w:pPr>
        <w:pStyle w:val="CETListbullets"/>
        <w:numPr>
          <w:ilvl w:val="0"/>
          <w:numId w:val="13"/>
        </w:numPr>
      </w:pPr>
      <w:r w:rsidRPr="00271521">
        <w:t xml:space="preserve">Substances involved in the project, and availability of all needed process safety information, such as flammability parameters, dust explosion parameters, decomposition temperature, runaway onset temperature (this point will be further </w:t>
      </w:r>
      <w:r w:rsidR="00F237DE" w:rsidRPr="00271521">
        <w:t>analysed</w:t>
      </w:r>
      <w:proofErr w:type="gramStart"/>
      <w:r w:rsidRPr="00271521">
        <w:t>)</w:t>
      </w:r>
      <w:r w:rsidR="0087397F">
        <w:t>;</w:t>
      </w:r>
      <w:proofErr w:type="gramEnd"/>
    </w:p>
    <w:p w14:paraId="418E9F20" w14:textId="073298D5" w:rsidR="00395A9C" w:rsidRPr="00271521" w:rsidRDefault="007E3100" w:rsidP="007D2AB5">
      <w:pPr>
        <w:pStyle w:val="CETListbullets"/>
        <w:numPr>
          <w:ilvl w:val="0"/>
          <w:numId w:val="13"/>
        </w:numPr>
      </w:pPr>
      <w:r w:rsidRPr="00271521">
        <w:t>Storage of dangerous substances, quantities, means of storage, main safe</w:t>
      </w:r>
      <w:r w:rsidR="00395A9C" w:rsidRPr="00271521">
        <w:t>ty measures foreseen (e.g.</w:t>
      </w:r>
      <w:r w:rsidR="0087397F">
        <w:t>,</w:t>
      </w:r>
      <w:r w:rsidR="00395A9C" w:rsidRPr="00271521">
        <w:t xml:space="preserve"> floating roof tanks or nitrogen blanketing for highly flammable substances</w:t>
      </w:r>
      <w:proofErr w:type="gramStart"/>
      <w:r w:rsidR="00395A9C" w:rsidRPr="00271521">
        <w:t>)</w:t>
      </w:r>
      <w:r w:rsidR="0087397F">
        <w:t>;</w:t>
      </w:r>
      <w:proofErr w:type="gramEnd"/>
    </w:p>
    <w:p w14:paraId="4C38DE1E" w14:textId="55F89C26" w:rsidR="00395A9C" w:rsidRPr="00271521" w:rsidRDefault="00395A9C" w:rsidP="007D2AB5">
      <w:pPr>
        <w:pStyle w:val="CETListbullets"/>
        <w:numPr>
          <w:ilvl w:val="0"/>
          <w:numId w:val="13"/>
        </w:numPr>
      </w:pPr>
      <w:r w:rsidRPr="00271521">
        <w:t xml:space="preserve">Main unit operations (distillation, reaction, cracking, separation, etc.) and relevant operational conditions, such as high temperature, high pressure, runaway reaction risk, decomposition risk, </w:t>
      </w:r>
      <w:proofErr w:type="gramStart"/>
      <w:r w:rsidRPr="00271521">
        <w:t>etc</w:t>
      </w:r>
      <w:r w:rsidR="0087397F">
        <w:t>.;</w:t>
      </w:r>
      <w:proofErr w:type="gramEnd"/>
    </w:p>
    <w:p w14:paraId="2DB98B85" w14:textId="3D8B48BA" w:rsidR="00395A9C" w:rsidRPr="00271521" w:rsidRDefault="00395A9C" w:rsidP="007D2AB5">
      <w:pPr>
        <w:pStyle w:val="CETListbullets"/>
        <w:numPr>
          <w:ilvl w:val="0"/>
          <w:numId w:val="13"/>
        </w:numPr>
      </w:pPr>
      <w:r w:rsidRPr="00271521">
        <w:t xml:space="preserve">Transportation and handling of dangerous substances, such as tank truck, rail tanker, big bags loading and </w:t>
      </w:r>
      <w:proofErr w:type="gramStart"/>
      <w:r w:rsidRPr="00271521">
        <w:t>unloading</w:t>
      </w:r>
      <w:r w:rsidR="0087397F">
        <w:t>;</w:t>
      </w:r>
      <w:proofErr w:type="gramEnd"/>
    </w:p>
    <w:p w14:paraId="4E6FF4F6" w14:textId="5654A80D" w:rsidR="009A0B5C" w:rsidRPr="00271521" w:rsidRDefault="009A0B5C" w:rsidP="007D2AB5">
      <w:pPr>
        <w:pStyle w:val="CETListbullets"/>
        <w:numPr>
          <w:ilvl w:val="0"/>
          <w:numId w:val="13"/>
        </w:numPr>
      </w:pPr>
      <w:r w:rsidRPr="00271521">
        <w:t>Facility siting, i.e.</w:t>
      </w:r>
      <w:r w:rsidR="0087397F">
        <w:t>,</w:t>
      </w:r>
      <w:r w:rsidRPr="00271521">
        <w:t xml:space="preserve"> position of equipment, </w:t>
      </w:r>
      <w:r w:rsidR="0087397F" w:rsidRPr="00271521">
        <w:t>considering</w:t>
      </w:r>
      <w:r w:rsidRPr="00271521">
        <w:t xml:space="preserve"> potential interference risk from existing plant to new units and vice-versa, and potential impact on occupied building or sensitive targets, including facilities outside the plant (risk to public).</w:t>
      </w:r>
    </w:p>
    <w:p w14:paraId="0CC24D64" w14:textId="6B0189FB" w:rsidR="00F237DE" w:rsidRPr="00271521" w:rsidRDefault="00F237DE" w:rsidP="00F237DE">
      <w:pPr>
        <w:pStyle w:val="CETBodytext"/>
        <w:rPr>
          <w:lang w:val="en-GB"/>
        </w:rPr>
      </w:pPr>
      <w:r w:rsidRPr="00271521">
        <w:rPr>
          <w:lang w:val="en-GB"/>
        </w:rPr>
        <w:t xml:space="preserve">The Preliminary </w:t>
      </w:r>
      <w:r w:rsidR="0075563A" w:rsidRPr="00271521">
        <w:rPr>
          <w:lang w:val="en-GB"/>
        </w:rPr>
        <w:t xml:space="preserve">Risk </w:t>
      </w:r>
      <w:r w:rsidR="0075563A" w:rsidRPr="002B7258">
        <w:rPr>
          <w:lang w:val="en-GB"/>
        </w:rPr>
        <w:t>Assessment</w:t>
      </w:r>
      <w:r w:rsidR="0075563A" w:rsidRPr="00271521">
        <w:rPr>
          <w:lang w:val="en-GB"/>
        </w:rPr>
        <w:t xml:space="preserve"> </w:t>
      </w:r>
      <w:r w:rsidRPr="00271521">
        <w:rPr>
          <w:lang w:val="en-GB"/>
        </w:rPr>
        <w:t>can include a semiquantitative risk estimate, using a risk matrix.</w:t>
      </w:r>
    </w:p>
    <w:p w14:paraId="48037BA3" w14:textId="3A32276E" w:rsidR="009A0B5C" w:rsidRDefault="009A0B5C" w:rsidP="009A0B5C">
      <w:pPr>
        <w:pStyle w:val="CETBodytext"/>
        <w:rPr>
          <w:lang w:val="en-GB"/>
        </w:rPr>
      </w:pPr>
      <w:r w:rsidRPr="00271521">
        <w:rPr>
          <w:lang w:val="en-GB"/>
        </w:rPr>
        <w:t xml:space="preserve">A striking example: during a QRA, when equipment had already been bought, we highlighted that a single piece of equipment, a high-volume, high-pressure separator, would impact the nearby vessels and manned areas in such a strong way that any evacuation would have been impossible. </w:t>
      </w:r>
      <w:r w:rsidR="00CD42AC" w:rsidRPr="00271521">
        <w:rPr>
          <w:lang w:val="en-GB"/>
        </w:rPr>
        <w:t>Therefore</w:t>
      </w:r>
      <w:r w:rsidRPr="00271521">
        <w:rPr>
          <w:lang w:val="en-GB"/>
        </w:rPr>
        <w:t xml:space="preserve">, the project had to be suspended, </w:t>
      </w:r>
      <w:r w:rsidRPr="00271521">
        <w:rPr>
          <w:lang w:val="en-GB"/>
        </w:rPr>
        <w:lastRenderedPageBreak/>
        <w:t>and major engineering changes had to be adopted, with 6 month</w:t>
      </w:r>
      <w:r w:rsidR="00CD42AC" w:rsidRPr="00271521">
        <w:rPr>
          <w:lang w:val="en-GB"/>
        </w:rPr>
        <w:t>s</w:t>
      </w:r>
      <w:r w:rsidRPr="00271521">
        <w:rPr>
          <w:lang w:val="en-GB"/>
        </w:rPr>
        <w:t xml:space="preserve"> delay (and enormous </w:t>
      </w:r>
      <w:r w:rsidR="00CD42AC" w:rsidRPr="00271521">
        <w:rPr>
          <w:lang w:val="en-GB"/>
        </w:rPr>
        <w:t xml:space="preserve">additional </w:t>
      </w:r>
      <w:r w:rsidRPr="00271521">
        <w:rPr>
          <w:lang w:val="en-GB"/>
        </w:rPr>
        <w:t>cost)</w:t>
      </w:r>
      <w:r w:rsidR="00CD42AC" w:rsidRPr="00271521">
        <w:rPr>
          <w:lang w:val="en-GB"/>
        </w:rPr>
        <w:t xml:space="preserve">. This criticality would have been easily identified in a </w:t>
      </w:r>
      <w:r w:rsidR="00F237DE" w:rsidRPr="00271521">
        <w:rPr>
          <w:lang w:val="en-GB"/>
        </w:rPr>
        <w:t>well-done</w:t>
      </w:r>
      <w:r w:rsidR="00CD42AC" w:rsidRPr="00271521">
        <w:rPr>
          <w:lang w:val="en-GB"/>
        </w:rPr>
        <w:t xml:space="preserve"> preliminary risk assessment.</w:t>
      </w:r>
    </w:p>
    <w:p w14:paraId="311F7902" w14:textId="77777777" w:rsidR="00B965BD" w:rsidRPr="00271521" w:rsidRDefault="00B965BD" w:rsidP="009A0B5C">
      <w:pPr>
        <w:pStyle w:val="CETBodytext"/>
        <w:rPr>
          <w:lang w:val="en-GB"/>
        </w:rPr>
      </w:pPr>
    </w:p>
    <w:p w14:paraId="6F4069E4" w14:textId="5F94AC34" w:rsidR="00F237DE" w:rsidRPr="00CE731E" w:rsidRDefault="00B93386" w:rsidP="00F237DE">
      <w:pPr>
        <w:rPr>
          <w:rFonts w:asciiTheme="minorBidi" w:hAnsiTheme="minorBidi" w:cstheme="minorBidi"/>
          <w:b/>
          <w:bCs/>
          <w:szCs w:val="18"/>
        </w:rPr>
      </w:pPr>
      <w:r w:rsidRPr="00CE731E">
        <w:rPr>
          <w:rFonts w:asciiTheme="minorBidi" w:hAnsiTheme="minorBidi" w:cstheme="minorBidi"/>
          <w:b/>
          <w:bCs/>
          <w:szCs w:val="18"/>
        </w:rPr>
        <w:t>HAZID</w:t>
      </w:r>
      <w:r w:rsidR="00F237DE" w:rsidRPr="00CE731E">
        <w:rPr>
          <w:rFonts w:asciiTheme="minorBidi" w:hAnsiTheme="minorBidi" w:cstheme="minorBidi"/>
          <w:b/>
          <w:bCs/>
          <w:szCs w:val="18"/>
        </w:rPr>
        <w:t xml:space="preserve"> and FERA</w:t>
      </w:r>
    </w:p>
    <w:p w14:paraId="52CB6133" w14:textId="77777777" w:rsidR="002B7258" w:rsidRDefault="00F237DE" w:rsidP="009A0B5C">
      <w:pPr>
        <w:pStyle w:val="CETBodytext"/>
        <w:rPr>
          <w:lang w:val="en-GB"/>
        </w:rPr>
      </w:pPr>
      <w:r w:rsidRPr="00271521">
        <w:rPr>
          <w:lang w:val="en-GB"/>
        </w:rPr>
        <w:t xml:space="preserve">HAZID, or Hazard Identification, is a methodology that starts from a structured </w:t>
      </w:r>
      <w:proofErr w:type="gramStart"/>
      <w:r w:rsidRPr="00271521">
        <w:rPr>
          <w:lang w:val="en-GB"/>
        </w:rPr>
        <w:t>check-list</w:t>
      </w:r>
      <w:proofErr w:type="gramEnd"/>
      <w:r w:rsidRPr="00271521">
        <w:rPr>
          <w:lang w:val="en-GB"/>
        </w:rPr>
        <w:t xml:space="preserve">, covering different subjects (such as natural events, climate, environmental and process safety issues, external </w:t>
      </w:r>
      <w:r w:rsidR="00B93386" w:rsidRPr="00271521">
        <w:rPr>
          <w:lang w:val="en-GB"/>
        </w:rPr>
        <w:t>factors</w:t>
      </w:r>
      <w:r w:rsidRPr="00271521">
        <w:rPr>
          <w:lang w:val="en-GB"/>
        </w:rPr>
        <w:t xml:space="preserve">, etc.). It is typically developed </w:t>
      </w:r>
      <w:r w:rsidR="00B93386" w:rsidRPr="00271521">
        <w:rPr>
          <w:lang w:val="en-GB"/>
        </w:rPr>
        <w:t xml:space="preserve">during Basic Design, that is, after </w:t>
      </w:r>
      <w:r w:rsidRPr="00271521">
        <w:rPr>
          <w:lang w:val="en-GB"/>
        </w:rPr>
        <w:t xml:space="preserve">quantified Process Flow Diagrams and Heat and Material Balance are </w:t>
      </w:r>
      <w:r w:rsidR="00B93386" w:rsidRPr="00271521">
        <w:rPr>
          <w:lang w:val="en-GB"/>
        </w:rPr>
        <w:t>available</w:t>
      </w:r>
      <w:r w:rsidRPr="00271521">
        <w:rPr>
          <w:lang w:val="en-GB"/>
        </w:rPr>
        <w:t xml:space="preserve"> (but P&amp;IDs are not ready yet)</w:t>
      </w:r>
      <w:r w:rsidR="00B93386" w:rsidRPr="00271521">
        <w:rPr>
          <w:lang w:val="en-GB"/>
        </w:rPr>
        <w:t xml:space="preserve">. </w:t>
      </w:r>
    </w:p>
    <w:p w14:paraId="0735ECAA" w14:textId="77777777" w:rsidR="002B7258" w:rsidRDefault="00B93386" w:rsidP="009A0B5C">
      <w:pPr>
        <w:pStyle w:val="CETBodytext"/>
        <w:rPr>
          <w:lang w:val="en-GB"/>
        </w:rPr>
      </w:pPr>
      <w:r w:rsidRPr="00271521">
        <w:rPr>
          <w:lang w:val="en-GB"/>
        </w:rPr>
        <w:t xml:space="preserve">HAZID is competed with a Fire and Explosion risk assessment, that is a simplified QRA that can anticipate, with precision limited to order of magnitude, the results of a detailed QRA. </w:t>
      </w:r>
    </w:p>
    <w:p w14:paraId="7C2ED4E6" w14:textId="5F5CD3CB" w:rsidR="00CD42AC" w:rsidRDefault="00B93386" w:rsidP="009A0B5C">
      <w:pPr>
        <w:pStyle w:val="CETBodytext"/>
        <w:rPr>
          <w:lang w:val="en-GB"/>
        </w:rPr>
      </w:pPr>
      <w:r w:rsidRPr="00271521">
        <w:rPr>
          <w:lang w:val="en-GB"/>
        </w:rPr>
        <w:t>This could give important feedback to the project, allowing modification and inclusion of additional safety barriers when there is still the possibility to modify the unit and relevant pieces of equipment.</w:t>
      </w:r>
    </w:p>
    <w:p w14:paraId="5937512E" w14:textId="77777777" w:rsidR="00B965BD" w:rsidRPr="00271521" w:rsidRDefault="00B965BD" w:rsidP="009A0B5C">
      <w:pPr>
        <w:pStyle w:val="CETBodytext"/>
        <w:rPr>
          <w:lang w:val="en-GB"/>
        </w:rPr>
      </w:pPr>
    </w:p>
    <w:p w14:paraId="1CA93555" w14:textId="0CDA5A87" w:rsidR="004625AD" w:rsidRPr="00271521" w:rsidRDefault="004625AD" w:rsidP="00B93386">
      <w:pPr>
        <w:pStyle w:val="CETheadingx"/>
        <w:rPr>
          <w:lang w:val="en-GB"/>
        </w:rPr>
      </w:pPr>
      <w:r w:rsidRPr="00271521">
        <w:rPr>
          <w:lang w:val="en-GB"/>
        </w:rPr>
        <w:t>Inappropriate use of data</w:t>
      </w:r>
    </w:p>
    <w:p w14:paraId="2F06768A" w14:textId="77777777" w:rsidR="002B7258" w:rsidRDefault="004625AD" w:rsidP="004625AD">
      <w:pPr>
        <w:pStyle w:val="CETBodytext"/>
        <w:rPr>
          <w:lang w:val="en-GB"/>
        </w:rPr>
      </w:pPr>
      <w:r w:rsidRPr="00271521">
        <w:rPr>
          <w:lang w:val="en-GB"/>
        </w:rPr>
        <w:t xml:space="preserve">In Process Safety, numbers and data are always important. In a QRA, using data in a wrong way or using wrong data could completely modify the results of the study. </w:t>
      </w:r>
    </w:p>
    <w:p w14:paraId="226FCC2E" w14:textId="2D4AAA89" w:rsidR="004625AD" w:rsidRPr="00271521" w:rsidRDefault="004625AD" w:rsidP="004625AD">
      <w:pPr>
        <w:pStyle w:val="CETBodytext"/>
        <w:rPr>
          <w:lang w:val="en-GB"/>
        </w:rPr>
      </w:pPr>
      <w:r w:rsidRPr="00271521">
        <w:rPr>
          <w:lang w:val="en-GB"/>
        </w:rPr>
        <w:t>One brief example might clarify this concept</w:t>
      </w:r>
      <w:r w:rsidR="00AF399F">
        <w:rPr>
          <w:lang w:val="en-GB"/>
        </w:rPr>
        <w:t>: c</w:t>
      </w:r>
      <w:r w:rsidRPr="00271521">
        <w:rPr>
          <w:lang w:val="en-GB"/>
        </w:rPr>
        <w:t>onsidering the wrong vapour pressure for a fluid could lead not to evaluate a dispersion scenario, losing the possibility to protect the personnel from it (or vice versa, a scenario that is not credible may be considered and money could be wasted for further unnecessary protection).</w:t>
      </w:r>
    </w:p>
    <w:p w14:paraId="7D9D8193" w14:textId="676605D2" w:rsidR="00B93386" w:rsidRPr="00271521" w:rsidRDefault="00B93386" w:rsidP="004625AD">
      <w:pPr>
        <w:pStyle w:val="CETBodytext"/>
        <w:rPr>
          <w:lang w:val="en-GB"/>
        </w:rPr>
      </w:pPr>
      <w:r w:rsidRPr="00271521">
        <w:rPr>
          <w:lang w:val="en-GB"/>
        </w:rPr>
        <w:t xml:space="preserve">The lack of adequate Process Safety Information </w:t>
      </w:r>
      <w:r w:rsidR="00271521" w:rsidRPr="00271521">
        <w:rPr>
          <w:lang w:val="en-GB"/>
        </w:rPr>
        <w:t>is unfortunately quite common</w:t>
      </w:r>
      <w:r w:rsidR="00AF399F">
        <w:rPr>
          <w:lang w:val="en-GB"/>
        </w:rPr>
        <w:t xml:space="preserve"> (a minimum list of required PSI is reported below)</w:t>
      </w:r>
      <w:r w:rsidR="00271521" w:rsidRPr="00271521">
        <w:rPr>
          <w:lang w:val="en-GB"/>
        </w:rPr>
        <w:t xml:space="preserve">: </w:t>
      </w:r>
    </w:p>
    <w:p w14:paraId="18E42645" w14:textId="247D12C0" w:rsidR="00271521" w:rsidRPr="00271521" w:rsidRDefault="00271521" w:rsidP="007D2AB5">
      <w:pPr>
        <w:pStyle w:val="CETListbullets"/>
        <w:numPr>
          <w:ilvl w:val="0"/>
          <w:numId w:val="13"/>
        </w:numPr>
      </w:pPr>
      <w:r w:rsidRPr="00271521">
        <w:t xml:space="preserve">Physical and chemical behaviour of substances and reaction </w:t>
      </w:r>
      <w:proofErr w:type="gramStart"/>
      <w:r w:rsidRPr="00271521">
        <w:t>mixture</w:t>
      </w:r>
      <w:r w:rsidR="00AF399F">
        <w:t>;</w:t>
      </w:r>
      <w:proofErr w:type="gramEnd"/>
    </w:p>
    <w:p w14:paraId="577D8202" w14:textId="6D452671" w:rsidR="00271521" w:rsidRPr="00271521" w:rsidRDefault="00271521" w:rsidP="007D2AB5">
      <w:pPr>
        <w:pStyle w:val="CETListbullets"/>
        <w:numPr>
          <w:ilvl w:val="0"/>
          <w:numId w:val="13"/>
        </w:numPr>
      </w:pPr>
      <w:r w:rsidRPr="00271521">
        <w:t xml:space="preserve">Dust explosion properties (MIE, MIT, LIT, </w:t>
      </w:r>
      <w:proofErr w:type="spellStart"/>
      <w:r w:rsidRPr="00271521">
        <w:t>Kst</w:t>
      </w:r>
      <w:proofErr w:type="spellEnd"/>
      <w:r w:rsidRPr="00271521">
        <w:t>, Pmax, etc.</w:t>
      </w:r>
      <w:proofErr w:type="gramStart"/>
      <w:r w:rsidRPr="00271521">
        <w:t>)</w:t>
      </w:r>
      <w:r w:rsidR="00AF399F">
        <w:t>;</w:t>
      </w:r>
      <w:proofErr w:type="gramEnd"/>
    </w:p>
    <w:p w14:paraId="4612E877" w14:textId="6C0DCD4D" w:rsidR="00271521" w:rsidRPr="00271521" w:rsidRDefault="00271521" w:rsidP="007D2AB5">
      <w:pPr>
        <w:pStyle w:val="CETListbullets"/>
        <w:numPr>
          <w:ilvl w:val="0"/>
          <w:numId w:val="13"/>
        </w:numPr>
      </w:pPr>
      <w:r w:rsidRPr="00271521">
        <w:t>P&amp;IDs, C&amp;E Matrix, H&amp;M balance, etc.</w:t>
      </w:r>
    </w:p>
    <w:p w14:paraId="4CEB5A96" w14:textId="77777777" w:rsidR="00AF399F" w:rsidRDefault="00271521" w:rsidP="007C088E">
      <w:pPr>
        <w:pStyle w:val="CETBodytext"/>
        <w:rPr>
          <w:lang w:val="en-GB"/>
        </w:rPr>
      </w:pPr>
      <w:r w:rsidRPr="00271521">
        <w:rPr>
          <w:lang w:val="en-GB"/>
        </w:rPr>
        <w:t>That information</w:t>
      </w:r>
      <w:r>
        <w:rPr>
          <w:lang w:val="en-GB"/>
        </w:rPr>
        <w:t>, as anticipated, can have a very important impact on the results of the risk assessment, leading to impactful mistakes.</w:t>
      </w:r>
      <w:r w:rsidR="007C088E">
        <w:rPr>
          <w:lang w:val="en-GB"/>
        </w:rPr>
        <w:t xml:space="preserve"> </w:t>
      </w:r>
    </w:p>
    <w:p w14:paraId="70D26A3D" w14:textId="282DAF0F" w:rsidR="007C088E" w:rsidRDefault="007C088E" w:rsidP="007C088E">
      <w:pPr>
        <w:pStyle w:val="CETBodytext"/>
        <w:rPr>
          <w:lang w:val="en-GB"/>
        </w:rPr>
      </w:pPr>
      <w:r>
        <w:rPr>
          <w:lang w:val="en-GB"/>
        </w:rPr>
        <w:t>The example given below shows how bad data can lead to huge mistakes</w:t>
      </w:r>
      <w:r w:rsidR="00AF399F">
        <w:rPr>
          <w:lang w:val="en-GB"/>
        </w:rPr>
        <w:t>: in</w:t>
      </w:r>
      <w:r>
        <w:rPr>
          <w:lang w:val="en-GB"/>
        </w:rPr>
        <w:t xml:space="preserve"> this real case, taken from a QRA used for decision making, the vapour pressure of </w:t>
      </w:r>
      <w:r w:rsidRPr="007C088E">
        <w:rPr>
          <w:lang w:val="en-GB"/>
        </w:rPr>
        <w:t>formaldehyde</w:t>
      </w:r>
      <w:r>
        <w:rPr>
          <w:lang w:val="en-GB"/>
        </w:rPr>
        <w:t xml:space="preserve"> was taken from MSDS without checking the validity of the data</w:t>
      </w:r>
      <w:r w:rsidR="006E3C30">
        <w:rPr>
          <w:lang w:val="en-GB"/>
        </w:rPr>
        <w:t xml:space="preserve"> (</w:t>
      </w:r>
      <w:r w:rsidR="006E3C30">
        <w:rPr>
          <w:lang w:val="en-GB"/>
        </w:rPr>
        <w:fldChar w:fldCharType="begin"/>
      </w:r>
      <w:r w:rsidR="006E3C30">
        <w:rPr>
          <w:lang w:val="en-GB"/>
        </w:rPr>
        <w:instrText xml:space="preserve"> REF _Ref132721409 \h </w:instrText>
      </w:r>
      <w:r w:rsidR="006E3C30">
        <w:rPr>
          <w:lang w:val="en-GB"/>
        </w:rPr>
      </w:r>
      <w:r w:rsidR="006E3C30">
        <w:rPr>
          <w:lang w:val="en-GB"/>
        </w:rPr>
        <w:fldChar w:fldCharType="separate"/>
      </w:r>
      <w:r w:rsidR="00901531">
        <w:t xml:space="preserve">Table </w:t>
      </w:r>
      <w:r w:rsidR="00901531">
        <w:rPr>
          <w:noProof/>
        </w:rPr>
        <w:t>2</w:t>
      </w:r>
      <w:r w:rsidR="006E3C30">
        <w:rPr>
          <w:lang w:val="en-GB"/>
        </w:rPr>
        <w:fldChar w:fldCharType="end"/>
      </w:r>
      <w:r w:rsidR="006E3C30">
        <w:rPr>
          <w:lang w:val="en-GB"/>
        </w:rPr>
        <w:t>)</w:t>
      </w:r>
      <w:r>
        <w:rPr>
          <w:lang w:val="en-GB"/>
        </w:rPr>
        <w:t xml:space="preserve">. </w:t>
      </w:r>
    </w:p>
    <w:p w14:paraId="0D70E4ED" w14:textId="1EF26C98" w:rsidR="006E3C30" w:rsidRDefault="006E3C30" w:rsidP="006E3C30">
      <w:pPr>
        <w:pStyle w:val="CETTabletitle"/>
      </w:pPr>
      <w:bookmarkStart w:id="1" w:name="_Ref132721409"/>
      <w:r>
        <w:t xml:space="preserve">Table </w:t>
      </w:r>
      <w:r>
        <w:fldChar w:fldCharType="begin"/>
      </w:r>
      <w:r>
        <w:instrText xml:space="preserve"> SEQ Table \* ARABIC </w:instrText>
      </w:r>
      <w:r>
        <w:fldChar w:fldCharType="separate"/>
      </w:r>
      <w:r w:rsidR="00901531">
        <w:rPr>
          <w:noProof/>
        </w:rPr>
        <w:t>2</w:t>
      </w:r>
      <w:r>
        <w:fldChar w:fldCharType="end"/>
      </w:r>
      <w:bookmarkEnd w:id="1"/>
      <w:r>
        <w:t xml:space="preserve">: </w:t>
      </w:r>
      <w:r w:rsidRPr="00E76F10">
        <w:t>Vapour pressure of Formaldehyde from different MSDS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275"/>
        <w:gridCol w:w="1843"/>
      </w:tblGrid>
      <w:tr w:rsidR="007C088E" w:rsidRPr="00271521" w14:paraId="724858FC" w14:textId="602C69AC" w:rsidTr="00C672F3">
        <w:tc>
          <w:tcPr>
            <w:tcW w:w="2552" w:type="dxa"/>
            <w:tcBorders>
              <w:top w:val="single" w:sz="12" w:space="0" w:color="008000"/>
              <w:bottom w:val="single" w:sz="6" w:space="0" w:color="008000"/>
            </w:tcBorders>
            <w:shd w:val="clear" w:color="auto" w:fill="FFFFFF"/>
          </w:tcPr>
          <w:p w14:paraId="7F921D82" w14:textId="59A105EF" w:rsidR="007C088E" w:rsidRPr="00271521" w:rsidRDefault="007C088E" w:rsidP="00EE3D0B">
            <w:pPr>
              <w:pStyle w:val="CETBodytext"/>
              <w:rPr>
                <w:lang w:val="en-GB"/>
              </w:rPr>
            </w:pPr>
            <w:r>
              <w:rPr>
                <w:lang w:val="en-GB"/>
              </w:rPr>
              <w:t>Physical property</w:t>
            </w:r>
          </w:p>
        </w:tc>
        <w:tc>
          <w:tcPr>
            <w:tcW w:w="1275" w:type="dxa"/>
            <w:tcBorders>
              <w:top w:val="single" w:sz="12" w:space="0" w:color="008000"/>
              <w:bottom w:val="single" w:sz="6" w:space="0" w:color="008000"/>
            </w:tcBorders>
            <w:shd w:val="clear" w:color="auto" w:fill="FFFFFF"/>
          </w:tcPr>
          <w:p w14:paraId="2382F6F2" w14:textId="3DBE795E" w:rsidR="007C088E" w:rsidRPr="00271521" w:rsidRDefault="003F7E64" w:rsidP="00C672F3">
            <w:pPr>
              <w:pStyle w:val="CETBodytext"/>
              <w:jc w:val="center"/>
              <w:rPr>
                <w:lang w:val="en-GB"/>
              </w:rPr>
            </w:pPr>
            <w:r>
              <w:rPr>
                <w:lang w:val="en-GB"/>
              </w:rPr>
              <w:t>MSDS 1</w:t>
            </w:r>
          </w:p>
        </w:tc>
        <w:tc>
          <w:tcPr>
            <w:tcW w:w="1843" w:type="dxa"/>
            <w:tcBorders>
              <w:top w:val="single" w:sz="12" w:space="0" w:color="008000"/>
              <w:bottom w:val="single" w:sz="6" w:space="0" w:color="008000"/>
            </w:tcBorders>
            <w:shd w:val="clear" w:color="auto" w:fill="FFFFFF"/>
          </w:tcPr>
          <w:p w14:paraId="22DEC95F" w14:textId="5C5566E1" w:rsidR="007C088E" w:rsidRDefault="003F7E64" w:rsidP="00C672F3">
            <w:pPr>
              <w:pStyle w:val="CETBodytext"/>
              <w:jc w:val="center"/>
              <w:rPr>
                <w:lang w:val="en-GB"/>
              </w:rPr>
            </w:pPr>
            <w:r>
              <w:rPr>
                <w:lang w:val="en-GB"/>
              </w:rPr>
              <w:t xml:space="preserve">ILO </w:t>
            </w:r>
            <w:r w:rsidRPr="003F7E64">
              <w:rPr>
                <w:lang w:val="en-GB"/>
              </w:rPr>
              <w:t>ICSC</w:t>
            </w:r>
            <w:r w:rsidR="00901531">
              <w:rPr>
                <w:lang w:val="en-GB"/>
              </w:rPr>
              <w:br/>
            </w:r>
            <w:r>
              <w:rPr>
                <w:lang w:val="en-GB"/>
              </w:rPr>
              <w:t xml:space="preserve">37% </w:t>
            </w:r>
            <w:r w:rsidRPr="003F7E64">
              <w:rPr>
                <w:lang w:val="en-GB"/>
              </w:rPr>
              <w:t>SOLUTION</w:t>
            </w:r>
          </w:p>
        </w:tc>
      </w:tr>
      <w:tr w:rsidR="007C088E" w:rsidRPr="00271521" w14:paraId="440DD007" w14:textId="4831D92C" w:rsidTr="00C672F3">
        <w:tc>
          <w:tcPr>
            <w:tcW w:w="2552" w:type="dxa"/>
            <w:shd w:val="clear" w:color="auto" w:fill="FFFFFF"/>
          </w:tcPr>
          <w:p w14:paraId="5C8AA8CA" w14:textId="438BB7BC" w:rsidR="007C088E" w:rsidRDefault="007C088E" w:rsidP="00EE3D0B">
            <w:pPr>
              <w:pStyle w:val="CETBodytext"/>
              <w:ind w:right="-1"/>
              <w:rPr>
                <w:lang w:val="en-GB"/>
              </w:rPr>
            </w:pPr>
            <w:r>
              <w:rPr>
                <w:lang w:val="en-GB"/>
              </w:rPr>
              <w:t>Vapour Pressure [Pa] @ 20</w:t>
            </w:r>
            <w:r w:rsidR="00833A99">
              <w:rPr>
                <w:lang w:val="en-GB"/>
              </w:rPr>
              <w:t xml:space="preserve"> </w:t>
            </w:r>
            <w:r>
              <w:rPr>
                <w:lang w:val="en-GB"/>
              </w:rPr>
              <w:t>°C</w:t>
            </w:r>
          </w:p>
        </w:tc>
        <w:tc>
          <w:tcPr>
            <w:tcW w:w="1275" w:type="dxa"/>
            <w:shd w:val="clear" w:color="auto" w:fill="FFFFFF"/>
          </w:tcPr>
          <w:p w14:paraId="4E7A474A" w14:textId="190A2782" w:rsidR="007C088E" w:rsidRPr="001D75D0" w:rsidRDefault="003F7E64" w:rsidP="00C672F3">
            <w:pPr>
              <w:pStyle w:val="CETBodytext"/>
              <w:ind w:right="-1"/>
              <w:jc w:val="center"/>
              <w:rPr>
                <w:lang w:val="en-GB"/>
              </w:rPr>
            </w:pPr>
            <w:r>
              <w:rPr>
                <w:lang w:val="en-GB"/>
              </w:rPr>
              <w:t>133</w:t>
            </w:r>
          </w:p>
        </w:tc>
        <w:tc>
          <w:tcPr>
            <w:tcW w:w="1843" w:type="dxa"/>
            <w:shd w:val="clear" w:color="auto" w:fill="FFFFFF"/>
          </w:tcPr>
          <w:p w14:paraId="3B653A63" w14:textId="26E8943D" w:rsidR="007C088E" w:rsidRPr="001D75D0" w:rsidRDefault="003F7E64" w:rsidP="00C672F3">
            <w:pPr>
              <w:pStyle w:val="CETBodytext"/>
              <w:ind w:right="-1"/>
              <w:jc w:val="center"/>
              <w:rPr>
                <w:lang w:val="en-GB"/>
              </w:rPr>
            </w:pPr>
            <w:r>
              <w:rPr>
                <w:lang w:val="en-GB"/>
              </w:rPr>
              <w:t>2</w:t>
            </w:r>
            <w:r w:rsidR="00833A99">
              <w:rPr>
                <w:lang w:val="en-GB"/>
              </w:rPr>
              <w:t>,</w:t>
            </w:r>
            <w:r>
              <w:rPr>
                <w:lang w:val="en-GB"/>
              </w:rPr>
              <w:t>400</w:t>
            </w:r>
          </w:p>
        </w:tc>
      </w:tr>
    </w:tbl>
    <w:p w14:paraId="0B2CCFB9" w14:textId="77777777" w:rsidR="00456F5F" w:rsidRDefault="00456F5F" w:rsidP="007C088E">
      <w:pPr>
        <w:pStyle w:val="CETBodytext"/>
        <w:rPr>
          <w:lang w:val="en-GB"/>
        </w:rPr>
      </w:pPr>
    </w:p>
    <w:p w14:paraId="2E8D9E71" w14:textId="64C0D36F" w:rsidR="007C088E" w:rsidRDefault="00C672F3" w:rsidP="007C088E">
      <w:pPr>
        <w:pStyle w:val="CETBodytext"/>
        <w:rPr>
          <w:lang w:val="en-GB"/>
        </w:rPr>
      </w:pPr>
      <w:r>
        <w:rPr>
          <w:lang w:val="en-GB"/>
        </w:rPr>
        <w:t xml:space="preserve">Using </w:t>
      </w:r>
      <w:r w:rsidR="00217B28">
        <w:rPr>
          <w:lang w:val="en-GB"/>
        </w:rPr>
        <w:t>d</w:t>
      </w:r>
      <w:r>
        <w:rPr>
          <w:lang w:val="en-GB"/>
        </w:rPr>
        <w:t>ata from MSD</w:t>
      </w:r>
      <w:r w:rsidR="004B1D36">
        <w:rPr>
          <w:lang w:val="en-GB"/>
        </w:rPr>
        <w:t>S</w:t>
      </w:r>
      <w:r>
        <w:rPr>
          <w:lang w:val="en-GB"/>
        </w:rPr>
        <w:t xml:space="preserve"> would lead to almost no toxic dispersion, and no risk nearby the release. Using data from ILO would lead to toxic dispersion, and to identify a dangerous area.</w:t>
      </w:r>
    </w:p>
    <w:p w14:paraId="6D273EF0" w14:textId="02C89F7B" w:rsidR="002B7258" w:rsidRDefault="002B7258" w:rsidP="007C088E">
      <w:pPr>
        <w:pStyle w:val="CETBodytext"/>
      </w:pPr>
      <w:r>
        <w:rPr>
          <w:lang w:val="en-GB"/>
        </w:rPr>
        <w:t xml:space="preserve">Another striking </w:t>
      </w:r>
      <w:r w:rsidR="00833A99">
        <w:rPr>
          <w:lang w:val="en-GB"/>
        </w:rPr>
        <w:t>example</w:t>
      </w:r>
      <w:r>
        <w:rPr>
          <w:lang w:val="en-GB"/>
        </w:rPr>
        <w:t xml:space="preserve"> come from the permitting process of a plant</w:t>
      </w:r>
      <w:r w:rsidR="004B1D36">
        <w:rPr>
          <w:lang w:val="en-GB"/>
        </w:rPr>
        <w:t>: a</w:t>
      </w:r>
      <w:r>
        <w:rPr>
          <w:lang w:val="en-GB"/>
        </w:rPr>
        <w:t>uthorities asked to evaluate scenarios with a frequency as low as 1</w:t>
      </w:r>
      <w:r w:rsidRPr="00456F5F">
        <w:t>·10</w:t>
      </w:r>
      <w:r w:rsidRPr="00456F5F">
        <w:rPr>
          <w:vertAlign w:val="superscript"/>
        </w:rPr>
        <w:t>-</w:t>
      </w:r>
      <w:r>
        <w:rPr>
          <w:vertAlign w:val="superscript"/>
        </w:rPr>
        <w:t xml:space="preserve">12 </w:t>
      </w:r>
      <w:r w:rsidRPr="002B7258">
        <w:t>events/year.</w:t>
      </w:r>
      <w:r w:rsidR="004B1D36">
        <w:t xml:space="preserve"> </w:t>
      </w:r>
      <w:r>
        <w:t xml:space="preserve">If we compare </w:t>
      </w:r>
      <w:r w:rsidR="00833A99">
        <w:t>this request</w:t>
      </w:r>
      <w:r>
        <w:t xml:space="preserve"> </w:t>
      </w:r>
      <w:r w:rsidR="00F43C25">
        <w:t>to</w:t>
      </w:r>
      <w:r>
        <w:t xml:space="preserve"> the known </w:t>
      </w:r>
      <w:r w:rsidR="00F43C25">
        <w:t>age</w:t>
      </w:r>
      <w:r>
        <w:t xml:space="preserve"> </w:t>
      </w:r>
      <w:r w:rsidR="00F43C25">
        <w:t>o</w:t>
      </w:r>
      <w:r>
        <w:t>f the universe</w:t>
      </w:r>
      <w:r w:rsidR="00F43C25">
        <w:t xml:space="preserve">, </w:t>
      </w:r>
      <w:r w:rsidR="00F43C25" w:rsidRPr="00F43C25">
        <w:t>13</w:t>
      </w:r>
      <w:r w:rsidR="006E3C30">
        <w:t>.</w:t>
      </w:r>
      <w:r w:rsidR="00F43C25" w:rsidRPr="00F43C25">
        <w:t>787</w:t>
      </w:r>
      <w:r w:rsidR="00F43C25">
        <w:t xml:space="preserve"> 10</w:t>
      </w:r>
      <w:r w:rsidR="00F43C25">
        <w:rPr>
          <w:vertAlign w:val="superscript"/>
        </w:rPr>
        <w:t>9</w:t>
      </w:r>
      <w:r w:rsidR="004B1D36">
        <w:t xml:space="preserve">, </w:t>
      </w:r>
      <w:r w:rsidR="00F43C25">
        <w:t xml:space="preserve">such events </w:t>
      </w:r>
      <w:proofErr w:type="gramStart"/>
      <w:r w:rsidR="00F43C25">
        <w:t>would</w:t>
      </w:r>
      <w:proofErr w:type="gramEnd"/>
      <w:r w:rsidR="00F43C25">
        <w:t xml:space="preserve"> happen in a lag time roughly around one hundred times the universe history.</w:t>
      </w:r>
    </w:p>
    <w:p w14:paraId="6C7559A6" w14:textId="77777777" w:rsidR="004B1D36" w:rsidRDefault="004B1D36" w:rsidP="007C088E">
      <w:pPr>
        <w:pStyle w:val="CETBodytext"/>
      </w:pPr>
    </w:p>
    <w:p w14:paraId="49005A21" w14:textId="77777777" w:rsidR="006E3C30" w:rsidRDefault="00F43C25" w:rsidP="006E3C30">
      <w:pPr>
        <w:pStyle w:val="CETBodytext"/>
        <w:keepNext/>
      </w:pPr>
      <w:r w:rsidRPr="00F43C25">
        <w:rPr>
          <w:noProof/>
          <w:lang w:val="en-GB"/>
        </w:rPr>
        <w:drawing>
          <wp:inline distT="0" distB="0" distL="0" distR="0" wp14:anchorId="713AD208" wp14:editId="00FF9553">
            <wp:extent cx="3373113" cy="2277533"/>
            <wp:effectExtent l="0" t="0" r="0" b="8890"/>
            <wp:docPr id="4" name="Picture 2" descr="Risultati immagini per big bang esplosione">
              <a:extLst xmlns:a="http://schemas.openxmlformats.org/drawingml/2006/main">
                <a:ext uri="{FF2B5EF4-FFF2-40B4-BE49-F238E27FC236}">
                  <a16:creationId xmlns:a16="http://schemas.microsoft.com/office/drawing/2014/main" id="{D16CC471-4AE4-425E-B6EE-86233C4844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isultati immagini per big bang esplosione">
                      <a:extLst>
                        <a:ext uri="{FF2B5EF4-FFF2-40B4-BE49-F238E27FC236}">
                          <a16:creationId xmlns:a16="http://schemas.microsoft.com/office/drawing/2014/main" id="{D16CC471-4AE4-425E-B6EE-86233C484456}"/>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9686" cy="2288723"/>
                    </a:xfrm>
                    <a:prstGeom prst="rect">
                      <a:avLst/>
                    </a:prstGeom>
                    <a:noFill/>
                  </pic:spPr>
                </pic:pic>
              </a:graphicData>
            </a:graphic>
          </wp:inline>
        </w:drawing>
      </w:r>
    </w:p>
    <w:p w14:paraId="56A1EDE3" w14:textId="65B9A406" w:rsidR="00F43C25" w:rsidRPr="006E3C30" w:rsidRDefault="006E3C30" w:rsidP="006E3C30">
      <w:pPr>
        <w:pStyle w:val="CETCaption"/>
        <w:rPr>
          <w:rStyle w:val="CETCaptionCarattere"/>
        </w:rPr>
      </w:pPr>
      <w:r w:rsidRPr="006E3C30">
        <w:rPr>
          <w:rStyle w:val="CETCaptionCarattere"/>
        </w:rPr>
        <w:t xml:space="preserve">Figure </w:t>
      </w:r>
      <w:r w:rsidRPr="006E3C30">
        <w:rPr>
          <w:rStyle w:val="CETCaptionCarattere"/>
        </w:rPr>
        <w:fldChar w:fldCharType="begin"/>
      </w:r>
      <w:r w:rsidRPr="006E3C30">
        <w:rPr>
          <w:rStyle w:val="CETCaptionCarattere"/>
        </w:rPr>
        <w:instrText xml:space="preserve"> SEQ Figure \* ARABIC </w:instrText>
      </w:r>
      <w:r w:rsidRPr="006E3C30">
        <w:rPr>
          <w:rStyle w:val="CETCaptionCarattere"/>
        </w:rPr>
        <w:fldChar w:fldCharType="separate"/>
      </w:r>
      <w:r w:rsidR="00901531">
        <w:rPr>
          <w:rStyle w:val="CETCaptionCarattere"/>
          <w:noProof/>
        </w:rPr>
        <w:t>1</w:t>
      </w:r>
      <w:r w:rsidRPr="006E3C30">
        <w:rPr>
          <w:rStyle w:val="CETCaptionCarattere"/>
        </w:rPr>
        <w:fldChar w:fldCharType="end"/>
      </w:r>
      <w:r w:rsidRPr="006E3C30">
        <w:rPr>
          <w:rStyle w:val="CETCaptionCarattere"/>
        </w:rPr>
        <w:t>: Estimated age of the universe = 13</w:t>
      </w:r>
      <w:r>
        <w:rPr>
          <w:rStyle w:val="CETCaptionCarattere"/>
        </w:rPr>
        <w:t>.</w:t>
      </w:r>
      <w:r w:rsidRPr="006E3C30">
        <w:rPr>
          <w:rStyle w:val="CETCaptionCarattere"/>
        </w:rPr>
        <w:t>787 10</w:t>
      </w:r>
      <w:r w:rsidRPr="006E3C30">
        <w:rPr>
          <w:rStyle w:val="CETCaptionCarattere"/>
          <w:vertAlign w:val="superscript"/>
        </w:rPr>
        <w:t>9</w:t>
      </w:r>
      <w:r w:rsidRPr="006E3C30">
        <w:rPr>
          <w:rStyle w:val="CETCaptionCarattere"/>
        </w:rPr>
        <w:t xml:space="preserve"> years</w:t>
      </w:r>
    </w:p>
    <w:p w14:paraId="35F8D36F" w14:textId="2D3D31D6" w:rsidR="004625AD" w:rsidRPr="00271521" w:rsidRDefault="004625AD" w:rsidP="00271521">
      <w:pPr>
        <w:pStyle w:val="CETheadingx"/>
        <w:rPr>
          <w:lang w:val="en-GB"/>
        </w:rPr>
      </w:pPr>
      <w:r w:rsidRPr="00271521">
        <w:rPr>
          <w:lang w:val="en-GB"/>
        </w:rPr>
        <w:t>Inappropriate definition of a representative sample of events</w:t>
      </w:r>
    </w:p>
    <w:p w14:paraId="25D4112F" w14:textId="7CE5817F" w:rsidR="004625AD" w:rsidRDefault="004625AD" w:rsidP="004625AD">
      <w:pPr>
        <w:pStyle w:val="CETBodytext"/>
        <w:rPr>
          <w:lang w:val="en-GB"/>
        </w:rPr>
      </w:pPr>
      <w:r w:rsidRPr="00271521">
        <w:rPr>
          <w:lang w:val="en-GB"/>
        </w:rPr>
        <w:t>The errors that fall into this category are, for example, not considering all the scenarios that emerged from the HAZOP or not considering the scenarios deriving from domino effects. This could lead to an underestimation of the risk.</w:t>
      </w:r>
    </w:p>
    <w:p w14:paraId="0BA5CF77" w14:textId="4B52D117" w:rsidR="00C672F3" w:rsidRDefault="00C672F3" w:rsidP="004625AD">
      <w:pPr>
        <w:pStyle w:val="CETBodytext"/>
        <w:rPr>
          <w:lang w:val="en-GB"/>
        </w:rPr>
      </w:pPr>
      <w:r>
        <w:rPr>
          <w:lang w:val="en-GB"/>
        </w:rPr>
        <w:t xml:space="preserve">It is very common to find QRA (and Seveso Safety reports too) based only on statistical leakages and ruptures from pipes and vessels, not </w:t>
      </w:r>
      <w:r w:rsidR="0087397F">
        <w:rPr>
          <w:lang w:val="en-GB"/>
        </w:rPr>
        <w:t>considering</w:t>
      </w:r>
      <w:r>
        <w:rPr>
          <w:lang w:val="en-GB"/>
        </w:rPr>
        <w:t xml:space="preserve"> any process upset that could cause a release. The frequency of process deviations, according to the safeguards available or not available, could be many orders of magnitude greater that the frequency of generic pipe or flange leakage.</w:t>
      </w:r>
    </w:p>
    <w:p w14:paraId="60A48EFE" w14:textId="413A6266" w:rsidR="00862CCD" w:rsidRDefault="00862CCD" w:rsidP="004625AD">
      <w:pPr>
        <w:pStyle w:val="CETBodytext"/>
        <w:rPr>
          <w:lang w:val="en-GB"/>
        </w:rPr>
      </w:pPr>
      <w:r>
        <w:rPr>
          <w:lang w:val="en-GB"/>
        </w:rPr>
        <w:t xml:space="preserve">In a specific case, the QRA of a Refinery </w:t>
      </w:r>
      <w:proofErr w:type="gramStart"/>
      <w:r>
        <w:rPr>
          <w:lang w:val="en-GB"/>
        </w:rPr>
        <w:t>was based on the assumption</w:t>
      </w:r>
      <w:proofErr w:type="gramEnd"/>
      <w:r>
        <w:rPr>
          <w:lang w:val="en-GB"/>
        </w:rPr>
        <w:t xml:space="preserve"> </w:t>
      </w:r>
      <w:r w:rsidR="00901531">
        <w:rPr>
          <w:lang w:val="en-GB"/>
        </w:rPr>
        <w:t xml:space="preserve">(wrong in principle) </w:t>
      </w:r>
      <w:r>
        <w:rPr>
          <w:lang w:val="en-GB"/>
        </w:rPr>
        <w:t>that the most dangerous part was LPG handling and storage. According to this principle, the following scenario were included:</w:t>
      </w:r>
    </w:p>
    <w:p w14:paraId="3C7D6213" w14:textId="77777777" w:rsidR="00862CCD" w:rsidRPr="00862CCD" w:rsidRDefault="00862CCD" w:rsidP="00862CCD">
      <w:pPr>
        <w:pStyle w:val="CETListbullets"/>
        <w:numPr>
          <w:ilvl w:val="0"/>
          <w:numId w:val="13"/>
        </w:numPr>
      </w:pPr>
      <w:r w:rsidRPr="00862CCD">
        <w:t>Generic failures from vessels</w:t>
      </w:r>
    </w:p>
    <w:p w14:paraId="3128556F" w14:textId="77777777" w:rsidR="00862CCD" w:rsidRPr="00862CCD" w:rsidRDefault="00862CCD" w:rsidP="00862CCD">
      <w:pPr>
        <w:pStyle w:val="CETListbullets"/>
        <w:numPr>
          <w:ilvl w:val="0"/>
          <w:numId w:val="13"/>
        </w:numPr>
      </w:pPr>
      <w:r w:rsidRPr="00862CCD">
        <w:t>Generic failures from pipes in the LPG station</w:t>
      </w:r>
    </w:p>
    <w:p w14:paraId="736257B1" w14:textId="77777777" w:rsidR="00862CCD" w:rsidRPr="00862CCD" w:rsidRDefault="00862CCD" w:rsidP="00862CCD">
      <w:pPr>
        <w:pStyle w:val="CETListbullets"/>
        <w:numPr>
          <w:ilvl w:val="0"/>
          <w:numId w:val="13"/>
        </w:numPr>
      </w:pPr>
      <w:r w:rsidRPr="00862CCD">
        <w:t>Generic failures from pumps &amp; compressors</w:t>
      </w:r>
    </w:p>
    <w:p w14:paraId="1ECB0F5F" w14:textId="77777777" w:rsidR="00862CCD" w:rsidRPr="00862CCD" w:rsidRDefault="00862CCD" w:rsidP="00862CCD">
      <w:pPr>
        <w:pStyle w:val="CETListbullets"/>
        <w:numPr>
          <w:ilvl w:val="0"/>
          <w:numId w:val="13"/>
        </w:numPr>
      </w:pPr>
      <w:r w:rsidRPr="00862CCD">
        <w:t>Generic failures from arms/hoses</w:t>
      </w:r>
    </w:p>
    <w:p w14:paraId="6F1982E8" w14:textId="77777777" w:rsidR="00862CCD" w:rsidRPr="00862CCD" w:rsidRDefault="00862CCD" w:rsidP="00862CCD">
      <w:pPr>
        <w:pStyle w:val="CETListbullets"/>
        <w:numPr>
          <w:ilvl w:val="0"/>
          <w:numId w:val="13"/>
        </w:numPr>
      </w:pPr>
      <w:r w:rsidRPr="00862CCD">
        <w:t>BLEVE</w:t>
      </w:r>
    </w:p>
    <w:p w14:paraId="2E339E02" w14:textId="3F6997C7" w:rsidR="00862CCD" w:rsidRDefault="00862CCD" w:rsidP="00862CCD">
      <w:pPr>
        <w:pStyle w:val="CETListbullets"/>
        <w:ind w:left="0" w:firstLine="0"/>
      </w:pPr>
      <w:r>
        <w:t xml:space="preserve">Despite there is no doubt that a BLEVE is a very severe scenario, </w:t>
      </w:r>
      <w:r w:rsidR="0041254F">
        <w:t>that</w:t>
      </w:r>
      <w:r>
        <w:t xml:space="preserve"> approach is not covering other situations that could lead to impactful events, such as:</w:t>
      </w:r>
    </w:p>
    <w:p w14:paraId="59ABCB8A" w14:textId="101B069A" w:rsidR="00862CCD" w:rsidRPr="00862CCD" w:rsidRDefault="0041254F" w:rsidP="00862CCD">
      <w:pPr>
        <w:pStyle w:val="CETListbullets"/>
        <w:numPr>
          <w:ilvl w:val="0"/>
          <w:numId w:val="13"/>
        </w:numPr>
      </w:pPr>
      <w:r w:rsidRPr="00862CCD">
        <w:t xml:space="preserve">Operational </w:t>
      </w:r>
      <w:r w:rsidR="00862CCD" w:rsidRPr="00862CCD">
        <w:t>failures: what about overfilling?</w:t>
      </w:r>
    </w:p>
    <w:p w14:paraId="2EAC5DE7" w14:textId="59C898F1" w:rsidR="00862CCD" w:rsidRPr="00862CCD" w:rsidRDefault="00862CCD" w:rsidP="00862CCD">
      <w:pPr>
        <w:pStyle w:val="CETListbullets"/>
        <w:numPr>
          <w:ilvl w:val="0"/>
          <w:numId w:val="13"/>
        </w:numPr>
      </w:pPr>
      <w:r w:rsidRPr="00862CCD">
        <w:t>Domino effect: what about risk from the refinery?</w:t>
      </w:r>
    </w:p>
    <w:p w14:paraId="259B288F" w14:textId="1D1BEBEE" w:rsidR="00862CCD" w:rsidRDefault="0041254F" w:rsidP="001F4D79">
      <w:pPr>
        <w:pStyle w:val="CETListbullets"/>
        <w:numPr>
          <w:ilvl w:val="0"/>
          <w:numId w:val="13"/>
        </w:numPr>
      </w:pPr>
      <w:r w:rsidRPr="00862CCD">
        <w:t xml:space="preserve">Small </w:t>
      </w:r>
      <w:r w:rsidR="00862CCD" w:rsidRPr="00862CCD">
        <w:t>leak</w:t>
      </w:r>
      <w:r w:rsidR="001F4D79">
        <w:t xml:space="preserve">ages near plant </w:t>
      </w:r>
      <w:r w:rsidR="00862CCD" w:rsidRPr="00862CCD">
        <w:t>boundaries</w:t>
      </w:r>
    </w:p>
    <w:p w14:paraId="0AF11FF8" w14:textId="77777777" w:rsidR="00F23E90" w:rsidRDefault="0041254F" w:rsidP="001F4D79">
      <w:pPr>
        <w:pStyle w:val="CETListbullets"/>
        <w:numPr>
          <w:ilvl w:val="0"/>
          <w:numId w:val="13"/>
        </w:numPr>
      </w:pPr>
      <w:r w:rsidRPr="0041254F">
        <w:t xml:space="preserve">Leakages, ruptures, </w:t>
      </w:r>
      <w:r w:rsidR="001F4D79" w:rsidRPr="0041254F">
        <w:t>explosion</w:t>
      </w:r>
      <w:r w:rsidRPr="0041254F">
        <w:t>s</w:t>
      </w:r>
      <w:r w:rsidR="001F4D79" w:rsidRPr="0041254F">
        <w:t xml:space="preserve"> </w:t>
      </w:r>
      <w:r w:rsidRPr="0041254F">
        <w:t>in Refinery p</w:t>
      </w:r>
      <w:r>
        <w:t>rocess area</w:t>
      </w:r>
    </w:p>
    <w:p w14:paraId="1C5B7D20" w14:textId="582DF358" w:rsidR="001F4D79" w:rsidRDefault="00F23E90" w:rsidP="001F4D79">
      <w:pPr>
        <w:pStyle w:val="CETListbullets"/>
        <w:numPr>
          <w:ilvl w:val="0"/>
          <w:numId w:val="13"/>
        </w:numPr>
      </w:pPr>
      <w:r>
        <w:t>R</w:t>
      </w:r>
      <w:r w:rsidR="0041254F">
        <w:t>unaway reaction risk</w:t>
      </w:r>
      <w:r>
        <w:t xml:space="preserve">, that </w:t>
      </w:r>
      <w:r w:rsidR="0041254F">
        <w:t>could have a much wider impact</w:t>
      </w:r>
    </w:p>
    <w:p w14:paraId="57EA71D0" w14:textId="4B29018D" w:rsidR="0041254F" w:rsidRPr="00862CCD" w:rsidRDefault="0041254F" w:rsidP="001F4D79">
      <w:pPr>
        <w:pStyle w:val="CETListbullets"/>
        <w:numPr>
          <w:ilvl w:val="0"/>
          <w:numId w:val="13"/>
        </w:numPr>
      </w:pPr>
      <w:r w:rsidRPr="00F23E90">
        <w:t xml:space="preserve">Toxic dispersion: Hydrogen Fluoride, Ammonia, Hydrogen Sulphide, </w:t>
      </w:r>
      <w:r w:rsidR="00F23E90" w:rsidRPr="00F23E90">
        <w:t>etc.</w:t>
      </w:r>
    </w:p>
    <w:p w14:paraId="07A5509B" w14:textId="77777777" w:rsidR="00862CCD" w:rsidRPr="0041254F" w:rsidRDefault="00862CCD" w:rsidP="004625AD">
      <w:pPr>
        <w:pStyle w:val="CETBodytext"/>
        <w:rPr>
          <w:lang w:val="it-IT"/>
        </w:rPr>
      </w:pPr>
    </w:p>
    <w:p w14:paraId="53A3F2F8" w14:textId="46D7E837" w:rsidR="004625AD" w:rsidRPr="00271521" w:rsidRDefault="004625AD" w:rsidP="00271521">
      <w:pPr>
        <w:pStyle w:val="CETheadingx"/>
        <w:rPr>
          <w:lang w:val="en-GB"/>
        </w:rPr>
      </w:pPr>
      <w:r w:rsidRPr="00271521">
        <w:rPr>
          <w:lang w:val="en-GB"/>
        </w:rPr>
        <w:t>Inappropriate use of risk criteria</w:t>
      </w:r>
    </w:p>
    <w:p w14:paraId="53ACE517" w14:textId="18DE2CE6" w:rsidR="004625AD" w:rsidRPr="00271521" w:rsidRDefault="004625AD" w:rsidP="004625AD">
      <w:pPr>
        <w:pStyle w:val="CETBodytext"/>
        <w:rPr>
          <w:lang w:val="en-GB"/>
        </w:rPr>
      </w:pPr>
      <w:r w:rsidRPr="00271521">
        <w:rPr>
          <w:lang w:val="en-GB"/>
        </w:rPr>
        <w:t>Assessing a large group of people in terms of individual risk or targets may lead to a wrong risk assessment. Indeed, it is very different if we are analysing the scenario in terms of local risk (defined as the expected frequency of a given damage for a person permanently positioned in a specific point, with no possibility of being protected or evacuated), in terms of individual risk (defined as the expected frequency of a given damage for a person positioned in a specific point for a certain fraction of the total time, also considering its location with respect to the source of the damage and any protections present) or in terms of social risk (defined as the number of people who may be affected by a given damage, considering the number of people and the fraction of the total time that such people stay in one point, as well as their location with respect to the source of the damage and any protections present).</w:t>
      </w:r>
    </w:p>
    <w:p w14:paraId="2ADD8AC2" w14:textId="454479E6" w:rsidR="004625AD" w:rsidRDefault="004625AD" w:rsidP="004625AD">
      <w:pPr>
        <w:pStyle w:val="CETBodytext"/>
        <w:rPr>
          <w:lang w:val="en-GB"/>
        </w:rPr>
      </w:pPr>
      <w:r w:rsidRPr="00271521">
        <w:rPr>
          <w:lang w:val="en-GB"/>
        </w:rPr>
        <w:t xml:space="preserve">Another inappropriate use of risk criteria may be the use of too permissive (or too stringent) ones that could impact on the </w:t>
      </w:r>
      <w:proofErr w:type="gramStart"/>
      <w:r w:rsidRPr="00271521">
        <w:rPr>
          <w:lang w:val="en-GB"/>
        </w:rPr>
        <w:t>final results</w:t>
      </w:r>
      <w:proofErr w:type="gramEnd"/>
      <w:r w:rsidRPr="00271521">
        <w:rPr>
          <w:lang w:val="en-GB"/>
        </w:rPr>
        <w:t xml:space="preserve"> of the study.</w:t>
      </w:r>
    </w:p>
    <w:p w14:paraId="63768234" w14:textId="3B322C7A" w:rsidR="00B965BD" w:rsidRDefault="00456F5F" w:rsidP="00B965BD">
      <w:pPr>
        <w:pStyle w:val="CETBodytext"/>
        <w:rPr>
          <w:lang w:val="en-GB"/>
        </w:rPr>
      </w:pPr>
      <w:r>
        <w:rPr>
          <w:lang w:val="en-GB"/>
        </w:rPr>
        <w:t>In the following example, only individual risk was selected for decision making. But the impacted areas were very different, including sensitive elements with high occupancy. In this specific case individual risk cannot be taken as a reference, opting for Social Risk.</w:t>
      </w:r>
      <w:r w:rsidR="00B965BD" w:rsidRPr="00B965BD">
        <w:rPr>
          <w:lang w:val="en-GB"/>
        </w:rPr>
        <w:t xml:space="preserve"> </w:t>
      </w:r>
      <w:r w:rsidR="00B965BD">
        <w:rPr>
          <w:lang w:val="en-GB"/>
        </w:rPr>
        <w:t xml:space="preserve">Compared to the population exposed, the IR value of </w:t>
      </w:r>
      <w:r w:rsidR="00B965BD" w:rsidRPr="00456F5F">
        <w:t>8</w:t>
      </w:r>
      <w:r w:rsidR="00833A99">
        <w:t>.</w:t>
      </w:r>
      <w:r w:rsidR="00B965BD" w:rsidRPr="00456F5F">
        <w:t>93·10</w:t>
      </w:r>
      <w:r w:rsidR="00B965BD" w:rsidRPr="00456F5F">
        <w:rPr>
          <w:vertAlign w:val="superscript"/>
        </w:rPr>
        <w:t>-6</w:t>
      </w:r>
      <w:r w:rsidR="00B965BD">
        <w:rPr>
          <w:vertAlign w:val="superscript"/>
        </w:rPr>
        <w:t xml:space="preserve"> </w:t>
      </w:r>
      <w:r w:rsidR="00901531">
        <w:t xml:space="preserve">for the residential area-1 </w:t>
      </w:r>
      <w:r w:rsidR="00B965BD" w:rsidRPr="00B965BD">
        <w:t xml:space="preserve">cannot be </w:t>
      </w:r>
      <w:r w:rsidR="00B965BD">
        <w:t>considered acceptable, despite the lower frequency</w:t>
      </w:r>
      <w:r w:rsidR="00B32609">
        <w:t xml:space="preserve"> (</w:t>
      </w:r>
      <w:r w:rsidR="00B32609">
        <w:fldChar w:fldCharType="begin"/>
      </w:r>
      <w:r w:rsidR="00B32609">
        <w:instrText xml:space="preserve"> REF _Ref132724450 \h </w:instrText>
      </w:r>
      <w:r w:rsidR="00B32609">
        <w:fldChar w:fldCharType="separate"/>
      </w:r>
      <w:r w:rsidR="00901531">
        <w:t xml:space="preserve">Table </w:t>
      </w:r>
      <w:r w:rsidR="00901531">
        <w:rPr>
          <w:noProof/>
        </w:rPr>
        <w:t>3</w:t>
      </w:r>
      <w:r w:rsidR="00B32609">
        <w:fldChar w:fldCharType="end"/>
      </w:r>
      <w:r w:rsidR="00B32609">
        <w:t>)</w:t>
      </w:r>
      <w:r w:rsidR="00B965BD">
        <w:t>.</w:t>
      </w:r>
      <w:r w:rsidR="00B965BD">
        <w:rPr>
          <w:vertAlign w:val="superscript"/>
        </w:rPr>
        <w:t xml:space="preserve"> </w:t>
      </w:r>
    </w:p>
    <w:p w14:paraId="5FFD8B23" w14:textId="0474D995" w:rsidR="00FB6BAE" w:rsidRDefault="00FB6BAE" w:rsidP="00FB6BAE">
      <w:pPr>
        <w:pStyle w:val="CETTabletitle"/>
      </w:pPr>
      <w:bookmarkStart w:id="2" w:name="_Ref132724450"/>
      <w:r>
        <w:t xml:space="preserve">Table </w:t>
      </w:r>
      <w:r>
        <w:fldChar w:fldCharType="begin"/>
      </w:r>
      <w:r>
        <w:instrText xml:space="preserve"> SEQ Table \* ARABIC </w:instrText>
      </w:r>
      <w:r>
        <w:fldChar w:fldCharType="separate"/>
      </w:r>
      <w:r w:rsidR="00901531">
        <w:rPr>
          <w:noProof/>
        </w:rPr>
        <w:t>3</w:t>
      </w:r>
      <w:r>
        <w:fldChar w:fldCharType="end"/>
      </w:r>
      <w:bookmarkEnd w:id="2"/>
      <w:r w:rsidRPr="001C3C14">
        <w:t>: Individual Risk vs impacted people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275"/>
        <w:gridCol w:w="1843"/>
      </w:tblGrid>
      <w:tr w:rsidR="00456F5F" w:rsidRPr="00271521" w14:paraId="7A8362E7" w14:textId="77777777" w:rsidTr="00EE3D0B">
        <w:tc>
          <w:tcPr>
            <w:tcW w:w="2552" w:type="dxa"/>
            <w:tcBorders>
              <w:top w:val="single" w:sz="12" w:space="0" w:color="008000"/>
              <w:bottom w:val="single" w:sz="6" w:space="0" w:color="008000"/>
            </w:tcBorders>
            <w:shd w:val="clear" w:color="auto" w:fill="FFFFFF"/>
          </w:tcPr>
          <w:p w14:paraId="128B43CD" w14:textId="16695121" w:rsidR="00456F5F" w:rsidRPr="00271521" w:rsidRDefault="00B965BD" w:rsidP="00EE3D0B">
            <w:pPr>
              <w:pStyle w:val="CETBodytext"/>
              <w:rPr>
                <w:lang w:val="en-GB"/>
              </w:rPr>
            </w:pPr>
            <w:r>
              <w:rPr>
                <w:lang w:val="en-GB"/>
              </w:rPr>
              <w:t>Impacted Area</w:t>
            </w:r>
          </w:p>
        </w:tc>
        <w:tc>
          <w:tcPr>
            <w:tcW w:w="1275" w:type="dxa"/>
            <w:tcBorders>
              <w:top w:val="single" w:sz="12" w:space="0" w:color="008000"/>
              <w:bottom w:val="single" w:sz="6" w:space="0" w:color="008000"/>
            </w:tcBorders>
            <w:shd w:val="clear" w:color="auto" w:fill="FFFFFF"/>
          </w:tcPr>
          <w:p w14:paraId="03B4C846" w14:textId="0E829115" w:rsidR="00456F5F" w:rsidRPr="00271521" w:rsidRDefault="00B965BD" w:rsidP="00EE3D0B">
            <w:pPr>
              <w:pStyle w:val="CETBodytext"/>
              <w:jc w:val="center"/>
              <w:rPr>
                <w:lang w:val="en-GB"/>
              </w:rPr>
            </w:pPr>
            <w:r>
              <w:rPr>
                <w:lang w:val="en-GB"/>
              </w:rPr>
              <w:t>Population</w:t>
            </w:r>
          </w:p>
        </w:tc>
        <w:tc>
          <w:tcPr>
            <w:tcW w:w="1843" w:type="dxa"/>
            <w:tcBorders>
              <w:top w:val="single" w:sz="12" w:space="0" w:color="008000"/>
              <w:bottom w:val="single" w:sz="6" w:space="0" w:color="008000"/>
            </w:tcBorders>
            <w:shd w:val="clear" w:color="auto" w:fill="FFFFFF"/>
          </w:tcPr>
          <w:p w14:paraId="4973CCC4" w14:textId="14A0F569" w:rsidR="00456F5F" w:rsidRDefault="00B965BD" w:rsidP="00EE3D0B">
            <w:pPr>
              <w:pStyle w:val="CETBodytext"/>
              <w:jc w:val="center"/>
              <w:rPr>
                <w:lang w:val="en-GB"/>
              </w:rPr>
            </w:pPr>
            <w:r>
              <w:rPr>
                <w:lang w:val="en-GB"/>
              </w:rPr>
              <w:t>Individual Risk</w:t>
            </w:r>
          </w:p>
        </w:tc>
      </w:tr>
      <w:tr w:rsidR="00B965BD" w:rsidRPr="00271521" w14:paraId="642636D5" w14:textId="77777777" w:rsidTr="006645EC">
        <w:tc>
          <w:tcPr>
            <w:tcW w:w="2552" w:type="dxa"/>
            <w:shd w:val="clear" w:color="auto" w:fill="FFFFFF"/>
            <w:vAlign w:val="center"/>
          </w:tcPr>
          <w:p w14:paraId="1D7620BF" w14:textId="2A4C3BDF" w:rsidR="00B965BD" w:rsidRDefault="00B965BD" w:rsidP="00B965BD">
            <w:pPr>
              <w:pStyle w:val="CETBodytext"/>
              <w:ind w:right="-1"/>
              <w:rPr>
                <w:lang w:val="en-GB"/>
              </w:rPr>
            </w:pPr>
            <w:r w:rsidRPr="00456F5F">
              <w:t xml:space="preserve">Residential </w:t>
            </w:r>
            <w:proofErr w:type="gramStart"/>
            <w:r w:rsidRPr="00456F5F">
              <w:t>area-1</w:t>
            </w:r>
            <w:proofErr w:type="gramEnd"/>
          </w:p>
        </w:tc>
        <w:tc>
          <w:tcPr>
            <w:tcW w:w="1275" w:type="dxa"/>
            <w:shd w:val="clear" w:color="auto" w:fill="FFFFFF"/>
            <w:vAlign w:val="center"/>
          </w:tcPr>
          <w:p w14:paraId="57D2F75B" w14:textId="79A119D1" w:rsidR="00B965BD" w:rsidRPr="001D75D0" w:rsidRDefault="00B965BD" w:rsidP="00B965BD">
            <w:pPr>
              <w:pStyle w:val="CETBodytext"/>
              <w:ind w:right="-1"/>
              <w:jc w:val="center"/>
              <w:rPr>
                <w:lang w:val="en-GB"/>
              </w:rPr>
            </w:pPr>
            <w:r w:rsidRPr="00456F5F">
              <w:t>5</w:t>
            </w:r>
            <w:r w:rsidR="00833A99">
              <w:t>,</w:t>
            </w:r>
            <w:r w:rsidRPr="00456F5F">
              <w:t>000</w:t>
            </w:r>
          </w:p>
        </w:tc>
        <w:tc>
          <w:tcPr>
            <w:tcW w:w="1843" w:type="dxa"/>
            <w:shd w:val="clear" w:color="auto" w:fill="FFFFFF"/>
            <w:vAlign w:val="center"/>
          </w:tcPr>
          <w:p w14:paraId="53685232" w14:textId="73C4A8A6" w:rsidR="00B965BD" w:rsidRPr="001D75D0" w:rsidRDefault="00B965BD" w:rsidP="00B965BD">
            <w:pPr>
              <w:pStyle w:val="CETBodytext"/>
              <w:ind w:right="-1"/>
              <w:jc w:val="center"/>
              <w:rPr>
                <w:lang w:val="en-GB"/>
              </w:rPr>
            </w:pPr>
            <w:r w:rsidRPr="00456F5F">
              <w:t>8</w:t>
            </w:r>
            <w:r w:rsidR="00833A99">
              <w:t>.</w:t>
            </w:r>
            <w:r w:rsidRPr="00456F5F">
              <w:t>93·10</w:t>
            </w:r>
            <w:r w:rsidRPr="00456F5F">
              <w:rPr>
                <w:vertAlign w:val="superscript"/>
              </w:rPr>
              <w:t>-6</w:t>
            </w:r>
          </w:p>
        </w:tc>
      </w:tr>
      <w:tr w:rsidR="00B965BD" w:rsidRPr="00271521" w14:paraId="7979D5E5" w14:textId="77777777" w:rsidTr="006645EC">
        <w:tc>
          <w:tcPr>
            <w:tcW w:w="2552" w:type="dxa"/>
            <w:shd w:val="clear" w:color="auto" w:fill="FFFFFF"/>
            <w:vAlign w:val="center"/>
          </w:tcPr>
          <w:p w14:paraId="36DA8E87" w14:textId="520FB89D" w:rsidR="00B965BD" w:rsidRPr="00456F5F" w:rsidRDefault="00B965BD" w:rsidP="00B965BD">
            <w:pPr>
              <w:pStyle w:val="CETBodytext"/>
              <w:ind w:right="-1"/>
            </w:pPr>
            <w:r w:rsidRPr="00456F5F">
              <w:t>Public buildings</w:t>
            </w:r>
          </w:p>
        </w:tc>
        <w:tc>
          <w:tcPr>
            <w:tcW w:w="1275" w:type="dxa"/>
            <w:shd w:val="clear" w:color="auto" w:fill="FFFFFF"/>
            <w:vAlign w:val="center"/>
          </w:tcPr>
          <w:p w14:paraId="799A8FC1" w14:textId="402A33C8" w:rsidR="00B965BD" w:rsidRPr="00456F5F" w:rsidRDefault="00B965BD" w:rsidP="00B965BD">
            <w:pPr>
              <w:pStyle w:val="CETBodytext"/>
              <w:ind w:right="-1"/>
              <w:jc w:val="center"/>
            </w:pPr>
            <w:r w:rsidRPr="00456F5F">
              <w:t>200</w:t>
            </w:r>
          </w:p>
        </w:tc>
        <w:tc>
          <w:tcPr>
            <w:tcW w:w="1843" w:type="dxa"/>
            <w:shd w:val="clear" w:color="auto" w:fill="FFFFFF"/>
            <w:vAlign w:val="center"/>
          </w:tcPr>
          <w:p w14:paraId="3989E097" w14:textId="0253AED8" w:rsidR="00B965BD" w:rsidRPr="00456F5F" w:rsidRDefault="00B965BD" w:rsidP="00B965BD">
            <w:pPr>
              <w:pStyle w:val="CETBodytext"/>
              <w:ind w:right="-1"/>
              <w:jc w:val="center"/>
            </w:pPr>
            <w:r w:rsidRPr="00456F5F">
              <w:t>2</w:t>
            </w:r>
            <w:r w:rsidR="00833A99">
              <w:t>.</w:t>
            </w:r>
            <w:r w:rsidRPr="00456F5F">
              <w:t>09·10</w:t>
            </w:r>
            <w:r w:rsidRPr="00456F5F">
              <w:rPr>
                <w:vertAlign w:val="superscript"/>
              </w:rPr>
              <w:t>-4</w:t>
            </w:r>
          </w:p>
        </w:tc>
      </w:tr>
      <w:tr w:rsidR="00B965BD" w:rsidRPr="00271521" w14:paraId="55C87F0C" w14:textId="77777777" w:rsidTr="006645EC">
        <w:tc>
          <w:tcPr>
            <w:tcW w:w="2552" w:type="dxa"/>
            <w:shd w:val="clear" w:color="auto" w:fill="FFFFFF"/>
            <w:vAlign w:val="center"/>
          </w:tcPr>
          <w:p w14:paraId="134D56BF" w14:textId="07BEC9BA" w:rsidR="00B965BD" w:rsidRPr="00456F5F" w:rsidRDefault="00B965BD" w:rsidP="00B965BD">
            <w:pPr>
              <w:pStyle w:val="CETBodytext"/>
              <w:ind w:right="-1"/>
            </w:pPr>
            <w:r w:rsidRPr="00456F5F">
              <w:t xml:space="preserve">Residential </w:t>
            </w:r>
            <w:proofErr w:type="gramStart"/>
            <w:r w:rsidRPr="00456F5F">
              <w:t>area-2</w:t>
            </w:r>
            <w:proofErr w:type="gramEnd"/>
          </w:p>
        </w:tc>
        <w:tc>
          <w:tcPr>
            <w:tcW w:w="1275" w:type="dxa"/>
            <w:shd w:val="clear" w:color="auto" w:fill="FFFFFF"/>
            <w:vAlign w:val="center"/>
          </w:tcPr>
          <w:p w14:paraId="19058B9F" w14:textId="3D4D9A4B" w:rsidR="00B965BD" w:rsidRPr="00456F5F" w:rsidRDefault="00B965BD" w:rsidP="00B965BD">
            <w:pPr>
              <w:pStyle w:val="CETBodytext"/>
              <w:ind w:right="-1"/>
              <w:jc w:val="center"/>
            </w:pPr>
            <w:r w:rsidRPr="00456F5F">
              <w:t>100</w:t>
            </w:r>
          </w:p>
        </w:tc>
        <w:tc>
          <w:tcPr>
            <w:tcW w:w="1843" w:type="dxa"/>
            <w:shd w:val="clear" w:color="auto" w:fill="FFFFFF"/>
            <w:vAlign w:val="center"/>
          </w:tcPr>
          <w:p w14:paraId="04CA0904" w14:textId="1643177B" w:rsidR="00B965BD" w:rsidRPr="00456F5F" w:rsidRDefault="00B965BD" w:rsidP="00B965BD">
            <w:pPr>
              <w:pStyle w:val="CETBodytext"/>
              <w:ind w:right="-1"/>
              <w:jc w:val="center"/>
            </w:pPr>
            <w:r w:rsidRPr="00456F5F">
              <w:t>1</w:t>
            </w:r>
            <w:r w:rsidR="00833A99">
              <w:t>.</w:t>
            </w:r>
            <w:r w:rsidRPr="00456F5F">
              <w:t>89·10</w:t>
            </w:r>
            <w:r w:rsidRPr="00456F5F">
              <w:rPr>
                <w:vertAlign w:val="superscript"/>
              </w:rPr>
              <w:t>-5</w:t>
            </w:r>
          </w:p>
        </w:tc>
      </w:tr>
    </w:tbl>
    <w:p w14:paraId="26EA8AB5" w14:textId="77777777" w:rsidR="00456F5F" w:rsidRDefault="00456F5F" w:rsidP="004625AD">
      <w:pPr>
        <w:pStyle w:val="CETBodytext"/>
        <w:rPr>
          <w:lang w:val="en-GB"/>
        </w:rPr>
      </w:pPr>
    </w:p>
    <w:p w14:paraId="1021016E" w14:textId="26CA8F6C" w:rsidR="004625AD" w:rsidRPr="00271521" w:rsidRDefault="004625AD" w:rsidP="00271521">
      <w:pPr>
        <w:pStyle w:val="CETheadingx"/>
        <w:rPr>
          <w:lang w:val="en-GB"/>
        </w:rPr>
      </w:pPr>
      <w:r w:rsidRPr="00271521">
        <w:rPr>
          <w:lang w:val="en-GB"/>
        </w:rPr>
        <w:t>Inappropriate use of statistics</w:t>
      </w:r>
    </w:p>
    <w:p w14:paraId="32612D1F" w14:textId="678FD2C6" w:rsidR="002B7258" w:rsidRDefault="004625AD" w:rsidP="004625AD">
      <w:pPr>
        <w:pStyle w:val="CETBodytext"/>
        <w:rPr>
          <w:lang w:val="en-GB"/>
        </w:rPr>
      </w:pPr>
      <w:r w:rsidRPr="00271521">
        <w:rPr>
          <w:lang w:val="en-GB"/>
        </w:rPr>
        <w:t>When a Probability of Failure on Demand is required (e.g., for a Fault Tree Analysis), the data of interest are often extracted from generic libraries (</w:t>
      </w:r>
      <w:r w:rsidR="00B32609">
        <w:rPr>
          <w:lang w:val="en-GB"/>
        </w:rPr>
        <w:t xml:space="preserve">e.g., TNO </w:t>
      </w:r>
      <w:r w:rsidRPr="00271521">
        <w:rPr>
          <w:lang w:val="en-GB"/>
        </w:rPr>
        <w:t>Red Book</w:t>
      </w:r>
      <w:r w:rsidR="00B32609">
        <w:rPr>
          <w:lang w:val="en-GB"/>
        </w:rPr>
        <w:t>, 2005</w:t>
      </w:r>
      <w:r w:rsidRPr="00271521">
        <w:rPr>
          <w:lang w:val="en-GB"/>
        </w:rPr>
        <w:t xml:space="preserve">), but that data could not </w:t>
      </w:r>
      <w:proofErr w:type="gramStart"/>
      <w:r w:rsidRPr="00271521">
        <w:rPr>
          <w:lang w:val="en-GB"/>
        </w:rPr>
        <w:t>take into account</w:t>
      </w:r>
      <w:proofErr w:type="gramEnd"/>
      <w:r w:rsidRPr="00271521">
        <w:rPr>
          <w:lang w:val="en-GB"/>
        </w:rPr>
        <w:t xml:space="preserve"> specific situation of our case (lack of maintenance, high corrosivity field, etc</w:t>
      </w:r>
      <w:r w:rsidR="00B32609">
        <w:rPr>
          <w:lang w:val="en-GB"/>
        </w:rPr>
        <w:t>.</w:t>
      </w:r>
      <w:r w:rsidRPr="00271521">
        <w:rPr>
          <w:lang w:val="en-GB"/>
        </w:rPr>
        <w:t>)</w:t>
      </w:r>
      <w:r w:rsidR="00B32609">
        <w:rPr>
          <w:lang w:val="en-GB"/>
        </w:rPr>
        <w:t>; i</w:t>
      </w:r>
      <w:r w:rsidRPr="00271521">
        <w:rPr>
          <w:lang w:val="en-GB"/>
        </w:rPr>
        <w:t xml:space="preserve">t is always a better option, if possible, to use specific data. </w:t>
      </w:r>
    </w:p>
    <w:p w14:paraId="5D40A157" w14:textId="02D4A240" w:rsidR="004625AD" w:rsidRDefault="004625AD" w:rsidP="004625AD">
      <w:pPr>
        <w:pStyle w:val="CETBodytext"/>
        <w:rPr>
          <w:lang w:val="en-GB"/>
        </w:rPr>
      </w:pPr>
      <w:r w:rsidRPr="00271521">
        <w:rPr>
          <w:lang w:val="en-GB"/>
        </w:rPr>
        <w:t>Of course, specific data are not always available, in this case it is important to enquire whether the numbers that are going to be used are reliable or not.</w:t>
      </w:r>
    </w:p>
    <w:p w14:paraId="674DD72E" w14:textId="16CC7353" w:rsidR="00F23E90" w:rsidRDefault="00B32609" w:rsidP="004625AD">
      <w:pPr>
        <w:pStyle w:val="CETBodytext"/>
        <w:rPr>
          <w:lang w:val="en-GB"/>
        </w:rPr>
      </w:pPr>
      <w:r>
        <w:rPr>
          <w:lang w:val="en-GB"/>
        </w:rPr>
        <w:lastRenderedPageBreak/>
        <w:fldChar w:fldCharType="begin"/>
      </w:r>
      <w:r>
        <w:rPr>
          <w:lang w:val="en-GB"/>
        </w:rPr>
        <w:instrText xml:space="preserve"> REF _Ref132724971 \h </w:instrText>
      </w:r>
      <w:r>
        <w:rPr>
          <w:lang w:val="en-GB"/>
        </w:rPr>
      </w:r>
      <w:r>
        <w:rPr>
          <w:lang w:val="en-GB"/>
        </w:rPr>
        <w:fldChar w:fldCharType="separate"/>
      </w:r>
      <w:r w:rsidR="00901531">
        <w:t xml:space="preserve">Table </w:t>
      </w:r>
      <w:r w:rsidR="00901531">
        <w:rPr>
          <w:noProof/>
        </w:rPr>
        <w:t>4</w:t>
      </w:r>
      <w:r>
        <w:rPr>
          <w:lang w:val="en-GB"/>
        </w:rPr>
        <w:fldChar w:fldCharType="end"/>
      </w:r>
      <w:r w:rsidR="00F23E90">
        <w:rPr>
          <w:lang w:val="en-GB"/>
        </w:rPr>
        <w:t xml:space="preserve"> shows how a wrong selection of data could lead to different results.</w:t>
      </w:r>
      <w:r w:rsidR="00874F42">
        <w:rPr>
          <w:lang w:val="en-GB"/>
        </w:rPr>
        <w:t xml:space="preserve"> Choosing the lower bound value instead of the </w:t>
      </w:r>
      <w:r w:rsidR="005D315B">
        <w:rPr>
          <w:lang w:val="en-GB"/>
        </w:rPr>
        <w:t>upper bound would lead to a 2 order of magnitude difference in frequency of the event.</w:t>
      </w:r>
    </w:p>
    <w:p w14:paraId="1401D2D0" w14:textId="567F0535" w:rsidR="00B32609" w:rsidRDefault="00B32609" w:rsidP="00B32609">
      <w:pPr>
        <w:pStyle w:val="CETTabletitle"/>
      </w:pPr>
      <w:bookmarkStart w:id="3" w:name="_Ref132724971"/>
      <w:r>
        <w:t xml:space="preserve">Table </w:t>
      </w:r>
      <w:r>
        <w:fldChar w:fldCharType="begin"/>
      </w:r>
      <w:r>
        <w:instrText xml:space="preserve"> SEQ Table \* ARABIC </w:instrText>
      </w:r>
      <w:r>
        <w:fldChar w:fldCharType="separate"/>
      </w:r>
      <w:r w:rsidR="00901531">
        <w:rPr>
          <w:noProof/>
        </w:rPr>
        <w:t>4</w:t>
      </w:r>
      <w:r>
        <w:fldChar w:fldCharType="end"/>
      </w:r>
      <w:bookmarkEnd w:id="3"/>
      <w:r w:rsidRPr="00915F55">
        <w:t>: Failure rate data</w:t>
      </w:r>
      <w:r>
        <w:t xml:space="preserve"> (</w:t>
      </w:r>
      <w:r w:rsidRPr="00915F55">
        <w:t>TNO Red Book</w:t>
      </w:r>
      <w:r>
        <w:t>, 2005)</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686"/>
        <w:gridCol w:w="1843"/>
        <w:gridCol w:w="1559"/>
        <w:gridCol w:w="1699"/>
      </w:tblGrid>
      <w:tr w:rsidR="00874F42" w:rsidRPr="00271521" w14:paraId="53B925B9" w14:textId="0EF8A9D5" w:rsidTr="00874F42">
        <w:tc>
          <w:tcPr>
            <w:tcW w:w="3686" w:type="dxa"/>
            <w:tcBorders>
              <w:top w:val="single" w:sz="12" w:space="0" w:color="008000"/>
              <w:bottom w:val="single" w:sz="6" w:space="0" w:color="008000"/>
            </w:tcBorders>
            <w:shd w:val="clear" w:color="auto" w:fill="FFFFFF"/>
          </w:tcPr>
          <w:p w14:paraId="38EEFC25" w14:textId="29757C2C" w:rsidR="00874F42" w:rsidRPr="00271521" w:rsidRDefault="00874F42" w:rsidP="00874F42">
            <w:pPr>
              <w:pStyle w:val="CETBodytext"/>
              <w:jc w:val="center"/>
              <w:rPr>
                <w:lang w:val="en-GB"/>
              </w:rPr>
            </w:pPr>
            <w:r>
              <w:rPr>
                <w:lang w:val="en-GB"/>
              </w:rPr>
              <w:t>Element</w:t>
            </w:r>
          </w:p>
        </w:tc>
        <w:tc>
          <w:tcPr>
            <w:tcW w:w="1843" w:type="dxa"/>
            <w:tcBorders>
              <w:top w:val="single" w:sz="12" w:space="0" w:color="008000"/>
              <w:bottom w:val="single" w:sz="6" w:space="0" w:color="008000"/>
            </w:tcBorders>
            <w:shd w:val="clear" w:color="auto" w:fill="FFFFFF"/>
            <w:vAlign w:val="center"/>
          </w:tcPr>
          <w:p w14:paraId="434BF314" w14:textId="40AC2D09" w:rsidR="00874F42" w:rsidRPr="00271521" w:rsidRDefault="00874F42" w:rsidP="00874F42">
            <w:pPr>
              <w:pStyle w:val="CETBodytext"/>
              <w:jc w:val="center"/>
              <w:rPr>
                <w:lang w:val="en-GB"/>
              </w:rPr>
            </w:pPr>
            <w:r w:rsidRPr="00874F42">
              <w:rPr>
                <w:lang w:val="en-GB"/>
              </w:rPr>
              <w:t>Lower bound (h</w:t>
            </w:r>
            <w:r w:rsidRPr="00833A99">
              <w:rPr>
                <w:vertAlign w:val="superscript"/>
                <w:lang w:val="en-GB"/>
              </w:rPr>
              <w:t>-1</w:t>
            </w:r>
            <w:r w:rsidRPr="00874F42">
              <w:rPr>
                <w:lang w:val="en-GB"/>
              </w:rPr>
              <w:t xml:space="preserve">) </w:t>
            </w:r>
          </w:p>
        </w:tc>
        <w:tc>
          <w:tcPr>
            <w:tcW w:w="1559" w:type="dxa"/>
            <w:tcBorders>
              <w:top w:val="single" w:sz="12" w:space="0" w:color="008000"/>
              <w:bottom w:val="single" w:sz="6" w:space="0" w:color="008000"/>
            </w:tcBorders>
            <w:shd w:val="clear" w:color="auto" w:fill="FFFFFF"/>
            <w:vAlign w:val="center"/>
          </w:tcPr>
          <w:p w14:paraId="23C84B0C" w14:textId="28487F26" w:rsidR="00874F42" w:rsidRPr="00271521" w:rsidRDefault="00874F42" w:rsidP="00874F42">
            <w:pPr>
              <w:pStyle w:val="CETBodytext"/>
              <w:jc w:val="center"/>
              <w:rPr>
                <w:lang w:val="en-GB"/>
              </w:rPr>
            </w:pPr>
            <w:r w:rsidRPr="00874F42">
              <w:rPr>
                <w:lang w:val="en-GB"/>
              </w:rPr>
              <w:t>Median value (h</w:t>
            </w:r>
            <w:r w:rsidRPr="00833A99">
              <w:rPr>
                <w:vertAlign w:val="superscript"/>
                <w:lang w:val="en-GB"/>
              </w:rPr>
              <w:t>-1</w:t>
            </w:r>
            <w:r w:rsidRPr="00874F42">
              <w:rPr>
                <w:lang w:val="en-GB"/>
              </w:rPr>
              <w:t>)</w:t>
            </w:r>
          </w:p>
        </w:tc>
        <w:tc>
          <w:tcPr>
            <w:tcW w:w="1699" w:type="dxa"/>
            <w:tcBorders>
              <w:top w:val="single" w:sz="12" w:space="0" w:color="008000"/>
              <w:bottom w:val="single" w:sz="6" w:space="0" w:color="008000"/>
            </w:tcBorders>
            <w:shd w:val="clear" w:color="auto" w:fill="FFFFFF"/>
            <w:vAlign w:val="center"/>
          </w:tcPr>
          <w:p w14:paraId="74981AB4" w14:textId="00429639" w:rsidR="00874F42" w:rsidRPr="00271521" w:rsidRDefault="00874F42" w:rsidP="00874F42">
            <w:pPr>
              <w:pStyle w:val="CETBodytext"/>
              <w:jc w:val="center"/>
              <w:rPr>
                <w:lang w:val="en-GB"/>
              </w:rPr>
            </w:pPr>
            <w:r w:rsidRPr="00874F42">
              <w:rPr>
                <w:lang w:val="en-GB"/>
              </w:rPr>
              <w:t>Upper bound (h</w:t>
            </w:r>
            <w:r w:rsidRPr="00833A99">
              <w:rPr>
                <w:vertAlign w:val="superscript"/>
                <w:lang w:val="en-GB"/>
              </w:rPr>
              <w:t>-1</w:t>
            </w:r>
            <w:r w:rsidRPr="00874F42">
              <w:rPr>
                <w:lang w:val="en-GB"/>
              </w:rPr>
              <w:t>)</w:t>
            </w:r>
          </w:p>
        </w:tc>
      </w:tr>
      <w:tr w:rsidR="00874F42" w:rsidRPr="00271521" w14:paraId="4B7C7356" w14:textId="3F97D498" w:rsidTr="00874F42">
        <w:tc>
          <w:tcPr>
            <w:tcW w:w="3686" w:type="dxa"/>
            <w:shd w:val="clear" w:color="auto" w:fill="FFFFFF"/>
            <w:vAlign w:val="center"/>
          </w:tcPr>
          <w:p w14:paraId="00E913C9" w14:textId="667CC33E" w:rsidR="00874F42" w:rsidRPr="00271521" w:rsidRDefault="00874F42" w:rsidP="00874F42">
            <w:pPr>
              <w:pStyle w:val="CETBodytext"/>
              <w:jc w:val="left"/>
              <w:rPr>
                <w:lang w:val="en-GB"/>
              </w:rPr>
            </w:pPr>
            <w:r w:rsidRPr="00874F42">
              <w:rPr>
                <w:lang w:val="en-GB"/>
              </w:rPr>
              <w:t>Pressure sensor</w:t>
            </w:r>
            <w:r>
              <w:rPr>
                <w:lang w:val="en-GB"/>
              </w:rPr>
              <w:t>, fails</w:t>
            </w:r>
            <w:r w:rsidRPr="00874F42">
              <w:rPr>
                <w:lang w:val="en-GB"/>
              </w:rPr>
              <w:t xml:space="preserve"> to operate </w:t>
            </w:r>
          </w:p>
        </w:tc>
        <w:tc>
          <w:tcPr>
            <w:tcW w:w="1843" w:type="dxa"/>
            <w:shd w:val="clear" w:color="auto" w:fill="FFFFFF"/>
            <w:vAlign w:val="center"/>
          </w:tcPr>
          <w:p w14:paraId="08A8B6E0" w14:textId="257CC0F9" w:rsidR="00874F42" w:rsidRPr="00271521" w:rsidRDefault="00874F42" w:rsidP="00874F42">
            <w:pPr>
              <w:pStyle w:val="CETBodytext"/>
              <w:jc w:val="center"/>
              <w:rPr>
                <w:lang w:val="en-GB"/>
              </w:rPr>
            </w:pPr>
            <w:r w:rsidRPr="00874F42">
              <w:rPr>
                <w:lang w:val="en-GB"/>
              </w:rPr>
              <w:t>6</w:t>
            </w:r>
            <w:r w:rsidR="00833A99">
              <w:rPr>
                <w:lang w:val="en-GB"/>
              </w:rPr>
              <w:t>.</w:t>
            </w:r>
            <w:r w:rsidRPr="00874F42">
              <w:rPr>
                <w:lang w:val="en-GB"/>
              </w:rPr>
              <w:t>5·10</w:t>
            </w:r>
            <w:r w:rsidRPr="00833A99">
              <w:rPr>
                <w:vertAlign w:val="superscript"/>
                <w:lang w:val="en-GB"/>
              </w:rPr>
              <w:t>-8</w:t>
            </w:r>
          </w:p>
        </w:tc>
        <w:tc>
          <w:tcPr>
            <w:tcW w:w="1559" w:type="dxa"/>
            <w:shd w:val="clear" w:color="auto" w:fill="FFFFFF"/>
            <w:vAlign w:val="center"/>
          </w:tcPr>
          <w:p w14:paraId="22E30300" w14:textId="64F40B4C" w:rsidR="00874F42" w:rsidRPr="00271521" w:rsidRDefault="00874F42" w:rsidP="00874F42">
            <w:pPr>
              <w:pStyle w:val="CETBodytext"/>
              <w:jc w:val="center"/>
              <w:rPr>
                <w:lang w:val="en-GB"/>
              </w:rPr>
            </w:pPr>
            <w:r w:rsidRPr="00874F42">
              <w:rPr>
                <w:lang w:val="en-GB"/>
              </w:rPr>
              <w:t>3</w:t>
            </w:r>
            <w:r w:rsidR="00833A99">
              <w:rPr>
                <w:lang w:val="en-GB"/>
              </w:rPr>
              <w:t>.</w:t>
            </w:r>
            <w:r w:rsidRPr="00874F42">
              <w:rPr>
                <w:lang w:val="en-GB"/>
              </w:rPr>
              <w:t>2·10</w:t>
            </w:r>
            <w:r w:rsidRPr="00833A99">
              <w:rPr>
                <w:vertAlign w:val="superscript"/>
                <w:lang w:val="en-GB"/>
              </w:rPr>
              <w:t>-7</w:t>
            </w:r>
          </w:p>
        </w:tc>
        <w:tc>
          <w:tcPr>
            <w:tcW w:w="1699" w:type="dxa"/>
            <w:shd w:val="clear" w:color="auto" w:fill="FFFFFF"/>
            <w:vAlign w:val="center"/>
          </w:tcPr>
          <w:p w14:paraId="3EC392ED" w14:textId="49459201" w:rsidR="00874F42" w:rsidRPr="00271521" w:rsidRDefault="00874F42" w:rsidP="00874F42">
            <w:pPr>
              <w:pStyle w:val="CETBodytext"/>
              <w:jc w:val="center"/>
              <w:rPr>
                <w:lang w:val="en-GB"/>
              </w:rPr>
            </w:pPr>
            <w:r w:rsidRPr="00874F42">
              <w:rPr>
                <w:lang w:val="en-GB"/>
              </w:rPr>
              <w:t>1</w:t>
            </w:r>
            <w:r w:rsidR="00833A99">
              <w:rPr>
                <w:lang w:val="en-GB"/>
              </w:rPr>
              <w:t>.</w:t>
            </w:r>
            <w:r w:rsidRPr="00874F42">
              <w:rPr>
                <w:lang w:val="en-GB"/>
              </w:rPr>
              <w:t>6·10</w:t>
            </w:r>
            <w:r w:rsidRPr="00833A99">
              <w:rPr>
                <w:vertAlign w:val="superscript"/>
                <w:lang w:val="en-GB"/>
              </w:rPr>
              <w:t>-6</w:t>
            </w:r>
          </w:p>
        </w:tc>
      </w:tr>
      <w:tr w:rsidR="00874F42" w:rsidRPr="00271521" w14:paraId="234F74C0" w14:textId="0A2C5BE7" w:rsidTr="00874F42">
        <w:tc>
          <w:tcPr>
            <w:tcW w:w="3686" w:type="dxa"/>
            <w:shd w:val="clear" w:color="auto" w:fill="FFFFFF"/>
            <w:vAlign w:val="center"/>
          </w:tcPr>
          <w:p w14:paraId="006185EC" w14:textId="4E72390C" w:rsidR="00874F42" w:rsidRPr="00271521" w:rsidRDefault="00874F42" w:rsidP="00874F42">
            <w:pPr>
              <w:pStyle w:val="CETBodytext"/>
              <w:jc w:val="left"/>
              <w:rPr>
                <w:rFonts w:cs="Arial"/>
                <w:szCs w:val="18"/>
                <w:lang w:val="en-GB"/>
              </w:rPr>
            </w:pPr>
            <w:r w:rsidRPr="00874F42">
              <w:rPr>
                <w:lang w:val="en-GB"/>
              </w:rPr>
              <w:t>Safety valve, pilot operated</w:t>
            </w:r>
            <w:r>
              <w:rPr>
                <w:lang w:val="en-GB"/>
              </w:rPr>
              <w:t xml:space="preserve">, </w:t>
            </w:r>
            <w:r w:rsidRPr="00874F42">
              <w:rPr>
                <w:lang w:val="en-GB"/>
              </w:rPr>
              <w:t>fails to open</w:t>
            </w:r>
          </w:p>
        </w:tc>
        <w:tc>
          <w:tcPr>
            <w:tcW w:w="1843" w:type="dxa"/>
            <w:shd w:val="clear" w:color="auto" w:fill="FFFFFF"/>
            <w:vAlign w:val="center"/>
          </w:tcPr>
          <w:p w14:paraId="385B5818" w14:textId="366E60B9" w:rsidR="00874F42" w:rsidRPr="00271521" w:rsidRDefault="00874F42" w:rsidP="00874F42">
            <w:pPr>
              <w:pStyle w:val="CETBodytext"/>
              <w:ind w:right="-1"/>
              <w:jc w:val="center"/>
              <w:rPr>
                <w:rFonts w:cs="Arial"/>
                <w:szCs w:val="18"/>
                <w:lang w:val="en-GB"/>
              </w:rPr>
            </w:pPr>
            <w:r w:rsidRPr="00874F42">
              <w:rPr>
                <w:lang w:val="en-GB"/>
              </w:rPr>
              <w:t>1</w:t>
            </w:r>
            <w:r w:rsidR="00833A99">
              <w:rPr>
                <w:lang w:val="en-GB"/>
              </w:rPr>
              <w:t>.</w:t>
            </w:r>
            <w:r w:rsidRPr="00874F42">
              <w:rPr>
                <w:lang w:val="en-GB"/>
              </w:rPr>
              <w:t>0·10</w:t>
            </w:r>
            <w:r w:rsidRPr="00833A99">
              <w:rPr>
                <w:vertAlign w:val="superscript"/>
                <w:lang w:val="en-GB"/>
              </w:rPr>
              <w:t>-8</w:t>
            </w:r>
          </w:p>
        </w:tc>
        <w:tc>
          <w:tcPr>
            <w:tcW w:w="1559" w:type="dxa"/>
            <w:shd w:val="clear" w:color="auto" w:fill="FFFFFF"/>
            <w:vAlign w:val="center"/>
          </w:tcPr>
          <w:p w14:paraId="327D60AF" w14:textId="30E9971F" w:rsidR="00874F42" w:rsidRPr="00271521" w:rsidRDefault="00874F42" w:rsidP="00874F42">
            <w:pPr>
              <w:pStyle w:val="CETBodytext"/>
              <w:ind w:right="-1"/>
              <w:jc w:val="center"/>
              <w:rPr>
                <w:lang w:val="en-GB"/>
              </w:rPr>
            </w:pPr>
            <w:r w:rsidRPr="00874F42">
              <w:rPr>
                <w:lang w:val="en-GB"/>
              </w:rPr>
              <w:t>1</w:t>
            </w:r>
            <w:r w:rsidR="00833A99">
              <w:rPr>
                <w:lang w:val="en-GB"/>
              </w:rPr>
              <w:t>.</w:t>
            </w:r>
            <w:r w:rsidRPr="00874F42">
              <w:rPr>
                <w:lang w:val="en-GB"/>
              </w:rPr>
              <w:t>3·10</w:t>
            </w:r>
            <w:r w:rsidRPr="00833A99">
              <w:rPr>
                <w:vertAlign w:val="superscript"/>
                <w:lang w:val="en-GB"/>
              </w:rPr>
              <w:t>-7</w:t>
            </w:r>
          </w:p>
        </w:tc>
        <w:tc>
          <w:tcPr>
            <w:tcW w:w="1699" w:type="dxa"/>
            <w:shd w:val="clear" w:color="auto" w:fill="FFFFFF"/>
            <w:vAlign w:val="center"/>
          </w:tcPr>
          <w:p w14:paraId="62CE6184" w14:textId="2CB07BAA" w:rsidR="00874F42" w:rsidRPr="00271521" w:rsidRDefault="00874F42" w:rsidP="00874F42">
            <w:pPr>
              <w:pStyle w:val="CETBodytext"/>
              <w:ind w:right="-1"/>
              <w:jc w:val="center"/>
              <w:rPr>
                <w:lang w:val="en-GB"/>
              </w:rPr>
            </w:pPr>
            <w:r w:rsidRPr="00874F42">
              <w:rPr>
                <w:lang w:val="en-GB"/>
              </w:rPr>
              <w:t>1</w:t>
            </w:r>
            <w:r w:rsidR="00833A99">
              <w:rPr>
                <w:lang w:val="en-GB"/>
              </w:rPr>
              <w:t>.</w:t>
            </w:r>
            <w:r w:rsidRPr="00874F42">
              <w:rPr>
                <w:lang w:val="en-GB"/>
              </w:rPr>
              <w:t>8·10</w:t>
            </w:r>
            <w:r w:rsidRPr="00833A99">
              <w:rPr>
                <w:vertAlign w:val="superscript"/>
                <w:lang w:val="en-GB"/>
              </w:rPr>
              <w:t>-6</w:t>
            </w:r>
          </w:p>
        </w:tc>
      </w:tr>
      <w:tr w:rsidR="00874F42" w:rsidRPr="00271521" w14:paraId="0F310EFB" w14:textId="603BB89D" w:rsidTr="00874F42">
        <w:tc>
          <w:tcPr>
            <w:tcW w:w="3686" w:type="dxa"/>
            <w:shd w:val="clear" w:color="auto" w:fill="FFFFFF"/>
            <w:vAlign w:val="center"/>
          </w:tcPr>
          <w:p w14:paraId="3A3EBE6B" w14:textId="5303BFA9" w:rsidR="00874F42" w:rsidRPr="00271521" w:rsidRDefault="00874F42" w:rsidP="00874F42">
            <w:pPr>
              <w:pStyle w:val="CETBodytext"/>
              <w:ind w:right="-1"/>
              <w:jc w:val="left"/>
              <w:rPr>
                <w:rFonts w:cs="Arial"/>
                <w:szCs w:val="18"/>
                <w:lang w:val="en-GB"/>
              </w:rPr>
            </w:pPr>
            <w:r w:rsidRPr="00874F42">
              <w:rPr>
                <w:lang w:val="en-GB"/>
              </w:rPr>
              <w:t>Pipe D &lt; 75 mm Leakage</w:t>
            </w:r>
          </w:p>
        </w:tc>
        <w:tc>
          <w:tcPr>
            <w:tcW w:w="1843" w:type="dxa"/>
            <w:shd w:val="clear" w:color="auto" w:fill="FFFFFF"/>
            <w:vAlign w:val="center"/>
          </w:tcPr>
          <w:p w14:paraId="141BF274" w14:textId="0D8A9932" w:rsidR="00874F42" w:rsidRPr="00271521" w:rsidRDefault="00874F42" w:rsidP="00874F42">
            <w:pPr>
              <w:pStyle w:val="CETBodytext"/>
              <w:ind w:right="-1"/>
              <w:jc w:val="center"/>
              <w:rPr>
                <w:rFonts w:cs="Arial"/>
                <w:szCs w:val="18"/>
                <w:lang w:val="en-GB"/>
              </w:rPr>
            </w:pPr>
            <w:r w:rsidRPr="00874F42">
              <w:rPr>
                <w:lang w:val="en-GB"/>
              </w:rPr>
              <w:t>2</w:t>
            </w:r>
            <w:r w:rsidR="00833A99">
              <w:rPr>
                <w:lang w:val="en-GB"/>
              </w:rPr>
              <w:t>.</w:t>
            </w:r>
            <w:r w:rsidRPr="00874F42">
              <w:rPr>
                <w:lang w:val="en-GB"/>
              </w:rPr>
              <w:t>1 10</w:t>
            </w:r>
            <w:r w:rsidRPr="00833A99">
              <w:rPr>
                <w:vertAlign w:val="superscript"/>
                <w:lang w:val="en-GB"/>
              </w:rPr>
              <w:t>-11</w:t>
            </w:r>
          </w:p>
        </w:tc>
        <w:tc>
          <w:tcPr>
            <w:tcW w:w="1559" w:type="dxa"/>
            <w:shd w:val="clear" w:color="auto" w:fill="FFFFFF"/>
            <w:vAlign w:val="center"/>
          </w:tcPr>
          <w:p w14:paraId="6925C2EF" w14:textId="0E78F100" w:rsidR="00874F42" w:rsidRPr="00271521" w:rsidRDefault="00874F42" w:rsidP="00874F42">
            <w:pPr>
              <w:pStyle w:val="CETBodytext"/>
              <w:ind w:right="-1"/>
              <w:jc w:val="center"/>
              <w:rPr>
                <w:lang w:val="en-GB"/>
              </w:rPr>
            </w:pPr>
            <w:r w:rsidRPr="00874F42">
              <w:rPr>
                <w:lang w:val="en-GB"/>
              </w:rPr>
              <w:t>2</w:t>
            </w:r>
            <w:r w:rsidR="00833A99">
              <w:rPr>
                <w:lang w:val="en-GB"/>
              </w:rPr>
              <w:t>.</w:t>
            </w:r>
            <w:r w:rsidRPr="00874F42">
              <w:rPr>
                <w:lang w:val="en-GB"/>
              </w:rPr>
              <w:t>1 10</w:t>
            </w:r>
            <w:r w:rsidRPr="00833A99">
              <w:rPr>
                <w:vertAlign w:val="superscript"/>
                <w:lang w:val="en-GB"/>
              </w:rPr>
              <w:t>-10</w:t>
            </w:r>
          </w:p>
        </w:tc>
        <w:tc>
          <w:tcPr>
            <w:tcW w:w="1699" w:type="dxa"/>
            <w:shd w:val="clear" w:color="auto" w:fill="FFFFFF"/>
            <w:vAlign w:val="center"/>
          </w:tcPr>
          <w:p w14:paraId="6E2642B0" w14:textId="49EA90FE" w:rsidR="00874F42" w:rsidRPr="00271521" w:rsidRDefault="00874F42" w:rsidP="00874F42">
            <w:pPr>
              <w:pStyle w:val="CETBodytext"/>
              <w:ind w:right="-1"/>
              <w:jc w:val="center"/>
              <w:rPr>
                <w:lang w:val="en-GB"/>
              </w:rPr>
            </w:pPr>
            <w:r w:rsidRPr="00874F42">
              <w:rPr>
                <w:lang w:val="en-GB"/>
              </w:rPr>
              <w:t>2</w:t>
            </w:r>
            <w:r w:rsidR="00833A99">
              <w:rPr>
                <w:lang w:val="en-GB"/>
              </w:rPr>
              <w:t>.</w:t>
            </w:r>
            <w:r w:rsidRPr="00874F42">
              <w:rPr>
                <w:lang w:val="en-GB"/>
              </w:rPr>
              <w:t>1 10</w:t>
            </w:r>
            <w:r w:rsidRPr="00833A99">
              <w:rPr>
                <w:vertAlign w:val="superscript"/>
                <w:lang w:val="en-GB"/>
              </w:rPr>
              <w:t>-9</w:t>
            </w:r>
          </w:p>
        </w:tc>
      </w:tr>
    </w:tbl>
    <w:p w14:paraId="69BA6E5E" w14:textId="77777777" w:rsidR="00874F42" w:rsidRDefault="00874F42" w:rsidP="004625AD">
      <w:pPr>
        <w:pStyle w:val="CETBodytext"/>
        <w:rPr>
          <w:lang w:val="en-GB"/>
        </w:rPr>
      </w:pPr>
    </w:p>
    <w:p w14:paraId="4E396D8A" w14:textId="2853F374" w:rsidR="00113E8B" w:rsidRDefault="00113E8B" w:rsidP="00113E8B">
      <w:pPr>
        <w:pStyle w:val="CETheadingx"/>
        <w:rPr>
          <w:lang w:val="en-GB"/>
        </w:rPr>
      </w:pPr>
      <w:r>
        <w:rPr>
          <w:lang w:val="en-GB"/>
        </w:rPr>
        <w:t>Inappropriate use of results</w:t>
      </w:r>
    </w:p>
    <w:p w14:paraId="1DD804A3" w14:textId="5BC37426" w:rsidR="002B7258" w:rsidRDefault="00113E8B" w:rsidP="004625AD">
      <w:pPr>
        <w:pStyle w:val="CETBodytext"/>
        <w:rPr>
          <w:lang w:val="en-GB"/>
        </w:rPr>
      </w:pPr>
      <w:r>
        <w:rPr>
          <w:lang w:val="en-GB"/>
        </w:rPr>
        <w:t xml:space="preserve">It shall be never forgotten </w:t>
      </w:r>
      <w:r w:rsidR="00B32609">
        <w:rPr>
          <w:lang w:val="en-GB"/>
        </w:rPr>
        <w:t>that</w:t>
      </w:r>
      <w:r>
        <w:rPr>
          <w:lang w:val="en-GB"/>
        </w:rPr>
        <w:t xml:space="preserve"> the QRA methodology</w:t>
      </w:r>
      <w:r w:rsidR="00B32609">
        <w:rPr>
          <w:lang w:val="en-GB"/>
        </w:rPr>
        <w:t xml:space="preserve">, </w:t>
      </w:r>
      <w:r w:rsidR="00B32609">
        <w:rPr>
          <w:lang w:val="en-GB"/>
        </w:rPr>
        <w:t>despites all precision efforts</w:t>
      </w:r>
      <w:r w:rsidR="00B32609">
        <w:rPr>
          <w:lang w:val="en-GB"/>
        </w:rPr>
        <w:t>,</w:t>
      </w:r>
      <w:r>
        <w:rPr>
          <w:lang w:val="en-GB"/>
        </w:rPr>
        <w:t xml:space="preserve"> is based on statistical data and </w:t>
      </w:r>
      <w:r w:rsidR="002B7258">
        <w:rPr>
          <w:lang w:val="en-GB"/>
        </w:rPr>
        <w:t>assumptions and</w:t>
      </w:r>
      <w:r>
        <w:rPr>
          <w:lang w:val="en-GB"/>
        </w:rPr>
        <w:t xml:space="preserve"> shall not be considered a</w:t>
      </w:r>
      <w:r w:rsidR="00B32609">
        <w:rPr>
          <w:lang w:val="en-GB"/>
        </w:rPr>
        <w:t>s</w:t>
      </w:r>
      <w:r>
        <w:rPr>
          <w:lang w:val="en-GB"/>
        </w:rPr>
        <w:t xml:space="preserve"> the final </w:t>
      </w:r>
      <w:r w:rsidR="002B7258">
        <w:rPr>
          <w:lang w:val="en-GB"/>
        </w:rPr>
        <w:t>decision-making</w:t>
      </w:r>
      <w:r>
        <w:rPr>
          <w:lang w:val="en-GB"/>
        </w:rPr>
        <w:t xml:space="preserve"> tool. </w:t>
      </w:r>
    </w:p>
    <w:p w14:paraId="0B3F0C97" w14:textId="0426F80F" w:rsidR="002B7258" w:rsidRDefault="00113E8B" w:rsidP="004625AD">
      <w:pPr>
        <w:pStyle w:val="CETBodytext"/>
        <w:rPr>
          <w:lang w:val="en-GB"/>
        </w:rPr>
      </w:pPr>
      <w:r>
        <w:rPr>
          <w:lang w:val="en-GB"/>
        </w:rPr>
        <w:t xml:space="preserve">An example of how wrong use of results can lead to dangerous mistakes is shown in </w:t>
      </w:r>
      <w:r w:rsidR="00B32609">
        <w:rPr>
          <w:lang w:val="en-GB"/>
        </w:rPr>
        <w:fldChar w:fldCharType="begin"/>
      </w:r>
      <w:r w:rsidR="00B32609">
        <w:rPr>
          <w:lang w:val="en-GB"/>
        </w:rPr>
        <w:instrText xml:space="preserve"> REF _Ref132725205 \h </w:instrText>
      </w:r>
      <w:r w:rsidR="00B32609">
        <w:rPr>
          <w:lang w:val="en-GB"/>
        </w:rPr>
      </w:r>
      <w:r w:rsidR="00B32609">
        <w:rPr>
          <w:lang w:val="en-GB"/>
        </w:rPr>
        <w:instrText xml:space="preserve"> \* MERGEFORMAT </w:instrText>
      </w:r>
      <w:r w:rsidR="00B32609">
        <w:rPr>
          <w:lang w:val="en-GB"/>
        </w:rPr>
        <w:fldChar w:fldCharType="separate"/>
      </w:r>
      <w:r w:rsidR="00901531" w:rsidRPr="00901531">
        <w:t>Figure 2</w:t>
      </w:r>
      <w:r w:rsidR="00B32609">
        <w:rPr>
          <w:lang w:val="en-GB"/>
        </w:rPr>
        <w:fldChar w:fldCharType="end"/>
      </w:r>
      <w:r>
        <w:rPr>
          <w:lang w:val="en-GB"/>
        </w:rPr>
        <w:t>. In this case, position and shape of a commercial building were set exactly on a risk level boundary coming from a QRA.</w:t>
      </w:r>
      <w:r w:rsidR="005942F8">
        <w:rPr>
          <w:lang w:val="en-GB"/>
        </w:rPr>
        <w:t xml:space="preserve"> </w:t>
      </w:r>
    </w:p>
    <w:p w14:paraId="60AF37DF" w14:textId="6EE0BF4C" w:rsidR="00113E8B" w:rsidRDefault="00EA616D" w:rsidP="004625AD">
      <w:pPr>
        <w:pStyle w:val="CETBodytext"/>
        <w:rPr>
          <w:lang w:val="en-GB"/>
        </w:rPr>
      </w:pPr>
      <w:r>
        <w:rPr>
          <w:lang w:val="en-GB"/>
        </w:rPr>
        <w:t xml:space="preserve">With this example, </w:t>
      </w:r>
      <w:proofErr w:type="gramStart"/>
      <w:r>
        <w:rPr>
          <w:lang w:val="en-GB"/>
        </w:rPr>
        <w:t>i</w:t>
      </w:r>
      <w:r w:rsidR="005942F8">
        <w:rPr>
          <w:lang w:val="en-GB"/>
        </w:rPr>
        <w:t xml:space="preserve">t </w:t>
      </w:r>
      <w:r>
        <w:rPr>
          <w:lang w:val="en-GB"/>
        </w:rPr>
        <w:t>is clear</w:t>
      </w:r>
      <w:r w:rsidR="005942F8">
        <w:rPr>
          <w:lang w:val="en-GB"/>
        </w:rPr>
        <w:t xml:space="preserve"> that the</w:t>
      </w:r>
      <w:proofErr w:type="gramEnd"/>
      <w:r w:rsidR="005942F8">
        <w:rPr>
          <w:lang w:val="en-GB"/>
        </w:rPr>
        <w:t xml:space="preserve"> boundary can by no means be </w:t>
      </w:r>
      <w:r w:rsidR="00B32609">
        <w:rPr>
          <w:lang w:val="en-GB"/>
        </w:rPr>
        <w:t>understood as</w:t>
      </w:r>
      <w:r w:rsidR="005942F8">
        <w:rPr>
          <w:lang w:val="en-GB"/>
        </w:rPr>
        <w:t xml:space="preserve"> a physical limit, beyond which any area can be considered safe. Being an area open to public, an additional safety distance should have been kept in </w:t>
      </w:r>
      <w:r w:rsidR="00B32609">
        <w:rPr>
          <w:lang w:val="en-GB"/>
        </w:rPr>
        <w:t xml:space="preserve">consideration when </w:t>
      </w:r>
      <w:r w:rsidR="005942F8">
        <w:rPr>
          <w:lang w:val="en-GB"/>
        </w:rPr>
        <w:t>positioning the new building</w:t>
      </w:r>
    </w:p>
    <w:p w14:paraId="5F7234B2" w14:textId="3B5C7A04" w:rsidR="00113E8B" w:rsidRDefault="00113E8B" w:rsidP="004625AD">
      <w:pPr>
        <w:pStyle w:val="CETBodytext"/>
        <w:rPr>
          <w:lang w:val="en-GB"/>
        </w:rPr>
      </w:pPr>
    </w:p>
    <w:p w14:paraId="0E2BD67B" w14:textId="77777777" w:rsidR="00B32609" w:rsidRDefault="00113E8B" w:rsidP="00B32609">
      <w:pPr>
        <w:pStyle w:val="CETBodytext"/>
        <w:keepNext/>
      </w:pPr>
      <w:r>
        <w:rPr>
          <w:noProof/>
          <w:lang w:val="en-GB"/>
        </w:rPr>
        <w:drawing>
          <wp:inline distT="0" distB="0" distL="0" distR="0" wp14:anchorId="52340887" wp14:editId="58FF0557">
            <wp:extent cx="4787900" cy="193205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4906" cy="1938920"/>
                    </a:xfrm>
                    <a:prstGeom prst="rect">
                      <a:avLst/>
                    </a:prstGeom>
                    <a:noFill/>
                    <a:ln>
                      <a:noFill/>
                    </a:ln>
                  </pic:spPr>
                </pic:pic>
              </a:graphicData>
            </a:graphic>
          </wp:inline>
        </w:drawing>
      </w:r>
    </w:p>
    <w:p w14:paraId="65C1ADC3" w14:textId="77F6AAC8" w:rsidR="00113E8B" w:rsidRPr="00B32609" w:rsidRDefault="00B32609" w:rsidP="00B32609">
      <w:pPr>
        <w:pStyle w:val="CETCaption"/>
        <w:rPr>
          <w:rStyle w:val="CETCaptionCarattere"/>
        </w:rPr>
      </w:pPr>
      <w:bookmarkStart w:id="4" w:name="_Ref132725205"/>
      <w:r w:rsidRPr="00B32609">
        <w:rPr>
          <w:rStyle w:val="CETCaptionCarattere"/>
        </w:rPr>
        <w:t xml:space="preserve">Figure </w:t>
      </w:r>
      <w:r w:rsidRPr="00B32609">
        <w:rPr>
          <w:rStyle w:val="CETCaptionCarattere"/>
        </w:rPr>
        <w:fldChar w:fldCharType="begin"/>
      </w:r>
      <w:r w:rsidRPr="00B32609">
        <w:rPr>
          <w:rStyle w:val="CETCaptionCarattere"/>
        </w:rPr>
        <w:instrText xml:space="preserve"> SEQ Figure \* ARABIC </w:instrText>
      </w:r>
      <w:r w:rsidRPr="00B32609">
        <w:rPr>
          <w:rStyle w:val="CETCaptionCarattere"/>
        </w:rPr>
        <w:fldChar w:fldCharType="separate"/>
      </w:r>
      <w:r w:rsidR="00901531">
        <w:rPr>
          <w:rStyle w:val="CETCaptionCarattere"/>
          <w:noProof/>
        </w:rPr>
        <w:t>2</w:t>
      </w:r>
      <w:r w:rsidRPr="00B32609">
        <w:rPr>
          <w:rStyle w:val="CETCaptionCarattere"/>
        </w:rPr>
        <w:fldChar w:fldCharType="end"/>
      </w:r>
      <w:bookmarkEnd w:id="4"/>
      <w:r w:rsidRPr="00B32609">
        <w:rPr>
          <w:rStyle w:val="CETCaptionCarattere"/>
        </w:rPr>
        <w:t>: Example of wrong use of QRA for the design of a commercial building</w:t>
      </w:r>
    </w:p>
    <w:p w14:paraId="2EA2E25C" w14:textId="0B4D7EA1" w:rsidR="004625AD" w:rsidRPr="00271521" w:rsidRDefault="004625AD" w:rsidP="007D2AB5">
      <w:pPr>
        <w:pStyle w:val="CETheadingx"/>
        <w:rPr>
          <w:lang w:val="en-GB"/>
        </w:rPr>
      </w:pPr>
      <w:r w:rsidRPr="00271521">
        <w:rPr>
          <w:lang w:val="en-GB"/>
        </w:rPr>
        <w:t>Not doing anything with the results of the assessment</w:t>
      </w:r>
    </w:p>
    <w:p w14:paraId="69F8DD57" w14:textId="1388A0A0" w:rsidR="004625AD" w:rsidRPr="00271521" w:rsidRDefault="004625AD" w:rsidP="004625AD">
      <w:pPr>
        <w:pStyle w:val="CETBodytext"/>
        <w:rPr>
          <w:lang w:val="en-GB"/>
        </w:rPr>
      </w:pPr>
      <w:r w:rsidRPr="00271521">
        <w:rPr>
          <w:lang w:val="en-GB"/>
        </w:rPr>
        <w:t xml:space="preserve">In this paper many common mistakes that can be done during a QRA have been investigated, but the biggest mistake is doing nothing after the results </w:t>
      </w:r>
      <w:r w:rsidR="009C506B">
        <w:rPr>
          <w:lang w:val="en-GB"/>
        </w:rPr>
        <w:t>obtain</w:t>
      </w:r>
      <w:r w:rsidRPr="00271521">
        <w:rPr>
          <w:lang w:val="en-GB"/>
        </w:rPr>
        <w:t xml:space="preserve">ed. Not only money and time have been wasted, but also a </w:t>
      </w:r>
      <w:proofErr w:type="gramStart"/>
      <w:r w:rsidRPr="00271521">
        <w:rPr>
          <w:lang w:val="en-GB"/>
        </w:rPr>
        <w:t>hazardous situation</w:t>
      </w:r>
      <w:r w:rsidR="009C506B">
        <w:rPr>
          <w:lang w:val="en-GB"/>
        </w:rPr>
        <w:t>s</w:t>
      </w:r>
      <w:proofErr w:type="gramEnd"/>
      <w:r w:rsidRPr="00271521">
        <w:rPr>
          <w:lang w:val="en-GB"/>
        </w:rPr>
        <w:t xml:space="preserve"> that we are aware of are being ignored, committing an error that transcends technique to fall back into ethics and morals.</w:t>
      </w:r>
    </w:p>
    <w:p w14:paraId="090B86D5" w14:textId="77777777" w:rsidR="002B7258" w:rsidRPr="007D2AB5" w:rsidRDefault="002B7258" w:rsidP="00833A99">
      <w:pPr>
        <w:pStyle w:val="CETListbullets"/>
        <w:ind w:left="0" w:firstLine="0"/>
      </w:pPr>
    </w:p>
    <w:p w14:paraId="179D2F67" w14:textId="4E083A3B" w:rsidR="007D2AB5" w:rsidRPr="007D2AB5" w:rsidRDefault="007D2AB5" w:rsidP="004D67B7">
      <w:pPr>
        <w:pStyle w:val="CETHeading1"/>
        <w:keepNext w:val="0"/>
        <w:rPr>
          <w:lang w:val="en-GB"/>
        </w:rPr>
      </w:pPr>
      <w:r w:rsidRPr="007D2AB5">
        <w:rPr>
          <w:lang w:val="en-GB"/>
        </w:rPr>
        <w:t>Conclusions</w:t>
      </w:r>
    </w:p>
    <w:p w14:paraId="7E025BF5" w14:textId="77777777" w:rsidR="00833A99" w:rsidRPr="007D2AB5" w:rsidRDefault="00833A99" w:rsidP="00833A99">
      <w:pPr>
        <w:pStyle w:val="CETBodytext"/>
        <w:rPr>
          <w:lang w:val="en-GB"/>
        </w:rPr>
      </w:pPr>
      <w:r w:rsidRPr="007D2AB5">
        <w:rPr>
          <w:lang w:val="en-GB"/>
        </w:rPr>
        <w:t>This paper serves as a window to understand the pitfalls which can be encountered during a Quantitative Risk Assessment. In conclusion, the “Five Commandments” that emerge from this study can be summed up as:</w:t>
      </w:r>
    </w:p>
    <w:p w14:paraId="3B8ECBD4" w14:textId="7EA411F1" w:rsidR="00833A99" w:rsidRPr="007D2AB5" w:rsidRDefault="00833A99" w:rsidP="00833A99">
      <w:pPr>
        <w:pStyle w:val="CETListbullets"/>
        <w:numPr>
          <w:ilvl w:val="0"/>
          <w:numId w:val="13"/>
        </w:numPr>
      </w:pPr>
      <w:r w:rsidRPr="007D2AB5">
        <w:t xml:space="preserve">The scope of QRA, the appropriate approach and the level of detail shall be clearly </w:t>
      </w:r>
      <w:proofErr w:type="gramStart"/>
      <w:r w:rsidRPr="007D2AB5">
        <w:t>defined</w:t>
      </w:r>
      <w:r w:rsidR="009C506B">
        <w:t>;</w:t>
      </w:r>
      <w:proofErr w:type="gramEnd"/>
    </w:p>
    <w:p w14:paraId="702E4760" w14:textId="0194438F" w:rsidR="00833A99" w:rsidRPr="007D2AB5" w:rsidRDefault="00833A99" w:rsidP="00833A99">
      <w:pPr>
        <w:pStyle w:val="CETListbullets"/>
        <w:numPr>
          <w:ilvl w:val="0"/>
          <w:numId w:val="13"/>
        </w:numPr>
      </w:pPr>
      <w:r w:rsidRPr="007D2AB5">
        <w:t xml:space="preserve">All relevant actors shall be involved in a </w:t>
      </w:r>
      <w:proofErr w:type="gramStart"/>
      <w:r w:rsidRPr="007D2AB5">
        <w:t>QRA</w:t>
      </w:r>
      <w:r w:rsidR="009C506B">
        <w:t>;</w:t>
      </w:r>
      <w:proofErr w:type="gramEnd"/>
    </w:p>
    <w:p w14:paraId="3A751307" w14:textId="54182742" w:rsidR="00833A99" w:rsidRPr="007D2AB5" w:rsidRDefault="00833A99" w:rsidP="00833A99">
      <w:pPr>
        <w:pStyle w:val="CETListbullets"/>
        <w:numPr>
          <w:ilvl w:val="0"/>
          <w:numId w:val="13"/>
        </w:numPr>
      </w:pPr>
      <w:r w:rsidRPr="007D2AB5">
        <w:t xml:space="preserve">The target of the risk shall be clearly </w:t>
      </w:r>
      <w:proofErr w:type="gramStart"/>
      <w:r w:rsidRPr="007D2AB5">
        <w:t>identified</w:t>
      </w:r>
      <w:r w:rsidR="009C506B">
        <w:t>;</w:t>
      </w:r>
      <w:proofErr w:type="gramEnd"/>
    </w:p>
    <w:p w14:paraId="3867D5C6" w14:textId="4B26BE98" w:rsidR="00833A99" w:rsidRPr="007D2AB5" w:rsidRDefault="00833A99" w:rsidP="00833A99">
      <w:pPr>
        <w:pStyle w:val="CETListbullets"/>
        <w:numPr>
          <w:ilvl w:val="0"/>
          <w:numId w:val="13"/>
        </w:numPr>
      </w:pPr>
      <w:r w:rsidRPr="007D2AB5">
        <w:t xml:space="preserve">It shall be known if Individual Risk or Societal Risk or both need to be </w:t>
      </w:r>
      <w:proofErr w:type="gramStart"/>
      <w:r w:rsidRPr="007D2AB5">
        <w:t>considered</w:t>
      </w:r>
      <w:r w:rsidR="009C506B">
        <w:t>;</w:t>
      </w:r>
      <w:proofErr w:type="gramEnd"/>
    </w:p>
    <w:p w14:paraId="0280EBCB" w14:textId="77777777" w:rsidR="00833A99" w:rsidRDefault="00833A99" w:rsidP="00833A99">
      <w:pPr>
        <w:pStyle w:val="CETListbullets"/>
        <w:numPr>
          <w:ilvl w:val="0"/>
          <w:numId w:val="13"/>
        </w:numPr>
      </w:pPr>
      <w:r w:rsidRPr="007D2AB5">
        <w:t>QRA shall not be used to avoid applying engineering standards.</w:t>
      </w:r>
    </w:p>
    <w:p w14:paraId="11375867" w14:textId="26E27C93" w:rsidR="004D67B7" w:rsidRDefault="007D2AB5" w:rsidP="004D67B7">
      <w:pPr>
        <w:pStyle w:val="CETBodytext"/>
        <w:widowControl w:val="0"/>
        <w:rPr>
          <w:lang w:val="en-GB"/>
        </w:rPr>
      </w:pPr>
      <w:r w:rsidRPr="007D2AB5">
        <w:rPr>
          <w:lang w:val="en-GB"/>
        </w:rPr>
        <w:t xml:space="preserve">It is a well-known fact that consequence modelling (and here there is the need to remember that QRA is based on consequence modelling) is not an exact science, there is still a 20 % to 40 % of uncertainty on the results. Moreover, results can be affected by several other factors (meteorological conditions, initial conditions). </w:t>
      </w:r>
    </w:p>
    <w:p w14:paraId="06EAA898" w14:textId="01FC29B3" w:rsidR="007D2AB5" w:rsidRDefault="007D2AB5" w:rsidP="004D67B7">
      <w:pPr>
        <w:pStyle w:val="CETBodytext"/>
        <w:widowControl w:val="0"/>
        <w:rPr>
          <w:lang w:val="en-GB"/>
        </w:rPr>
      </w:pPr>
      <w:r w:rsidRPr="007D2AB5">
        <w:rPr>
          <w:lang w:val="en-GB"/>
        </w:rPr>
        <w:t xml:space="preserve">All of this points to the fact that you must keep in mind what you are doing and why. A </w:t>
      </w:r>
      <w:r w:rsidR="009C506B">
        <w:rPr>
          <w:lang w:val="en-GB"/>
        </w:rPr>
        <w:t>safety</w:t>
      </w:r>
      <w:r w:rsidRPr="007D2AB5">
        <w:rPr>
          <w:lang w:val="en-GB"/>
        </w:rPr>
        <w:t xml:space="preserve"> factor should always </w:t>
      </w:r>
      <w:r w:rsidR="00874F42">
        <w:rPr>
          <w:lang w:val="en-GB"/>
        </w:rPr>
        <w:t xml:space="preserve">be </w:t>
      </w:r>
      <w:r w:rsidR="00113E8B" w:rsidRPr="007D2AB5">
        <w:rPr>
          <w:lang w:val="en-GB"/>
        </w:rPr>
        <w:t>consider</w:t>
      </w:r>
      <w:r w:rsidR="00113E8B">
        <w:rPr>
          <w:lang w:val="en-GB"/>
        </w:rPr>
        <w:t>ed</w:t>
      </w:r>
      <w:r w:rsidRPr="007D2AB5">
        <w:rPr>
          <w:lang w:val="en-GB"/>
        </w:rPr>
        <w:t xml:space="preserve"> to avoid unwanted situations</w:t>
      </w:r>
      <w:r w:rsidR="00874F42">
        <w:rPr>
          <w:lang w:val="en-GB"/>
        </w:rPr>
        <w:t xml:space="preserve"> and strong caution shall be taken in decision making based on QRA</w:t>
      </w:r>
      <w:r w:rsidRPr="007D2AB5">
        <w:rPr>
          <w:lang w:val="en-GB"/>
        </w:rPr>
        <w:t>.</w:t>
      </w:r>
    </w:p>
    <w:p w14:paraId="42359843" w14:textId="1D1F29AB" w:rsidR="007D2AB5" w:rsidRDefault="007D2AB5" w:rsidP="00600535">
      <w:pPr>
        <w:pStyle w:val="CETBodytext"/>
        <w:rPr>
          <w:lang w:val="en-GB"/>
        </w:rPr>
      </w:pPr>
    </w:p>
    <w:p w14:paraId="01BFD827" w14:textId="19026E6D" w:rsidR="00533069" w:rsidRDefault="007D2AB5" w:rsidP="00AB6429">
      <w:pPr>
        <w:pStyle w:val="CETReference"/>
      </w:pPr>
      <w:r>
        <w:t>Acronyms and abbreviations</w:t>
      </w:r>
    </w:p>
    <w:p w14:paraId="089FD71D" w14:textId="40601054" w:rsidR="009C506B" w:rsidRDefault="009C506B" w:rsidP="009C506B">
      <w:pPr>
        <w:pStyle w:val="CETTabletitle"/>
      </w:pPr>
      <w:bookmarkStart w:id="5" w:name="_Hlk127263806"/>
      <w:r>
        <w:t xml:space="preserve">Table </w:t>
      </w:r>
      <w:r>
        <w:fldChar w:fldCharType="begin"/>
      </w:r>
      <w:r>
        <w:instrText xml:space="preserve"> SEQ Table \* ARABIC </w:instrText>
      </w:r>
      <w:r>
        <w:fldChar w:fldCharType="separate"/>
      </w:r>
      <w:r w:rsidR="00901531">
        <w:rPr>
          <w:noProof/>
        </w:rPr>
        <w:t>5</w:t>
      </w:r>
      <w:r>
        <w:fldChar w:fldCharType="end"/>
      </w:r>
      <w:r w:rsidRPr="00B4401D">
        <w:t>: Acronyms and Abbreviations</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6945"/>
      </w:tblGrid>
      <w:tr w:rsidR="00113E8B" w:rsidRPr="00271521" w14:paraId="0F8A4B50" w14:textId="77777777" w:rsidTr="004D67B7">
        <w:tc>
          <w:tcPr>
            <w:tcW w:w="1560" w:type="dxa"/>
            <w:tcBorders>
              <w:top w:val="single" w:sz="12" w:space="0" w:color="008000"/>
              <w:bottom w:val="single" w:sz="6" w:space="0" w:color="008000"/>
            </w:tcBorders>
            <w:shd w:val="clear" w:color="auto" w:fill="FFFFFF"/>
          </w:tcPr>
          <w:p w14:paraId="7A74DE76" w14:textId="77777777" w:rsidR="00113E8B" w:rsidRPr="00271521" w:rsidRDefault="00113E8B" w:rsidP="00EE3D0B">
            <w:pPr>
              <w:pStyle w:val="CETBodytext"/>
              <w:rPr>
                <w:lang w:val="en-GB"/>
              </w:rPr>
            </w:pPr>
            <w:r>
              <w:rPr>
                <w:lang w:val="en-GB"/>
              </w:rPr>
              <w:t>Acronym</w:t>
            </w:r>
            <w:r w:rsidRPr="00271521">
              <w:rPr>
                <w:lang w:val="en-GB"/>
              </w:rPr>
              <w:t xml:space="preserve"> </w:t>
            </w:r>
          </w:p>
        </w:tc>
        <w:tc>
          <w:tcPr>
            <w:tcW w:w="6945" w:type="dxa"/>
            <w:tcBorders>
              <w:top w:val="single" w:sz="12" w:space="0" w:color="008000"/>
              <w:bottom w:val="single" w:sz="6" w:space="0" w:color="008000"/>
            </w:tcBorders>
            <w:shd w:val="clear" w:color="auto" w:fill="FFFFFF"/>
          </w:tcPr>
          <w:p w14:paraId="70873F0A" w14:textId="77777777" w:rsidR="00113E8B" w:rsidRPr="00271521" w:rsidRDefault="00113E8B" w:rsidP="00EE3D0B">
            <w:pPr>
              <w:pStyle w:val="CETBodytext"/>
              <w:rPr>
                <w:lang w:val="en-GB"/>
              </w:rPr>
            </w:pPr>
            <w:r>
              <w:rPr>
                <w:lang w:val="en-GB"/>
              </w:rPr>
              <w:t>Definition</w:t>
            </w:r>
          </w:p>
        </w:tc>
      </w:tr>
      <w:tr w:rsidR="00113E8B" w:rsidRPr="00271521" w14:paraId="11D5BFD7" w14:textId="77777777" w:rsidTr="004D67B7">
        <w:tc>
          <w:tcPr>
            <w:tcW w:w="1560" w:type="dxa"/>
            <w:shd w:val="clear" w:color="auto" w:fill="FFFFFF"/>
          </w:tcPr>
          <w:p w14:paraId="6FA4F942" w14:textId="77777777" w:rsidR="00113E8B" w:rsidRPr="00271521" w:rsidRDefault="00113E8B" w:rsidP="00EE3D0B">
            <w:pPr>
              <w:pStyle w:val="CETBodytext"/>
              <w:ind w:right="-1"/>
              <w:rPr>
                <w:rFonts w:cs="Arial"/>
                <w:szCs w:val="18"/>
                <w:lang w:val="en-GB"/>
              </w:rPr>
            </w:pPr>
            <w:r>
              <w:rPr>
                <w:lang w:val="en-GB"/>
              </w:rPr>
              <w:t>ALARP</w:t>
            </w:r>
          </w:p>
        </w:tc>
        <w:tc>
          <w:tcPr>
            <w:tcW w:w="6945" w:type="dxa"/>
            <w:shd w:val="clear" w:color="auto" w:fill="FFFFFF"/>
          </w:tcPr>
          <w:p w14:paraId="26FB4D6B" w14:textId="77777777" w:rsidR="00113E8B" w:rsidRPr="00271521" w:rsidRDefault="00113E8B" w:rsidP="00EE3D0B">
            <w:pPr>
              <w:pStyle w:val="CETBodytext"/>
              <w:ind w:right="-1"/>
              <w:jc w:val="left"/>
              <w:rPr>
                <w:rFonts w:cs="Arial"/>
                <w:szCs w:val="18"/>
                <w:lang w:val="en-GB"/>
              </w:rPr>
            </w:pPr>
            <w:r>
              <w:rPr>
                <w:lang w:val="en-GB"/>
              </w:rPr>
              <w:t xml:space="preserve">As Low </w:t>
            </w:r>
            <w:proofErr w:type="gramStart"/>
            <w:r>
              <w:rPr>
                <w:lang w:val="en-GB"/>
              </w:rPr>
              <w:t>As</w:t>
            </w:r>
            <w:proofErr w:type="gramEnd"/>
            <w:r>
              <w:rPr>
                <w:lang w:val="en-GB"/>
              </w:rPr>
              <w:t xml:space="preserve"> Reasonably Possible: the risk has been reduced to the feasible lowest level. This includes including cost/ benefit analysis</w:t>
            </w:r>
          </w:p>
        </w:tc>
      </w:tr>
      <w:tr w:rsidR="00862CCD" w:rsidRPr="00271521" w14:paraId="1E40D45D" w14:textId="77777777" w:rsidTr="004D67B7">
        <w:tc>
          <w:tcPr>
            <w:tcW w:w="1560" w:type="dxa"/>
            <w:shd w:val="clear" w:color="auto" w:fill="FFFFFF"/>
          </w:tcPr>
          <w:p w14:paraId="1DF23756" w14:textId="296F3FD1" w:rsidR="00862CCD" w:rsidRDefault="00862CCD" w:rsidP="00EE3D0B">
            <w:pPr>
              <w:pStyle w:val="CETBodytext"/>
              <w:ind w:right="-1"/>
              <w:rPr>
                <w:lang w:val="en-GB"/>
              </w:rPr>
            </w:pPr>
            <w:r>
              <w:rPr>
                <w:lang w:val="en-GB"/>
              </w:rPr>
              <w:t>BLEVE</w:t>
            </w:r>
          </w:p>
        </w:tc>
        <w:tc>
          <w:tcPr>
            <w:tcW w:w="6945" w:type="dxa"/>
            <w:shd w:val="clear" w:color="auto" w:fill="FFFFFF"/>
          </w:tcPr>
          <w:p w14:paraId="70419011" w14:textId="5CD97B32" w:rsidR="00862CCD" w:rsidRDefault="00862CCD" w:rsidP="00EE3D0B">
            <w:pPr>
              <w:pStyle w:val="CETBodytext"/>
              <w:ind w:right="-1"/>
              <w:jc w:val="left"/>
              <w:rPr>
                <w:lang w:val="en-GB"/>
              </w:rPr>
            </w:pPr>
            <w:r>
              <w:rPr>
                <w:lang w:val="en-GB"/>
              </w:rPr>
              <w:t>Boiling Liquid Expanding Vapour Explosion</w:t>
            </w:r>
          </w:p>
        </w:tc>
      </w:tr>
      <w:tr w:rsidR="00113E8B" w:rsidRPr="00271521" w14:paraId="171E2ABB" w14:textId="77777777" w:rsidTr="004D67B7">
        <w:tc>
          <w:tcPr>
            <w:tcW w:w="1560" w:type="dxa"/>
            <w:shd w:val="clear" w:color="auto" w:fill="FFFFFF"/>
          </w:tcPr>
          <w:p w14:paraId="502D56E6" w14:textId="77777777" w:rsidR="00113E8B" w:rsidRDefault="00113E8B" w:rsidP="00EE3D0B">
            <w:pPr>
              <w:pStyle w:val="CETBodytext"/>
              <w:ind w:right="-1"/>
              <w:rPr>
                <w:lang w:val="en-GB"/>
              </w:rPr>
            </w:pPr>
            <w:r>
              <w:rPr>
                <w:lang w:val="en-GB"/>
              </w:rPr>
              <w:t>C&amp;E Matrix</w:t>
            </w:r>
          </w:p>
        </w:tc>
        <w:tc>
          <w:tcPr>
            <w:tcW w:w="6945" w:type="dxa"/>
            <w:shd w:val="clear" w:color="auto" w:fill="FFFFFF"/>
          </w:tcPr>
          <w:p w14:paraId="766B8D71" w14:textId="77777777" w:rsidR="00113E8B" w:rsidRPr="001D75D0" w:rsidRDefault="00113E8B" w:rsidP="00EE3D0B">
            <w:pPr>
              <w:pStyle w:val="CETBodytext"/>
              <w:ind w:right="-1"/>
              <w:jc w:val="left"/>
              <w:rPr>
                <w:lang w:val="en-GB"/>
              </w:rPr>
            </w:pPr>
            <w:r>
              <w:rPr>
                <w:lang w:val="en-GB"/>
              </w:rPr>
              <w:t>Cause and Effects Matrix</w:t>
            </w:r>
          </w:p>
        </w:tc>
      </w:tr>
      <w:tr w:rsidR="00113E8B" w:rsidRPr="00271521" w14:paraId="7FA023B5" w14:textId="77777777" w:rsidTr="004D67B7">
        <w:tc>
          <w:tcPr>
            <w:tcW w:w="1560" w:type="dxa"/>
            <w:shd w:val="clear" w:color="auto" w:fill="FFFFFF"/>
          </w:tcPr>
          <w:p w14:paraId="7B59F304" w14:textId="77777777" w:rsidR="00113E8B" w:rsidRDefault="00113E8B" w:rsidP="00EE3D0B">
            <w:pPr>
              <w:pStyle w:val="CETBodytext"/>
              <w:ind w:right="-1"/>
              <w:rPr>
                <w:lang w:val="en-GB"/>
              </w:rPr>
            </w:pPr>
            <w:r>
              <w:rPr>
                <w:lang w:val="en-GB"/>
              </w:rPr>
              <w:t>EPC</w:t>
            </w:r>
          </w:p>
        </w:tc>
        <w:tc>
          <w:tcPr>
            <w:tcW w:w="6945" w:type="dxa"/>
            <w:shd w:val="clear" w:color="auto" w:fill="FFFFFF"/>
          </w:tcPr>
          <w:p w14:paraId="44CCCB4D" w14:textId="77777777" w:rsidR="00113E8B" w:rsidRDefault="00113E8B" w:rsidP="00EE3D0B">
            <w:pPr>
              <w:pStyle w:val="CETBodytext"/>
              <w:ind w:right="-1"/>
              <w:jc w:val="left"/>
              <w:rPr>
                <w:lang w:val="en-GB"/>
              </w:rPr>
            </w:pPr>
            <w:r>
              <w:rPr>
                <w:lang w:val="en-GB"/>
              </w:rPr>
              <w:t xml:space="preserve">Engineering, </w:t>
            </w:r>
            <w:proofErr w:type="gramStart"/>
            <w:r>
              <w:rPr>
                <w:lang w:val="en-GB"/>
              </w:rPr>
              <w:t>procurement</w:t>
            </w:r>
            <w:proofErr w:type="gramEnd"/>
            <w:r>
              <w:rPr>
                <w:lang w:val="en-GB"/>
              </w:rPr>
              <w:t xml:space="preserve"> and construction</w:t>
            </w:r>
          </w:p>
        </w:tc>
      </w:tr>
      <w:tr w:rsidR="00113E8B" w:rsidRPr="00271521" w14:paraId="0889EBD7" w14:textId="77777777" w:rsidTr="004D67B7">
        <w:tc>
          <w:tcPr>
            <w:tcW w:w="1560" w:type="dxa"/>
            <w:shd w:val="clear" w:color="auto" w:fill="FFFFFF"/>
          </w:tcPr>
          <w:p w14:paraId="3D86D5AF" w14:textId="77777777" w:rsidR="00113E8B" w:rsidRDefault="00113E8B" w:rsidP="00EE3D0B">
            <w:pPr>
              <w:pStyle w:val="CETBodytext"/>
              <w:ind w:right="-1"/>
              <w:rPr>
                <w:lang w:val="en-GB"/>
              </w:rPr>
            </w:pPr>
            <w:r>
              <w:rPr>
                <w:lang w:val="en-GB"/>
              </w:rPr>
              <w:t>FERA</w:t>
            </w:r>
          </w:p>
        </w:tc>
        <w:tc>
          <w:tcPr>
            <w:tcW w:w="6945" w:type="dxa"/>
            <w:shd w:val="clear" w:color="auto" w:fill="FFFFFF"/>
          </w:tcPr>
          <w:p w14:paraId="78C06905" w14:textId="77777777" w:rsidR="00113E8B" w:rsidRDefault="00113E8B" w:rsidP="00EE3D0B">
            <w:pPr>
              <w:pStyle w:val="CETBodytext"/>
              <w:ind w:right="-1"/>
              <w:jc w:val="left"/>
              <w:rPr>
                <w:lang w:val="en-GB"/>
              </w:rPr>
            </w:pPr>
            <w:r>
              <w:rPr>
                <w:lang w:val="en-GB"/>
              </w:rPr>
              <w:t>Fire and Explosion Risk Assessment</w:t>
            </w:r>
          </w:p>
        </w:tc>
      </w:tr>
      <w:tr w:rsidR="00113E8B" w:rsidRPr="00271521" w14:paraId="4396F2EE" w14:textId="77777777" w:rsidTr="004D67B7">
        <w:tc>
          <w:tcPr>
            <w:tcW w:w="1560" w:type="dxa"/>
            <w:shd w:val="clear" w:color="auto" w:fill="FFFFFF"/>
          </w:tcPr>
          <w:p w14:paraId="2E2956DF" w14:textId="77777777" w:rsidR="00113E8B" w:rsidRDefault="00113E8B" w:rsidP="00EE3D0B">
            <w:pPr>
              <w:pStyle w:val="CETBodytext"/>
              <w:ind w:right="-1"/>
              <w:rPr>
                <w:lang w:val="en-GB"/>
              </w:rPr>
            </w:pPr>
            <w:r>
              <w:rPr>
                <w:lang w:val="en-GB"/>
              </w:rPr>
              <w:t>H&amp;M balance</w:t>
            </w:r>
          </w:p>
        </w:tc>
        <w:tc>
          <w:tcPr>
            <w:tcW w:w="6945" w:type="dxa"/>
            <w:shd w:val="clear" w:color="auto" w:fill="FFFFFF"/>
          </w:tcPr>
          <w:p w14:paraId="02F67298" w14:textId="77777777" w:rsidR="00113E8B" w:rsidRPr="001D75D0" w:rsidRDefault="00113E8B" w:rsidP="00EE3D0B">
            <w:pPr>
              <w:pStyle w:val="CETBodytext"/>
              <w:ind w:right="-1"/>
              <w:jc w:val="left"/>
              <w:rPr>
                <w:lang w:val="en-GB"/>
              </w:rPr>
            </w:pPr>
            <w:r>
              <w:rPr>
                <w:lang w:val="en-GB"/>
              </w:rPr>
              <w:t>Heat and Material Balance</w:t>
            </w:r>
          </w:p>
        </w:tc>
      </w:tr>
      <w:tr w:rsidR="00113E8B" w:rsidRPr="00271521" w14:paraId="5796C1E6" w14:textId="77777777" w:rsidTr="004D67B7">
        <w:tc>
          <w:tcPr>
            <w:tcW w:w="1560" w:type="dxa"/>
            <w:shd w:val="clear" w:color="auto" w:fill="FFFFFF"/>
          </w:tcPr>
          <w:p w14:paraId="10F279C5" w14:textId="77777777" w:rsidR="00113E8B" w:rsidRDefault="00113E8B" w:rsidP="00EE3D0B">
            <w:pPr>
              <w:pStyle w:val="CETBodytext"/>
              <w:ind w:right="-1"/>
              <w:rPr>
                <w:lang w:val="en-GB"/>
              </w:rPr>
            </w:pPr>
            <w:r>
              <w:rPr>
                <w:lang w:val="en-GB"/>
              </w:rPr>
              <w:t>HAZID</w:t>
            </w:r>
          </w:p>
        </w:tc>
        <w:tc>
          <w:tcPr>
            <w:tcW w:w="6945" w:type="dxa"/>
            <w:shd w:val="clear" w:color="auto" w:fill="FFFFFF"/>
          </w:tcPr>
          <w:p w14:paraId="413634DC" w14:textId="77777777" w:rsidR="00113E8B" w:rsidRDefault="00113E8B" w:rsidP="00EE3D0B">
            <w:pPr>
              <w:pStyle w:val="CETBodytext"/>
              <w:ind w:right="-1"/>
              <w:jc w:val="left"/>
              <w:rPr>
                <w:lang w:val="en-GB"/>
              </w:rPr>
            </w:pPr>
            <w:r>
              <w:rPr>
                <w:lang w:val="en-GB"/>
              </w:rPr>
              <w:t>Hazard Identification</w:t>
            </w:r>
          </w:p>
        </w:tc>
      </w:tr>
      <w:tr w:rsidR="00113E8B" w:rsidRPr="00271521" w14:paraId="5422E142" w14:textId="77777777" w:rsidTr="004D67B7">
        <w:tc>
          <w:tcPr>
            <w:tcW w:w="1560" w:type="dxa"/>
            <w:shd w:val="clear" w:color="auto" w:fill="FFFFFF"/>
          </w:tcPr>
          <w:p w14:paraId="4D99768F" w14:textId="77777777" w:rsidR="00113E8B" w:rsidRDefault="00113E8B" w:rsidP="00EE3D0B">
            <w:pPr>
              <w:pStyle w:val="CETBodytext"/>
              <w:ind w:right="-1"/>
              <w:rPr>
                <w:lang w:val="en-GB"/>
              </w:rPr>
            </w:pPr>
            <w:r>
              <w:rPr>
                <w:lang w:val="en-GB"/>
              </w:rPr>
              <w:t>HAZOP</w:t>
            </w:r>
          </w:p>
        </w:tc>
        <w:tc>
          <w:tcPr>
            <w:tcW w:w="6945" w:type="dxa"/>
            <w:shd w:val="clear" w:color="auto" w:fill="FFFFFF"/>
          </w:tcPr>
          <w:p w14:paraId="13663C45" w14:textId="77777777" w:rsidR="00113E8B" w:rsidRPr="001D75D0" w:rsidRDefault="00113E8B" w:rsidP="00EE3D0B">
            <w:pPr>
              <w:pStyle w:val="CETBodytext"/>
              <w:ind w:right="-1"/>
              <w:jc w:val="left"/>
              <w:rPr>
                <w:lang w:val="en-GB"/>
              </w:rPr>
            </w:pPr>
            <w:r>
              <w:rPr>
                <w:lang w:val="en-GB"/>
              </w:rPr>
              <w:t>Hazard and Operability Risk Assessment</w:t>
            </w:r>
          </w:p>
        </w:tc>
      </w:tr>
      <w:tr w:rsidR="00C672F3" w:rsidRPr="00271521" w14:paraId="69AAAF4F" w14:textId="77777777" w:rsidTr="004D67B7">
        <w:tc>
          <w:tcPr>
            <w:tcW w:w="1560" w:type="dxa"/>
            <w:shd w:val="clear" w:color="auto" w:fill="FFFFFF"/>
          </w:tcPr>
          <w:p w14:paraId="7263FFE6" w14:textId="1B7C1BEA" w:rsidR="00C672F3" w:rsidRDefault="00C672F3" w:rsidP="00EE3D0B">
            <w:pPr>
              <w:pStyle w:val="CETBodytext"/>
              <w:ind w:right="-1"/>
              <w:rPr>
                <w:lang w:val="en-GB"/>
              </w:rPr>
            </w:pPr>
            <w:r>
              <w:rPr>
                <w:lang w:val="en-GB"/>
              </w:rPr>
              <w:t>ILO</w:t>
            </w:r>
          </w:p>
        </w:tc>
        <w:tc>
          <w:tcPr>
            <w:tcW w:w="6945" w:type="dxa"/>
            <w:shd w:val="clear" w:color="auto" w:fill="FFFFFF"/>
          </w:tcPr>
          <w:p w14:paraId="015D0C3A" w14:textId="39330D4B" w:rsidR="00C672F3" w:rsidRDefault="00C672F3" w:rsidP="00EE3D0B">
            <w:pPr>
              <w:pStyle w:val="CETBodytext"/>
              <w:ind w:right="-1"/>
              <w:jc w:val="left"/>
              <w:rPr>
                <w:lang w:val="en-GB"/>
              </w:rPr>
            </w:pPr>
            <w:r>
              <w:rPr>
                <w:lang w:val="en-GB"/>
              </w:rPr>
              <w:t xml:space="preserve">International Labour Organization </w:t>
            </w:r>
          </w:p>
        </w:tc>
      </w:tr>
      <w:tr w:rsidR="00C672F3" w:rsidRPr="00271521" w14:paraId="570A2280" w14:textId="77777777" w:rsidTr="004D67B7">
        <w:tc>
          <w:tcPr>
            <w:tcW w:w="1560" w:type="dxa"/>
            <w:shd w:val="clear" w:color="auto" w:fill="FFFFFF"/>
          </w:tcPr>
          <w:p w14:paraId="43D7A0BA" w14:textId="6C494B1D" w:rsidR="00C672F3" w:rsidRDefault="00C672F3" w:rsidP="00EE3D0B">
            <w:pPr>
              <w:pStyle w:val="CETBodytext"/>
              <w:ind w:right="-1"/>
              <w:rPr>
                <w:lang w:val="en-GB"/>
              </w:rPr>
            </w:pPr>
            <w:r>
              <w:rPr>
                <w:lang w:val="en-GB"/>
              </w:rPr>
              <w:t>ICSC</w:t>
            </w:r>
          </w:p>
        </w:tc>
        <w:tc>
          <w:tcPr>
            <w:tcW w:w="6945" w:type="dxa"/>
            <w:shd w:val="clear" w:color="auto" w:fill="FFFFFF"/>
          </w:tcPr>
          <w:p w14:paraId="423DC70D" w14:textId="101E190C" w:rsidR="00C672F3" w:rsidRDefault="00C672F3" w:rsidP="00EE3D0B">
            <w:pPr>
              <w:pStyle w:val="CETBodytext"/>
              <w:ind w:right="-1"/>
              <w:jc w:val="left"/>
              <w:rPr>
                <w:lang w:val="en-GB"/>
              </w:rPr>
            </w:pPr>
            <w:r w:rsidRPr="00C672F3">
              <w:rPr>
                <w:lang w:val="en-GB"/>
              </w:rPr>
              <w:t>International Chemical Safety Cards</w:t>
            </w:r>
          </w:p>
        </w:tc>
      </w:tr>
      <w:tr w:rsidR="00874F42" w:rsidRPr="00271521" w14:paraId="7AF83B29" w14:textId="77777777" w:rsidTr="004D67B7">
        <w:tc>
          <w:tcPr>
            <w:tcW w:w="1560" w:type="dxa"/>
            <w:shd w:val="clear" w:color="auto" w:fill="FFFFFF"/>
          </w:tcPr>
          <w:p w14:paraId="3FE25A0A" w14:textId="1E6B4FA8" w:rsidR="00874F42" w:rsidRDefault="00874F42" w:rsidP="00EE3D0B">
            <w:pPr>
              <w:pStyle w:val="CETBodytext"/>
              <w:ind w:right="-1"/>
              <w:rPr>
                <w:lang w:val="en-GB"/>
              </w:rPr>
            </w:pPr>
            <w:r>
              <w:rPr>
                <w:lang w:val="en-GB"/>
              </w:rPr>
              <w:t>IR</w:t>
            </w:r>
          </w:p>
        </w:tc>
        <w:tc>
          <w:tcPr>
            <w:tcW w:w="6945" w:type="dxa"/>
            <w:shd w:val="clear" w:color="auto" w:fill="FFFFFF"/>
          </w:tcPr>
          <w:p w14:paraId="69A50686" w14:textId="781F85C5" w:rsidR="00874F42" w:rsidRDefault="00874F42" w:rsidP="00EE3D0B">
            <w:pPr>
              <w:pStyle w:val="CETBodytext"/>
              <w:ind w:right="-1"/>
              <w:jc w:val="left"/>
              <w:rPr>
                <w:lang w:val="en-GB"/>
              </w:rPr>
            </w:pPr>
            <w:r>
              <w:rPr>
                <w:lang w:val="en-GB"/>
              </w:rPr>
              <w:t>Individual Risk</w:t>
            </w:r>
          </w:p>
        </w:tc>
      </w:tr>
      <w:tr w:rsidR="00113E8B" w:rsidRPr="00271521" w14:paraId="62A9D14F" w14:textId="77777777" w:rsidTr="004D67B7">
        <w:tc>
          <w:tcPr>
            <w:tcW w:w="1560" w:type="dxa"/>
            <w:shd w:val="clear" w:color="auto" w:fill="FFFFFF"/>
          </w:tcPr>
          <w:p w14:paraId="592871AC" w14:textId="77777777" w:rsidR="00113E8B" w:rsidRPr="00271521" w:rsidRDefault="00113E8B" w:rsidP="00EE3D0B">
            <w:pPr>
              <w:pStyle w:val="CETBodytext"/>
              <w:ind w:right="-1"/>
              <w:rPr>
                <w:rFonts w:cs="Arial"/>
                <w:szCs w:val="18"/>
                <w:lang w:val="en-GB"/>
              </w:rPr>
            </w:pPr>
            <w:r>
              <w:rPr>
                <w:lang w:val="en-GB"/>
              </w:rPr>
              <w:t>IRPA</w:t>
            </w:r>
          </w:p>
        </w:tc>
        <w:tc>
          <w:tcPr>
            <w:tcW w:w="6945" w:type="dxa"/>
            <w:shd w:val="clear" w:color="auto" w:fill="FFFFFF"/>
          </w:tcPr>
          <w:p w14:paraId="7F9DC55F" w14:textId="77777777" w:rsidR="00113E8B" w:rsidRPr="00271521" w:rsidRDefault="00113E8B" w:rsidP="00EE3D0B">
            <w:pPr>
              <w:pStyle w:val="CETBodytext"/>
              <w:ind w:right="-1"/>
              <w:jc w:val="left"/>
              <w:rPr>
                <w:rFonts w:cs="Arial"/>
                <w:szCs w:val="18"/>
                <w:lang w:val="en-GB"/>
              </w:rPr>
            </w:pPr>
            <w:r>
              <w:rPr>
                <w:lang w:val="en-GB"/>
              </w:rPr>
              <w:t>Individual Risk per Annum</w:t>
            </w:r>
          </w:p>
        </w:tc>
      </w:tr>
      <w:tr w:rsidR="00113E8B" w:rsidRPr="00271521" w14:paraId="1A9FABCD" w14:textId="77777777" w:rsidTr="004D67B7">
        <w:tc>
          <w:tcPr>
            <w:tcW w:w="1560" w:type="dxa"/>
            <w:shd w:val="clear" w:color="auto" w:fill="FFFFFF"/>
          </w:tcPr>
          <w:p w14:paraId="27CFB105" w14:textId="77777777" w:rsidR="00113E8B" w:rsidRDefault="00113E8B" w:rsidP="00EE3D0B">
            <w:pPr>
              <w:pStyle w:val="CETBodytext"/>
              <w:ind w:right="-1"/>
              <w:rPr>
                <w:lang w:val="en-GB"/>
              </w:rPr>
            </w:pPr>
            <w:proofErr w:type="spellStart"/>
            <w:r>
              <w:rPr>
                <w:lang w:val="en-GB"/>
              </w:rPr>
              <w:t>Kst</w:t>
            </w:r>
            <w:proofErr w:type="spellEnd"/>
          </w:p>
        </w:tc>
        <w:tc>
          <w:tcPr>
            <w:tcW w:w="6945" w:type="dxa"/>
            <w:shd w:val="clear" w:color="auto" w:fill="FFFFFF"/>
          </w:tcPr>
          <w:p w14:paraId="65C6E72E" w14:textId="77777777" w:rsidR="00113E8B" w:rsidRDefault="00113E8B" w:rsidP="00EE3D0B">
            <w:pPr>
              <w:pStyle w:val="CETBodytext"/>
              <w:ind w:right="-1"/>
              <w:jc w:val="left"/>
              <w:rPr>
                <w:lang w:val="en-GB"/>
              </w:rPr>
            </w:pPr>
            <w:r>
              <w:rPr>
                <w:lang w:val="en-GB"/>
              </w:rPr>
              <w:t>D</w:t>
            </w:r>
            <w:r w:rsidRPr="001D75D0">
              <w:rPr>
                <w:lang w:val="en-GB"/>
              </w:rPr>
              <w:t>ust deflagration index, parameter used to quantify the severity of a dust explosion</w:t>
            </w:r>
            <w:r>
              <w:rPr>
                <w:lang w:val="en-GB"/>
              </w:rPr>
              <w:t>, by measuring the pressure increase rate</w:t>
            </w:r>
          </w:p>
        </w:tc>
      </w:tr>
      <w:tr w:rsidR="00113E8B" w:rsidRPr="00271521" w14:paraId="55EA1983" w14:textId="77777777" w:rsidTr="004D67B7">
        <w:tc>
          <w:tcPr>
            <w:tcW w:w="1560" w:type="dxa"/>
            <w:shd w:val="clear" w:color="auto" w:fill="FFFFFF"/>
          </w:tcPr>
          <w:p w14:paraId="7A8E9403" w14:textId="77777777" w:rsidR="00113E8B" w:rsidRDefault="00113E8B" w:rsidP="00EE3D0B">
            <w:pPr>
              <w:pStyle w:val="CETBodytext"/>
              <w:ind w:right="-1"/>
              <w:rPr>
                <w:lang w:val="en-GB"/>
              </w:rPr>
            </w:pPr>
            <w:r>
              <w:rPr>
                <w:lang w:val="en-GB"/>
              </w:rPr>
              <w:t>LIT</w:t>
            </w:r>
          </w:p>
        </w:tc>
        <w:tc>
          <w:tcPr>
            <w:tcW w:w="6945" w:type="dxa"/>
            <w:shd w:val="clear" w:color="auto" w:fill="FFFFFF"/>
          </w:tcPr>
          <w:p w14:paraId="4AD12E4D" w14:textId="77777777" w:rsidR="00113E8B" w:rsidRDefault="00113E8B" w:rsidP="00EE3D0B">
            <w:pPr>
              <w:pStyle w:val="CETBodytext"/>
              <w:ind w:right="-1"/>
              <w:jc w:val="left"/>
              <w:rPr>
                <w:lang w:val="en-GB"/>
              </w:rPr>
            </w:pPr>
            <w:r>
              <w:rPr>
                <w:lang w:val="en-GB"/>
              </w:rPr>
              <w:t xml:space="preserve">Layer ignition Temperature </w:t>
            </w:r>
          </w:p>
        </w:tc>
      </w:tr>
      <w:tr w:rsidR="00862CCD" w:rsidRPr="00271521" w14:paraId="545AA87B" w14:textId="77777777" w:rsidTr="004D67B7">
        <w:tc>
          <w:tcPr>
            <w:tcW w:w="1560" w:type="dxa"/>
            <w:shd w:val="clear" w:color="auto" w:fill="FFFFFF"/>
          </w:tcPr>
          <w:p w14:paraId="22AFD318" w14:textId="1C025A7B" w:rsidR="00862CCD" w:rsidRDefault="00862CCD" w:rsidP="00EE3D0B">
            <w:pPr>
              <w:pStyle w:val="CETBodytext"/>
              <w:ind w:right="-1"/>
              <w:rPr>
                <w:lang w:val="en-GB"/>
              </w:rPr>
            </w:pPr>
            <w:r>
              <w:rPr>
                <w:lang w:val="en-GB"/>
              </w:rPr>
              <w:t>LPG</w:t>
            </w:r>
          </w:p>
        </w:tc>
        <w:tc>
          <w:tcPr>
            <w:tcW w:w="6945" w:type="dxa"/>
            <w:shd w:val="clear" w:color="auto" w:fill="FFFFFF"/>
          </w:tcPr>
          <w:p w14:paraId="4E41FB83" w14:textId="1231B200" w:rsidR="00862CCD" w:rsidRDefault="00862CCD" w:rsidP="00EE3D0B">
            <w:pPr>
              <w:pStyle w:val="CETBodytext"/>
              <w:ind w:right="-1"/>
              <w:jc w:val="left"/>
              <w:rPr>
                <w:lang w:val="en-GB"/>
              </w:rPr>
            </w:pPr>
            <w:r>
              <w:rPr>
                <w:lang w:val="en-GB"/>
              </w:rPr>
              <w:t>Liquefied Petroleum Gas</w:t>
            </w:r>
          </w:p>
        </w:tc>
      </w:tr>
      <w:tr w:rsidR="00113E8B" w:rsidRPr="00271521" w14:paraId="6128FBDA" w14:textId="77777777" w:rsidTr="004D67B7">
        <w:tc>
          <w:tcPr>
            <w:tcW w:w="1560" w:type="dxa"/>
            <w:shd w:val="clear" w:color="auto" w:fill="FFFFFF"/>
          </w:tcPr>
          <w:p w14:paraId="10E192C1" w14:textId="77777777" w:rsidR="00113E8B" w:rsidRDefault="00113E8B" w:rsidP="00EE3D0B">
            <w:pPr>
              <w:pStyle w:val="CETBodytext"/>
              <w:ind w:right="-1"/>
              <w:rPr>
                <w:lang w:val="en-GB"/>
              </w:rPr>
            </w:pPr>
            <w:r>
              <w:rPr>
                <w:lang w:val="en-GB"/>
              </w:rPr>
              <w:t>MIE</w:t>
            </w:r>
          </w:p>
        </w:tc>
        <w:tc>
          <w:tcPr>
            <w:tcW w:w="6945" w:type="dxa"/>
            <w:shd w:val="clear" w:color="auto" w:fill="FFFFFF"/>
          </w:tcPr>
          <w:p w14:paraId="38C7B9A0" w14:textId="77777777" w:rsidR="00113E8B" w:rsidRDefault="00113E8B" w:rsidP="00EE3D0B">
            <w:pPr>
              <w:pStyle w:val="CETBodytext"/>
              <w:ind w:right="-1"/>
              <w:jc w:val="left"/>
              <w:rPr>
                <w:lang w:val="en-GB"/>
              </w:rPr>
            </w:pPr>
            <w:r>
              <w:rPr>
                <w:lang w:val="en-GB"/>
              </w:rPr>
              <w:t>Minimum Ignition Energy</w:t>
            </w:r>
          </w:p>
        </w:tc>
      </w:tr>
      <w:tr w:rsidR="00113E8B" w:rsidRPr="00271521" w14:paraId="01658D18" w14:textId="77777777" w:rsidTr="004D67B7">
        <w:tc>
          <w:tcPr>
            <w:tcW w:w="1560" w:type="dxa"/>
            <w:shd w:val="clear" w:color="auto" w:fill="FFFFFF"/>
          </w:tcPr>
          <w:p w14:paraId="7C52B408" w14:textId="77777777" w:rsidR="00113E8B" w:rsidRDefault="00113E8B" w:rsidP="00EE3D0B">
            <w:pPr>
              <w:pStyle w:val="CETBodytext"/>
              <w:ind w:right="-1"/>
              <w:rPr>
                <w:lang w:val="en-GB"/>
              </w:rPr>
            </w:pPr>
            <w:r>
              <w:rPr>
                <w:lang w:val="en-GB"/>
              </w:rPr>
              <w:t>MIT</w:t>
            </w:r>
          </w:p>
        </w:tc>
        <w:tc>
          <w:tcPr>
            <w:tcW w:w="6945" w:type="dxa"/>
            <w:shd w:val="clear" w:color="auto" w:fill="FFFFFF"/>
          </w:tcPr>
          <w:p w14:paraId="0BD18EF2" w14:textId="77777777" w:rsidR="00113E8B" w:rsidRDefault="00113E8B" w:rsidP="00EE3D0B">
            <w:pPr>
              <w:pStyle w:val="CETBodytext"/>
              <w:ind w:right="-1"/>
              <w:jc w:val="left"/>
              <w:rPr>
                <w:lang w:val="en-GB"/>
              </w:rPr>
            </w:pPr>
            <w:r>
              <w:rPr>
                <w:lang w:val="en-GB"/>
              </w:rPr>
              <w:t>Minimum Ignition Temperature</w:t>
            </w:r>
          </w:p>
        </w:tc>
      </w:tr>
      <w:tr w:rsidR="003F7E64" w:rsidRPr="00271521" w14:paraId="0AA63ED3" w14:textId="77777777" w:rsidTr="004D67B7">
        <w:tc>
          <w:tcPr>
            <w:tcW w:w="1560" w:type="dxa"/>
            <w:shd w:val="clear" w:color="auto" w:fill="FFFFFF"/>
          </w:tcPr>
          <w:p w14:paraId="53E69756" w14:textId="4396CFAC" w:rsidR="003F7E64" w:rsidRDefault="003F7E64" w:rsidP="00EE3D0B">
            <w:pPr>
              <w:pStyle w:val="CETBodytext"/>
              <w:ind w:right="-1"/>
              <w:rPr>
                <w:lang w:val="en-GB"/>
              </w:rPr>
            </w:pPr>
            <w:r>
              <w:rPr>
                <w:lang w:val="en-GB"/>
              </w:rPr>
              <w:t>MSDS</w:t>
            </w:r>
          </w:p>
        </w:tc>
        <w:tc>
          <w:tcPr>
            <w:tcW w:w="6945" w:type="dxa"/>
            <w:shd w:val="clear" w:color="auto" w:fill="FFFFFF"/>
          </w:tcPr>
          <w:p w14:paraId="50488F17" w14:textId="7745A9FC" w:rsidR="003F7E64" w:rsidRDefault="003F7E64" w:rsidP="00EE3D0B">
            <w:pPr>
              <w:pStyle w:val="CETBodytext"/>
              <w:ind w:right="-1"/>
              <w:jc w:val="left"/>
              <w:rPr>
                <w:lang w:val="en-GB"/>
              </w:rPr>
            </w:pPr>
            <w:r>
              <w:rPr>
                <w:lang w:val="en-GB"/>
              </w:rPr>
              <w:t>Material Safety Data Sheet</w:t>
            </w:r>
          </w:p>
        </w:tc>
      </w:tr>
      <w:tr w:rsidR="00113E8B" w:rsidRPr="00271521" w14:paraId="5FD9E93E" w14:textId="77777777" w:rsidTr="004D67B7">
        <w:tc>
          <w:tcPr>
            <w:tcW w:w="1560" w:type="dxa"/>
            <w:shd w:val="clear" w:color="auto" w:fill="FFFFFF"/>
          </w:tcPr>
          <w:p w14:paraId="2FE28785" w14:textId="77777777" w:rsidR="00113E8B" w:rsidRDefault="00113E8B" w:rsidP="00EE3D0B">
            <w:pPr>
              <w:pStyle w:val="CETBodytext"/>
              <w:ind w:right="-1"/>
              <w:rPr>
                <w:lang w:val="en-GB"/>
              </w:rPr>
            </w:pPr>
            <w:r>
              <w:rPr>
                <w:lang w:val="en-GB"/>
              </w:rPr>
              <w:t>P&amp;ID</w:t>
            </w:r>
          </w:p>
        </w:tc>
        <w:tc>
          <w:tcPr>
            <w:tcW w:w="6945" w:type="dxa"/>
            <w:shd w:val="clear" w:color="auto" w:fill="FFFFFF"/>
          </w:tcPr>
          <w:p w14:paraId="2075BCD5" w14:textId="77777777" w:rsidR="00113E8B" w:rsidRDefault="00113E8B" w:rsidP="00EE3D0B">
            <w:pPr>
              <w:pStyle w:val="CETBodytext"/>
              <w:ind w:right="-1"/>
              <w:jc w:val="left"/>
              <w:rPr>
                <w:lang w:val="en-GB"/>
              </w:rPr>
            </w:pPr>
            <w:r>
              <w:rPr>
                <w:lang w:val="en-GB"/>
              </w:rPr>
              <w:t>Piping and Instrumentation Diagram</w:t>
            </w:r>
          </w:p>
        </w:tc>
      </w:tr>
      <w:tr w:rsidR="00113E8B" w:rsidRPr="00271521" w14:paraId="44839D74" w14:textId="77777777" w:rsidTr="004D67B7">
        <w:tc>
          <w:tcPr>
            <w:tcW w:w="1560" w:type="dxa"/>
            <w:shd w:val="clear" w:color="auto" w:fill="FFFFFF"/>
          </w:tcPr>
          <w:p w14:paraId="45D5D803" w14:textId="77777777" w:rsidR="00113E8B" w:rsidRDefault="00113E8B" w:rsidP="00EE3D0B">
            <w:pPr>
              <w:pStyle w:val="CETBodytext"/>
              <w:ind w:right="-1"/>
              <w:rPr>
                <w:lang w:val="en-GB"/>
              </w:rPr>
            </w:pPr>
            <w:r>
              <w:rPr>
                <w:lang w:val="en-GB"/>
              </w:rPr>
              <w:t>PFD</w:t>
            </w:r>
          </w:p>
        </w:tc>
        <w:tc>
          <w:tcPr>
            <w:tcW w:w="6945" w:type="dxa"/>
            <w:shd w:val="clear" w:color="auto" w:fill="FFFFFF"/>
          </w:tcPr>
          <w:p w14:paraId="37CCBD36" w14:textId="77777777" w:rsidR="00113E8B" w:rsidRDefault="00113E8B" w:rsidP="00EE3D0B">
            <w:pPr>
              <w:pStyle w:val="CETBodytext"/>
              <w:ind w:right="-1"/>
              <w:jc w:val="left"/>
              <w:rPr>
                <w:lang w:val="en-GB"/>
              </w:rPr>
            </w:pPr>
            <w:r>
              <w:rPr>
                <w:lang w:val="en-GB"/>
              </w:rPr>
              <w:t>Process Flow Diagram</w:t>
            </w:r>
          </w:p>
        </w:tc>
      </w:tr>
      <w:tr w:rsidR="00113E8B" w:rsidRPr="00271521" w14:paraId="4BC62FFF" w14:textId="77777777" w:rsidTr="004D67B7">
        <w:tc>
          <w:tcPr>
            <w:tcW w:w="1560" w:type="dxa"/>
            <w:shd w:val="clear" w:color="auto" w:fill="FFFFFF"/>
          </w:tcPr>
          <w:p w14:paraId="083C4702" w14:textId="77777777" w:rsidR="00113E8B" w:rsidRDefault="00113E8B" w:rsidP="00EE3D0B">
            <w:pPr>
              <w:pStyle w:val="CETBodytext"/>
              <w:ind w:right="-1"/>
              <w:rPr>
                <w:lang w:val="en-GB"/>
              </w:rPr>
            </w:pPr>
            <w:r>
              <w:rPr>
                <w:lang w:val="en-GB"/>
              </w:rPr>
              <w:t>Pmax</w:t>
            </w:r>
          </w:p>
        </w:tc>
        <w:tc>
          <w:tcPr>
            <w:tcW w:w="6945" w:type="dxa"/>
            <w:shd w:val="clear" w:color="auto" w:fill="FFFFFF"/>
          </w:tcPr>
          <w:p w14:paraId="0B7CBF5E" w14:textId="77777777" w:rsidR="00113E8B" w:rsidRDefault="00113E8B" w:rsidP="00EE3D0B">
            <w:pPr>
              <w:pStyle w:val="CETBodytext"/>
              <w:ind w:right="-1"/>
              <w:jc w:val="left"/>
              <w:rPr>
                <w:lang w:val="en-GB"/>
              </w:rPr>
            </w:pPr>
            <w:r w:rsidRPr="001D75D0">
              <w:rPr>
                <w:lang w:val="en-GB"/>
              </w:rPr>
              <w:t>Maximum pressure</w:t>
            </w:r>
            <w:r>
              <w:rPr>
                <w:lang w:val="en-GB"/>
              </w:rPr>
              <w:t xml:space="preserve"> that </w:t>
            </w:r>
            <w:r w:rsidRPr="001D75D0">
              <w:rPr>
                <w:lang w:val="en-GB"/>
              </w:rPr>
              <w:t xml:space="preserve">dust </w:t>
            </w:r>
            <w:r>
              <w:rPr>
                <w:lang w:val="en-GB"/>
              </w:rPr>
              <w:t xml:space="preserve">explosion can </w:t>
            </w:r>
            <w:r w:rsidRPr="001D75D0">
              <w:rPr>
                <w:lang w:val="en-GB"/>
              </w:rPr>
              <w:t>cause in a confined space</w:t>
            </w:r>
          </w:p>
        </w:tc>
      </w:tr>
      <w:tr w:rsidR="00AF399F" w:rsidRPr="00271521" w14:paraId="4C8C1ED0" w14:textId="77777777" w:rsidTr="004D67B7">
        <w:tc>
          <w:tcPr>
            <w:tcW w:w="1560" w:type="dxa"/>
            <w:shd w:val="clear" w:color="auto" w:fill="FFFFFF"/>
          </w:tcPr>
          <w:p w14:paraId="7B3C3AF2" w14:textId="7BEEC9FB" w:rsidR="00AF399F" w:rsidRDefault="00AF399F" w:rsidP="00EE3D0B">
            <w:pPr>
              <w:pStyle w:val="CETBodytext"/>
              <w:ind w:right="-1"/>
              <w:rPr>
                <w:lang w:val="en-GB"/>
              </w:rPr>
            </w:pPr>
            <w:r>
              <w:rPr>
                <w:lang w:val="en-GB"/>
              </w:rPr>
              <w:t>PSI</w:t>
            </w:r>
          </w:p>
        </w:tc>
        <w:tc>
          <w:tcPr>
            <w:tcW w:w="6945" w:type="dxa"/>
            <w:shd w:val="clear" w:color="auto" w:fill="FFFFFF"/>
          </w:tcPr>
          <w:p w14:paraId="50AE5F55" w14:textId="19EEFE7D" w:rsidR="00AF399F" w:rsidRPr="001D75D0" w:rsidRDefault="00AF399F" w:rsidP="00EE3D0B">
            <w:pPr>
              <w:pStyle w:val="CETBodytext"/>
              <w:ind w:right="-1"/>
              <w:jc w:val="left"/>
              <w:rPr>
                <w:lang w:val="en-GB"/>
              </w:rPr>
            </w:pPr>
            <w:r>
              <w:rPr>
                <w:lang w:val="en-GB"/>
              </w:rPr>
              <w:t>Process Safety Information</w:t>
            </w:r>
          </w:p>
        </w:tc>
      </w:tr>
      <w:tr w:rsidR="00874F42" w:rsidRPr="00271521" w14:paraId="1819C451" w14:textId="77777777" w:rsidTr="004D67B7">
        <w:tc>
          <w:tcPr>
            <w:tcW w:w="1560" w:type="dxa"/>
            <w:shd w:val="clear" w:color="auto" w:fill="FFFFFF"/>
          </w:tcPr>
          <w:p w14:paraId="16CEAFBB" w14:textId="77777777" w:rsidR="00874F42" w:rsidRPr="00271521" w:rsidRDefault="00874F42" w:rsidP="00EE3D0B">
            <w:pPr>
              <w:pStyle w:val="CETBodytext"/>
              <w:rPr>
                <w:lang w:val="en-GB"/>
              </w:rPr>
            </w:pPr>
            <w:r>
              <w:rPr>
                <w:lang w:val="en-GB"/>
              </w:rPr>
              <w:t>QRA</w:t>
            </w:r>
          </w:p>
        </w:tc>
        <w:tc>
          <w:tcPr>
            <w:tcW w:w="6945" w:type="dxa"/>
            <w:shd w:val="clear" w:color="auto" w:fill="FFFFFF"/>
          </w:tcPr>
          <w:p w14:paraId="12386224" w14:textId="77777777" w:rsidR="00874F42" w:rsidRPr="00271521" w:rsidRDefault="00874F42" w:rsidP="00EE3D0B">
            <w:pPr>
              <w:pStyle w:val="CETBodytext"/>
              <w:jc w:val="left"/>
              <w:rPr>
                <w:lang w:val="en-GB"/>
              </w:rPr>
            </w:pPr>
            <w:r>
              <w:rPr>
                <w:lang w:val="en-GB"/>
              </w:rPr>
              <w:t>Quantitative Risk Assessment</w:t>
            </w:r>
          </w:p>
        </w:tc>
      </w:tr>
      <w:tr w:rsidR="00874F42" w:rsidRPr="00271521" w14:paraId="20D691D5" w14:textId="77777777" w:rsidTr="004D67B7">
        <w:tc>
          <w:tcPr>
            <w:tcW w:w="1560" w:type="dxa"/>
            <w:shd w:val="clear" w:color="auto" w:fill="FFFFFF"/>
          </w:tcPr>
          <w:p w14:paraId="7D14B1BC" w14:textId="4FF69C74" w:rsidR="00874F42" w:rsidRDefault="00874F42" w:rsidP="00EE3D0B">
            <w:pPr>
              <w:pStyle w:val="CETBodytext"/>
              <w:ind w:right="-1"/>
              <w:rPr>
                <w:lang w:val="en-GB"/>
              </w:rPr>
            </w:pPr>
            <w:r>
              <w:rPr>
                <w:lang w:val="en-GB"/>
              </w:rPr>
              <w:t>SR</w:t>
            </w:r>
          </w:p>
        </w:tc>
        <w:tc>
          <w:tcPr>
            <w:tcW w:w="6945" w:type="dxa"/>
            <w:shd w:val="clear" w:color="auto" w:fill="FFFFFF"/>
          </w:tcPr>
          <w:p w14:paraId="1DF37B86" w14:textId="1CF3E003" w:rsidR="00874F42" w:rsidRPr="001D75D0" w:rsidRDefault="00874F42" w:rsidP="00EE3D0B">
            <w:pPr>
              <w:pStyle w:val="CETBodytext"/>
              <w:ind w:right="-1"/>
              <w:jc w:val="left"/>
              <w:rPr>
                <w:lang w:val="en-GB"/>
              </w:rPr>
            </w:pPr>
            <w:r>
              <w:rPr>
                <w:lang w:val="en-GB"/>
              </w:rPr>
              <w:t>Societal Risk</w:t>
            </w:r>
          </w:p>
        </w:tc>
      </w:tr>
      <w:bookmarkEnd w:id="5"/>
    </w:tbl>
    <w:p w14:paraId="428B022A" w14:textId="77777777" w:rsidR="00E65B91" w:rsidRPr="00271521" w:rsidRDefault="00E65B91" w:rsidP="00600535">
      <w:pPr>
        <w:pStyle w:val="CETReferencetext"/>
      </w:pPr>
    </w:p>
    <w:p w14:paraId="4375200F" w14:textId="77777777" w:rsidR="00AB6429" w:rsidRPr="00B57B36" w:rsidRDefault="00AB6429" w:rsidP="00AB6429">
      <w:pPr>
        <w:pStyle w:val="CETReference"/>
      </w:pPr>
      <w:r w:rsidRPr="00B57B36">
        <w:t>References</w:t>
      </w:r>
    </w:p>
    <w:p w14:paraId="1A59DC75" w14:textId="71BE4355" w:rsidR="00AB6429" w:rsidRPr="00376541" w:rsidRDefault="00AB6429" w:rsidP="00AB6429">
      <w:pPr>
        <w:pStyle w:val="CETReferencetext"/>
        <w:rPr>
          <w:lang w:val="en-US"/>
        </w:rPr>
      </w:pPr>
      <w:proofErr w:type="spellStart"/>
      <w:r w:rsidRPr="00AB6429">
        <w:t>Aven</w:t>
      </w:r>
      <w:proofErr w:type="spellEnd"/>
      <w:r w:rsidRPr="00AB6429">
        <w:t xml:space="preserve">, T., </w:t>
      </w:r>
      <w:proofErr w:type="spellStart"/>
      <w:r w:rsidRPr="00AB6429">
        <w:t>Renn</w:t>
      </w:r>
      <w:proofErr w:type="spellEnd"/>
      <w:r w:rsidRPr="00AB6429">
        <w:t xml:space="preserve">, O., 2009. </w:t>
      </w:r>
      <w:r>
        <w:t xml:space="preserve">On risk defined as an event where the outcome is uncertain. </w:t>
      </w:r>
      <w:r w:rsidRPr="00376541">
        <w:rPr>
          <w:lang w:val="en-US"/>
        </w:rPr>
        <w:t>J. Risk Res. 12, 1e11.</w:t>
      </w:r>
    </w:p>
    <w:p w14:paraId="52632814" w14:textId="5BA8DEBE" w:rsidR="00AB6429" w:rsidRDefault="00AB6429" w:rsidP="00AB6429">
      <w:pPr>
        <w:pStyle w:val="CETReferencetext"/>
      </w:pPr>
      <w:proofErr w:type="spellStart"/>
      <w:r>
        <w:t>Cacuci</w:t>
      </w:r>
      <w:proofErr w:type="spellEnd"/>
      <w:r>
        <w:t>, D.G., 2003. Sensitivity and Uncertainty Analysis. In: Theory, vol. 1. Chapman &amp; Hall/CRC, Washington DC.</w:t>
      </w:r>
    </w:p>
    <w:p w14:paraId="094824F8" w14:textId="0B645AEE" w:rsidR="00AB6429" w:rsidRDefault="00AB6429" w:rsidP="00AB6429">
      <w:pPr>
        <w:pStyle w:val="CETReferencetext"/>
      </w:pPr>
      <w:r>
        <w:t>CPR16, 1989. Methods for the Determination of Possible Damage (Green Book). The Netherland, The Hague.</w:t>
      </w:r>
    </w:p>
    <w:p w14:paraId="24010932" w14:textId="5261531E" w:rsidR="00F23E90" w:rsidRDefault="00F23E90" w:rsidP="00AB6429">
      <w:pPr>
        <w:pStyle w:val="CETReferencetext"/>
      </w:pPr>
      <w:r>
        <w:t xml:space="preserve">2005, </w:t>
      </w:r>
      <w:r w:rsidRPr="00F23E90">
        <w:t xml:space="preserve">Methods </w:t>
      </w:r>
      <w:proofErr w:type="gramStart"/>
      <w:r w:rsidRPr="00F23E90">
        <w:t>For</w:t>
      </w:r>
      <w:proofErr w:type="gramEnd"/>
      <w:r w:rsidRPr="00F23E90">
        <w:t xml:space="preserve"> Determining and Processing Probabilities </w:t>
      </w:r>
      <w:r>
        <w:t>(</w:t>
      </w:r>
      <w:r w:rsidRPr="00F23E90">
        <w:t>TNO Red Book</w:t>
      </w:r>
      <w:r>
        <w:t>)</w:t>
      </w:r>
      <w:r w:rsidRPr="00F23E90">
        <w:t xml:space="preserve">, </w:t>
      </w:r>
      <w:r>
        <w:t>The Netherland, The Hague</w:t>
      </w:r>
    </w:p>
    <w:p w14:paraId="2E1DA5E3" w14:textId="77777777" w:rsidR="004D67B7" w:rsidRPr="004D67B7" w:rsidRDefault="004D67B7" w:rsidP="004D67B7">
      <w:pPr>
        <w:pStyle w:val="CETReferencetext"/>
      </w:pPr>
      <w:r w:rsidRPr="004D67B7">
        <w:t>ESA/Planck Collaboration (17 July 2018). "Measurements of the Hubble constant". sci.esa.int. European Space Agency.</w:t>
      </w:r>
    </w:p>
    <w:p w14:paraId="180F0FD8" w14:textId="62AB6D51" w:rsidR="00AB6429" w:rsidRDefault="00AB6429" w:rsidP="00AB6429">
      <w:pPr>
        <w:pStyle w:val="CETReferencetext"/>
      </w:pPr>
      <w:proofErr w:type="spellStart"/>
      <w:r>
        <w:t>Flage</w:t>
      </w:r>
      <w:proofErr w:type="spellEnd"/>
      <w:r>
        <w:t xml:space="preserve">, R., </w:t>
      </w:r>
      <w:proofErr w:type="spellStart"/>
      <w:r>
        <w:t>Aven</w:t>
      </w:r>
      <w:proofErr w:type="spellEnd"/>
      <w:r>
        <w:t xml:space="preserve">, T., 2009. Expressing and communicating uncertainty in relation to quantitative risk analysis (QRA). </w:t>
      </w:r>
      <w:proofErr w:type="spellStart"/>
      <w:r>
        <w:t>Reliab</w:t>
      </w:r>
      <w:proofErr w:type="spellEnd"/>
      <w:r>
        <w:t>. Risk Anal. Theory Appl. 2 (13), 9e18.</w:t>
      </w:r>
    </w:p>
    <w:p w14:paraId="4F539A72" w14:textId="3E399CFA" w:rsidR="00AB6429" w:rsidRDefault="00AB6429" w:rsidP="00AB6429">
      <w:pPr>
        <w:pStyle w:val="CETReferencetext"/>
      </w:pPr>
      <w:r>
        <w:t>Health and Safety Executive, 2012. Failure Rate and Event Data for Use within Risk Assessments. On-line report. http://www.hse.gov.uk/landuseplanning/failurerates.</w:t>
      </w:r>
    </w:p>
    <w:p w14:paraId="26A07142" w14:textId="77777777" w:rsidR="004D67B7" w:rsidRPr="001F4D79" w:rsidRDefault="004D67B7" w:rsidP="004D67B7">
      <w:pPr>
        <w:pStyle w:val="CETReferencetext"/>
      </w:pPr>
      <w:r w:rsidRPr="001F4D79">
        <w:t xml:space="preserve">Hellas, M.S., </w:t>
      </w:r>
      <w:proofErr w:type="spellStart"/>
      <w:r w:rsidRPr="001F4D79">
        <w:t>Chaib</w:t>
      </w:r>
      <w:proofErr w:type="spellEnd"/>
      <w:r w:rsidRPr="001F4D79">
        <w:t xml:space="preserve">, R. and </w:t>
      </w:r>
      <w:proofErr w:type="spellStart"/>
      <w:r w:rsidRPr="001F4D79">
        <w:t>Verzea</w:t>
      </w:r>
      <w:proofErr w:type="spellEnd"/>
      <w:r w:rsidRPr="001F4D79">
        <w:t xml:space="preserve">, I. (2019). Artificial intelligence treating the problem of uncertainty in quantitative risk analysis (QRA). Journal of Engineering, Design and Technology, 18(1), pp.40–54. </w:t>
      </w:r>
      <w:proofErr w:type="spellStart"/>
      <w:proofErr w:type="gramStart"/>
      <w:r w:rsidRPr="001F4D79">
        <w:t>doi:https</w:t>
      </w:r>
      <w:proofErr w:type="spellEnd"/>
      <w:r w:rsidRPr="001F4D79">
        <w:t>://doi.org/10.1108/jedt-03-2019-0057</w:t>
      </w:r>
      <w:proofErr w:type="gramEnd"/>
      <w:r w:rsidRPr="001F4D79">
        <w:t>.</w:t>
      </w:r>
    </w:p>
    <w:p w14:paraId="3BB7859C" w14:textId="77777777" w:rsidR="00AB6429" w:rsidRPr="00AB6429" w:rsidRDefault="00AB6429" w:rsidP="00AB6429">
      <w:pPr>
        <w:pStyle w:val="CETReferencetext"/>
      </w:pPr>
      <w:r>
        <w:t xml:space="preserve">Lees, F.P., 1996. Loss Prevention in the Process Industries. </w:t>
      </w:r>
      <w:r w:rsidRPr="00AB6429">
        <w:t>Elsevier, London.</w:t>
      </w:r>
    </w:p>
    <w:p w14:paraId="3AB7B38B" w14:textId="77777777" w:rsidR="004D67B7" w:rsidRPr="0041254F" w:rsidRDefault="004D67B7" w:rsidP="004D67B7">
      <w:pPr>
        <w:pStyle w:val="CETReferencetext"/>
      </w:pPr>
      <w:r w:rsidRPr="001F4D79">
        <w:t xml:space="preserve">Milazzo, M., </w:t>
      </w:r>
      <w:proofErr w:type="spellStart"/>
      <w:r w:rsidRPr="001F4D79">
        <w:t>Vianello</w:t>
      </w:r>
      <w:proofErr w:type="spellEnd"/>
      <w:r w:rsidRPr="001F4D79">
        <w:t xml:space="preserve">, c., </w:t>
      </w:r>
      <w:proofErr w:type="spellStart"/>
      <w:r w:rsidRPr="001F4D79">
        <w:t>Maschio</w:t>
      </w:r>
      <w:proofErr w:type="spellEnd"/>
      <w:r w:rsidRPr="001F4D79">
        <w:t xml:space="preserve">, G., </w:t>
      </w:r>
      <w:r>
        <w:t xml:space="preserve">Uncertainties in QRA: Analysis of losses of containment from piping and implications on risk prevention and mitigation, </w:t>
      </w:r>
      <w:r w:rsidRPr="0041254F">
        <w:t>Journal of Loss Prevention in the Process Industries 36 (2015) 98e107</w:t>
      </w:r>
    </w:p>
    <w:p w14:paraId="3D39538E" w14:textId="6B021ADF" w:rsidR="001F4D79" w:rsidRPr="001F4D79" w:rsidRDefault="00AB6429" w:rsidP="004D67B7">
      <w:pPr>
        <w:pStyle w:val="CETReferencetext"/>
      </w:pPr>
      <w:proofErr w:type="spellStart"/>
      <w:r>
        <w:t>Rijnmond</w:t>
      </w:r>
      <w:proofErr w:type="spellEnd"/>
      <w:r>
        <w:t xml:space="preserve"> Public Authority, 1982. Risk Analysis of Six Potentially Hazardous Industrial</w:t>
      </w:r>
      <w:r w:rsidR="00DD1678">
        <w:t xml:space="preserve"> </w:t>
      </w:r>
      <w:r>
        <w:t xml:space="preserve">Objects in the </w:t>
      </w:r>
      <w:proofErr w:type="spellStart"/>
      <w:r>
        <w:t>Rijnmond</w:t>
      </w:r>
      <w:proofErr w:type="spellEnd"/>
      <w:r>
        <w:t xml:space="preserve"> Area, a Pilot Study. </w:t>
      </w:r>
      <w:proofErr w:type="spellStart"/>
      <w:r w:rsidRPr="00AB6429">
        <w:t>Reidel</w:t>
      </w:r>
      <w:proofErr w:type="spellEnd"/>
      <w:r w:rsidRPr="00AB6429">
        <w:t>, Dordrecht.</w:t>
      </w:r>
    </w:p>
    <w:sectPr w:rsidR="001F4D79" w:rsidRPr="001F4D7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7FAE" w14:textId="77777777" w:rsidR="00C42B73" w:rsidRDefault="00C42B73" w:rsidP="004F5E36">
      <w:r>
        <w:separator/>
      </w:r>
    </w:p>
  </w:endnote>
  <w:endnote w:type="continuationSeparator" w:id="0">
    <w:p w14:paraId="7E87407A" w14:textId="77777777" w:rsidR="00C42B73" w:rsidRDefault="00C42B7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7D4D" w14:textId="77777777" w:rsidR="00C42B73" w:rsidRDefault="00C42B73" w:rsidP="004F5E36">
      <w:r>
        <w:separator/>
      </w:r>
    </w:p>
  </w:footnote>
  <w:footnote w:type="continuationSeparator" w:id="0">
    <w:p w14:paraId="4DE66B15" w14:textId="77777777" w:rsidR="00C42B73" w:rsidRDefault="00C42B7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B5546D"/>
    <w:multiLevelType w:val="hybridMultilevel"/>
    <w:tmpl w:val="2C22999E"/>
    <w:lvl w:ilvl="0" w:tplc="00E6B4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E63751A"/>
    <w:multiLevelType w:val="hybridMultilevel"/>
    <w:tmpl w:val="666CA016"/>
    <w:lvl w:ilvl="0" w:tplc="EDFC7E64">
      <w:start w:val="1"/>
      <w:numFmt w:val="bullet"/>
      <w:lvlText w:val="•"/>
      <w:lvlJc w:val="left"/>
      <w:pPr>
        <w:tabs>
          <w:tab w:val="num" w:pos="720"/>
        </w:tabs>
        <w:ind w:left="720" w:hanging="360"/>
      </w:pPr>
      <w:rPr>
        <w:rFonts w:ascii="Times New Roman" w:hAnsi="Times New Roman" w:hint="default"/>
      </w:rPr>
    </w:lvl>
    <w:lvl w:ilvl="1" w:tplc="1E7495BE" w:tentative="1">
      <w:start w:val="1"/>
      <w:numFmt w:val="bullet"/>
      <w:lvlText w:val="•"/>
      <w:lvlJc w:val="left"/>
      <w:pPr>
        <w:tabs>
          <w:tab w:val="num" w:pos="1440"/>
        </w:tabs>
        <w:ind w:left="1440" w:hanging="360"/>
      </w:pPr>
      <w:rPr>
        <w:rFonts w:ascii="Times New Roman" w:hAnsi="Times New Roman" w:hint="default"/>
      </w:rPr>
    </w:lvl>
    <w:lvl w:ilvl="2" w:tplc="165286B2" w:tentative="1">
      <w:start w:val="1"/>
      <w:numFmt w:val="bullet"/>
      <w:lvlText w:val="•"/>
      <w:lvlJc w:val="left"/>
      <w:pPr>
        <w:tabs>
          <w:tab w:val="num" w:pos="2160"/>
        </w:tabs>
        <w:ind w:left="2160" w:hanging="360"/>
      </w:pPr>
      <w:rPr>
        <w:rFonts w:ascii="Times New Roman" w:hAnsi="Times New Roman" w:hint="default"/>
      </w:rPr>
    </w:lvl>
    <w:lvl w:ilvl="3" w:tplc="F814D116" w:tentative="1">
      <w:start w:val="1"/>
      <w:numFmt w:val="bullet"/>
      <w:lvlText w:val="•"/>
      <w:lvlJc w:val="left"/>
      <w:pPr>
        <w:tabs>
          <w:tab w:val="num" w:pos="2880"/>
        </w:tabs>
        <w:ind w:left="2880" w:hanging="360"/>
      </w:pPr>
      <w:rPr>
        <w:rFonts w:ascii="Times New Roman" w:hAnsi="Times New Roman" w:hint="default"/>
      </w:rPr>
    </w:lvl>
    <w:lvl w:ilvl="4" w:tplc="AF5AA68C" w:tentative="1">
      <w:start w:val="1"/>
      <w:numFmt w:val="bullet"/>
      <w:lvlText w:val="•"/>
      <w:lvlJc w:val="left"/>
      <w:pPr>
        <w:tabs>
          <w:tab w:val="num" w:pos="3600"/>
        </w:tabs>
        <w:ind w:left="3600" w:hanging="360"/>
      </w:pPr>
      <w:rPr>
        <w:rFonts w:ascii="Times New Roman" w:hAnsi="Times New Roman" w:hint="default"/>
      </w:rPr>
    </w:lvl>
    <w:lvl w:ilvl="5" w:tplc="FB9C226E" w:tentative="1">
      <w:start w:val="1"/>
      <w:numFmt w:val="bullet"/>
      <w:lvlText w:val="•"/>
      <w:lvlJc w:val="left"/>
      <w:pPr>
        <w:tabs>
          <w:tab w:val="num" w:pos="4320"/>
        </w:tabs>
        <w:ind w:left="4320" w:hanging="360"/>
      </w:pPr>
      <w:rPr>
        <w:rFonts w:ascii="Times New Roman" w:hAnsi="Times New Roman" w:hint="default"/>
      </w:rPr>
    </w:lvl>
    <w:lvl w:ilvl="6" w:tplc="3434FA7E" w:tentative="1">
      <w:start w:val="1"/>
      <w:numFmt w:val="bullet"/>
      <w:lvlText w:val="•"/>
      <w:lvlJc w:val="left"/>
      <w:pPr>
        <w:tabs>
          <w:tab w:val="num" w:pos="5040"/>
        </w:tabs>
        <w:ind w:left="5040" w:hanging="360"/>
      </w:pPr>
      <w:rPr>
        <w:rFonts w:ascii="Times New Roman" w:hAnsi="Times New Roman" w:hint="default"/>
      </w:rPr>
    </w:lvl>
    <w:lvl w:ilvl="7" w:tplc="80A24290" w:tentative="1">
      <w:start w:val="1"/>
      <w:numFmt w:val="bullet"/>
      <w:lvlText w:val="•"/>
      <w:lvlJc w:val="left"/>
      <w:pPr>
        <w:tabs>
          <w:tab w:val="num" w:pos="5760"/>
        </w:tabs>
        <w:ind w:left="5760" w:hanging="360"/>
      </w:pPr>
      <w:rPr>
        <w:rFonts w:ascii="Times New Roman" w:hAnsi="Times New Roman" w:hint="default"/>
      </w:rPr>
    </w:lvl>
    <w:lvl w:ilvl="8" w:tplc="D8C82F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3A6A4A"/>
    <w:multiLevelType w:val="hybridMultilevel"/>
    <w:tmpl w:val="6324DE88"/>
    <w:lvl w:ilvl="0" w:tplc="00E6B4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2B4E0A"/>
    <w:multiLevelType w:val="hybridMultilevel"/>
    <w:tmpl w:val="283AB8AC"/>
    <w:lvl w:ilvl="0" w:tplc="00E6B4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944323"/>
    <w:multiLevelType w:val="hybridMultilevel"/>
    <w:tmpl w:val="B57A7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F051E5"/>
    <w:multiLevelType w:val="hybridMultilevel"/>
    <w:tmpl w:val="EFEAAB38"/>
    <w:lvl w:ilvl="0" w:tplc="00E6B4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5550230">
    <w:abstractNumId w:val="10"/>
  </w:num>
  <w:num w:numId="2" w16cid:durableId="427895666">
    <w:abstractNumId w:val="8"/>
  </w:num>
  <w:num w:numId="3" w16cid:durableId="1050494354">
    <w:abstractNumId w:val="3"/>
  </w:num>
  <w:num w:numId="4" w16cid:durableId="161700158">
    <w:abstractNumId w:val="2"/>
  </w:num>
  <w:num w:numId="5" w16cid:durableId="2146199093">
    <w:abstractNumId w:val="1"/>
  </w:num>
  <w:num w:numId="6" w16cid:durableId="1888712297">
    <w:abstractNumId w:val="0"/>
  </w:num>
  <w:num w:numId="7" w16cid:durableId="1738237861">
    <w:abstractNumId w:val="9"/>
  </w:num>
  <w:num w:numId="8" w16cid:durableId="574359752">
    <w:abstractNumId w:val="7"/>
  </w:num>
  <w:num w:numId="9" w16cid:durableId="1368800269">
    <w:abstractNumId w:val="6"/>
  </w:num>
  <w:num w:numId="10" w16cid:durableId="1631550317">
    <w:abstractNumId w:val="5"/>
  </w:num>
  <w:num w:numId="11" w16cid:durableId="1174733256">
    <w:abstractNumId w:val="4"/>
  </w:num>
  <w:num w:numId="12" w16cid:durableId="89930419">
    <w:abstractNumId w:val="20"/>
  </w:num>
  <w:num w:numId="13" w16cid:durableId="1230458100">
    <w:abstractNumId w:val="12"/>
  </w:num>
  <w:num w:numId="14" w16cid:durableId="79841522">
    <w:abstractNumId w:val="21"/>
  </w:num>
  <w:num w:numId="15" w16cid:durableId="1627465386">
    <w:abstractNumId w:val="23"/>
  </w:num>
  <w:num w:numId="16" w16cid:durableId="1296376726">
    <w:abstractNumId w:val="22"/>
  </w:num>
  <w:num w:numId="17" w16cid:durableId="778455450">
    <w:abstractNumId w:val="11"/>
  </w:num>
  <w:num w:numId="18" w16cid:durableId="1713385368">
    <w:abstractNumId w:val="12"/>
    <w:lvlOverride w:ilvl="0">
      <w:startOverride w:val="1"/>
    </w:lvlOverride>
  </w:num>
  <w:num w:numId="19" w16cid:durableId="1038580166">
    <w:abstractNumId w:val="19"/>
  </w:num>
  <w:num w:numId="20" w16cid:durableId="1989434696">
    <w:abstractNumId w:val="17"/>
  </w:num>
  <w:num w:numId="21" w16cid:durableId="1924414043">
    <w:abstractNumId w:val="15"/>
  </w:num>
  <w:num w:numId="22" w16cid:durableId="69423972">
    <w:abstractNumId w:val="14"/>
  </w:num>
  <w:num w:numId="23" w16cid:durableId="1306425135">
    <w:abstractNumId w:val="10"/>
  </w:num>
  <w:num w:numId="24" w16cid:durableId="2104107659">
    <w:abstractNumId w:val="25"/>
  </w:num>
  <w:num w:numId="25" w16cid:durableId="1878465303">
    <w:abstractNumId w:val="18"/>
  </w:num>
  <w:num w:numId="26" w16cid:durableId="1888762445">
    <w:abstractNumId w:val="10"/>
  </w:num>
  <w:num w:numId="27" w16cid:durableId="31660834">
    <w:abstractNumId w:val="10"/>
  </w:num>
  <w:num w:numId="28" w16cid:durableId="1017776414">
    <w:abstractNumId w:val="24"/>
  </w:num>
  <w:num w:numId="29" w16cid:durableId="1903978515">
    <w:abstractNumId w:val="10"/>
  </w:num>
  <w:num w:numId="30" w16cid:durableId="1150899311">
    <w:abstractNumId w:val="26"/>
  </w:num>
  <w:num w:numId="31" w16cid:durableId="1454783156">
    <w:abstractNumId w:val="10"/>
  </w:num>
  <w:num w:numId="32" w16cid:durableId="855730535">
    <w:abstractNumId w:val="10"/>
  </w:num>
  <w:num w:numId="33" w16cid:durableId="1774011204">
    <w:abstractNumId w:val="13"/>
  </w:num>
  <w:num w:numId="34" w16cid:durableId="1714386368">
    <w:abstractNumId w:val="10"/>
  </w:num>
  <w:num w:numId="35" w16cid:durableId="735587713">
    <w:abstractNumId w:val="10"/>
  </w:num>
  <w:num w:numId="36" w16cid:durableId="411200545">
    <w:abstractNumId w:val="10"/>
  </w:num>
  <w:num w:numId="37" w16cid:durableId="1147743916">
    <w:abstractNumId w:val="10"/>
  </w:num>
  <w:num w:numId="38" w16cid:durableId="437681825">
    <w:abstractNumId w:val="10"/>
  </w:num>
  <w:num w:numId="39" w16cid:durableId="829908594">
    <w:abstractNumId w:val="10"/>
  </w:num>
  <w:num w:numId="40" w16cid:durableId="1008293878">
    <w:abstractNumId w:val="10"/>
  </w:num>
  <w:num w:numId="41" w16cid:durableId="887836553">
    <w:abstractNumId w:val="10"/>
  </w:num>
  <w:num w:numId="42" w16cid:durableId="1109817765">
    <w:abstractNumId w:val="10"/>
  </w:num>
  <w:num w:numId="43" w16cid:durableId="407650276">
    <w:abstractNumId w:val="10"/>
  </w:num>
  <w:num w:numId="44" w16cid:durableId="1072656970">
    <w:abstractNumId w:val="10"/>
  </w:num>
  <w:num w:numId="45" w16cid:durableId="1675377414">
    <w:abstractNumId w:val="10"/>
  </w:num>
  <w:num w:numId="46" w16cid:durableId="20592084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A03B2"/>
    <w:rsid w:val="000B6D0E"/>
    <w:rsid w:val="000C1A41"/>
    <w:rsid w:val="000D0268"/>
    <w:rsid w:val="000D34BE"/>
    <w:rsid w:val="000E102F"/>
    <w:rsid w:val="000E36F1"/>
    <w:rsid w:val="000E3A73"/>
    <w:rsid w:val="000E414A"/>
    <w:rsid w:val="000F093C"/>
    <w:rsid w:val="000F787B"/>
    <w:rsid w:val="00113E8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4D79"/>
    <w:rsid w:val="001F7B9D"/>
    <w:rsid w:val="00201C93"/>
    <w:rsid w:val="00217B28"/>
    <w:rsid w:val="002224B4"/>
    <w:rsid w:val="002447EF"/>
    <w:rsid w:val="00251550"/>
    <w:rsid w:val="00263B05"/>
    <w:rsid w:val="00271521"/>
    <w:rsid w:val="0027221A"/>
    <w:rsid w:val="00275B61"/>
    <w:rsid w:val="00280FAF"/>
    <w:rsid w:val="00282656"/>
    <w:rsid w:val="00296B83"/>
    <w:rsid w:val="002B4015"/>
    <w:rsid w:val="002B7258"/>
    <w:rsid w:val="002B78CE"/>
    <w:rsid w:val="002C2FB6"/>
    <w:rsid w:val="002E5FA7"/>
    <w:rsid w:val="002F3309"/>
    <w:rsid w:val="003008CE"/>
    <w:rsid w:val="003009B7"/>
    <w:rsid w:val="00300E56"/>
    <w:rsid w:val="0030152C"/>
    <w:rsid w:val="0030469C"/>
    <w:rsid w:val="00321CA6"/>
    <w:rsid w:val="00323763"/>
    <w:rsid w:val="00323C5F"/>
    <w:rsid w:val="00334C09"/>
    <w:rsid w:val="00336AEF"/>
    <w:rsid w:val="003723D4"/>
    <w:rsid w:val="00376541"/>
    <w:rsid w:val="00381905"/>
    <w:rsid w:val="00384CC8"/>
    <w:rsid w:val="003871FD"/>
    <w:rsid w:val="00395A9C"/>
    <w:rsid w:val="003A1E30"/>
    <w:rsid w:val="003A2829"/>
    <w:rsid w:val="003A7D1C"/>
    <w:rsid w:val="003B304B"/>
    <w:rsid w:val="003B3146"/>
    <w:rsid w:val="003F015E"/>
    <w:rsid w:val="003F7E64"/>
    <w:rsid w:val="00400414"/>
    <w:rsid w:val="0041254F"/>
    <w:rsid w:val="0041446B"/>
    <w:rsid w:val="0044071E"/>
    <w:rsid w:val="0044172E"/>
    <w:rsid w:val="0044329C"/>
    <w:rsid w:val="00453E24"/>
    <w:rsid w:val="00456F5F"/>
    <w:rsid w:val="00457456"/>
    <w:rsid w:val="004577FE"/>
    <w:rsid w:val="00457B9C"/>
    <w:rsid w:val="0046164A"/>
    <w:rsid w:val="004625AD"/>
    <w:rsid w:val="004628D2"/>
    <w:rsid w:val="00462DCD"/>
    <w:rsid w:val="004648AD"/>
    <w:rsid w:val="004703A9"/>
    <w:rsid w:val="004760DE"/>
    <w:rsid w:val="004763D7"/>
    <w:rsid w:val="004A004E"/>
    <w:rsid w:val="004A24CF"/>
    <w:rsid w:val="004B1D36"/>
    <w:rsid w:val="004C3D1D"/>
    <w:rsid w:val="004C3D84"/>
    <w:rsid w:val="004C7913"/>
    <w:rsid w:val="004D67B7"/>
    <w:rsid w:val="004E4DD6"/>
    <w:rsid w:val="004F5E36"/>
    <w:rsid w:val="00507B47"/>
    <w:rsid w:val="00507BEF"/>
    <w:rsid w:val="00507CC9"/>
    <w:rsid w:val="005119A5"/>
    <w:rsid w:val="005278B7"/>
    <w:rsid w:val="00532016"/>
    <w:rsid w:val="00533069"/>
    <w:rsid w:val="005346C8"/>
    <w:rsid w:val="00543E7D"/>
    <w:rsid w:val="00547A68"/>
    <w:rsid w:val="005531C9"/>
    <w:rsid w:val="00570C43"/>
    <w:rsid w:val="005942F8"/>
    <w:rsid w:val="005A5ACB"/>
    <w:rsid w:val="005B2110"/>
    <w:rsid w:val="005B61E6"/>
    <w:rsid w:val="005C77E1"/>
    <w:rsid w:val="005D315B"/>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3C30"/>
    <w:rsid w:val="006E737D"/>
    <w:rsid w:val="00713973"/>
    <w:rsid w:val="00720A24"/>
    <w:rsid w:val="00732386"/>
    <w:rsid w:val="0073514D"/>
    <w:rsid w:val="007447F3"/>
    <w:rsid w:val="0075499F"/>
    <w:rsid w:val="0075563A"/>
    <w:rsid w:val="007661C8"/>
    <w:rsid w:val="0077098D"/>
    <w:rsid w:val="007931FA"/>
    <w:rsid w:val="007A4861"/>
    <w:rsid w:val="007A7BBA"/>
    <w:rsid w:val="007B0C50"/>
    <w:rsid w:val="007B48F9"/>
    <w:rsid w:val="007C088E"/>
    <w:rsid w:val="007C1A43"/>
    <w:rsid w:val="007D0951"/>
    <w:rsid w:val="007D2AB5"/>
    <w:rsid w:val="007D5BB8"/>
    <w:rsid w:val="007E3100"/>
    <w:rsid w:val="0080013E"/>
    <w:rsid w:val="00813288"/>
    <w:rsid w:val="008168FC"/>
    <w:rsid w:val="00830996"/>
    <w:rsid w:val="00833A99"/>
    <w:rsid w:val="008345F1"/>
    <w:rsid w:val="00862CCD"/>
    <w:rsid w:val="00865B07"/>
    <w:rsid w:val="008667EA"/>
    <w:rsid w:val="0087397F"/>
    <w:rsid w:val="00874F42"/>
    <w:rsid w:val="0087637F"/>
    <w:rsid w:val="00892AD5"/>
    <w:rsid w:val="008A1512"/>
    <w:rsid w:val="008C4F15"/>
    <w:rsid w:val="008D32B9"/>
    <w:rsid w:val="008D433B"/>
    <w:rsid w:val="008D4A16"/>
    <w:rsid w:val="008E566E"/>
    <w:rsid w:val="00901531"/>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A0B5C"/>
    <w:rsid w:val="009B041A"/>
    <w:rsid w:val="009C37C3"/>
    <w:rsid w:val="009C506B"/>
    <w:rsid w:val="009C7C86"/>
    <w:rsid w:val="009D2FF7"/>
    <w:rsid w:val="009E7884"/>
    <w:rsid w:val="009E788A"/>
    <w:rsid w:val="009F0E08"/>
    <w:rsid w:val="009F1339"/>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B6429"/>
    <w:rsid w:val="00AC7368"/>
    <w:rsid w:val="00AD16B9"/>
    <w:rsid w:val="00AE377D"/>
    <w:rsid w:val="00AF0EBA"/>
    <w:rsid w:val="00AF399F"/>
    <w:rsid w:val="00B02C8A"/>
    <w:rsid w:val="00B17FBD"/>
    <w:rsid w:val="00B315A6"/>
    <w:rsid w:val="00B31813"/>
    <w:rsid w:val="00B32609"/>
    <w:rsid w:val="00B33365"/>
    <w:rsid w:val="00B57B36"/>
    <w:rsid w:val="00B57E6F"/>
    <w:rsid w:val="00B8686D"/>
    <w:rsid w:val="00B93386"/>
    <w:rsid w:val="00B93F69"/>
    <w:rsid w:val="00B965BD"/>
    <w:rsid w:val="00BB1DDC"/>
    <w:rsid w:val="00BC30C9"/>
    <w:rsid w:val="00BD077D"/>
    <w:rsid w:val="00BE3E58"/>
    <w:rsid w:val="00C01616"/>
    <w:rsid w:val="00C0162B"/>
    <w:rsid w:val="00C0559F"/>
    <w:rsid w:val="00C068ED"/>
    <w:rsid w:val="00C22E0C"/>
    <w:rsid w:val="00C345B1"/>
    <w:rsid w:val="00C40142"/>
    <w:rsid w:val="00C42B73"/>
    <w:rsid w:val="00C52C3C"/>
    <w:rsid w:val="00C57182"/>
    <w:rsid w:val="00C57863"/>
    <w:rsid w:val="00C640AF"/>
    <w:rsid w:val="00C655FD"/>
    <w:rsid w:val="00C672F3"/>
    <w:rsid w:val="00C75407"/>
    <w:rsid w:val="00C870A8"/>
    <w:rsid w:val="00C94434"/>
    <w:rsid w:val="00CA0D75"/>
    <w:rsid w:val="00CA1C95"/>
    <w:rsid w:val="00CA5A9C"/>
    <w:rsid w:val="00CC4C20"/>
    <w:rsid w:val="00CD3517"/>
    <w:rsid w:val="00CD42AC"/>
    <w:rsid w:val="00CD5FE2"/>
    <w:rsid w:val="00CE731E"/>
    <w:rsid w:val="00CE7C68"/>
    <w:rsid w:val="00D02B4C"/>
    <w:rsid w:val="00D040C4"/>
    <w:rsid w:val="00D11EB2"/>
    <w:rsid w:val="00D151F9"/>
    <w:rsid w:val="00D20AD1"/>
    <w:rsid w:val="00D46B7E"/>
    <w:rsid w:val="00D57C84"/>
    <w:rsid w:val="00D6057D"/>
    <w:rsid w:val="00D71640"/>
    <w:rsid w:val="00D75D37"/>
    <w:rsid w:val="00D836C5"/>
    <w:rsid w:val="00D84576"/>
    <w:rsid w:val="00DA1399"/>
    <w:rsid w:val="00DA24C6"/>
    <w:rsid w:val="00DA4D7B"/>
    <w:rsid w:val="00DD1678"/>
    <w:rsid w:val="00DD271C"/>
    <w:rsid w:val="00DE264A"/>
    <w:rsid w:val="00DF5072"/>
    <w:rsid w:val="00E02D18"/>
    <w:rsid w:val="00E041E7"/>
    <w:rsid w:val="00E14212"/>
    <w:rsid w:val="00E23CA1"/>
    <w:rsid w:val="00E409A8"/>
    <w:rsid w:val="00E50C12"/>
    <w:rsid w:val="00E65B91"/>
    <w:rsid w:val="00E7209D"/>
    <w:rsid w:val="00E72EAD"/>
    <w:rsid w:val="00E77223"/>
    <w:rsid w:val="00E8528B"/>
    <w:rsid w:val="00E85B94"/>
    <w:rsid w:val="00E978D0"/>
    <w:rsid w:val="00EA4613"/>
    <w:rsid w:val="00EA616D"/>
    <w:rsid w:val="00EA7F91"/>
    <w:rsid w:val="00EB1523"/>
    <w:rsid w:val="00EC0E49"/>
    <w:rsid w:val="00EC101F"/>
    <w:rsid w:val="00EC1D9F"/>
    <w:rsid w:val="00EE0131"/>
    <w:rsid w:val="00EE17B0"/>
    <w:rsid w:val="00EF06D9"/>
    <w:rsid w:val="00F237DE"/>
    <w:rsid w:val="00F23E90"/>
    <w:rsid w:val="00F3049E"/>
    <w:rsid w:val="00F30C64"/>
    <w:rsid w:val="00F32BA2"/>
    <w:rsid w:val="00F32CDB"/>
    <w:rsid w:val="00F43C25"/>
    <w:rsid w:val="00F565FE"/>
    <w:rsid w:val="00F63A70"/>
    <w:rsid w:val="00F63D8C"/>
    <w:rsid w:val="00F7534E"/>
    <w:rsid w:val="00F93EDF"/>
    <w:rsid w:val="00FA1802"/>
    <w:rsid w:val="00FA21D0"/>
    <w:rsid w:val="00FA5F5F"/>
    <w:rsid w:val="00FB6BAE"/>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9617">
      <w:bodyDiv w:val="1"/>
      <w:marLeft w:val="0"/>
      <w:marRight w:val="0"/>
      <w:marTop w:val="0"/>
      <w:marBottom w:val="0"/>
      <w:divBdr>
        <w:top w:val="none" w:sz="0" w:space="0" w:color="auto"/>
        <w:left w:val="none" w:sz="0" w:space="0" w:color="auto"/>
        <w:bottom w:val="none" w:sz="0" w:space="0" w:color="auto"/>
        <w:right w:val="none" w:sz="0" w:space="0" w:color="auto"/>
      </w:divBdr>
    </w:div>
    <w:div w:id="576598144">
      <w:bodyDiv w:val="1"/>
      <w:marLeft w:val="0"/>
      <w:marRight w:val="0"/>
      <w:marTop w:val="0"/>
      <w:marBottom w:val="0"/>
      <w:divBdr>
        <w:top w:val="none" w:sz="0" w:space="0" w:color="auto"/>
        <w:left w:val="none" w:sz="0" w:space="0" w:color="auto"/>
        <w:bottom w:val="none" w:sz="0" w:space="0" w:color="auto"/>
        <w:right w:val="none" w:sz="0" w:space="0" w:color="auto"/>
      </w:divBdr>
    </w:div>
    <w:div w:id="67924116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16474262">
      <w:bodyDiv w:val="1"/>
      <w:marLeft w:val="0"/>
      <w:marRight w:val="0"/>
      <w:marTop w:val="0"/>
      <w:marBottom w:val="0"/>
      <w:divBdr>
        <w:top w:val="none" w:sz="0" w:space="0" w:color="auto"/>
        <w:left w:val="none" w:sz="0" w:space="0" w:color="auto"/>
        <w:bottom w:val="none" w:sz="0" w:space="0" w:color="auto"/>
        <w:right w:val="none" w:sz="0" w:space="0" w:color="auto"/>
      </w:divBdr>
    </w:div>
    <w:div w:id="1665473662">
      <w:bodyDiv w:val="1"/>
      <w:marLeft w:val="0"/>
      <w:marRight w:val="0"/>
      <w:marTop w:val="0"/>
      <w:marBottom w:val="0"/>
      <w:divBdr>
        <w:top w:val="none" w:sz="0" w:space="0" w:color="auto"/>
        <w:left w:val="none" w:sz="0" w:space="0" w:color="auto"/>
        <w:bottom w:val="none" w:sz="0" w:space="0" w:color="auto"/>
        <w:right w:val="none" w:sz="0" w:space="0" w:color="auto"/>
      </w:divBdr>
      <w:divsChild>
        <w:div w:id="700782715">
          <w:marLeft w:val="547"/>
          <w:marRight w:val="0"/>
          <w:marTop w:val="0"/>
          <w:marBottom w:val="0"/>
          <w:divBdr>
            <w:top w:val="none" w:sz="0" w:space="0" w:color="auto"/>
            <w:left w:val="none" w:sz="0" w:space="0" w:color="auto"/>
            <w:bottom w:val="none" w:sz="0" w:space="0" w:color="auto"/>
            <w:right w:val="none" w:sz="0" w:space="0" w:color="auto"/>
          </w:divBdr>
        </w:div>
        <w:div w:id="1770468540">
          <w:marLeft w:val="547"/>
          <w:marRight w:val="0"/>
          <w:marTop w:val="0"/>
          <w:marBottom w:val="0"/>
          <w:divBdr>
            <w:top w:val="none" w:sz="0" w:space="0" w:color="auto"/>
            <w:left w:val="none" w:sz="0" w:space="0" w:color="auto"/>
            <w:bottom w:val="none" w:sz="0" w:space="0" w:color="auto"/>
            <w:right w:val="none" w:sz="0" w:space="0" w:color="auto"/>
          </w:divBdr>
        </w:div>
        <w:div w:id="1289507252">
          <w:marLeft w:val="547"/>
          <w:marRight w:val="0"/>
          <w:marTop w:val="0"/>
          <w:marBottom w:val="0"/>
          <w:divBdr>
            <w:top w:val="none" w:sz="0" w:space="0" w:color="auto"/>
            <w:left w:val="none" w:sz="0" w:space="0" w:color="auto"/>
            <w:bottom w:val="none" w:sz="0" w:space="0" w:color="auto"/>
            <w:right w:val="none" w:sz="0" w:space="0" w:color="auto"/>
          </w:divBdr>
        </w:div>
        <w:div w:id="1529178095">
          <w:marLeft w:val="547"/>
          <w:marRight w:val="0"/>
          <w:marTop w:val="0"/>
          <w:marBottom w:val="0"/>
          <w:divBdr>
            <w:top w:val="none" w:sz="0" w:space="0" w:color="auto"/>
            <w:left w:val="none" w:sz="0" w:space="0" w:color="auto"/>
            <w:bottom w:val="none" w:sz="0" w:space="0" w:color="auto"/>
            <w:right w:val="none" w:sz="0" w:space="0" w:color="auto"/>
          </w:divBdr>
        </w:div>
        <w:div w:id="407651882">
          <w:marLeft w:val="547"/>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919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E600FCDD2BB4F8FEE825292886E9E" ma:contentTypeVersion="16" ma:contentTypeDescription="Create a new document." ma:contentTypeScope="" ma:versionID="c9fe52b7f7b7f682aa00d4a4b39d5d15">
  <xsd:schema xmlns:xsd="http://www.w3.org/2001/XMLSchema" xmlns:xs="http://www.w3.org/2001/XMLSchema" xmlns:p="http://schemas.microsoft.com/office/2006/metadata/properties" xmlns:ns2="9db0b9aa-fbd6-4224-8087-b47519e56762" xmlns:ns3="edfeadc5-bc09-44b2-928a-ec994b8f3855" xmlns:ns4="de85019f-04e1-4f7c-919e-2a63045bd3a6" targetNamespace="http://schemas.microsoft.com/office/2006/metadata/properties" ma:root="true" ma:fieldsID="d984f5e10ec101eeeba8abb4b96f6eb0" ns2:_="" ns3:_="" ns4:_="">
    <xsd:import namespace="9db0b9aa-fbd6-4224-8087-b47519e56762"/>
    <xsd:import namespace="edfeadc5-bc09-44b2-928a-ec994b8f3855"/>
    <xsd:import namespace="de85019f-04e1-4f7c-919e-2a63045bd3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b9aa-fbd6-4224-8087-b47519e5676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eadc5-bc09-44b2-928a-ec994b8f38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85019f-04e1-4f7c-919e-2a63045bd3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759327-60d1-4fd5-af6a-4bc822362c85}" ma:internalName="TaxCatchAll" ma:showField="CatchAllData" ma:web="23dce217-bda3-4327-bfeb-444b3b473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C59C-0C0D-4E5C-85E6-5000372DA7AB}">
  <ds:schemaRefs>
    <ds:schemaRef ds:uri="http://schemas.microsoft.com/sharepoint/v3/contenttype/forms"/>
  </ds:schemaRefs>
</ds:datastoreItem>
</file>

<file path=customXml/itemProps2.xml><?xml version="1.0" encoding="utf-8"?>
<ds:datastoreItem xmlns:ds="http://schemas.openxmlformats.org/officeDocument/2006/customXml" ds:itemID="{9B0AFCD4-3251-4A47-903E-DF7412036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b9aa-fbd6-4224-8087-b47519e56762"/>
    <ds:schemaRef ds:uri="edfeadc5-bc09-44b2-928a-ec994b8f3855"/>
    <ds:schemaRef ds:uri="de85019f-04e1-4f7c-919e-2a63045b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3034</Words>
  <Characters>17297</Characters>
  <Application>Microsoft Office Word</Application>
  <DocSecurity>0</DocSecurity>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Leonardo Michele CARLUCCIO</cp:lastModifiedBy>
  <cp:revision>21</cp:revision>
  <cp:lastPrinted>2015-05-12T18:31:00Z</cp:lastPrinted>
  <dcterms:created xsi:type="dcterms:W3CDTF">2023-04-17T12:38:00Z</dcterms:created>
  <dcterms:modified xsi:type="dcterms:W3CDTF">2023-04-18T14:00:00Z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