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240A3" w14:paraId="2A131A54" w14:textId="77777777" w:rsidTr="00F2067B">
        <w:trPr>
          <w:trHeight w:val="852"/>
          <w:jc w:val="center"/>
        </w:trPr>
        <w:tc>
          <w:tcPr>
            <w:tcW w:w="6940" w:type="dxa"/>
            <w:vMerge w:val="restart"/>
            <w:tcBorders>
              <w:right w:val="single" w:sz="4" w:space="0" w:color="auto"/>
            </w:tcBorders>
          </w:tcPr>
          <w:p w14:paraId="38C3D2BA" w14:textId="77777777" w:rsidR="000A03B2" w:rsidRPr="005240A3" w:rsidRDefault="000A03B2" w:rsidP="00DE264A">
            <w:pPr>
              <w:tabs>
                <w:tab w:val="left" w:pos="-108"/>
              </w:tabs>
              <w:ind w:left="-108"/>
              <w:jc w:val="left"/>
              <w:rPr>
                <w:rFonts w:cs="Arial"/>
                <w:b/>
                <w:bCs/>
                <w:i/>
                <w:iCs/>
                <w:color w:val="000066"/>
                <w:sz w:val="12"/>
                <w:szCs w:val="12"/>
                <w:lang w:val="en-US" w:eastAsia="it-IT"/>
              </w:rPr>
            </w:pPr>
            <w:r w:rsidRPr="005240A3">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240A3">
              <w:rPr>
                <w:rFonts w:ascii="AdvP6960" w:hAnsi="AdvP6960" w:cs="AdvP6960"/>
                <w:color w:val="241F20"/>
                <w:szCs w:val="18"/>
                <w:lang w:val="en-US" w:eastAsia="it-IT"/>
              </w:rPr>
              <w:t xml:space="preserve"> </w:t>
            </w:r>
            <w:r w:rsidRPr="005240A3">
              <w:rPr>
                <w:rFonts w:cs="Arial"/>
                <w:b/>
                <w:bCs/>
                <w:i/>
                <w:iCs/>
                <w:color w:val="000066"/>
                <w:sz w:val="24"/>
                <w:szCs w:val="24"/>
                <w:lang w:val="en-US" w:eastAsia="it-IT"/>
              </w:rPr>
              <w:t>CHEMICAL ENGINEERING</w:t>
            </w:r>
            <w:r w:rsidRPr="005240A3">
              <w:rPr>
                <w:rFonts w:cs="Arial"/>
                <w:b/>
                <w:bCs/>
                <w:i/>
                <w:iCs/>
                <w:color w:val="0033FF"/>
                <w:sz w:val="24"/>
                <w:szCs w:val="24"/>
                <w:lang w:val="en-US" w:eastAsia="it-IT"/>
              </w:rPr>
              <w:t xml:space="preserve"> </w:t>
            </w:r>
            <w:r w:rsidRPr="005240A3">
              <w:rPr>
                <w:rFonts w:cs="Arial"/>
                <w:b/>
                <w:bCs/>
                <w:i/>
                <w:iCs/>
                <w:color w:val="666666"/>
                <w:sz w:val="24"/>
                <w:szCs w:val="24"/>
                <w:lang w:val="en-US" w:eastAsia="it-IT"/>
              </w:rPr>
              <w:t>TRANSACTIONS</w:t>
            </w:r>
            <w:r w:rsidRPr="005240A3">
              <w:rPr>
                <w:color w:val="333333"/>
                <w:sz w:val="24"/>
                <w:szCs w:val="24"/>
                <w:lang w:val="en-US" w:eastAsia="it-IT"/>
              </w:rPr>
              <w:t xml:space="preserve"> </w:t>
            </w:r>
            <w:r w:rsidRPr="005240A3">
              <w:rPr>
                <w:rFonts w:cs="Arial"/>
                <w:b/>
                <w:bCs/>
                <w:i/>
                <w:iCs/>
                <w:color w:val="000066"/>
                <w:sz w:val="27"/>
                <w:szCs w:val="27"/>
                <w:lang w:val="en-US" w:eastAsia="it-IT"/>
              </w:rPr>
              <w:br/>
            </w:r>
          </w:p>
          <w:p w14:paraId="4B780582" w14:textId="530285EB" w:rsidR="000A03B2" w:rsidRPr="005240A3" w:rsidRDefault="00A76EFC" w:rsidP="001D21AF">
            <w:pPr>
              <w:tabs>
                <w:tab w:val="left" w:pos="-108"/>
              </w:tabs>
              <w:ind w:left="-108"/>
              <w:rPr>
                <w:rFonts w:cs="Arial"/>
                <w:b/>
                <w:bCs/>
                <w:i/>
                <w:iCs/>
                <w:color w:val="000066"/>
                <w:sz w:val="22"/>
                <w:szCs w:val="22"/>
                <w:lang w:val="en-US" w:eastAsia="it-IT"/>
              </w:rPr>
            </w:pPr>
            <w:r w:rsidRPr="005240A3">
              <w:rPr>
                <w:rFonts w:cs="Arial"/>
                <w:b/>
                <w:bCs/>
                <w:i/>
                <w:iCs/>
                <w:color w:val="000066"/>
                <w:sz w:val="22"/>
                <w:szCs w:val="22"/>
                <w:lang w:val="en-US" w:eastAsia="it-IT"/>
              </w:rPr>
              <w:t xml:space="preserve">VOL. </w:t>
            </w:r>
            <w:r w:rsidR="0030152C" w:rsidRPr="005240A3">
              <w:rPr>
                <w:rFonts w:cs="Arial"/>
                <w:b/>
                <w:bCs/>
                <w:i/>
                <w:iCs/>
                <w:color w:val="000066"/>
                <w:sz w:val="22"/>
                <w:szCs w:val="22"/>
                <w:lang w:val="en-US" w:eastAsia="it-IT"/>
              </w:rPr>
              <w:t xml:space="preserve">   </w:t>
            </w:r>
            <w:r w:rsidR="007B48F9" w:rsidRPr="005240A3">
              <w:rPr>
                <w:rFonts w:cs="Arial"/>
                <w:b/>
                <w:bCs/>
                <w:i/>
                <w:iCs/>
                <w:color w:val="000066"/>
                <w:sz w:val="22"/>
                <w:szCs w:val="22"/>
                <w:lang w:val="en-US" w:eastAsia="it-IT"/>
              </w:rPr>
              <w:t>,</w:t>
            </w:r>
            <w:r w:rsidR="00FA5F5F" w:rsidRPr="005240A3">
              <w:rPr>
                <w:rFonts w:cs="Arial"/>
                <w:b/>
                <w:bCs/>
                <w:i/>
                <w:iCs/>
                <w:color w:val="000066"/>
                <w:sz w:val="22"/>
                <w:szCs w:val="22"/>
                <w:lang w:val="en-US" w:eastAsia="it-IT"/>
              </w:rPr>
              <w:t xml:space="preserve"> </w:t>
            </w:r>
            <w:r w:rsidR="0030152C" w:rsidRPr="005240A3">
              <w:rPr>
                <w:rFonts w:cs="Arial"/>
                <w:b/>
                <w:bCs/>
                <w:i/>
                <w:iCs/>
                <w:color w:val="000066"/>
                <w:sz w:val="22"/>
                <w:szCs w:val="22"/>
                <w:lang w:val="en-US" w:eastAsia="it-IT"/>
              </w:rPr>
              <w:t>2023</w:t>
            </w:r>
          </w:p>
        </w:tc>
        <w:tc>
          <w:tcPr>
            <w:tcW w:w="1842" w:type="dxa"/>
            <w:tcBorders>
              <w:left w:val="single" w:sz="4" w:space="0" w:color="auto"/>
              <w:bottom w:val="nil"/>
              <w:right w:val="single" w:sz="4" w:space="0" w:color="auto"/>
            </w:tcBorders>
          </w:tcPr>
          <w:p w14:paraId="56782132" w14:textId="77777777" w:rsidR="000A03B2" w:rsidRPr="005240A3" w:rsidRDefault="000A03B2" w:rsidP="00CD5FE2">
            <w:pPr>
              <w:spacing w:line="140" w:lineRule="atLeast"/>
              <w:jc w:val="right"/>
              <w:rPr>
                <w:rFonts w:cs="Arial"/>
                <w:sz w:val="14"/>
                <w:szCs w:val="14"/>
                <w:lang w:val="en-US"/>
              </w:rPr>
            </w:pPr>
            <w:r w:rsidRPr="005240A3">
              <w:rPr>
                <w:rFonts w:cs="Arial"/>
                <w:sz w:val="14"/>
                <w:szCs w:val="14"/>
                <w:lang w:val="en-US"/>
              </w:rPr>
              <w:t>A publication of</w:t>
            </w:r>
          </w:p>
          <w:p w14:paraId="599E5441" w14:textId="77777777" w:rsidR="000A03B2" w:rsidRPr="005240A3" w:rsidRDefault="000A03B2" w:rsidP="00CD5FE2">
            <w:pPr>
              <w:jc w:val="right"/>
              <w:rPr>
                <w:lang w:val="en-US"/>
              </w:rPr>
            </w:pPr>
            <w:r w:rsidRPr="005240A3">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240A3" w14:paraId="380FA3CD" w14:textId="77777777" w:rsidTr="00F2067B">
        <w:trPr>
          <w:trHeight w:val="567"/>
          <w:jc w:val="center"/>
        </w:trPr>
        <w:tc>
          <w:tcPr>
            <w:tcW w:w="6940" w:type="dxa"/>
            <w:vMerge/>
            <w:tcBorders>
              <w:right w:val="single" w:sz="4" w:space="0" w:color="auto"/>
            </w:tcBorders>
          </w:tcPr>
          <w:p w14:paraId="39E5E4C1" w14:textId="77777777" w:rsidR="000A03B2" w:rsidRPr="005240A3"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5240A3" w:rsidRDefault="000A03B2" w:rsidP="00CD5FE2">
            <w:pPr>
              <w:spacing w:line="140" w:lineRule="atLeast"/>
              <w:jc w:val="right"/>
              <w:rPr>
                <w:rFonts w:cs="Arial"/>
                <w:sz w:val="14"/>
                <w:szCs w:val="14"/>
                <w:lang w:val="en-US"/>
              </w:rPr>
            </w:pPr>
            <w:r w:rsidRPr="005240A3">
              <w:rPr>
                <w:rFonts w:cs="Arial"/>
                <w:sz w:val="14"/>
                <w:szCs w:val="14"/>
                <w:lang w:val="en-US"/>
              </w:rPr>
              <w:t>The Italian Association</w:t>
            </w:r>
          </w:p>
          <w:p w14:paraId="7522B1D2" w14:textId="77777777" w:rsidR="000A03B2" w:rsidRPr="005240A3" w:rsidRDefault="000A03B2" w:rsidP="00CD5FE2">
            <w:pPr>
              <w:spacing w:line="140" w:lineRule="atLeast"/>
              <w:jc w:val="right"/>
              <w:rPr>
                <w:rFonts w:cs="Arial"/>
                <w:sz w:val="14"/>
                <w:szCs w:val="14"/>
                <w:lang w:val="en-US"/>
              </w:rPr>
            </w:pPr>
            <w:r w:rsidRPr="005240A3">
              <w:rPr>
                <w:rFonts w:cs="Arial"/>
                <w:sz w:val="14"/>
                <w:szCs w:val="14"/>
                <w:lang w:val="en-US"/>
              </w:rPr>
              <w:t>of Chemical Engineering</w:t>
            </w:r>
          </w:p>
          <w:p w14:paraId="4F0CC5DE" w14:textId="47FDB2FC" w:rsidR="000A03B2" w:rsidRPr="005240A3" w:rsidRDefault="000D0268" w:rsidP="00CD5FE2">
            <w:pPr>
              <w:spacing w:line="140" w:lineRule="atLeast"/>
              <w:jc w:val="right"/>
              <w:rPr>
                <w:rFonts w:cs="Arial"/>
                <w:sz w:val="13"/>
                <w:szCs w:val="13"/>
                <w:lang w:val="en-US"/>
              </w:rPr>
            </w:pPr>
            <w:r w:rsidRPr="005240A3">
              <w:rPr>
                <w:rFonts w:cs="Arial"/>
                <w:sz w:val="13"/>
                <w:szCs w:val="13"/>
                <w:lang w:val="en-US"/>
              </w:rPr>
              <w:t>Online at www.cetjournal.it</w:t>
            </w:r>
          </w:p>
        </w:tc>
      </w:tr>
      <w:tr w:rsidR="000A03B2" w:rsidRPr="005240A3" w14:paraId="2D1B7169" w14:textId="77777777" w:rsidTr="00F2067B">
        <w:trPr>
          <w:trHeight w:val="68"/>
          <w:jc w:val="center"/>
        </w:trPr>
        <w:tc>
          <w:tcPr>
            <w:tcW w:w="8782" w:type="dxa"/>
            <w:gridSpan w:val="2"/>
          </w:tcPr>
          <w:p w14:paraId="1D8DD3C9" w14:textId="77777777" w:rsidR="00AA7D26" w:rsidRPr="005240A3" w:rsidRDefault="00AA7D26" w:rsidP="00AA7D26">
            <w:pPr>
              <w:ind w:left="-107"/>
              <w:outlineLvl w:val="2"/>
              <w:rPr>
                <w:rFonts w:ascii="Tahoma" w:hAnsi="Tahoma" w:cs="Tahoma"/>
                <w:bCs/>
                <w:color w:val="000000"/>
                <w:sz w:val="14"/>
                <w:szCs w:val="14"/>
                <w:lang w:val="en-US" w:eastAsia="it-IT"/>
              </w:rPr>
            </w:pPr>
            <w:r w:rsidRPr="005240A3">
              <w:rPr>
                <w:rFonts w:ascii="Tahoma" w:hAnsi="Tahoma" w:cs="Tahoma"/>
                <w:iCs/>
                <w:color w:val="333333"/>
                <w:sz w:val="14"/>
                <w:szCs w:val="14"/>
                <w:lang w:val="en-US" w:eastAsia="it-IT"/>
              </w:rPr>
              <w:t>Guest Editors:</w:t>
            </w:r>
            <w:r w:rsidRPr="005240A3">
              <w:rPr>
                <w:rFonts w:ascii="Tahoma" w:hAnsi="Tahoma" w:cs="Tahoma"/>
                <w:color w:val="000000"/>
                <w:sz w:val="14"/>
                <w:szCs w:val="14"/>
                <w:shd w:val="clear" w:color="auto" w:fill="FFFFFF"/>
                <w:lang w:val="en-US"/>
              </w:rPr>
              <w:t xml:space="preserve"> </w:t>
            </w:r>
            <w:r w:rsidRPr="005240A3">
              <w:rPr>
                <w:rFonts w:ascii="Tahoma" w:hAnsi="Tahoma" w:cs="Tahoma"/>
                <w:sz w:val="14"/>
                <w:szCs w:val="14"/>
                <w:lang w:val="en-US"/>
              </w:rPr>
              <w:t xml:space="preserve">Sauro Pierucci, </w:t>
            </w:r>
            <w:r w:rsidRPr="005240A3">
              <w:rPr>
                <w:rFonts w:ascii="Tahoma" w:hAnsi="Tahoma" w:cs="Tahoma"/>
                <w:sz w:val="14"/>
                <w:szCs w:val="14"/>
                <w:shd w:val="clear" w:color="auto" w:fill="FFFFFF"/>
                <w:lang w:val="en-US"/>
              </w:rPr>
              <w:t>Jiří Jaromír Klemeš</w:t>
            </w:r>
          </w:p>
          <w:p w14:paraId="1B0F1814" w14:textId="650290B9" w:rsidR="000A03B2" w:rsidRPr="005240A3" w:rsidRDefault="00AA7D26" w:rsidP="00AA7D26">
            <w:pPr>
              <w:tabs>
                <w:tab w:val="left" w:pos="-108"/>
              </w:tabs>
              <w:spacing w:line="140" w:lineRule="atLeast"/>
              <w:ind w:left="-107"/>
              <w:jc w:val="left"/>
              <w:rPr>
                <w:lang w:val="en-US"/>
              </w:rPr>
            </w:pPr>
            <w:r w:rsidRPr="005240A3">
              <w:rPr>
                <w:rFonts w:ascii="Tahoma" w:hAnsi="Tahoma" w:cs="Tahoma"/>
                <w:iCs/>
                <w:color w:val="333333"/>
                <w:sz w:val="14"/>
                <w:szCs w:val="14"/>
                <w:lang w:val="en-US" w:eastAsia="it-IT"/>
              </w:rPr>
              <w:t>Copyright © 2023, AIDIC Servizi S.r.l.</w:t>
            </w:r>
            <w:r w:rsidRPr="005240A3">
              <w:rPr>
                <w:rFonts w:ascii="Tahoma" w:hAnsi="Tahoma" w:cs="Tahoma"/>
                <w:iCs/>
                <w:color w:val="333333"/>
                <w:sz w:val="14"/>
                <w:szCs w:val="14"/>
                <w:lang w:val="en-US" w:eastAsia="it-IT"/>
              </w:rPr>
              <w:br/>
            </w:r>
            <w:r w:rsidRPr="005240A3">
              <w:rPr>
                <w:rFonts w:ascii="Tahoma" w:hAnsi="Tahoma" w:cs="Tahoma"/>
                <w:b/>
                <w:iCs/>
                <w:color w:val="000000"/>
                <w:sz w:val="14"/>
                <w:szCs w:val="14"/>
                <w:lang w:val="en-US" w:eastAsia="it-IT"/>
              </w:rPr>
              <w:t>ISBN</w:t>
            </w:r>
            <w:r w:rsidRPr="005240A3">
              <w:rPr>
                <w:rFonts w:ascii="Tahoma" w:hAnsi="Tahoma" w:cs="Tahoma"/>
                <w:iCs/>
                <w:color w:val="000000"/>
                <w:sz w:val="14"/>
                <w:szCs w:val="14"/>
                <w:lang w:val="en-US" w:eastAsia="it-IT"/>
              </w:rPr>
              <w:t xml:space="preserve"> </w:t>
            </w:r>
            <w:r w:rsidRPr="005240A3">
              <w:rPr>
                <w:rFonts w:ascii="Tahoma" w:hAnsi="Tahoma" w:cs="Tahoma"/>
                <w:sz w:val="14"/>
                <w:szCs w:val="14"/>
                <w:lang w:val="en-US"/>
              </w:rPr>
              <w:t>978-88-95608-98-3</w:t>
            </w:r>
            <w:r w:rsidRPr="005240A3">
              <w:rPr>
                <w:rFonts w:ascii="Tahoma" w:hAnsi="Tahoma" w:cs="Tahoma"/>
                <w:iCs/>
                <w:color w:val="333333"/>
                <w:sz w:val="14"/>
                <w:szCs w:val="14"/>
                <w:lang w:val="en-US" w:eastAsia="it-IT"/>
              </w:rPr>
              <w:t xml:space="preserve">; </w:t>
            </w:r>
            <w:r w:rsidRPr="005240A3">
              <w:rPr>
                <w:rFonts w:ascii="Tahoma" w:hAnsi="Tahoma" w:cs="Tahoma"/>
                <w:b/>
                <w:iCs/>
                <w:color w:val="333333"/>
                <w:sz w:val="14"/>
                <w:szCs w:val="14"/>
                <w:lang w:val="en-US" w:eastAsia="it-IT"/>
              </w:rPr>
              <w:t>ISSN</w:t>
            </w:r>
            <w:r w:rsidRPr="005240A3">
              <w:rPr>
                <w:rFonts w:ascii="Tahoma" w:hAnsi="Tahoma" w:cs="Tahoma"/>
                <w:iCs/>
                <w:color w:val="333333"/>
                <w:sz w:val="14"/>
                <w:szCs w:val="14"/>
                <w:lang w:val="en-US" w:eastAsia="it-IT"/>
              </w:rPr>
              <w:t xml:space="preserve"> 2283-9216</w:t>
            </w:r>
          </w:p>
        </w:tc>
      </w:tr>
    </w:tbl>
    <w:p w14:paraId="0BB1EB4C" w14:textId="77777777" w:rsidR="001C0029" w:rsidRPr="005240A3" w:rsidRDefault="001C0029" w:rsidP="00F2067B">
      <w:pPr>
        <w:pStyle w:val="CETAuthors"/>
        <w:jc w:val="center"/>
        <w:rPr>
          <w:i/>
          <w:iCs/>
          <w:sz w:val="32"/>
          <w:szCs w:val="32"/>
          <w:lang w:val="en-US"/>
        </w:rPr>
      </w:pPr>
    </w:p>
    <w:p w14:paraId="1E9D7C16" w14:textId="3890F43F" w:rsidR="00F2067B" w:rsidRPr="005240A3" w:rsidRDefault="00F2067B" w:rsidP="00F2067B">
      <w:pPr>
        <w:pStyle w:val="CETAuthors"/>
        <w:jc w:val="center"/>
        <w:rPr>
          <w:sz w:val="32"/>
          <w:szCs w:val="32"/>
          <w:lang w:val="en-US"/>
        </w:rPr>
      </w:pPr>
      <w:r w:rsidRPr="005240A3">
        <w:rPr>
          <w:i/>
          <w:iCs/>
          <w:sz w:val="32"/>
          <w:szCs w:val="32"/>
          <w:lang w:val="en-US"/>
        </w:rPr>
        <w:t xml:space="preserve">Gryllus assimilis: </w:t>
      </w:r>
      <w:r w:rsidR="00640904">
        <w:rPr>
          <w:sz w:val="32"/>
          <w:szCs w:val="32"/>
          <w:lang w:val="en-US"/>
        </w:rPr>
        <w:t>An E</w:t>
      </w:r>
      <w:r w:rsidRPr="005240A3">
        <w:rPr>
          <w:sz w:val="32"/>
          <w:szCs w:val="32"/>
          <w:lang w:val="en-US"/>
        </w:rPr>
        <w:t>nvironmental alte</w:t>
      </w:r>
      <w:r w:rsidR="00640904">
        <w:rPr>
          <w:sz w:val="32"/>
          <w:szCs w:val="32"/>
          <w:lang w:val="en-US"/>
        </w:rPr>
        <w:t>rnative in the minimization of Organic Solid W</w:t>
      </w:r>
      <w:r w:rsidRPr="005240A3">
        <w:rPr>
          <w:sz w:val="32"/>
          <w:szCs w:val="32"/>
          <w:lang w:val="en-US"/>
        </w:rPr>
        <w:t>aste</w:t>
      </w:r>
    </w:p>
    <w:p w14:paraId="1AAE2B77" w14:textId="656DB1DC" w:rsidR="00F2067B" w:rsidRPr="005240A3" w:rsidRDefault="00F2067B" w:rsidP="00F2067B">
      <w:pPr>
        <w:pStyle w:val="CETAuthors"/>
        <w:jc w:val="center"/>
        <w:rPr>
          <w:lang w:val="en-US"/>
        </w:rPr>
      </w:pPr>
      <w:r w:rsidRPr="005240A3">
        <w:rPr>
          <w:lang w:val="en-US"/>
        </w:rPr>
        <w:t>Juan R. Quispe</w:t>
      </w:r>
      <w:r w:rsidR="008B6B9D" w:rsidRPr="005240A3">
        <w:rPr>
          <w:lang w:val="en-US"/>
        </w:rPr>
        <w:t xml:space="preserve"> Borda</w:t>
      </w:r>
      <w:r w:rsidR="008B6B9D" w:rsidRPr="005240A3">
        <w:rPr>
          <w:vertAlign w:val="superscript"/>
          <w:lang w:val="en-US"/>
        </w:rPr>
        <w:t>a</w:t>
      </w:r>
      <w:r w:rsidR="008B6B9D" w:rsidRPr="005240A3">
        <w:rPr>
          <w:lang w:val="en-US"/>
        </w:rPr>
        <w:t xml:space="preserve">, </w:t>
      </w:r>
      <w:r w:rsidRPr="005240A3">
        <w:rPr>
          <w:lang w:val="en-US"/>
        </w:rPr>
        <w:t>Wendy N. Zuniga</w:t>
      </w:r>
      <w:r w:rsidR="00F32FC1" w:rsidRPr="005240A3">
        <w:rPr>
          <w:lang w:val="en-US"/>
        </w:rPr>
        <w:t xml:space="preserve"> Lozano</w:t>
      </w:r>
      <w:r w:rsidR="008B6B9D" w:rsidRPr="005240A3">
        <w:rPr>
          <w:vertAlign w:val="superscript"/>
          <w:lang w:val="en-US"/>
        </w:rPr>
        <w:t>a</w:t>
      </w:r>
      <w:r w:rsidR="008B6B9D" w:rsidRPr="005240A3">
        <w:rPr>
          <w:lang w:val="en-US"/>
        </w:rPr>
        <w:t>, Ana N. Sandoval</w:t>
      </w:r>
      <w:r w:rsidR="008B6B9D" w:rsidRPr="005240A3">
        <w:rPr>
          <w:vertAlign w:val="superscript"/>
          <w:lang w:val="en-US"/>
        </w:rPr>
        <w:t>b</w:t>
      </w:r>
      <w:r w:rsidR="008B6B9D" w:rsidRPr="005240A3">
        <w:rPr>
          <w:lang w:val="en-US"/>
        </w:rPr>
        <w:t>, Sixto Mendoza Vilca</w:t>
      </w:r>
      <w:r w:rsidR="008B6B9D" w:rsidRPr="005240A3">
        <w:rPr>
          <w:vertAlign w:val="superscript"/>
          <w:lang w:val="en-US"/>
        </w:rPr>
        <w:t>a</w:t>
      </w:r>
      <w:r w:rsidR="008B6B9D" w:rsidRPr="005240A3">
        <w:rPr>
          <w:lang w:val="en-US"/>
        </w:rPr>
        <w:t>,</w:t>
      </w:r>
      <w:r w:rsidR="008A7521">
        <w:rPr>
          <w:lang w:val="en-US"/>
        </w:rPr>
        <w:t xml:space="preserve"> A</w:t>
      </w:r>
      <w:r w:rsidR="00C103DF">
        <w:rPr>
          <w:lang w:val="en-US"/>
        </w:rPr>
        <w:t>huber Vásquez Aranda</w:t>
      </w:r>
      <w:r w:rsidR="00C103DF">
        <w:rPr>
          <w:vertAlign w:val="superscript"/>
          <w:lang w:val="en-US"/>
        </w:rPr>
        <w:t>a</w:t>
      </w:r>
      <w:r w:rsidR="00C103DF">
        <w:rPr>
          <w:lang w:val="en-US"/>
        </w:rPr>
        <w:t>,</w:t>
      </w:r>
      <w:r w:rsidR="00BD17FF">
        <w:rPr>
          <w:lang w:val="en-US"/>
        </w:rPr>
        <w:t>Carlos A. Castañeda-Olivera</w:t>
      </w:r>
      <w:r w:rsidR="00BD17FF" w:rsidRPr="00BD17FF">
        <w:rPr>
          <w:vertAlign w:val="superscript"/>
          <w:lang w:val="en-US"/>
        </w:rPr>
        <w:t>a</w:t>
      </w:r>
      <w:r w:rsidR="008B6B9D" w:rsidRPr="005240A3">
        <w:rPr>
          <w:lang w:val="en-US"/>
        </w:rPr>
        <w:t xml:space="preserve"> Elmer Benites-Alfaro</w:t>
      </w:r>
      <w:r w:rsidR="008B6B9D" w:rsidRPr="005240A3">
        <w:rPr>
          <w:vertAlign w:val="superscript"/>
          <w:lang w:val="en-US"/>
        </w:rPr>
        <w:t>a,*</w:t>
      </w:r>
    </w:p>
    <w:p w14:paraId="26C6350C" w14:textId="429ABEB0" w:rsidR="00C31E35" w:rsidRPr="0033021C" w:rsidRDefault="00C31E35" w:rsidP="00C31E35">
      <w:pPr>
        <w:pStyle w:val="CETAddress"/>
        <w:rPr>
          <w:lang w:val="es-PE"/>
        </w:rPr>
      </w:pPr>
      <w:r w:rsidRPr="0033021C">
        <w:rPr>
          <w:vertAlign w:val="superscript"/>
          <w:lang w:val="es-PE"/>
        </w:rPr>
        <w:t>a</w:t>
      </w:r>
      <w:r w:rsidRPr="0033021C">
        <w:rPr>
          <w:lang w:val="es-PE"/>
        </w:rPr>
        <w:t>Universidad César Vallejo, Av. Alfredo Medniola 6232 Los Olivos, Lima, Perú.</w:t>
      </w:r>
    </w:p>
    <w:p w14:paraId="2D0E66A9" w14:textId="74CB0830" w:rsidR="00C31E35" w:rsidRPr="0033021C" w:rsidRDefault="00C31E35" w:rsidP="00C31E35">
      <w:pPr>
        <w:pStyle w:val="CETAddress"/>
        <w:rPr>
          <w:lang w:val="es-PE"/>
        </w:rPr>
      </w:pPr>
      <w:r w:rsidRPr="0033021C">
        <w:rPr>
          <w:vertAlign w:val="superscript"/>
          <w:lang w:val="es-PE"/>
        </w:rPr>
        <w:t>b</w:t>
      </w:r>
      <w:r w:rsidR="009A27A9" w:rsidRPr="0033021C">
        <w:rPr>
          <w:lang w:val="es-PE"/>
        </w:rPr>
        <w:t>Universidad Nacional de San Ma</w:t>
      </w:r>
      <w:r w:rsidRPr="0033021C">
        <w:rPr>
          <w:lang w:val="es-PE"/>
        </w:rPr>
        <w:t>rtín, Tarapoto, Perú.</w:t>
      </w:r>
    </w:p>
    <w:p w14:paraId="1CEDC569" w14:textId="4014A929" w:rsidR="00F2067B" w:rsidRPr="005240A3" w:rsidRDefault="00C31E35" w:rsidP="00F2067B">
      <w:pPr>
        <w:pStyle w:val="CETAddress"/>
        <w:rPr>
          <w:lang w:val="en-US"/>
        </w:rPr>
      </w:pPr>
      <w:r w:rsidRPr="005240A3">
        <w:rPr>
          <w:lang w:val="en-US"/>
        </w:rPr>
        <w:t>Correspondinging autor: ebenitesa@ucv.edu.pe</w:t>
      </w:r>
    </w:p>
    <w:p w14:paraId="68BAFB86" w14:textId="77777777" w:rsidR="00F2067B" w:rsidRPr="005240A3" w:rsidRDefault="00F2067B" w:rsidP="00F2067B">
      <w:pPr>
        <w:pStyle w:val="CETAddress"/>
        <w:rPr>
          <w:lang w:val="en-US"/>
        </w:rPr>
      </w:pPr>
    </w:p>
    <w:p w14:paraId="68502E3A" w14:textId="0628E57A" w:rsidR="00F2067B" w:rsidRPr="00BD17FF" w:rsidRDefault="00A279BF" w:rsidP="00BD17FF">
      <w:pPr>
        <w:pStyle w:val="CETBodytext"/>
        <w:rPr>
          <w:rFonts w:cs="Arial"/>
          <w:szCs w:val="18"/>
        </w:rPr>
      </w:pPr>
      <w:r w:rsidRPr="00BD17FF">
        <w:rPr>
          <w:rFonts w:cs="Arial"/>
          <w:szCs w:val="18"/>
        </w:rPr>
        <w:t xml:space="preserve">The increase in the generation of organic waste and its mismanagement have a negative impact on the natural environment with the propagation of greenhouse gases, bad odors, leachate and other pollutants, so its use would bring a solution to the problems mentioned together with the generation of work, improvement of agricultural activity, the food industry, etc. The objective of the research was to minimize domestic organic waste using the species </w:t>
      </w:r>
      <w:r w:rsidRPr="00BD17FF">
        <w:rPr>
          <w:rFonts w:cs="Arial"/>
          <w:i/>
          <w:szCs w:val="18"/>
        </w:rPr>
        <w:t>Gryllus assimilis</w:t>
      </w:r>
      <w:r w:rsidRPr="00BD17FF">
        <w:rPr>
          <w:rFonts w:cs="Arial"/>
          <w:szCs w:val="18"/>
        </w:rPr>
        <w:t xml:space="preserve">. To do this, organic waste classified into three types (fruit-vegetables, food and the mixture of fruit-vegetables-food waste) was used. Tests were made with 100 g of residues and 15 repetitions for each type. For the reduction of residues, 200 </w:t>
      </w:r>
      <w:r w:rsidRPr="00BD17FF">
        <w:rPr>
          <w:rFonts w:cs="Arial"/>
          <w:i/>
          <w:szCs w:val="18"/>
        </w:rPr>
        <w:t>Gryllus assimilis</w:t>
      </w:r>
      <w:r w:rsidRPr="00BD17FF">
        <w:rPr>
          <w:rFonts w:cs="Arial"/>
          <w:szCs w:val="18"/>
        </w:rPr>
        <w:t xml:space="preserve"> were used for each treatment and repetition. The reduction results were: for the first treatment 183 g, in the second treatment 187 g and for the third treatment 182 g, which on average means up to 18.7% reduction. Based on the results, it is established that the higher the number of </w:t>
      </w:r>
      <w:r w:rsidRPr="00BD17FF">
        <w:rPr>
          <w:rFonts w:cs="Arial"/>
          <w:i/>
          <w:szCs w:val="18"/>
        </w:rPr>
        <w:t>Gryllus assimilis</w:t>
      </w:r>
      <w:r w:rsidRPr="00BD17FF">
        <w:rPr>
          <w:rFonts w:cs="Arial"/>
          <w:szCs w:val="18"/>
        </w:rPr>
        <w:t xml:space="preserve">, the percentage of minimization of organic waste increases. In this way, this methodology constitutes a contribution to knowledge, has economic advantages and is easy to replicate in areas where </w:t>
      </w:r>
      <w:r w:rsidRPr="00BD17FF">
        <w:rPr>
          <w:rFonts w:cs="Arial"/>
          <w:i/>
          <w:szCs w:val="18"/>
        </w:rPr>
        <w:t>Gryllus assimilis</w:t>
      </w:r>
      <w:r w:rsidRPr="00BD17FF">
        <w:rPr>
          <w:rFonts w:cs="Arial"/>
          <w:szCs w:val="18"/>
        </w:rPr>
        <w:t xml:space="preserve"> exists, with the possibility of scaling to achieve sustainable management of domestic organic waste.</w:t>
      </w:r>
    </w:p>
    <w:p w14:paraId="2BAF3D45" w14:textId="77777777" w:rsidR="00F2067B" w:rsidRPr="005240A3" w:rsidRDefault="00F2067B" w:rsidP="002962FD">
      <w:pPr>
        <w:pStyle w:val="CETHeading1"/>
      </w:pPr>
      <w:r w:rsidRPr="005240A3">
        <w:t>Introduction</w:t>
      </w:r>
    </w:p>
    <w:p w14:paraId="24D67D8F" w14:textId="606FC29F" w:rsidR="00A45FB9" w:rsidRPr="00BD17FF" w:rsidRDefault="00A45FB9" w:rsidP="00BD17FF">
      <w:pPr>
        <w:pStyle w:val="CETBodytext"/>
        <w:rPr>
          <w:rFonts w:cs="Arial"/>
          <w:szCs w:val="18"/>
        </w:rPr>
      </w:pPr>
      <w:r w:rsidRPr="00BD17FF">
        <w:rPr>
          <w:rFonts w:cs="Arial"/>
          <w:szCs w:val="18"/>
        </w:rPr>
        <w:t>The annual generation of urban solid waste (USW) in the world is estimated to be 1.3 billion metric tons and it is projected that this amount will increase around 2.2 billion tons by 2025, since; USW generation is influenced by economic conditions, living standards, urbanization and population (Kawai and Tasaki, 2016), which leads to a dramatic increase in the population in urban areas and, as a consequence, a dramatic increase in the amount of USW generated.</w:t>
      </w:r>
    </w:p>
    <w:p w14:paraId="60401649" w14:textId="66AE8F6B" w:rsidR="00A45FB9" w:rsidRPr="00BD17FF" w:rsidRDefault="00A45FB9" w:rsidP="00BD17FF">
      <w:pPr>
        <w:pStyle w:val="CETBodytext"/>
        <w:rPr>
          <w:rFonts w:cs="Arial"/>
          <w:szCs w:val="18"/>
        </w:rPr>
      </w:pPr>
      <w:r w:rsidRPr="00BD17FF">
        <w:rPr>
          <w:rFonts w:cs="Arial"/>
          <w:szCs w:val="18"/>
        </w:rPr>
        <w:t>According to the Ministry of the Environment (MINAM, 2019) In Peru, its more than 32 million inhabitants produce more than 21 thousand tons of solid waste daily, which would mean that the per capita generation of solid waste (PCG-SW) on average is 800 grams of solid waste per day, of which 22.94 % represents inorganic waste and 54.96 % organic waste (OEFA, 2018).</w:t>
      </w:r>
    </w:p>
    <w:p w14:paraId="48ACFECA" w14:textId="77777777" w:rsidR="00A45FB9" w:rsidRPr="00BD17FF" w:rsidRDefault="00A45FB9" w:rsidP="00BD17FF">
      <w:pPr>
        <w:pStyle w:val="CETBodytext"/>
        <w:rPr>
          <w:rFonts w:cs="Arial"/>
          <w:szCs w:val="18"/>
        </w:rPr>
      </w:pPr>
      <w:r w:rsidRPr="00BD17FF">
        <w:rPr>
          <w:rFonts w:cs="Arial"/>
          <w:szCs w:val="18"/>
        </w:rPr>
        <w:t>Of the total solid waste generated, only a small percentage is destined for sanitary landfills, which according to MINAM (2019) are a total of 52, distributed in 19 of the 25 regions of the country, and the other percentage is disposed of in informal dumps that According to the report No. 181 of the Ombudsman's Office (2019), in Peru there are 1,585 informal dumps, which degrade approximately 2,000 hectares of soil. Implementing a management based on the life cycle of the products would be an alternative for good waste management (Vázquez et al., 2019).</w:t>
      </w:r>
    </w:p>
    <w:p w14:paraId="70B4B480" w14:textId="55154854" w:rsidR="00F2067B" w:rsidRPr="00BD17FF" w:rsidRDefault="00A45FB9" w:rsidP="00BD17FF">
      <w:pPr>
        <w:pStyle w:val="CETBodytext"/>
        <w:rPr>
          <w:rFonts w:cs="Arial"/>
          <w:szCs w:val="18"/>
        </w:rPr>
      </w:pPr>
      <w:r w:rsidRPr="00BD17FF">
        <w:rPr>
          <w:rFonts w:cs="Arial"/>
          <w:szCs w:val="18"/>
        </w:rPr>
        <w:t>Thus, a larg</w:t>
      </w:r>
      <w:r w:rsidR="005240A3" w:rsidRPr="00BD17FF">
        <w:rPr>
          <w:rFonts w:cs="Arial"/>
          <w:szCs w:val="18"/>
        </w:rPr>
        <w:t>e part of the population of Perú</w:t>
      </w:r>
      <w:r w:rsidRPr="00BD17FF">
        <w:rPr>
          <w:rFonts w:cs="Arial"/>
          <w:szCs w:val="18"/>
        </w:rPr>
        <w:t xml:space="preserve"> has normalized the disposal of their waste in open places such as rivers, streams, among others, commonly called "dumps", whose indiscriminate use has come to cause consequences, many times irreversible, to the environment such as the generation of leachates that are the product of decomposition processes, gravity and climatic conditions, as well as the substantial generation of polluting gases such as methane, 21 times more polluting than carbon dioxide (CO2) as a gas greenhouse </w:t>
      </w:r>
      <w:r w:rsidRPr="00BD17FF">
        <w:rPr>
          <w:rFonts w:cs="Arial"/>
          <w:szCs w:val="18"/>
        </w:rPr>
        <w:lastRenderedPageBreak/>
        <w:t xml:space="preserve">effect (GHG), the consequence is the acceleration of climate change and in turn represents a threat to public health and ecosystems; in addition to water pollution that together with waste leads to global warming) </w:t>
      </w:r>
      <w:r w:rsidR="006679BB" w:rsidRPr="00BD17FF">
        <w:rPr>
          <w:rFonts w:cs="Arial"/>
          <w:szCs w:val="18"/>
        </w:rPr>
        <w:t>(</w:t>
      </w:r>
      <w:r w:rsidRPr="00BD17FF">
        <w:rPr>
          <w:rFonts w:cs="Arial"/>
          <w:szCs w:val="18"/>
        </w:rPr>
        <w:t>Kaza et al., 2018).</w:t>
      </w:r>
    </w:p>
    <w:p w14:paraId="2DF42FB6" w14:textId="7462C820" w:rsidR="00FD2E41" w:rsidRPr="00BD17FF" w:rsidRDefault="005240A3" w:rsidP="00BD17FF">
      <w:pPr>
        <w:pStyle w:val="CETBodytext"/>
        <w:rPr>
          <w:rFonts w:cs="Arial"/>
          <w:szCs w:val="18"/>
        </w:rPr>
      </w:pPr>
      <w:r w:rsidRPr="00BD17FF">
        <w:rPr>
          <w:rFonts w:cs="Arial"/>
          <w:szCs w:val="18"/>
        </w:rPr>
        <w:t>Secondly; the waste generated by the rural populations of Peru maintains a heterogeneous composition (Codina, 2018); since they are the product of different commercial activities such as livestock, agriculture, among others, since they depend on these for their subsistence, therefore, the destination of said residues is still debated. In some cases, certain lignocellulosic biomass residues are segregated to be used as fertilizer in agriculture (Loyola et al., 2022) and in other cases to obtain energy by transforming them into pellets (Barroso et al., 2022). This problem is common to all regions of the country since the economic activity to which most of its provinces and districts are dedicated, are purely agricultural, (Chamaya, 2019); Added to this is the constant demographic growth and changes in habits, which promote a greater generation of solid waste, which clearly harms the environment by not being adequately treated (Torres, et al., 2021).</w:t>
      </w:r>
    </w:p>
    <w:p w14:paraId="0CA45A81" w14:textId="42876791" w:rsidR="00470702" w:rsidRPr="00BD17FF" w:rsidRDefault="00470702" w:rsidP="00470702">
      <w:pPr>
        <w:pStyle w:val="CETBodytext"/>
        <w:rPr>
          <w:rFonts w:cs="Arial"/>
          <w:szCs w:val="18"/>
        </w:rPr>
      </w:pPr>
      <w:r w:rsidRPr="00BD17FF">
        <w:rPr>
          <w:rFonts w:cs="Arial"/>
          <w:szCs w:val="18"/>
        </w:rPr>
        <w:t xml:space="preserve">Morales, (2010) mentions that insects are associated with the solid waste composting process, thus saprophagous macroinvertebrates such as earthworms, termites and numerous dipteran larvae participate in the generation and transformation of the physical and chemical properties of organic matter during the degradation and stabilization processes that take place during composting. In terms of a number of specimens, it indicates that Diptera was the most important group, particularly the </w:t>
      </w:r>
      <w:r w:rsidRPr="00BD17FF">
        <w:rPr>
          <w:rFonts w:cs="Arial"/>
          <w:i/>
          <w:szCs w:val="18"/>
        </w:rPr>
        <w:t>Syrphidae Ornidia obesa</w:t>
      </w:r>
      <w:r w:rsidRPr="00BD17FF">
        <w:rPr>
          <w:rFonts w:cs="Arial"/>
          <w:szCs w:val="18"/>
        </w:rPr>
        <w:t xml:space="preserve">, as a highly positively invasive species, and the </w:t>
      </w:r>
      <w:r w:rsidRPr="00BD17FF">
        <w:rPr>
          <w:rFonts w:cs="Arial"/>
          <w:i/>
          <w:szCs w:val="18"/>
        </w:rPr>
        <w:t>Stratiomyidae Hermetia illuscens</w:t>
      </w:r>
      <w:r w:rsidRPr="00BD17FF">
        <w:rPr>
          <w:rFonts w:cs="Arial"/>
          <w:szCs w:val="18"/>
        </w:rPr>
        <w:t>, both reported as beneficial in the decomposition of organic matter.</w:t>
      </w:r>
    </w:p>
    <w:p w14:paraId="221C966A" w14:textId="00EEE37B" w:rsidR="005240A3" w:rsidRPr="00BD17FF" w:rsidRDefault="005240A3" w:rsidP="00BD17FF">
      <w:pPr>
        <w:pStyle w:val="CETBodytext"/>
        <w:rPr>
          <w:rFonts w:cs="Arial"/>
          <w:szCs w:val="18"/>
        </w:rPr>
      </w:pPr>
      <w:r w:rsidRPr="00BD17FF">
        <w:rPr>
          <w:rFonts w:cs="Arial"/>
          <w:szCs w:val="18"/>
        </w:rPr>
        <w:t>In the District of Lamay, one of the 8 that make up the province of Calca in the Cuzco region, where the most outstanding economic activities are agriculture and tourism, especially the last mentioned, which generate a large amount of or</w:t>
      </w:r>
      <w:r w:rsidR="00BD17FF">
        <w:rPr>
          <w:rFonts w:cs="Arial"/>
          <w:szCs w:val="18"/>
        </w:rPr>
        <w:t>ganic solid waste.</w:t>
      </w:r>
      <w:r w:rsidRPr="00BD17FF">
        <w:rPr>
          <w:rFonts w:cs="Arial"/>
          <w:szCs w:val="18"/>
        </w:rPr>
        <w:t xml:space="preserve"> The generation of 397.75 t/year of municipal solid waste was reported for the year 2020, of which 22.95 % were food remains (SIGERSOL, 2020). In these circumstances, the search for new methods is required in order to improve the management of said organic waste and thus minimize its impact in the study area; therefore, the objective of the research was to evaluate the minimization of organic waste using the </w:t>
      </w:r>
      <w:r w:rsidRPr="00BD17FF">
        <w:rPr>
          <w:rFonts w:cs="Arial"/>
          <w:i/>
          <w:szCs w:val="18"/>
        </w:rPr>
        <w:t>Gryllus assimilis</w:t>
      </w:r>
      <w:r w:rsidRPr="00BD17FF">
        <w:rPr>
          <w:rFonts w:cs="Arial"/>
          <w:szCs w:val="18"/>
        </w:rPr>
        <w:t xml:space="preserve"> commonly called crickets, in the district of Lamay, Calca, Cusco.</w:t>
      </w:r>
    </w:p>
    <w:p w14:paraId="06304811" w14:textId="2CEAAC8D" w:rsidR="0080076E" w:rsidRPr="005240A3" w:rsidRDefault="00FD2E41" w:rsidP="005240A3">
      <w:pPr>
        <w:pStyle w:val="CETHeading1"/>
      </w:pPr>
      <w:r w:rsidRPr="005240A3">
        <w:t>Methodology</w:t>
      </w:r>
    </w:p>
    <w:p w14:paraId="6DDAAF2A" w14:textId="7393D110" w:rsidR="0080076E" w:rsidRPr="005240A3" w:rsidRDefault="004740B8" w:rsidP="0080076E">
      <w:pPr>
        <w:pStyle w:val="CETBodytext"/>
      </w:pPr>
      <w:r w:rsidRPr="004740B8">
        <w:t>The investigation had the following stages</w:t>
      </w:r>
      <w:r w:rsidR="0080076E" w:rsidRPr="005240A3">
        <w:t>:</w:t>
      </w:r>
    </w:p>
    <w:p w14:paraId="721F541B" w14:textId="20549F31" w:rsidR="00D13E74" w:rsidRPr="005240A3" w:rsidRDefault="004740B8" w:rsidP="004740B8">
      <w:pPr>
        <w:pStyle w:val="CETheadingx"/>
      </w:pPr>
      <w:r w:rsidRPr="004740B8">
        <w:t>Collection and conditioning of the</w:t>
      </w:r>
      <w:r w:rsidRPr="004740B8">
        <w:rPr>
          <w:highlight w:val="white"/>
        </w:rPr>
        <w:t xml:space="preserve"> </w:t>
      </w:r>
      <w:r w:rsidR="0080076E" w:rsidRPr="004740B8">
        <w:rPr>
          <w:i/>
          <w:highlight w:val="white"/>
        </w:rPr>
        <w:t>Gryllus assimilis</w:t>
      </w:r>
    </w:p>
    <w:p w14:paraId="0EBC9992" w14:textId="47161573" w:rsidR="0080076E" w:rsidRPr="005240A3" w:rsidRDefault="004740B8" w:rsidP="0080076E">
      <w:pPr>
        <w:pStyle w:val="CETBodytext"/>
        <w:rPr>
          <w:szCs w:val="24"/>
        </w:rPr>
      </w:pPr>
      <w:r w:rsidRPr="004740B8">
        <w:rPr>
          <w:szCs w:val="24"/>
        </w:rPr>
        <w:t xml:space="preserve">They were collected inside the cultivation lands near the banks of the Vilcanota </w:t>
      </w:r>
      <w:r>
        <w:rPr>
          <w:szCs w:val="24"/>
        </w:rPr>
        <w:t>r</w:t>
      </w:r>
      <w:r w:rsidRPr="004740B8">
        <w:rPr>
          <w:szCs w:val="24"/>
        </w:rPr>
        <w:t>iver. For the conditioning of the habitat, three rectangular plastic boxes of 0.035 m</w:t>
      </w:r>
      <w:r w:rsidRPr="004740B8">
        <w:rPr>
          <w:szCs w:val="24"/>
          <w:vertAlign w:val="superscript"/>
        </w:rPr>
        <w:t>3</w:t>
      </w:r>
      <w:r w:rsidRPr="004740B8">
        <w:rPr>
          <w:szCs w:val="24"/>
        </w:rPr>
        <w:t xml:space="preserve"> were elaborated and prepared. To cover the boxes, frames were made with a very fine mesh and wood remains that fulfilled the function of ventilating the container and favoring oxygenation, it was maintained at a temperature of around 21 °C and 56</w:t>
      </w:r>
      <w:r>
        <w:rPr>
          <w:szCs w:val="24"/>
        </w:rPr>
        <w:t xml:space="preserve"> </w:t>
      </w:r>
      <w:r w:rsidRPr="004740B8">
        <w:rPr>
          <w:szCs w:val="24"/>
        </w:rPr>
        <w:t xml:space="preserve">% humidity. The box was made up of a very thin layer of earth, pressed cardboard bases, a container to place organic waste and a water fountain (the materials used were mostly reused). In these compartments, 200 </w:t>
      </w:r>
      <w:r w:rsidRPr="00FD2E41">
        <w:rPr>
          <w:i/>
          <w:szCs w:val="24"/>
        </w:rPr>
        <w:t>Gryllus assimilis</w:t>
      </w:r>
      <w:r w:rsidRPr="004740B8">
        <w:rPr>
          <w:szCs w:val="24"/>
        </w:rPr>
        <w:t xml:space="preserve"> were placed in each container. See Figure 1</w:t>
      </w:r>
      <w:r w:rsidR="00F32FC1" w:rsidRPr="005240A3">
        <w:rPr>
          <w:szCs w:val="24"/>
        </w:rPr>
        <w:t>.</w:t>
      </w:r>
    </w:p>
    <w:p w14:paraId="59199A29" w14:textId="77777777" w:rsidR="00F32FC1" w:rsidRPr="005240A3" w:rsidRDefault="00F32FC1" w:rsidP="0080076E">
      <w:pPr>
        <w:pStyle w:val="CETBodytext"/>
        <w:rPr>
          <w:szCs w:val="24"/>
        </w:rPr>
      </w:pPr>
    </w:p>
    <w:p w14:paraId="463BEC03" w14:textId="0A58CD60" w:rsidR="00F32FC1" w:rsidRPr="005240A3" w:rsidRDefault="00F32FC1" w:rsidP="0080076E">
      <w:pPr>
        <w:pStyle w:val="CETBodytext"/>
        <w:rPr>
          <w:szCs w:val="24"/>
        </w:rPr>
      </w:pPr>
      <w:r w:rsidRPr="005240A3">
        <w:rPr>
          <w:noProof/>
          <w:lang w:val="es-PE" w:eastAsia="es-PE"/>
        </w:rPr>
        <w:drawing>
          <wp:inline distT="0" distB="0" distL="0" distR="0" wp14:anchorId="0BCB9E57" wp14:editId="54CA1D3D">
            <wp:extent cx="1756134" cy="136762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585" t="23258" r="28860" b="24618"/>
                    <a:stretch/>
                  </pic:blipFill>
                  <pic:spPr bwMode="auto">
                    <a:xfrm>
                      <a:off x="0" y="0"/>
                      <a:ext cx="1832829" cy="1427351"/>
                    </a:xfrm>
                    <a:prstGeom prst="rect">
                      <a:avLst/>
                    </a:prstGeom>
                    <a:ln>
                      <a:noFill/>
                    </a:ln>
                    <a:extLst>
                      <a:ext uri="{53640926-AAD7-44D8-BBD7-CCE9431645EC}">
                        <a14:shadowObscured xmlns:a14="http://schemas.microsoft.com/office/drawing/2010/main"/>
                      </a:ext>
                    </a:extLst>
                  </pic:spPr>
                </pic:pic>
              </a:graphicData>
            </a:graphic>
          </wp:inline>
        </w:drawing>
      </w:r>
    </w:p>
    <w:p w14:paraId="608F4D5F" w14:textId="6AC7E029" w:rsidR="00F32FC1" w:rsidRPr="005240A3" w:rsidRDefault="00F32FC1" w:rsidP="00FD2E41">
      <w:pPr>
        <w:pStyle w:val="CETCaption"/>
      </w:pPr>
      <w:r w:rsidRPr="005240A3">
        <w:t xml:space="preserve">Figure </w:t>
      </w:r>
      <w:r w:rsidR="00BD36F6" w:rsidRPr="005240A3">
        <w:t>1</w:t>
      </w:r>
      <w:r w:rsidR="002D7AD6">
        <w:t>:</w:t>
      </w:r>
      <w:r w:rsidRPr="005240A3">
        <w:t xml:space="preserve"> </w:t>
      </w:r>
      <w:r w:rsidR="004740B8">
        <w:t>C</w:t>
      </w:r>
      <w:r w:rsidR="004740B8" w:rsidRPr="004740B8">
        <w:t xml:space="preserve">ontainer box </w:t>
      </w:r>
      <w:r w:rsidRPr="005240A3">
        <w:rPr>
          <w:iCs/>
        </w:rPr>
        <w:t>Gryllus assimilis</w:t>
      </w:r>
    </w:p>
    <w:p w14:paraId="72A8825A" w14:textId="63377940" w:rsidR="00D13E74" w:rsidRPr="005240A3" w:rsidRDefault="004740B8" w:rsidP="004740B8">
      <w:pPr>
        <w:pStyle w:val="CETheadingx"/>
      </w:pPr>
      <w:r w:rsidRPr="004740B8">
        <w:t>Collection of organic waste</w:t>
      </w:r>
    </w:p>
    <w:p w14:paraId="118B9DC8" w14:textId="5693C446" w:rsidR="0080076E" w:rsidRPr="005240A3" w:rsidRDefault="00FD2E41" w:rsidP="0080076E">
      <w:pPr>
        <w:pStyle w:val="CETBodytext"/>
        <w:rPr>
          <w:szCs w:val="24"/>
        </w:rPr>
      </w:pPr>
      <w:r w:rsidRPr="004740B8">
        <w:rPr>
          <w:szCs w:val="24"/>
        </w:rPr>
        <w:t>Organic</w:t>
      </w:r>
      <w:r w:rsidR="004740B8" w:rsidRPr="004740B8">
        <w:rPr>
          <w:szCs w:val="24"/>
        </w:rPr>
        <w:t xml:space="preserve"> waste was collected from the houses of the town of Lamay in a period of 15 days. The amount collected and selected was 4500 g of organic waste</w:t>
      </w:r>
      <w:r w:rsidR="00AB725B" w:rsidRPr="005240A3">
        <w:rPr>
          <w:szCs w:val="24"/>
        </w:rPr>
        <w:t>.</w:t>
      </w:r>
    </w:p>
    <w:p w14:paraId="45C15229" w14:textId="34E3CEF1" w:rsidR="00D13E74" w:rsidRPr="005240A3" w:rsidRDefault="002D7AD6" w:rsidP="002D7AD6">
      <w:pPr>
        <w:pStyle w:val="CETheadingx"/>
        <w:rPr>
          <w:rStyle w:val="CETheadingxCarattere"/>
          <w:b/>
        </w:rPr>
      </w:pPr>
      <w:r w:rsidRPr="002D7AD6">
        <w:rPr>
          <w:rStyle w:val="CETheadingxCarattere"/>
          <w:b/>
        </w:rPr>
        <w:lastRenderedPageBreak/>
        <w:t xml:space="preserve">Evaluation of the affinity of </w:t>
      </w:r>
      <w:r w:rsidRPr="00FD2E41">
        <w:rPr>
          <w:rStyle w:val="CETheadingxCarattere"/>
          <w:b/>
          <w:i/>
        </w:rPr>
        <w:t>Gryllus assimilis</w:t>
      </w:r>
      <w:r w:rsidRPr="002D7AD6">
        <w:rPr>
          <w:rStyle w:val="CETheadingxCarattere"/>
          <w:b/>
        </w:rPr>
        <w:t xml:space="preserve"> for organic residues</w:t>
      </w:r>
    </w:p>
    <w:p w14:paraId="49ECBEAE" w14:textId="6F328A15" w:rsidR="0080076E" w:rsidRDefault="002D7AD6" w:rsidP="0080076E">
      <w:pPr>
        <w:pStyle w:val="CETBodytext"/>
      </w:pPr>
      <w:r w:rsidRPr="002D7AD6">
        <w:t xml:space="preserve">At this stage, the affinity of </w:t>
      </w:r>
      <w:r w:rsidRPr="00FD2E41">
        <w:rPr>
          <w:i/>
        </w:rPr>
        <w:t>Gryllus assimilis</w:t>
      </w:r>
      <w:r w:rsidRPr="002D7AD6">
        <w:t xml:space="preserve"> for certain types of organic residues was preliminarily tested. For this, they were fed with different organic residues in a time of 72 hours. Stage that was of great help for subsequent testing with the specific types of waste to improve the time and quantity of minimization. It was established that </w:t>
      </w:r>
      <w:r w:rsidRPr="00FD2E41">
        <w:rPr>
          <w:i/>
        </w:rPr>
        <w:t>Gryllus assimilis</w:t>
      </w:r>
      <w:r w:rsidRPr="002D7AD6">
        <w:t xml:space="preserve"> sought organic residues of fruits and vegetables, food remains and a mixture of the above as preferential food, See Figure 2</w:t>
      </w:r>
      <w:r w:rsidR="00D13E74" w:rsidRPr="005240A3">
        <w:t>.</w:t>
      </w:r>
    </w:p>
    <w:p w14:paraId="600B3D02" w14:textId="77777777" w:rsidR="00DE15D6" w:rsidRPr="005240A3" w:rsidRDefault="00DE15D6" w:rsidP="0080076E">
      <w:pPr>
        <w:pStyle w:val="CETBodytext"/>
      </w:pPr>
    </w:p>
    <w:p w14:paraId="4FA92729" w14:textId="5AE5C85B" w:rsidR="00AB725B" w:rsidRPr="005240A3" w:rsidRDefault="00AB725B" w:rsidP="0080076E">
      <w:pPr>
        <w:pStyle w:val="CETBodytext"/>
      </w:pPr>
      <w:r w:rsidRPr="005240A3">
        <w:rPr>
          <w:noProof/>
          <w:lang w:val="es-PE" w:eastAsia="es-PE"/>
        </w:rPr>
        <w:drawing>
          <wp:inline distT="0" distB="0" distL="0" distR="0" wp14:anchorId="3C442785" wp14:editId="45DDC567">
            <wp:extent cx="2433835" cy="166182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92" t="45115" r="35396" b="25676"/>
                    <a:stretch/>
                  </pic:blipFill>
                  <pic:spPr bwMode="auto">
                    <a:xfrm>
                      <a:off x="0" y="0"/>
                      <a:ext cx="2554219" cy="1744022"/>
                    </a:xfrm>
                    <a:prstGeom prst="rect">
                      <a:avLst/>
                    </a:prstGeom>
                    <a:ln>
                      <a:noFill/>
                    </a:ln>
                    <a:extLst>
                      <a:ext uri="{53640926-AAD7-44D8-BBD7-CCE9431645EC}">
                        <a14:shadowObscured xmlns:a14="http://schemas.microsoft.com/office/drawing/2010/main"/>
                      </a:ext>
                    </a:extLst>
                  </pic:spPr>
                </pic:pic>
              </a:graphicData>
            </a:graphic>
          </wp:inline>
        </w:drawing>
      </w:r>
    </w:p>
    <w:p w14:paraId="2750325A" w14:textId="07E2B324" w:rsidR="00AB725B" w:rsidRPr="005240A3" w:rsidRDefault="008B6B9D" w:rsidP="00FD2E41">
      <w:pPr>
        <w:pStyle w:val="CETCaption"/>
      </w:pPr>
      <w:r w:rsidRPr="005240A3">
        <w:t xml:space="preserve">Figure </w:t>
      </w:r>
      <w:r w:rsidR="00BD36F6" w:rsidRPr="005240A3">
        <w:t xml:space="preserve">2: </w:t>
      </w:r>
      <w:r w:rsidR="002D7AD6" w:rsidRPr="002D7AD6">
        <w:t>Types of organic waste</w:t>
      </w:r>
    </w:p>
    <w:p w14:paraId="6F1FA40B" w14:textId="0B36EF88" w:rsidR="001C30D3" w:rsidRPr="005240A3" w:rsidRDefault="00124B87" w:rsidP="00124B87">
      <w:pPr>
        <w:pStyle w:val="CETheadingx"/>
      </w:pPr>
      <w:r w:rsidRPr="00124B87">
        <w:t>Waste minimization process</w:t>
      </w:r>
    </w:p>
    <w:p w14:paraId="1A5BFF31" w14:textId="11E5A841" w:rsidR="0080076E" w:rsidRPr="005240A3" w:rsidRDefault="00124B87" w:rsidP="0080076E">
      <w:pPr>
        <w:pStyle w:val="CETBodytext"/>
      </w:pPr>
      <w:r w:rsidRPr="00124B87">
        <w:t xml:space="preserve">With the </w:t>
      </w:r>
      <w:r w:rsidRPr="00124B87">
        <w:rPr>
          <w:i/>
        </w:rPr>
        <w:t>Gryllus assimilis</w:t>
      </w:r>
      <w:r w:rsidRPr="00124B87">
        <w:t xml:space="preserve"> and residues in the test boxes, the minimization of organic residues was monitored for 24 hours. 15 repetitions were made for each type of waste placed in the boxes; for the treatment of each type of waste, 200 crickets were used, a total of 600 crickets during the 3 treatments and repetition, the species that died were replaced by other </w:t>
      </w:r>
      <w:r w:rsidRPr="00124B87">
        <w:rPr>
          <w:i/>
        </w:rPr>
        <w:t>Gryllus assimilis</w:t>
      </w:r>
      <w:r w:rsidRPr="00124B87">
        <w:t>. The initial amount of waste used for each test was 100 g and at the end of each treatment the final weight consumed and the temperature and humidity parameters were controlled with the help of a thermohygrometer.</w:t>
      </w:r>
    </w:p>
    <w:p w14:paraId="76184116" w14:textId="401507A3" w:rsidR="0080076E" w:rsidRPr="005240A3" w:rsidRDefault="00124B87" w:rsidP="00124B87">
      <w:pPr>
        <w:pStyle w:val="CETHeading1"/>
      </w:pPr>
      <w:r w:rsidRPr="00124B87">
        <w:t>Result and Discussion</w:t>
      </w:r>
    </w:p>
    <w:p w14:paraId="1B85DAE3" w14:textId="23C34B84" w:rsidR="0080076E" w:rsidRPr="005240A3" w:rsidRDefault="00124B87" w:rsidP="00124B87">
      <w:pPr>
        <w:pStyle w:val="CETheadingx"/>
      </w:pPr>
      <w:r w:rsidRPr="00124B87">
        <w:t>Type of organic waste that i</w:t>
      </w:r>
      <w:r>
        <w:t xml:space="preserve">s minimized by </w:t>
      </w:r>
      <w:r w:rsidR="0080076E" w:rsidRPr="005240A3">
        <w:rPr>
          <w:i/>
          <w:iCs/>
        </w:rPr>
        <w:t>Gryllus assimilis</w:t>
      </w:r>
    </w:p>
    <w:p w14:paraId="510FED6D" w14:textId="77777777" w:rsidR="00124B87" w:rsidRDefault="00124B87" w:rsidP="00124B87">
      <w:pPr>
        <w:pStyle w:val="CETBodytext"/>
      </w:pPr>
      <w:r>
        <w:t xml:space="preserve">The organic residues collected were segregated into the types and one sample of each type was fed to the </w:t>
      </w:r>
      <w:r w:rsidRPr="006213B9">
        <w:rPr>
          <w:i/>
        </w:rPr>
        <w:t>Gryllus assimilis</w:t>
      </w:r>
      <w:r>
        <w:t>. Of these residues, the crickets opted for the softest, freshest and sweetest, including remains of fruits, vegetables and food remains, establishing that these residues were to their liking, see Table 1.</w:t>
      </w:r>
    </w:p>
    <w:p w14:paraId="0D6D591D" w14:textId="6BABFE2E" w:rsidR="0015635D" w:rsidRDefault="00124B87" w:rsidP="00124B87">
      <w:pPr>
        <w:pStyle w:val="CETBodytext"/>
      </w:pPr>
      <w:r>
        <w:t xml:space="preserve">Scientific theory indicates that crickets are omnivorous, they eat everything, including plants, other insects and even textile material, which allows them to live between 4 to 6 months, </w:t>
      </w:r>
      <w:r w:rsidR="006213B9">
        <w:t>and they reproduce in quantity when they have a humidity of approximately 80</w:t>
      </w:r>
      <w:r w:rsidR="00274810">
        <w:t xml:space="preserve"> </w:t>
      </w:r>
      <w:r w:rsidR="006213B9">
        <w:t>% 90</w:t>
      </w:r>
      <w:r w:rsidR="00274810">
        <w:t xml:space="preserve"> </w:t>
      </w:r>
      <w:r>
        <w:t>%, with temperatures above 20 °C (Cruz and Arévalo, 2021).</w:t>
      </w:r>
    </w:p>
    <w:p w14:paraId="30F44E44" w14:textId="77777777" w:rsidR="006213B9" w:rsidRPr="005240A3" w:rsidRDefault="006213B9" w:rsidP="00124B87">
      <w:pPr>
        <w:pStyle w:val="CETBodytext"/>
      </w:pPr>
    </w:p>
    <w:tbl>
      <w:tblPr>
        <w:tblStyle w:val="Tabelacomgrade"/>
        <w:tblpPr w:leftFromText="141" w:rightFromText="141" w:vertAnchor="text" w:horzAnchor="margin" w:tblpY="329"/>
        <w:tblW w:w="5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3280"/>
      </w:tblGrid>
      <w:tr w:rsidR="00CA7F4B" w:rsidRPr="005240A3" w14:paraId="211DE562" w14:textId="23C8063E" w:rsidTr="00BD17FF">
        <w:trPr>
          <w:trHeight w:val="266"/>
        </w:trPr>
        <w:tc>
          <w:tcPr>
            <w:tcW w:w="2711" w:type="dxa"/>
            <w:tcBorders>
              <w:top w:val="single" w:sz="12" w:space="0" w:color="32741A"/>
              <w:bottom w:val="single" w:sz="4" w:space="0" w:color="32741A"/>
            </w:tcBorders>
            <w:hideMark/>
          </w:tcPr>
          <w:p w14:paraId="7DFAFF37" w14:textId="7EAC42AF" w:rsidR="00CA7F4B" w:rsidRPr="005240A3" w:rsidRDefault="006213B9" w:rsidP="00CA7F4B">
            <w:pPr>
              <w:jc w:val="left"/>
              <w:rPr>
                <w:rFonts w:cs="Arial"/>
                <w:b/>
                <w:bCs/>
                <w:szCs w:val="18"/>
                <w:lang w:val="en-US"/>
              </w:rPr>
            </w:pPr>
            <w:r w:rsidRPr="006213B9">
              <w:rPr>
                <w:rFonts w:cs="Arial"/>
                <w:color w:val="000000"/>
                <w:kern w:val="24"/>
                <w:szCs w:val="18"/>
                <w:lang w:val="en-US"/>
              </w:rPr>
              <w:t>Type of organic waste</w:t>
            </w:r>
          </w:p>
        </w:tc>
        <w:tc>
          <w:tcPr>
            <w:tcW w:w="3280" w:type="dxa"/>
            <w:tcBorders>
              <w:top w:val="single" w:sz="12" w:space="0" w:color="32741A"/>
              <w:bottom w:val="single" w:sz="4" w:space="0" w:color="32741A"/>
            </w:tcBorders>
          </w:tcPr>
          <w:p w14:paraId="4BA42EC5" w14:textId="378C9CDC" w:rsidR="00CA7F4B" w:rsidRPr="005240A3" w:rsidRDefault="006213B9" w:rsidP="00CA7F4B">
            <w:pPr>
              <w:ind w:left="883"/>
              <w:jc w:val="left"/>
              <w:rPr>
                <w:rFonts w:cs="Arial"/>
                <w:b/>
                <w:bCs/>
                <w:szCs w:val="18"/>
                <w:lang w:val="en-US"/>
              </w:rPr>
            </w:pPr>
            <w:r w:rsidRPr="006213B9">
              <w:rPr>
                <w:rFonts w:cs="Arial"/>
                <w:color w:val="000000"/>
                <w:kern w:val="24"/>
                <w:szCs w:val="18"/>
                <w:lang w:val="en-US"/>
              </w:rPr>
              <w:t>Specific waste</w:t>
            </w:r>
          </w:p>
        </w:tc>
      </w:tr>
      <w:tr w:rsidR="00747925" w:rsidRPr="005240A3" w14:paraId="48644EC3" w14:textId="77777777" w:rsidTr="00BD17FF">
        <w:trPr>
          <w:trHeight w:val="232"/>
        </w:trPr>
        <w:tc>
          <w:tcPr>
            <w:tcW w:w="2711" w:type="dxa"/>
            <w:tcBorders>
              <w:top w:val="single" w:sz="4" w:space="0" w:color="32741A"/>
            </w:tcBorders>
            <w:vAlign w:val="center"/>
            <w:hideMark/>
          </w:tcPr>
          <w:p w14:paraId="12F59295" w14:textId="32D05A33" w:rsidR="00747925" w:rsidRPr="005240A3" w:rsidRDefault="006213B9" w:rsidP="00CA7F4B">
            <w:pPr>
              <w:jc w:val="left"/>
              <w:rPr>
                <w:rFonts w:cs="Arial"/>
                <w:bCs/>
                <w:szCs w:val="18"/>
                <w:lang w:val="en-US"/>
              </w:rPr>
            </w:pPr>
            <w:r>
              <w:rPr>
                <w:rFonts w:cs="Arial"/>
                <w:bCs/>
                <w:szCs w:val="18"/>
                <w:lang w:val="en-US"/>
              </w:rPr>
              <w:t>Food waste</w:t>
            </w:r>
          </w:p>
        </w:tc>
        <w:tc>
          <w:tcPr>
            <w:tcW w:w="3280" w:type="dxa"/>
            <w:tcBorders>
              <w:top w:val="single" w:sz="4" w:space="0" w:color="32741A"/>
            </w:tcBorders>
            <w:hideMark/>
          </w:tcPr>
          <w:p w14:paraId="1DD61022" w14:textId="77777777" w:rsidR="008077C8" w:rsidRDefault="006213B9" w:rsidP="00CA7F4B">
            <w:pPr>
              <w:jc w:val="left"/>
              <w:rPr>
                <w:rFonts w:cs="Arial"/>
                <w:color w:val="000000"/>
                <w:kern w:val="24"/>
                <w:szCs w:val="18"/>
                <w:lang w:val="en-US"/>
              </w:rPr>
            </w:pPr>
            <w:r w:rsidRPr="006213B9">
              <w:rPr>
                <w:rFonts w:cs="Arial"/>
                <w:color w:val="000000"/>
                <w:kern w:val="24"/>
                <w:szCs w:val="18"/>
                <w:lang w:val="en-US"/>
              </w:rPr>
              <w:t>Rice, French fries, leftover noodles, chicken strips, meat.</w:t>
            </w:r>
          </w:p>
          <w:p w14:paraId="72051785" w14:textId="71E9E033" w:rsidR="006213B9" w:rsidRPr="005240A3" w:rsidRDefault="006213B9" w:rsidP="00CA7F4B">
            <w:pPr>
              <w:jc w:val="left"/>
              <w:rPr>
                <w:rFonts w:cs="Arial"/>
                <w:szCs w:val="18"/>
                <w:lang w:val="en-US"/>
              </w:rPr>
            </w:pPr>
          </w:p>
        </w:tc>
      </w:tr>
      <w:tr w:rsidR="006213B9" w:rsidRPr="005240A3" w14:paraId="4355EB48" w14:textId="77777777" w:rsidTr="00F91E48">
        <w:trPr>
          <w:trHeight w:val="309"/>
        </w:trPr>
        <w:tc>
          <w:tcPr>
            <w:tcW w:w="2711" w:type="dxa"/>
            <w:vMerge w:val="restart"/>
            <w:vAlign w:val="center"/>
            <w:hideMark/>
          </w:tcPr>
          <w:p w14:paraId="4B2E7C03" w14:textId="51E0C54F" w:rsidR="006213B9" w:rsidRPr="005240A3" w:rsidRDefault="006213B9" w:rsidP="006213B9">
            <w:pPr>
              <w:jc w:val="left"/>
              <w:rPr>
                <w:rFonts w:cs="Arial"/>
                <w:b/>
                <w:bCs/>
                <w:szCs w:val="18"/>
                <w:lang w:val="en-US"/>
              </w:rPr>
            </w:pPr>
            <w:r w:rsidRPr="006213B9">
              <w:rPr>
                <w:rFonts w:cs="Arial"/>
                <w:color w:val="000000"/>
                <w:kern w:val="24"/>
                <w:szCs w:val="18"/>
                <w:lang w:val="en-US"/>
              </w:rPr>
              <w:t>Fruit and vegetable waste</w:t>
            </w:r>
          </w:p>
        </w:tc>
        <w:tc>
          <w:tcPr>
            <w:tcW w:w="3280" w:type="dxa"/>
            <w:hideMark/>
          </w:tcPr>
          <w:p w14:paraId="51584B84" w14:textId="246A0DF3" w:rsidR="006213B9" w:rsidRPr="005240A3" w:rsidRDefault="006213B9" w:rsidP="006213B9">
            <w:pPr>
              <w:jc w:val="left"/>
              <w:rPr>
                <w:rFonts w:cs="Arial"/>
                <w:szCs w:val="18"/>
                <w:lang w:val="en-US"/>
              </w:rPr>
            </w:pPr>
            <w:r w:rsidRPr="00971826">
              <w:t>Fruits: banana, citrus, pineapple, papaya, grape, mango</w:t>
            </w:r>
          </w:p>
        </w:tc>
      </w:tr>
      <w:tr w:rsidR="006213B9" w:rsidRPr="005240A3" w14:paraId="578613F3" w14:textId="77777777" w:rsidTr="00F91E48">
        <w:trPr>
          <w:trHeight w:val="476"/>
        </w:trPr>
        <w:tc>
          <w:tcPr>
            <w:tcW w:w="2711" w:type="dxa"/>
            <w:vMerge/>
            <w:tcBorders>
              <w:bottom w:val="single" w:sz="12" w:space="0" w:color="32741A"/>
            </w:tcBorders>
            <w:hideMark/>
          </w:tcPr>
          <w:p w14:paraId="52300B50" w14:textId="77777777" w:rsidR="006213B9" w:rsidRPr="005240A3" w:rsidRDefault="006213B9" w:rsidP="006213B9">
            <w:pPr>
              <w:jc w:val="left"/>
              <w:rPr>
                <w:rFonts w:cs="Arial"/>
                <w:b/>
                <w:bCs/>
                <w:szCs w:val="18"/>
                <w:lang w:val="en-US"/>
              </w:rPr>
            </w:pPr>
          </w:p>
        </w:tc>
        <w:tc>
          <w:tcPr>
            <w:tcW w:w="3280" w:type="dxa"/>
            <w:tcBorders>
              <w:bottom w:val="single" w:sz="12" w:space="0" w:color="32741A"/>
            </w:tcBorders>
            <w:hideMark/>
          </w:tcPr>
          <w:p w14:paraId="182ED3F5" w14:textId="789D30E2" w:rsidR="006213B9" w:rsidRPr="005240A3" w:rsidRDefault="006213B9" w:rsidP="006213B9">
            <w:pPr>
              <w:jc w:val="left"/>
              <w:rPr>
                <w:rFonts w:cs="Arial"/>
                <w:szCs w:val="18"/>
                <w:lang w:val="en-US"/>
              </w:rPr>
            </w:pPr>
            <w:r w:rsidRPr="00971826">
              <w:t xml:space="preserve">Vegetables: pumpkin peels, tomato, carrot, potato, peas, </w:t>
            </w:r>
            <w:r w:rsidR="00274810" w:rsidRPr="00971826">
              <w:t>lettuce</w:t>
            </w:r>
          </w:p>
        </w:tc>
      </w:tr>
    </w:tbl>
    <w:p w14:paraId="7EE78E03" w14:textId="4E8D32E7" w:rsidR="0080076E" w:rsidRPr="005240A3" w:rsidRDefault="0080076E" w:rsidP="00913362">
      <w:pPr>
        <w:pStyle w:val="Tabla"/>
        <w:rPr>
          <w:lang w:val="en-US"/>
        </w:rPr>
      </w:pPr>
      <w:r w:rsidRPr="005240A3">
        <w:rPr>
          <w:lang w:val="en-US"/>
        </w:rPr>
        <w:t xml:space="preserve">Tabla 1: </w:t>
      </w:r>
      <w:bookmarkStart w:id="0" w:name="_Toc90828043"/>
      <w:bookmarkStart w:id="1" w:name="_Hlk121387879"/>
      <w:r w:rsidR="006213B9" w:rsidRPr="006213B9">
        <w:rPr>
          <w:lang w:val="en-US"/>
        </w:rPr>
        <w:t>Consumption affinity of Gryllus assimilis by type of organic waste</w:t>
      </w:r>
      <w:bookmarkEnd w:id="0"/>
    </w:p>
    <w:bookmarkEnd w:id="1"/>
    <w:p w14:paraId="4088844E" w14:textId="77777777" w:rsidR="0080076E" w:rsidRPr="00274810" w:rsidRDefault="0080076E" w:rsidP="0080076E">
      <w:pPr>
        <w:pStyle w:val="CETBodytext"/>
        <w:rPr>
          <w:sz w:val="8"/>
          <w:szCs w:val="10"/>
        </w:rPr>
      </w:pPr>
    </w:p>
    <w:p w14:paraId="5B0E9151" w14:textId="77777777" w:rsidR="00D4547B" w:rsidRDefault="00D4547B" w:rsidP="00D4547B">
      <w:pPr>
        <w:pStyle w:val="CETBodytext"/>
      </w:pPr>
    </w:p>
    <w:p w14:paraId="41D6AC25" w14:textId="77777777" w:rsidR="00D4547B" w:rsidRDefault="00D4547B" w:rsidP="00D4547B">
      <w:pPr>
        <w:pStyle w:val="CETBodytext"/>
      </w:pPr>
    </w:p>
    <w:p w14:paraId="2EC61366" w14:textId="77777777" w:rsidR="00D4547B" w:rsidRDefault="00D4547B" w:rsidP="00D4547B">
      <w:pPr>
        <w:pStyle w:val="CETBodytext"/>
      </w:pPr>
    </w:p>
    <w:p w14:paraId="40FD0A86" w14:textId="77777777" w:rsidR="00D4547B" w:rsidRDefault="00D4547B" w:rsidP="00D4547B">
      <w:pPr>
        <w:pStyle w:val="CETBodytext"/>
      </w:pPr>
    </w:p>
    <w:p w14:paraId="25381E7A" w14:textId="77777777" w:rsidR="00D4547B" w:rsidRDefault="00D4547B" w:rsidP="00D4547B">
      <w:pPr>
        <w:pStyle w:val="CETBodytext"/>
      </w:pPr>
    </w:p>
    <w:p w14:paraId="432F3DF8" w14:textId="77777777" w:rsidR="00D4547B" w:rsidRDefault="00D4547B" w:rsidP="00D4547B">
      <w:pPr>
        <w:pStyle w:val="CETBodytext"/>
      </w:pPr>
    </w:p>
    <w:p w14:paraId="0BBFA092" w14:textId="77777777" w:rsidR="00D4547B" w:rsidRDefault="00D4547B" w:rsidP="00D4547B">
      <w:pPr>
        <w:pStyle w:val="CETBodytext"/>
      </w:pPr>
    </w:p>
    <w:p w14:paraId="658DEDBF" w14:textId="77777777" w:rsidR="00BD17FF" w:rsidRDefault="00BD17FF" w:rsidP="00D4547B">
      <w:pPr>
        <w:pStyle w:val="CETBodytext"/>
      </w:pPr>
    </w:p>
    <w:p w14:paraId="0C7449A4" w14:textId="2A645141" w:rsidR="00D4547B" w:rsidRPr="00D4547B" w:rsidRDefault="00D4547B" w:rsidP="00D4547B">
      <w:pPr>
        <w:pStyle w:val="CETBodytext"/>
        <w:rPr>
          <w:b/>
        </w:rPr>
      </w:pPr>
      <w:r w:rsidRPr="00D4547B">
        <w:t>The growth of crickets associated with the different wastes was not considered in this research, however, Sierra et al. (2020), state that they found no differences in weight or mortality with the food treatments evaluated in crickets, only significant differences related to the variable feed conversion were presented, being the best nutritional treatment the diet that used balanced food enriched with yeast and fresh vegetables such as zucchini</w:t>
      </w:r>
    </w:p>
    <w:p w14:paraId="38674FC3" w14:textId="4AB492E5" w:rsidR="0080076E" w:rsidRPr="005240A3" w:rsidRDefault="006213B9" w:rsidP="006213B9">
      <w:pPr>
        <w:pStyle w:val="CETheadingx"/>
        <w:rPr>
          <w:i/>
          <w:iCs/>
        </w:rPr>
      </w:pPr>
      <w:r w:rsidRPr="006213B9">
        <w:lastRenderedPageBreak/>
        <w:t>Amount of minimization of organic waste of fruits and vegetables by the</w:t>
      </w:r>
      <w:r w:rsidR="0080076E" w:rsidRPr="005240A3">
        <w:t xml:space="preserve"> </w:t>
      </w:r>
      <w:r w:rsidR="0080076E" w:rsidRPr="005240A3">
        <w:rPr>
          <w:i/>
          <w:iCs/>
        </w:rPr>
        <w:t>Gryllus assimilis</w:t>
      </w:r>
    </w:p>
    <w:p w14:paraId="33D9C06F" w14:textId="7225959B" w:rsidR="0080076E" w:rsidRDefault="00FD2E41" w:rsidP="0080076E">
      <w:pPr>
        <w:pStyle w:val="CETBodytext"/>
      </w:pPr>
      <w:r w:rsidRPr="00FD2E41">
        <w:t xml:space="preserve">From the initial sample of 100 g of fruit and vegetable residues in each of the 15 repetitions, the 200 </w:t>
      </w:r>
      <w:r w:rsidRPr="00FD2E41">
        <w:rPr>
          <w:i/>
        </w:rPr>
        <w:t>Gryllus assimilis</w:t>
      </w:r>
      <w:r w:rsidRPr="00FD2E41">
        <w:t xml:space="preserve"> were fed (consumed) the percentage shown in Table 2, the average percentage being 18 %. This type of waste is also one of the preferred ones for cockroaches, according to what was found in the re</w:t>
      </w:r>
      <w:r w:rsidR="00BB6E2B">
        <w:t xml:space="preserve">search carried out by </w:t>
      </w:r>
      <w:r w:rsidR="00BB6E2B" w:rsidRPr="00274810">
        <w:t>Calderón et al.</w:t>
      </w:r>
      <w:r w:rsidRPr="00274810">
        <w:t xml:space="preserve"> (2021</w:t>
      </w:r>
      <w:r w:rsidRPr="00FD2E41">
        <w:t>), where using solid organic waste containing carbohydrates, another group of waste containing proteins, a third group of fruit and vegetable residues and a fourth group with a random mixture of the aforementioned residues, found that fruit and vegetable residues were the most consumed.</w:t>
      </w:r>
    </w:p>
    <w:p w14:paraId="43B8228A" w14:textId="00B376E4" w:rsidR="0080076E" w:rsidRDefault="0080076E" w:rsidP="00FD2E41">
      <w:pPr>
        <w:pStyle w:val="CETTabletitle"/>
      </w:pPr>
      <w:r w:rsidRPr="005240A3">
        <w:t>Tabl</w:t>
      </w:r>
      <w:r w:rsidR="00FD2E41">
        <w:t>e</w:t>
      </w:r>
      <w:r w:rsidRPr="005240A3">
        <w:t xml:space="preserve"> 2:</w:t>
      </w:r>
      <w:r w:rsidR="00F1594C" w:rsidRPr="005240A3">
        <w:t xml:space="preserve"> </w:t>
      </w:r>
      <w:r w:rsidR="00FD2E41" w:rsidRPr="00FD2E41">
        <w:t xml:space="preserve">Amount and percentage of organic waste from fruits and vegetables minimized by the </w:t>
      </w:r>
      <w:r w:rsidR="00F1594C" w:rsidRPr="005240A3">
        <w:t>Gryllus assimilis</w:t>
      </w:r>
    </w:p>
    <w:tbl>
      <w:tblPr>
        <w:tblW w:w="6248"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123"/>
        <w:gridCol w:w="1932"/>
        <w:gridCol w:w="1747"/>
        <w:gridCol w:w="1446"/>
      </w:tblGrid>
      <w:tr w:rsidR="008077C8" w:rsidRPr="005240A3" w14:paraId="49045F71" w14:textId="77777777" w:rsidTr="00BD17FF">
        <w:trPr>
          <w:trHeight w:val="20"/>
        </w:trPr>
        <w:tc>
          <w:tcPr>
            <w:tcW w:w="1123" w:type="dxa"/>
            <w:tcBorders>
              <w:top w:val="single" w:sz="12" w:space="0" w:color="008000"/>
              <w:bottom w:val="nil"/>
            </w:tcBorders>
            <w:shd w:val="clear" w:color="auto" w:fill="auto"/>
            <w:noWrap/>
            <w:vAlign w:val="center"/>
            <w:hideMark/>
          </w:tcPr>
          <w:p w14:paraId="7C30030D" w14:textId="5A9404CE" w:rsidR="008077C8" w:rsidRPr="005240A3" w:rsidRDefault="00DE15D6" w:rsidP="00BD17FF">
            <w:pPr>
              <w:pStyle w:val="CETBodytext"/>
              <w:jc w:val="center"/>
              <w:rPr>
                <w:lang w:eastAsia="es-PE"/>
              </w:rPr>
            </w:pPr>
            <w:r>
              <w:rPr>
                <w:lang w:eastAsia="es-PE"/>
              </w:rPr>
              <w:t>Repetition</w:t>
            </w:r>
          </w:p>
        </w:tc>
        <w:tc>
          <w:tcPr>
            <w:tcW w:w="3679" w:type="dxa"/>
            <w:gridSpan w:val="2"/>
            <w:tcBorders>
              <w:top w:val="single" w:sz="12" w:space="0" w:color="008000"/>
              <w:bottom w:val="nil"/>
            </w:tcBorders>
            <w:shd w:val="clear" w:color="auto" w:fill="auto"/>
            <w:noWrap/>
            <w:vAlign w:val="center"/>
            <w:hideMark/>
          </w:tcPr>
          <w:p w14:paraId="58F1F4F2" w14:textId="16135343" w:rsidR="008077C8" w:rsidRPr="005240A3" w:rsidRDefault="008077C8" w:rsidP="00BD17FF">
            <w:pPr>
              <w:pStyle w:val="CETBodytext"/>
              <w:jc w:val="center"/>
              <w:rPr>
                <w:lang w:eastAsia="es-PE"/>
              </w:rPr>
            </w:pPr>
            <w:r w:rsidRPr="005240A3">
              <w:rPr>
                <w:lang w:eastAsia="es-PE"/>
              </w:rPr>
              <w:t xml:space="preserve">T1: </w:t>
            </w:r>
            <w:r w:rsidR="00DE15D6" w:rsidRPr="00DE15D6">
              <w:rPr>
                <w:lang w:eastAsia="es-PE"/>
              </w:rPr>
              <w:t>Fruit and vegetable</w:t>
            </w:r>
          </w:p>
        </w:tc>
        <w:tc>
          <w:tcPr>
            <w:tcW w:w="1446" w:type="dxa"/>
            <w:tcBorders>
              <w:top w:val="single" w:sz="12" w:space="0" w:color="008000"/>
              <w:bottom w:val="nil"/>
            </w:tcBorders>
            <w:shd w:val="clear" w:color="auto" w:fill="auto"/>
            <w:noWrap/>
            <w:vAlign w:val="center"/>
            <w:hideMark/>
          </w:tcPr>
          <w:p w14:paraId="554EBF0E" w14:textId="5D3CA2B3" w:rsidR="008077C8" w:rsidRPr="005240A3" w:rsidRDefault="008077C8" w:rsidP="00BD17FF">
            <w:pPr>
              <w:pStyle w:val="CETBodytext"/>
              <w:jc w:val="center"/>
              <w:rPr>
                <w:lang w:eastAsia="es-PE"/>
              </w:rPr>
            </w:pPr>
            <w:r w:rsidRPr="005240A3">
              <w:rPr>
                <w:lang w:eastAsia="es-PE"/>
              </w:rPr>
              <w:t>Reduc</w:t>
            </w:r>
            <w:r w:rsidR="00DE15D6">
              <w:rPr>
                <w:lang w:eastAsia="es-PE"/>
              </w:rPr>
              <w:t>tion</w:t>
            </w:r>
          </w:p>
        </w:tc>
      </w:tr>
      <w:tr w:rsidR="008077C8" w:rsidRPr="005240A3" w14:paraId="244ABE89" w14:textId="77777777" w:rsidTr="00BD17FF">
        <w:trPr>
          <w:trHeight w:val="20"/>
        </w:trPr>
        <w:tc>
          <w:tcPr>
            <w:tcW w:w="1123" w:type="dxa"/>
            <w:tcBorders>
              <w:top w:val="nil"/>
              <w:bottom w:val="single" w:sz="4" w:space="0" w:color="008000"/>
            </w:tcBorders>
            <w:shd w:val="clear" w:color="auto" w:fill="auto"/>
            <w:noWrap/>
            <w:vAlign w:val="center"/>
            <w:hideMark/>
          </w:tcPr>
          <w:p w14:paraId="47CE4658" w14:textId="77777777" w:rsidR="008077C8" w:rsidRPr="005240A3" w:rsidRDefault="008077C8" w:rsidP="00BD17FF">
            <w:pPr>
              <w:pStyle w:val="CETBodytext"/>
              <w:jc w:val="center"/>
              <w:rPr>
                <w:lang w:eastAsia="es-PE"/>
              </w:rPr>
            </w:pPr>
            <w:r w:rsidRPr="005240A3">
              <w:rPr>
                <w:lang w:eastAsia="es-PE"/>
              </w:rPr>
              <w:t>N°</w:t>
            </w:r>
          </w:p>
        </w:tc>
        <w:tc>
          <w:tcPr>
            <w:tcW w:w="1932" w:type="dxa"/>
            <w:tcBorders>
              <w:top w:val="nil"/>
              <w:bottom w:val="single" w:sz="4" w:space="0" w:color="008000"/>
            </w:tcBorders>
            <w:shd w:val="clear" w:color="auto" w:fill="auto"/>
            <w:noWrap/>
            <w:vAlign w:val="center"/>
            <w:hideMark/>
          </w:tcPr>
          <w:p w14:paraId="4F6D8512" w14:textId="4EBA13BB" w:rsidR="008077C8" w:rsidRPr="005240A3" w:rsidRDefault="00DE15D6" w:rsidP="00BD17FF">
            <w:pPr>
              <w:pStyle w:val="CETBodytext"/>
              <w:jc w:val="center"/>
              <w:rPr>
                <w:lang w:eastAsia="es-PE"/>
              </w:rPr>
            </w:pPr>
            <w:r>
              <w:rPr>
                <w:lang w:eastAsia="es-PE"/>
              </w:rPr>
              <w:t>Initial amount</w:t>
            </w:r>
            <w:r w:rsidR="008077C8" w:rsidRPr="005240A3">
              <w:rPr>
                <w:lang w:eastAsia="es-PE"/>
              </w:rPr>
              <w:t xml:space="preserve"> (g)</w:t>
            </w:r>
          </w:p>
        </w:tc>
        <w:tc>
          <w:tcPr>
            <w:tcW w:w="1746" w:type="dxa"/>
            <w:tcBorders>
              <w:top w:val="nil"/>
              <w:bottom w:val="single" w:sz="4" w:space="0" w:color="008000"/>
            </w:tcBorders>
            <w:shd w:val="clear" w:color="auto" w:fill="auto"/>
            <w:noWrap/>
            <w:vAlign w:val="center"/>
            <w:hideMark/>
          </w:tcPr>
          <w:p w14:paraId="3796DAFB" w14:textId="123D70AD" w:rsidR="008077C8" w:rsidRPr="005240A3" w:rsidRDefault="00DE15D6" w:rsidP="00BD17FF">
            <w:pPr>
              <w:pStyle w:val="CETBodytext"/>
              <w:jc w:val="center"/>
              <w:rPr>
                <w:lang w:eastAsia="es-PE"/>
              </w:rPr>
            </w:pPr>
            <w:r>
              <w:rPr>
                <w:lang w:eastAsia="es-PE"/>
              </w:rPr>
              <w:t>Final</w:t>
            </w:r>
            <w:r w:rsidRPr="00DE15D6">
              <w:rPr>
                <w:lang w:eastAsia="es-PE"/>
              </w:rPr>
              <w:t xml:space="preserve"> amount </w:t>
            </w:r>
            <w:r w:rsidR="008077C8" w:rsidRPr="005240A3">
              <w:rPr>
                <w:lang w:eastAsia="es-PE"/>
              </w:rPr>
              <w:t>(g)</w:t>
            </w:r>
          </w:p>
        </w:tc>
        <w:tc>
          <w:tcPr>
            <w:tcW w:w="1446" w:type="dxa"/>
            <w:tcBorders>
              <w:top w:val="nil"/>
              <w:bottom w:val="single" w:sz="4" w:space="0" w:color="008000"/>
            </w:tcBorders>
            <w:shd w:val="clear" w:color="auto" w:fill="auto"/>
            <w:noWrap/>
            <w:vAlign w:val="center"/>
            <w:hideMark/>
          </w:tcPr>
          <w:p w14:paraId="315BA80D" w14:textId="77777777" w:rsidR="008077C8" w:rsidRPr="005240A3" w:rsidRDefault="008077C8" w:rsidP="00BD17FF">
            <w:pPr>
              <w:pStyle w:val="CETBodytext"/>
              <w:jc w:val="center"/>
              <w:rPr>
                <w:lang w:eastAsia="es-PE"/>
              </w:rPr>
            </w:pPr>
            <w:r w:rsidRPr="005240A3">
              <w:rPr>
                <w:lang w:eastAsia="es-PE"/>
              </w:rPr>
              <w:t>(%)</w:t>
            </w:r>
          </w:p>
        </w:tc>
      </w:tr>
      <w:tr w:rsidR="008077C8" w:rsidRPr="005240A3" w14:paraId="4F2BA7D3" w14:textId="77777777" w:rsidTr="00BD17FF">
        <w:trPr>
          <w:trHeight w:val="20"/>
        </w:trPr>
        <w:tc>
          <w:tcPr>
            <w:tcW w:w="1123" w:type="dxa"/>
            <w:tcBorders>
              <w:top w:val="single" w:sz="4" w:space="0" w:color="008000"/>
            </w:tcBorders>
            <w:shd w:val="clear" w:color="auto" w:fill="auto"/>
            <w:noWrap/>
            <w:vAlign w:val="center"/>
            <w:hideMark/>
          </w:tcPr>
          <w:p w14:paraId="627C5001" w14:textId="77777777" w:rsidR="008077C8" w:rsidRPr="005240A3" w:rsidRDefault="008077C8" w:rsidP="00BD17FF">
            <w:pPr>
              <w:pStyle w:val="CETBodytext"/>
              <w:jc w:val="center"/>
              <w:rPr>
                <w:lang w:eastAsia="es-PE"/>
              </w:rPr>
            </w:pPr>
            <w:r w:rsidRPr="005240A3">
              <w:rPr>
                <w:lang w:eastAsia="es-PE"/>
              </w:rPr>
              <w:t>1</w:t>
            </w:r>
          </w:p>
        </w:tc>
        <w:tc>
          <w:tcPr>
            <w:tcW w:w="1932" w:type="dxa"/>
            <w:tcBorders>
              <w:top w:val="single" w:sz="4" w:space="0" w:color="008000"/>
            </w:tcBorders>
            <w:shd w:val="clear" w:color="auto" w:fill="auto"/>
            <w:noWrap/>
            <w:vAlign w:val="center"/>
            <w:hideMark/>
          </w:tcPr>
          <w:p w14:paraId="56162615" w14:textId="77777777" w:rsidR="008077C8" w:rsidRPr="005240A3" w:rsidRDefault="008077C8" w:rsidP="00BD17FF">
            <w:pPr>
              <w:pStyle w:val="CETBodytext"/>
              <w:jc w:val="center"/>
              <w:rPr>
                <w:lang w:eastAsia="es-PE"/>
              </w:rPr>
            </w:pPr>
            <w:r w:rsidRPr="005240A3">
              <w:rPr>
                <w:lang w:eastAsia="es-PE"/>
              </w:rPr>
              <w:t>100</w:t>
            </w:r>
          </w:p>
        </w:tc>
        <w:tc>
          <w:tcPr>
            <w:tcW w:w="1746" w:type="dxa"/>
            <w:tcBorders>
              <w:top w:val="single" w:sz="4" w:space="0" w:color="008000"/>
            </w:tcBorders>
            <w:shd w:val="clear" w:color="auto" w:fill="auto"/>
            <w:noWrap/>
            <w:vAlign w:val="center"/>
            <w:hideMark/>
          </w:tcPr>
          <w:p w14:paraId="2ABFC6CD" w14:textId="77777777" w:rsidR="008077C8" w:rsidRPr="005240A3" w:rsidRDefault="008077C8" w:rsidP="00BD17FF">
            <w:pPr>
              <w:pStyle w:val="CETBodytext"/>
              <w:jc w:val="center"/>
              <w:rPr>
                <w:lang w:eastAsia="es-PE"/>
              </w:rPr>
            </w:pPr>
            <w:r w:rsidRPr="005240A3">
              <w:rPr>
                <w:lang w:eastAsia="es-PE"/>
              </w:rPr>
              <w:t>83</w:t>
            </w:r>
          </w:p>
        </w:tc>
        <w:tc>
          <w:tcPr>
            <w:tcW w:w="1446" w:type="dxa"/>
            <w:tcBorders>
              <w:top w:val="single" w:sz="4" w:space="0" w:color="008000"/>
            </w:tcBorders>
            <w:shd w:val="clear" w:color="auto" w:fill="auto"/>
            <w:noWrap/>
            <w:vAlign w:val="center"/>
            <w:hideMark/>
          </w:tcPr>
          <w:p w14:paraId="1A3A71C7" w14:textId="2E77C3E9" w:rsidR="008077C8" w:rsidRPr="005240A3" w:rsidRDefault="008077C8" w:rsidP="00BD17FF">
            <w:pPr>
              <w:pStyle w:val="CETBodytext"/>
              <w:jc w:val="center"/>
              <w:rPr>
                <w:lang w:eastAsia="es-PE"/>
              </w:rPr>
            </w:pPr>
            <w:r w:rsidRPr="005240A3">
              <w:rPr>
                <w:lang w:eastAsia="es-PE"/>
              </w:rPr>
              <w:t>17</w:t>
            </w:r>
          </w:p>
        </w:tc>
      </w:tr>
      <w:tr w:rsidR="008077C8" w:rsidRPr="005240A3" w14:paraId="67A0F217" w14:textId="77777777" w:rsidTr="00BD17FF">
        <w:trPr>
          <w:trHeight w:val="20"/>
        </w:trPr>
        <w:tc>
          <w:tcPr>
            <w:tcW w:w="1123" w:type="dxa"/>
            <w:shd w:val="clear" w:color="auto" w:fill="auto"/>
            <w:noWrap/>
            <w:vAlign w:val="center"/>
            <w:hideMark/>
          </w:tcPr>
          <w:p w14:paraId="58D21CE6" w14:textId="77777777" w:rsidR="008077C8" w:rsidRPr="005240A3" w:rsidRDefault="008077C8" w:rsidP="00BD17FF">
            <w:pPr>
              <w:pStyle w:val="CETBodytext"/>
              <w:jc w:val="center"/>
              <w:rPr>
                <w:lang w:eastAsia="es-PE"/>
              </w:rPr>
            </w:pPr>
            <w:r w:rsidRPr="005240A3">
              <w:rPr>
                <w:lang w:eastAsia="es-PE"/>
              </w:rPr>
              <w:t>2</w:t>
            </w:r>
          </w:p>
        </w:tc>
        <w:tc>
          <w:tcPr>
            <w:tcW w:w="1932" w:type="dxa"/>
            <w:shd w:val="clear" w:color="auto" w:fill="auto"/>
            <w:noWrap/>
            <w:vAlign w:val="center"/>
            <w:hideMark/>
          </w:tcPr>
          <w:p w14:paraId="0FAB75D4"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3FD40A6D" w14:textId="531DF237" w:rsidR="008077C8" w:rsidRPr="005240A3" w:rsidRDefault="008077C8" w:rsidP="00BD17FF">
            <w:pPr>
              <w:pStyle w:val="CETBodytext"/>
              <w:jc w:val="center"/>
              <w:rPr>
                <w:lang w:eastAsia="es-PE"/>
              </w:rPr>
            </w:pPr>
            <w:r w:rsidRPr="005240A3">
              <w:rPr>
                <w:lang w:eastAsia="es-PE"/>
              </w:rPr>
              <w:t>88</w:t>
            </w:r>
          </w:p>
        </w:tc>
        <w:tc>
          <w:tcPr>
            <w:tcW w:w="1446" w:type="dxa"/>
            <w:shd w:val="clear" w:color="auto" w:fill="auto"/>
            <w:noWrap/>
            <w:vAlign w:val="center"/>
            <w:hideMark/>
          </w:tcPr>
          <w:p w14:paraId="44A0CB38" w14:textId="43A38BC0" w:rsidR="008077C8" w:rsidRPr="005240A3" w:rsidRDefault="008077C8" w:rsidP="00BD17FF">
            <w:pPr>
              <w:pStyle w:val="CETBodytext"/>
              <w:jc w:val="center"/>
              <w:rPr>
                <w:lang w:eastAsia="es-PE"/>
              </w:rPr>
            </w:pPr>
            <w:r w:rsidRPr="005240A3">
              <w:rPr>
                <w:lang w:eastAsia="es-PE"/>
              </w:rPr>
              <w:t>12</w:t>
            </w:r>
          </w:p>
        </w:tc>
      </w:tr>
      <w:tr w:rsidR="008077C8" w:rsidRPr="005240A3" w14:paraId="31282F5D" w14:textId="77777777" w:rsidTr="00BD17FF">
        <w:trPr>
          <w:trHeight w:val="20"/>
        </w:trPr>
        <w:tc>
          <w:tcPr>
            <w:tcW w:w="1123" w:type="dxa"/>
            <w:shd w:val="clear" w:color="auto" w:fill="auto"/>
            <w:noWrap/>
            <w:vAlign w:val="center"/>
            <w:hideMark/>
          </w:tcPr>
          <w:p w14:paraId="247458E3" w14:textId="77777777" w:rsidR="008077C8" w:rsidRPr="005240A3" w:rsidRDefault="008077C8" w:rsidP="00BD17FF">
            <w:pPr>
              <w:pStyle w:val="CETBodytext"/>
              <w:jc w:val="center"/>
              <w:rPr>
                <w:lang w:eastAsia="es-PE"/>
              </w:rPr>
            </w:pPr>
            <w:r w:rsidRPr="005240A3">
              <w:rPr>
                <w:lang w:eastAsia="es-PE"/>
              </w:rPr>
              <w:t>3</w:t>
            </w:r>
          </w:p>
        </w:tc>
        <w:tc>
          <w:tcPr>
            <w:tcW w:w="1932" w:type="dxa"/>
            <w:shd w:val="clear" w:color="auto" w:fill="auto"/>
            <w:noWrap/>
            <w:vAlign w:val="center"/>
            <w:hideMark/>
          </w:tcPr>
          <w:p w14:paraId="1E82D1F6"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1BBD8783" w14:textId="77777777" w:rsidR="008077C8" w:rsidRPr="005240A3" w:rsidRDefault="008077C8" w:rsidP="00BD17FF">
            <w:pPr>
              <w:pStyle w:val="CETBodytext"/>
              <w:jc w:val="center"/>
              <w:rPr>
                <w:lang w:eastAsia="es-PE"/>
              </w:rPr>
            </w:pPr>
            <w:r w:rsidRPr="005240A3">
              <w:rPr>
                <w:lang w:eastAsia="es-PE"/>
              </w:rPr>
              <w:t>87</w:t>
            </w:r>
          </w:p>
        </w:tc>
        <w:tc>
          <w:tcPr>
            <w:tcW w:w="1446" w:type="dxa"/>
            <w:shd w:val="clear" w:color="auto" w:fill="auto"/>
            <w:noWrap/>
            <w:vAlign w:val="center"/>
            <w:hideMark/>
          </w:tcPr>
          <w:p w14:paraId="51046875" w14:textId="743510E0" w:rsidR="008077C8" w:rsidRPr="005240A3" w:rsidRDefault="008077C8" w:rsidP="00BD17FF">
            <w:pPr>
              <w:pStyle w:val="CETBodytext"/>
              <w:jc w:val="center"/>
              <w:rPr>
                <w:lang w:eastAsia="es-PE"/>
              </w:rPr>
            </w:pPr>
            <w:r w:rsidRPr="005240A3">
              <w:rPr>
                <w:lang w:eastAsia="es-PE"/>
              </w:rPr>
              <w:t>13</w:t>
            </w:r>
          </w:p>
        </w:tc>
      </w:tr>
      <w:tr w:rsidR="008077C8" w:rsidRPr="005240A3" w14:paraId="71374B34" w14:textId="77777777" w:rsidTr="00BD17FF">
        <w:trPr>
          <w:trHeight w:val="20"/>
        </w:trPr>
        <w:tc>
          <w:tcPr>
            <w:tcW w:w="1123" w:type="dxa"/>
            <w:shd w:val="clear" w:color="auto" w:fill="auto"/>
            <w:noWrap/>
            <w:vAlign w:val="center"/>
            <w:hideMark/>
          </w:tcPr>
          <w:p w14:paraId="6DADDAF9" w14:textId="77777777" w:rsidR="008077C8" w:rsidRPr="005240A3" w:rsidRDefault="008077C8" w:rsidP="00BD17FF">
            <w:pPr>
              <w:pStyle w:val="CETBodytext"/>
              <w:jc w:val="center"/>
              <w:rPr>
                <w:lang w:eastAsia="es-PE"/>
              </w:rPr>
            </w:pPr>
            <w:r w:rsidRPr="005240A3">
              <w:rPr>
                <w:lang w:eastAsia="es-PE"/>
              </w:rPr>
              <w:t>4</w:t>
            </w:r>
          </w:p>
        </w:tc>
        <w:tc>
          <w:tcPr>
            <w:tcW w:w="1932" w:type="dxa"/>
            <w:shd w:val="clear" w:color="auto" w:fill="auto"/>
            <w:noWrap/>
            <w:vAlign w:val="center"/>
            <w:hideMark/>
          </w:tcPr>
          <w:p w14:paraId="41B67AA4"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108BCCE8" w14:textId="77777777" w:rsidR="008077C8" w:rsidRPr="005240A3" w:rsidRDefault="008077C8" w:rsidP="00BD17FF">
            <w:pPr>
              <w:pStyle w:val="CETBodytext"/>
              <w:jc w:val="center"/>
              <w:rPr>
                <w:lang w:eastAsia="es-PE"/>
              </w:rPr>
            </w:pPr>
            <w:r w:rsidRPr="005240A3">
              <w:rPr>
                <w:lang w:eastAsia="es-PE"/>
              </w:rPr>
              <w:t>82</w:t>
            </w:r>
          </w:p>
        </w:tc>
        <w:tc>
          <w:tcPr>
            <w:tcW w:w="1446" w:type="dxa"/>
            <w:shd w:val="clear" w:color="auto" w:fill="auto"/>
            <w:noWrap/>
            <w:vAlign w:val="center"/>
            <w:hideMark/>
          </w:tcPr>
          <w:p w14:paraId="5E40A643" w14:textId="32D55032" w:rsidR="008077C8" w:rsidRPr="005240A3" w:rsidRDefault="008077C8" w:rsidP="00BD17FF">
            <w:pPr>
              <w:pStyle w:val="CETBodytext"/>
              <w:jc w:val="center"/>
              <w:rPr>
                <w:lang w:eastAsia="es-PE"/>
              </w:rPr>
            </w:pPr>
            <w:r w:rsidRPr="005240A3">
              <w:rPr>
                <w:lang w:eastAsia="es-PE"/>
              </w:rPr>
              <w:t>18</w:t>
            </w:r>
          </w:p>
        </w:tc>
      </w:tr>
      <w:tr w:rsidR="008077C8" w:rsidRPr="005240A3" w14:paraId="6344E661" w14:textId="77777777" w:rsidTr="00BD17FF">
        <w:trPr>
          <w:trHeight w:val="20"/>
        </w:trPr>
        <w:tc>
          <w:tcPr>
            <w:tcW w:w="1123" w:type="dxa"/>
            <w:shd w:val="clear" w:color="auto" w:fill="auto"/>
            <w:noWrap/>
            <w:vAlign w:val="center"/>
            <w:hideMark/>
          </w:tcPr>
          <w:p w14:paraId="714CF52F" w14:textId="77777777" w:rsidR="008077C8" w:rsidRPr="005240A3" w:rsidRDefault="008077C8" w:rsidP="00BD17FF">
            <w:pPr>
              <w:pStyle w:val="CETBodytext"/>
              <w:jc w:val="center"/>
              <w:rPr>
                <w:lang w:eastAsia="es-PE"/>
              </w:rPr>
            </w:pPr>
            <w:r w:rsidRPr="005240A3">
              <w:rPr>
                <w:lang w:eastAsia="es-PE"/>
              </w:rPr>
              <w:t>5</w:t>
            </w:r>
          </w:p>
        </w:tc>
        <w:tc>
          <w:tcPr>
            <w:tcW w:w="1932" w:type="dxa"/>
            <w:shd w:val="clear" w:color="auto" w:fill="auto"/>
            <w:noWrap/>
            <w:vAlign w:val="center"/>
            <w:hideMark/>
          </w:tcPr>
          <w:p w14:paraId="30671079"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7CEFCA4B" w14:textId="77777777" w:rsidR="008077C8" w:rsidRPr="005240A3" w:rsidRDefault="008077C8" w:rsidP="00BD17FF">
            <w:pPr>
              <w:pStyle w:val="CETBodytext"/>
              <w:jc w:val="center"/>
              <w:rPr>
                <w:lang w:eastAsia="es-PE"/>
              </w:rPr>
            </w:pPr>
            <w:r w:rsidRPr="005240A3">
              <w:rPr>
                <w:lang w:eastAsia="es-PE"/>
              </w:rPr>
              <w:t>82</w:t>
            </w:r>
          </w:p>
        </w:tc>
        <w:tc>
          <w:tcPr>
            <w:tcW w:w="1446" w:type="dxa"/>
            <w:shd w:val="clear" w:color="auto" w:fill="auto"/>
            <w:noWrap/>
            <w:vAlign w:val="center"/>
            <w:hideMark/>
          </w:tcPr>
          <w:p w14:paraId="1630A55F" w14:textId="3C725A84" w:rsidR="008077C8" w:rsidRPr="005240A3" w:rsidRDefault="008077C8" w:rsidP="00BD17FF">
            <w:pPr>
              <w:pStyle w:val="CETBodytext"/>
              <w:jc w:val="center"/>
              <w:rPr>
                <w:lang w:eastAsia="es-PE"/>
              </w:rPr>
            </w:pPr>
            <w:r w:rsidRPr="005240A3">
              <w:rPr>
                <w:lang w:eastAsia="es-PE"/>
              </w:rPr>
              <w:t>18</w:t>
            </w:r>
          </w:p>
        </w:tc>
      </w:tr>
      <w:tr w:rsidR="008077C8" w:rsidRPr="005240A3" w14:paraId="5F12DC7D" w14:textId="77777777" w:rsidTr="00BD17FF">
        <w:trPr>
          <w:trHeight w:val="20"/>
        </w:trPr>
        <w:tc>
          <w:tcPr>
            <w:tcW w:w="1123" w:type="dxa"/>
            <w:shd w:val="clear" w:color="auto" w:fill="auto"/>
            <w:noWrap/>
            <w:vAlign w:val="center"/>
            <w:hideMark/>
          </w:tcPr>
          <w:p w14:paraId="65471245" w14:textId="77777777" w:rsidR="008077C8" w:rsidRPr="005240A3" w:rsidRDefault="008077C8" w:rsidP="00BD17FF">
            <w:pPr>
              <w:pStyle w:val="CETBodytext"/>
              <w:jc w:val="center"/>
              <w:rPr>
                <w:lang w:eastAsia="es-PE"/>
              </w:rPr>
            </w:pPr>
            <w:r w:rsidRPr="005240A3">
              <w:rPr>
                <w:lang w:eastAsia="es-PE"/>
              </w:rPr>
              <w:t>6</w:t>
            </w:r>
          </w:p>
        </w:tc>
        <w:tc>
          <w:tcPr>
            <w:tcW w:w="1932" w:type="dxa"/>
            <w:shd w:val="clear" w:color="auto" w:fill="auto"/>
            <w:noWrap/>
            <w:vAlign w:val="center"/>
            <w:hideMark/>
          </w:tcPr>
          <w:p w14:paraId="7294C4A5"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5048D724" w14:textId="77777777" w:rsidR="008077C8" w:rsidRPr="005240A3" w:rsidRDefault="008077C8" w:rsidP="00BD17FF">
            <w:pPr>
              <w:pStyle w:val="CETBodytext"/>
              <w:jc w:val="center"/>
              <w:rPr>
                <w:lang w:eastAsia="es-PE"/>
              </w:rPr>
            </w:pPr>
            <w:r w:rsidRPr="005240A3">
              <w:rPr>
                <w:lang w:eastAsia="es-PE"/>
              </w:rPr>
              <w:t>82</w:t>
            </w:r>
          </w:p>
        </w:tc>
        <w:tc>
          <w:tcPr>
            <w:tcW w:w="1446" w:type="dxa"/>
            <w:shd w:val="clear" w:color="auto" w:fill="auto"/>
            <w:noWrap/>
            <w:vAlign w:val="center"/>
            <w:hideMark/>
          </w:tcPr>
          <w:p w14:paraId="15725AD2" w14:textId="0A075751" w:rsidR="008077C8" w:rsidRPr="005240A3" w:rsidRDefault="008077C8" w:rsidP="00BD17FF">
            <w:pPr>
              <w:pStyle w:val="CETBodytext"/>
              <w:jc w:val="center"/>
              <w:rPr>
                <w:lang w:eastAsia="es-PE"/>
              </w:rPr>
            </w:pPr>
            <w:r w:rsidRPr="005240A3">
              <w:rPr>
                <w:lang w:eastAsia="es-PE"/>
              </w:rPr>
              <w:t>18</w:t>
            </w:r>
          </w:p>
        </w:tc>
      </w:tr>
      <w:tr w:rsidR="008077C8" w:rsidRPr="005240A3" w14:paraId="6D1CC20C" w14:textId="77777777" w:rsidTr="00BD17FF">
        <w:trPr>
          <w:trHeight w:val="20"/>
        </w:trPr>
        <w:tc>
          <w:tcPr>
            <w:tcW w:w="1123" w:type="dxa"/>
            <w:shd w:val="clear" w:color="auto" w:fill="auto"/>
            <w:noWrap/>
            <w:vAlign w:val="center"/>
            <w:hideMark/>
          </w:tcPr>
          <w:p w14:paraId="71A19C12" w14:textId="77777777" w:rsidR="008077C8" w:rsidRPr="005240A3" w:rsidRDefault="008077C8" w:rsidP="00BD17FF">
            <w:pPr>
              <w:pStyle w:val="CETBodytext"/>
              <w:jc w:val="center"/>
              <w:rPr>
                <w:lang w:eastAsia="es-PE"/>
              </w:rPr>
            </w:pPr>
            <w:r w:rsidRPr="005240A3">
              <w:rPr>
                <w:lang w:eastAsia="es-PE"/>
              </w:rPr>
              <w:t>7</w:t>
            </w:r>
          </w:p>
        </w:tc>
        <w:tc>
          <w:tcPr>
            <w:tcW w:w="1932" w:type="dxa"/>
            <w:shd w:val="clear" w:color="auto" w:fill="auto"/>
            <w:noWrap/>
            <w:vAlign w:val="center"/>
            <w:hideMark/>
          </w:tcPr>
          <w:p w14:paraId="5FED579F"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2F475CFC" w14:textId="77777777" w:rsidR="008077C8" w:rsidRPr="005240A3" w:rsidRDefault="008077C8" w:rsidP="00BD17FF">
            <w:pPr>
              <w:pStyle w:val="CETBodytext"/>
              <w:jc w:val="center"/>
              <w:rPr>
                <w:lang w:eastAsia="es-PE"/>
              </w:rPr>
            </w:pPr>
            <w:r w:rsidRPr="005240A3">
              <w:rPr>
                <w:lang w:eastAsia="es-PE"/>
              </w:rPr>
              <w:t>81</w:t>
            </w:r>
          </w:p>
        </w:tc>
        <w:tc>
          <w:tcPr>
            <w:tcW w:w="1446" w:type="dxa"/>
            <w:shd w:val="clear" w:color="auto" w:fill="auto"/>
            <w:noWrap/>
            <w:vAlign w:val="center"/>
            <w:hideMark/>
          </w:tcPr>
          <w:p w14:paraId="5FC6EA70" w14:textId="56AD7E57" w:rsidR="008077C8" w:rsidRPr="005240A3" w:rsidRDefault="008077C8" w:rsidP="00BD17FF">
            <w:pPr>
              <w:pStyle w:val="CETBodytext"/>
              <w:jc w:val="center"/>
              <w:rPr>
                <w:lang w:eastAsia="es-PE"/>
              </w:rPr>
            </w:pPr>
            <w:r w:rsidRPr="005240A3">
              <w:rPr>
                <w:lang w:eastAsia="es-PE"/>
              </w:rPr>
              <w:t>19</w:t>
            </w:r>
          </w:p>
        </w:tc>
      </w:tr>
      <w:tr w:rsidR="008077C8" w:rsidRPr="005240A3" w14:paraId="754ADB6B" w14:textId="77777777" w:rsidTr="00BD17FF">
        <w:trPr>
          <w:trHeight w:val="20"/>
        </w:trPr>
        <w:tc>
          <w:tcPr>
            <w:tcW w:w="1123" w:type="dxa"/>
            <w:shd w:val="clear" w:color="auto" w:fill="auto"/>
            <w:noWrap/>
            <w:vAlign w:val="center"/>
            <w:hideMark/>
          </w:tcPr>
          <w:p w14:paraId="034D2DC4" w14:textId="77777777" w:rsidR="008077C8" w:rsidRPr="005240A3" w:rsidRDefault="008077C8" w:rsidP="00BD17FF">
            <w:pPr>
              <w:pStyle w:val="CETBodytext"/>
              <w:jc w:val="center"/>
              <w:rPr>
                <w:lang w:eastAsia="es-PE"/>
              </w:rPr>
            </w:pPr>
            <w:r w:rsidRPr="005240A3">
              <w:rPr>
                <w:lang w:eastAsia="es-PE"/>
              </w:rPr>
              <w:t>8</w:t>
            </w:r>
          </w:p>
        </w:tc>
        <w:tc>
          <w:tcPr>
            <w:tcW w:w="1932" w:type="dxa"/>
            <w:shd w:val="clear" w:color="auto" w:fill="auto"/>
            <w:noWrap/>
            <w:vAlign w:val="center"/>
            <w:hideMark/>
          </w:tcPr>
          <w:p w14:paraId="42E15ECB"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5AFE5A21" w14:textId="77777777" w:rsidR="008077C8" w:rsidRPr="005240A3" w:rsidRDefault="008077C8" w:rsidP="00BD17FF">
            <w:pPr>
              <w:pStyle w:val="CETBodytext"/>
              <w:jc w:val="center"/>
              <w:rPr>
                <w:lang w:eastAsia="es-PE"/>
              </w:rPr>
            </w:pPr>
            <w:r w:rsidRPr="005240A3">
              <w:rPr>
                <w:lang w:eastAsia="es-PE"/>
              </w:rPr>
              <w:t>80</w:t>
            </w:r>
          </w:p>
        </w:tc>
        <w:tc>
          <w:tcPr>
            <w:tcW w:w="1446" w:type="dxa"/>
            <w:shd w:val="clear" w:color="auto" w:fill="auto"/>
            <w:noWrap/>
            <w:vAlign w:val="center"/>
            <w:hideMark/>
          </w:tcPr>
          <w:p w14:paraId="6AD4804C" w14:textId="58D4A71F" w:rsidR="008077C8" w:rsidRPr="005240A3" w:rsidRDefault="008077C8" w:rsidP="00BD17FF">
            <w:pPr>
              <w:pStyle w:val="CETBodytext"/>
              <w:jc w:val="center"/>
              <w:rPr>
                <w:lang w:eastAsia="es-PE"/>
              </w:rPr>
            </w:pPr>
            <w:r w:rsidRPr="005240A3">
              <w:rPr>
                <w:lang w:eastAsia="es-PE"/>
              </w:rPr>
              <w:t>20</w:t>
            </w:r>
          </w:p>
        </w:tc>
      </w:tr>
      <w:tr w:rsidR="008077C8" w:rsidRPr="005240A3" w14:paraId="778D8A1E" w14:textId="77777777" w:rsidTr="00BD17FF">
        <w:trPr>
          <w:trHeight w:val="20"/>
        </w:trPr>
        <w:tc>
          <w:tcPr>
            <w:tcW w:w="1123" w:type="dxa"/>
            <w:shd w:val="clear" w:color="auto" w:fill="auto"/>
            <w:noWrap/>
            <w:vAlign w:val="center"/>
            <w:hideMark/>
          </w:tcPr>
          <w:p w14:paraId="53D082CB" w14:textId="77777777" w:rsidR="008077C8" w:rsidRPr="005240A3" w:rsidRDefault="008077C8" w:rsidP="00BD17FF">
            <w:pPr>
              <w:pStyle w:val="CETBodytext"/>
              <w:jc w:val="center"/>
              <w:rPr>
                <w:lang w:eastAsia="es-PE"/>
              </w:rPr>
            </w:pPr>
            <w:r w:rsidRPr="005240A3">
              <w:rPr>
                <w:lang w:eastAsia="es-PE"/>
              </w:rPr>
              <w:t>9</w:t>
            </w:r>
          </w:p>
        </w:tc>
        <w:tc>
          <w:tcPr>
            <w:tcW w:w="1932" w:type="dxa"/>
            <w:shd w:val="clear" w:color="auto" w:fill="auto"/>
            <w:noWrap/>
            <w:vAlign w:val="center"/>
            <w:hideMark/>
          </w:tcPr>
          <w:p w14:paraId="01368762"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23F461B7" w14:textId="77777777" w:rsidR="008077C8" w:rsidRPr="005240A3" w:rsidRDefault="008077C8" w:rsidP="00BD17FF">
            <w:pPr>
              <w:pStyle w:val="CETBodytext"/>
              <w:jc w:val="center"/>
              <w:rPr>
                <w:lang w:eastAsia="es-PE"/>
              </w:rPr>
            </w:pPr>
            <w:r w:rsidRPr="005240A3">
              <w:rPr>
                <w:lang w:eastAsia="es-PE"/>
              </w:rPr>
              <w:t>79</w:t>
            </w:r>
          </w:p>
        </w:tc>
        <w:tc>
          <w:tcPr>
            <w:tcW w:w="1446" w:type="dxa"/>
            <w:shd w:val="clear" w:color="auto" w:fill="auto"/>
            <w:noWrap/>
            <w:vAlign w:val="center"/>
            <w:hideMark/>
          </w:tcPr>
          <w:p w14:paraId="71557C46" w14:textId="711C3018" w:rsidR="008077C8" w:rsidRPr="005240A3" w:rsidRDefault="008077C8" w:rsidP="00BD17FF">
            <w:pPr>
              <w:pStyle w:val="CETBodytext"/>
              <w:jc w:val="center"/>
              <w:rPr>
                <w:lang w:eastAsia="es-PE"/>
              </w:rPr>
            </w:pPr>
            <w:r w:rsidRPr="005240A3">
              <w:rPr>
                <w:lang w:eastAsia="es-PE"/>
              </w:rPr>
              <w:t>21</w:t>
            </w:r>
          </w:p>
        </w:tc>
      </w:tr>
      <w:tr w:rsidR="008077C8" w:rsidRPr="005240A3" w14:paraId="07C8C6C4" w14:textId="77777777" w:rsidTr="00BD17FF">
        <w:trPr>
          <w:trHeight w:val="20"/>
        </w:trPr>
        <w:tc>
          <w:tcPr>
            <w:tcW w:w="1123" w:type="dxa"/>
            <w:shd w:val="clear" w:color="auto" w:fill="auto"/>
            <w:noWrap/>
            <w:vAlign w:val="center"/>
            <w:hideMark/>
          </w:tcPr>
          <w:p w14:paraId="0BF88CB9" w14:textId="77777777" w:rsidR="008077C8" w:rsidRPr="005240A3" w:rsidRDefault="008077C8" w:rsidP="00BD17FF">
            <w:pPr>
              <w:pStyle w:val="CETBodytext"/>
              <w:jc w:val="center"/>
              <w:rPr>
                <w:lang w:eastAsia="es-PE"/>
              </w:rPr>
            </w:pPr>
            <w:r w:rsidRPr="005240A3">
              <w:rPr>
                <w:lang w:eastAsia="es-PE"/>
              </w:rPr>
              <w:t>10</w:t>
            </w:r>
          </w:p>
        </w:tc>
        <w:tc>
          <w:tcPr>
            <w:tcW w:w="1932" w:type="dxa"/>
            <w:shd w:val="clear" w:color="auto" w:fill="auto"/>
            <w:noWrap/>
            <w:vAlign w:val="center"/>
            <w:hideMark/>
          </w:tcPr>
          <w:p w14:paraId="593B575E"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549399E6" w14:textId="77777777" w:rsidR="008077C8" w:rsidRPr="005240A3" w:rsidRDefault="008077C8" w:rsidP="00BD17FF">
            <w:pPr>
              <w:pStyle w:val="CETBodytext"/>
              <w:jc w:val="center"/>
              <w:rPr>
                <w:lang w:eastAsia="es-PE"/>
              </w:rPr>
            </w:pPr>
            <w:r w:rsidRPr="005240A3">
              <w:rPr>
                <w:lang w:eastAsia="es-PE"/>
              </w:rPr>
              <w:t>79</w:t>
            </w:r>
          </w:p>
        </w:tc>
        <w:tc>
          <w:tcPr>
            <w:tcW w:w="1446" w:type="dxa"/>
            <w:shd w:val="clear" w:color="auto" w:fill="auto"/>
            <w:noWrap/>
            <w:vAlign w:val="center"/>
            <w:hideMark/>
          </w:tcPr>
          <w:p w14:paraId="3D83E3D9" w14:textId="616DEEC5" w:rsidR="008077C8" w:rsidRPr="005240A3" w:rsidRDefault="008077C8" w:rsidP="00BD17FF">
            <w:pPr>
              <w:pStyle w:val="CETBodytext"/>
              <w:jc w:val="center"/>
              <w:rPr>
                <w:lang w:eastAsia="es-PE"/>
              </w:rPr>
            </w:pPr>
            <w:r w:rsidRPr="005240A3">
              <w:rPr>
                <w:lang w:eastAsia="es-PE"/>
              </w:rPr>
              <w:t>21</w:t>
            </w:r>
          </w:p>
        </w:tc>
      </w:tr>
      <w:tr w:rsidR="008077C8" w:rsidRPr="005240A3" w14:paraId="2E9E12DC" w14:textId="77777777" w:rsidTr="00BD17FF">
        <w:trPr>
          <w:trHeight w:val="20"/>
        </w:trPr>
        <w:tc>
          <w:tcPr>
            <w:tcW w:w="1123" w:type="dxa"/>
            <w:shd w:val="clear" w:color="auto" w:fill="auto"/>
            <w:noWrap/>
            <w:vAlign w:val="center"/>
            <w:hideMark/>
          </w:tcPr>
          <w:p w14:paraId="3C7DF2E5" w14:textId="77777777" w:rsidR="008077C8" w:rsidRPr="005240A3" w:rsidRDefault="008077C8" w:rsidP="00BD17FF">
            <w:pPr>
              <w:pStyle w:val="CETBodytext"/>
              <w:jc w:val="center"/>
              <w:rPr>
                <w:lang w:eastAsia="es-PE"/>
              </w:rPr>
            </w:pPr>
            <w:r w:rsidRPr="005240A3">
              <w:rPr>
                <w:lang w:eastAsia="es-PE"/>
              </w:rPr>
              <w:t>11</w:t>
            </w:r>
          </w:p>
        </w:tc>
        <w:tc>
          <w:tcPr>
            <w:tcW w:w="1932" w:type="dxa"/>
            <w:shd w:val="clear" w:color="auto" w:fill="auto"/>
            <w:noWrap/>
            <w:vAlign w:val="center"/>
            <w:hideMark/>
          </w:tcPr>
          <w:p w14:paraId="46DBFCAE"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00796F9D" w14:textId="77777777" w:rsidR="008077C8" w:rsidRPr="005240A3" w:rsidRDefault="008077C8" w:rsidP="00BD17FF">
            <w:pPr>
              <w:pStyle w:val="CETBodytext"/>
              <w:jc w:val="center"/>
              <w:rPr>
                <w:lang w:eastAsia="es-PE"/>
              </w:rPr>
            </w:pPr>
            <w:r w:rsidRPr="005240A3">
              <w:rPr>
                <w:lang w:eastAsia="es-PE"/>
              </w:rPr>
              <w:t>81</w:t>
            </w:r>
          </w:p>
        </w:tc>
        <w:tc>
          <w:tcPr>
            <w:tcW w:w="1446" w:type="dxa"/>
            <w:shd w:val="clear" w:color="auto" w:fill="auto"/>
            <w:noWrap/>
            <w:vAlign w:val="center"/>
            <w:hideMark/>
          </w:tcPr>
          <w:p w14:paraId="4DBB89B0" w14:textId="516DE4B1" w:rsidR="008077C8" w:rsidRPr="005240A3" w:rsidRDefault="008077C8" w:rsidP="00BD17FF">
            <w:pPr>
              <w:pStyle w:val="CETBodytext"/>
              <w:jc w:val="center"/>
              <w:rPr>
                <w:lang w:eastAsia="es-PE"/>
              </w:rPr>
            </w:pPr>
            <w:r w:rsidRPr="005240A3">
              <w:rPr>
                <w:lang w:eastAsia="es-PE"/>
              </w:rPr>
              <w:t>19</w:t>
            </w:r>
          </w:p>
        </w:tc>
      </w:tr>
      <w:tr w:rsidR="008077C8" w:rsidRPr="005240A3" w14:paraId="01E4DECE" w14:textId="77777777" w:rsidTr="00BD17FF">
        <w:trPr>
          <w:trHeight w:val="20"/>
        </w:trPr>
        <w:tc>
          <w:tcPr>
            <w:tcW w:w="1123" w:type="dxa"/>
            <w:shd w:val="clear" w:color="auto" w:fill="auto"/>
            <w:noWrap/>
            <w:vAlign w:val="center"/>
            <w:hideMark/>
          </w:tcPr>
          <w:p w14:paraId="014652C6" w14:textId="77777777" w:rsidR="008077C8" w:rsidRPr="005240A3" w:rsidRDefault="008077C8" w:rsidP="00BD17FF">
            <w:pPr>
              <w:pStyle w:val="CETBodytext"/>
              <w:jc w:val="center"/>
              <w:rPr>
                <w:lang w:eastAsia="es-PE"/>
              </w:rPr>
            </w:pPr>
            <w:r w:rsidRPr="005240A3">
              <w:rPr>
                <w:lang w:eastAsia="es-PE"/>
              </w:rPr>
              <w:t>12</w:t>
            </w:r>
          </w:p>
        </w:tc>
        <w:tc>
          <w:tcPr>
            <w:tcW w:w="1932" w:type="dxa"/>
            <w:shd w:val="clear" w:color="auto" w:fill="auto"/>
            <w:noWrap/>
            <w:vAlign w:val="center"/>
            <w:hideMark/>
          </w:tcPr>
          <w:p w14:paraId="01E22909"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5C4CED19" w14:textId="77777777" w:rsidR="008077C8" w:rsidRPr="005240A3" w:rsidRDefault="008077C8" w:rsidP="00BD17FF">
            <w:pPr>
              <w:pStyle w:val="CETBodytext"/>
              <w:jc w:val="center"/>
              <w:rPr>
                <w:lang w:eastAsia="es-PE"/>
              </w:rPr>
            </w:pPr>
            <w:r w:rsidRPr="005240A3">
              <w:rPr>
                <w:lang w:eastAsia="es-PE"/>
              </w:rPr>
              <w:t>82</w:t>
            </w:r>
          </w:p>
        </w:tc>
        <w:tc>
          <w:tcPr>
            <w:tcW w:w="1446" w:type="dxa"/>
            <w:shd w:val="clear" w:color="auto" w:fill="auto"/>
            <w:noWrap/>
            <w:vAlign w:val="center"/>
            <w:hideMark/>
          </w:tcPr>
          <w:p w14:paraId="0E30D194" w14:textId="7FEB2E11" w:rsidR="008077C8" w:rsidRPr="005240A3" w:rsidRDefault="008077C8" w:rsidP="00BD17FF">
            <w:pPr>
              <w:pStyle w:val="CETBodytext"/>
              <w:jc w:val="center"/>
              <w:rPr>
                <w:lang w:eastAsia="es-PE"/>
              </w:rPr>
            </w:pPr>
            <w:r w:rsidRPr="005240A3">
              <w:rPr>
                <w:lang w:eastAsia="es-PE"/>
              </w:rPr>
              <w:t>18</w:t>
            </w:r>
          </w:p>
        </w:tc>
      </w:tr>
      <w:tr w:rsidR="008077C8" w:rsidRPr="005240A3" w14:paraId="50812B29" w14:textId="77777777" w:rsidTr="00BD17FF">
        <w:trPr>
          <w:trHeight w:val="20"/>
        </w:trPr>
        <w:tc>
          <w:tcPr>
            <w:tcW w:w="1123" w:type="dxa"/>
            <w:shd w:val="clear" w:color="auto" w:fill="auto"/>
            <w:noWrap/>
            <w:vAlign w:val="center"/>
            <w:hideMark/>
          </w:tcPr>
          <w:p w14:paraId="4444359D" w14:textId="77777777" w:rsidR="008077C8" w:rsidRPr="005240A3" w:rsidRDefault="008077C8" w:rsidP="00BD17FF">
            <w:pPr>
              <w:pStyle w:val="CETBodytext"/>
              <w:jc w:val="center"/>
              <w:rPr>
                <w:lang w:eastAsia="es-PE"/>
              </w:rPr>
            </w:pPr>
            <w:r w:rsidRPr="005240A3">
              <w:rPr>
                <w:lang w:eastAsia="es-PE"/>
              </w:rPr>
              <w:t>13</w:t>
            </w:r>
          </w:p>
        </w:tc>
        <w:tc>
          <w:tcPr>
            <w:tcW w:w="1932" w:type="dxa"/>
            <w:shd w:val="clear" w:color="auto" w:fill="auto"/>
            <w:noWrap/>
            <w:vAlign w:val="center"/>
            <w:hideMark/>
          </w:tcPr>
          <w:p w14:paraId="07C9AB65"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5EC106A0" w14:textId="77777777" w:rsidR="008077C8" w:rsidRPr="005240A3" w:rsidRDefault="008077C8" w:rsidP="00BD17FF">
            <w:pPr>
              <w:pStyle w:val="CETBodytext"/>
              <w:jc w:val="center"/>
              <w:rPr>
                <w:lang w:eastAsia="es-PE"/>
              </w:rPr>
            </w:pPr>
            <w:r w:rsidRPr="005240A3">
              <w:rPr>
                <w:lang w:eastAsia="es-PE"/>
              </w:rPr>
              <w:t>78</w:t>
            </w:r>
          </w:p>
        </w:tc>
        <w:tc>
          <w:tcPr>
            <w:tcW w:w="1446" w:type="dxa"/>
            <w:shd w:val="clear" w:color="auto" w:fill="auto"/>
            <w:noWrap/>
            <w:vAlign w:val="center"/>
            <w:hideMark/>
          </w:tcPr>
          <w:p w14:paraId="2E280629" w14:textId="7C534539" w:rsidR="008077C8" w:rsidRPr="005240A3" w:rsidRDefault="008077C8" w:rsidP="00BD17FF">
            <w:pPr>
              <w:pStyle w:val="CETBodytext"/>
              <w:jc w:val="center"/>
              <w:rPr>
                <w:lang w:eastAsia="es-PE"/>
              </w:rPr>
            </w:pPr>
            <w:r w:rsidRPr="005240A3">
              <w:rPr>
                <w:lang w:eastAsia="es-PE"/>
              </w:rPr>
              <w:t>22</w:t>
            </w:r>
          </w:p>
        </w:tc>
      </w:tr>
      <w:tr w:rsidR="008077C8" w:rsidRPr="005240A3" w14:paraId="7530F203" w14:textId="77777777" w:rsidTr="00BD17FF">
        <w:trPr>
          <w:trHeight w:val="20"/>
        </w:trPr>
        <w:tc>
          <w:tcPr>
            <w:tcW w:w="1123" w:type="dxa"/>
            <w:shd w:val="clear" w:color="auto" w:fill="auto"/>
            <w:noWrap/>
            <w:vAlign w:val="center"/>
            <w:hideMark/>
          </w:tcPr>
          <w:p w14:paraId="06619CB0" w14:textId="77777777" w:rsidR="008077C8" w:rsidRPr="005240A3" w:rsidRDefault="008077C8" w:rsidP="00BD17FF">
            <w:pPr>
              <w:pStyle w:val="CETBodytext"/>
              <w:jc w:val="center"/>
              <w:rPr>
                <w:lang w:eastAsia="es-PE"/>
              </w:rPr>
            </w:pPr>
            <w:r w:rsidRPr="005240A3">
              <w:rPr>
                <w:lang w:eastAsia="es-PE"/>
              </w:rPr>
              <w:t>14</w:t>
            </w:r>
          </w:p>
        </w:tc>
        <w:tc>
          <w:tcPr>
            <w:tcW w:w="1932" w:type="dxa"/>
            <w:shd w:val="clear" w:color="auto" w:fill="auto"/>
            <w:noWrap/>
            <w:vAlign w:val="center"/>
            <w:hideMark/>
          </w:tcPr>
          <w:p w14:paraId="69C4C8C7"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3D576704" w14:textId="77777777" w:rsidR="008077C8" w:rsidRPr="005240A3" w:rsidRDefault="008077C8" w:rsidP="00BD17FF">
            <w:pPr>
              <w:pStyle w:val="CETBodytext"/>
              <w:jc w:val="center"/>
              <w:rPr>
                <w:lang w:eastAsia="es-PE"/>
              </w:rPr>
            </w:pPr>
            <w:r w:rsidRPr="005240A3">
              <w:rPr>
                <w:lang w:eastAsia="es-PE"/>
              </w:rPr>
              <w:t>81</w:t>
            </w:r>
          </w:p>
        </w:tc>
        <w:tc>
          <w:tcPr>
            <w:tcW w:w="1446" w:type="dxa"/>
            <w:shd w:val="clear" w:color="auto" w:fill="auto"/>
            <w:noWrap/>
            <w:vAlign w:val="center"/>
            <w:hideMark/>
          </w:tcPr>
          <w:p w14:paraId="5D17CD6F" w14:textId="21939013" w:rsidR="008077C8" w:rsidRPr="005240A3" w:rsidRDefault="008077C8" w:rsidP="00BD17FF">
            <w:pPr>
              <w:pStyle w:val="CETBodytext"/>
              <w:jc w:val="center"/>
              <w:rPr>
                <w:lang w:eastAsia="es-PE"/>
              </w:rPr>
            </w:pPr>
            <w:r w:rsidRPr="005240A3">
              <w:rPr>
                <w:lang w:eastAsia="es-PE"/>
              </w:rPr>
              <w:t>19</w:t>
            </w:r>
          </w:p>
        </w:tc>
      </w:tr>
      <w:tr w:rsidR="008077C8" w:rsidRPr="005240A3" w14:paraId="29C534B6" w14:textId="77777777" w:rsidTr="00BD17FF">
        <w:trPr>
          <w:trHeight w:val="20"/>
        </w:trPr>
        <w:tc>
          <w:tcPr>
            <w:tcW w:w="1123" w:type="dxa"/>
            <w:shd w:val="clear" w:color="auto" w:fill="auto"/>
            <w:noWrap/>
            <w:vAlign w:val="center"/>
            <w:hideMark/>
          </w:tcPr>
          <w:p w14:paraId="71C1635C" w14:textId="77777777" w:rsidR="008077C8" w:rsidRPr="005240A3" w:rsidRDefault="008077C8" w:rsidP="00BD17FF">
            <w:pPr>
              <w:pStyle w:val="CETBodytext"/>
              <w:jc w:val="center"/>
              <w:rPr>
                <w:lang w:eastAsia="es-PE"/>
              </w:rPr>
            </w:pPr>
            <w:r w:rsidRPr="005240A3">
              <w:rPr>
                <w:lang w:eastAsia="es-PE"/>
              </w:rPr>
              <w:t>15</w:t>
            </w:r>
          </w:p>
        </w:tc>
        <w:tc>
          <w:tcPr>
            <w:tcW w:w="1932" w:type="dxa"/>
            <w:shd w:val="clear" w:color="auto" w:fill="auto"/>
            <w:noWrap/>
            <w:vAlign w:val="center"/>
            <w:hideMark/>
          </w:tcPr>
          <w:p w14:paraId="230DAD72" w14:textId="77777777" w:rsidR="008077C8" w:rsidRPr="005240A3" w:rsidRDefault="008077C8" w:rsidP="00BD17FF">
            <w:pPr>
              <w:pStyle w:val="CETBodytext"/>
              <w:jc w:val="center"/>
              <w:rPr>
                <w:lang w:eastAsia="es-PE"/>
              </w:rPr>
            </w:pPr>
            <w:r w:rsidRPr="005240A3">
              <w:rPr>
                <w:lang w:eastAsia="es-PE"/>
              </w:rPr>
              <w:t>100</w:t>
            </w:r>
          </w:p>
        </w:tc>
        <w:tc>
          <w:tcPr>
            <w:tcW w:w="1746" w:type="dxa"/>
            <w:shd w:val="clear" w:color="auto" w:fill="auto"/>
            <w:noWrap/>
            <w:vAlign w:val="center"/>
            <w:hideMark/>
          </w:tcPr>
          <w:p w14:paraId="5EC3ACFA" w14:textId="77777777" w:rsidR="008077C8" w:rsidRPr="005240A3" w:rsidRDefault="008077C8" w:rsidP="00BD17FF">
            <w:pPr>
              <w:pStyle w:val="CETBodytext"/>
              <w:jc w:val="center"/>
              <w:rPr>
                <w:lang w:eastAsia="es-PE"/>
              </w:rPr>
            </w:pPr>
            <w:r w:rsidRPr="005240A3">
              <w:rPr>
                <w:lang w:eastAsia="es-PE"/>
              </w:rPr>
              <w:t>80</w:t>
            </w:r>
          </w:p>
        </w:tc>
        <w:tc>
          <w:tcPr>
            <w:tcW w:w="1446" w:type="dxa"/>
            <w:shd w:val="clear" w:color="auto" w:fill="auto"/>
            <w:noWrap/>
            <w:vAlign w:val="center"/>
            <w:hideMark/>
          </w:tcPr>
          <w:p w14:paraId="13CFE65D" w14:textId="350ADFD3" w:rsidR="008077C8" w:rsidRPr="005240A3" w:rsidRDefault="008077C8" w:rsidP="00BD17FF">
            <w:pPr>
              <w:pStyle w:val="CETBodytext"/>
              <w:jc w:val="center"/>
              <w:rPr>
                <w:lang w:eastAsia="es-PE"/>
              </w:rPr>
            </w:pPr>
            <w:r w:rsidRPr="005240A3">
              <w:rPr>
                <w:lang w:eastAsia="es-PE"/>
              </w:rPr>
              <w:t>20</w:t>
            </w:r>
          </w:p>
        </w:tc>
      </w:tr>
      <w:tr w:rsidR="008077C8" w:rsidRPr="005240A3" w14:paraId="5A01C9BA" w14:textId="77777777" w:rsidTr="00BD17FF">
        <w:trPr>
          <w:trHeight w:val="20"/>
        </w:trPr>
        <w:tc>
          <w:tcPr>
            <w:tcW w:w="1123" w:type="dxa"/>
            <w:shd w:val="clear" w:color="auto" w:fill="auto"/>
            <w:noWrap/>
            <w:vAlign w:val="center"/>
            <w:hideMark/>
          </w:tcPr>
          <w:p w14:paraId="0D83E311" w14:textId="756BE82E" w:rsidR="008077C8" w:rsidRPr="005240A3" w:rsidRDefault="00DE15D6" w:rsidP="00BD17FF">
            <w:pPr>
              <w:pStyle w:val="CETBodytext"/>
              <w:jc w:val="center"/>
              <w:rPr>
                <w:lang w:eastAsia="es-PE"/>
              </w:rPr>
            </w:pPr>
            <w:r>
              <w:rPr>
                <w:lang w:eastAsia="es-PE"/>
              </w:rPr>
              <w:t>Average</w:t>
            </w:r>
          </w:p>
        </w:tc>
        <w:tc>
          <w:tcPr>
            <w:tcW w:w="1932" w:type="dxa"/>
            <w:shd w:val="clear" w:color="auto" w:fill="auto"/>
            <w:noWrap/>
            <w:vAlign w:val="center"/>
            <w:hideMark/>
          </w:tcPr>
          <w:p w14:paraId="17AAB874" w14:textId="3EE1F754" w:rsidR="008077C8" w:rsidRPr="005240A3" w:rsidRDefault="008077C8" w:rsidP="00BD17FF">
            <w:pPr>
              <w:pStyle w:val="CETBodytext"/>
              <w:jc w:val="center"/>
              <w:rPr>
                <w:lang w:eastAsia="es-PE"/>
              </w:rPr>
            </w:pPr>
          </w:p>
        </w:tc>
        <w:tc>
          <w:tcPr>
            <w:tcW w:w="1746" w:type="dxa"/>
            <w:shd w:val="clear" w:color="auto" w:fill="auto"/>
            <w:noWrap/>
            <w:vAlign w:val="center"/>
            <w:hideMark/>
          </w:tcPr>
          <w:p w14:paraId="0B72F33D" w14:textId="7DDA3910" w:rsidR="008077C8" w:rsidRPr="005240A3" w:rsidRDefault="008077C8" w:rsidP="00BD17FF">
            <w:pPr>
              <w:pStyle w:val="CETBodytext"/>
              <w:jc w:val="center"/>
              <w:rPr>
                <w:lang w:eastAsia="es-PE"/>
              </w:rPr>
            </w:pPr>
          </w:p>
        </w:tc>
        <w:tc>
          <w:tcPr>
            <w:tcW w:w="1446" w:type="dxa"/>
            <w:shd w:val="clear" w:color="auto" w:fill="auto"/>
            <w:noWrap/>
            <w:vAlign w:val="center"/>
            <w:hideMark/>
          </w:tcPr>
          <w:p w14:paraId="53EA2E5F" w14:textId="7D3980F5" w:rsidR="008077C8" w:rsidRPr="005240A3" w:rsidRDefault="008077C8" w:rsidP="00BD17FF">
            <w:pPr>
              <w:pStyle w:val="CETBodytext"/>
              <w:jc w:val="center"/>
              <w:rPr>
                <w:lang w:eastAsia="es-PE"/>
              </w:rPr>
            </w:pPr>
            <w:r w:rsidRPr="005240A3">
              <w:rPr>
                <w:lang w:eastAsia="es-PE"/>
              </w:rPr>
              <w:t>18</w:t>
            </w:r>
          </w:p>
        </w:tc>
      </w:tr>
    </w:tbl>
    <w:p w14:paraId="31D8BBD7" w14:textId="77777777" w:rsidR="00747925" w:rsidRPr="005240A3" w:rsidRDefault="00747925" w:rsidP="0080076E">
      <w:pPr>
        <w:pStyle w:val="CETBodytext"/>
      </w:pPr>
    </w:p>
    <w:p w14:paraId="63747D0A" w14:textId="1AEAA6C0" w:rsidR="008077C8" w:rsidRPr="005240A3" w:rsidRDefault="00DE15D6" w:rsidP="00DE15D6">
      <w:pPr>
        <w:pStyle w:val="CETheadingx"/>
        <w:rPr>
          <w:i/>
          <w:iCs/>
        </w:rPr>
      </w:pPr>
      <w:r w:rsidRPr="00DE15D6">
        <w:t xml:space="preserve">Amount of minimization of organic food waste by the </w:t>
      </w:r>
      <w:r w:rsidR="008077C8" w:rsidRPr="005240A3">
        <w:rPr>
          <w:i/>
          <w:iCs/>
        </w:rPr>
        <w:t>Gryllus assimilis</w:t>
      </w:r>
    </w:p>
    <w:p w14:paraId="08D09935" w14:textId="77777777" w:rsidR="000A08E6" w:rsidRDefault="000A08E6" w:rsidP="00DE15D6">
      <w:pPr>
        <w:pStyle w:val="CETTabletitle"/>
        <w:rPr>
          <w:i w:val="0"/>
          <w:lang w:val="en-US"/>
        </w:rPr>
      </w:pPr>
      <w:r w:rsidRPr="000A08E6">
        <w:rPr>
          <w:i w:val="0"/>
          <w:lang w:val="en-US"/>
        </w:rPr>
        <w:t xml:space="preserve">Fed with 100 g of food residues in each of the 15 repetitions, the 200 </w:t>
      </w:r>
      <w:r w:rsidRPr="000A08E6">
        <w:rPr>
          <w:lang w:val="en-US"/>
        </w:rPr>
        <w:t>Gryllus assimilis</w:t>
      </w:r>
      <w:r w:rsidRPr="000A08E6">
        <w:rPr>
          <w:i w:val="0"/>
          <w:lang w:val="en-US"/>
        </w:rPr>
        <w:t xml:space="preserve"> were fed (consumed) the amount indicated in Table 3. Resulting in an average percentage decrease of 19 %.</w:t>
      </w:r>
    </w:p>
    <w:p w14:paraId="16CB60CF" w14:textId="45923B3A" w:rsidR="008077C8" w:rsidRPr="005240A3" w:rsidRDefault="000A08E6" w:rsidP="00DE15D6">
      <w:pPr>
        <w:pStyle w:val="CETTabletitle"/>
      </w:pPr>
      <w:r w:rsidRPr="000A08E6">
        <w:t>Table 3: Quantity and percentage of organic residues of fruits and vegetables minimized by Gryllus assimilis</w:t>
      </w:r>
    </w:p>
    <w:tbl>
      <w:tblPr>
        <w:tblW w:w="6072" w:type="dxa"/>
        <w:tblInd w:w="10"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212"/>
        <w:gridCol w:w="1933"/>
        <w:gridCol w:w="1715"/>
        <w:gridCol w:w="1212"/>
      </w:tblGrid>
      <w:tr w:rsidR="008077C8" w:rsidRPr="00BD17FF" w14:paraId="5D510675" w14:textId="77777777" w:rsidTr="00BD17FF">
        <w:trPr>
          <w:trHeight w:val="20"/>
        </w:trPr>
        <w:tc>
          <w:tcPr>
            <w:tcW w:w="1212" w:type="dxa"/>
            <w:tcBorders>
              <w:top w:val="single" w:sz="12" w:space="0" w:color="008000"/>
              <w:bottom w:val="nil"/>
            </w:tcBorders>
            <w:shd w:val="clear" w:color="auto" w:fill="auto"/>
            <w:noWrap/>
            <w:vAlign w:val="center"/>
            <w:hideMark/>
          </w:tcPr>
          <w:p w14:paraId="653CBE66" w14:textId="23160D79" w:rsidR="008077C8"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Repetition</w:t>
            </w:r>
          </w:p>
        </w:tc>
        <w:tc>
          <w:tcPr>
            <w:tcW w:w="3648" w:type="dxa"/>
            <w:gridSpan w:val="2"/>
            <w:tcBorders>
              <w:top w:val="single" w:sz="12" w:space="0" w:color="008000"/>
              <w:bottom w:val="nil"/>
            </w:tcBorders>
            <w:shd w:val="clear" w:color="auto" w:fill="auto"/>
            <w:noWrap/>
            <w:vAlign w:val="center"/>
            <w:hideMark/>
          </w:tcPr>
          <w:p w14:paraId="66612DD6" w14:textId="2665A3F0"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 xml:space="preserve">T2: </w:t>
            </w:r>
            <w:r w:rsidR="000A08E6" w:rsidRPr="00BD17FF">
              <w:rPr>
                <w:rFonts w:cs="Arial"/>
                <w:color w:val="000000"/>
                <w:szCs w:val="18"/>
                <w:lang w:val="en-US" w:eastAsia="es-PE"/>
              </w:rPr>
              <w:t>Food waste</w:t>
            </w:r>
          </w:p>
        </w:tc>
        <w:tc>
          <w:tcPr>
            <w:tcW w:w="1212" w:type="dxa"/>
            <w:tcBorders>
              <w:top w:val="single" w:sz="12" w:space="0" w:color="008000"/>
              <w:bottom w:val="nil"/>
            </w:tcBorders>
            <w:shd w:val="clear" w:color="auto" w:fill="auto"/>
            <w:noWrap/>
            <w:vAlign w:val="center"/>
            <w:hideMark/>
          </w:tcPr>
          <w:p w14:paraId="39286254" w14:textId="228F3D91"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Reduc</w:t>
            </w:r>
            <w:r w:rsidR="000A08E6" w:rsidRPr="00BD17FF">
              <w:rPr>
                <w:rFonts w:cs="Arial"/>
                <w:color w:val="000000"/>
                <w:szCs w:val="18"/>
                <w:lang w:val="en-US" w:eastAsia="es-PE"/>
              </w:rPr>
              <w:t>tion</w:t>
            </w:r>
          </w:p>
        </w:tc>
      </w:tr>
      <w:tr w:rsidR="000A08E6" w:rsidRPr="00BD17FF" w14:paraId="3511C81E" w14:textId="77777777" w:rsidTr="008E1A4B">
        <w:trPr>
          <w:trHeight w:val="327"/>
        </w:trPr>
        <w:tc>
          <w:tcPr>
            <w:tcW w:w="1212" w:type="dxa"/>
            <w:tcBorders>
              <w:top w:val="nil"/>
              <w:bottom w:val="single" w:sz="4" w:space="0" w:color="008000"/>
            </w:tcBorders>
            <w:shd w:val="clear" w:color="auto" w:fill="auto"/>
            <w:noWrap/>
            <w:vAlign w:val="center"/>
            <w:hideMark/>
          </w:tcPr>
          <w:p w14:paraId="08719D76" w14:textId="77777777"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N°</w:t>
            </w:r>
          </w:p>
        </w:tc>
        <w:tc>
          <w:tcPr>
            <w:tcW w:w="1933" w:type="dxa"/>
            <w:tcBorders>
              <w:top w:val="nil"/>
              <w:bottom w:val="single" w:sz="4" w:space="0" w:color="008000"/>
            </w:tcBorders>
            <w:shd w:val="clear" w:color="auto" w:fill="auto"/>
            <w:noWrap/>
            <w:vAlign w:val="center"/>
            <w:hideMark/>
          </w:tcPr>
          <w:p w14:paraId="09B25B03" w14:textId="5CB003AE"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Initial amount (g)</w:t>
            </w:r>
          </w:p>
        </w:tc>
        <w:tc>
          <w:tcPr>
            <w:tcW w:w="1714" w:type="dxa"/>
            <w:tcBorders>
              <w:top w:val="nil"/>
              <w:bottom w:val="single" w:sz="4" w:space="0" w:color="008000"/>
            </w:tcBorders>
            <w:shd w:val="clear" w:color="auto" w:fill="auto"/>
            <w:noWrap/>
            <w:vAlign w:val="center"/>
            <w:hideMark/>
          </w:tcPr>
          <w:p w14:paraId="1A5A3CD6" w14:textId="394804AA"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Final amount (g)</w:t>
            </w:r>
          </w:p>
        </w:tc>
        <w:tc>
          <w:tcPr>
            <w:tcW w:w="1212" w:type="dxa"/>
            <w:tcBorders>
              <w:top w:val="nil"/>
              <w:bottom w:val="single" w:sz="4" w:space="0" w:color="008000"/>
            </w:tcBorders>
            <w:shd w:val="clear" w:color="auto" w:fill="auto"/>
            <w:noWrap/>
            <w:vAlign w:val="center"/>
            <w:hideMark/>
          </w:tcPr>
          <w:p w14:paraId="12DCA0CE" w14:textId="77777777"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w:t>
            </w:r>
          </w:p>
        </w:tc>
      </w:tr>
      <w:tr w:rsidR="008077C8" w:rsidRPr="00BD17FF" w14:paraId="4C4ED6D7" w14:textId="77777777" w:rsidTr="008E1A4B">
        <w:trPr>
          <w:trHeight w:val="20"/>
        </w:trPr>
        <w:tc>
          <w:tcPr>
            <w:tcW w:w="1212" w:type="dxa"/>
            <w:tcBorders>
              <w:top w:val="single" w:sz="4" w:space="0" w:color="008000"/>
            </w:tcBorders>
            <w:shd w:val="clear" w:color="auto" w:fill="auto"/>
            <w:noWrap/>
            <w:vAlign w:val="center"/>
            <w:hideMark/>
          </w:tcPr>
          <w:p w14:paraId="0636F31B"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w:t>
            </w:r>
          </w:p>
        </w:tc>
        <w:tc>
          <w:tcPr>
            <w:tcW w:w="1933" w:type="dxa"/>
            <w:tcBorders>
              <w:top w:val="single" w:sz="4" w:space="0" w:color="008000"/>
            </w:tcBorders>
            <w:shd w:val="clear" w:color="auto" w:fill="auto"/>
            <w:noWrap/>
            <w:vAlign w:val="center"/>
            <w:hideMark/>
          </w:tcPr>
          <w:p w14:paraId="0518FBE0"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tcBorders>
              <w:top w:val="single" w:sz="4" w:space="0" w:color="008000"/>
            </w:tcBorders>
            <w:shd w:val="clear" w:color="auto" w:fill="auto"/>
            <w:noWrap/>
            <w:vAlign w:val="center"/>
            <w:hideMark/>
          </w:tcPr>
          <w:p w14:paraId="2A83622B"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85</w:t>
            </w:r>
          </w:p>
        </w:tc>
        <w:tc>
          <w:tcPr>
            <w:tcW w:w="1212" w:type="dxa"/>
            <w:tcBorders>
              <w:top w:val="single" w:sz="4" w:space="0" w:color="008000"/>
            </w:tcBorders>
            <w:shd w:val="clear" w:color="auto" w:fill="auto"/>
            <w:noWrap/>
            <w:vAlign w:val="center"/>
            <w:hideMark/>
          </w:tcPr>
          <w:p w14:paraId="0D59E264" w14:textId="22153902"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15</w:t>
            </w:r>
          </w:p>
        </w:tc>
      </w:tr>
      <w:tr w:rsidR="008077C8" w:rsidRPr="00BD17FF" w14:paraId="0C0B4A2E" w14:textId="77777777" w:rsidTr="00BD17FF">
        <w:trPr>
          <w:trHeight w:val="20"/>
        </w:trPr>
        <w:tc>
          <w:tcPr>
            <w:tcW w:w="1212" w:type="dxa"/>
            <w:shd w:val="clear" w:color="auto" w:fill="auto"/>
            <w:noWrap/>
            <w:vAlign w:val="center"/>
            <w:hideMark/>
          </w:tcPr>
          <w:p w14:paraId="0794DF02"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w:t>
            </w:r>
          </w:p>
        </w:tc>
        <w:tc>
          <w:tcPr>
            <w:tcW w:w="1933" w:type="dxa"/>
            <w:shd w:val="clear" w:color="auto" w:fill="auto"/>
            <w:noWrap/>
            <w:vAlign w:val="center"/>
            <w:hideMark/>
          </w:tcPr>
          <w:p w14:paraId="753C0E97"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1C089FE8"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84</w:t>
            </w:r>
          </w:p>
        </w:tc>
        <w:tc>
          <w:tcPr>
            <w:tcW w:w="1212" w:type="dxa"/>
            <w:shd w:val="clear" w:color="auto" w:fill="auto"/>
            <w:noWrap/>
            <w:vAlign w:val="center"/>
            <w:hideMark/>
          </w:tcPr>
          <w:p w14:paraId="11EB543C" w14:textId="2338BAE6"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16</w:t>
            </w:r>
          </w:p>
        </w:tc>
      </w:tr>
      <w:tr w:rsidR="008077C8" w:rsidRPr="00BD17FF" w14:paraId="21E299B5" w14:textId="77777777" w:rsidTr="00BD17FF">
        <w:trPr>
          <w:trHeight w:val="20"/>
        </w:trPr>
        <w:tc>
          <w:tcPr>
            <w:tcW w:w="1212" w:type="dxa"/>
            <w:shd w:val="clear" w:color="auto" w:fill="auto"/>
            <w:noWrap/>
            <w:vAlign w:val="center"/>
            <w:hideMark/>
          </w:tcPr>
          <w:p w14:paraId="28298C05"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3</w:t>
            </w:r>
          </w:p>
        </w:tc>
        <w:tc>
          <w:tcPr>
            <w:tcW w:w="1933" w:type="dxa"/>
            <w:shd w:val="clear" w:color="auto" w:fill="auto"/>
            <w:noWrap/>
            <w:vAlign w:val="center"/>
            <w:hideMark/>
          </w:tcPr>
          <w:p w14:paraId="5CED7654"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1CE15E8B"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83</w:t>
            </w:r>
          </w:p>
        </w:tc>
        <w:tc>
          <w:tcPr>
            <w:tcW w:w="1212" w:type="dxa"/>
            <w:shd w:val="clear" w:color="auto" w:fill="auto"/>
            <w:noWrap/>
            <w:vAlign w:val="center"/>
            <w:hideMark/>
          </w:tcPr>
          <w:p w14:paraId="0CF4AECD" w14:textId="5266D3BC"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17</w:t>
            </w:r>
          </w:p>
        </w:tc>
      </w:tr>
      <w:tr w:rsidR="008077C8" w:rsidRPr="00BD17FF" w14:paraId="55595701" w14:textId="77777777" w:rsidTr="00BD17FF">
        <w:trPr>
          <w:trHeight w:val="20"/>
        </w:trPr>
        <w:tc>
          <w:tcPr>
            <w:tcW w:w="1212" w:type="dxa"/>
            <w:shd w:val="clear" w:color="auto" w:fill="auto"/>
            <w:noWrap/>
            <w:vAlign w:val="center"/>
            <w:hideMark/>
          </w:tcPr>
          <w:p w14:paraId="0D2F872E"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4</w:t>
            </w:r>
          </w:p>
        </w:tc>
        <w:tc>
          <w:tcPr>
            <w:tcW w:w="1933" w:type="dxa"/>
            <w:shd w:val="clear" w:color="auto" w:fill="auto"/>
            <w:noWrap/>
            <w:vAlign w:val="center"/>
            <w:hideMark/>
          </w:tcPr>
          <w:p w14:paraId="73619BB1"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029EC70C"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79</w:t>
            </w:r>
          </w:p>
        </w:tc>
        <w:tc>
          <w:tcPr>
            <w:tcW w:w="1212" w:type="dxa"/>
            <w:shd w:val="clear" w:color="auto" w:fill="auto"/>
            <w:noWrap/>
            <w:vAlign w:val="center"/>
            <w:hideMark/>
          </w:tcPr>
          <w:p w14:paraId="2046C0A6" w14:textId="4DD5A664"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21</w:t>
            </w:r>
          </w:p>
        </w:tc>
      </w:tr>
      <w:tr w:rsidR="008077C8" w:rsidRPr="00BD17FF" w14:paraId="5094E86B" w14:textId="77777777" w:rsidTr="00BD17FF">
        <w:trPr>
          <w:trHeight w:val="20"/>
        </w:trPr>
        <w:tc>
          <w:tcPr>
            <w:tcW w:w="1212" w:type="dxa"/>
            <w:shd w:val="clear" w:color="auto" w:fill="auto"/>
            <w:noWrap/>
            <w:vAlign w:val="center"/>
            <w:hideMark/>
          </w:tcPr>
          <w:p w14:paraId="5F6BA2C5"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5</w:t>
            </w:r>
          </w:p>
        </w:tc>
        <w:tc>
          <w:tcPr>
            <w:tcW w:w="1933" w:type="dxa"/>
            <w:shd w:val="clear" w:color="auto" w:fill="auto"/>
            <w:noWrap/>
            <w:vAlign w:val="center"/>
            <w:hideMark/>
          </w:tcPr>
          <w:p w14:paraId="3F503E80"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047A93AA"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83</w:t>
            </w:r>
          </w:p>
        </w:tc>
        <w:tc>
          <w:tcPr>
            <w:tcW w:w="1212" w:type="dxa"/>
            <w:shd w:val="clear" w:color="auto" w:fill="auto"/>
            <w:noWrap/>
            <w:vAlign w:val="center"/>
            <w:hideMark/>
          </w:tcPr>
          <w:p w14:paraId="6D7F8818" w14:textId="185D350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17</w:t>
            </w:r>
          </w:p>
        </w:tc>
      </w:tr>
      <w:tr w:rsidR="008077C8" w:rsidRPr="00BD17FF" w14:paraId="52507D03" w14:textId="77777777" w:rsidTr="00BD17FF">
        <w:trPr>
          <w:trHeight w:val="20"/>
        </w:trPr>
        <w:tc>
          <w:tcPr>
            <w:tcW w:w="1212" w:type="dxa"/>
            <w:shd w:val="clear" w:color="auto" w:fill="auto"/>
            <w:noWrap/>
            <w:vAlign w:val="center"/>
            <w:hideMark/>
          </w:tcPr>
          <w:p w14:paraId="7BA539B1"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6</w:t>
            </w:r>
          </w:p>
        </w:tc>
        <w:tc>
          <w:tcPr>
            <w:tcW w:w="1933" w:type="dxa"/>
            <w:shd w:val="clear" w:color="auto" w:fill="auto"/>
            <w:noWrap/>
            <w:vAlign w:val="center"/>
            <w:hideMark/>
          </w:tcPr>
          <w:p w14:paraId="0CA33FED"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6DD82E0D"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83</w:t>
            </w:r>
          </w:p>
        </w:tc>
        <w:tc>
          <w:tcPr>
            <w:tcW w:w="1212" w:type="dxa"/>
            <w:shd w:val="clear" w:color="auto" w:fill="auto"/>
            <w:noWrap/>
            <w:vAlign w:val="center"/>
            <w:hideMark/>
          </w:tcPr>
          <w:p w14:paraId="196BA974" w14:textId="4AC81A32"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17</w:t>
            </w:r>
          </w:p>
        </w:tc>
      </w:tr>
      <w:tr w:rsidR="008077C8" w:rsidRPr="00BD17FF" w14:paraId="1C5C482D" w14:textId="77777777" w:rsidTr="00BD17FF">
        <w:trPr>
          <w:trHeight w:val="20"/>
        </w:trPr>
        <w:tc>
          <w:tcPr>
            <w:tcW w:w="1212" w:type="dxa"/>
            <w:shd w:val="clear" w:color="auto" w:fill="auto"/>
            <w:noWrap/>
            <w:vAlign w:val="center"/>
            <w:hideMark/>
          </w:tcPr>
          <w:p w14:paraId="74D8CCEE"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w:t>
            </w:r>
          </w:p>
        </w:tc>
        <w:tc>
          <w:tcPr>
            <w:tcW w:w="1933" w:type="dxa"/>
            <w:shd w:val="clear" w:color="auto" w:fill="auto"/>
            <w:noWrap/>
            <w:vAlign w:val="center"/>
            <w:hideMark/>
          </w:tcPr>
          <w:p w14:paraId="3C3AB56E"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334F1740"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82</w:t>
            </w:r>
          </w:p>
        </w:tc>
        <w:tc>
          <w:tcPr>
            <w:tcW w:w="1212" w:type="dxa"/>
            <w:shd w:val="clear" w:color="auto" w:fill="auto"/>
            <w:noWrap/>
            <w:vAlign w:val="center"/>
            <w:hideMark/>
          </w:tcPr>
          <w:p w14:paraId="7C3BC75D" w14:textId="79A1C308"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18</w:t>
            </w:r>
          </w:p>
        </w:tc>
      </w:tr>
      <w:tr w:rsidR="008077C8" w:rsidRPr="00BD17FF" w14:paraId="7BF813FF" w14:textId="77777777" w:rsidTr="00BD17FF">
        <w:trPr>
          <w:trHeight w:val="20"/>
        </w:trPr>
        <w:tc>
          <w:tcPr>
            <w:tcW w:w="1212" w:type="dxa"/>
            <w:shd w:val="clear" w:color="auto" w:fill="auto"/>
            <w:noWrap/>
            <w:vAlign w:val="center"/>
            <w:hideMark/>
          </w:tcPr>
          <w:p w14:paraId="1B49B6E6"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w:t>
            </w:r>
          </w:p>
        </w:tc>
        <w:tc>
          <w:tcPr>
            <w:tcW w:w="1933" w:type="dxa"/>
            <w:shd w:val="clear" w:color="auto" w:fill="auto"/>
            <w:noWrap/>
            <w:vAlign w:val="center"/>
            <w:hideMark/>
          </w:tcPr>
          <w:p w14:paraId="75FA5325"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1F54981F"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81</w:t>
            </w:r>
          </w:p>
        </w:tc>
        <w:tc>
          <w:tcPr>
            <w:tcW w:w="1212" w:type="dxa"/>
            <w:shd w:val="clear" w:color="auto" w:fill="auto"/>
            <w:noWrap/>
            <w:vAlign w:val="center"/>
            <w:hideMark/>
          </w:tcPr>
          <w:p w14:paraId="0B5CA379" w14:textId="4DC40610"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r w:rsidR="008077C8" w:rsidRPr="00BD17FF" w14:paraId="6F7E1B68" w14:textId="77777777" w:rsidTr="00BD17FF">
        <w:trPr>
          <w:trHeight w:val="20"/>
        </w:trPr>
        <w:tc>
          <w:tcPr>
            <w:tcW w:w="1212" w:type="dxa"/>
            <w:shd w:val="clear" w:color="auto" w:fill="auto"/>
            <w:noWrap/>
            <w:vAlign w:val="center"/>
            <w:hideMark/>
          </w:tcPr>
          <w:p w14:paraId="772422EE"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9</w:t>
            </w:r>
          </w:p>
        </w:tc>
        <w:tc>
          <w:tcPr>
            <w:tcW w:w="1933" w:type="dxa"/>
            <w:shd w:val="clear" w:color="auto" w:fill="auto"/>
            <w:noWrap/>
            <w:vAlign w:val="center"/>
            <w:hideMark/>
          </w:tcPr>
          <w:p w14:paraId="405D0A0F"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4C57B631"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78</w:t>
            </w:r>
          </w:p>
        </w:tc>
        <w:tc>
          <w:tcPr>
            <w:tcW w:w="1212" w:type="dxa"/>
            <w:shd w:val="clear" w:color="auto" w:fill="auto"/>
            <w:noWrap/>
            <w:vAlign w:val="center"/>
            <w:hideMark/>
          </w:tcPr>
          <w:p w14:paraId="5BF56059" w14:textId="74296CE6"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22</w:t>
            </w:r>
          </w:p>
        </w:tc>
      </w:tr>
      <w:tr w:rsidR="008077C8" w:rsidRPr="00BD17FF" w14:paraId="3ECA3172" w14:textId="77777777" w:rsidTr="00BD17FF">
        <w:trPr>
          <w:trHeight w:val="20"/>
        </w:trPr>
        <w:tc>
          <w:tcPr>
            <w:tcW w:w="1212" w:type="dxa"/>
            <w:shd w:val="clear" w:color="auto" w:fill="auto"/>
            <w:noWrap/>
            <w:vAlign w:val="center"/>
            <w:hideMark/>
          </w:tcPr>
          <w:p w14:paraId="53EE6642"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w:t>
            </w:r>
          </w:p>
        </w:tc>
        <w:tc>
          <w:tcPr>
            <w:tcW w:w="1933" w:type="dxa"/>
            <w:shd w:val="clear" w:color="auto" w:fill="auto"/>
            <w:noWrap/>
            <w:vAlign w:val="center"/>
            <w:hideMark/>
          </w:tcPr>
          <w:p w14:paraId="7BD5C704"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5340EAE0"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84</w:t>
            </w:r>
          </w:p>
        </w:tc>
        <w:tc>
          <w:tcPr>
            <w:tcW w:w="1212" w:type="dxa"/>
            <w:shd w:val="clear" w:color="auto" w:fill="auto"/>
            <w:noWrap/>
            <w:vAlign w:val="center"/>
            <w:hideMark/>
          </w:tcPr>
          <w:p w14:paraId="7C7F681E" w14:textId="7443B2A1"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16</w:t>
            </w:r>
          </w:p>
        </w:tc>
      </w:tr>
      <w:tr w:rsidR="008077C8" w:rsidRPr="00BD17FF" w14:paraId="26DFDAA2" w14:textId="77777777" w:rsidTr="00BD17FF">
        <w:trPr>
          <w:trHeight w:val="20"/>
        </w:trPr>
        <w:tc>
          <w:tcPr>
            <w:tcW w:w="1212" w:type="dxa"/>
            <w:shd w:val="clear" w:color="auto" w:fill="auto"/>
            <w:noWrap/>
            <w:vAlign w:val="center"/>
            <w:hideMark/>
          </w:tcPr>
          <w:p w14:paraId="6DD7C7A4"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11</w:t>
            </w:r>
          </w:p>
        </w:tc>
        <w:tc>
          <w:tcPr>
            <w:tcW w:w="1933" w:type="dxa"/>
            <w:shd w:val="clear" w:color="auto" w:fill="auto"/>
            <w:noWrap/>
            <w:vAlign w:val="center"/>
            <w:hideMark/>
          </w:tcPr>
          <w:p w14:paraId="0A12C7A2"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0D813871"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83</w:t>
            </w:r>
          </w:p>
        </w:tc>
        <w:tc>
          <w:tcPr>
            <w:tcW w:w="1212" w:type="dxa"/>
            <w:shd w:val="clear" w:color="auto" w:fill="auto"/>
            <w:noWrap/>
            <w:vAlign w:val="center"/>
            <w:hideMark/>
          </w:tcPr>
          <w:p w14:paraId="315F0F6F" w14:textId="6428CD16"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17</w:t>
            </w:r>
          </w:p>
        </w:tc>
      </w:tr>
      <w:tr w:rsidR="008077C8" w:rsidRPr="00BD17FF" w14:paraId="77AE0469" w14:textId="77777777" w:rsidTr="00BD17FF">
        <w:trPr>
          <w:trHeight w:val="20"/>
        </w:trPr>
        <w:tc>
          <w:tcPr>
            <w:tcW w:w="1212" w:type="dxa"/>
            <w:shd w:val="clear" w:color="auto" w:fill="auto"/>
            <w:noWrap/>
            <w:vAlign w:val="center"/>
            <w:hideMark/>
          </w:tcPr>
          <w:p w14:paraId="74D3535D"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12</w:t>
            </w:r>
          </w:p>
        </w:tc>
        <w:tc>
          <w:tcPr>
            <w:tcW w:w="1933" w:type="dxa"/>
            <w:shd w:val="clear" w:color="auto" w:fill="auto"/>
            <w:noWrap/>
            <w:vAlign w:val="center"/>
            <w:hideMark/>
          </w:tcPr>
          <w:p w14:paraId="6A3200CE"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1B55DFF1"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80</w:t>
            </w:r>
          </w:p>
        </w:tc>
        <w:tc>
          <w:tcPr>
            <w:tcW w:w="1212" w:type="dxa"/>
            <w:shd w:val="clear" w:color="auto" w:fill="auto"/>
            <w:noWrap/>
            <w:vAlign w:val="center"/>
            <w:hideMark/>
          </w:tcPr>
          <w:p w14:paraId="487CD2C1" w14:textId="0C50B5EA"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20</w:t>
            </w:r>
          </w:p>
        </w:tc>
      </w:tr>
      <w:tr w:rsidR="008077C8" w:rsidRPr="00BD17FF" w14:paraId="3B8BAA4E" w14:textId="77777777" w:rsidTr="00BD17FF">
        <w:trPr>
          <w:trHeight w:val="20"/>
        </w:trPr>
        <w:tc>
          <w:tcPr>
            <w:tcW w:w="1212" w:type="dxa"/>
            <w:shd w:val="clear" w:color="auto" w:fill="auto"/>
            <w:noWrap/>
            <w:vAlign w:val="center"/>
            <w:hideMark/>
          </w:tcPr>
          <w:p w14:paraId="69EC293A"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13</w:t>
            </w:r>
          </w:p>
        </w:tc>
        <w:tc>
          <w:tcPr>
            <w:tcW w:w="1933" w:type="dxa"/>
            <w:shd w:val="clear" w:color="auto" w:fill="auto"/>
            <w:noWrap/>
            <w:vAlign w:val="center"/>
            <w:hideMark/>
          </w:tcPr>
          <w:p w14:paraId="23F6844B"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433DEC24"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77</w:t>
            </w:r>
          </w:p>
        </w:tc>
        <w:tc>
          <w:tcPr>
            <w:tcW w:w="1212" w:type="dxa"/>
            <w:shd w:val="clear" w:color="auto" w:fill="auto"/>
            <w:noWrap/>
            <w:vAlign w:val="center"/>
            <w:hideMark/>
          </w:tcPr>
          <w:p w14:paraId="3998F214" w14:textId="0F5F7B39"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23</w:t>
            </w:r>
          </w:p>
        </w:tc>
      </w:tr>
      <w:tr w:rsidR="008077C8" w:rsidRPr="00BD17FF" w14:paraId="58B5BAE6" w14:textId="77777777" w:rsidTr="00BD17FF">
        <w:trPr>
          <w:trHeight w:val="20"/>
        </w:trPr>
        <w:tc>
          <w:tcPr>
            <w:tcW w:w="1212" w:type="dxa"/>
            <w:shd w:val="clear" w:color="auto" w:fill="auto"/>
            <w:noWrap/>
            <w:vAlign w:val="center"/>
            <w:hideMark/>
          </w:tcPr>
          <w:p w14:paraId="78113F49"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14</w:t>
            </w:r>
          </w:p>
        </w:tc>
        <w:tc>
          <w:tcPr>
            <w:tcW w:w="1933" w:type="dxa"/>
            <w:shd w:val="clear" w:color="auto" w:fill="auto"/>
            <w:noWrap/>
            <w:vAlign w:val="center"/>
            <w:hideMark/>
          </w:tcPr>
          <w:p w14:paraId="48B5C243"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7FEA7028"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79</w:t>
            </w:r>
          </w:p>
        </w:tc>
        <w:tc>
          <w:tcPr>
            <w:tcW w:w="1212" w:type="dxa"/>
            <w:shd w:val="clear" w:color="auto" w:fill="auto"/>
            <w:noWrap/>
            <w:vAlign w:val="center"/>
            <w:hideMark/>
          </w:tcPr>
          <w:p w14:paraId="5FDDBD58" w14:textId="5D06E96F"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21</w:t>
            </w:r>
          </w:p>
        </w:tc>
      </w:tr>
      <w:tr w:rsidR="008077C8" w:rsidRPr="00BD17FF" w14:paraId="0FB8BC9D" w14:textId="77777777" w:rsidTr="00BD17FF">
        <w:trPr>
          <w:trHeight w:val="20"/>
        </w:trPr>
        <w:tc>
          <w:tcPr>
            <w:tcW w:w="1212" w:type="dxa"/>
            <w:shd w:val="clear" w:color="auto" w:fill="auto"/>
            <w:noWrap/>
            <w:vAlign w:val="center"/>
            <w:hideMark/>
          </w:tcPr>
          <w:p w14:paraId="4ECFF2E7"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15</w:t>
            </w:r>
          </w:p>
        </w:tc>
        <w:tc>
          <w:tcPr>
            <w:tcW w:w="1933" w:type="dxa"/>
            <w:shd w:val="clear" w:color="auto" w:fill="auto"/>
            <w:noWrap/>
            <w:vAlign w:val="center"/>
            <w:hideMark/>
          </w:tcPr>
          <w:p w14:paraId="1AA67098"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14" w:type="dxa"/>
            <w:shd w:val="clear" w:color="auto" w:fill="auto"/>
            <w:noWrap/>
            <w:vAlign w:val="center"/>
            <w:hideMark/>
          </w:tcPr>
          <w:p w14:paraId="7E3A478A" w14:textId="77777777"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79</w:t>
            </w:r>
          </w:p>
        </w:tc>
        <w:tc>
          <w:tcPr>
            <w:tcW w:w="1212" w:type="dxa"/>
            <w:shd w:val="clear" w:color="auto" w:fill="auto"/>
            <w:noWrap/>
            <w:vAlign w:val="center"/>
            <w:hideMark/>
          </w:tcPr>
          <w:p w14:paraId="1CD76E8C" w14:textId="6D363C36"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21</w:t>
            </w:r>
          </w:p>
        </w:tc>
      </w:tr>
      <w:tr w:rsidR="008077C8" w:rsidRPr="00BD17FF" w14:paraId="2DDBEE4F" w14:textId="77777777" w:rsidTr="00BD17FF">
        <w:trPr>
          <w:trHeight w:val="20"/>
        </w:trPr>
        <w:tc>
          <w:tcPr>
            <w:tcW w:w="1212" w:type="dxa"/>
            <w:shd w:val="clear" w:color="auto" w:fill="auto"/>
            <w:noWrap/>
            <w:vAlign w:val="center"/>
            <w:hideMark/>
          </w:tcPr>
          <w:p w14:paraId="3D289F03" w14:textId="0162E67A" w:rsidR="008077C8"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Average</w:t>
            </w:r>
          </w:p>
        </w:tc>
        <w:tc>
          <w:tcPr>
            <w:tcW w:w="1933" w:type="dxa"/>
            <w:shd w:val="clear" w:color="auto" w:fill="auto"/>
            <w:noWrap/>
            <w:vAlign w:val="center"/>
            <w:hideMark/>
          </w:tcPr>
          <w:p w14:paraId="5A6916F9" w14:textId="1896AB08" w:rsidR="008077C8" w:rsidRPr="00BD17FF" w:rsidRDefault="008077C8" w:rsidP="00BD17FF">
            <w:pPr>
              <w:tabs>
                <w:tab w:val="clear" w:pos="7100"/>
              </w:tabs>
              <w:spacing w:line="240" w:lineRule="auto"/>
              <w:jc w:val="center"/>
              <w:rPr>
                <w:rFonts w:cs="Arial"/>
                <w:color w:val="000000"/>
                <w:szCs w:val="18"/>
                <w:lang w:val="en-US" w:eastAsia="es-PE"/>
              </w:rPr>
            </w:pPr>
          </w:p>
        </w:tc>
        <w:tc>
          <w:tcPr>
            <w:tcW w:w="1714" w:type="dxa"/>
            <w:shd w:val="clear" w:color="auto" w:fill="auto"/>
            <w:noWrap/>
            <w:vAlign w:val="center"/>
            <w:hideMark/>
          </w:tcPr>
          <w:p w14:paraId="0CA322FB" w14:textId="672C0335" w:rsidR="008077C8" w:rsidRPr="00BD17FF" w:rsidRDefault="008077C8" w:rsidP="00BD17FF">
            <w:pPr>
              <w:tabs>
                <w:tab w:val="clear" w:pos="7100"/>
              </w:tabs>
              <w:spacing w:line="240" w:lineRule="auto"/>
              <w:jc w:val="center"/>
              <w:rPr>
                <w:rFonts w:cs="Arial"/>
                <w:color w:val="000000"/>
                <w:szCs w:val="18"/>
                <w:lang w:val="en-US" w:eastAsia="es-PE"/>
              </w:rPr>
            </w:pPr>
          </w:p>
        </w:tc>
        <w:tc>
          <w:tcPr>
            <w:tcW w:w="1212" w:type="dxa"/>
            <w:shd w:val="clear" w:color="auto" w:fill="auto"/>
            <w:noWrap/>
            <w:vAlign w:val="center"/>
            <w:hideMark/>
          </w:tcPr>
          <w:p w14:paraId="6981A676" w14:textId="54B0CB3E" w:rsidR="008077C8" w:rsidRPr="00BD17FF" w:rsidRDefault="008077C8"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bl>
    <w:p w14:paraId="34E1AC71" w14:textId="77777777" w:rsidR="008077C8" w:rsidRPr="005240A3" w:rsidRDefault="008077C8" w:rsidP="008077C8">
      <w:pPr>
        <w:pStyle w:val="CETBodytext"/>
      </w:pPr>
    </w:p>
    <w:p w14:paraId="4EF13ADD" w14:textId="3AF97AFF" w:rsidR="00776FB5" w:rsidRPr="005240A3" w:rsidRDefault="000A08E6" w:rsidP="000A08E6">
      <w:pPr>
        <w:pStyle w:val="CETheadingx"/>
        <w:rPr>
          <w:i/>
          <w:iCs/>
        </w:rPr>
      </w:pPr>
      <w:r w:rsidRPr="000A08E6">
        <w:lastRenderedPageBreak/>
        <w:t xml:space="preserve">Amount of minimization of organic waste of fruits, vegetables and food by the </w:t>
      </w:r>
      <w:r w:rsidR="00776FB5" w:rsidRPr="005240A3">
        <w:rPr>
          <w:i/>
          <w:iCs/>
        </w:rPr>
        <w:t>Gryllus assimilis</w:t>
      </w:r>
    </w:p>
    <w:p w14:paraId="50A12904" w14:textId="6A7D59F5" w:rsidR="008077C8" w:rsidRDefault="000A08E6" w:rsidP="008077C8">
      <w:pPr>
        <w:pStyle w:val="CETBodytext"/>
      </w:pPr>
      <w:r w:rsidRPr="000A08E6">
        <w:t xml:space="preserve">For initial samples of 100 g of fruit, vegetable and food residues, in each of the 15 repetitions, the 200 </w:t>
      </w:r>
      <w:r w:rsidRPr="00436B21">
        <w:rPr>
          <w:i/>
        </w:rPr>
        <w:t>Gryllus assimilis</w:t>
      </w:r>
      <w:r w:rsidRPr="000A08E6">
        <w:t xml:space="preserve"> fed (consumed) the percentage shown in Table 4. There is </w:t>
      </w:r>
      <w:r w:rsidR="00436B21">
        <w:t>an average percentage of 18 %.</w:t>
      </w:r>
    </w:p>
    <w:p w14:paraId="31091DE3" w14:textId="5DD80D72" w:rsidR="0080076E" w:rsidRPr="005240A3" w:rsidRDefault="00436B21" w:rsidP="0080076E">
      <w:pPr>
        <w:pStyle w:val="CETBodytext"/>
        <w:rPr>
          <w:i/>
          <w:iCs/>
        </w:rPr>
      </w:pPr>
      <w:r w:rsidRPr="00436B21">
        <w:rPr>
          <w:i/>
          <w:iCs/>
        </w:rPr>
        <w:t>Table 4: Minimization of organic waste according to type or treatment and number of repetitions</w:t>
      </w:r>
    </w:p>
    <w:tbl>
      <w:tblPr>
        <w:tblW w:w="6228"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247"/>
        <w:gridCol w:w="1994"/>
        <w:gridCol w:w="1740"/>
        <w:gridCol w:w="1247"/>
      </w:tblGrid>
      <w:tr w:rsidR="00776FB5" w:rsidRPr="00BD17FF" w14:paraId="7737D563" w14:textId="77777777" w:rsidTr="00BD17FF">
        <w:trPr>
          <w:trHeight w:val="20"/>
        </w:trPr>
        <w:tc>
          <w:tcPr>
            <w:tcW w:w="1247" w:type="dxa"/>
            <w:tcBorders>
              <w:top w:val="single" w:sz="12" w:space="0" w:color="008000"/>
              <w:bottom w:val="nil"/>
            </w:tcBorders>
            <w:shd w:val="clear" w:color="auto" w:fill="auto"/>
            <w:noWrap/>
            <w:vAlign w:val="center"/>
            <w:hideMark/>
          </w:tcPr>
          <w:p w14:paraId="455AD63B" w14:textId="38995A4E"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Repeti</w:t>
            </w:r>
            <w:r w:rsidR="000A08E6" w:rsidRPr="00BD17FF">
              <w:rPr>
                <w:rFonts w:cs="Arial"/>
                <w:color w:val="000000"/>
                <w:szCs w:val="18"/>
                <w:lang w:val="en-US" w:eastAsia="es-PE"/>
              </w:rPr>
              <w:t>tion</w:t>
            </w:r>
          </w:p>
        </w:tc>
        <w:tc>
          <w:tcPr>
            <w:tcW w:w="3734" w:type="dxa"/>
            <w:gridSpan w:val="2"/>
            <w:tcBorders>
              <w:top w:val="single" w:sz="12" w:space="0" w:color="008000"/>
              <w:bottom w:val="nil"/>
            </w:tcBorders>
            <w:shd w:val="clear" w:color="auto" w:fill="auto"/>
            <w:noWrap/>
            <w:vAlign w:val="center"/>
            <w:hideMark/>
          </w:tcPr>
          <w:p w14:paraId="48D96130" w14:textId="197B9E69"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 xml:space="preserve">T3: </w:t>
            </w:r>
            <w:r w:rsidR="00436B21" w:rsidRPr="00BD17FF">
              <w:rPr>
                <w:rFonts w:cs="Arial"/>
                <w:color w:val="000000"/>
                <w:szCs w:val="18"/>
                <w:lang w:val="en-US" w:eastAsia="es-PE"/>
              </w:rPr>
              <w:t>Organic waste mix</w:t>
            </w:r>
          </w:p>
        </w:tc>
        <w:tc>
          <w:tcPr>
            <w:tcW w:w="1247" w:type="dxa"/>
            <w:tcBorders>
              <w:top w:val="single" w:sz="12" w:space="0" w:color="008000"/>
              <w:bottom w:val="nil"/>
            </w:tcBorders>
            <w:shd w:val="clear" w:color="auto" w:fill="auto"/>
            <w:noWrap/>
            <w:vAlign w:val="center"/>
            <w:hideMark/>
          </w:tcPr>
          <w:p w14:paraId="56723A6A" w14:textId="0659C346"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Reduc</w:t>
            </w:r>
            <w:r w:rsidR="000A08E6" w:rsidRPr="00BD17FF">
              <w:rPr>
                <w:rFonts w:cs="Arial"/>
                <w:color w:val="000000"/>
                <w:szCs w:val="18"/>
                <w:lang w:val="en-US" w:eastAsia="es-PE"/>
              </w:rPr>
              <w:t>tion</w:t>
            </w:r>
          </w:p>
        </w:tc>
      </w:tr>
      <w:tr w:rsidR="000A08E6" w:rsidRPr="00BD17FF" w14:paraId="2699EA9B" w14:textId="77777777" w:rsidTr="008E1A4B">
        <w:trPr>
          <w:trHeight w:val="380"/>
        </w:trPr>
        <w:tc>
          <w:tcPr>
            <w:tcW w:w="1247" w:type="dxa"/>
            <w:tcBorders>
              <w:top w:val="nil"/>
              <w:bottom w:val="single" w:sz="4" w:space="0" w:color="008000"/>
            </w:tcBorders>
            <w:shd w:val="clear" w:color="auto" w:fill="auto"/>
            <w:noWrap/>
            <w:vAlign w:val="center"/>
            <w:hideMark/>
          </w:tcPr>
          <w:p w14:paraId="340231D9" w14:textId="77777777"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N°</w:t>
            </w:r>
          </w:p>
        </w:tc>
        <w:tc>
          <w:tcPr>
            <w:tcW w:w="1994" w:type="dxa"/>
            <w:tcBorders>
              <w:top w:val="nil"/>
              <w:bottom w:val="single" w:sz="4" w:space="0" w:color="008000"/>
            </w:tcBorders>
            <w:shd w:val="clear" w:color="auto" w:fill="auto"/>
            <w:noWrap/>
            <w:vAlign w:val="center"/>
            <w:hideMark/>
          </w:tcPr>
          <w:p w14:paraId="533F2779" w14:textId="5380B6B6"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Initial amount (g)</w:t>
            </w:r>
          </w:p>
        </w:tc>
        <w:tc>
          <w:tcPr>
            <w:tcW w:w="1739" w:type="dxa"/>
            <w:tcBorders>
              <w:top w:val="nil"/>
              <w:bottom w:val="single" w:sz="4" w:space="0" w:color="008000"/>
            </w:tcBorders>
            <w:shd w:val="clear" w:color="auto" w:fill="auto"/>
            <w:noWrap/>
            <w:vAlign w:val="center"/>
            <w:hideMark/>
          </w:tcPr>
          <w:p w14:paraId="38DA3E66" w14:textId="51A88530"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Final amount (g)</w:t>
            </w:r>
          </w:p>
        </w:tc>
        <w:tc>
          <w:tcPr>
            <w:tcW w:w="1247" w:type="dxa"/>
            <w:tcBorders>
              <w:top w:val="nil"/>
              <w:bottom w:val="single" w:sz="4" w:space="0" w:color="008000"/>
            </w:tcBorders>
            <w:shd w:val="clear" w:color="auto" w:fill="auto"/>
            <w:noWrap/>
            <w:vAlign w:val="center"/>
            <w:hideMark/>
          </w:tcPr>
          <w:p w14:paraId="2798A90C" w14:textId="77777777" w:rsidR="000A08E6"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w:t>
            </w:r>
          </w:p>
        </w:tc>
      </w:tr>
      <w:tr w:rsidR="00776FB5" w:rsidRPr="00BD17FF" w14:paraId="20A4EADA" w14:textId="77777777" w:rsidTr="008E1A4B">
        <w:trPr>
          <w:trHeight w:val="20"/>
        </w:trPr>
        <w:tc>
          <w:tcPr>
            <w:tcW w:w="1247" w:type="dxa"/>
            <w:tcBorders>
              <w:top w:val="single" w:sz="4" w:space="0" w:color="008000"/>
            </w:tcBorders>
            <w:shd w:val="clear" w:color="auto" w:fill="auto"/>
            <w:noWrap/>
            <w:vAlign w:val="center"/>
            <w:hideMark/>
          </w:tcPr>
          <w:p w14:paraId="79CA0D74"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w:t>
            </w:r>
          </w:p>
        </w:tc>
        <w:tc>
          <w:tcPr>
            <w:tcW w:w="1994" w:type="dxa"/>
            <w:tcBorders>
              <w:top w:val="single" w:sz="4" w:space="0" w:color="008000"/>
            </w:tcBorders>
            <w:shd w:val="clear" w:color="auto" w:fill="auto"/>
            <w:noWrap/>
            <w:vAlign w:val="center"/>
            <w:hideMark/>
          </w:tcPr>
          <w:p w14:paraId="5773107A"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tcBorders>
              <w:top w:val="single" w:sz="4" w:space="0" w:color="008000"/>
            </w:tcBorders>
            <w:shd w:val="clear" w:color="auto" w:fill="auto"/>
            <w:noWrap/>
            <w:vAlign w:val="center"/>
            <w:hideMark/>
          </w:tcPr>
          <w:p w14:paraId="744C038A"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86</w:t>
            </w:r>
          </w:p>
        </w:tc>
        <w:tc>
          <w:tcPr>
            <w:tcW w:w="1247" w:type="dxa"/>
            <w:tcBorders>
              <w:top w:val="single" w:sz="4" w:space="0" w:color="008000"/>
            </w:tcBorders>
            <w:shd w:val="clear" w:color="auto" w:fill="auto"/>
            <w:noWrap/>
            <w:vAlign w:val="center"/>
            <w:hideMark/>
          </w:tcPr>
          <w:p w14:paraId="2330C291" w14:textId="1D71EB75"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14</w:t>
            </w:r>
          </w:p>
        </w:tc>
      </w:tr>
      <w:tr w:rsidR="00776FB5" w:rsidRPr="00BD17FF" w14:paraId="7EAD57A1" w14:textId="77777777" w:rsidTr="00BD17FF">
        <w:trPr>
          <w:trHeight w:val="20"/>
        </w:trPr>
        <w:tc>
          <w:tcPr>
            <w:tcW w:w="1247" w:type="dxa"/>
            <w:shd w:val="clear" w:color="auto" w:fill="auto"/>
            <w:noWrap/>
            <w:vAlign w:val="center"/>
            <w:hideMark/>
          </w:tcPr>
          <w:p w14:paraId="71D26D2E"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w:t>
            </w:r>
          </w:p>
        </w:tc>
        <w:tc>
          <w:tcPr>
            <w:tcW w:w="1994" w:type="dxa"/>
            <w:shd w:val="clear" w:color="auto" w:fill="auto"/>
            <w:noWrap/>
            <w:vAlign w:val="center"/>
            <w:hideMark/>
          </w:tcPr>
          <w:p w14:paraId="30B3828F"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71A483BC"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84</w:t>
            </w:r>
          </w:p>
        </w:tc>
        <w:tc>
          <w:tcPr>
            <w:tcW w:w="1247" w:type="dxa"/>
            <w:shd w:val="clear" w:color="auto" w:fill="auto"/>
            <w:noWrap/>
            <w:vAlign w:val="center"/>
            <w:hideMark/>
          </w:tcPr>
          <w:p w14:paraId="4F5EB0B1" w14:textId="3662AA7E"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16</w:t>
            </w:r>
          </w:p>
        </w:tc>
      </w:tr>
      <w:tr w:rsidR="00776FB5" w:rsidRPr="00BD17FF" w14:paraId="55AC5962" w14:textId="77777777" w:rsidTr="00BD17FF">
        <w:trPr>
          <w:trHeight w:val="20"/>
        </w:trPr>
        <w:tc>
          <w:tcPr>
            <w:tcW w:w="1247" w:type="dxa"/>
            <w:shd w:val="clear" w:color="auto" w:fill="auto"/>
            <w:noWrap/>
            <w:vAlign w:val="center"/>
            <w:hideMark/>
          </w:tcPr>
          <w:p w14:paraId="5B07B9D1"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3</w:t>
            </w:r>
          </w:p>
        </w:tc>
        <w:tc>
          <w:tcPr>
            <w:tcW w:w="1994" w:type="dxa"/>
            <w:shd w:val="clear" w:color="auto" w:fill="auto"/>
            <w:noWrap/>
            <w:vAlign w:val="center"/>
            <w:hideMark/>
          </w:tcPr>
          <w:p w14:paraId="52706A5B"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3DAD0052"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81</w:t>
            </w:r>
          </w:p>
        </w:tc>
        <w:tc>
          <w:tcPr>
            <w:tcW w:w="1247" w:type="dxa"/>
            <w:shd w:val="clear" w:color="auto" w:fill="auto"/>
            <w:noWrap/>
            <w:vAlign w:val="center"/>
            <w:hideMark/>
          </w:tcPr>
          <w:p w14:paraId="30F22CC5" w14:textId="0233661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r w:rsidR="00776FB5" w:rsidRPr="00BD17FF" w14:paraId="26F6C5AF" w14:textId="77777777" w:rsidTr="00BD17FF">
        <w:trPr>
          <w:trHeight w:val="20"/>
        </w:trPr>
        <w:tc>
          <w:tcPr>
            <w:tcW w:w="1247" w:type="dxa"/>
            <w:shd w:val="clear" w:color="auto" w:fill="auto"/>
            <w:noWrap/>
            <w:vAlign w:val="center"/>
            <w:hideMark/>
          </w:tcPr>
          <w:p w14:paraId="4FEDD9F2"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4</w:t>
            </w:r>
          </w:p>
        </w:tc>
        <w:tc>
          <w:tcPr>
            <w:tcW w:w="1994" w:type="dxa"/>
            <w:shd w:val="clear" w:color="auto" w:fill="auto"/>
            <w:noWrap/>
            <w:vAlign w:val="center"/>
            <w:hideMark/>
          </w:tcPr>
          <w:p w14:paraId="72CEEE7B"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079FCF29"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81</w:t>
            </w:r>
          </w:p>
        </w:tc>
        <w:tc>
          <w:tcPr>
            <w:tcW w:w="1247" w:type="dxa"/>
            <w:shd w:val="clear" w:color="auto" w:fill="auto"/>
            <w:noWrap/>
            <w:vAlign w:val="center"/>
            <w:hideMark/>
          </w:tcPr>
          <w:p w14:paraId="18DB0FB8" w14:textId="08E02A52"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r w:rsidR="00776FB5" w:rsidRPr="00BD17FF" w14:paraId="1182DD7C" w14:textId="77777777" w:rsidTr="00BD17FF">
        <w:trPr>
          <w:trHeight w:val="20"/>
        </w:trPr>
        <w:tc>
          <w:tcPr>
            <w:tcW w:w="1247" w:type="dxa"/>
            <w:shd w:val="clear" w:color="auto" w:fill="auto"/>
            <w:noWrap/>
            <w:vAlign w:val="center"/>
            <w:hideMark/>
          </w:tcPr>
          <w:p w14:paraId="640A9B1F"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5</w:t>
            </w:r>
          </w:p>
        </w:tc>
        <w:tc>
          <w:tcPr>
            <w:tcW w:w="1994" w:type="dxa"/>
            <w:shd w:val="clear" w:color="auto" w:fill="auto"/>
            <w:noWrap/>
            <w:vAlign w:val="center"/>
            <w:hideMark/>
          </w:tcPr>
          <w:p w14:paraId="05EDD838"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108C9BA9"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80</w:t>
            </w:r>
          </w:p>
        </w:tc>
        <w:tc>
          <w:tcPr>
            <w:tcW w:w="1247" w:type="dxa"/>
            <w:shd w:val="clear" w:color="auto" w:fill="auto"/>
            <w:noWrap/>
            <w:vAlign w:val="center"/>
            <w:hideMark/>
          </w:tcPr>
          <w:p w14:paraId="7D3C6886" w14:textId="1AC4347B"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20</w:t>
            </w:r>
          </w:p>
        </w:tc>
      </w:tr>
      <w:tr w:rsidR="00776FB5" w:rsidRPr="00BD17FF" w14:paraId="7B2758D9" w14:textId="77777777" w:rsidTr="00BD17FF">
        <w:trPr>
          <w:trHeight w:val="20"/>
        </w:trPr>
        <w:tc>
          <w:tcPr>
            <w:tcW w:w="1247" w:type="dxa"/>
            <w:shd w:val="clear" w:color="auto" w:fill="auto"/>
            <w:noWrap/>
            <w:vAlign w:val="center"/>
            <w:hideMark/>
          </w:tcPr>
          <w:p w14:paraId="64779AD0"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6</w:t>
            </w:r>
          </w:p>
        </w:tc>
        <w:tc>
          <w:tcPr>
            <w:tcW w:w="1994" w:type="dxa"/>
            <w:shd w:val="clear" w:color="auto" w:fill="auto"/>
            <w:noWrap/>
            <w:vAlign w:val="center"/>
            <w:hideMark/>
          </w:tcPr>
          <w:p w14:paraId="5B7B0350"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193B0788"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82</w:t>
            </w:r>
          </w:p>
        </w:tc>
        <w:tc>
          <w:tcPr>
            <w:tcW w:w="1247" w:type="dxa"/>
            <w:shd w:val="clear" w:color="auto" w:fill="auto"/>
            <w:noWrap/>
            <w:vAlign w:val="center"/>
            <w:hideMark/>
          </w:tcPr>
          <w:p w14:paraId="089C9C5D" w14:textId="741E0EFD"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18</w:t>
            </w:r>
          </w:p>
        </w:tc>
      </w:tr>
      <w:tr w:rsidR="00776FB5" w:rsidRPr="00BD17FF" w14:paraId="5B399E76" w14:textId="77777777" w:rsidTr="00BD17FF">
        <w:trPr>
          <w:trHeight w:val="20"/>
        </w:trPr>
        <w:tc>
          <w:tcPr>
            <w:tcW w:w="1247" w:type="dxa"/>
            <w:shd w:val="clear" w:color="auto" w:fill="auto"/>
            <w:noWrap/>
            <w:vAlign w:val="center"/>
            <w:hideMark/>
          </w:tcPr>
          <w:p w14:paraId="2F887E76"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w:t>
            </w:r>
          </w:p>
        </w:tc>
        <w:tc>
          <w:tcPr>
            <w:tcW w:w="1994" w:type="dxa"/>
            <w:shd w:val="clear" w:color="auto" w:fill="auto"/>
            <w:noWrap/>
            <w:vAlign w:val="center"/>
            <w:hideMark/>
          </w:tcPr>
          <w:p w14:paraId="226831A3"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1244F99B"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82</w:t>
            </w:r>
          </w:p>
        </w:tc>
        <w:tc>
          <w:tcPr>
            <w:tcW w:w="1247" w:type="dxa"/>
            <w:shd w:val="clear" w:color="auto" w:fill="auto"/>
            <w:noWrap/>
            <w:vAlign w:val="center"/>
            <w:hideMark/>
          </w:tcPr>
          <w:p w14:paraId="7B287C68" w14:textId="4031F955"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18</w:t>
            </w:r>
          </w:p>
        </w:tc>
      </w:tr>
      <w:tr w:rsidR="00776FB5" w:rsidRPr="00BD17FF" w14:paraId="6F2DB2B2" w14:textId="77777777" w:rsidTr="00BD17FF">
        <w:trPr>
          <w:trHeight w:val="20"/>
        </w:trPr>
        <w:tc>
          <w:tcPr>
            <w:tcW w:w="1247" w:type="dxa"/>
            <w:shd w:val="clear" w:color="auto" w:fill="auto"/>
            <w:noWrap/>
            <w:vAlign w:val="center"/>
            <w:hideMark/>
          </w:tcPr>
          <w:p w14:paraId="4C80F84C"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w:t>
            </w:r>
          </w:p>
        </w:tc>
        <w:tc>
          <w:tcPr>
            <w:tcW w:w="1994" w:type="dxa"/>
            <w:shd w:val="clear" w:color="auto" w:fill="auto"/>
            <w:noWrap/>
            <w:vAlign w:val="center"/>
            <w:hideMark/>
          </w:tcPr>
          <w:p w14:paraId="0AC256E0"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5C8B8BFE"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82</w:t>
            </w:r>
          </w:p>
        </w:tc>
        <w:tc>
          <w:tcPr>
            <w:tcW w:w="1247" w:type="dxa"/>
            <w:shd w:val="clear" w:color="auto" w:fill="auto"/>
            <w:noWrap/>
            <w:vAlign w:val="center"/>
            <w:hideMark/>
          </w:tcPr>
          <w:p w14:paraId="70866716" w14:textId="58370606"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18</w:t>
            </w:r>
          </w:p>
        </w:tc>
      </w:tr>
      <w:tr w:rsidR="00776FB5" w:rsidRPr="00BD17FF" w14:paraId="2528BF7B" w14:textId="77777777" w:rsidTr="00BD17FF">
        <w:trPr>
          <w:trHeight w:val="20"/>
        </w:trPr>
        <w:tc>
          <w:tcPr>
            <w:tcW w:w="1247" w:type="dxa"/>
            <w:shd w:val="clear" w:color="auto" w:fill="auto"/>
            <w:noWrap/>
            <w:vAlign w:val="center"/>
            <w:hideMark/>
          </w:tcPr>
          <w:p w14:paraId="472D52AC"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9</w:t>
            </w:r>
          </w:p>
        </w:tc>
        <w:tc>
          <w:tcPr>
            <w:tcW w:w="1994" w:type="dxa"/>
            <w:shd w:val="clear" w:color="auto" w:fill="auto"/>
            <w:noWrap/>
            <w:vAlign w:val="center"/>
            <w:hideMark/>
          </w:tcPr>
          <w:p w14:paraId="30C95BA4"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37CD5D2C"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83</w:t>
            </w:r>
          </w:p>
        </w:tc>
        <w:tc>
          <w:tcPr>
            <w:tcW w:w="1247" w:type="dxa"/>
            <w:shd w:val="clear" w:color="auto" w:fill="auto"/>
            <w:noWrap/>
            <w:vAlign w:val="center"/>
            <w:hideMark/>
          </w:tcPr>
          <w:p w14:paraId="5C7C3C78" w14:textId="51EEED58"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17</w:t>
            </w:r>
          </w:p>
        </w:tc>
      </w:tr>
      <w:tr w:rsidR="00776FB5" w:rsidRPr="00BD17FF" w14:paraId="6B27BA3F" w14:textId="77777777" w:rsidTr="00BD17FF">
        <w:trPr>
          <w:trHeight w:val="20"/>
        </w:trPr>
        <w:tc>
          <w:tcPr>
            <w:tcW w:w="1247" w:type="dxa"/>
            <w:shd w:val="clear" w:color="auto" w:fill="auto"/>
            <w:noWrap/>
            <w:vAlign w:val="center"/>
            <w:hideMark/>
          </w:tcPr>
          <w:p w14:paraId="27469D23"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w:t>
            </w:r>
          </w:p>
        </w:tc>
        <w:tc>
          <w:tcPr>
            <w:tcW w:w="1994" w:type="dxa"/>
            <w:shd w:val="clear" w:color="auto" w:fill="auto"/>
            <w:noWrap/>
            <w:vAlign w:val="center"/>
            <w:hideMark/>
          </w:tcPr>
          <w:p w14:paraId="5B071E2E"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3B1DBC14"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81</w:t>
            </w:r>
          </w:p>
        </w:tc>
        <w:tc>
          <w:tcPr>
            <w:tcW w:w="1247" w:type="dxa"/>
            <w:shd w:val="clear" w:color="auto" w:fill="auto"/>
            <w:noWrap/>
            <w:vAlign w:val="center"/>
            <w:hideMark/>
          </w:tcPr>
          <w:p w14:paraId="7EC51E48" w14:textId="561428A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r w:rsidR="00776FB5" w:rsidRPr="00BD17FF" w14:paraId="3E13F24B" w14:textId="77777777" w:rsidTr="00BD17FF">
        <w:trPr>
          <w:trHeight w:val="20"/>
        </w:trPr>
        <w:tc>
          <w:tcPr>
            <w:tcW w:w="1247" w:type="dxa"/>
            <w:shd w:val="clear" w:color="auto" w:fill="auto"/>
            <w:noWrap/>
            <w:vAlign w:val="center"/>
            <w:hideMark/>
          </w:tcPr>
          <w:p w14:paraId="6E20FA18"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11</w:t>
            </w:r>
          </w:p>
        </w:tc>
        <w:tc>
          <w:tcPr>
            <w:tcW w:w="1994" w:type="dxa"/>
            <w:shd w:val="clear" w:color="auto" w:fill="auto"/>
            <w:noWrap/>
            <w:vAlign w:val="center"/>
            <w:hideMark/>
          </w:tcPr>
          <w:p w14:paraId="02276AA0"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3D323200"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79</w:t>
            </w:r>
          </w:p>
        </w:tc>
        <w:tc>
          <w:tcPr>
            <w:tcW w:w="1247" w:type="dxa"/>
            <w:shd w:val="clear" w:color="auto" w:fill="auto"/>
            <w:noWrap/>
            <w:vAlign w:val="center"/>
            <w:hideMark/>
          </w:tcPr>
          <w:p w14:paraId="49B4F47B" w14:textId="5E6866C8"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21</w:t>
            </w:r>
          </w:p>
        </w:tc>
      </w:tr>
      <w:tr w:rsidR="00776FB5" w:rsidRPr="00BD17FF" w14:paraId="075674DC" w14:textId="77777777" w:rsidTr="00BD17FF">
        <w:trPr>
          <w:trHeight w:val="20"/>
        </w:trPr>
        <w:tc>
          <w:tcPr>
            <w:tcW w:w="1247" w:type="dxa"/>
            <w:shd w:val="clear" w:color="auto" w:fill="auto"/>
            <w:noWrap/>
            <w:vAlign w:val="center"/>
            <w:hideMark/>
          </w:tcPr>
          <w:p w14:paraId="1E42F865"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12</w:t>
            </w:r>
          </w:p>
        </w:tc>
        <w:tc>
          <w:tcPr>
            <w:tcW w:w="1994" w:type="dxa"/>
            <w:shd w:val="clear" w:color="auto" w:fill="auto"/>
            <w:noWrap/>
            <w:vAlign w:val="center"/>
            <w:hideMark/>
          </w:tcPr>
          <w:p w14:paraId="0A4009AB"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55BFA9D4"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81</w:t>
            </w:r>
          </w:p>
        </w:tc>
        <w:tc>
          <w:tcPr>
            <w:tcW w:w="1247" w:type="dxa"/>
            <w:shd w:val="clear" w:color="auto" w:fill="auto"/>
            <w:noWrap/>
            <w:vAlign w:val="center"/>
            <w:hideMark/>
          </w:tcPr>
          <w:p w14:paraId="34E31983" w14:textId="663BF7DF"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r w:rsidR="00776FB5" w:rsidRPr="00BD17FF" w14:paraId="40544545" w14:textId="77777777" w:rsidTr="00BD17FF">
        <w:trPr>
          <w:trHeight w:val="20"/>
        </w:trPr>
        <w:tc>
          <w:tcPr>
            <w:tcW w:w="1247" w:type="dxa"/>
            <w:shd w:val="clear" w:color="auto" w:fill="auto"/>
            <w:noWrap/>
            <w:vAlign w:val="center"/>
            <w:hideMark/>
          </w:tcPr>
          <w:p w14:paraId="1ACDCD3A"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13</w:t>
            </w:r>
          </w:p>
        </w:tc>
        <w:tc>
          <w:tcPr>
            <w:tcW w:w="1994" w:type="dxa"/>
            <w:shd w:val="clear" w:color="auto" w:fill="auto"/>
            <w:noWrap/>
            <w:vAlign w:val="center"/>
            <w:hideMark/>
          </w:tcPr>
          <w:p w14:paraId="6446F17A"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10AAB322"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81</w:t>
            </w:r>
          </w:p>
        </w:tc>
        <w:tc>
          <w:tcPr>
            <w:tcW w:w="1247" w:type="dxa"/>
            <w:shd w:val="clear" w:color="auto" w:fill="auto"/>
            <w:noWrap/>
            <w:vAlign w:val="center"/>
            <w:hideMark/>
          </w:tcPr>
          <w:p w14:paraId="7FA6E2B5" w14:textId="25A11176"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19</w:t>
            </w:r>
          </w:p>
        </w:tc>
      </w:tr>
      <w:tr w:rsidR="00776FB5" w:rsidRPr="00BD17FF" w14:paraId="7D8B825C" w14:textId="77777777" w:rsidTr="00BD17FF">
        <w:trPr>
          <w:trHeight w:val="20"/>
        </w:trPr>
        <w:tc>
          <w:tcPr>
            <w:tcW w:w="1247" w:type="dxa"/>
            <w:shd w:val="clear" w:color="auto" w:fill="auto"/>
            <w:noWrap/>
            <w:vAlign w:val="center"/>
            <w:hideMark/>
          </w:tcPr>
          <w:p w14:paraId="7BF24A4B"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14</w:t>
            </w:r>
          </w:p>
        </w:tc>
        <w:tc>
          <w:tcPr>
            <w:tcW w:w="1994" w:type="dxa"/>
            <w:shd w:val="clear" w:color="auto" w:fill="auto"/>
            <w:noWrap/>
            <w:vAlign w:val="center"/>
            <w:hideMark/>
          </w:tcPr>
          <w:p w14:paraId="19192479"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7498E7EE"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80</w:t>
            </w:r>
          </w:p>
        </w:tc>
        <w:tc>
          <w:tcPr>
            <w:tcW w:w="1247" w:type="dxa"/>
            <w:shd w:val="clear" w:color="auto" w:fill="auto"/>
            <w:noWrap/>
            <w:vAlign w:val="center"/>
            <w:hideMark/>
          </w:tcPr>
          <w:p w14:paraId="29069B96" w14:textId="2F27A17A"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20</w:t>
            </w:r>
          </w:p>
        </w:tc>
      </w:tr>
      <w:tr w:rsidR="00776FB5" w:rsidRPr="00BD17FF" w14:paraId="41798207" w14:textId="77777777" w:rsidTr="00BD17FF">
        <w:trPr>
          <w:trHeight w:val="20"/>
        </w:trPr>
        <w:tc>
          <w:tcPr>
            <w:tcW w:w="1247" w:type="dxa"/>
            <w:shd w:val="clear" w:color="auto" w:fill="auto"/>
            <w:noWrap/>
            <w:vAlign w:val="center"/>
            <w:hideMark/>
          </w:tcPr>
          <w:p w14:paraId="6C14FE74"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15</w:t>
            </w:r>
          </w:p>
        </w:tc>
        <w:tc>
          <w:tcPr>
            <w:tcW w:w="1994" w:type="dxa"/>
            <w:shd w:val="clear" w:color="auto" w:fill="auto"/>
            <w:noWrap/>
            <w:vAlign w:val="center"/>
            <w:hideMark/>
          </w:tcPr>
          <w:p w14:paraId="7C728BDE"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100</w:t>
            </w:r>
          </w:p>
        </w:tc>
        <w:tc>
          <w:tcPr>
            <w:tcW w:w="1739" w:type="dxa"/>
            <w:shd w:val="clear" w:color="auto" w:fill="auto"/>
            <w:noWrap/>
            <w:vAlign w:val="center"/>
            <w:hideMark/>
          </w:tcPr>
          <w:p w14:paraId="516CBADC" w14:textId="77777777"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80</w:t>
            </w:r>
          </w:p>
        </w:tc>
        <w:tc>
          <w:tcPr>
            <w:tcW w:w="1247" w:type="dxa"/>
            <w:shd w:val="clear" w:color="auto" w:fill="auto"/>
            <w:noWrap/>
            <w:vAlign w:val="center"/>
            <w:hideMark/>
          </w:tcPr>
          <w:p w14:paraId="53496376" w14:textId="1E6A9559"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20</w:t>
            </w:r>
          </w:p>
        </w:tc>
      </w:tr>
      <w:tr w:rsidR="00776FB5" w:rsidRPr="00BD17FF" w14:paraId="3B0835AC" w14:textId="77777777" w:rsidTr="00BD17FF">
        <w:trPr>
          <w:trHeight w:val="20"/>
        </w:trPr>
        <w:tc>
          <w:tcPr>
            <w:tcW w:w="1247" w:type="dxa"/>
            <w:shd w:val="clear" w:color="auto" w:fill="auto"/>
            <w:noWrap/>
            <w:vAlign w:val="center"/>
            <w:hideMark/>
          </w:tcPr>
          <w:p w14:paraId="6D7E306A" w14:textId="435CA632" w:rsidR="00776FB5" w:rsidRPr="00BD17FF" w:rsidRDefault="000A08E6"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Average</w:t>
            </w:r>
          </w:p>
        </w:tc>
        <w:tc>
          <w:tcPr>
            <w:tcW w:w="1994" w:type="dxa"/>
            <w:shd w:val="clear" w:color="auto" w:fill="auto"/>
            <w:noWrap/>
            <w:vAlign w:val="center"/>
            <w:hideMark/>
          </w:tcPr>
          <w:p w14:paraId="1D14459A" w14:textId="5306E0ED" w:rsidR="00776FB5" w:rsidRPr="00BD17FF" w:rsidRDefault="00776FB5" w:rsidP="00BD17FF">
            <w:pPr>
              <w:tabs>
                <w:tab w:val="clear" w:pos="7100"/>
              </w:tabs>
              <w:spacing w:line="240" w:lineRule="auto"/>
              <w:jc w:val="center"/>
              <w:rPr>
                <w:rFonts w:cs="Arial"/>
                <w:color w:val="000000"/>
                <w:szCs w:val="18"/>
                <w:lang w:val="en-US" w:eastAsia="es-PE"/>
              </w:rPr>
            </w:pPr>
          </w:p>
        </w:tc>
        <w:tc>
          <w:tcPr>
            <w:tcW w:w="1739" w:type="dxa"/>
            <w:shd w:val="clear" w:color="auto" w:fill="auto"/>
            <w:noWrap/>
            <w:vAlign w:val="center"/>
            <w:hideMark/>
          </w:tcPr>
          <w:p w14:paraId="2DBED86C" w14:textId="49EFC607" w:rsidR="00776FB5" w:rsidRPr="00BD17FF" w:rsidRDefault="00776FB5" w:rsidP="00BD17FF">
            <w:pPr>
              <w:tabs>
                <w:tab w:val="clear" w:pos="7100"/>
              </w:tabs>
              <w:spacing w:line="240" w:lineRule="auto"/>
              <w:jc w:val="center"/>
              <w:rPr>
                <w:rFonts w:cs="Arial"/>
                <w:color w:val="000000"/>
                <w:szCs w:val="18"/>
                <w:lang w:val="en-US" w:eastAsia="es-PE"/>
              </w:rPr>
            </w:pPr>
          </w:p>
        </w:tc>
        <w:tc>
          <w:tcPr>
            <w:tcW w:w="1247" w:type="dxa"/>
            <w:shd w:val="clear" w:color="auto" w:fill="auto"/>
            <w:noWrap/>
            <w:vAlign w:val="center"/>
            <w:hideMark/>
          </w:tcPr>
          <w:p w14:paraId="0D8178E9" w14:textId="79F02A81" w:rsidR="00776FB5" w:rsidRPr="00BD17FF" w:rsidRDefault="00776FB5" w:rsidP="00BD17FF">
            <w:pPr>
              <w:tabs>
                <w:tab w:val="clear" w:pos="7100"/>
              </w:tabs>
              <w:spacing w:line="240" w:lineRule="auto"/>
              <w:jc w:val="center"/>
              <w:rPr>
                <w:rFonts w:cs="Arial"/>
                <w:color w:val="000000"/>
                <w:szCs w:val="18"/>
                <w:lang w:val="en-US" w:eastAsia="es-PE"/>
              </w:rPr>
            </w:pPr>
            <w:r w:rsidRPr="00BD17FF">
              <w:rPr>
                <w:rFonts w:cs="Arial"/>
                <w:color w:val="000000"/>
                <w:szCs w:val="18"/>
                <w:lang w:val="en-US" w:eastAsia="es-PE"/>
              </w:rPr>
              <w:t>18</w:t>
            </w:r>
          </w:p>
        </w:tc>
      </w:tr>
    </w:tbl>
    <w:p w14:paraId="1984B7EC" w14:textId="77777777" w:rsidR="00776FB5" w:rsidRPr="005240A3" w:rsidRDefault="00776FB5" w:rsidP="0080076E">
      <w:pPr>
        <w:pStyle w:val="CETBodytext"/>
        <w:rPr>
          <w:iCs/>
        </w:rPr>
      </w:pPr>
    </w:p>
    <w:p w14:paraId="22E1C7EA" w14:textId="5F6A60EB" w:rsidR="00785594" w:rsidRDefault="001850C4" w:rsidP="00785594">
      <w:pPr>
        <w:pStyle w:val="CETBodytext"/>
      </w:pPr>
      <w:r>
        <w:t xml:space="preserve">For the three types of organic waste, in the total amount of 4,500.00 g of organic waste that was used in the experimental stage, 3,668.00 g were minimized (consumed) by the </w:t>
      </w:r>
      <w:r w:rsidRPr="00785594">
        <w:rPr>
          <w:i/>
        </w:rPr>
        <w:t>Gryllus assimilis</w:t>
      </w:r>
      <w:r>
        <w:t>, which corresponds to an average of 18.3% of the initial amount; food residues being slightly more preferred for consumption by this type of species.</w:t>
      </w:r>
      <w:r w:rsidR="00F91E48">
        <w:t xml:space="preserve"> </w:t>
      </w:r>
      <w:r>
        <w:t xml:space="preserve">It was established that the conditions of the residues consumed by </w:t>
      </w:r>
      <w:r w:rsidRPr="00785594">
        <w:rPr>
          <w:i/>
        </w:rPr>
        <w:t>Gryllus assimilis</w:t>
      </w:r>
      <w:r>
        <w:t xml:space="preserve"> must be in good condition, since they have a preference for those that are not decomposed, of a soft and fresh nature; this is a disadvantage compared to the use of </w:t>
      </w:r>
      <w:r w:rsidRPr="00785594">
        <w:rPr>
          <w:i/>
        </w:rPr>
        <w:t>Periplaneta americana</w:t>
      </w:r>
      <w:r>
        <w:t xml:space="preserve"> (cockroach) in minimizing organic waste that has a preference for decomposed waste (Vilca, 2019), being attracted by the putrefied smell (Jesús</w:t>
      </w:r>
      <w:r w:rsidR="00B62274">
        <w:t xml:space="preserve">, </w:t>
      </w:r>
      <w:r>
        <w:t>2019), which also makes these species emit unpleasant odors, transmit gastrointestinal diseases, and  carriers of viruses</w:t>
      </w:r>
      <w:r w:rsidR="00B62274">
        <w:t xml:space="preserve"> and bacteria (Pérez and Rodas, </w:t>
      </w:r>
      <w:r>
        <w:t>201</w:t>
      </w:r>
      <w:r w:rsidR="00B62274">
        <w:t>5</w:t>
      </w:r>
      <w:r>
        <w:t>).</w:t>
      </w:r>
      <w:r w:rsidR="00785594" w:rsidRPr="00785594">
        <w:t xml:space="preserve">The temperature and humidity parameters are the most important in the rearing of crickets, the most favorable for their reproduction and growth are at temperatures higher than 20 °C to 35 °C (Erens et al. 2012, cited by Alarcón, 2021). , some researchers say that between 25 °C to 28 °C and a relative humidity between 50-60% are the conditions for the reproduction and occlusion stage of crickets (Booth and Kinddell, 2007); something similar also happens with the species of </w:t>
      </w:r>
      <w:r w:rsidR="00785594">
        <w:rPr>
          <w:i/>
        </w:rPr>
        <w:t>Periplaneta a</w:t>
      </w:r>
      <w:r w:rsidR="00785594" w:rsidRPr="00785594">
        <w:rPr>
          <w:i/>
        </w:rPr>
        <w:t>mericana</w:t>
      </w:r>
      <w:r w:rsidR="00785594" w:rsidRPr="00785594">
        <w:t xml:space="preserve"> that at a temperature of 25.7 °C and 69.9 % humidity consumed 6,705 kg per day of waste (Jesús, 2020), in another investigation the </w:t>
      </w:r>
      <w:r w:rsidR="00785594" w:rsidRPr="00785594">
        <w:rPr>
          <w:i/>
        </w:rPr>
        <w:t>Periplaneta</w:t>
      </w:r>
      <w:r w:rsidR="00785594" w:rsidRPr="00785594">
        <w:t xml:space="preserve"> (1,000 million) consumed 50 tons of waste per day. residues at conditions of 20 to 29 °C and between 80 to 90</w:t>
      </w:r>
      <w:r w:rsidR="00785594">
        <w:t xml:space="preserve"> </w:t>
      </w:r>
      <w:r w:rsidR="00785594" w:rsidRPr="00785594">
        <w:t>% humidity (Espinoza and Zambrano, 2020).</w:t>
      </w:r>
      <w:r w:rsidR="006679BB">
        <w:t xml:space="preserve"> </w:t>
      </w:r>
      <w:r w:rsidR="00785594" w:rsidRPr="00785594">
        <w:t xml:space="preserve">Studies also indicate that </w:t>
      </w:r>
      <w:r w:rsidR="00785594" w:rsidRPr="00785594">
        <w:rPr>
          <w:i/>
        </w:rPr>
        <w:t>Gryllus assimilis</w:t>
      </w:r>
      <w:r w:rsidR="00785594" w:rsidRPr="00785594">
        <w:t xml:space="preserve"> have a high nutritional value that makes them attractive for animal feed since it has been found that they have up to 65.52% protein, 21.80</w:t>
      </w:r>
      <w:r w:rsidR="00785594">
        <w:t xml:space="preserve"> </w:t>
      </w:r>
      <w:r w:rsidR="00785594" w:rsidRPr="00785594">
        <w:t>% lipids, 8.6</w:t>
      </w:r>
      <w:r w:rsidR="00785594">
        <w:t xml:space="preserve"> </w:t>
      </w:r>
      <w:r w:rsidR="00785594" w:rsidRPr="00785594">
        <w:t>% carbohydrates and 408% ashes; and the presence of palmitic, oleic and linoleic acids are the most present in these insects, which make them attractive for human consumption in the near future (Soares, et al., 2019).</w:t>
      </w:r>
    </w:p>
    <w:p w14:paraId="7EF8BE56" w14:textId="6E452D1D" w:rsidR="0080076E" w:rsidRPr="005240A3" w:rsidRDefault="00F02838" w:rsidP="00785594">
      <w:pPr>
        <w:pStyle w:val="CETHeading1"/>
      </w:pPr>
      <w:r w:rsidRPr="005240A3">
        <w:t>Conclusi</w:t>
      </w:r>
      <w:r w:rsidR="00785594">
        <w:t>o</w:t>
      </w:r>
      <w:r w:rsidRPr="005240A3">
        <w:t>n</w:t>
      </w:r>
    </w:p>
    <w:p w14:paraId="69BDB593" w14:textId="7991FCD1" w:rsidR="00BD36F6" w:rsidRDefault="00785594" w:rsidP="00A6020E">
      <w:pPr>
        <w:pStyle w:val="CETBodytext"/>
      </w:pPr>
      <w:r w:rsidRPr="00785594">
        <w:t xml:space="preserve">It was established that </w:t>
      </w:r>
      <w:r w:rsidRPr="0056038E">
        <w:rPr>
          <w:i/>
        </w:rPr>
        <w:t>Gryllus assimilis</w:t>
      </w:r>
      <w:r w:rsidRPr="00785594">
        <w:t xml:space="preserve"> is an insect that can be used to minimize organic waste from food, vegetables and fruits, reaching up to the level of 18.7 %, after 15 days. This way of managing organic waste constitutes a sustainable alternative with economic advantages by reducing the cost of waste management for its disposal. After the process, the dead crickets can be used as balanced feed for animals due to their high protein content.</w:t>
      </w:r>
      <w:r w:rsidR="00470702">
        <w:t xml:space="preserve"> </w:t>
      </w:r>
      <w:r w:rsidR="00470702" w:rsidRPr="00470702">
        <w:t>Although it is true that the elimination rate is apparently not very high, however, when larger volumes of organic waste are subjected to degradation processes, the amount eliminated would be relevant. The method used is natural and leaves no residual effect; it does not involve the use of chemical oxidizing agents for the biodegradation of organic waste, which are a risk to the environment.</w:t>
      </w:r>
    </w:p>
    <w:p w14:paraId="74F2D9F1" w14:textId="77777777" w:rsidR="00785594" w:rsidRPr="005240A3" w:rsidRDefault="00785594" w:rsidP="00A6020E">
      <w:pPr>
        <w:pStyle w:val="CETBodytext"/>
      </w:pPr>
    </w:p>
    <w:p w14:paraId="1143C378" w14:textId="0982C7CA" w:rsidR="00BD36F6" w:rsidRDefault="0056038E" w:rsidP="00A6020E">
      <w:pPr>
        <w:pStyle w:val="CETBodytext"/>
        <w:rPr>
          <w:b/>
        </w:rPr>
      </w:pPr>
      <w:r w:rsidRPr="0056038E">
        <w:rPr>
          <w:b/>
        </w:rPr>
        <w:t>Acknowledgments</w:t>
      </w:r>
    </w:p>
    <w:p w14:paraId="40838A84" w14:textId="77777777" w:rsidR="008A7521" w:rsidRPr="00F935FB" w:rsidRDefault="008A7521" w:rsidP="008A7521">
      <w:pPr>
        <w:pStyle w:val="CETBodytext"/>
      </w:pPr>
      <w:r w:rsidRPr="0048329B">
        <w:t>The authors would like to thank "Investiga UCV" of the Universidad César Vallejo for financial support for t</w:t>
      </w:r>
      <w:r>
        <w:t>he publication of this research</w:t>
      </w:r>
      <w:r w:rsidRPr="00F935FB">
        <w:t>.</w:t>
      </w:r>
    </w:p>
    <w:p w14:paraId="4F1327F8" w14:textId="77777777" w:rsidR="00600535" w:rsidRPr="005240A3" w:rsidRDefault="00600535" w:rsidP="00600535">
      <w:pPr>
        <w:pStyle w:val="CETReference"/>
        <w:rPr>
          <w:lang w:val="en-US"/>
        </w:rPr>
      </w:pPr>
      <w:r w:rsidRPr="005240A3">
        <w:rPr>
          <w:lang w:val="en-US"/>
        </w:rPr>
        <w:lastRenderedPageBreak/>
        <w:t>References</w:t>
      </w:r>
      <w:bookmarkStart w:id="2" w:name="_GoBack"/>
      <w:bookmarkEnd w:id="2"/>
    </w:p>
    <w:p w14:paraId="7BC3B9C9" w14:textId="77777777" w:rsidR="00973410" w:rsidRPr="005240A3" w:rsidRDefault="00652666" w:rsidP="00E07E65">
      <w:pPr>
        <w:pStyle w:val="CETReferencetext"/>
        <w:rPr>
          <w:lang w:val="en-US"/>
        </w:rPr>
      </w:pPr>
      <w:r w:rsidRPr="005240A3">
        <w:rPr>
          <w:lang w:val="en-US"/>
        </w:rPr>
        <w:t>Alarcón</w:t>
      </w:r>
      <w:r w:rsidR="00483620" w:rsidRPr="005240A3">
        <w:rPr>
          <w:lang w:val="en-US"/>
        </w:rPr>
        <w:t xml:space="preserve">, J., </w:t>
      </w:r>
      <w:r w:rsidRPr="005240A3">
        <w:rPr>
          <w:lang w:val="en-US"/>
        </w:rPr>
        <w:t>2021</w:t>
      </w:r>
      <w:r w:rsidR="00483620" w:rsidRPr="005240A3">
        <w:rPr>
          <w:lang w:val="en-US"/>
        </w:rPr>
        <w:t>,</w:t>
      </w:r>
      <w:r w:rsidRPr="005240A3">
        <w:rPr>
          <w:lang w:val="en-US"/>
        </w:rPr>
        <w:t xml:space="preserve"> </w:t>
      </w:r>
      <w:r w:rsidR="00483620" w:rsidRPr="005240A3">
        <w:rPr>
          <w:lang w:val="en-US"/>
        </w:rPr>
        <w:t xml:space="preserve">Evaluation of diets with different proportions of insect meal to increase productivity in hatchlings of black iguanas </w:t>
      </w:r>
      <w:r w:rsidRPr="005240A3">
        <w:rPr>
          <w:lang w:val="en-US"/>
        </w:rPr>
        <w:t>(Ctenosaura pectinata), T</w:t>
      </w:r>
      <w:r w:rsidR="00483620" w:rsidRPr="005240A3">
        <w:rPr>
          <w:lang w:val="en-US"/>
        </w:rPr>
        <w:t>hesis of Magister</w:t>
      </w:r>
      <w:r w:rsidRPr="005240A3">
        <w:rPr>
          <w:lang w:val="en-US"/>
        </w:rPr>
        <w:t xml:space="preserve">, </w:t>
      </w:r>
      <w:r w:rsidR="00483620" w:rsidRPr="005240A3">
        <w:rPr>
          <w:lang w:val="en-US"/>
        </w:rPr>
        <w:t>University of the Sea, Oxaca, Méx</w:t>
      </w:r>
      <w:r w:rsidRPr="005240A3">
        <w:rPr>
          <w:lang w:val="en-US"/>
        </w:rPr>
        <w:t xml:space="preserve">ico. </w:t>
      </w:r>
    </w:p>
    <w:p w14:paraId="0D1B0BBB" w14:textId="76E9A050" w:rsidR="00973410" w:rsidRPr="005240A3" w:rsidRDefault="00973410" w:rsidP="00E07E65">
      <w:pPr>
        <w:pStyle w:val="CETReferencetext"/>
        <w:rPr>
          <w:lang w:val="en-US"/>
        </w:rPr>
      </w:pPr>
      <w:r w:rsidRPr="005240A3">
        <w:rPr>
          <w:lang w:val="en-US"/>
        </w:rPr>
        <w:t>Barroso T., Castañeda-Olivera C, Benites-Alfaro E., 2022, Carya illinoinensis Husk Biomass Pellets as a Bioenergy Source in a Circular Economy Context, CET Journal, 92, DOI: 10.3303/CET2292062</w:t>
      </w:r>
    </w:p>
    <w:p w14:paraId="1BD797EA" w14:textId="3FAEF80C" w:rsidR="00652666" w:rsidRPr="005240A3" w:rsidRDefault="00DE4DB6" w:rsidP="00E07E65">
      <w:pPr>
        <w:pStyle w:val="CETReferencetext"/>
        <w:rPr>
          <w:lang w:val="en-US"/>
        </w:rPr>
      </w:pPr>
      <w:r w:rsidRPr="005240A3">
        <w:rPr>
          <w:lang w:val="en-US"/>
        </w:rPr>
        <w:t>Booth DT and Kiddell K., 2007</w:t>
      </w:r>
      <w:r w:rsidR="00652666" w:rsidRPr="005240A3">
        <w:rPr>
          <w:lang w:val="en-US"/>
        </w:rPr>
        <w:t>, Temperature and the energetics of development in the house cricket (Acheta domesticus). J Insect Physiol. 2007 Sep;</w:t>
      </w:r>
      <w:r w:rsidR="009821C8">
        <w:rPr>
          <w:lang w:val="en-US"/>
        </w:rPr>
        <w:t xml:space="preserve"> </w:t>
      </w:r>
      <w:r w:rsidR="00652666" w:rsidRPr="005240A3">
        <w:rPr>
          <w:lang w:val="en-US"/>
        </w:rPr>
        <w:t>53(9):950-3. doi: 10.1016/j.jinsphys.2007.03.009</w:t>
      </w:r>
    </w:p>
    <w:p w14:paraId="1EEB713B" w14:textId="2E90C1B7" w:rsidR="00467DBB" w:rsidRPr="005240A3" w:rsidRDefault="00B7498B" w:rsidP="00E07E65">
      <w:pPr>
        <w:pStyle w:val="CETReferencetext"/>
        <w:rPr>
          <w:lang w:val="en-US"/>
        </w:rPr>
      </w:pPr>
      <w:r w:rsidRPr="005240A3">
        <w:rPr>
          <w:lang w:val="en-US"/>
        </w:rPr>
        <w:t>Calderón Y., Ordan</w:t>
      </w:r>
      <w:r w:rsidR="00DE4DB6" w:rsidRPr="005240A3">
        <w:rPr>
          <w:lang w:val="en-US"/>
        </w:rPr>
        <w:t xml:space="preserve"> Y., </w:t>
      </w:r>
      <w:r w:rsidR="00467DBB" w:rsidRPr="005240A3">
        <w:rPr>
          <w:lang w:val="en-US"/>
        </w:rPr>
        <w:t xml:space="preserve">Vega, J., </w:t>
      </w:r>
      <w:r w:rsidR="00DE4DB6" w:rsidRPr="005240A3">
        <w:rPr>
          <w:lang w:val="en-US"/>
        </w:rPr>
        <w:t xml:space="preserve">2021, </w:t>
      </w:r>
      <w:r w:rsidR="00467DBB" w:rsidRPr="005240A3">
        <w:rPr>
          <w:lang w:val="en-US"/>
        </w:rPr>
        <w:t>Determination of the capacity of the Red Runner Cockroach (Shelfordella lateralis Walker, 1868) to degrade the solid organic food waste produced in the troop dining room No. 2 of the Infantry Battalion No. 15 "General Francisco De Paula Santander" of Ocaña-Norte of Santander.</w:t>
      </w:r>
      <w:r w:rsidR="00477177" w:rsidRPr="005240A3">
        <w:rPr>
          <w:lang w:val="en-US"/>
        </w:rPr>
        <w:t xml:space="preserve"> T</w:t>
      </w:r>
      <w:r w:rsidR="00DE4DB6" w:rsidRPr="005240A3">
        <w:rPr>
          <w:lang w:val="en-US"/>
        </w:rPr>
        <w:t>h</w:t>
      </w:r>
      <w:r w:rsidR="00477177" w:rsidRPr="005240A3">
        <w:rPr>
          <w:lang w:val="en-US"/>
        </w:rPr>
        <w:t>esis</w:t>
      </w:r>
      <w:r w:rsidR="00DE4DB6" w:rsidRPr="005240A3">
        <w:rPr>
          <w:lang w:val="en-US"/>
        </w:rPr>
        <w:t xml:space="preserve">, </w:t>
      </w:r>
      <w:r w:rsidR="00477177" w:rsidRPr="005240A3">
        <w:rPr>
          <w:lang w:val="en-US"/>
        </w:rPr>
        <w:t>San Francisco de Paula Santander Ocaña</w:t>
      </w:r>
      <w:r w:rsidR="00DE4DB6" w:rsidRPr="005240A3">
        <w:rPr>
          <w:lang w:val="en-US"/>
        </w:rPr>
        <w:t xml:space="preserve"> University, Colombia.</w:t>
      </w:r>
    </w:p>
    <w:p w14:paraId="4963B714" w14:textId="710BB260" w:rsidR="00467DBB" w:rsidRPr="005240A3" w:rsidRDefault="00467DBB" w:rsidP="00E07E65">
      <w:pPr>
        <w:pStyle w:val="CETReferencetext"/>
        <w:rPr>
          <w:lang w:val="en-US"/>
        </w:rPr>
      </w:pPr>
      <w:r w:rsidRPr="005240A3">
        <w:rPr>
          <w:lang w:val="en-US"/>
        </w:rPr>
        <w:t>Codina R., 2018</w:t>
      </w:r>
      <w:r w:rsidR="00583299" w:rsidRPr="005240A3">
        <w:rPr>
          <w:lang w:val="en-US"/>
        </w:rPr>
        <w:t>,</w:t>
      </w:r>
      <w:r w:rsidRPr="005240A3">
        <w:rPr>
          <w:lang w:val="en-US"/>
        </w:rPr>
        <w:t xml:space="preserve"> </w:t>
      </w:r>
      <w:r w:rsidR="00A24661" w:rsidRPr="005240A3">
        <w:rPr>
          <w:lang w:val="en-US"/>
        </w:rPr>
        <w:t>Solid waste in rural areas. Magazine of the Faculty of Agricultural Sciences, National University of Cuyo, Argentina, Volume XXXI, W</w:t>
      </w:r>
      <w:r w:rsidR="00BD17FF" w:rsidRPr="005240A3">
        <w:rPr>
          <w:lang w:val="en-US"/>
        </w:rPr>
        <w:t>2, &lt;</w:t>
      </w:r>
      <w:r w:rsidR="00652666" w:rsidRPr="005240A3">
        <w:rPr>
          <w:lang w:val="en-US"/>
        </w:rPr>
        <w:t>bdigital.uncu.edu.ar/objetos_digitales/11107/6-residuos-slidos-en-reas-rurales-ramn-codina.pdf</w:t>
      </w:r>
      <w:r w:rsidR="00A24661" w:rsidRPr="005240A3">
        <w:rPr>
          <w:lang w:val="en-US"/>
        </w:rPr>
        <w:t>&gt;.</w:t>
      </w:r>
    </w:p>
    <w:p w14:paraId="11736185" w14:textId="6906A9DA" w:rsidR="00467DBB" w:rsidRPr="005240A3" w:rsidRDefault="00620A7B" w:rsidP="00E07E65">
      <w:pPr>
        <w:pStyle w:val="CETReferencetext"/>
        <w:rPr>
          <w:lang w:val="en-US"/>
        </w:rPr>
      </w:pPr>
      <w:r w:rsidRPr="005240A3">
        <w:rPr>
          <w:lang w:val="en-US"/>
        </w:rPr>
        <w:t>Chamaya</w:t>
      </w:r>
      <w:r w:rsidR="00467DBB" w:rsidRPr="005240A3">
        <w:rPr>
          <w:lang w:val="en-US"/>
        </w:rPr>
        <w:t xml:space="preserve"> L., 2019</w:t>
      </w:r>
      <w:r w:rsidRPr="005240A3">
        <w:rPr>
          <w:lang w:val="en-US"/>
        </w:rPr>
        <w:t xml:space="preserve">, </w:t>
      </w:r>
      <w:r w:rsidR="007B4C97" w:rsidRPr="005240A3">
        <w:rPr>
          <w:lang w:val="en-US"/>
        </w:rPr>
        <w:t xml:space="preserve">Community management of solid waste in the Mayascóng populated center of the district of </w:t>
      </w:r>
      <w:r w:rsidRPr="005240A3">
        <w:rPr>
          <w:lang w:val="en-US"/>
        </w:rPr>
        <w:t>pítipo Ferreñafe, T</w:t>
      </w:r>
      <w:r w:rsidR="007B4C97" w:rsidRPr="005240A3">
        <w:rPr>
          <w:lang w:val="en-US"/>
        </w:rPr>
        <w:t>h</w:t>
      </w:r>
      <w:r w:rsidR="009821C8">
        <w:rPr>
          <w:lang w:val="en-US"/>
        </w:rPr>
        <w:t>esis</w:t>
      </w:r>
      <w:r w:rsidRPr="005240A3">
        <w:rPr>
          <w:lang w:val="en-US"/>
        </w:rPr>
        <w:t xml:space="preserve">, Universidad Católica Santo Toribio de Mogrovejo, Chiclayo, Perú. </w:t>
      </w:r>
    </w:p>
    <w:p w14:paraId="136A78BC" w14:textId="1F637924" w:rsidR="00652666" w:rsidRPr="005240A3" w:rsidRDefault="00652666" w:rsidP="00E07E65">
      <w:pPr>
        <w:pStyle w:val="CETReferencetext"/>
        <w:rPr>
          <w:lang w:val="en-US"/>
        </w:rPr>
      </w:pPr>
      <w:r w:rsidRPr="0033021C">
        <w:rPr>
          <w:lang w:val="pt-BR"/>
        </w:rPr>
        <w:t>Cruz D</w:t>
      </w:r>
      <w:r w:rsidR="00B7498B" w:rsidRPr="0033021C">
        <w:rPr>
          <w:lang w:val="pt-BR"/>
        </w:rPr>
        <w:t>.,</w:t>
      </w:r>
      <w:r w:rsidRPr="0033021C">
        <w:rPr>
          <w:lang w:val="pt-BR"/>
        </w:rPr>
        <w:t xml:space="preserve"> Arévalo H</w:t>
      </w:r>
      <w:r w:rsidR="00B7498B" w:rsidRPr="0033021C">
        <w:rPr>
          <w:lang w:val="pt-BR"/>
        </w:rPr>
        <w:t>.</w:t>
      </w:r>
      <w:r w:rsidRPr="0033021C">
        <w:rPr>
          <w:lang w:val="pt-BR"/>
        </w:rPr>
        <w:t xml:space="preserve">, 2021, Artrópodos. </w:t>
      </w:r>
      <w:r w:rsidR="00B7498B" w:rsidRPr="005240A3">
        <w:rPr>
          <w:lang w:val="en-US"/>
        </w:rPr>
        <w:t>Sustainably producing crickets, La Sábana University</w:t>
      </w:r>
      <w:r w:rsidRPr="005240A3">
        <w:rPr>
          <w:lang w:val="en-US"/>
        </w:rPr>
        <w:t xml:space="preserve">; MinCiencias, ArthroFood S.A.S., </w:t>
      </w:r>
      <w:r w:rsidR="00B7498B" w:rsidRPr="005240A3">
        <w:rPr>
          <w:lang w:val="en-US"/>
        </w:rPr>
        <w:t>Governorate of Cundinamarca</w:t>
      </w:r>
      <w:r w:rsidRPr="005240A3">
        <w:rPr>
          <w:lang w:val="en-US"/>
        </w:rPr>
        <w:t xml:space="preserve">. </w:t>
      </w:r>
      <w:r w:rsidR="00B7498B" w:rsidRPr="005240A3">
        <w:rPr>
          <w:lang w:val="en-US"/>
        </w:rPr>
        <w:t>DOI: 10.5294/978-958-12-0594-3.</w:t>
      </w:r>
    </w:p>
    <w:p w14:paraId="27B762A1" w14:textId="77777777" w:rsidR="000873F8" w:rsidRPr="005240A3" w:rsidRDefault="00483620" w:rsidP="00E07E65">
      <w:pPr>
        <w:pStyle w:val="CETReferencetext"/>
        <w:rPr>
          <w:lang w:val="en-US"/>
        </w:rPr>
      </w:pPr>
      <w:r w:rsidRPr="005240A3">
        <w:rPr>
          <w:lang w:val="en-US"/>
        </w:rPr>
        <w:t>Espinoza</w:t>
      </w:r>
      <w:r w:rsidR="00467DBB" w:rsidRPr="005240A3">
        <w:rPr>
          <w:lang w:val="en-US"/>
        </w:rPr>
        <w:t xml:space="preserve"> A</w:t>
      </w:r>
      <w:r w:rsidRPr="005240A3">
        <w:rPr>
          <w:lang w:val="en-US"/>
        </w:rPr>
        <w:t>.</w:t>
      </w:r>
      <w:r w:rsidR="00467DBB" w:rsidRPr="005240A3">
        <w:rPr>
          <w:lang w:val="en-US"/>
        </w:rPr>
        <w:t xml:space="preserve"> y Zambrano, L.,</w:t>
      </w:r>
      <w:r w:rsidRPr="005240A3">
        <w:rPr>
          <w:lang w:val="en-US"/>
        </w:rPr>
        <w:t xml:space="preserve"> 2020,</w:t>
      </w:r>
      <w:r w:rsidR="00467DBB" w:rsidRPr="005240A3">
        <w:rPr>
          <w:lang w:val="en-US"/>
        </w:rPr>
        <w:t xml:space="preserve"> </w:t>
      </w:r>
      <w:r w:rsidRPr="005240A3">
        <w:rPr>
          <w:lang w:val="en-US"/>
        </w:rPr>
        <w:t>Evaluation in Mesocosms of the decomposition of Domestic Solid Waste by American cockroaches Periplaneta americana (linnaeus, 1758) in the Ecuadorian Amazon, Thesis, Amazon State University.</w:t>
      </w:r>
      <w:r w:rsidR="000873F8" w:rsidRPr="005240A3">
        <w:rPr>
          <w:lang w:val="en-US"/>
        </w:rPr>
        <w:t xml:space="preserve"> </w:t>
      </w:r>
    </w:p>
    <w:p w14:paraId="2BC00C6D" w14:textId="6A176F64" w:rsidR="00467DBB" w:rsidRPr="005240A3" w:rsidRDefault="00467DBB" w:rsidP="00E07E65">
      <w:pPr>
        <w:pStyle w:val="CETReferencetext"/>
        <w:rPr>
          <w:lang w:val="en-US"/>
        </w:rPr>
      </w:pPr>
      <w:r w:rsidRPr="005240A3">
        <w:rPr>
          <w:lang w:val="en-US"/>
        </w:rPr>
        <w:t>Jesus</w:t>
      </w:r>
      <w:r w:rsidR="00DE4DB6" w:rsidRPr="005240A3">
        <w:rPr>
          <w:lang w:val="en-US"/>
        </w:rPr>
        <w:t xml:space="preserve"> </w:t>
      </w:r>
      <w:r w:rsidRPr="005240A3">
        <w:rPr>
          <w:lang w:val="en-US"/>
        </w:rPr>
        <w:t xml:space="preserve">J., </w:t>
      </w:r>
      <w:r w:rsidR="00DE4DB6" w:rsidRPr="005240A3">
        <w:rPr>
          <w:lang w:val="en-US"/>
        </w:rPr>
        <w:t>2020, Breeding of cockroaches (periplaneta americana) through kitchen waste to reduce the accumulation of organic solid waste in the city of Huánuco 2019,</w:t>
      </w:r>
      <w:r w:rsidR="00483620" w:rsidRPr="005240A3">
        <w:rPr>
          <w:lang w:val="en-US"/>
        </w:rPr>
        <w:t xml:space="preserve"> Thesis, Huanuco University, Perú.</w:t>
      </w:r>
    </w:p>
    <w:p w14:paraId="01A96CCC" w14:textId="5C78308F" w:rsidR="00467DBB" w:rsidRPr="005240A3" w:rsidRDefault="00583299" w:rsidP="00E07E65">
      <w:pPr>
        <w:pStyle w:val="CETReferencetext"/>
        <w:rPr>
          <w:lang w:val="en-US"/>
        </w:rPr>
      </w:pPr>
      <w:r w:rsidRPr="005240A3">
        <w:rPr>
          <w:lang w:val="en-US"/>
        </w:rPr>
        <w:t>Kawai</w:t>
      </w:r>
      <w:r w:rsidR="00467DBB" w:rsidRPr="005240A3">
        <w:rPr>
          <w:lang w:val="en-US"/>
        </w:rPr>
        <w:t xml:space="preserve"> K., </w:t>
      </w:r>
      <w:r w:rsidRPr="005240A3">
        <w:rPr>
          <w:lang w:val="en-US"/>
        </w:rPr>
        <w:t>and Tasaki</w:t>
      </w:r>
      <w:r w:rsidR="00467DBB" w:rsidRPr="005240A3">
        <w:rPr>
          <w:lang w:val="en-US"/>
        </w:rPr>
        <w:t xml:space="preserve"> T. (2016). Revisiting estimates of municipal solid waste generation per capita and their reliability. Journal of Material Cycles and Waste Management, 18(1), 1–13. </w:t>
      </w:r>
    </w:p>
    <w:p w14:paraId="5BBF6E41" w14:textId="394833C7" w:rsidR="00467DBB" w:rsidRPr="005240A3" w:rsidRDefault="00583299" w:rsidP="00E07E65">
      <w:pPr>
        <w:pStyle w:val="CETReferencetext"/>
        <w:rPr>
          <w:lang w:val="en-US"/>
        </w:rPr>
      </w:pPr>
      <w:r w:rsidRPr="005240A3">
        <w:rPr>
          <w:lang w:val="en-US"/>
        </w:rPr>
        <w:t>Kaza S., Yao L., Bhada</w:t>
      </w:r>
      <w:r w:rsidR="00467DBB" w:rsidRPr="005240A3">
        <w:rPr>
          <w:lang w:val="en-US"/>
        </w:rPr>
        <w:t xml:space="preserve"> P. y Van, F., 2018, </w:t>
      </w:r>
      <w:r w:rsidR="001D5D25" w:rsidRPr="005240A3">
        <w:rPr>
          <w:rStyle w:val="italic"/>
          <w:lang w:val="en-US"/>
        </w:rPr>
        <w:t>What a Waste 2.0</w:t>
      </w:r>
      <w:r w:rsidR="00467DBB" w:rsidRPr="005240A3">
        <w:rPr>
          <w:rStyle w:val="italic"/>
          <w:lang w:val="en-US"/>
        </w:rPr>
        <w:t>: A Global Snapshot of Solid Waste Management to 2050</w:t>
      </w:r>
      <w:r w:rsidR="00467DBB" w:rsidRPr="005240A3">
        <w:rPr>
          <w:lang w:val="en-US"/>
        </w:rPr>
        <w:t>. Urban Development; Washington, DC: World Bank.</w:t>
      </w:r>
      <w:r w:rsidR="00B7498B" w:rsidRPr="005240A3">
        <w:rPr>
          <w:lang w:val="en-US"/>
        </w:rPr>
        <w:t xml:space="preserve"> &lt;</w:t>
      </w:r>
      <w:r w:rsidR="00634708" w:rsidRPr="005240A3">
        <w:rPr>
          <w:lang w:val="en-US"/>
        </w:rPr>
        <w:t>hdl.handle.net/10986/30317</w:t>
      </w:r>
      <w:r w:rsidR="00B7498B" w:rsidRPr="005240A3">
        <w:rPr>
          <w:lang w:val="en-US"/>
        </w:rPr>
        <w:t>&gt;</w:t>
      </w:r>
    </w:p>
    <w:p w14:paraId="6FCFFCA9" w14:textId="61259E23" w:rsidR="00973410" w:rsidRPr="005240A3" w:rsidRDefault="00973410" w:rsidP="00E07E65">
      <w:pPr>
        <w:pStyle w:val="CETReferencetext"/>
        <w:rPr>
          <w:lang w:val="en-US"/>
        </w:rPr>
      </w:pPr>
      <w:r w:rsidRPr="005240A3">
        <w:rPr>
          <w:lang w:val="en-US"/>
        </w:rPr>
        <w:t>Loyola I., Ochoa J., Castañeda-Olivera C., Ordoñez J., Benites-Alfaro E., 2022, Biochar from Residual Lignocellulosic Biomass for the Cultivation of Prosopis Limensis Biochar from Residual Lignocellulosic, CET Journal, 925, 223-</w:t>
      </w:r>
      <w:r w:rsidR="00BD17FF" w:rsidRPr="005240A3">
        <w:rPr>
          <w:lang w:val="en-US"/>
        </w:rPr>
        <w:t>228, DOI</w:t>
      </w:r>
      <w:r w:rsidRPr="005240A3">
        <w:rPr>
          <w:lang w:val="en-US"/>
        </w:rPr>
        <w:t>: 10.3303/CET2292038</w:t>
      </w:r>
    </w:p>
    <w:p w14:paraId="3BD05D52" w14:textId="774ADF2F" w:rsidR="00467DBB" w:rsidRPr="005240A3" w:rsidRDefault="00467DBB" w:rsidP="00E07E65">
      <w:pPr>
        <w:pStyle w:val="CETReferencetext"/>
        <w:rPr>
          <w:lang w:val="en-US"/>
        </w:rPr>
      </w:pPr>
      <w:r w:rsidRPr="005240A3">
        <w:rPr>
          <w:lang w:val="en-US"/>
        </w:rPr>
        <w:t>MINAM,</w:t>
      </w:r>
      <w:r w:rsidR="00317821" w:rsidRPr="005240A3">
        <w:rPr>
          <w:lang w:val="en-US"/>
        </w:rPr>
        <w:t xml:space="preserve"> 2020,</w:t>
      </w:r>
      <w:r w:rsidRPr="005240A3">
        <w:rPr>
          <w:lang w:val="en-US"/>
        </w:rPr>
        <w:t xml:space="preserve"> </w:t>
      </w:r>
      <w:r w:rsidR="00F77245" w:rsidRPr="005240A3">
        <w:rPr>
          <w:lang w:val="en-US"/>
        </w:rPr>
        <w:t>around</w:t>
      </w:r>
      <w:r w:rsidR="00583299" w:rsidRPr="005240A3">
        <w:rPr>
          <w:lang w:val="en-US"/>
        </w:rPr>
        <w:t xml:space="preserve"> 93 thousand tons of solid waste were valued in 2020 nationwide, Press Release</w:t>
      </w:r>
      <w:r w:rsidR="00317821" w:rsidRPr="005240A3">
        <w:rPr>
          <w:lang w:val="en-US"/>
        </w:rPr>
        <w:t>, &lt;</w:t>
      </w:r>
      <w:r w:rsidR="00C904B0" w:rsidRPr="005240A3">
        <w:rPr>
          <w:lang w:val="en-US"/>
        </w:rPr>
        <w:t>institucion/minam/noticias/487809</w:t>
      </w:r>
      <w:r w:rsidR="00317821" w:rsidRPr="005240A3">
        <w:rPr>
          <w:lang w:val="en-US"/>
        </w:rPr>
        <w:t>&gt;, accessed 23.01.2023.</w:t>
      </w:r>
    </w:p>
    <w:p w14:paraId="5C8CB03A" w14:textId="0DABA087" w:rsidR="00467DBB" w:rsidRPr="005240A3" w:rsidRDefault="00467DBB" w:rsidP="00E07E65">
      <w:pPr>
        <w:pStyle w:val="CETReferencetext"/>
        <w:rPr>
          <w:lang w:val="en-US"/>
        </w:rPr>
      </w:pPr>
      <w:r w:rsidRPr="005240A3">
        <w:rPr>
          <w:lang w:val="en-US"/>
        </w:rPr>
        <w:t>OEFA,</w:t>
      </w:r>
      <w:r w:rsidR="00317821" w:rsidRPr="005240A3">
        <w:rPr>
          <w:lang w:val="en-US"/>
        </w:rPr>
        <w:t xml:space="preserve"> 18, </w:t>
      </w:r>
      <w:r w:rsidRPr="005240A3">
        <w:rPr>
          <w:lang w:val="en-US"/>
        </w:rPr>
        <w:t xml:space="preserve">Identifica 1585 botaderos informales a nivel nacional. 2018. </w:t>
      </w:r>
      <w:r w:rsidR="00583299" w:rsidRPr="005240A3">
        <w:rPr>
          <w:lang w:val="en-US"/>
        </w:rPr>
        <w:t>&lt;</w:t>
      </w:r>
      <w:r w:rsidR="00C904B0" w:rsidRPr="005240A3">
        <w:rPr>
          <w:lang w:val="en-US"/>
        </w:rPr>
        <w:t>oefa.gob.pe/oefa-identifica-1585-botaderos-informales-nivel-nacional/ocac07/</w:t>
      </w:r>
      <w:r w:rsidR="00583299" w:rsidRPr="005240A3">
        <w:rPr>
          <w:lang w:val="en-US"/>
        </w:rPr>
        <w:t xml:space="preserve">&gt;, accessed 15.03.2022. </w:t>
      </w:r>
    </w:p>
    <w:p w14:paraId="1C519609" w14:textId="2C849F8D" w:rsidR="00467DBB" w:rsidRDefault="00BB6E2B" w:rsidP="00E07E65">
      <w:pPr>
        <w:pStyle w:val="CETReferencetext"/>
        <w:rPr>
          <w:lang w:val="en-US"/>
        </w:rPr>
      </w:pPr>
      <w:r>
        <w:rPr>
          <w:lang w:val="en-US"/>
        </w:rPr>
        <w:t>Pérez R.</w:t>
      </w:r>
      <w:r w:rsidR="006679BB">
        <w:rPr>
          <w:lang w:val="en-US"/>
        </w:rPr>
        <w:t xml:space="preserve"> </w:t>
      </w:r>
      <w:r>
        <w:rPr>
          <w:lang w:val="en-US"/>
        </w:rPr>
        <w:t>and</w:t>
      </w:r>
      <w:r w:rsidR="00DE4DB6" w:rsidRPr="005240A3">
        <w:rPr>
          <w:lang w:val="en-US"/>
        </w:rPr>
        <w:t xml:space="preserve"> Rodas</w:t>
      </w:r>
      <w:r w:rsidR="00467DBB" w:rsidRPr="005240A3">
        <w:rPr>
          <w:lang w:val="en-US"/>
        </w:rPr>
        <w:t xml:space="preserve"> R.,</w:t>
      </w:r>
      <w:r w:rsidR="00DE4DB6" w:rsidRPr="005240A3">
        <w:rPr>
          <w:lang w:val="en-US"/>
        </w:rPr>
        <w:t xml:space="preserve"> 2015, </w:t>
      </w:r>
      <w:r w:rsidR="00D4547B" w:rsidRPr="00D4547B">
        <w:rPr>
          <w:lang w:val="en-US"/>
        </w:rPr>
        <w:t>Elaboration and characterization of flours for human consumption from American achetas domesticus and periplanetas.</w:t>
      </w:r>
      <w:r w:rsidR="00C904B0" w:rsidRPr="005240A3">
        <w:rPr>
          <w:lang w:val="en-US"/>
        </w:rPr>
        <w:t xml:space="preserve"> </w:t>
      </w:r>
      <w:r w:rsidR="00467DBB" w:rsidRPr="005240A3">
        <w:rPr>
          <w:lang w:val="en-US"/>
        </w:rPr>
        <w:t>2015.</w:t>
      </w:r>
      <w:r w:rsidR="00DE4DB6" w:rsidRPr="005240A3">
        <w:rPr>
          <w:lang w:val="en-US"/>
        </w:rPr>
        <w:t xml:space="preserve"> Thesis, </w:t>
      </w:r>
      <w:r w:rsidR="00483620" w:rsidRPr="005240A3">
        <w:rPr>
          <w:lang w:val="en-US"/>
        </w:rPr>
        <w:t>National university of Trujillo</w:t>
      </w:r>
      <w:r>
        <w:rPr>
          <w:lang w:val="en-US"/>
        </w:rPr>
        <w:t>, Perú, (in Spanish).</w:t>
      </w:r>
    </w:p>
    <w:p w14:paraId="4D6635B7" w14:textId="209E9D3F" w:rsidR="00D4547B" w:rsidRPr="005240A3" w:rsidRDefault="00D4547B" w:rsidP="00E07E65">
      <w:pPr>
        <w:pStyle w:val="CETReferencetext"/>
        <w:rPr>
          <w:lang w:val="en-US"/>
        </w:rPr>
      </w:pPr>
      <w:r w:rsidRPr="00D4547B">
        <w:rPr>
          <w:lang w:val="en-US"/>
        </w:rPr>
        <w:t>Sierra O. J. A., Rengifo J. C., Londoño S. L., Muñoz A. F. O., Galindez J. A. O.,2020, Evaluation of three types of diet during the fattening stage of the common cricket. (Gryllus assimilis L.), Revista Colombiana de Investigaciones Agroindustriales, 7(1), 69-74</w:t>
      </w:r>
      <w:r>
        <w:rPr>
          <w:lang w:val="en-US"/>
        </w:rPr>
        <w:t xml:space="preserve"> (in Spanish).</w:t>
      </w:r>
    </w:p>
    <w:p w14:paraId="089268FC" w14:textId="62BF43D3" w:rsidR="00652666" w:rsidRPr="005240A3" w:rsidRDefault="00652666" w:rsidP="00E07E65">
      <w:pPr>
        <w:pStyle w:val="CETReferencetext"/>
        <w:rPr>
          <w:lang w:val="en-US"/>
        </w:rPr>
      </w:pPr>
      <w:r w:rsidRPr="005240A3">
        <w:rPr>
          <w:lang w:val="en-US"/>
        </w:rPr>
        <w:t xml:space="preserve">Soares </w:t>
      </w:r>
      <w:r w:rsidR="001D5D25" w:rsidRPr="005240A3">
        <w:rPr>
          <w:lang w:val="en-US"/>
        </w:rPr>
        <w:tab/>
        <w:t xml:space="preserve">R., </w:t>
      </w:r>
      <w:r w:rsidRPr="005240A3">
        <w:rPr>
          <w:lang w:val="en-US"/>
        </w:rPr>
        <w:t>Ribeiro dos Santos</w:t>
      </w:r>
      <w:r w:rsidR="001D5D25" w:rsidRPr="005240A3">
        <w:rPr>
          <w:lang w:val="en-US"/>
        </w:rPr>
        <w:t xml:space="preserve"> a., </w:t>
      </w:r>
      <w:r w:rsidRPr="005240A3">
        <w:rPr>
          <w:lang w:val="en-US"/>
        </w:rPr>
        <w:t>Ferraz</w:t>
      </w:r>
      <w:r w:rsidR="001D5D25" w:rsidRPr="005240A3">
        <w:rPr>
          <w:lang w:val="en-US"/>
        </w:rPr>
        <w:t xml:space="preserve"> V., </w:t>
      </w:r>
      <w:r w:rsidRPr="005240A3">
        <w:rPr>
          <w:lang w:val="en-US"/>
        </w:rPr>
        <w:t>Moreira</w:t>
      </w:r>
      <w:r w:rsidR="001D5D25" w:rsidRPr="005240A3">
        <w:rPr>
          <w:lang w:val="en-US"/>
        </w:rPr>
        <w:t xml:space="preserve"> E.,</w:t>
      </w:r>
      <w:r w:rsidRPr="005240A3">
        <w:rPr>
          <w:lang w:val="en-US"/>
        </w:rPr>
        <w:t xml:space="preserve"> 2019, Nutritional composition of insects Gryllus assimilis and Zophobas morio: Potential foods harvested in Brazil, Journal of Food Composition and Analysis, Volume 76, 2019, Pages 22-26.</w:t>
      </w:r>
    </w:p>
    <w:p w14:paraId="333C95C5" w14:textId="02E764FE" w:rsidR="00C904B0" w:rsidRPr="0033021C" w:rsidRDefault="007B4C97" w:rsidP="00E07E65">
      <w:pPr>
        <w:pStyle w:val="CETReferencetext"/>
        <w:rPr>
          <w:lang w:val="es-PE"/>
        </w:rPr>
      </w:pPr>
      <w:r w:rsidRPr="005240A3">
        <w:rPr>
          <w:lang w:val="en-US"/>
        </w:rPr>
        <w:t xml:space="preserve">MINAM, </w:t>
      </w:r>
      <w:r w:rsidR="00467DBB" w:rsidRPr="005240A3">
        <w:rPr>
          <w:lang w:val="en-US"/>
        </w:rPr>
        <w:t xml:space="preserve">SIGERSOL, 2020, </w:t>
      </w:r>
      <w:r w:rsidRPr="005240A3">
        <w:rPr>
          <w:lang w:val="en-US"/>
        </w:rPr>
        <w:t xml:space="preserve">Consult per capita generation of municipal solid waste 2020. </w:t>
      </w:r>
      <w:r w:rsidRPr="0033021C">
        <w:rPr>
          <w:lang w:val="es-PE"/>
        </w:rPr>
        <w:t>Cusco, 2022, &lt;</w:t>
      </w:r>
      <w:r w:rsidR="00C904B0" w:rsidRPr="0033021C">
        <w:rPr>
          <w:lang w:val="es-PE"/>
        </w:rPr>
        <w:t>sistemas.minam.gob.pe/SigersolMunicipal/#/accesoLibre/</w:t>
      </w:r>
      <w:r w:rsidRPr="0033021C">
        <w:rPr>
          <w:lang w:val="es-PE"/>
        </w:rPr>
        <w:t>generación), accessed 15.12.2.2022.</w:t>
      </w:r>
    </w:p>
    <w:p w14:paraId="021A06D2" w14:textId="3F772CE0" w:rsidR="00470702" w:rsidRPr="005240A3" w:rsidRDefault="00470702" w:rsidP="00E07E65">
      <w:pPr>
        <w:pStyle w:val="CETReferencetext"/>
        <w:rPr>
          <w:lang w:val="en-US"/>
        </w:rPr>
      </w:pPr>
      <w:r w:rsidRPr="0033021C">
        <w:rPr>
          <w:lang w:val="es-PE"/>
        </w:rPr>
        <w:t xml:space="preserve">Morales G. E., and Wolff M. (2010). </w:t>
      </w:r>
      <w:r w:rsidRPr="00470702">
        <w:rPr>
          <w:lang w:val="en-US"/>
        </w:rPr>
        <w:t>Insects associated with the composting process of solid urban waste separated at the source. Revista Brasileira de Entomologia, 54, 645-653.</w:t>
      </w:r>
    </w:p>
    <w:p w14:paraId="6BA00732" w14:textId="276E2E71" w:rsidR="00EE6841" w:rsidRPr="005240A3" w:rsidRDefault="007B4C97" w:rsidP="00E07E65">
      <w:pPr>
        <w:pStyle w:val="CETReferencetext"/>
        <w:rPr>
          <w:lang w:val="en-US"/>
        </w:rPr>
      </w:pPr>
      <w:r w:rsidRPr="005240A3">
        <w:rPr>
          <w:lang w:val="en-US"/>
        </w:rPr>
        <w:t>Torres Y., Rojas A., Parejas M., Hinojosa¿</w:t>
      </w:r>
      <w:r w:rsidR="00467DBB" w:rsidRPr="005240A3">
        <w:rPr>
          <w:lang w:val="en-US"/>
        </w:rPr>
        <w:t xml:space="preserve"> R., 2021, Management of organic waste and provision of home biogardens, Millpo Ccachuana, Huancavelica, Perú. Revista Entorno N° 71.</w:t>
      </w:r>
      <w:r w:rsidR="00EE6841" w:rsidRPr="005240A3">
        <w:rPr>
          <w:lang w:val="en-US"/>
        </w:rPr>
        <w:t xml:space="preserve"> </w:t>
      </w:r>
    </w:p>
    <w:p w14:paraId="49549244" w14:textId="1A836759" w:rsidR="00EE6841" w:rsidRPr="0033021C" w:rsidRDefault="005240A3" w:rsidP="00E07E65">
      <w:pPr>
        <w:pStyle w:val="CETReferencetext"/>
        <w:rPr>
          <w:lang w:val="es-PE"/>
        </w:rPr>
      </w:pPr>
      <w:r>
        <w:rPr>
          <w:lang w:val="en-US"/>
        </w:rPr>
        <w:t>Vá</w:t>
      </w:r>
      <w:r w:rsidR="00583299" w:rsidRPr="005240A3">
        <w:rPr>
          <w:lang w:val="en-US"/>
        </w:rPr>
        <w:t>zquez I., Kahhat R., Gallego, G., Rodrígue</w:t>
      </w:r>
      <w:r w:rsidR="00467DBB" w:rsidRPr="005240A3">
        <w:rPr>
          <w:lang w:val="en-US"/>
        </w:rPr>
        <w:t xml:space="preserve">, K., 2019, </w:t>
      </w:r>
      <w:r w:rsidR="00467DBB" w:rsidRPr="005240A3">
        <w:rPr>
          <w:rStyle w:val="title-text"/>
          <w:lang w:val="en-US"/>
        </w:rPr>
        <w:t>Peru's road to climate action: Are we on the right path? The role of life cycle methods to improve</w:t>
      </w:r>
      <w:r w:rsidR="00583299" w:rsidRPr="005240A3">
        <w:rPr>
          <w:rStyle w:val="title-text"/>
          <w:lang w:val="en-US"/>
        </w:rPr>
        <w:t xml:space="preserve"> Peruvian national contribution,</w:t>
      </w:r>
      <w:r w:rsidR="00467DBB" w:rsidRPr="005240A3">
        <w:rPr>
          <w:rStyle w:val="title-text"/>
          <w:lang w:val="en-US"/>
        </w:rPr>
        <w:t xml:space="preserve"> 659,</w:t>
      </w:r>
      <w:r w:rsidR="00467DBB" w:rsidRPr="005240A3">
        <w:rPr>
          <w:lang w:val="en-US"/>
        </w:rPr>
        <w:t xml:space="preserve"> 249-266.</w:t>
      </w:r>
      <w:r w:rsidR="00EE6841" w:rsidRPr="005240A3">
        <w:rPr>
          <w:lang w:val="en-US"/>
        </w:rPr>
        <w:t xml:space="preserve"> </w:t>
      </w:r>
      <w:r w:rsidR="00EE6841" w:rsidRPr="0033021C">
        <w:rPr>
          <w:rStyle w:val="id-label"/>
          <w:lang w:val="es-PE"/>
        </w:rPr>
        <w:t>DOI: </w:t>
      </w:r>
      <w:r w:rsidR="00EE6841" w:rsidRPr="0033021C">
        <w:rPr>
          <w:lang w:val="es-PE"/>
        </w:rPr>
        <w:t>10.1016/j.scitotenv.2018.12.322</w:t>
      </w:r>
      <w:r w:rsidR="00583299" w:rsidRPr="0033021C">
        <w:rPr>
          <w:lang w:val="es-PE"/>
        </w:rPr>
        <w:t>.</w:t>
      </w:r>
    </w:p>
    <w:p w14:paraId="105DFCF7" w14:textId="4118AD8D" w:rsidR="00467DBB" w:rsidRPr="0033021C" w:rsidRDefault="00B7498B" w:rsidP="00E07E65">
      <w:pPr>
        <w:pStyle w:val="CETReferencetext"/>
        <w:rPr>
          <w:lang w:val="es-PE"/>
        </w:rPr>
      </w:pPr>
      <w:r w:rsidRPr="0033021C">
        <w:rPr>
          <w:lang w:val="es-PE"/>
        </w:rPr>
        <w:t>Vilca</w:t>
      </w:r>
      <w:r w:rsidR="00467DBB" w:rsidRPr="0033021C">
        <w:rPr>
          <w:lang w:val="es-PE"/>
        </w:rPr>
        <w:t xml:space="preserve"> C.,</w:t>
      </w:r>
      <w:r w:rsidRPr="0033021C">
        <w:rPr>
          <w:lang w:val="es-PE"/>
        </w:rPr>
        <w:t xml:space="preserve"> 2019,</w:t>
      </w:r>
      <w:r w:rsidR="00467DBB" w:rsidRPr="0033021C">
        <w:rPr>
          <w:lang w:val="es-PE"/>
        </w:rPr>
        <w:t xml:space="preserve"> Periplaneta americana y la minimización de los residuos sólidos orgánicos en el distrito de Pucusana, 2019, </w:t>
      </w:r>
      <w:r w:rsidRPr="0033021C">
        <w:rPr>
          <w:lang w:val="es-PE"/>
        </w:rPr>
        <w:t>Thesis, César Vallejo University, &lt;</w:t>
      </w:r>
      <w:r w:rsidR="00EE6841" w:rsidRPr="0033021C">
        <w:rPr>
          <w:lang w:val="es-PE"/>
        </w:rPr>
        <w:t>hdl.handle.net/20.500.12692/35790</w:t>
      </w:r>
      <w:r w:rsidRPr="0033021C">
        <w:rPr>
          <w:lang w:val="es-PE"/>
        </w:rPr>
        <w:t>&gt;, accessed 15.12.2022.</w:t>
      </w:r>
    </w:p>
    <w:sectPr w:rsidR="00467DBB" w:rsidRPr="0033021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EB379" w14:textId="77777777" w:rsidR="00B35818" w:rsidRDefault="00B35818" w:rsidP="004F5E36">
      <w:r>
        <w:separator/>
      </w:r>
    </w:p>
  </w:endnote>
  <w:endnote w:type="continuationSeparator" w:id="0">
    <w:p w14:paraId="3A5C59F5" w14:textId="77777777" w:rsidR="00B35818" w:rsidRDefault="00B3581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0C4A" w14:textId="77777777" w:rsidR="00B35818" w:rsidRDefault="00B35818" w:rsidP="004F5E36">
      <w:r>
        <w:separator/>
      </w:r>
    </w:p>
  </w:footnote>
  <w:footnote w:type="continuationSeparator" w:id="0">
    <w:p w14:paraId="437A01D7" w14:textId="77777777" w:rsidR="00B35818" w:rsidRDefault="00B3581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40A02A9"/>
    <w:multiLevelType w:val="hybridMultilevel"/>
    <w:tmpl w:val="C832C362"/>
    <w:lvl w:ilvl="0" w:tplc="477A6F2E">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ED7AEB2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552"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F523106"/>
    <w:multiLevelType w:val="multilevel"/>
    <w:tmpl w:val="D11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E4E0D"/>
    <w:multiLevelType w:val="hybridMultilevel"/>
    <w:tmpl w:val="2CF4162A"/>
    <w:lvl w:ilvl="0" w:tplc="D3FCF1D6">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1A6619"/>
    <w:multiLevelType w:val="hybridMultilevel"/>
    <w:tmpl w:val="0ACC7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4"/>
  </w:num>
  <w:num w:numId="16">
    <w:abstractNumId w:val="23"/>
  </w:num>
  <w:num w:numId="17">
    <w:abstractNumId w:val="12"/>
  </w:num>
  <w:num w:numId="18">
    <w:abstractNumId w:val="13"/>
    <w:lvlOverride w:ilvl="0">
      <w:startOverride w:val="1"/>
    </w:lvlOverride>
  </w:num>
  <w:num w:numId="19">
    <w:abstractNumId w:val="19"/>
  </w:num>
  <w:num w:numId="20">
    <w:abstractNumId w:val="18"/>
  </w:num>
  <w:num w:numId="21">
    <w:abstractNumId w:val="15"/>
  </w:num>
  <w:num w:numId="22">
    <w:abstractNumId w:val="14"/>
  </w:num>
  <w:num w:numId="23">
    <w:abstractNumId w:val="22"/>
  </w:num>
  <w:num w:numId="24">
    <w:abstractNumId w:val="10"/>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554"/>
    <w:rsid w:val="00025CF1"/>
    <w:rsid w:val="000275D4"/>
    <w:rsid w:val="0003148D"/>
    <w:rsid w:val="00031EEC"/>
    <w:rsid w:val="0004510E"/>
    <w:rsid w:val="00051566"/>
    <w:rsid w:val="00053B8E"/>
    <w:rsid w:val="000562A9"/>
    <w:rsid w:val="00062A9A"/>
    <w:rsid w:val="00065058"/>
    <w:rsid w:val="00086C39"/>
    <w:rsid w:val="000873F8"/>
    <w:rsid w:val="0009220C"/>
    <w:rsid w:val="000A03B2"/>
    <w:rsid w:val="000A08E6"/>
    <w:rsid w:val="000D0268"/>
    <w:rsid w:val="000D34BE"/>
    <w:rsid w:val="000E102F"/>
    <w:rsid w:val="000E1052"/>
    <w:rsid w:val="000E36F1"/>
    <w:rsid w:val="000E3A73"/>
    <w:rsid w:val="000E414A"/>
    <w:rsid w:val="000F093C"/>
    <w:rsid w:val="000F674E"/>
    <w:rsid w:val="000F787B"/>
    <w:rsid w:val="001152D0"/>
    <w:rsid w:val="0012091F"/>
    <w:rsid w:val="00124B87"/>
    <w:rsid w:val="00126BC2"/>
    <w:rsid w:val="001308B6"/>
    <w:rsid w:val="0013121F"/>
    <w:rsid w:val="00131FE6"/>
    <w:rsid w:val="0013263F"/>
    <w:rsid w:val="001331DF"/>
    <w:rsid w:val="00134DE4"/>
    <w:rsid w:val="0014034D"/>
    <w:rsid w:val="00144D16"/>
    <w:rsid w:val="00150E59"/>
    <w:rsid w:val="0015123D"/>
    <w:rsid w:val="00152DE3"/>
    <w:rsid w:val="001542CD"/>
    <w:rsid w:val="0015635D"/>
    <w:rsid w:val="00164CF9"/>
    <w:rsid w:val="001667A6"/>
    <w:rsid w:val="001708AA"/>
    <w:rsid w:val="00184AD6"/>
    <w:rsid w:val="001850C4"/>
    <w:rsid w:val="001A4AF7"/>
    <w:rsid w:val="001B0349"/>
    <w:rsid w:val="001B1E93"/>
    <w:rsid w:val="001B65C1"/>
    <w:rsid w:val="001C0029"/>
    <w:rsid w:val="001C30D3"/>
    <w:rsid w:val="001C684B"/>
    <w:rsid w:val="001D014B"/>
    <w:rsid w:val="001D0CFB"/>
    <w:rsid w:val="001D21AF"/>
    <w:rsid w:val="001D53FC"/>
    <w:rsid w:val="001D5D25"/>
    <w:rsid w:val="001E1449"/>
    <w:rsid w:val="001F42A5"/>
    <w:rsid w:val="001F7B9D"/>
    <w:rsid w:val="00201C93"/>
    <w:rsid w:val="00212238"/>
    <w:rsid w:val="002224B4"/>
    <w:rsid w:val="002447EF"/>
    <w:rsid w:val="00251550"/>
    <w:rsid w:val="00263B05"/>
    <w:rsid w:val="0027221A"/>
    <w:rsid w:val="00274810"/>
    <w:rsid w:val="00275B61"/>
    <w:rsid w:val="00280FAF"/>
    <w:rsid w:val="00282656"/>
    <w:rsid w:val="00291CE3"/>
    <w:rsid w:val="002962FD"/>
    <w:rsid w:val="00296B83"/>
    <w:rsid w:val="002B4015"/>
    <w:rsid w:val="002B78CE"/>
    <w:rsid w:val="002C2FB6"/>
    <w:rsid w:val="002C69A7"/>
    <w:rsid w:val="002C6DB5"/>
    <w:rsid w:val="002D0F64"/>
    <w:rsid w:val="002D7AD6"/>
    <w:rsid w:val="002E5FA7"/>
    <w:rsid w:val="002F3309"/>
    <w:rsid w:val="003008CE"/>
    <w:rsid w:val="003009B7"/>
    <w:rsid w:val="00300E56"/>
    <w:rsid w:val="0030152C"/>
    <w:rsid w:val="00303848"/>
    <w:rsid w:val="0030469C"/>
    <w:rsid w:val="003062BC"/>
    <w:rsid w:val="00317821"/>
    <w:rsid w:val="00321CA6"/>
    <w:rsid w:val="00323763"/>
    <w:rsid w:val="00323C5F"/>
    <w:rsid w:val="0033021C"/>
    <w:rsid w:val="00334C09"/>
    <w:rsid w:val="00344C39"/>
    <w:rsid w:val="00361A9C"/>
    <w:rsid w:val="00365A38"/>
    <w:rsid w:val="003723D4"/>
    <w:rsid w:val="003818AF"/>
    <w:rsid w:val="00381905"/>
    <w:rsid w:val="00384CC8"/>
    <w:rsid w:val="00386B57"/>
    <w:rsid w:val="003871FD"/>
    <w:rsid w:val="003A1E30"/>
    <w:rsid w:val="003A2829"/>
    <w:rsid w:val="003A4A2F"/>
    <w:rsid w:val="003A7D1C"/>
    <w:rsid w:val="003B304B"/>
    <w:rsid w:val="003B3146"/>
    <w:rsid w:val="003C56A2"/>
    <w:rsid w:val="003E1D0A"/>
    <w:rsid w:val="003F015E"/>
    <w:rsid w:val="00400414"/>
    <w:rsid w:val="00401BFE"/>
    <w:rsid w:val="00403333"/>
    <w:rsid w:val="0041446B"/>
    <w:rsid w:val="004144F8"/>
    <w:rsid w:val="00436B21"/>
    <w:rsid w:val="0044071E"/>
    <w:rsid w:val="0044329C"/>
    <w:rsid w:val="00453E24"/>
    <w:rsid w:val="00457456"/>
    <w:rsid w:val="004577FE"/>
    <w:rsid w:val="00457B9C"/>
    <w:rsid w:val="0046164A"/>
    <w:rsid w:val="004628D2"/>
    <w:rsid w:val="00462DCD"/>
    <w:rsid w:val="00464845"/>
    <w:rsid w:val="004648AD"/>
    <w:rsid w:val="00467DBB"/>
    <w:rsid w:val="004703A9"/>
    <w:rsid w:val="00470702"/>
    <w:rsid w:val="004740B8"/>
    <w:rsid w:val="004760DE"/>
    <w:rsid w:val="004763D7"/>
    <w:rsid w:val="00477177"/>
    <w:rsid w:val="00483620"/>
    <w:rsid w:val="004A004E"/>
    <w:rsid w:val="004A24CF"/>
    <w:rsid w:val="004C3D1D"/>
    <w:rsid w:val="004C3D84"/>
    <w:rsid w:val="004C7913"/>
    <w:rsid w:val="004E4DD6"/>
    <w:rsid w:val="004F5E36"/>
    <w:rsid w:val="00507B47"/>
    <w:rsid w:val="00507BEF"/>
    <w:rsid w:val="00507CC9"/>
    <w:rsid w:val="005119A5"/>
    <w:rsid w:val="005240A3"/>
    <w:rsid w:val="005278B7"/>
    <w:rsid w:val="00532016"/>
    <w:rsid w:val="005346C8"/>
    <w:rsid w:val="00543E7D"/>
    <w:rsid w:val="00546A3F"/>
    <w:rsid w:val="00547A68"/>
    <w:rsid w:val="005531C9"/>
    <w:rsid w:val="0056038E"/>
    <w:rsid w:val="00562295"/>
    <w:rsid w:val="00570C43"/>
    <w:rsid w:val="00575AF5"/>
    <w:rsid w:val="00581B04"/>
    <w:rsid w:val="00583299"/>
    <w:rsid w:val="0059152E"/>
    <w:rsid w:val="005B2110"/>
    <w:rsid w:val="005B61E6"/>
    <w:rsid w:val="005C445F"/>
    <w:rsid w:val="005C77E1"/>
    <w:rsid w:val="005D668A"/>
    <w:rsid w:val="005D6A2F"/>
    <w:rsid w:val="005E1A82"/>
    <w:rsid w:val="005E794C"/>
    <w:rsid w:val="005F0A28"/>
    <w:rsid w:val="005F0E5E"/>
    <w:rsid w:val="005F5FB4"/>
    <w:rsid w:val="00600535"/>
    <w:rsid w:val="00610CD6"/>
    <w:rsid w:val="006132F8"/>
    <w:rsid w:val="00620A7B"/>
    <w:rsid w:val="00620DEE"/>
    <w:rsid w:val="006213B9"/>
    <w:rsid w:val="00621F92"/>
    <w:rsid w:val="0062280A"/>
    <w:rsid w:val="00625639"/>
    <w:rsid w:val="00631B33"/>
    <w:rsid w:val="00631B6F"/>
    <w:rsid w:val="00634708"/>
    <w:rsid w:val="00640904"/>
    <w:rsid w:val="0064184D"/>
    <w:rsid w:val="006422CC"/>
    <w:rsid w:val="00652666"/>
    <w:rsid w:val="006530A3"/>
    <w:rsid w:val="00660E3E"/>
    <w:rsid w:val="00662E74"/>
    <w:rsid w:val="006679BB"/>
    <w:rsid w:val="00672CD4"/>
    <w:rsid w:val="00680C23"/>
    <w:rsid w:val="00693766"/>
    <w:rsid w:val="006A3281"/>
    <w:rsid w:val="006A6F26"/>
    <w:rsid w:val="006B193E"/>
    <w:rsid w:val="006B4888"/>
    <w:rsid w:val="006C2E45"/>
    <w:rsid w:val="006C359C"/>
    <w:rsid w:val="006C5579"/>
    <w:rsid w:val="006D6E8B"/>
    <w:rsid w:val="006E737D"/>
    <w:rsid w:val="00713973"/>
    <w:rsid w:val="00720A24"/>
    <w:rsid w:val="00727B13"/>
    <w:rsid w:val="00732386"/>
    <w:rsid w:val="0073514D"/>
    <w:rsid w:val="007447F3"/>
    <w:rsid w:val="00747925"/>
    <w:rsid w:val="0075499F"/>
    <w:rsid w:val="007661C8"/>
    <w:rsid w:val="00767129"/>
    <w:rsid w:val="0077098D"/>
    <w:rsid w:val="00776FB5"/>
    <w:rsid w:val="00781028"/>
    <w:rsid w:val="00785594"/>
    <w:rsid w:val="007931FA"/>
    <w:rsid w:val="00793329"/>
    <w:rsid w:val="007A4861"/>
    <w:rsid w:val="007A7BBA"/>
    <w:rsid w:val="007B0C50"/>
    <w:rsid w:val="007B48F9"/>
    <w:rsid w:val="007B4C97"/>
    <w:rsid w:val="007C1A43"/>
    <w:rsid w:val="007D0951"/>
    <w:rsid w:val="007D0D62"/>
    <w:rsid w:val="0080013E"/>
    <w:rsid w:val="0080076E"/>
    <w:rsid w:val="00804EA2"/>
    <w:rsid w:val="008077C8"/>
    <w:rsid w:val="00813288"/>
    <w:rsid w:val="008168FC"/>
    <w:rsid w:val="008270B7"/>
    <w:rsid w:val="00827DDE"/>
    <w:rsid w:val="00830996"/>
    <w:rsid w:val="008345F1"/>
    <w:rsid w:val="00865B07"/>
    <w:rsid w:val="008667EA"/>
    <w:rsid w:val="0087212C"/>
    <w:rsid w:val="0087401E"/>
    <w:rsid w:val="0087637F"/>
    <w:rsid w:val="00892AD5"/>
    <w:rsid w:val="00892B30"/>
    <w:rsid w:val="008A1512"/>
    <w:rsid w:val="008A1E1C"/>
    <w:rsid w:val="008A7521"/>
    <w:rsid w:val="008B6B9D"/>
    <w:rsid w:val="008D32B9"/>
    <w:rsid w:val="008D433B"/>
    <w:rsid w:val="008D4A16"/>
    <w:rsid w:val="008E1A4B"/>
    <w:rsid w:val="008E566E"/>
    <w:rsid w:val="0090161A"/>
    <w:rsid w:val="00901EB6"/>
    <w:rsid w:val="0090214A"/>
    <w:rsid w:val="00904C62"/>
    <w:rsid w:val="00913362"/>
    <w:rsid w:val="00922226"/>
    <w:rsid w:val="00922BA8"/>
    <w:rsid w:val="00924DAC"/>
    <w:rsid w:val="00927058"/>
    <w:rsid w:val="00942750"/>
    <w:rsid w:val="009450CE"/>
    <w:rsid w:val="009459BB"/>
    <w:rsid w:val="00947179"/>
    <w:rsid w:val="0095164B"/>
    <w:rsid w:val="00954090"/>
    <w:rsid w:val="009552B0"/>
    <w:rsid w:val="009573E7"/>
    <w:rsid w:val="00963E05"/>
    <w:rsid w:val="00964A45"/>
    <w:rsid w:val="00967843"/>
    <w:rsid w:val="00967D54"/>
    <w:rsid w:val="00971028"/>
    <w:rsid w:val="00973410"/>
    <w:rsid w:val="0097495D"/>
    <w:rsid w:val="009821C8"/>
    <w:rsid w:val="00993B84"/>
    <w:rsid w:val="00996483"/>
    <w:rsid w:val="00996F5A"/>
    <w:rsid w:val="009A27A9"/>
    <w:rsid w:val="009B041A"/>
    <w:rsid w:val="009C37C3"/>
    <w:rsid w:val="009C7C86"/>
    <w:rsid w:val="009D2FF7"/>
    <w:rsid w:val="009E5D7E"/>
    <w:rsid w:val="009E7884"/>
    <w:rsid w:val="009E788A"/>
    <w:rsid w:val="009F0E08"/>
    <w:rsid w:val="00A1763D"/>
    <w:rsid w:val="00A17CEC"/>
    <w:rsid w:val="00A24661"/>
    <w:rsid w:val="00A279BF"/>
    <w:rsid w:val="00A27EF0"/>
    <w:rsid w:val="00A42361"/>
    <w:rsid w:val="00A45FB9"/>
    <w:rsid w:val="00A50B20"/>
    <w:rsid w:val="00A51390"/>
    <w:rsid w:val="00A54F61"/>
    <w:rsid w:val="00A56CDB"/>
    <w:rsid w:val="00A6020E"/>
    <w:rsid w:val="00A60D13"/>
    <w:rsid w:val="00A7223D"/>
    <w:rsid w:val="00A72745"/>
    <w:rsid w:val="00A76EFC"/>
    <w:rsid w:val="00A84345"/>
    <w:rsid w:val="00A87D50"/>
    <w:rsid w:val="00A91010"/>
    <w:rsid w:val="00A97D1D"/>
    <w:rsid w:val="00A97F29"/>
    <w:rsid w:val="00AA2974"/>
    <w:rsid w:val="00AA5FAD"/>
    <w:rsid w:val="00AA702E"/>
    <w:rsid w:val="00AA7D26"/>
    <w:rsid w:val="00AB0964"/>
    <w:rsid w:val="00AB5011"/>
    <w:rsid w:val="00AB725B"/>
    <w:rsid w:val="00AC7368"/>
    <w:rsid w:val="00AD16B9"/>
    <w:rsid w:val="00AE377D"/>
    <w:rsid w:val="00AE77FB"/>
    <w:rsid w:val="00AF0EBA"/>
    <w:rsid w:val="00B02C8A"/>
    <w:rsid w:val="00B17FBD"/>
    <w:rsid w:val="00B315A6"/>
    <w:rsid w:val="00B31813"/>
    <w:rsid w:val="00B33365"/>
    <w:rsid w:val="00B35818"/>
    <w:rsid w:val="00B43B08"/>
    <w:rsid w:val="00B47AD3"/>
    <w:rsid w:val="00B57B36"/>
    <w:rsid w:val="00B57E6F"/>
    <w:rsid w:val="00B62274"/>
    <w:rsid w:val="00B62554"/>
    <w:rsid w:val="00B7498B"/>
    <w:rsid w:val="00B8686D"/>
    <w:rsid w:val="00B93F69"/>
    <w:rsid w:val="00BB1DDC"/>
    <w:rsid w:val="00BB6E2B"/>
    <w:rsid w:val="00BC055B"/>
    <w:rsid w:val="00BC30C9"/>
    <w:rsid w:val="00BD077D"/>
    <w:rsid w:val="00BD1578"/>
    <w:rsid w:val="00BD17FF"/>
    <w:rsid w:val="00BD36F6"/>
    <w:rsid w:val="00BE3E58"/>
    <w:rsid w:val="00BF1CA5"/>
    <w:rsid w:val="00C01616"/>
    <w:rsid w:val="00C0162B"/>
    <w:rsid w:val="00C068ED"/>
    <w:rsid w:val="00C103DF"/>
    <w:rsid w:val="00C22E0C"/>
    <w:rsid w:val="00C31E35"/>
    <w:rsid w:val="00C345B1"/>
    <w:rsid w:val="00C40142"/>
    <w:rsid w:val="00C52C3C"/>
    <w:rsid w:val="00C57182"/>
    <w:rsid w:val="00C57863"/>
    <w:rsid w:val="00C640AF"/>
    <w:rsid w:val="00C655FD"/>
    <w:rsid w:val="00C75407"/>
    <w:rsid w:val="00C870A8"/>
    <w:rsid w:val="00C904B0"/>
    <w:rsid w:val="00C94434"/>
    <w:rsid w:val="00C9697C"/>
    <w:rsid w:val="00CA0D75"/>
    <w:rsid w:val="00CA1C95"/>
    <w:rsid w:val="00CA5A9C"/>
    <w:rsid w:val="00CA7F4B"/>
    <w:rsid w:val="00CB2DF9"/>
    <w:rsid w:val="00CC4C20"/>
    <w:rsid w:val="00CD3517"/>
    <w:rsid w:val="00CD5FE2"/>
    <w:rsid w:val="00CE7C68"/>
    <w:rsid w:val="00CF7576"/>
    <w:rsid w:val="00D02B4C"/>
    <w:rsid w:val="00D040C4"/>
    <w:rsid w:val="00D13E74"/>
    <w:rsid w:val="00D14680"/>
    <w:rsid w:val="00D20AD1"/>
    <w:rsid w:val="00D20C5E"/>
    <w:rsid w:val="00D4547B"/>
    <w:rsid w:val="00D46B7E"/>
    <w:rsid w:val="00D54C00"/>
    <w:rsid w:val="00D57C84"/>
    <w:rsid w:val="00D6057D"/>
    <w:rsid w:val="00D63439"/>
    <w:rsid w:val="00D71640"/>
    <w:rsid w:val="00D836C5"/>
    <w:rsid w:val="00D84576"/>
    <w:rsid w:val="00D958E3"/>
    <w:rsid w:val="00D9731D"/>
    <w:rsid w:val="00DA1399"/>
    <w:rsid w:val="00DA24C6"/>
    <w:rsid w:val="00DA4D7B"/>
    <w:rsid w:val="00DD271C"/>
    <w:rsid w:val="00DD35A6"/>
    <w:rsid w:val="00DE15D6"/>
    <w:rsid w:val="00DE264A"/>
    <w:rsid w:val="00DE4DB6"/>
    <w:rsid w:val="00DE74AF"/>
    <w:rsid w:val="00DF015B"/>
    <w:rsid w:val="00DF5072"/>
    <w:rsid w:val="00E02A47"/>
    <w:rsid w:val="00E02D18"/>
    <w:rsid w:val="00E041E7"/>
    <w:rsid w:val="00E072F7"/>
    <w:rsid w:val="00E07E65"/>
    <w:rsid w:val="00E23CA1"/>
    <w:rsid w:val="00E3585E"/>
    <w:rsid w:val="00E409A8"/>
    <w:rsid w:val="00E50C12"/>
    <w:rsid w:val="00E65B91"/>
    <w:rsid w:val="00E7209D"/>
    <w:rsid w:val="00E72EAD"/>
    <w:rsid w:val="00E77223"/>
    <w:rsid w:val="00E8528B"/>
    <w:rsid w:val="00E85B94"/>
    <w:rsid w:val="00E95797"/>
    <w:rsid w:val="00E95DDC"/>
    <w:rsid w:val="00E962F5"/>
    <w:rsid w:val="00E978D0"/>
    <w:rsid w:val="00EA4613"/>
    <w:rsid w:val="00EA7F91"/>
    <w:rsid w:val="00EB1523"/>
    <w:rsid w:val="00EC0E49"/>
    <w:rsid w:val="00EC101F"/>
    <w:rsid w:val="00EC1D9F"/>
    <w:rsid w:val="00EE0131"/>
    <w:rsid w:val="00EE17B0"/>
    <w:rsid w:val="00EE49B2"/>
    <w:rsid w:val="00EE6841"/>
    <w:rsid w:val="00EF06D9"/>
    <w:rsid w:val="00F02838"/>
    <w:rsid w:val="00F1594C"/>
    <w:rsid w:val="00F2067B"/>
    <w:rsid w:val="00F3049E"/>
    <w:rsid w:val="00F30C64"/>
    <w:rsid w:val="00F32BA2"/>
    <w:rsid w:val="00F32CDB"/>
    <w:rsid w:val="00F32FC1"/>
    <w:rsid w:val="00F40317"/>
    <w:rsid w:val="00F50F72"/>
    <w:rsid w:val="00F554D4"/>
    <w:rsid w:val="00F565FE"/>
    <w:rsid w:val="00F60D71"/>
    <w:rsid w:val="00F63A70"/>
    <w:rsid w:val="00F63D8C"/>
    <w:rsid w:val="00F6438B"/>
    <w:rsid w:val="00F7534E"/>
    <w:rsid w:val="00F77245"/>
    <w:rsid w:val="00F84C3F"/>
    <w:rsid w:val="00F91E48"/>
    <w:rsid w:val="00F93EDF"/>
    <w:rsid w:val="00FA1802"/>
    <w:rsid w:val="00FA21D0"/>
    <w:rsid w:val="00FA5F5F"/>
    <w:rsid w:val="00FB0A5C"/>
    <w:rsid w:val="00FB730C"/>
    <w:rsid w:val="00FC2695"/>
    <w:rsid w:val="00FC3E03"/>
    <w:rsid w:val="00FC3FC1"/>
    <w:rsid w:val="00FD2E41"/>
    <w:rsid w:val="00FF71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76FB5"/>
    <w:pPr>
      <w:keepNext/>
      <w:numPr>
        <w:ilvl w:val="2"/>
        <w:numId w:val="1"/>
      </w:numPr>
      <w:suppressAutoHyphens/>
      <w:spacing w:before="120" w:after="120" w:line="240" w:lineRule="auto"/>
      <w:ind w:left="284" w:hanging="284"/>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76FB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italic">
    <w:name w:val="italic"/>
    <w:basedOn w:val="Fontepargpadro"/>
    <w:rsid w:val="00F2067B"/>
  </w:style>
  <w:style w:type="character" w:customStyle="1" w:styleId="title-text">
    <w:name w:val="title-text"/>
    <w:basedOn w:val="Fontepargpadro"/>
    <w:rsid w:val="00F2067B"/>
  </w:style>
  <w:style w:type="paragraph" w:customStyle="1" w:styleId="Tabla">
    <w:name w:val="Tabla"/>
    <w:basedOn w:val="Normal"/>
    <w:link w:val="TablaCar"/>
    <w:autoRedefine/>
    <w:qFormat/>
    <w:rsid w:val="00913362"/>
    <w:pPr>
      <w:tabs>
        <w:tab w:val="clear" w:pos="7100"/>
      </w:tabs>
      <w:spacing w:after="200" w:line="360" w:lineRule="auto"/>
    </w:pPr>
    <w:rPr>
      <w:rFonts w:eastAsia="Calibri" w:cs="Arial"/>
      <w:bCs/>
      <w:i/>
      <w:iCs/>
      <w:szCs w:val="18"/>
      <w:lang w:val="es-PE" w:eastAsia="es-ES"/>
    </w:rPr>
  </w:style>
  <w:style w:type="character" w:customStyle="1" w:styleId="TablaCar">
    <w:name w:val="Tabla Car"/>
    <w:basedOn w:val="Ttulo7Char"/>
    <w:link w:val="Tabla"/>
    <w:rsid w:val="00913362"/>
    <w:rPr>
      <w:rFonts w:ascii="Arial" w:eastAsia="Calibri" w:hAnsi="Arial" w:cs="Arial"/>
      <w:bCs/>
      <w:i/>
      <w:iCs/>
      <w:color w:val="404040" w:themeColor="text1" w:themeTint="BF"/>
      <w:sz w:val="18"/>
      <w:szCs w:val="18"/>
      <w:lang w:val="es-PE" w:eastAsia="es-ES"/>
    </w:rPr>
  </w:style>
  <w:style w:type="table" w:styleId="TabeladeLista2-nfase3">
    <w:name w:val="List Table 2 Accent 3"/>
    <w:basedOn w:val="Tabelanormal"/>
    <w:uiPriority w:val="47"/>
    <w:rsid w:val="0080076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Simples4">
    <w:name w:val="Plain Table 4"/>
    <w:basedOn w:val="Tabelanormal"/>
    <w:uiPriority w:val="44"/>
    <w:rsid w:val="008007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ontepargpadro"/>
    <w:uiPriority w:val="99"/>
    <w:semiHidden/>
    <w:unhideWhenUsed/>
    <w:rsid w:val="00F554D4"/>
    <w:rPr>
      <w:color w:val="605E5C"/>
      <w:shd w:val="clear" w:color="auto" w:fill="E1DFDD"/>
    </w:rPr>
  </w:style>
  <w:style w:type="character" w:customStyle="1" w:styleId="identifier">
    <w:name w:val="identifier"/>
    <w:basedOn w:val="Fontepargpadro"/>
    <w:rsid w:val="00EE6841"/>
  </w:style>
  <w:style w:type="character" w:customStyle="1" w:styleId="id-label">
    <w:name w:val="id-label"/>
    <w:basedOn w:val="Fontepargpadro"/>
    <w:rsid w:val="00EE6841"/>
  </w:style>
  <w:style w:type="character" w:styleId="HiperlinkVisitado">
    <w:name w:val="FollowedHyperlink"/>
    <w:basedOn w:val="Fontepargpadro"/>
    <w:uiPriority w:val="99"/>
    <w:semiHidden/>
    <w:unhideWhenUsed/>
    <w:rsid w:val="006B1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9459">
      <w:bodyDiv w:val="1"/>
      <w:marLeft w:val="0"/>
      <w:marRight w:val="0"/>
      <w:marTop w:val="0"/>
      <w:marBottom w:val="0"/>
      <w:divBdr>
        <w:top w:val="none" w:sz="0" w:space="0" w:color="auto"/>
        <w:left w:val="none" w:sz="0" w:space="0" w:color="auto"/>
        <w:bottom w:val="none" w:sz="0" w:space="0" w:color="auto"/>
        <w:right w:val="none" w:sz="0" w:space="0" w:color="auto"/>
      </w:divBdr>
    </w:div>
    <w:div w:id="215555523">
      <w:bodyDiv w:val="1"/>
      <w:marLeft w:val="0"/>
      <w:marRight w:val="0"/>
      <w:marTop w:val="0"/>
      <w:marBottom w:val="0"/>
      <w:divBdr>
        <w:top w:val="none" w:sz="0" w:space="0" w:color="auto"/>
        <w:left w:val="none" w:sz="0" w:space="0" w:color="auto"/>
        <w:bottom w:val="none" w:sz="0" w:space="0" w:color="auto"/>
        <w:right w:val="none" w:sz="0" w:space="0" w:color="auto"/>
      </w:divBdr>
    </w:div>
    <w:div w:id="429660409">
      <w:bodyDiv w:val="1"/>
      <w:marLeft w:val="0"/>
      <w:marRight w:val="0"/>
      <w:marTop w:val="0"/>
      <w:marBottom w:val="0"/>
      <w:divBdr>
        <w:top w:val="none" w:sz="0" w:space="0" w:color="auto"/>
        <w:left w:val="none" w:sz="0" w:space="0" w:color="auto"/>
        <w:bottom w:val="none" w:sz="0" w:space="0" w:color="auto"/>
        <w:right w:val="none" w:sz="0" w:space="0" w:color="auto"/>
      </w:divBdr>
    </w:div>
    <w:div w:id="525145692">
      <w:bodyDiv w:val="1"/>
      <w:marLeft w:val="0"/>
      <w:marRight w:val="0"/>
      <w:marTop w:val="0"/>
      <w:marBottom w:val="0"/>
      <w:divBdr>
        <w:top w:val="none" w:sz="0" w:space="0" w:color="auto"/>
        <w:left w:val="none" w:sz="0" w:space="0" w:color="auto"/>
        <w:bottom w:val="none" w:sz="0" w:space="0" w:color="auto"/>
        <w:right w:val="none" w:sz="0" w:space="0" w:color="auto"/>
      </w:divBdr>
    </w:div>
    <w:div w:id="7033597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8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6FE7-E05A-4A04-9D07-F4D5D18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3205</Words>
  <Characters>17632</Characters>
  <Application>Microsoft Office Word</Application>
  <DocSecurity>0</DocSecurity>
  <Lines>146</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8</cp:revision>
  <cp:lastPrinted>2015-05-12T18:31:00Z</cp:lastPrinted>
  <dcterms:created xsi:type="dcterms:W3CDTF">2023-01-24T17:48:00Z</dcterms:created>
  <dcterms:modified xsi:type="dcterms:W3CDTF">2023-05-10T19:50:00Z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9422fa0098b9b3747a4d39fafb03851e84fd23ec402d1feb8109a52bcd0bbe21</vt:lpwstr>
  </property>
</Properties>
</file>