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2EF0D45" w:rsidR="000A03B2" w:rsidRPr="00B57B36" w:rsidRDefault="00EC7F01"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 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31FEDE8E" w14:textId="77777777" w:rsidR="00EC7F01" w:rsidRPr="00F93EDF" w:rsidRDefault="00EC7F01" w:rsidP="00EC7F01">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19ACA9E8" w:rsidR="000A03B2" w:rsidRPr="00B57B36" w:rsidRDefault="00EC7F01" w:rsidP="00EC7F01">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FF7FE77" w:rsidR="00E978D0" w:rsidRPr="001C41FB" w:rsidRDefault="00E200FF" w:rsidP="00E978D0">
      <w:pPr>
        <w:pStyle w:val="CETTitle"/>
        <w:rPr>
          <w:lang w:val="es-CO"/>
        </w:rPr>
      </w:pPr>
      <w:r>
        <w:t>S</w:t>
      </w:r>
      <w:r w:rsidRPr="00E200FF">
        <w:t xml:space="preserve">ustainability assessment of water ecosystems based on modified </w:t>
      </w:r>
      <w:r>
        <w:t>W</w:t>
      </w:r>
      <w:r w:rsidRPr="00E200FF">
        <w:t xml:space="preserve">ater </w:t>
      </w:r>
      <w:r>
        <w:t>P</w:t>
      </w:r>
      <w:r w:rsidRPr="00E200FF">
        <w:t xml:space="preserve">overty </w:t>
      </w:r>
      <w:r>
        <w:t>I</w:t>
      </w:r>
      <w:r w:rsidRPr="00E200FF">
        <w:t>ndex (</w:t>
      </w:r>
      <w:r>
        <w:t>WPI</w:t>
      </w:r>
      <w:r w:rsidRPr="00E200FF">
        <w:t xml:space="preserve">) with </w:t>
      </w:r>
      <w:r w:rsidR="00BB6A7C">
        <w:t>B</w:t>
      </w:r>
      <w:r w:rsidRPr="00E200FF">
        <w:t>irds</w:t>
      </w:r>
      <w:r w:rsidR="00BB6A7C">
        <w:t>’</w:t>
      </w:r>
      <w:r w:rsidRPr="00E200FF">
        <w:t xml:space="preserve"> biodiversity parameters. </w:t>
      </w:r>
      <w:r w:rsidRPr="001C41FB">
        <w:rPr>
          <w:lang w:val="es-CO"/>
        </w:rPr>
        <w:t>Case study: Juan Angola creek- Cartagena, Colombia</w:t>
      </w:r>
    </w:p>
    <w:p w14:paraId="0488FED2" w14:textId="630003A0" w:rsidR="00B57E6F" w:rsidRPr="00E200FF" w:rsidRDefault="00E200FF" w:rsidP="00B57E6F">
      <w:pPr>
        <w:pStyle w:val="CETAuthors"/>
        <w:rPr>
          <w:lang w:val="es-CO"/>
        </w:rPr>
      </w:pPr>
      <w:r w:rsidRPr="00E200FF">
        <w:rPr>
          <w:lang w:val="es-CO"/>
        </w:rPr>
        <w:t>Jalelys L.</w:t>
      </w:r>
      <w:r>
        <w:rPr>
          <w:lang w:val="es-CO"/>
        </w:rPr>
        <w:t xml:space="preserve"> </w:t>
      </w:r>
      <w:r w:rsidRPr="00E200FF">
        <w:rPr>
          <w:lang w:val="es-CO"/>
        </w:rPr>
        <w:t>Leones</w:t>
      </w:r>
      <w:r w:rsidR="00B57E6F" w:rsidRPr="00E200FF">
        <w:rPr>
          <w:vertAlign w:val="superscript"/>
          <w:lang w:val="es-CO"/>
        </w:rPr>
        <w:t>a</w:t>
      </w:r>
      <w:r w:rsidR="00B57E6F" w:rsidRPr="00E200FF">
        <w:rPr>
          <w:lang w:val="es-CO"/>
        </w:rPr>
        <w:t>, J</w:t>
      </w:r>
      <w:r w:rsidRPr="00E200FF">
        <w:rPr>
          <w:lang w:val="es-CO"/>
        </w:rPr>
        <w:t>uan F.</w:t>
      </w:r>
      <w:r>
        <w:rPr>
          <w:lang w:val="es-CO"/>
        </w:rPr>
        <w:t xml:space="preserve"> </w:t>
      </w:r>
      <w:r w:rsidRPr="00E200FF">
        <w:rPr>
          <w:lang w:val="es-CO"/>
        </w:rPr>
        <w:t>Restrepo</w:t>
      </w:r>
      <w:r w:rsidR="00B57E6F" w:rsidRPr="00E200FF">
        <w:rPr>
          <w:vertAlign w:val="superscript"/>
          <w:lang w:val="es-CO"/>
        </w:rPr>
        <w:t>b</w:t>
      </w:r>
      <w:r w:rsidR="00B57E6F" w:rsidRPr="00E200FF">
        <w:rPr>
          <w:lang w:val="es-CO"/>
        </w:rPr>
        <w:t xml:space="preserve">, </w:t>
      </w:r>
      <w:r w:rsidRPr="00E200FF">
        <w:rPr>
          <w:lang w:val="es-CO"/>
        </w:rPr>
        <w:t>Katherine</w:t>
      </w:r>
      <w:r>
        <w:rPr>
          <w:lang w:val="es-CO"/>
        </w:rPr>
        <w:t xml:space="preserve"> </w:t>
      </w:r>
      <w:r w:rsidRPr="00E200FF">
        <w:rPr>
          <w:lang w:val="es-CO"/>
        </w:rPr>
        <w:t>Velandia</w:t>
      </w:r>
      <w:r w:rsidRPr="00E200FF">
        <w:rPr>
          <w:vertAlign w:val="superscript"/>
          <w:lang w:val="es-CO"/>
        </w:rPr>
        <w:t>b</w:t>
      </w:r>
      <w:r w:rsidRPr="00E200FF">
        <w:rPr>
          <w:lang w:val="es-CO"/>
        </w:rPr>
        <w:t>,</w:t>
      </w:r>
      <w:r>
        <w:rPr>
          <w:lang w:val="es-CO"/>
        </w:rPr>
        <w:t xml:space="preserve"> </w:t>
      </w:r>
      <w:r w:rsidRPr="00E200FF">
        <w:rPr>
          <w:lang w:val="es-CO"/>
        </w:rPr>
        <w:t>Eduardo</w:t>
      </w:r>
      <w:r>
        <w:rPr>
          <w:lang w:val="es-CO"/>
        </w:rPr>
        <w:t xml:space="preserve"> </w:t>
      </w:r>
      <w:r w:rsidRPr="00E200FF">
        <w:rPr>
          <w:lang w:val="es-CO"/>
        </w:rPr>
        <w:t>Sanchez</w:t>
      </w:r>
      <w:r w:rsidRPr="00E200FF">
        <w:rPr>
          <w:vertAlign w:val="superscript"/>
          <w:lang w:val="es-CO"/>
        </w:rPr>
        <w:t>a</w:t>
      </w:r>
      <w:r w:rsidRPr="00E200FF">
        <w:rPr>
          <w:lang w:val="es-CO"/>
        </w:rPr>
        <w:t>, Karina</w:t>
      </w:r>
      <w:r w:rsidR="00EC01A8">
        <w:rPr>
          <w:lang w:val="es-CO"/>
        </w:rPr>
        <w:t xml:space="preserve"> A.</w:t>
      </w:r>
      <w:r w:rsidRPr="00E200FF">
        <w:rPr>
          <w:lang w:val="es-CO"/>
        </w:rPr>
        <w:t xml:space="preserve"> Ojeda</w:t>
      </w:r>
      <w:r w:rsidRPr="00E200FF">
        <w:rPr>
          <w:vertAlign w:val="superscript"/>
          <w:lang w:val="es-CO"/>
        </w:rPr>
        <w:t xml:space="preserve"> </w:t>
      </w:r>
      <w:r>
        <w:rPr>
          <w:vertAlign w:val="superscript"/>
          <w:lang w:val="es-CO"/>
        </w:rPr>
        <w:t>a,</w:t>
      </w:r>
      <w:r w:rsidRPr="00E200FF">
        <w:rPr>
          <w:lang w:val="es-CO"/>
        </w:rPr>
        <w:t>*</w:t>
      </w:r>
    </w:p>
    <w:p w14:paraId="6B2D21B3" w14:textId="20FF82FB" w:rsidR="00B57E6F" w:rsidRPr="001C41FB" w:rsidRDefault="00B57E6F" w:rsidP="00B57E6F">
      <w:pPr>
        <w:pStyle w:val="CETAddress"/>
        <w:rPr>
          <w:lang w:val="es-CO"/>
        </w:rPr>
      </w:pPr>
      <w:r w:rsidRPr="00B57B36">
        <w:rPr>
          <w:vertAlign w:val="superscript"/>
        </w:rPr>
        <w:t>a</w:t>
      </w:r>
      <w:r w:rsidR="00E200FF" w:rsidRPr="00E200FF">
        <w:t xml:space="preserve">Process Design and Biomass Utilization Research Group (IDAB). Chemical Engineering Program, </w:t>
      </w:r>
      <w:r w:rsidR="007D1104">
        <w:t>Universidad de Cartagena</w:t>
      </w:r>
      <w:r w:rsidR="00E200FF" w:rsidRPr="00E200FF">
        <w:t xml:space="preserve">, Av. </w:t>
      </w:r>
      <w:r w:rsidR="00E200FF" w:rsidRPr="001C41FB">
        <w:rPr>
          <w:lang w:val="es-CO"/>
        </w:rPr>
        <w:t>El Consulado Street 30 #48-150. Cartagena, Colombia.</w:t>
      </w:r>
    </w:p>
    <w:p w14:paraId="3D72B0B0" w14:textId="762D2FE2" w:rsidR="00B57E6F" w:rsidRPr="00E200FF" w:rsidRDefault="00B57E6F" w:rsidP="00B57E6F">
      <w:pPr>
        <w:pStyle w:val="CETAddress"/>
        <w:rPr>
          <w:lang w:val="es-CO"/>
        </w:rPr>
      </w:pPr>
      <w:r w:rsidRPr="00E200FF">
        <w:rPr>
          <w:vertAlign w:val="superscript"/>
          <w:lang w:val="es-CO"/>
        </w:rPr>
        <w:t>b</w:t>
      </w:r>
      <w:r w:rsidR="00E200FF" w:rsidRPr="00E200FF">
        <w:rPr>
          <w:lang w:val="es-CO"/>
        </w:rPr>
        <w:t xml:space="preserve">Biontessori Group. Colegio Montessori Cartagena, </w:t>
      </w:r>
      <w:r w:rsidR="007D1104" w:rsidRPr="007D1104">
        <w:rPr>
          <w:lang w:val="es-CO"/>
        </w:rPr>
        <w:t>Av. Jiménez Calle 26 No 18-86</w:t>
      </w:r>
      <w:r w:rsidR="007D1104">
        <w:rPr>
          <w:lang w:val="es-CO"/>
        </w:rPr>
        <w:t xml:space="preserve">, Cartagena, </w:t>
      </w:r>
      <w:r w:rsidR="00E200FF" w:rsidRPr="00E200FF">
        <w:rPr>
          <w:lang w:val="es-CO"/>
        </w:rPr>
        <w:t>Colombia.</w:t>
      </w:r>
    </w:p>
    <w:p w14:paraId="73F1267A" w14:textId="3E92F187" w:rsidR="00B57E6F" w:rsidRPr="00B57B36" w:rsidRDefault="00B57E6F" w:rsidP="00B57E6F">
      <w:pPr>
        <w:pStyle w:val="CETemail"/>
      </w:pPr>
      <w:r w:rsidRPr="001C41FB">
        <w:rPr>
          <w:lang w:val="es-CO"/>
        </w:rPr>
        <w:t xml:space="preserve"> </w:t>
      </w:r>
      <w:r w:rsidR="007D1104" w:rsidRPr="00595223">
        <w:rPr>
          <w:lang w:val="en-US"/>
        </w:rPr>
        <w:t>*</w:t>
      </w:r>
      <w:r w:rsidR="00E200FF" w:rsidRPr="00E200FF">
        <w:t>kojedad@unicartagena.edu.co</w:t>
      </w:r>
    </w:p>
    <w:p w14:paraId="7BB665A0" w14:textId="2F14B7AB" w:rsidR="000A096C" w:rsidRPr="00DE569C" w:rsidRDefault="00FC29EE" w:rsidP="007D0F2B">
      <w:pPr>
        <w:pStyle w:val="CETBodytext"/>
        <w:rPr>
          <w:b/>
          <w:bCs/>
          <w:lang w:val="en-GB"/>
        </w:rPr>
      </w:pPr>
      <w:r w:rsidRPr="00FC29EE">
        <w:rPr>
          <w:lang w:val="en-GB"/>
        </w:rPr>
        <w:t>Aquatic ecosystems are essential for the development of all forms of life. Water is the most valuable natural resource. The impact caused by contamination, urbanism, and population growth in the water bodies affects the ecosystems sustainability, raising the contamination levels in the water coast systems</w:t>
      </w:r>
      <w:r w:rsidR="00D435C3">
        <w:rPr>
          <w:lang w:val="en-GB"/>
        </w:rPr>
        <w:t xml:space="preserve">, </w:t>
      </w:r>
      <w:r w:rsidRPr="00FC29EE">
        <w:rPr>
          <w:lang w:val="en-GB"/>
        </w:rPr>
        <w:t xml:space="preserve">and affecting the biodiversity of the ecosystems. One of the most important water bodies in Cartagena-Colombia is Juan Angola </w:t>
      </w:r>
      <w:r w:rsidR="00611D94">
        <w:rPr>
          <w:lang w:val="en-GB"/>
        </w:rPr>
        <w:t>Creek</w:t>
      </w:r>
      <w:r w:rsidRPr="00FC29EE">
        <w:rPr>
          <w:lang w:val="en-GB"/>
        </w:rPr>
        <w:t xml:space="preserve">. This study presents the sustainability assessment of water ecosystems based on the modified Water Poverty Index (WPI) to determine access, impact of anthropogenic activities, availability, and </w:t>
      </w:r>
      <w:r w:rsidR="00611D94">
        <w:rPr>
          <w:lang w:val="en-GB"/>
        </w:rPr>
        <w:t>related</w:t>
      </w:r>
      <w:r w:rsidRPr="00FC29EE">
        <w:rPr>
          <w:lang w:val="en-GB"/>
        </w:rPr>
        <w:t xml:space="preserve"> parameters of bird biodiversity in the creek. The information to assess the index was taken from government reports for the components: resource, access, use,</w:t>
      </w:r>
      <w:r w:rsidR="00D435C3">
        <w:rPr>
          <w:lang w:val="en-GB"/>
        </w:rPr>
        <w:t xml:space="preserve"> </w:t>
      </w:r>
      <w:r w:rsidRPr="00FC29EE">
        <w:rPr>
          <w:lang w:val="en-GB"/>
        </w:rPr>
        <w:t>and capacity. Physicochemical, environmental</w:t>
      </w:r>
      <w:r w:rsidR="00611D94">
        <w:rPr>
          <w:lang w:val="en-GB"/>
        </w:rPr>
        <w:t>,</w:t>
      </w:r>
      <w:r w:rsidR="004446D0">
        <w:rPr>
          <w:lang w:val="en-GB"/>
        </w:rPr>
        <w:t xml:space="preserve"> </w:t>
      </w:r>
      <w:r w:rsidRPr="00FC29EE">
        <w:rPr>
          <w:lang w:val="en-GB"/>
        </w:rPr>
        <w:t>and bird parameters were taken in two samples distributed in a transect from the mouth of the creek to Torices’ bridge in the rainy</w:t>
      </w:r>
      <w:r w:rsidR="00D435C3">
        <w:rPr>
          <w:lang w:val="en-GB"/>
        </w:rPr>
        <w:t xml:space="preserve"> </w:t>
      </w:r>
      <w:r w:rsidRPr="00FC29EE">
        <w:rPr>
          <w:lang w:val="en-GB"/>
        </w:rPr>
        <w:t>and dry seasons of 2021 (m1)</w:t>
      </w:r>
      <w:r w:rsidR="00D435C3">
        <w:rPr>
          <w:lang w:val="en-GB"/>
        </w:rPr>
        <w:t>,</w:t>
      </w:r>
      <w:r w:rsidRPr="00FC29EE">
        <w:rPr>
          <w:lang w:val="en-GB"/>
        </w:rPr>
        <w:t xml:space="preserve"> and 2022 (m2), respectively. The results indicated that water poverty was low in WPI</w:t>
      </w:r>
      <w:r w:rsidR="004446D0">
        <w:rPr>
          <w:lang w:val="en-GB"/>
        </w:rPr>
        <w:t xml:space="preserve"> </w:t>
      </w:r>
      <w:r w:rsidRPr="00FC29EE">
        <w:rPr>
          <w:lang w:val="en-GB"/>
        </w:rPr>
        <w:t xml:space="preserve">and modified Water Poverty Index (WPI-mB), which indicates </w:t>
      </w:r>
      <w:r w:rsidR="00611D94">
        <w:rPr>
          <w:lang w:val="en-GB"/>
        </w:rPr>
        <w:t>favourable</w:t>
      </w:r>
      <w:r w:rsidRPr="00FC29EE">
        <w:rPr>
          <w:lang w:val="en-GB"/>
        </w:rPr>
        <w:t xml:space="preserve"> environmental conditions for access to water sources</w:t>
      </w:r>
      <w:r w:rsidR="00D435C3">
        <w:rPr>
          <w:lang w:val="en-GB"/>
        </w:rPr>
        <w:t xml:space="preserve"> </w:t>
      </w:r>
      <w:r w:rsidRPr="00FC29EE">
        <w:rPr>
          <w:lang w:val="en-GB"/>
        </w:rPr>
        <w:t xml:space="preserve">and sustainable development measures. The bird parameters implementation marked a difference in the WPI-mB values because this involves the species that inhabit the water body affected by </w:t>
      </w:r>
      <w:r w:rsidR="00611D94">
        <w:rPr>
          <w:lang w:val="en-GB"/>
        </w:rPr>
        <w:t>environmental</w:t>
      </w:r>
      <w:r w:rsidRPr="00FC29EE">
        <w:rPr>
          <w:lang w:val="en-GB"/>
        </w:rPr>
        <w:t xml:space="preserve"> changes. For future research, it is recommended to monitor other taxonomic groups in the biodiversity index to expand </w:t>
      </w:r>
      <w:r w:rsidR="00D84678" w:rsidRPr="00D84678">
        <w:rPr>
          <w:lang w:val="en-GB"/>
        </w:rPr>
        <w:t>the information on ecosystem overexposure.</w:t>
      </w:r>
    </w:p>
    <w:p w14:paraId="476B2F2E" w14:textId="77777777" w:rsidR="00600535" w:rsidRPr="00B57B36" w:rsidRDefault="00600535" w:rsidP="00600535">
      <w:pPr>
        <w:pStyle w:val="CETHeading1"/>
        <w:rPr>
          <w:lang w:val="en-GB"/>
        </w:rPr>
      </w:pPr>
      <w:r w:rsidRPr="00B57B36">
        <w:rPr>
          <w:lang w:val="en-GB"/>
        </w:rPr>
        <w:t>Introduction</w:t>
      </w:r>
    </w:p>
    <w:p w14:paraId="5D27FF76" w14:textId="78E391F1" w:rsidR="000F30EA" w:rsidRDefault="00B24577" w:rsidP="00E204F1">
      <w:pPr>
        <w:pStyle w:val="CETBodytext"/>
        <w:rPr>
          <w:rFonts w:eastAsia="Calibri" w:cs="Arial"/>
          <w:kern w:val="2"/>
          <w:szCs w:val="18"/>
          <w14:ligatures w14:val="standardContextual"/>
        </w:rPr>
      </w:pPr>
      <w:r w:rsidRPr="00B24577">
        <w:t>Environmental pollution is one of the biggest problems facing humanity today</w:t>
      </w:r>
      <w:r>
        <w:t xml:space="preserve"> </w:t>
      </w:r>
      <w:r w:rsidR="004A72D3" w:rsidRPr="004A72D3">
        <w:t>(Beck et al., 2020)</w:t>
      </w:r>
      <w:r w:rsidR="00797586">
        <w:t xml:space="preserve">. </w:t>
      </w:r>
      <w:r w:rsidR="00797586" w:rsidRPr="00797586">
        <w:t xml:space="preserve">Therefore, it is necessary to ensure </w:t>
      </w:r>
      <w:r w:rsidR="00611D94">
        <w:t>a</w:t>
      </w:r>
      <w:r w:rsidR="00797586" w:rsidRPr="00797586">
        <w:t xml:space="preserve"> sustainable water supply to the growing population</w:t>
      </w:r>
      <w:r w:rsidR="00797586">
        <w:t xml:space="preserve"> </w:t>
      </w:r>
      <w:r w:rsidR="008401D9">
        <w:fldChar w:fldCharType="begin" w:fldLock="1"/>
      </w:r>
      <w:r w:rsidR="008401D9">
        <w:instrText>ADDIN CSL_CITATION {"citationItems":[{"id":"ITEM-1","itemData":{"DOI":"10.1016/j.jenvman.2020.111748","author":[{"dropping-particle":"","family":"Bafarasat","given":"Abbas Ziafati","non-dropping-particle":"","parse-names":false,"suffix":""}],"container-title":"Journal of Environmental Management","id":"ITEM-1","issued":{"date-parts":[["2021"]]},"page":"1-13","title":"Is our urban water system still sustainable ? A simple statistical test with complexity science insight","type":"article-journal","volume":"280"},"uris":["http://www.mendeley.com/documents/?uuid=1d46e68f-0d9e-4669-905e-bd84fad813d8"]}],"mendeley":{"formattedCitation":"(Bafarasat, 2021)","plainTextFormattedCitation":"(Bafarasat, 2021)","previouslyFormattedCitation":"(Bafarasat, 2021)"},"properties":{"noteIndex":0},"schema":"https://github.com/citation-style-language/schema/raw/master/csl-citation.json"}</w:instrText>
      </w:r>
      <w:r w:rsidR="008401D9">
        <w:fldChar w:fldCharType="separate"/>
      </w:r>
      <w:r w:rsidR="008401D9" w:rsidRPr="008401D9">
        <w:rPr>
          <w:noProof/>
        </w:rPr>
        <w:t>(Bafarasat, 2021)</w:t>
      </w:r>
      <w:r w:rsidR="008401D9">
        <w:fldChar w:fldCharType="end"/>
      </w:r>
      <w:r w:rsidR="004A72D3" w:rsidRPr="004A72D3">
        <w:t xml:space="preserve">. </w:t>
      </w:r>
      <w:r w:rsidR="00797586" w:rsidRPr="00797586">
        <w:t>Surface waters are found in lakes, seas, wetlands, streams, oceans</w:t>
      </w:r>
      <w:r w:rsidR="00D435C3">
        <w:t>,</w:t>
      </w:r>
      <w:r w:rsidR="00797586" w:rsidRPr="00797586">
        <w:t xml:space="preserve"> and rivers</w:t>
      </w:r>
      <w:r w:rsidR="00D435C3">
        <w:t xml:space="preserve">. </w:t>
      </w:r>
      <w:r w:rsidR="00D435C3" w:rsidRPr="00D435C3">
        <w:t>They are the most</w:t>
      </w:r>
      <w:r w:rsidR="00896BE0">
        <w:t xml:space="preserve"> </w:t>
      </w:r>
      <w:r w:rsidR="00D435C3" w:rsidRPr="00D435C3">
        <w:t>exploited water source in the world due to the intensification of agriculture and industrial activities</w:t>
      </w:r>
      <w:r w:rsidR="00797586" w:rsidRPr="00797586">
        <w:t>, waste disposal</w:t>
      </w:r>
      <w:r w:rsidR="004446D0">
        <w:t>,</w:t>
      </w:r>
      <w:r w:rsidR="00797586" w:rsidRPr="00797586">
        <w:t xml:space="preserve"> and sewage disposal</w:t>
      </w:r>
      <w:r w:rsidR="00797586">
        <w:t xml:space="preserve"> </w:t>
      </w:r>
      <w:r w:rsidR="00141F16">
        <w:fldChar w:fldCharType="begin" w:fldLock="1"/>
      </w:r>
      <w:r w:rsidR="008401D9">
        <w:instrText>ADDIN CSL_CITATION {"citationItems":[{"id":"ITEM-1","itemData":{"DOI":"10.1016/j.gsd.2021.100654","abstract":"Surface water quality deterioration is one of the primary issues of the twenty-first century due to the high demand for drinking and irrigation purposes in most communities. The purpose of this study was to investigate the suitability of the Sisa river in Kumasi Metropolis, as well as the critical factors affecting its water quality and human health risk among children and adults. The findings indicated that the surface water was alkaline and, in some samples, turbidity, alkalinity, color, microbial, Fe, and Cr concentrations exceeded the standard permissible limits of WHO. Water from individual sampling sites contained Escherichia coli, total, and fecal coliform counts. There was no strong significant correlation among the levels of the heavy metals, suggesting their lack of control in their distribution, source, and transport pathway. Principal component analysis (PCA) revealed three factors that account for about 98.86 % of the total variance in the surface water quality data set. Moreover, PCA findings revealed that geogenic and anthropogenic sources were responsible for variations in physicochemical and microbiological parameters of the study area. Fe and Cr were found to have high toxic levels among the heavy metals analyzed. The heavy metal assessment index indicated moderate to high hazards. Cu had a hazard index greater than one at Duase and Atonsu, indicating a possible non-carcinogenic risk. The overall carcinogenic risk values were greater than 10−6, indicating the possibility of cancer. Water quality index values ranging from 97.95 to 137.22 percent showed that about 75 % of the samples were of poor quality. Based on these results, we recommended proper water management strategies and policies should be implemented as soon as possible to manage and protect the water resources.","author":[{"dropping-particle":"","family":"Akoto","given":"Osei","non-dropping-particle":"","parse-names":false,"suffix":""},{"dropping-particle":"","family":"Adopler","given":"Albert","non-dropping-particle":"","parse-names":false,"suffix":""},{"dropping-particle":"","family":"Tepkor","given":"Hanson Edward","non-dropping-particle":"","parse-names":false,"suffix":""},{"dropping-particle":"","family":"Opoku","given":"Francis","non-dropping-particle":"","parse-names":false,"suffix":""}],"container-title":"Groundwater for Sustainable Development","id":"ITEM-1","issued":{"date-parts":[["2021"]]},"page":"1-13","publisher":"Elsevier B.V.","title":"A comprehensive evaluation of surface water quality and potential health risk assessments of Sisa river, Kumasi","type":"article-journal","volume":"15"},"uris":["http://www.mendeley.com/documents/?uuid=c40e3680-eabd-4493-9776-17211695ca61"]}],"mendeley":{"formattedCitation":"(Akoto et al., 2021)","plainTextFormattedCitation":"(Akoto et al., 2021)","previouslyFormattedCitation":"(Akoto et al., 2021)"},"properties":{"noteIndex":0},"schema":"https://github.com/citation-style-language/schema/raw/master/csl-citation.json"}</w:instrText>
      </w:r>
      <w:r w:rsidR="00141F16">
        <w:fldChar w:fldCharType="separate"/>
      </w:r>
      <w:r w:rsidR="00141F16" w:rsidRPr="00141F16">
        <w:rPr>
          <w:noProof/>
        </w:rPr>
        <w:t>(Akoto et al., 2021)</w:t>
      </w:r>
      <w:r w:rsidR="00141F16">
        <w:fldChar w:fldCharType="end"/>
      </w:r>
      <w:r w:rsidR="00141F16">
        <w:t xml:space="preserve">. </w:t>
      </w:r>
      <w:r w:rsidR="00611D94">
        <w:t>Resource</w:t>
      </w:r>
      <w:r w:rsidR="00797586" w:rsidRPr="00797586">
        <w:t xml:space="preserve"> scarcity water has generated the development of strategies that seek to help its conservation</w:t>
      </w:r>
      <w:r w:rsidR="00797586">
        <w:t xml:space="preserve"> </w:t>
      </w:r>
      <w:r w:rsidR="008D239C">
        <w:fldChar w:fldCharType="begin" w:fldLock="1"/>
      </w:r>
      <w:r w:rsidR="008D239C">
        <w:instrText>ADDIN CSL_CITATION {"citationItems":[{"id":"ITEM-1","itemData":{"DOI":"10.3303/CET2186150","ISBN":"9788895608846","ISSN":"22839216","abstract":"This work aims to extend the Pinch-based approach, namely the Material Recovery Pinch Diagram to identify the minimum numbers of water mains/headers required, flowrates and concentrations of the contaminants inside the water mains/headers. The freshwater target should be first determined using the Source and Sink Composite Curves (CC) representations. The header lines can then be drawn along the Source CC to determine the optimal mixing of the water sources that the contaminant limits for the sinks are not violated, while guarantees the freshwater target is still achieved. The attributes of the header lines represent the properties of the headers. The number of segments in the header lines represent the minimum number of headers required, the horizontal length of the segment represent the flowrates inside the water mains and the gradient of the segment is the concentrations of the contaminants inside the header. The methodology can be applied to both process and site-level scale. The approach is flexible for different scenario including single Pinch Point problem, multiple Pinch Points problem and threshold problem. A case study is used to elucidate the proposed methodology. The proposed method is beneficial as it provides a graphical interface for the header targeting and design for the decision-makers. The lengths and gradients of the header lines can also be tweaked by the users as long as the header lines are below the Sink CC.","author":[{"dropping-particle":"","family":"Chin","given":"Hon Huin","non-dropping-particle":"","parse-names":false,"suffix":""},{"dropping-particle":"","family":"Jia","given":"Xuexiu","non-dropping-particle":"","parse-names":false,"suffix":""},{"dropping-particle":"","family":"Varbanov","given":"Petar Sabev","non-dropping-particle":"","parse-names":false,"suffix":""},{"dropping-particle":"","family":"Klemeš","given":"Jiří Jaromír","non-dropping-particle":"","parse-names":false,"suffix":""},{"dropping-particle":"","family":"Alwi","given":"Sharifah Rafidah Wan","non-dropping-particle":"","parse-names":false,"suffix":""}],"container-title":"Chemical Engineering Transactions","id":"ITEM-1","issued":{"date-parts":[["2021"]]},"page":"895-900","title":"Targeting flowrates and concentrations in internal or total site water mains for single contaminant","type":"article-journal","volume":"86"},"uris":["http://www.mendeley.com/documents/?uuid=b07518f5-c21c-4eb9-aa67-1869dfb5196d"]}],"mendeley":{"formattedCitation":"(Chin et al., 2021)","plainTextFormattedCitation":"(Chin et al., 2021)","previouslyFormattedCitation":"(Chin et al., 2021)"},"properties":{"noteIndex":0},"schema":"https://github.com/citation-style-language/schema/raw/master/csl-citation.json"}</w:instrText>
      </w:r>
      <w:r w:rsidR="008D239C">
        <w:fldChar w:fldCharType="separate"/>
      </w:r>
      <w:r w:rsidR="008D239C" w:rsidRPr="008D239C">
        <w:rPr>
          <w:noProof/>
        </w:rPr>
        <w:t>(Chin et al., 2021)</w:t>
      </w:r>
      <w:r w:rsidR="008D239C">
        <w:fldChar w:fldCharType="end"/>
      </w:r>
      <w:r w:rsidR="008D239C">
        <w:t xml:space="preserve">. </w:t>
      </w:r>
      <w:r w:rsidR="00797586" w:rsidRPr="00797586">
        <w:t xml:space="preserve">Colombia is one of the most biodiverse countries in the world. It has many water bodies in different regions, including the Caribbean region, where Cartagena is located. Cartagena has </w:t>
      </w:r>
      <w:r w:rsidR="00896BE0">
        <w:t xml:space="preserve">important </w:t>
      </w:r>
      <w:r w:rsidR="00797586" w:rsidRPr="00797586">
        <w:t>water bodies</w:t>
      </w:r>
      <w:r w:rsidR="004446D0">
        <w:t xml:space="preserve"> </w:t>
      </w:r>
      <w:r w:rsidR="00797586" w:rsidRPr="00797586">
        <w:t>and one of them is the Juan Angola Creek located in the northern part connecting La Virgen wetland with the Cabrero Lagoon. However, the Juan Angola Creek, its mangroves, the bed through which its waters flow, and the inhabitants who live on its banks suffer serious problems caused by the uncontrolled deposit of waste, the noise generated by vehicles, the aircraft leaving the Rafael Nuñez Airport, illegal occupation, rainwater runoff, water served through informal settlement on the creek banks</w:t>
      </w:r>
      <w:r w:rsidR="00896BE0">
        <w:t>,</w:t>
      </w:r>
      <w:r w:rsidR="00797586" w:rsidRPr="00797586">
        <w:t xml:space="preserve"> and the presence of a gas station these are causes of dangers to</w:t>
      </w:r>
      <w:r w:rsidR="00896BE0">
        <w:t xml:space="preserve"> </w:t>
      </w:r>
      <w:r w:rsidR="00797586" w:rsidRPr="00797586">
        <w:t xml:space="preserve">the ecosystem preservation. Currently, there is inequality in the distribution of water resources throughout the world, a situation that is aggravated by climate change. This scarcity is known as </w:t>
      </w:r>
      <w:r w:rsidR="00896BE0" w:rsidRPr="00797586">
        <w:t xml:space="preserve">water </w:t>
      </w:r>
      <w:r w:rsidR="00A775EB" w:rsidRPr="00797586">
        <w:t>poverty and</w:t>
      </w:r>
      <w:r w:rsidR="00797586" w:rsidRPr="00797586">
        <w:t xml:space="preserve"> can be related to the lack of resources</w:t>
      </w:r>
      <w:r w:rsidR="00F830B3">
        <w:rPr>
          <w:rFonts w:eastAsia="Calibri" w:cs="Arial"/>
          <w:kern w:val="2"/>
          <w:szCs w:val="18"/>
          <w14:ligatures w14:val="standardContextual"/>
        </w:rPr>
        <w:t>.</w:t>
      </w:r>
    </w:p>
    <w:p w14:paraId="6D32ECBB" w14:textId="2AEB24A3" w:rsidR="000F30EA" w:rsidRDefault="004A72D3" w:rsidP="00E204F1">
      <w:pPr>
        <w:pStyle w:val="CETBodytext"/>
        <w:rPr>
          <w:rFonts w:eastAsia="Calibri" w:cs="Arial"/>
          <w:kern w:val="2"/>
          <w:szCs w:val="18"/>
          <w14:ligatures w14:val="standardContextual"/>
        </w:rPr>
      </w:pPr>
      <w:r w:rsidRPr="004A72D3">
        <w:rPr>
          <w:rFonts w:eastAsia="Calibri" w:cs="Arial"/>
          <w:kern w:val="2"/>
          <w:szCs w:val="18"/>
          <w14:ligatures w14:val="standardContextual"/>
        </w:rPr>
        <w:lastRenderedPageBreak/>
        <w:t xml:space="preserve">The water poverty index (WPI) was developed to measure the degree of affectation to water from a holistic perspective, </w:t>
      </w:r>
      <w:r w:rsidR="00C03C1D" w:rsidRPr="004A72D3">
        <w:rPr>
          <w:rFonts w:eastAsia="Calibri" w:cs="Arial"/>
          <w:kern w:val="2"/>
          <w:szCs w:val="18"/>
          <w14:ligatures w14:val="standardContextual"/>
        </w:rPr>
        <w:t>considering</w:t>
      </w:r>
      <w:r w:rsidRPr="004A72D3">
        <w:rPr>
          <w:rFonts w:eastAsia="Calibri" w:cs="Arial"/>
          <w:kern w:val="2"/>
          <w:szCs w:val="18"/>
          <w14:ligatures w14:val="standardContextual"/>
        </w:rPr>
        <w:t xml:space="preserve"> the physical, social, environmental, and economic spheres</w:t>
      </w:r>
      <w:r w:rsidR="00675164">
        <w:rPr>
          <w:rFonts w:eastAsia="Calibri" w:cs="Arial"/>
          <w:kern w:val="2"/>
          <w:szCs w:val="18"/>
          <w14:ligatures w14:val="standardContextual"/>
        </w:rPr>
        <w:t>. WPI</w:t>
      </w:r>
      <w:r w:rsidRPr="004A72D3">
        <w:rPr>
          <w:rFonts w:eastAsia="Calibri" w:cs="Arial"/>
          <w:kern w:val="2"/>
          <w:szCs w:val="18"/>
          <w14:ligatures w14:val="standardContextual"/>
        </w:rPr>
        <w:t xml:space="preserve"> can be applied at the local, district, and national levels (Sullivan et al., 2003). WPI shows an overview of the state of water resources, where factors specific to the territory under study are evaluated, managing to guide the development of public and government policies that take measures against the results of monitoring (Thakur et al., 2017). However, water poverty is not only due to the lack of the resource but also to the management that occurs from the multidimensionality of the environment (Ladi et al., 2021), therefore, the WPI combines five components or dimensions, among which are: resources (R), access (A), capacity (C), use (U)</w:t>
      </w:r>
      <w:r w:rsidR="00675164">
        <w:rPr>
          <w:rFonts w:eastAsia="Calibri" w:cs="Arial"/>
          <w:kern w:val="2"/>
          <w:szCs w:val="18"/>
          <w14:ligatures w14:val="standardContextual"/>
        </w:rPr>
        <w:t>,</w:t>
      </w:r>
      <w:r w:rsidRPr="004A72D3">
        <w:rPr>
          <w:rFonts w:eastAsia="Calibri" w:cs="Arial"/>
          <w:kern w:val="2"/>
          <w:szCs w:val="18"/>
          <w14:ligatures w14:val="standardContextual"/>
        </w:rPr>
        <w:t xml:space="preserve"> and environment (E) (El-Gafy, 2018)</w:t>
      </w:r>
      <w:r w:rsidR="00797586">
        <w:rPr>
          <w:rFonts w:eastAsia="Calibri" w:cs="Arial"/>
          <w:kern w:val="2"/>
          <w:szCs w:val="18"/>
          <w14:ligatures w14:val="standardContextual"/>
        </w:rPr>
        <w:t>. E</w:t>
      </w:r>
      <w:r w:rsidRPr="004A72D3">
        <w:rPr>
          <w:rFonts w:eastAsia="Calibri" w:cs="Arial"/>
          <w:kern w:val="2"/>
          <w:szCs w:val="18"/>
          <w14:ligatures w14:val="standardContextual"/>
        </w:rPr>
        <w:t xml:space="preserve">ach of the components has several subcomponents that vary depending on accessibility and the site where they are </w:t>
      </w:r>
      <w:r>
        <w:rPr>
          <w:rFonts w:eastAsia="Calibri" w:cs="Arial"/>
          <w:kern w:val="2"/>
          <w:szCs w:val="18"/>
          <w14:ligatures w14:val="standardContextual"/>
        </w:rPr>
        <w:t>evaluated (Kallio et al., 2018)</w:t>
      </w:r>
      <w:r w:rsidR="00385798" w:rsidRPr="00385798">
        <w:rPr>
          <w:rFonts w:eastAsia="Calibri" w:cs="Arial"/>
          <w:kern w:val="2"/>
          <w:szCs w:val="18"/>
          <w14:ligatures w14:val="standardContextual"/>
        </w:rPr>
        <w:t>.</w:t>
      </w:r>
      <w:r w:rsidR="00C03C1D">
        <w:rPr>
          <w:rFonts w:eastAsia="Calibri" w:cs="Arial"/>
          <w:kern w:val="2"/>
          <w:szCs w:val="18"/>
          <w14:ligatures w14:val="standardContextual"/>
        </w:rPr>
        <w:t xml:space="preserve"> </w:t>
      </w:r>
    </w:p>
    <w:p w14:paraId="75C35D5C" w14:textId="1D767866" w:rsidR="00385798" w:rsidRPr="007D0F2B" w:rsidRDefault="00797586" w:rsidP="00E204F1">
      <w:pPr>
        <w:pStyle w:val="CETBodytext"/>
        <w:rPr>
          <w:rFonts w:eastAsia="Calibri" w:cs="Arial"/>
          <w:kern w:val="2"/>
          <w:szCs w:val="18"/>
          <w14:ligatures w14:val="standardContextual"/>
        </w:rPr>
      </w:pPr>
      <w:r w:rsidRPr="00797586">
        <w:rPr>
          <w:rFonts w:eastAsia="Calibri" w:cs="Arial"/>
          <w:kern w:val="2"/>
          <w:szCs w:val="18"/>
          <w14:ligatures w14:val="standardContextual"/>
        </w:rPr>
        <w:t xml:space="preserve">In this research, the WPI was modified with biodiversity parameters using bioindicator species for the ecosystem’s evaluation considering the resources and the environmental affectation. Through alpha diversity (such as </w:t>
      </w:r>
      <w:r w:rsidR="00F22C08">
        <w:rPr>
          <w:rFonts w:eastAsia="Calibri" w:cs="Arial"/>
          <w:kern w:val="2"/>
          <w:szCs w:val="18"/>
          <w14:ligatures w14:val="standardContextual"/>
        </w:rPr>
        <w:t>w</w:t>
      </w:r>
      <w:r w:rsidR="00F22C08" w:rsidRPr="00F22C08">
        <w:rPr>
          <w:rFonts w:eastAsia="Calibri" w:cs="Arial"/>
          <w:kern w:val="2"/>
          <w:szCs w:val="18"/>
          <w14:ligatures w14:val="standardContextual"/>
        </w:rPr>
        <w:t>ealth</w:t>
      </w:r>
      <w:r w:rsidRPr="00797586">
        <w:rPr>
          <w:rFonts w:eastAsia="Calibri" w:cs="Arial"/>
          <w:kern w:val="2"/>
          <w:szCs w:val="18"/>
          <w14:ligatures w14:val="standardContextual"/>
        </w:rPr>
        <w:t xml:space="preserve">), birds are model bioindicators </w:t>
      </w:r>
      <w:r w:rsidR="00A34EC2">
        <w:rPr>
          <w:rFonts w:eastAsia="Calibri" w:cs="Arial"/>
          <w:kern w:val="2"/>
          <w:szCs w:val="18"/>
          <w14:ligatures w14:val="standardContextual"/>
        </w:rPr>
        <w:t xml:space="preserve">because it </w:t>
      </w:r>
      <w:r w:rsidR="00A34EC2" w:rsidRPr="00797586">
        <w:rPr>
          <w:rFonts w:eastAsia="Calibri" w:cs="Arial"/>
          <w:kern w:val="2"/>
          <w:szCs w:val="18"/>
          <w14:ligatures w14:val="standardContextual"/>
        </w:rPr>
        <w:t>responds</w:t>
      </w:r>
      <w:r w:rsidRPr="00797586">
        <w:rPr>
          <w:rFonts w:eastAsia="Calibri" w:cs="Arial"/>
          <w:kern w:val="2"/>
          <w:szCs w:val="18"/>
          <w14:ligatures w14:val="standardContextual"/>
        </w:rPr>
        <w:t xml:space="preserve"> to environmental changes in the ecosystems</w:t>
      </w:r>
      <w:r>
        <w:rPr>
          <w:rFonts w:eastAsia="Calibri" w:cs="Arial"/>
          <w:kern w:val="2"/>
          <w:szCs w:val="18"/>
          <w14:ligatures w14:val="standardContextual"/>
        </w:rPr>
        <w:t xml:space="preserve"> </w:t>
      </w:r>
      <w:r w:rsidR="004A72D3" w:rsidRPr="004A72D3">
        <w:rPr>
          <w:rFonts w:eastAsia="Calibri" w:cs="Arial"/>
          <w:kern w:val="2"/>
          <w:szCs w:val="18"/>
          <w14:ligatures w14:val="standardContextual"/>
        </w:rPr>
        <w:t xml:space="preserve">(Garizábal-Carmona </w:t>
      </w:r>
      <w:r w:rsidR="00AD70CA">
        <w:rPr>
          <w:rFonts w:eastAsia="Calibri" w:cs="Arial"/>
          <w:kern w:val="2"/>
          <w:szCs w:val="18"/>
          <w14:ligatures w14:val="standardContextual"/>
        </w:rPr>
        <w:t>and</w:t>
      </w:r>
      <w:r w:rsidR="004A72D3" w:rsidRPr="004A72D3">
        <w:rPr>
          <w:rFonts w:eastAsia="Calibri" w:cs="Arial"/>
          <w:kern w:val="2"/>
          <w:szCs w:val="18"/>
          <w14:ligatures w14:val="standardContextual"/>
        </w:rPr>
        <w:t xml:space="preserve"> Mancera-Rodríguez, 2021). </w:t>
      </w:r>
      <w:r w:rsidRPr="00797586">
        <w:rPr>
          <w:rFonts w:eastAsia="Calibri" w:cs="Arial"/>
          <w:kern w:val="2"/>
          <w:szCs w:val="18"/>
          <w14:ligatures w14:val="standardContextual"/>
        </w:rPr>
        <w:t>Ecosystems are threatened by the decline in bird diversity as they influence ecosystem functions and indicate the destruction of their habitats</w:t>
      </w:r>
      <w:r>
        <w:rPr>
          <w:rFonts w:eastAsia="Calibri" w:cs="Arial"/>
          <w:kern w:val="2"/>
          <w:szCs w:val="18"/>
          <w14:ligatures w14:val="standardContextual"/>
        </w:rPr>
        <w:t xml:space="preserve"> </w:t>
      </w:r>
      <w:r w:rsidR="004A72D3" w:rsidRPr="004A72D3">
        <w:rPr>
          <w:rFonts w:eastAsia="Calibri" w:cs="Arial"/>
          <w:kern w:val="2"/>
          <w:szCs w:val="18"/>
          <w14:ligatures w14:val="standardContextual"/>
        </w:rPr>
        <w:t xml:space="preserve">(Soifer et al., 2021). </w:t>
      </w:r>
      <w:r w:rsidRPr="00797586">
        <w:rPr>
          <w:rFonts w:eastAsia="Calibri" w:cs="Arial"/>
          <w:kern w:val="2"/>
          <w:szCs w:val="18"/>
          <w14:ligatures w14:val="standardContextual"/>
        </w:rPr>
        <w:t xml:space="preserve">Currently, to estimate the </w:t>
      </w:r>
      <w:r w:rsidR="00F22C08">
        <w:rPr>
          <w:rFonts w:eastAsia="Calibri" w:cs="Arial"/>
          <w:kern w:val="2"/>
          <w:szCs w:val="18"/>
          <w14:ligatures w14:val="standardContextual"/>
        </w:rPr>
        <w:t>w</w:t>
      </w:r>
      <w:r w:rsidR="00F22C08" w:rsidRPr="00F22C08">
        <w:rPr>
          <w:rFonts w:eastAsia="Calibri" w:cs="Arial"/>
          <w:kern w:val="2"/>
          <w:szCs w:val="18"/>
          <w14:ligatures w14:val="standardContextual"/>
        </w:rPr>
        <w:t>ealth</w:t>
      </w:r>
      <w:r w:rsidRPr="00797586">
        <w:rPr>
          <w:rFonts w:eastAsia="Calibri" w:cs="Arial"/>
          <w:kern w:val="2"/>
          <w:szCs w:val="18"/>
          <w14:ligatures w14:val="standardContextual"/>
        </w:rPr>
        <w:t xml:space="preserve"> and </w:t>
      </w:r>
      <w:r w:rsidR="001F3531" w:rsidRPr="00797586">
        <w:rPr>
          <w:rFonts w:eastAsia="Calibri" w:cs="Arial"/>
          <w:kern w:val="2"/>
          <w:szCs w:val="18"/>
          <w14:ligatures w14:val="standardContextual"/>
        </w:rPr>
        <w:t>birds’</w:t>
      </w:r>
      <w:r w:rsidR="001F3531">
        <w:rPr>
          <w:rFonts w:eastAsia="Calibri" w:cs="Arial"/>
          <w:kern w:val="2"/>
          <w:szCs w:val="18"/>
          <w14:ligatures w14:val="standardContextual"/>
        </w:rPr>
        <w:t xml:space="preserve"> </w:t>
      </w:r>
      <w:r w:rsidRPr="00797586">
        <w:rPr>
          <w:rFonts w:eastAsia="Calibri" w:cs="Arial"/>
          <w:kern w:val="2"/>
          <w:szCs w:val="18"/>
          <w14:ligatures w14:val="standardContextual"/>
        </w:rPr>
        <w:t>abundance</w:t>
      </w:r>
      <w:r w:rsidR="001F3531">
        <w:rPr>
          <w:rFonts w:eastAsia="Calibri" w:cs="Arial"/>
          <w:kern w:val="2"/>
          <w:szCs w:val="18"/>
          <w14:ligatures w14:val="standardContextual"/>
        </w:rPr>
        <w:t xml:space="preserve"> </w:t>
      </w:r>
      <w:r w:rsidRPr="00797586">
        <w:rPr>
          <w:rFonts w:eastAsia="Calibri" w:cs="Arial"/>
          <w:kern w:val="2"/>
          <w:szCs w:val="18"/>
          <w14:ligatures w14:val="standardContextual"/>
        </w:rPr>
        <w:t>of different classifications, systematic censuses are carried out in different seasons</w:t>
      </w:r>
      <w:r w:rsidR="004446D0">
        <w:rPr>
          <w:rFonts w:eastAsia="Calibri" w:cs="Arial"/>
          <w:kern w:val="2"/>
          <w:szCs w:val="18"/>
          <w14:ligatures w14:val="standardContextual"/>
        </w:rPr>
        <w:t>,</w:t>
      </w:r>
      <w:r w:rsidRPr="00797586">
        <w:rPr>
          <w:rFonts w:eastAsia="Calibri" w:cs="Arial"/>
          <w:kern w:val="2"/>
          <w:szCs w:val="18"/>
          <w14:ligatures w14:val="standardContextual"/>
        </w:rPr>
        <w:t xml:space="preserve"> and statistical analyzes of alpha and beta diversity, using the Shannon-Wiener diversity indices</w:t>
      </w:r>
      <w:r w:rsidR="001F3531">
        <w:rPr>
          <w:rFonts w:eastAsia="Calibri" w:cs="Arial"/>
          <w:kern w:val="2"/>
          <w:szCs w:val="18"/>
          <w14:ligatures w14:val="standardContextual"/>
        </w:rPr>
        <w:t>,</w:t>
      </w:r>
      <w:r w:rsidRPr="00797586">
        <w:rPr>
          <w:rFonts w:eastAsia="Calibri" w:cs="Arial"/>
          <w:kern w:val="2"/>
          <w:szCs w:val="18"/>
          <w14:ligatures w14:val="standardContextual"/>
        </w:rPr>
        <w:t xml:space="preserve"> and the Sorensen dissimilarity index </w:t>
      </w:r>
      <w:r w:rsidR="004A72D3" w:rsidRPr="004A72D3">
        <w:rPr>
          <w:rFonts w:eastAsia="Calibri" w:cs="Arial"/>
          <w:kern w:val="2"/>
          <w:szCs w:val="18"/>
          <w14:ligatures w14:val="standardContextual"/>
        </w:rPr>
        <w:t>(Li et al., 2021), d</w:t>
      </w:r>
      <w:r w:rsidR="00BB6A7C">
        <w:rPr>
          <w:rFonts w:eastAsia="Calibri" w:cs="Arial"/>
          <w:kern w:val="2"/>
          <w:szCs w:val="18"/>
          <w14:ligatures w14:val="standardContextual"/>
        </w:rPr>
        <w:t>ensity</w:t>
      </w:r>
      <w:r w:rsidR="004A72D3" w:rsidRPr="004A72D3">
        <w:rPr>
          <w:rFonts w:eastAsia="Calibri" w:cs="Arial"/>
          <w:kern w:val="2"/>
          <w:szCs w:val="18"/>
          <w14:ligatures w14:val="standardContextual"/>
        </w:rPr>
        <w:t xml:space="preserve"> index</w:t>
      </w:r>
      <w:r w:rsidR="00BB6A7C">
        <w:rPr>
          <w:rFonts w:eastAsia="Calibri" w:cs="Arial"/>
          <w:kern w:val="2"/>
          <w:szCs w:val="18"/>
          <w14:ligatures w14:val="standardContextual"/>
        </w:rPr>
        <w:t>,</w:t>
      </w:r>
      <w:r w:rsidR="004A72D3" w:rsidRPr="004A72D3">
        <w:rPr>
          <w:rFonts w:eastAsia="Calibri" w:cs="Arial"/>
          <w:kern w:val="2"/>
          <w:szCs w:val="18"/>
          <w14:ligatures w14:val="standardContextual"/>
        </w:rPr>
        <w:t xml:space="preserve"> and community proportion of birds (Zhang et al., 2021). Therefore, bird parameters were used to analyze Juan Angola Creek as a new dimension in the WPI.</w:t>
      </w:r>
    </w:p>
    <w:p w14:paraId="26410010" w14:textId="73702038" w:rsidR="004C4895" w:rsidRPr="004C4895" w:rsidRDefault="004C4895" w:rsidP="004C4895">
      <w:pPr>
        <w:pStyle w:val="CETHeading1"/>
      </w:pPr>
      <w:r w:rsidRPr="004C4895">
        <w:t>Materials and methods</w:t>
      </w:r>
    </w:p>
    <w:p w14:paraId="7D171971" w14:textId="7079ADD9" w:rsidR="004C4895" w:rsidRPr="004C4895" w:rsidRDefault="004C4895" w:rsidP="004C4895">
      <w:pPr>
        <w:pStyle w:val="CETheadingx"/>
      </w:pPr>
      <w:r w:rsidRPr="004C4895">
        <w:t>Study area</w:t>
      </w:r>
    </w:p>
    <w:p w14:paraId="7C2B0064" w14:textId="1907CAE0" w:rsidR="00453E24" w:rsidRPr="00E204F1" w:rsidRDefault="00F14BC9" w:rsidP="00793BDF">
      <w:r w:rsidRPr="00F14BC9">
        <w:t xml:space="preserve">The study area for this research relates to the City of Cartagena-Colombia considering one of its most important water bodies: the Juan Angola </w:t>
      </w:r>
      <w:r w:rsidR="001F3531">
        <w:t>c</w:t>
      </w:r>
      <w:r w:rsidRPr="00F14BC9">
        <w:t xml:space="preserve">reek, located in the northern part of the city (10º25'28.57” N and 75º30'55.66” W). Two samplings were conducted for the measurement of physicochemical parameters and bird biocount (four points), the first in the semi-rainy season of 2021 (m1) and the second in the dry season of 2022 (m2), nevertheless this research unit has been carrying birds counting during four (2019-2022) consecutive years, in both the rainy and dry season;  in 2020 a seven-day sampling was conducted using a Rapid Assessment Method </w:t>
      </w:r>
      <w:r w:rsidR="00793BDF">
        <w:t xml:space="preserve"> (Zogaris and Killimanis, 2016). </w:t>
      </w:r>
      <w:r w:rsidR="00035300" w:rsidRPr="00035300">
        <w:t>For bird counts, the point and fixed radius methodology was applied at each sampling station, with a diameter of 100 m and 10 minutes of counting (Melles et al., 2003). Taxonomic classification and functional groups were adjusted according to Clements et al.</w:t>
      </w:r>
      <w:r w:rsidR="00035300">
        <w:t xml:space="preserve"> </w:t>
      </w:r>
      <w:r w:rsidR="004C4895" w:rsidRPr="00E204F1">
        <w:rPr>
          <w:rFonts w:eastAsia="Arial"/>
        </w:rPr>
        <w:fldChar w:fldCharType="begin" w:fldLock="1"/>
      </w:r>
      <w:r w:rsidR="004C4895" w:rsidRPr="00E204F1">
        <w:rPr>
          <w:rFonts w:eastAsia="Arial"/>
        </w:rPr>
        <w:instrText>ADDIN CSL_CITATION {"citationItems":[{"id":"ITEM-1","itemData":{"URL":"https://www.birds.cornell.edu/clementschecklist/download/","accessed":{"date-parts":[["2022","6","30"]]},"author":[{"dropping-particle":"","family":"Clements","given":"J. F.","non-dropping-particle":"","parse-names":false,"suffix":""},{"dropping-particle":"","family":"Schulenberg","given":"T. S","non-dropping-particle":"","parse-names":false,"suffix":""},{"dropping-particle":"","family":"Iliff","given":"M. J","non-dropping-particle":"","parse-names":false,"suffix":""},{"dropping-particle":"","family":"Billerman","given":"S.M","non-dropping-particle":"","parse-names":false,"suffix":""},{"dropping-particle":"","family":"Fredericks","given":"T.A","non-dropping-particle":"","parse-names":false,"suffix":""},{"dropping-particle":"","family":"Gerbracht","given":"J.A","non-dropping-particle":"","parse-names":false,"suffix":""},{"dropping-particle":"","family":"Lepage","given":"D","non-dropping-particle":"","parse-names":false,"suffix":""},{"dropping-particle":"","family":"Sullivan","given":"B.L","non-dropping-particle":"","parse-names":false,"suffix":""},{"dropping-particle":"","family":"Wood","given":"C.L.","non-dropping-particle":"","parse-names":false,"suffix":""}],"id":"ITEM-1","issued":{"date-parts":[["2021"]]},"publisher":"Cornell University Press","title":"The eBird/Clements checklist of birds of the world: v2021","type":"webpage"},"uris":["http://www.mendeley.com/documents/?uuid=10d2b647-45cb-43ae-9094-1ca3188a9c2f"]}],"mendeley":{"formattedCitation":"(Clements et al., 2021)","plainTextFormattedCitation":"(Clements et al., 2021)","previouslyFormattedCitation":"(Clements et al., 2021)"},"properties":{"noteIndex":0},"schema":"https://github.com/citation-style-language/schema/raw/master/csl-citation.json"}</w:instrText>
      </w:r>
      <w:r w:rsidR="004C4895" w:rsidRPr="00E204F1">
        <w:rPr>
          <w:rFonts w:eastAsia="Arial"/>
        </w:rPr>
        <w:fldChar w:fldCharType="separate"/>
      </w:r>
      <w:r w:rsidR="004C4895" w:rsidRPr="00E204F1">
        <w:rPr>
          <w:rFonts w:eastAsia="Arial"/>
          <w:noProof/>
        </w:rPr>
        <w:t>(Clements et al., 2021)</w:t>
      </w:r>
      <w:r w:rsidR="004C4895" w:rsidRPr="00E204F1">
        <w:rPr>
          <w:rFonts w:eastAsia="Arial"/>
        </w:rPr>
        <w:fldChar w:fldCharType="end"/>
      </w:r>
      <w:r w:rsidR="004C4895" w:rsidRPr="00E204F1">
        <w:rPr>
          <w:rFonts w:eastAsia="Arial"/>
        </w:rPr>
        <w:t>.</w:t>
      </w:r>
    </w:p>
    <w:p w14:paraId="37B0E937" w14:textId="6EF9D3C9" w:rsidR="00281C52" w:rsidRDefault="00281C52" w:rsidP="00E204F1">
      <w:pPr>
        <w:pStyle w:val="CETheadingx"/>
      </w:pPr>
      <w:r w:rsidRPr="00281C52">
        <w:t>Development of the mathematical model</w:t>
      </w:r>
    </w:p>
    <w:p w14:paraId="3FA812C5" w14:textId="1118CFBB" w:rsidR="00E204F1" w:rsidRPr="009F7EEF" w:rsidRDefault="00281C52" w:rsidP="009F7EEF">
      <w:pPr>
        <w:pStyle w:val="CETHeadingxx"/>
      </w:pPr>
      <w:r w:rsidRPr="009F7EEF">
        <w:t>Selection of sub-components of the WPI categories</w:t>
      </w:r>
    </w:p>
    <w:p w14:paraId="0E151469" w14:textId="3DF46CDF" w:rsidR="00A74C62" w:rsidRPr="00101616" w:rsidRDefault="00F56A61" w:rsidP="004E0B2A">
      <w:pPr>
        <w:pStyle w:val="CETBodytext"/>
      </w:pPr>
      <w:r w:rsidRPr="00F56A61">
        <w:t xml:space="preserve">Considering </w:t>
      </w:r>
      <w:r w:rsidR="004E0B2A">
        <w:t xml:space="preserve">that the water poverty index (WPI) includes five </w:t>
      </w:r>
      <w:r w:rsidR="007A1B85" w:rsidRPr="007A1B85">
        <w:t>essentials</w:t>
      </w:r>
      <w:r w:rsidR="007A1B85" w:rsidRPr="007B6153">
        <w:t xml:space="preserve"> </w:t>
      </w:r>
      <w:r w:rsidR="004E0B2A">
        <w:t>categories (resource, access, capacity, use, and environment)</w:t>
      </w:r>
      <w:r w:rsidR="007B6153">
        <w:t xml:space="preserve"> </w:t>
      </w:r>
      <w:r w:rsidR="007B6153" w:rsidRPr="007B6153">
        <w:t>that define WPI</w:t>
      </w:r>
      <w:r w:rsidR="00FB0097">
        <w:t xml:space="preserve"> </w:t>
      </w:r>
      <w:r w:rsidR="00FB0097">
        <w:fldChar w:fldCharType="begin" w:fldLock="1"/>
      </w:r>
      <w:r w:rsidR="008D239C">
        <w:instrText>ADDIN CSL_CITATION {"citationItems":[{"id":"ITEM-1","itemData":{"DOI":"10.1080/02626667.2020.1839081","ISSN":"21503435","abstract":"Groundwater has become an alternative water supply for various sectors of the population and the economy, and its extraction is increasing worldwide. The water poverty index (WPI) is a holistic tool that enables the establishment of links between poverty, social marginalization, environmental integrity, water availability and health. The index includes five components–water resources, access, capacity, environment and use–which are evaluated on a scale of 0 to 100. The objective of this research is to calculate the WPI by applying remote perception techniques to the environment component. Through multi-temporal analysis, we estimate the variability of soil cover in a semi-arid area of San Luis Potosí in Mexico, where the available surface water and groundwater is mainly for agriculture. The overall result for the studied area was a WPI of 56, which reflects contradictions in the management of the resource that is abundant.","author":[{"dropping-particle":"","family":"Lopez-Alvarez","given":"B.","non-dropping-particle":"","parse-names":false,"suffix":""},{"dropping-particle":"","family":"Urbano-Peña","given":"M. A.","non-dropping-particle":"","parse-names":false,"suffix":""},{"dropping-particle":"","family":"Moran-Ramírez","given":"J.","non-dropping-particle":"","parse-names":false,"suffix":""},{"dropping-particle":"","family":"Ramos-Leal","given":"J. A.","non-dropping-particle":"","parse-names":false,"suffix":""},{"dropping-particle":"","family":"Tuxpan-Vargas","given":"J.","non-dropping-particle":"","parse-names":false,"suffix":""}],"container-title":"Hydrological Sciences Journal","id":"ITEM-1","issue":"16","issued":{"date-parts":[["2020"]]},"page":"2647-2657","title":"Estimation of the environment component of the Water Poverty Index via remote sensing in semi-arid zones","type":"article-journal","volume":"65"},"uris":["http://www.mendeley.com/documents/?uuid=a09bc05b-4c71-4092-bc45-97e819dfddfb"]}],"mendeley":{"formattedCitation":"(Lopez-Alvarez et al., 2020)","plainTextFormattedCitation":"(Lopez-Alvarez et al., 2020)","previouslyFormattedCitation":"(Lopez-Alvarez et al., 2020)"},"properties":{"noteIndex":0},"schema":"https://github.com/citation-style-language/schema/raw/master/csl-citation.json"}</w:instrText>
      </w:r>
      <w:r w:rsidR="00FB0097">
        <w:fldChar w:fldCharType="separate"/>
      </w:r>
      <w:r w:rsidR="00FB0097" w:rsidRPr="00FB0097">
        <w:rPr>
          <w:noProof/>
        </w:rPr>
        <w:t>(Lopez-Alvarez et al., 2020)</w:t>
      </w:r>
      <w:r w:rsidR="00FB0097">
        <w:fldChar w:fldCharType="end"/>
      </w:r>
      <w:r w:rsidR="007B6153">
        <w:t xml:space="preserve">. Some </w:t>
      </w:r>
      <w:r w:rsidR="004E0B2A">
        <w:t xml:space="preserve">appropriate subcomponents were selected for the measurement of the system after reviewing several articles with applicability to </w:t>
      </w:r>
      <w:r w:rsidR="001F3531">
        <w:t xml:space="preserve">water </w:t>
      </w:r>
      <w:r w:rsidR="004E0B2A">
        <w:t>bodies</w:t>
      </w:r>
      <w:r w:rsidR="001F3531">
        <w:t xml:space="preserve"> </w:t>
      </w:r>
      <w:r w:rsidR="004E0B2A">
        <w:t>and communities with characteristics like the study area. For the Resource (R) component, the subcomponent is Months per year with water</w:t>
      </w:r>
      <w:r w:rsidR="00BA551C">
        <w:t xml:space="preserve"> [%]</w:t>
      </w:r>
      <w:r w:rsidR="004E0B2A">
        <w:t xml:space="preserve"> (R1) (Goel et al., 2020). Access (A) includes the percentage of the Population with access to drinking water</w:t>
      </w:r>
      <w:r w:rsidR="00BA551C">
        <w:t xml:space="preserve"> [%]</w:t>
      </w:r>
      <w:r w:rsidR="004E0B2A">
        <w:t xml:space="preserve"> (A1), the percentage of the population with access to sanitation</w:t>
      </w:r>
      <w:r w:rsidR="00BA551C">
        <w:t xml:space="preserve"> [%]</w:t>
      </w:r>
      <w:r w:rsidR="004E0B2A">
        <w:t xml:space="preserve"> (A2) (El-Gafy, 2018), and the Reliability of pipe water supply</w:t>
      </w:r>
      <w:r w:rsidR="00BA551C">
        <w:t xml:space="preserve"> [L/year]</w:t>
      </w:r>
      <w:r w:rsidR="004E0B2A">
        <w:t xml:space="preserve"> (A3) (Thakur et al., 2017). Capacity (C) involves the Under-five mortality rate</w:t>
      </w:r>
      <w:r w:rsidR="00BA551C">
        <w:t xml:space="preserve"> [inhabitants/year]</w:t>
      </w:r>
      <w:r w:rsidR="004E0B2A">
        <w:t xml:space="preserve"> (C1) (Wurtz et al., 2019), citizens above the poverty line</w:t>
      </w:r>
      <w:r w:rsidR="00BA551C">
        <w:t xml:space="preserve"> [inhabitants/ year]</w:t>
      </w:r>
      <w:r w:rsidR="004E0B2A">
        <w:t xml:space="preserve"> (C2) (Shadeed et al., 2019), the percentage of the population having completed primary school</w:t>
      </w:r>
      <w:r w:rsidR="00BA551C">
        <w:t xml:space="preserve"> [inhabitants/year]</w:t>
      </w:r>
      <w:r w:rsidR="004E0B2A">
        <w:t xml:space="preserve"> (C3) (Ladi et al., 2021), the average unit price of water</w:t>
      </w:r>
      <w:r w:rsidR="00BA551C">
        <w:t xml:space="preserve"> [USD]</w:t>
      </w:r>
      <w:r w:rsidR="004E0B2A">
        <w:t xml:space="preserve"> (C4) (Shadeed et al., 2019), GDP index (C5), Economically active population</w:t>
      </w:r>
      <w:r w:rsidR="00BA551C">
        <w:t xml:space="preserve"> [%]</w:t>
      </w:r>
      <w:r w:rsidR="004E0B2A">
        <w:t xml:space="preserve"> (C6) (Khadka </w:t>
      </w:r>
      <w:r w:rsidR="00DE6FA9">
        <w:t>and</w:t>
      </w:r>
      <w:r w:rsidR="004E0B2A">
        <w:t xml:space="preserve"> Pathak, 2021), Gini coefficient (C7) (Lopez-Alvarez et al., 2020). Use (U) consists for purposes of this research only of Domestic water use</w:t>
      </w:r>
      <w:r w:rsidR="00BA551C">
        <w:t xml:space="preserve"> [L/inhabitants*year]</w:t>
      </w:r>
      <w:r w:rsidR="004E0B2A">
        <w:t xml:space="preserve"> (U1)</w:t>
      </w:r>
      <w:r w:rsidR="00BA551C">
        <w:t xml:space="preserve"> </w:t>
      </w:r>
      <w:r w:rsidR="004E0B2A">
        <w:t>(Gong et al., 2017). Environment (E) in this research includes the water quality index (WQI) (E1) (Makubura et al., 2022) and the percentage of area with natural vegetation</w:t>
      </w:r>
      <w:r w:rsidR="00BA551C">
        <w:t xml:space="preserve"> [ha]</w:t>
      </w:r>
      <w:r w:rsidR="004E0B2A">
        <w:t xml:space="preserve"> (E2) (Thakur et al., 2017).</w:t>
      </w:r>
      <w:r w:rsidR="00BA551C">
        <w:t xml:space="preserve"> </w:t>
      </w:r>
      <w:r w:rsidR="004E0B2A">
        <w:t>Water quality index (WQI) Model Development: WQI was developed using weights for each of the parameters (Makubura et al., 2022) evaluated as follows</w:t>
      </w:r>
      <w:r w:rsidR="00A74C62" w:rsidRPr="00101616">
        <w:t>:</w:t>
      </w:r>
    </w:p>
    <w:tbl>
      <w:tblPr>
        <w:tblW w:w="5000" w:type="pct"/>
        <w:tblLook w:val="04A0" w:firstRow="1" w:lastRow="0" w:firstColumn="1" w:lastColumn="0" w:noHBand="0" w:noVBand="1"/>
      </w:tblPr>
      <w:tblGrid>
        <w:gridCol w:w="7983"/>
        <w:gridCol w:w="804"/>
      </w:tblGrid>
      <w:tr w:rsidR="00A74C62" w:rsidRPr="00B57B36" w14:paraId="170605B6" w14:textId="77777777" w:rsidTr="00BE5453">
        <w:tc>
          <w:tcPr>
            <w:tcW w:w="7983" w:type="dxa"/>
            <w:shd w:val="clear" w:color="auto" w:fill="auto"/>
            <w:vAlign w:val="center"/>
          </w:tcPr>
          <w:p w14:paraId="59BCAA07" w14:textId="77777777" w:rsidR="00A74C62" w:rsidRPr="00101616" w:rsidRDefault="00A74C62" w:rsidP="00BE5453">
            <w:pPr>
              <w:pStyle w:val="CETEquation"/>
            </w:pPr>
            <m:oMathPara>
              <m:oMathParaPr>
                <m:jc m:val="left"/>
              </m:oMathParaPr>
              <m:oMath>
                <m:r>
                  <w:rPr>
                    <w:rFonts w:ascii="Cambria Math" w:eastAsia="Calibri" w:hAnsi="Cambria Math" w:cs="Arial"/>
                    <w:kern w:val="2"/>
                    <w:szCs w:val="18"/>
                    <w:lang w:val="en-US"/>
                    <w14:ligatures w14:val="standardContextual"/>
                  </w:rPr>
                  <m:t>WQI=</m:t>
                </m:r>
                <m:f>
                  <m:fPr>
                    <m:ctrlPr>
                      <w:rPr>
                        <w:rFonts w:ascii="Cambria Math" w:eastAsia="Calibri" w:hAnsi="Cambria Math" w:cs="Arial"/>
                        <w:i/>
                        <w:kern w:val="2"/>
                        <w:szCs w:val="18"/>
                        <w:lang w:val="en-US"/>
                        <w14:ligatures w14:val="standardContextual"/>
                      </w:rPr>
                    </m:ctrlPr>
                  </m:fPr>
                  <m:num>
                    <m:nary>
                      <m:naryPr>
                        <m:chr m:val="∑"/>
                        <m:limLoc m:val="undOvr"/>
                        <m:subHide m:val="1"/>
                        <m:supHide m:val="1"/>
                        <m:ctrlPr>
                          <w:rPr>
                            <w:rFonts w:ascii="Cambria Math" w:eastAsia="Calibri" w:hAnsi="Cambria Math" w:cs="Arial"/>
                            <w:i/>
                            <w:kern w:val="2"/>
                            <w:szCs w:val="18"/>
                            <w:lang w:val="en-US"/>
                            <w14:ligatures w14:val="standardContextual"/>
                          </w:rPr>
                        </m:ctrlPr>
                      </m:naryPr>
                      <m:sub/>
                      <m:sup/>
                      <m:e>
                        <m:sSub>
                          <m:sSubPr>
                            <m:ctrlPr>
                              <w:rPr>
                                <w:rFonts w:ascii="Cambria Math" w:eastAsia="Calibri" w:hAnsi="Cambria Math" w:cs="Arial"/>
                                <w:i/>
                                <w:kern w:val="2"/>
                                <w:szCs w:val="18"/>
                                <w:lang w:val="en-US"/>
                                <w14:ligatures w14:val="standardContextual"/>
                              </w:rPr>
                            </m:ctrlPr>
                          </m:sSubPr>
                          <m:e>
                            <m:r>
                              <w:rPr>
                                <w:rFonts w:ascii="Cambria Math" w:eastAsia="Calibri" w:hAnsi="Cambria Math" w:cs="Arial"/>
                                <w:kern w:val="2"/>
                                <w:szCs w:val="18"/>
                                <w:lang w:val="en-US"/>
                                <w14:ligatures w14:val="standardContextual"/>
                              </w:rPr>
                              <m:t>Q</m:t>
                            </m:r>
                          </m:e>
                          <m:sub>
                            <m:r>
                              <w:rPr>
                                <w:rFonts w:ascii="Cambria Math" w:eastAsia="Calibri" w:hAnsi="Cambria Math" w:cs="Arial"/>
                                <w:kern w:val="2"/>
                                <w:szCs w:val="18"/>
                                <w:lang w:val="en-US"/>
                                <w14:ligatures w14:val="standardContextual"/>
                              </w:rPr>
                              <m:t>i</m:t>
                            </m:r>
                          </m:sub>
                        </m:sSub>
                      </m:e>
                    </m:nary>
                    <m:sSub>
                      <m:sSubPr>
                        <m:ctrlPr>
                          <w:rPr>
                            <w:rFonts w:ascii="Cambria Math" w:eastAsia="Calibri" w:hAnsi="Cambria Math" w:cs="Arial"/>
                            <w:i/>
                            <w:kern w:val="2"/>
                            <w:szCs w:val="18"/>
                            <w:lang w:val="en-US"/>
                            <w14:ligatures w14:val="standardContextual"/>
                          </w:rPr>
                        </m:ctrlPr>
                      </m:sSubPr>
                      <m:e>
                        <m:r>
                          <w:rPr>
                            <w:rFonts w:ascii="Cambria Math" w:eastAsia="Calibri" w:hAnsi="Cambria Math" w:cs="Arial"/>
                            <w:kern w:val="2"/>
                            <w:szCs w:val="18"/>
                            <w:lang w:val="en-US"/>
                            <w14:ligatures w14:val="standardContextual"/>
                          </w:rPr>
                          <m:t>W</m:t>
                        </m:r>
                      </m:e>
                      <m:sub>
                        <m:r>
                          <w:rPr>
                            <w:rFonts w:ascii="Cambria Math" w:eastAsia="Calibri" w:hAnsi="Cambria Math" w:cs="Arial"/>
                            <w:kern w:val="2"/>
                            <w:szCs w:val="18"/>
                            <w:lang w:val="en-US"/>
                            <w14:ligatures w14:val="standardContextual"/>
                          </w:rPr>
                          <m:t>i</m:t>
                        </m:r>
                      </m:sub>
                    </m:sSub>
                  </m:num>
                  <m:den>
                    <m:nary>
                      <m:naryPr>
                        <m:chr m:val="∑"/>
                        <m:limLoc m:val="undOvr"/>
                        <m:subHide m:val="1"/>
                        <m:supHide m:val="1"/>
                        <m:ctrlPr>
                          <w:rPr>
                            <w:rFonts w:ascii="Cambria Math" w:eastAsia="Calibri" w:hAnsi="Cambria Math" w:cs="Arial"/>
                            <w:i/>
                            <w:kern w:val="2"/>
                            <w:szCs w:val="18"/>
                            <w:lang w:val="en-US"/>
                            <w14:ligatures w14:val="standardContextual"/>
                          </w:rPr>
                        </m:ctrlPr>
                      </m:naryPr>
                      <m:sub/>
                      <m:sup/>
                      <m:e>
                        <m:sSub>
                          <m:sSubPr>
                            <m:ctrlPr>
                              <w:rPr>
                                <w:rFonts w:ascii="Cambria Math" w:eastAsia="Calibri" w:hAnsi="Cambria Math" w:cs="Arial"/>
                                <w:i/>
                                <w:kern w:val="2"/>
                                <w:szCs w:val="18"/>
                                <w:lang w:val="en-US"/>
                                <w14:ligatures w14:val="standardContextual"/>
                              </w:rPr>
                            </m:ctrlPr>
                          </m:sSubPr>
                          <m:e>
                            <m:r>
                              <w:rPr>
                                <w:rFonts w:ascii="Cambria Math" w:eastAsia="Calibri" w:hAnsi="Cambria Math" w:cs="Arial"/>
                                <w:kern w:val="2"/>
                                <w:szCs w:val="18"/>
                                <w:lang w:val="en-US"/>
                                <w14:ligatures w14:val="standardContextual"/>
                              </w:rPr>
                              <m:t>W</m:t>
                            </m:r>
                          </m:e>
                          <m:sub>
                            <m:r>
                              <w:rPr>
                                <w:rFonts w:ascii="Cambria Math" w:eastAsia="Calibri" w:hAnsi="Cambria Math" w:cs="Arial"/>
                                <w:kern w:val="2"/>
                                <w:szCs w:val="18"/>
                                <w:lang w:val="en-US"/>
                                <w14:ligatures w14:val="standardContextual"/>
                              </w:rPr>
                              <m:t>i</m:t>
                            </m:r>
                          </m:sub>
                        </m:sSub>
                      </m:e>
                    </m:nary>
                  </m:den>
                </m:f>
              </m:oMath>
            </m:oMathPara>
          </w:p>
        </w:tc>
        <w:tc>
          <w:tcPr>
            <w:tcW w:w="804" w:type="dxa"/>
            <w:shd w:val="clear" w:color="auto" w:fill="auto"/>
            <w:vAlign w:val="center"/>
          </w:tcPr>
          <w:p w14:paraId="35D3BCFD" w14:textId="77777777" w:rsidR="00A74C62" w:rsidRPr="00B57B36" w:rsidRDefault="00A74C62" w:rsidP="00BE5453">
            <w:pPr>
              <w:pStyle w:val="CETEquation"/>
              <w:jc w:val="right"/>
            </w:pPr>
            <w:r w:rsidRPr="00B57B36">
              <w:t>(1)</w:t>
            </w:r>
          </w:p>
        </w:tc>
      </w:tr>
    </w:tbl>
    <w:p w14:paraId="595178CB" w14:textId="5AFEA3ED" w:rsidR="00B07158" w:rsidRDefault="00837521" w:rsidP="00B07158">
      <w:pPr>
        <w:pStyle w:val="CETBodytext"/>
        <w:rPr>
          <w:rFonts w:eastAsia="Calibri"/>
        </w:rPr>
      </w:pPr>
      <w:r w:rsidRPr="00101616">
        <w:rPr>
          <w:rFonts w:eastAsia="Calibri"/>
        </w:rPr>
        <w:t xml:space="preserve">Where </w:t>
      </w:r>
      <m:oMath>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rPr>
              <m:t>i</m:t>
            </m:r>
          </m:sub>
        </m:sSub>
      </m:oMath>
      <w:r w:rsidRPr="00101616">
        <w:t xml:space="preserve"> </w:t>
      </w:r>
      <w:r w:rsidR="00685C28" w:rsidRPr="00685C28">
        <w:t>is the quality classification of the parameters</w:t>
      </w:r>
      <w:r w:rsidRPr="00101616">
        <w:t>,</w:t>
      </w:r>
      <w:r w:rsidR="00685C28">
        <w:t xml:space="preserv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101616">
        <w:t xml:space="preserve"> </w:t>
      </w:r>
      <w:r w:rsidR="006C5273" w:rsidRPr="006C5273">
        <w:t>is the unit weight of the selected water quality parameters</w:t>
      </w:r>
      <w:r w:rsidRPr="00101616">
        <w:t xml:space="preserve"> and WQI value between 0 – 25 is a water quality excellent </w:t>
      </w:r>
      <w:r w:rsidRPr="00101616">
        <w:rPr>
          <w:rFonts w:eastAsia="Calibri"/>
        </w:rPr>
        <w:fldChar w:fldCharType="begin" w:fldLock="1"/>
      </w:r>
      <w:r w:rsidRPr="00101616">
        <w:rPr>
          <w:rFonts w:eastAsia="Calibri"/>
        </w:rPr>
        <w:instrText>ADDIN CSL_CITATION {"citationItems":[{"id":"ITEM-1","itemData":{"DOI":"10.3390/fluids7050147","ISSN":"23115521","abstract":"Surface water quality is degraded due to industrialization; however, it is one of the widely used sources for water supply systems worldwide. Thus, the polluted water creates significant issues for the health of the end users. However, poor attention and concern can be identified on this important issue in most developing countries, including Sri Lanka. The Kelani River in Sri Lanka is the heart of the water supply of the whole Colombo area and has the water intake for drinking purposes near an industrialized zone (Biyagama). Therefore, this study intends to analyze the effect of industrialization on surface water quality variation of the Kelani River basin in Sri Lanka in terms of the water quality index (WQI). We proposed a regression model to predict the WQI using the water quality parameters. Nine water quality parameters, including pH, total phosphate, electric conductivity, biochemical oxygen demand, temperature, nitrates, dissolved oxygen, chemical oxygen demand, and chlorine evaluated the Kelani River water quality. The proposed regression model was used to examine the water quality of samples obtained at twelve locations from January 2005 to December 2012. The highest WQI values were found in Raggahawatte Ela throughout the 8 years, located near the Biyagama industrial zone. The relationship of industries to water quality in the Kelani River is stated. The surface water quality gradually decreased as a result of development and industrialized activities. Therefore, this work showcases and recommends the importance of introducing necessary actions and considerations for future water management systems.","author":[{"dropping-particle":"","family":"Makubura","given":"Randika","non-dropping-particle":"","parse-names":false,"suffix":""},{"dropping-particle":"","family":"Meddage","given":"D. P.P.","non-dropping-particle":"","parse-names":false,"suffix":""},{"dropping-particle":"","family":"Azamathulla","given":"Hazi Md","non-dropping-particle":"","parse-names":false,"suffix":""},{"dropping-particle":"","family":"Pandey","given":"Manish","non-dropping-particle":"","parse-names":false,"suffix":""},{"dropping-particle":"","family":"Rathnayake","given":"Upaka","non-dropping-particle":"","parse-names":false,"suffix":""}],"container-title":"Fluids","id":"ITEM-1","issue":"147","issued":{"date-parts":[["2022"]]},"page":"1-13","title":"A Simplified Mathematical Formulation for Water Quality Index (WQI): A Case Study in the Kelani River Basin, Sri Lanka","type":"article-journal","volume":"7"},"uris":["http://www.mendeley.com/documents/?uuid=5ac2c610-e7a7-4d14-8999-9402b8bff7e4"]}],"mendeley":{"formattedCitation":"(Makubura et al., 2022)","plainTextFormattedCitation":"(Makubura et al., 2022)","previouslyFormattedCitation":"(Makubura et al., 2022)"},"properties":{"noteIndex":0},"schema":"https://github.com/citation-style-language/schema/raw/master/csl-citation.json"}</w:instrText>
      </w:r>
      <w:r w:rsidRPr="00101616">
        <w:rPr>
          <w:rFonts w:eastAsia="Calibri"/>
        </w:rPr>
        <w:fldChar w:fldCharType="separate"/>
      </w:r>
      <w:r w:rsidRPr="00101616">
        <w:rPr>
          <w:rFonts w:eastAsia="Calibri"/>
          <w:noProof/>
        </w:rPr>
        <w:t>(Makubura et al., 2022)</w:t>
      </w:r>
      <w:r w:rsidRPr="00101616">
        <w:rPr>
          <w:rFonts w:eastAsia="Calibri"/>
        </w:rPr>
        <w:fldChar w:fldCharType="end"/>
      </w:r>
      <w:r w:rsidRPr="00101616">
        <w:rPr>
          <w:rFonts w:eastAsia="Calibri"/>
        </w:rPr>
        <w:t xml:space="preserve">. </w:t>
      </w:r>
    </w:p>
    <w:p w14:paraId="7B3212C2" w14:textId="15DA7995" w:rsidR="00281C52" w:rsidRDefault="009412F3" w:rsidP="00B07158">
      <w:pPr>
        <w:pStyle w:val="CETHeadingxx"/>
      </w:pPr>
      <w:r w:rsidRPr="009412F3">
        <w:lastRenderedPageBreak/>
        <w:t>Proposed mod</w:t>
      </w:r>
      <w:r w:rsidR="004E0B2A">
        <w:t>ification</w:t>
      </w:r>
    </w:p>
    <w:p w14:paraId="7B661C03" w14:textId="6C44747C" w:rsidR="00101616" w:rsidRDefault="00F22C08" w:rsidP="00453E24">
      <w:pPr>
        <w:pStyle w:val="CETBodytext"/>
        <w:rPr>
          <w:lang w:val="en-GB"/>
        </w:rPr>
      </w:pPr>
      <w:r w:rsidRPr="00F22C08">
        <w:t xml:space="preserve">Considering that the environmental parameter usually focuses on water supply and management </w:t>
      </w:r>
      <w:r w:rsidR="004E0B2A" w:rsidRPr="004E0B2A">
        <w:t>(Ladi et al., 2021)</w:t>
      </w:r>
      <w:r w:rsidR="001F3531">
        <w:t>. I</w:t>
      </w:r>
      <w:r w:rsidR="004E0B2A" w:rsidRPr="004E0B2A">
        <w:t xml:space="preserve">n this </w:t>
      </w:r>
      <w:r w:rsidR="001F3531">
        <w:t>research</w:t>
      </w:r>
      <w:r w:rsidR="004E0B2A" w:rsidRPr="004E0B2A">
        <w:t>,</w:t>
      </w:r>
      <w:r w:rsidR="001F3531">
        <w:t xml:space="preserve"> </w:t>
      </w:r>
      <w:r w:rsidR="004E0B2A" w:rsidRPr="004E0B2A">
        <w:t xml:space="preserve">a </w:t>
      </w:r>
      <w:r w:rsidRPr="00F22C08">
        <w:t>biodiversity component associated with birds</w:t>
      </w:r>
      <w:r w:rsidR="004E0B2A" w:rsidRPr="004E0B2A">
        <w:t xml:space="preserve">, called Biodiversity of the environment (B) was proposed, </w:t>
      </w:r>
      <w:r w:rsidRPr="00F22C08">
        <w:t>since birds are a means to measure the environment biodiversity,</w:t>
      </w:r>
      <w:r w:rsidR="00AA0C26">
        <w:t xml:space="preserve"> </w:t>
      </w:r>
      <w:r w:rsidRPr="00F22C08">
        <w:t xml:space="preserve">they are susceptible </w:t>
      </w:r>
      <w:r w:rsidR="00C21658" w:rsidRPr="00F22C08">
        <w:t xml:space="preserve">species </w:t>
      </w:r>
      <w:r w:rsidR="00C21658">
        <w:t>to</w:t>
      </w:r>
      <w:r w:rsidRPr="00F22C08">
        <w:t xml:space="preserve"> changes in ecosystems and particular habitats, easy to identify</w:t>
      </w:r>
      <w:r w:rsidR="00AA0C26">
        <w:t>,</w:t>
      </w:r>
      <w:r w:rsidRPr="00F22C08">
        <w:t xml:space="preserve"> and monitor </w:t>
      </w:r>
      <w:r w:rsidR="004E0B2A" w:rsidRPr="004E0B2A">
        <w:t xml:space="preserve">(Simamora et al., 2021). Biodiversity of the environment (B) is made up of 4 subcomponents: abundance (B1), </w:t>
      </w:r>
      <w:r>
        <w:t>w</w:t>
      </w:r>
      <w:r w:rsidRPr="00F22C08">
        <w:t xml:space="preserve">ealth </w:t>
      </w:r>
      <w:r w:rsidR="004E0B2A" w:rsidRPr="004E0B2A">
        <w:t xml:space="preserve">(B2) (calculated </w:t>
      </w:r>
      <w:r w:rsidR="00C21658" w:rsidRPr="00C21658">
        <w:t>with the total specie number</w:t>
      </w:r>
      <w:r w:rsidR="00C21658">
        <w:t xml:space="preserve">, </w:t>
      </w:r>
      <w:r w:rsidR="004E0B2A" w:rsidRPr="004E0B2A">
        <w:t>and according to</w:t>
      </w:r>
      <w:r>
        <w:t xml:space="preserve"> </w:t>
      </w:r>
      <w:r w:rsidR="004E0B2A" w:rsidRPr="004E0B2A">
        <w:t>different classifications), the Margalef index (B3), the Shannon-Weiner index (B4).</w:t>
      </w:r>
      <w:r w:rsidR="00C03C1D">
        <w:t xml:space="preserve"> </w:t>
      </w:r>
      <w:r w:rsidR="00101616" w:rsidRPr="00101616">
        <w:rPr>
          <w:rFonts w:eastAsia="Arial"/>
          <w:iCs/>
          <w:lang w:eastAsia="es-CO"/>
        </w:rPr>
        <w:t xml:space="preserve">Margalef index </w:t>
      </w:r>
      <m:oMath>
        <m:d>
          <m:dPr>
            <m:ctrlPr>
              <w:rPr>
                <w:rFonts w:ascii="Cambria Math" w:eastAsia="Cambria Math" w:hAnsi="Cambria Math"/>
                <w:lang w:eastAsia="es-CO"/>
              </w:rPr>
            </m:ctrlPr>
          </m:dPr>
          <m:e>
            <m:sSub>
              <m:sSubPr>
                <m:ctrlPr>
                  <w:rPr>
                    <w:rFonts w:ascii="Cambria Math" w:eastAsia="Cambria Math" w:hAnsi="Cambria Math"/>
                    <w:iCs/>
                    <w:lang w:eastAsia="es-CO"/>
                  </w:rPr>
                </m:ctrlPr>
              </m:sSubPr>
              <m:e>
                <m:r>
                  <m:rPr>
                    <m:sty m:val="p"/>
                  </m:rPr>
                  <w:rPr>
                    <w:rFonts w:ascii="Cambria Math" w:eastAsia="Cambria Math" w:hAnsi="Cambria Math"/>
                    <w:lang w:eastAsia="es-CO"/>
                  </w:rPr>
                  <m:t>D</m:t>
                </m:r>
              </m:e>
              <m:sub>
                <m:r>
                  <m:rPr>
                    <m:sty m:val="p"/>
                  </m:rPr>
                  <w:rPr>
                    <w:rFonts w:ascii="Cambria Math" w:eastAsia="Cambria Math" w:hAnsi="Cambria Math"/>
                    <w:lang w:eastAsia="es-CO"/>
                  </w:rPr>
                  <m:t>Mg</m:t>
                </m:r>
              </m:sub>
            </m:sSub>
          </m:e>
        </m:d>
      </m:oMath>
      <w:r w:rsidR="00101616" w:rsidRPr="00101616">
        <w:rPr>
          <w:rFonts w:eastAsia="Arial"/>
          <w:lang w:eastAsia="es-CO"/>
        </w:rPr>
        <w:t xml:space="preserve">: </w:t>
      </w:r>
      <w:r w:rsidR="00AB49B1">
        <w:rPr>
          <w:rFonts w:eastAsia="Arial"/>
          <w:lang w:eastAsia="es-CO"/>
        </w:rPr>
        <w:t>a</w:t>
      </w:r>
      <w:r w:rsidR="00101616" w:rsidRPr="00101616">
        <w:rPr>
          <w:rFonts w:eastAsia="Arial"/>
          <w:lang w:eastAsia="es-CO"/>
        </w:rPr>
        <w:t xml:space="preserve">ssesses species </w:t>
      </w:r>
      <w:r>
        <w:rPr>
          <w:rFonts w:eastAsia="Arial"/>
          <w:lang w:eastAsia="es-CO"/>
        </w:rPr>
        <w:t>w</w:t>
      </w:r>
      <w:r w:rsidRPr="00F22C08">
        <w:rPr>
          <w:rFonts w:eastAsia="Arial"/>
          <w:lang w:eastAsia="es-CO"/>
        </w:rPr>
        <w:t>ealth</w:t>
      </w:r>
      <w:r w:rsidR="00AA0C26">
        <w:rPr>
          <w:rFonts w:eastAsia="Arial"/>
          <w:lang w:eastAsia="es-CO"/>
        </w:rPr>
        <w:t xml:space="preserve"> </w:t>
      </w:r>
      <w:r w:rsidR="00101616" w:rsidRPr="00101616">
        <w:rPr>
          <w:rFonts w:eastAsia="Arial"/>
          <w:lang w:eastAsia="es-CO"/>
        </w:rPr>
        <w:t xml:space="preserve">and is sensitive to sample size </w:t>
      </w:r>
      <w:r w:rsidR="00101616" w:rsidRPr="00101616">
        <w:rPr>
          <w:rFonts w:eastAsia="Arial"/>
          <w:lang w:eastAsia="es-CO"/>
        </w:rPr>
        <w:fldChar w:fldCharType="begin" w:fldLock="1"/>
      </w:r>
      <w:r w:rsidR="00101616" w:rsidRPr="00101616">
        <w:rPr>
          <w:rFonts w:eastAsia="Arial"/>
          <w:lang w:eastAsia="es-CO"/>
        </w:rPr>
        <w:instrText>ADDIN CSL_CITATION {"citationItems":[{"id":"ITEM-1","itemData":{"DOI":"10.1016/j.heliyon.2021.e08478","ISSN":"24058440","abstract":"Gorai River is one of the important rivers in Bangladesh for rich aquatic biodiversity. The river is originated from the Ganges-Padma River system, a trans-boundary river between India and Bangladesh. Once the river was rich in fish biodiversity, but due to man-made and natural causes the availability of fish reduced drastically. A comprehensive analysis of fish diversity indices, gear efficiency, catch composition and decline causes of fish diversity in Gorai River, Bangladesh was accomplished. The data were collected on monthly basis from January to December 2018 from three major fishing sites of the river. A total of 62 fish and 2 prawn species under 12 orders and 24 families were recorded. Cypriniformes was the leading order consisting 27% of the total catch. The mean values of Shannon-Weaver diversity (H′), Simpson's index (1-D), Margalef's richness (d) and Pielou's evenness (J′) indices were recorded as, 1.478 ± 0.495, 0.57 ± 0.197, 15.115 ± 4.435 and 0.481 ± 0.152, respectively. At the similarity of 58.7%, two groups were attained in the cluster analysis and the Non-metric Multidimensional Scaling (nMDS) showed 40% similarity among the three sites in twelve months based on the Bray-Curtis similarity matrix. The highest and lowest CPUE were recorded from seine net (5.2 ± 1.72 kg gear−1 haul−1) and hook &amp; long lines (0.0135 ± 0.0015 kg gear−1haul−1), respectively whereas, highest and lowest gear efficiency were recorded from lift net (0.321 ± 0.036 kg gear−1person−1hour−1) and fish trap (0.0005 ± 0.0002 kg gear−1person−1hour−1), respectively. Alternatively, the highest fish catch was recorded on April (21228 ± 464.38 kg) and lowest on August (3855 ± 138.21 kg). According to the fishermen fish biodiversity of the Gorai River declined day by day due to overexploitation, destructive fishing practice, pollution, construction of obstacles for fish movement, and natural causes like siltation. Proper implementation of fish acts and regulations, use of authorized fishing gear, community-based fisheries management, sanctuary establishment and management, stocking of fish fingerling, and raising public awareness can play a great role in enhancing and conserving fish biodiversity in the Gorai River of Bangladesh.","author":[{"dropping-particle":"","family":"Tikadar","given":"Kishor Kumar","non-dropping-particle":"","parse-names":false,"suffix":""},{"dropping-particle":"","family":"Kunda","given":"Mrityunjoy","non-dropping-particle":"","parse-names":false,"suffix":""},{"dropping-particle":"","family":"Mazumder","given":"Sabuj Kanti","non-dropping-particle":"","parse-names":false,"suffix":""}],"container-title":"Heliyon","id":"ITEM-1","issue":"12","issued":{"date-parts":[["2021"]]},"page":"e08478","publisher":"Elsevier Ltd","title":"Diversity of fishery resources and catch efficiency of fishing gears in Gorai River, Bangladesh","type":"article-journal","volume":"7"},"uris":["http://www.mendeley.com/documents/?uuid=73e85404-85c1-4d76-81d7-0e25e8290602"]}],"mendeley":{"formattedCitation":"(Tikadar et al., 2021)","plainTextFormattedCitation":"(Tikadar et al., 2021)","previouslyFormattedCitation":"(Tikadar et al., 2021)"},"properties":{"noteIndex":0},"schema":"https://github.com/citation-style-language/schema/raw/master/csl-citation.json"}</w:instrText>
      </w:r>
      <w:r w:rsidR="00101616" w:rsidRPr="00101616">
        <w:rPr>
          <w:rFonts w:eastAsia="Arial"/>
          <w:lang w:eastAsia="es-CO"/>
        </w:rPr>
        <w:fldChar w:fldCharType="separate"/>
      </w:r>
      <w:r w:rsidR="00101616" w:rsidRPr="00101616">
        <w:rPr>
          <w:rFonts w:eastAsia="Arial"/>
          <w:noProof/>
          <w:lang w:eastAsia="es-CO"/>
        </w:rPr>
        <w:t>(Tikadar et al., 2021)</w:t>
      </w:r>
      <w:r w:rsidR="00101616" w:rsidRPr="00101616">
        <w:rPr>
          <w:rFonts w:eastAsia="Arial"/>
          <w:lang w:eastAsia="es-CO"/>
        </w:rPr>
        <w:fldChar w:fldCharType="end"/>
      </w:r>
      <w:r w:rsidR="00101616" w:rsidRPr="00101616">
        <w:rPr>
          <w:rFonts w:eastAsia="Arial"/>
          <w:lang w:eastAsia="es-CO"/>
        </w:rPr>
        <w:t>.</w:t>
      </w:r>
    </w:p>
    <w:tbl>
      <w:tblPr>
        <w:tblW w:w="5000" w:type="pct"/>
        <w:tblLook w:val="04A0" w:firstRow="1" w:lastRow="0" w:firstColumn="1" w:lastColumn="0" w:noHBand="0" w:noVBand="1"/>
      </w:tblPr>
      <w:tblGrid>
        <w:gridCol w:w="7983"/>
        <w:gridCol w:w="804"/>
      </w:tblGrid>
      <w:tr w:rsidR="00101616" w:rsidRPr="00B57B36" w14:paraId="20423595" w14:textId="77777777" w:rsidTr="00F36C70">
        <w:tc>
          <w:tcPr>
            <w:tcW w:w="7983" w:type="dxa"/>
            <w:shd w:val="clear" w:color="auto" w:fill="auto"/>
            <w:vAlign w:val="center"/>
          </w:tcPr>
          <w:p w14:paraId="753F32D4" w14:textId="1717AB02" w:rsidR="00101616" w:rsidRPr="00101616" w:rsidRDefault="00736A7F" w:rsidP="00F36C70">
            <w:pPr>
              <w:pStyle w:val="CETEquation"/>
              <w:rPr>
                <w:szCs w:val="18"/>
              </w:rPr>
            </w:pPr>
            <m:oMath>
              <m:sSub>
                <m:sSubPr>
                  <m:ctrlPr>
                    <w:rPr>
                      <w:rFonts w:ascii="Cambria Math" w:eastAsia="MS Mincho" w:hAnsi="Cambria Math" w:cs="Arial"/>
                      <w:i/>
                      <w:szCs w:val="18"/>
                    </w:rPr>
                  </m:ctrlPr>
                </m:sSubPr>
                <m:e>
                  <m:r>
                    <w:rPr>
                      <w:rFonts w:ascii="Cambria Math" w:eastAsia="MS Mincho" w:hAnsi="Cambria Math" w:cs="Arial"/>
                      <w:szCs w:val="18"/>
                    </w:rPr>
                    <m:t>D</m:t>
                  </m:r>
                </m:e>
                <m:sub>
                  <m:r>
                    <w:rPr>
                      <w:rFonts w:ascii="Cambria Math" w:eastAsia="MS Mincho" w:hAnsi="Cambria Math" w:cs="Arial"/>
                      <w:szCs w:val="18"/>
                    </w:rPr>
                    <m:t>Mg</m:t>
                  </m:r>
                </m:sub>
              </m:sSub>
              <m:r>
                <w:rPr>
                  <w:rFonts w:ascii="Cambria Math" w:eastAsia="MS Mincho" w:hAnsi="Cambria Math" w:cs="Arial"/>
                  <w:szCs w:val="18"/>
                </w:rPr>
                <m:t>=</m:t>
              </m:r>
              <m:f>
                <m:fPr>
                  <m:ctrlPr>
                    <w:rPr>
                      <w:rFonts w:ascii="Cambria Math" w:eastAsia="MS Mincho" w:hAnsi="Cambria Math" w:cs="Arial"/>
                      <w:i/>
                      <w:szCs w:val="18"/>
                    </w:rPr>
                  </m:ctrlPr>
                </m:fPr>
                <m:num>
                  <m:r>
                    <w:rPr>
                      <w:rFonts w:ascii="Cambria Math" w:eastAsia="MS Mincho" w:hAnsi="Cambria Math" w:cs="Arial"/>
                      <w:szCs w:val="18"/>
                    </w:rPr>
                    <m:t>S</m:t>
                  </m:r>
                  <m:r>
                    <w:rPr>
                      <w:rFonts w:ascii="Cambria Math" w:eastAsia="MS Mincho" w:hAnsi="Cambria Math" w:cs="Arial"/>
                      <w:szCs w:val="18"/>
                    </w:rPr>
                    <m:t>-</m:t>
                  </m:r>
                  <m:r>
                    <w:rPr>
                      <w:rFonts w:ascii="Cambria Math" w:eastAsia="MS Mincho" w:hAnsi="Cambria Math" w:cs="Arial"/>
                      <w:szCs w:val="18"/>
                    </w:rPr>
                    <m:t>1</m:t>
                  </m:r>
                </m:num>
                <m:den>
                  <m:r>
                    <w:rPr>
                      <w:rFonts w:ascii="Cambria Math" w:eastAsia="MS Mincho" w:hAnsi="Cambria Math" w:cs="Arial"/>
                      <w:szCs w:val="18"/>
                    </w:rPr>
                    <m:t>lnN</m:t>
                  </m:r>
                </m:den>
              </m:f>
            </m:oMath>
            <w:r w:rsidR="00101616" w:rsidRPr="004D508F">
              <w:rPr>
                <w:rFonts w:eastAsia="Arial" w:cs="Arial"/>
                <w:sz w:val="20"/>
              </w:rPr>
              <w:t xml:space="preserve">   </w:t>
            </w:r>
            <w:r w:rsidR="00101616" w:rsidRPr="00101616">
              <w:rPr>
                <w:rFonts w:eastAsia="Arial" w:cs="Arial"/>
                <w:szCs w:val="18"/>
              </w:rPr>
              <w:t xml:space="preserve">                                                                                                                                                         </w:t>
            </w:r>
          </w:p>
        </w:tc>
        <w:tc>
          <w:tcPr>
            <w:tcW w:w="804" w:type="dxa"/>
            <w:shd w:val="clear" w:color="auto" w:fill="auto"/>
            <w:vAlign w:val="center"/>
          </w:tcPr>
          <w:p w14:paraId="148DD572" w14:textId="03A232BB" w:rsidR="00101616" w:rsidRPr="00B57B36" w:rsidRDefault="00101616" w:rsidP="00F36C70">
            <w:pPr>
              <w:pStyle w:val="CETEquation"/>
              <w:jc w:val="right"/>
            </w:pPr>
            <w:r w:rsidRPr="00B57B36">
              <w:t>(</w:t>
            </w:r>
            <w:r w:rsidR="004853E5">
              <w:t>2</w:t>
            </w:r>
            <w:r w:rsidRPr="00B57B36">
              <w:t>)</w:t>
            </w:r>
          </w:p>
        </w:tc>
      </w:tr>
    </w:tbl>
    <w:p w14:paraId="7C423A7C" w14:textId="66C4F6F3" w:rsidR="00E204F1" w:rsidRPr="00101616" w:rsidRDefault="00101616" w:rsidP="00453E24">
      <w:pPr>
        <w:pStyle w:val="CETBodytext"/>
      </w:pPr>
      <w:r w:rsidRPr="00101616">
        <w:rPr>
          <w:rFonts w:eastAsia="Calibri"/>
        </w:rPr>
        <w:t xml:space="preserve">It where </w:t>
      </w:r>
      <m:oMath>
        <m:r>
          <w:rPr>
            <w:rFonts w:ascii="Cambria Math" w:eastAsia="Calibri" w:hAnsi="Cambria Math"/>
          </w:rPr>
          <m:t>S</m:t>
        </m:r>
      </m:oMath>
      <w:r w:rsidRPr="00101616">
        <w:rPr>
          <w:rFonts w:eastAsia="Calibri"/>
        </w:rPr>
        <w:t xml:space="preserve"> is the</w:t>
      </w:r>
      <w:r w:rsidR="00C21658">
        <w:rPr>
          <w:rFonts w:eastAsia="Calibri"/>
        </w:rPr>
        <w:t xml:space="preserve"> </w:t>
      </w:r>
      <w:r w:rsidR="00C21658" w:rsidRPr="00C21658">
        <w:rPr>
          <w:rFonts w:eastAsia="Calibri"/>
        </w:rPr>
        <w:t>total specie number</w:t>
      </w:r>
      <w:r w:rsidR="00C21658">
        <w:rPr>
          <w:rFonts w:eastAsia="Calibri"/>
        </w:rPr>
        <w:t xml:space="preserve"> </w:t>
      </w:r>
      <w:r w:rsidRPr="00101616">
        <w:rPr>
          <w:rFonts w:eastAsia="Calibri"/>
        </w:rPr>
        <w:t xml:space="preserve">and </w:t>
      </w:r>
      <m:oMath>
        <m:r>
          <w:rPr>
            <w:rFonts w:ascii="Cambria Math" w:eastAsia="Calibri" w:hAnsi="Cambria Math"/>
          </w:rPr>
          <m:t>N</m:t>
        </m:r>
      </m:oMath>
      <w:r w:rsidRPr="00101616">
        <w:rPr>
          <w:rFonts w:eastAsia="Calibri"/>
        </w:rPr>
        <w:t xml:space="preserve"> is </w:t>
      </w:r>
      <w:r w:rsidR="00C21658" w:rsidRPr="00C21658">
        <w:rPr>
          <w:rFonts w:eastAsia="Calibri"/>
        </w:rPr>
        <w:t>the total individuals number</w:t>
      </w:r>
      <w:r w:rsidRPr="00101616">
        <w:rPr>
          <w:rFonts w:eastAsia="Calibri"/>
        </w:rPr>
        <w:t>.</w:t>
      </w:r>
      <w:r w:rsidR="00C03C1D">
        <w:rPr>
          <w:rFonts w:eastAsia="Calibri"/>
        </w:rPr>
        <w:t xml:space="preserve"> </w:t>
      </w:r>
      <w:r w:rsidRPr="00101616">
        <w:rPr>
          <w:rFonts w:eastAsia="Arial"/>
          <w:iCs/>
          <w:color w:val="000000"/>
          <w:lang w:eastAsia="es-CO"/>
        </w:rPr>
        <w:t xml:space="preserve">Shannon-Weiner Index </w:t>
      </w:r>
      <m:oMath>
        <m:d>
          <m:dPr>
            <m:ctrlPr>
              <w:rPr>
                <w:rFonts w:ascii="Cambria Math" w:hAnsi="Cambria Math"/>
                <w:iCs/>
                <w:lang w:eastAsia="es-CO"/>
              </w:rPr>
            </m:ctrlPr>
          </m:dPr>
          <m:e>
            <m:sSup>
              <m:sSupPr>
                <m:ctrlPr>
                  <w:rPr>
                    <w:rFonts w:ascii="Cambria Math" w:eastAsia="Cambria Math" w:hAnsi="Cambria Math"/>
                    <w:iCs/>
                    <w:color w:val="000000"/>
                    <w:lang w:eastAsia="es-CO"/>
                  </w:rPr>
                </m:ctrlPr>
              </m:sSupPr>
              <m:e>
                <m:r>
                  <m:rPr>
                    <m:sty m:val="p"/>
                  </m:rPr>
                  <w:rPr>
                    <w:rFonts w:ascii="Cambria Math" w:eastAsia="Cambria Math" w:hAnsi="Cambria Math"/>
                    <w:color w:val="000000"/>
                    <w:lang w:eastAsia="es-CO"/>
                  </w:rPr>
                  <m:t>H</m:t>
                </m:r>
              </m:e>
              <m:sup>
                <m:r>
                  <m:rPr>
                    <m:sty m:val="p"/>
                  </m:rPr>
                  <w:rPr>
                    <w:rFonts w:ascii="Cambria Math" w:eastAsia="Cambria Math" w:hAnsi="Cambria Math"/>
                    <w:color w:val="000000"/>
                    <w:lang w:eastAsia="es-CO"/>
                  </w:rPr>
                  <m:t>'</m:t>
                </m:r>
              </m:sup>
            </m:sSup>
          </m:e>
        </m:d>
      </m:oMath>
      <w:r w:rsidRPr="00101616">
        <w:rPr>
          <w:rFonts w:eastAsia="Arial"/>
          <w:iCs/>
          <w:color w:val="000000"/>
          <w:lang w:eastAsia="es-CO"/>
        </w:rPr>
        <w:t xml:space="preserve"> </w:t>
      </w:r>
      <w:r w:rsidRPr="00101616">
        <w:rPr>
          <w:rFonts w:eastAsia="Arial"/>
          <w:color w:val="000000"/>
          <w:lang w:eastAsia="es-CO"/>
        </w:rPr>
        <w:t xml:space="preserve">is used to evaluate the variability, </w:t>
      </w:r>
      <w:r w:rsidR="00F22C08">
        <w:rPr>
          <w:rFonts w:eastAsia="Arial"/>
          <w:color w:val="000000"/>
          <w:lang w:eastAsia="es-CO"/>
        </w:rPr>
        <w:t>w</w:t>
      </w:r>
      <w:r w:rsidR="00F22C08" w:rsidRPr="00F22C08">
        <w:rPr>
          <w:rFonts w:eastAsia="Arial"/>
          <w:color w:val="000000"/>
          <w:lang w:eastAsia="es-CO"/>
        </w:rPr>
        <w:t>ealth</w:t>
      </w:r>
      <w:r w:rsidRPr="00101616">
        <w:rPr>
          <w:rFonts w:eastAsia="Arial"/>
          <w:color w:val="000000"/>
          <w:lang w:eastAsia="es-CO"/>
        </w:rPr>
        <w:t>, consistency</w:t>
      </w:r>
      <w:r w:rsidR="00C21658">
        <w:rPr>
          <w:rFonts w:eastAsia="Arial"/>
          <w:color w:val="000000"/>
          <w:lang w:eastAsia="es-CO"/>
        </w:rPr>
        <w:t xml:space="preserve">, </w:t>
      </w:r>
      <w:r w:rsidRPr="00101616">
        <w:rPr>
          <w:rFonts w:eastAsia="Arial"/>
          <w:color w:val="000000"/>
          <w:lang w:eastAsia="es-CO"/>
        </w:rPr>
        <w:t xml:space="preserve">and uniformity of the species, the values ​​are estimated between 1.5 and 3.5 or even exceed 4, increasing the value increases the diversity of species </w:t>
      </w:r>
      <w:r w:rsidRPr="00101616">
        <w:rPr>
          <w:rFonts w:eastAsia="Arial"/>
          <w:color w:val="000000"/>
          <w:lang w:eastAsia="es-CO"/>
        </w:rPr>
        <w:fldChar w:fldCharType="begin" w:fldLock="1"/>
      </w:r>
      <w:r w:rsidRPr="00101616">
        <w:rPr>
          <w:rFonts w:eastAsia="Arial"/>
          <w:color w:val="000000"/>
          <w:lang w:eastAsia="es-CO"/>
        </w:rPr>
        <w:instrText>ADDIN CSL_CITATION {"citationItems":[{"id":"ITEM-1","itemData":{"DOI":"10.1016/j.sjbs.2021.07.082","ISSN":"1319562X","abstract":"Distinctive studies were conducted for the identification of meiobenthos and zooplankton at Farasan Islands and Jizan sandy shores. The present work compares the meiobenthos and zooplankton communities at Alhsas sandy shore at Farasan Islands and As-Suways sandy shore at Jizan. Population density, species richness and Shannon-Weiner diversity index were determined for meiobenthos and zooplankton inhabiting both the studied sites. Water criteria; surface water temperature, pH and conductivity were determined for each investigated site. Eleven zooplankton species were defined at Alhsas sandy shore Farasan, nine species were identified at the littoral zone at As-Suways sandy shore, Jizan. Ten meiobenthos species were defined at Alhsas site, Farasan. Only eight meiobenthos species were defined at the intertidal zone of As-Suways site, Jizan. The results were discussed to highlight the effect of water criteria on the spatial distribution of zooplankton and meiobenthos at the investigated sites.","author":[{"dropping-particle":"","family":"Alnashiri","given":"Hassien M.","non-dropping-particle":"","parse-names":false,"suffix":""}],"container-title":"Saudi Journal of Biological Sciences","id":"ITEM-1","issue":"12","issued":{"date-parts":[["2021"]]},"page":"7061-7067","publisher":"King Saud University","title":"Zooplankton and meiobenthos diversity at the intertidal sandy shores of Jizan and Farasan coastal areas of Red Sea","type":"article-journal","volume":"28"},"uris":["http://www.mendeley.com/documents/?uuid=5a4cdcf9-0e9d-42d3-8237-759d87cc2b5d"]}],"mendeley":{"formattedCitation":"(Alnashiri, 2021)","plainTextFormattedCitation":"(Alnashiri, 2021)","previouslyFormattedCitation":"(Alnashiri, 2021)"},"properties":{"noteIndex":0},"schema":"https://github.com/citation-style-language/schema/raw/master/csl-citation.json"}</w:instrText>
      </w:r>
      <w:r w:rsidRPr="00101616">
        <w:rPr>
          <w:rFonts w:eastAsia="Arial"/>
          <w:color w:val="000000"/>
          <w:lang w:eastAsia="es-CO"/>
        </w:rPr>
        <w:fldChar w:fldCharType="separate"/>
      </w:r>
      <w:r w:rsidRPr="00101616">
        <w:rPr>
          <w:rFonts w:eastAsia="Arial"/>
          <w:noProof/>
          <w:color w:val="000000"/>
          <w:lang w:eastAsia="es-CO"/>
        </w:rPr>
        <w:t>(Alnashiri, 2021)</w:t>
      </w:r>
      <w:r w:rsidRPr="00101616">
        <w:rPr>
          <w:rFonts w:eastAsia="Arial"/>
          <w:color w:val="000000"/>
          <w:lang w:eastAsia="es-CO"/>
        </w:rPr>
        <w:fldChar w:fldCharType="end"/>
      </w:r>
      <w:r w:rsidRPr="00101616">
        <w:rPr>
          <w:rFonts w:eastAsia="Arial"/>
          <w:color w:val="000000"/>
          <w:lang w:eastAsia="es-CO"/>
        </w:rPr>
        <w:t>:</w:t>
      </w:r>
    </w:p>
    <w:tbl>
      <w:tblPr>
        <w:tblW w:w="5000" w:type="pct"/>
        <w:tblLook w:val="04A0" w:firstRow="1" w:lastRow="0" w:firstColumn="1" w:lastColumn="0" w:noHBand="0" w:noVBand="1"/>
      </w:tblPr>
      <w:tblGrid>
        <w:gridCol w:w="7983"/>
        <w:gridCol w:w="804"/>
      </w:tblGrid>
      <w:tr w:rsidR="00101616" w:rsidRPr="00B57B36" w14:paraId="1E0DF4D9" w14:textId="77777777" w:rsidTr="00F36C70">
        <w:tc>
          <w:tcPr>
            <w:tcW w:w="7983" w:type="dxa"/>
            <w:shd w:val="clear" w:color="auto" w:fill="auto"/>
            <w:vAlign w:val="center"/>
          </w:tcPr>
          <w:p w14:paraId="5B0DEB08" w14:textId="79125577" w:rsidR="00101616" w:rsidRPr="00101616" w:rsidRDefault="00736A7F" w:rsidP="00F36C70">
            <w:pPr>
              <w:pStyle w:val="CETEquation"/>
              <w:rPr>
                <w:szCs w:val="18"/>
              </w:rPr>
            </w:pPr>
            <m:oMath>
              <m:sSup>
                <m:sSupPr>
                  <m:ctrlPr>
                    <w:rPr>
                      <w:rFonts w:ascii="Cambria Math" w:eastAsia="Cambria Math" w:hAnsi="Cambria Math" w:cs="Arial"/>
                      <w:iCs/>
                      <w:color w:val="000000"/>
                      <w:szCs w:val="18"/>
                      <w:lang w:val="es-CO" w:eastAsia="es-CO"/>
                    </w:rPr>
                  </m:ctrlPr>
                </m:sSupPr>
                <m:e>
                  <m:r>
                    <m:rPr>
                      <m:sty m:val="p"/>
                    </m:rPr>
                    <w:rPr>
                      <w:rFonts w:ascii="Cambria Math" w:eastAsia="Cambria Math" w:hAnsi="Cambria Math" w:cs="Arial"/>
                      <w:color w:val="000000"/>
                      <w:szCs w:val="18"/>
                      <w:lang w:val="en-US" w:eastAsia="es-CO"/>
                    </w:rPr>
                    <m:t>H</m:t>
                  </m:r>
                </m:e>
                <m:sup>
                  <m:r>
                    <m:rPr>
                      <m:sty m:val="p"/>
                    </m:rPr>
                    <w:rPr>
                      <w:rFonts w:ascii="Cambria Math" w:eastAsia="Cambria Math" w:hAnsi="Cambria Math" w:cs="Arial"/>
                      <w:color w:val="000000"/>
                      <w:szCs w:val="18"/>
                      <w:lang w:val="en-US" w:eastAsia="es-CO"/>
                    </w:rPr>
                    <m:t>'</m:t>
                  </m:r>
                </m:sup>
              </m:sSup>
              <m:r>
                <m:rPr>
                  <m:sty m:val="p"/>
                </m:rPr>
                <w:rPr>
                  <w:rFonts w:ascii="Cambria Math" w:eastAsia="Cambria Math" w:hAnsi="Cambria Math" w:cs="Arial"/>
                  <w:color w:val="000000"/>
                  <w:szCs w:val="18"/>
                  <w:lang w:val="en-US" w:eastAsia="es-CO"/>
                </w:rPr>
                <m:t>=-</m:t>
              </m:r>
              <m:nary>
                <m:naryPr>
                  <m:chr m:val="∑"/>
                  <m:ctrlPr>
                    <w:rPr>
                      <w:rFonts w:ascii="Cambria Math" w:eastAsia="Cambria Math" w:hAnsi="Cambria Math" w:cs="Arial"/>
                      <w:iCs/>
                      <w:color w:val="000000"/>
                      <w:szCs w:val="18"/>
                      <w:lang w:val="es-CO" w:eastAsia="es-CO"/>
                    </w:rPr>
                  </m:ctrlPr>
                </m:naryPr>
                <m:sub>
                  <m:r>
                    <m:rPr>
                      <m:sty m:val="p"/>
                    </m:rPr>
                    <w:rPr>
                      <w:rFonts w:ascii="Cambria Math" w:eastAsia="Cambria Math" w:hAnsi="Cambria Math" w:cs="Arial"/>
                      <w:color w:val="000000"/>
                      <w:szCs w:val="18"/>
                      <w:lang w:val="en-US" w:eastAsia="es-CO"/>
                    </w:rPr>
                    <m:t>i=1</m:t>
                  </m:r>
                </m:sub>
                <m:sup>
                  <m:r>
                    <m:rPr>
                      <m:sty m:val="p"/>
                    </m:rPr>
                    <w:rPr>
                      <w:rFonts w:ascii="Cambria Math" w:eastAsia="Cambria Math" w:hAnsi="Cambria Math" w:cs="Arial"/>
                      <w:color w:val="000000"/>
                      <w:szCs w:val="18"/>
                      <w:lang w:val="en-US" w:eastAsia="es-CO"/>
                    </w:rPr>
                    <m:t>S</m:t>
                  </m:r>
                </m:sup>
                <m:e>
                  <m:d>
                    <m:dPr>
                      <m:ctrlPr>
                        <w:rPr>
                          <w:rFonts w:ascii="Cambria Math" w:eastAsia="Cambria Math" w:hAnsi="Cambria Math" w:cs="Arial"/>
                          <w:iCs/>
                          <w:color w:val="000000"/>
                          <w:szCs w:val="18"/>
                          <w:lang w:val="es-CO" w:eastAsia="es-CO"/>
                        </w:rPr>
                      </m:ctrlPr>
                    </m:dPr>
                    <m:e>
                      <m:sSub>
                        <m:sSubPr>
                          <m:ctrlPr>
                            <w:rPr>
                              <w:rFonts w:ascii="Cambria Math" w:eastAsia="Cambria Math" w:hAnsi="Cambria Math" w:cs="Arial"/>
                              <w:iCs/>
                              <w:color w:val="000000"/>
                              <w:szCs w:val="18"/>
                              <w:lang w:val="es-CO" w:eastAsia="es-CO"/>
                            </w:rPr>
                          </m:ctrlPr>
                        </m:sSubPr>
                        <m:e>
                          <m:r>
                            <m:rPr>
                              <m:sty m:val="p"/>
                            </m:rPr>
                            <w:rPr>
                              <w:rFonts w:ascii="Cambria Math" w:eastAsia="Cambria Math" w:hAnsi="Cambria Math" w:cs="Arial"/>
                              <w:color w:val="000000"/>
                              <w:szCs w:val="18"/>
                              <w:lang w:val="en-US" w:eastAsia="es-CO"/>
                            </w:rPr>
                            <m:t>p</m:t>
                          </m:r>
                        </m:e>
                        <m:sub>
                          <m:r>
                            <m:rPr>
                              <m:sty m:val="p"/>
                            </m:rPr>
                            <w:rPr>
                              <w:rFonts w:ascii="Cambria Math" w:eastAsia="Cambria Math" w:hAnsi="Cambria Math" w:cs="Arial"/>
                              <w:color w:val="000000"/>
                              <w:szCs w:val="18"/>
                              <w:lang w:val="en-US" w:eastAsia="es-CO"/>
                            </w:rPr>
                            <m:t>i</m:t>
                          </m:r>
                        </m:sub>
                      </m:sSub>
                      <m:r>
                        <m:rPr>
                          <m:sty m:val="p"/>
                        </m:rPr>
                        <w:rPr>
                          <w:rFonts w:ascii="Cambria Math" w:eastAsia="Cambria Math" w:hAnsi="Cambria Math" w:cs="Arial"/>
                          <w:color w:val="000000"/>
                          <w:szCs w:val="18"/>
                          <w:lang w:val="en-US" w:eastAsia="es-CO"/>
                        </w:rPr>
                        <m:t>×</m:t>
                      </m:r>
                      <m:sSub>
                        <m:sSubPr>
                          <m:ctrlPr>
                            <w:rPr>
                              <w:rFonts w:ascii="Cambria Math" w:eastAsia="Cambria Math" w:hAnsi="Cambria Math" w:cs="Arial"/>
                              <w:iCs/>
                              <w:color w:val="000000"/>
                              <w:szCs w:val="18"/>
                              <w:lang w:val="es-CO" w:eastAsia="es-CO"/>
                            </w:rPr>
                          </m:ctrlPr>
                        </m:sSubPr>
                        <m:e>
                          <m:r>
                            <m:rPr>
                              <m:sty m:val="p"/>
                            </m:rPr>
                            <w:rPr>
                              <w:rFonts w:ascii="Cambria Math" w:eastAsia="Cambria Math" w:hAnsi="Cambria Math" w:cs="Arial"/>
                              <w:color w:val="000000"/>
                              <w:szCs w:val="18"/>
                              <w:lang w:val="en-US" w:eastAsia="es-CO"/>
                            </w:rPr>
                            <m:t>log</m:t>
                          </m:r>
                        </m:e>
                        <m:sub>
                          <m:r>
                            <m:rPr>
                              <m:sty m:val="p"/>
                            </m:rPr>
                            <w:rPr>
                              <w:rFonts w:ascii="Cambria Math" w:eastAsia="Cambria Math" w:hAnsi="Cambria Math" w:cs="Arial"/>
                              <w:color w:val="000000"/>
                              <w:szCs w:val="18"/>
                              <w:lang w:val="en-US" w:eastAsia="es-CO"/>
                            </w:rPr>
                            <m:t>2</m:t>
                          </m:r>
                        </m:sub>
                      </m:sSub>
                      <m:sSub>
                        <m:sSubPr>
                          <m:ctrlPr>
                            <w:rPr>
                              <w:rFonts w:ascii="Cambria Math" w:eastAsia="Cambria Math" w:hAnsi="Cambria Math" w:cs="Arial"/>
                              <w:iCs/>
                              <w:color w:val="000000"/>
                              <w:szCs w:val="18"/>
                              <w:lang w:val="es-CO" w:eastAsia="es-CO"/>
                            </w:rPr>
                          </m:ctrlPr>
                        </m:sSubPr>
                        <m:e>
                          <m:r>
                            <m:rPr>
                              <m:sty m:val="p"/>
                            </m:rPr>
                            <w:rPr>
                              <w:rFonts w:ascii="Cambria Math" w:eastAsia="Cambria Math" w:hAnsi="Cambria Math" w:cs="Arial"/>
                              <w:color w:val="000000"/>
                              <w:szCs w:val="18"/>
                              <w:lang w:val="en-US" w:eastAsia="es-CO"/>
                            </w:rPr>
                            <m:t>p</m:t>
                          </m:r>
                        </m:e>
                        <m:sub>
                          <m:r>
                            <m:rPr>
                              <m:sty m:val="p"/>
                            </m:rPr>
                            <w:rPr>
                              <w:rFonts w:ascii="Cambria Math" w:eastAsia="Cambria Math" w:hAnsi="Cambria Math" w:cs="Arial"/>
                              <w:color w:val="000000"/>
                              <w:szCs w:val="18"/>
                              <w:lang w:val="en-US" w:eastAsia="es-CO"/>
                            </w:rPr>
                            <m:t>i</m:t>
                          </m:r>
                        </m:sub>
                      </m:sSub>
                    </m:e>
                  </m:d>
                </m:e>
              </m:nary>
            </m:oMath>
            <w:r w:rsidR="00101616" w:rsidRPr="00101616">
              <w:rPr>
                <w:rFonts w:eastAsia="Arial" w:cs="Arial"/>
                <w:szCs w:val="18"/>
              </w:rPr>
              <w:t xml:space="preserve">                                                                                                                                                         </w:t>
            </w:r>
          </w:p>
        </w:tc>
        <w:tc>
          <w:tcPr>
            <w:tcW w:w="804" w:type="dxa"/>
            <w:shd w:val="clear" w:color="auto" w:fill="auto"/>
            <w:vAlign w:val="center"/>
          </w:tcPr>
          <w:p w14:paraId="3FFE68F9" w14:textId="6C0B6007" w:rsidR="00101616" w:rsidRPr="00B57B36" w:rsidRDefault="00101616" w:rsidP="00F36C70">
            <w:pPr>
              <w:pStyle w:val="CETEquation"/>
              <w:jc w:val="right"/>
            </w:pPr>
            <w:r w:rsidRPr="00B57B36">
              <w:t>(</w:t>
            </w:r>
            <w:r w:rsidR="004853E5">
              <w:t>3</w:t>
            </w:r>
            <w:r w:rsidRPr="00B57B36">
              <w:t>)</w:t>
            </w:r>
          </w:p>
        </w:tc>
      </w:tr>
    </w:tbl>
    <w:p w14:paraId="3A73B0F5" w14:textId="77777777" w:rsidR="00101616" w:rsidRPr="00101616" w:rsidRDefault="00101616" w:rsidP="00101616">
      <w:pPr>
        <w:pStyle w:val="CETBodytext"/>
        <w:rPr>
          <w:rFonts w:eastAsia="Calibri" w:cs="Arial"/>
          <w:kern w:val="2"/>
          <w:szCs w:val="18"/>
          <w14:ligatures w14:val="standardContextual"/>
        </w:rPr>
      </w:pPr>
      <w:r w:rsidRPr="00101616">
        <w:rPr>
          <w:rFonts w:eastAsia="Calibri" w:cs="Arial"/>
          <w:kern w:val="2"/>
          <w:szCs w:val="18"/>
          <w14:ligatures w14:val="standardContextual"/>
        </w:rPr>
        <w:t xml:space="preserve">Where </w:t>
      </w:r>
      <m:oMath>
        <m:sSub>
          <m:sSubPr>
            <m:ctrlPr>
              <w:rPr>
                <w:rFonts w:ascii="Cambria Math" w:eastAsia="Calibri" w:hAnsi="Cambria Math" w:cs="Arial"/>
                <w:i/>
                <w:kern w:val="2"/>
                <w:szCs w:val="18"/>
                <w14:ligatures w14:val="standardContextual"/>
              </w:rPr>
            </m:ctrlPr>
          </m:sSubPr>
          <m:e>
            <m:r>
              <w:rPr>
                <w:rFonts w:ascii="Cambria Math" w:eastAsia="Calibri" w:hAnsi="Cambria Math" w:cs="Arial"/>
                <w:kern w:val="2"/>
                <w:szCs w:val="18"/>
                <w14:ligatures w14:val="standardContextual"/>
              </w:rPr>
              <m:t>p</m:t>
            </m:r>
          </m:e>
          <m:sub>
            <m:r>
              <w:rPr>
                <w:rFonts w:ascii="Cambria Math" w:eastAsia="Calibri" w:hAnsi="Cambria Math" w:cs="Arial"/>
                <w:kern w:val="2"/>
                <w:szCs w:val="18"/>
                <w14:ligatures w14:val="standardContextual"/>
              </w:rPr>
              <m:t>i</m:t>
            </m:r>
          </m:sub>
        </m:sSub>
        <m:r>
          <w:rPr>
            <w:rFonts w:ascii="Cambria Math" w:eastAsia="Calibri" w:hAnsi="Cambria Math" w:cs="Arial"/>
            <w:kern w:val="2"/>
            <w:szCs w:val="18"/>
            <w14:ligatures w14:val="standardContextual"/>
          </w:rPr>
          <m:t>=</m:t>
        </m:r>
        <m:sSub>
          <m:sSubPr>
            <m:ctrlPr>
              <w:rPr>
                <w:rFonts w:ascii="Cambria Math" w:eastAsia="Calibri" w:hAnsi="Cambria Math" w:cs="Arial"/>
                <w:i/>
                <w:kern w:val="2"/>
                <w:szCs w:val="18"/>
                <w14:ligatures w14:val="standardContextual"/>
              </w:rPr>
            </m:ctrlPr>
          </m:sSubPr>
          <m:e>
            <m:r>
              <w:rPr>
                <w:rFonts w:ascii="Cambria Math" w:eastAsia="Calibri" w:hAnsi="Cambria Math" w:cs="Arial"/>
                <w:kern w:val="2"/>
                <w:szCs w:val="18"/>
                <w14:ligatures w14:val="standardContextual"/>
              </w:rPr>
              <m:t>n</m:t>
            </m:r>
          </m:e>
          <m:sub>
            <m:r>
              <w:rPr>
                <w:rFonts w:ascii="Cambria Math" w:eastAsia="Calibri" w:hAnsi="Cambria Math" w:cs="Arial"/>
                <w:kern w:val="2"/>
                <w:szCs w:val="18"/>
                <w14:ligatures w14:val="standardContextual"/>
              </w:rPr>
              <m:t>i</m:t>
            </m:r>
          </m:sub>
        </m:sSub>
        <m:r>
          <w:rPr>
            <w:rFonts w:ascii="Cambria Math" w:eastAsia="Calibri" w:hAnsi="Cambria Math" w:cs="Arial"/>
            <w:kern w:val="2"/>
            <w:szCs w:val="18"/>
            <w14:ligatures w14:val="standardContextual"/>
          </w:rPr>
          <m:t>/N</m:t>
        </m:r>
      </m:oMath>
      <w:r w:rsidRPr="00101616">
        <w:rPr>
          <w:rFonts w:cs="Arial"/>
          <w:kern w:val="2"/>
          <w:szCs w:val="18"/>
          <w14:ligatures w14:val="standardContextual"/>
        </w:rPr>
        <w:t xml:space="preserve">, </w:t>
      </w:r>
      <m:oMath>
        <m:sSub>
          <m:sSubPr>
            <m:ctrlPr>
              <w:rPr>
                <w:rFonts w:ascii="Cambria Math" w:hAnsi="Cambria Math" w:cs="Arial"/>
                <w:i/>
                <w:kern w:val="2"/>
                <w:szCs w:val="18"/>
                <w14:ligatures w14:val="standardContextual"/>
              </w:rPr>
            </m:ctrlPr>
          </m:sSubPr>
          <m:e>
            <m:r>
              <w:rPr>
                <w:rFonts w:ascii="Cambria Math" w:hAnsi="Cambria Math" w:cs="Arial"/>
                <w:kern w:val="2"/>
                <w:szCs w:val="18"/>
                <w14:ligatures w14:val="standardContextual"/>
              </w:rPr>
              <m:t>n</m:t>
            </m:r>
          </m:e>
          <m:sub>
            <m:r>
              <w:rPr>
                <w:rFonts w:ascii="Cambria Math" w:hAnsi="Cambria Math" w:cs="Arial"/>
                <w:kern w:val="2"/>
                <w:szCs w:val="18"/>
                <w14:ligatures w14:val="standardContextual"/>
              </w:rPr>
              <m:t>i</m:t>
            </m:r>
          </m:sub>
        </m:sSub>
      </m:oMath>
      <w:r w:rsidRPr="00101616">
        <w:rPr>
          <w:rFonts w:cs="Arial"/>
          <w:kern w:val="2"/>
          <w:szCs w:val="18"/>
          <w14:ligatures w14:val="standardContextual"/>
        </w:rPr>
        <w:t xml:space="preserve"> is the number of individuals and </w:t>
      </w:r>
      <m:oMath>
        <m:r>
          <w:rPr>
            <w:rFonts w:ascii="Cambria Math" w:hAnsi="Cambria Math" w:cs="Arial"/>
            <w:kern w:val="2"/>
            <w:szCs w:val="18"/>
            <w14:ligatures w14:val="standardContextual"/>
          </w:rPr>
          <m:t>N</m:t>
        </m:r>
      </m:oMath>
      <w:r w:rsidRPr="00101616">
        <w:rPr>
          <w:rFonts w:cs="Arial"/>
          <w:kern w:val="2"/>
          <w:szCs w:val="18"/>
          <w14:ligatures w14:val="standardContextual"/>
        </w:rPr>
        <w:t xml:space="preserve"> is the total numbers of individuals. </w:t>
      </w:r>
    </w:p>
    <w:p w14:paraId="11698928" w14:textId="363A8920" w:rsidR="00101616" w:rsidRPr="00241C13" w:rsidRDefault="00101616" w:rsidP="00241C13">
      <w:pPr>
        <w:pStyle w:val="CETHeadingxx"/>
      </w:pPr>
      <w:r w:rsidRPr="00241C13">
        <w:t>Standardizing the data and subcomponents weight</w:t>
      </w:r>
    </w:p>
    <w:p w14:paraId="13CF56BB" w14:textId="150303AA" w:rsidR="00241C13" w:rsidRDefault="00101616" w:rsidP="00241C13">
      <w:pPr>
        <w:pStyle w:val="CETBodytext"/>
      </w:pPr>
      <w:r w:rsidRPr="00F04412">
        <w:t>The population, economic</w:t>
      </w:r>
      <w:r w:rsidR="001F3531">
        <w:t xml:space="preserve">, </w:t>
      </w:r>
      <w:r w:rsidRPr="00F04412">
        <w:t>and social data of this research were taken from official sources and government reports depending</w:t>
      </w:r>
      <w:r w:rsidR="00C21658">
        <w:t xml:space="preserve"> </w:t>
      </w:r>
      <w:r w:rsidRPr="00F04412">
        <w:t xml:space="preserve">the population near the Juan Angola </w:t>
      </w:r>
      <w:r w:rsidR="004E0B2A">
        <w:t>creek</w:t>
      </w:r>
      <w:r w:rsidRPr="00F04412">
        <w:t xml:space="preserve"> in the years 2021 and 2022 </w:t>
      </w:r>
      <w:r w:rsidRPr="00F04412">
        <w:fldChar w:fldCharType="begin" w:fldLock="1"/>
      </w:r>
      <w:r w:rsidRPr="00F04412">
        <w:instrText>ADDIN CSL_CITATION {"citationItems":[{"id":"ITEM-1","itemData":{"author":[{"dropping-particle":"","family":"Cartagena Cómo Vamos","given":"","non-dropping-particle":"","parse-names":false,"suffix":""}],"id":"ITEM-1","issued":{"date-parts":[["2022"]]},"number-of-pages":"1-170","publisher-place":"Cartagena, Colombia","title":"Informe Calidad de vida 2021- Alertas de la Cartagena de hoy","type":"report"},"uris":["http://www.mendeley.com/documents/?uuid=15e7576c-0c2e-4922-ac91-6e9a7423ee6a"]}],"mendeley":{"formattedCitation":"(Cartagena Cómo Vamos, 2022)","plainTextFormattedCitation":"(Cartagena Cómo Vamos, 2022)","previouslyFormattedCitation":"(Cartagena Cómo Vamos, 2022)"},"properties":{"noteIndex":0},"schema":"https://github.com/citation-style-language/schema/raw/master/csl-citation.json"}</w:instrText>
      </w:r>
      <w:r w:rsidRPr="00F04412">
        <w:fldChar w:fldCharType="separate"/>
      </w:r>
      <w:r w:rsidRPr="00F04412">
        <w:rPr>
          <w:noProof/>
        </w:rPr>
        <w:t>(Cartagena Cómo Vamos, 2022)</w:t>
      </w:r>
      <w:r w:rsidRPr="00F04412">
        <w:fldChar w:fldCharType="end"/>
      </w:r>
      <w:r w:rsidRPr="00F04412">
        <w:t>, while</w:t>
      </w:r>
      <w:r w:rsidR="00CB291F">
        <w:t xml:space="preserve"> </w:t>
      </w:r>
      <w:r w:rsidRPr="00F04412">
        <w:t>physiochemical parameters</w:t>
      </w:r>
      <w:r w:rsidR="00CB291F">
        <w:t xml:space="preserve"> </w:t>
      </w:r>
      <w:r w:rsidRPr="00F04412">
        <w:t xml:space="preserve">and birds </w:t>
      </w:r>
      <w:r w:rsidR="00CB291F">
        <w:t xml:space="preserve">data </w:t>
      </w:r>
      <w:r w:rsidRPr="00F04412">
        <w:t xml:space="preserve">were taken from the authors' measurements. Standardization was performed using the min-max approach </w:t>
      </w:r>
      <w:r w:rsidR="00F04412" w:rsidRPr="00F04412">
        <w:fldChar w:fldCharType="begin" w:fldLock="1"/>
      </w:r>
      <w:r w:rsidR="00F04412" w:rsidRPr="00F04412">
        <w:instrText>ADDIN CSL_CITATION {"citationItems":[{"id":"ITEM-1","itemData":{"DOI":"10.1016/j.gsd.2020.100502","ISSN":"2352801X","abstract":"Springs are the primary sources of drinking water for the people living in the mountainous region of Nepal Himalaya, but emerging drought condition exacerbated by climate change has dried up springs thus sparking water crisis in the region. The present study attempts to correlate the groundwater potential (GWP) zones and water poverty index (WPI) in the mid-hill region of Nepal Himalaya. The study was conducted in four drought-prone Village Development Committees (VDCs), namely Bhatauli, Chisapani, Kathjor and Manthali lying at the lower reaches of Tamakoshi Sub-basin in Ramechhap district of Province number 3, Nepal. The in-situ test of spring water revealed that pH, EC, TDS and DO values lie within the concentration limits of Nepal Drinking Water Quality Standards and suitable for drinking or other uses. Groundwater potential zoning was carried out using the eight thematic layers, namely elevation, slope, land use, drainage density, geomorphology, lineament density, rock and soil distribution and precipitation. High groundwater potential has been delineated along the Tamakoshi River while low potential areas lie in the western part of the study area. The model is verified with the field observation as the most springs concentrated in the high and medium groundwater potential zones. The study area has WPI values lower than the national WPI score, suggesting the low availability of water in the area. GWP correlates directly with WPI in the study area suggesting that GWP mapping alone can represent the water availability in the mid-hill region of Nepal Himalaya.","author":[{"dropping-particle":"","family":"Khadka","given":"Goma","non-dropping-particle":"","parse-names":false,"suffix":""},{"dropping-particle":"","family":"Pathak","given":"Dinesh","non-dropping-particle":"","parse-names":false,"suffix":""}],"container-title":"Groundwater for Sustainable Development","id":"ITEM-1","issued":{"date-parts":[["2021"]]},"page":"1-53","publisher":"Elsevier B.V.","title":"Groundwater potential as an indicator of water poverty index in drought-prone mid-hill region of Nepal Himalaya","type":"article-journal","volume":"12"},"uris":["http://www.mendeley.com/documents/?uuid=5fada321-9e41-4ea0-b320-63772e2f530a"]}],"mendeley":{"formattedCitation":"(Khadka &amp; Pathak, 2021)","plainTextFormattedCitation":"(Khadka &amp; Pathak, 2021)","previouslyFormattedCitation":"(Khadka &amp; Pathak, 2021)"},"properties":{"noteIndex":0},"schema":"https://github.com/citation-style-language/schema/raw/master/csl-citation.json"}</w:instrText>
      </w:r>
      <w:r w:rsidR="00F04412" w:rsidRPr="00F04412">
        <w:fldChar w:fldCharType="separate"/>
      </w:r>
      <w:r w:rsidR="00F04412" w:rsidRPr="00F04412">
        <w:rPr>
          <w:noProof/>
        </w:rPr>
        <w:t xml:space="preserve">(Khadka </w:t>
      </w:r>
      <w:r w:rsidR="00DE6FA9">
        <w:rPr>
          <w:noProof/>
        </w:rPr>
        <w:t>and</w:t>
      </w:r>
      <w:r w:rsidR="00F04412" w:rsidRPr="00F04412">
        <w:rPr>
          <w:noProof/>
        </w:rPr>
        <w:t xml:space="preserve"> Pathak, 2021)</w:t>
      </w:r>
      <w:r w:rsidR="00F04412" w:rsidRPr="00F04412">
        <w:fldChar w:fldCharType="end"/>
      </w:r>
      <w:r w:rsidR="00F04412" w:rsidRPr="00F04412">
        <w:t xml:space="preserve">, </w:t>
      </w:r>
      <w:r w:rsidRPr="00F04412">
        <w:t>dividing the values for each subcomponent</w:t>
      </w:r>
      <w:r w:rsidR="00C21658">
        <w:t xml:space="preserve"> </w:t>
      </w:r>
      <w:r w:rsidRPr="00F04412">
        <w:t>by the total population, are</w:t>
      </w:r>
      <w:r w:rsidR="00C21658">
        <w:t>a</w:t>
      </w:r>
      <w:r w:rsidRPr="00F04412">
        <w:t>, or the mean of each report</w:t>
      </w:r>
      <w:r w:rsidR="00C21658">
        <w:t>. I</w:t>
      </w:r>
      <w:r w:rsidRPr="00F04412">
        <w:t>n addition, to align the percentage data, they are subtracted from 100 or the opposite procedure</w:t>
      </w:r>
      <w:r w:rsidR="00C21658">
        <w:t xml:space="preserve"> </w:t>
      </w:r>
      <w:r w:rsidR="00F04412" w:rsidRPr="00F04412">
        <w:fldChar w:fldCharType="begin" w:fldLock="1"/>
      </w:r>
      <w:r w:rsidR="00F04412" w:rsidRPr="00F04412">
        <w:instrText>ADDIN CSL_CITATION {"citationItems":[{"id":"ITEM-1","itemData":{"DOI":"10.1016/j.habitatint.2021.102375","ISSN":"01973975","abstract":"Water scarcity is a major issue that many countries, especially developing ones are facing. Climate change is expected to further exacerbate water scarcity in many parts of the world. The Water Poverty Index (WPI) is used as one of the important tools for measuring water scarcity. Although WPI is linked to the development of countries, the impacts of WPI components on the development are not clearly investigated. There are studies that demonstrate strong associations between water-related factors such as availability and accessibility, and development capacity. However, limited knowledge exists on the impacts of multiple WPI sub-components on the Human Development Index (HDI). This paper aims to assess the impacts of the WPI components (i.e., resource, capacity, access, use, and environment) on the HDI in Iran. For this purpose, the Ordinary Least Squares (OLS) regression modeling is used. The results show that the resource component of the WPI has the largest impact on the HDI in Iran, followed by the capacity, environment, use, and access components. Also, while the use component inversely impacts the HDI, the increase in the other components leads to an increase in the HDI. Based on the findings, the paper provides planning recommendations for improving the WPI and consequently the HDI in Iran.","author":[{"dropping-particle":"","family":"Ladi","given":"Tahmineh","non-dropping-particle":"","parse-names":false,"suffix":""},{"dropping-particle":"","family":"Mahmoudpour","given":"Asrin","non-dropping-particle":"","parse-names":false,"suffix":""},{"dropping-particle":"","family":"Sharifi","given":"Ayyoob","non-dropping-particle":"","parse-names":false,"suffix":""}],"container-title":"Habitat International","id":"ITEM-1","issued":{"date-parts":[["2021"]]},"page":"1-19","publisher":"Elsevier Ltd","title":"Assessing impacts of the water poverty index components on the human development index in Iran","type":"article-journal","volume":"113"},"uris":["http://www.mendeley.com/documents/?uuid=3fb3c7ba-984f-4231-b3d3-ff2074793c00"]}],"mendeley":{"formattedCitation":"(Ladi et al., 2021)","plainTextFormattedCitation":"(Ladi et al., 2021)","previouslyFormattedCitation":"(Ladi et al., 2021)"},"properties":{"noteIndex":0},"schema":"https://github.com/citation-style-language/schema/raw/master/csl-citation.json"}</w:instrText>
      </w:r>
      <w:r w:rsidR="00F04412" w:rsidRPr="00F04412">
        <w:fldChar w:fldCharType="separate"/>
      </w:r>
      <w:r w:rsidR="00F04412" w:rsidRPr="00F04412">
        <w:rPr>
          <w:noProof/>
        </w:rPr>
        <w:t>(Ladi et al., 2021)</w:t>
      </w:r>
      <w:r w:rsidR="00F04412" w:rsidRPr="00F04412">
        <w:fldChar w:fldCharType="end"/>
      </w:r>
      <w:r w:rsidR="00F04412" w:rsidRPr="00F04412">
        <w:t xml:space="preserve">. </w:t>
      </w:r>
      <w:r w:rsidRPr="00F04412">
        <w:t xml:space="preserve">In this research, the same weights are used for the </w:t>
      </w:r>
      <w:r w:rsidR="00C21658">
        <w:t xml:space="preserve">all </w:t>
      </w:r>
      <w:r w:rsidRPr="00F04412">
        <w:t xml:space="preserve">components and subcomponents </w:t>
      </w:r>
      <w:r w:rsidR="00F04412" w:rsidRPr="00F04412">
        <w:fldChar w:fldCharType="begin" w:fldLock="1"/>
      </w:r>
      <w:r w:rsidR="009E5D6B">
        <w:instrText>ADDIN CSL_CITATION {"citationItems":[{"id":"ITEM-1","itemData":{"DOI":"10.1080/07900627.2016.1219941","author":[{"dropping-particle":"","family":"Jemmali","given":"Hatem","non-dropping-particle":"","parse-names":false,"suffix":""}],"container-title":"International Journal of Water Resources Development","id":"ITEM-1","issue":"4","issued":{"date-parts":[["2017"]]},"page":"646-666","title":"Mapping water poverty in Africa using the improved Multidimensional Index of Water Poverty","type":"article-journal","volume":"33"},"uris":["http://www.mendeley.com/documents/?uuid=4caeb2d2-81ac-4139-a5f7-fc8124be54c8"]}],"mendeley":{"formattedCitation":"(Jemmali, 2017)","plainTextFormattedCitation":"(Jemmali, 2017)","previouslyFormattedCitation":"(Jemmali, 2016)"},"properties":{"noteIndex":0},"schema":"https://github.com/citation-style-language/schema/raw/master/csl-citation.json"}</w:instrText>
      </w:r>
      <w:r w:rsidR="00F04412" w:rsidRPr="00F04412">
        <w:fldChar w:fldCharType="separate"/>
      </w:r>
      <w:r w:rsidR="009E5D6B" w:rsidRPr="009E5D6B">
        <w:rPr>
          <w:noProof/>
        </w:rPr>
        <w:t>(Jemmali, 2017)</w:t>
      </w:r>
      <w:r w:rsidR="00F04412" w:rsidRPr="00F04412">
        <w:fldChar w:fldCharType="end"/>
      </w:r>
      <w:r w:rsidR="00F04412" w:rsidRPr="00F04412">
        <w:t xml:space="preserve">, </w:t>
      </w:r>
      <w:r w:rsidRPr="00F04412">
        <w:t>due to the importance that the selected ones</w:t>
      </w:r>
      <w:r w:rsidR="00B3694D">
        <w:t xml:space="preserve"> </w:t>
      </w:r>
      <w:r w:rsidRPr="00F04412">
        <w:t xml:space="preserve">represent for the </w:t>
      </w:r>
      <w:r w:rsidR="00C21658" w:rsidRPr="00F04412">
        <w:t>study</w:t>
      </w:r>
      <w:r w:rsidR="00C21658">
        <w:t xml:space="preserve"> </w:t>
      </w:r>
      <w:r w:rsidRPr="00F04412">
        <w:t>area</w:t>
      </w:r>
      <w:r w:rsidR="00C21658">
        <w:t>.</w:t>
      </w:r>
    </w:p>
    <w:p w14:paraId="402CE570" w14:textId="65F3C28F" w:rsidR="00F04412" w:rsidRPr="00F04412" w:rsidRDefault="00F04412" w:rsidP="00241C13">
      <w:pPr>
        <w:pStyle w:val="CETHeadingxx"/>
      </w:pPr>
      <w:r w:rsidRPr="00F04412">
        <w:t>Calculation of the Water Poverty Index (WPI)</w:t>
      </w:r>
      <w:r w:rsidR="004A7320">
        <w:t xml:space="preserve"> </w:t>
      </w:r>
    </w:p>
    <w:p w14:paraId="73893FDD" w14:textId="5C7B1483" w:rsidR="004853E5" w:rsidRDefault="00F04412" w:rsidP="00F04412">
      <w:pPr>
        <w:pStyle w:val="CETBodytext"/>
        <w:rPr>
          <w:lang w:val="en-GB"/>
        </w:rPr>
      </w:pPr>
      <w:r w:rsidRPr="00F04412">
        <w:rPr>
          <w:lang w:val="en-GB"/>
        </w:rPr>
        <w:t xml:space="preserve">For the calculation of WPI, Sullivan et al. </w:t>
      </w:r>
      <w:r w:rsidRPr="00F04412">
        <w:rPr>
          <w:rFonts w:eastAsia="Calibri"/>
        </w:rPr>
        <w:fldChar w:fldCharType="begin" w:fldLock="1"/>
      </w:r>
      <w:r w:rsidRPr="00F04412">
        <w:rPr>
          <w:rFonts w:eastAsia="Calibri"/>
        </w:rPr>
        <w:instrText>ADDIN CSL_CITATION {"citationItems":[{"id":"ITEM-1","itemData":{"author":[{"dropping-particle":"","family":"Sullivan","given":"C A","non-dropping-particle":"","parse-names":false,"suffix":""},{"dropping-particle":"","family":"Meigh","given":"J R","non-dropping-particle":"","parse-names":false,"suffix":""},{"dropping-particle":"","family":"Giacomello","given":"A M","non-dropping-particle":"","parse-names":false,"suffix":""},{"dropping-particle":"","family":"Fediw","given":"T","non-dropping-particle":"","parse-names":false,"suffix":""},{"dropping-particle":"","family":"Lawrence","given":"P","non-dropping-particle":"","parse-names":false,"suffix":""},{"dropping-particle":"","family":"Samad","given":"M","non-dropping-particle":"","parse-names":false,"suffix":""},{"dropping-particle":"","family":"Mlote","given":"S","non-dropping-particle":"","parse-names":false,"suffix":""},{"dropping-particle":"","family":"Hutton","given":"C","non-dropping-particle":"","parse-names":false,"suffix":""},{"dropping-particle":"","family":"Allan","given":"J A","non-dropping-particle":"","parse-names":false,"suffix":""},{"dropping-particle":"","family":"Schulze","given":"R E","non-dropping-particle":"","parse-names":false,"suffix":""},{"dropping-particle":"","family":"Dlamini","given":"D J M","non-dropping-particle":"","parse-names":false,"suffix":""},{"dropping-particle":"","family":"Cosgrove","given":"W","non-dropping-particle":"","parse-names":false,"suffix":""},{"dropping-particle":"","family":"Priscoli","given":"J Delli","non-dropping-particle":"","parse-names":false,"suffix":""},{"dropping-particle":"","family":"Gleick","given":"P","non-dropping-particle":"","parse-names":false,"suffix":""},{"dropping-particle":"","family":"Smout","given":"I","non-dropping-particle":"","parse-names":false,"suffix":""},{"dropping-particle":"","family":"Cobbing","given":"J","non-dropping-particle":"","parse-names":false,"suffix":""},{"dropping-particle":"","family":"Calow","given":"R","non-dropping-particle":"","parse-names":false,"suffix":""},{"dropping-particle":"","family":"Hunt","given":"C","non-dropping-particle":"","parse-names":false,"suffix":""},{"dropping-particle":"","family":"Hussain","given":"A","non-dropping-particle":"","parse-names":false,"suffix":""},{"dropping-particle":"","family":"Acreman","given":"M C","non-dropping-particle":"","parse-names":false,"suffix":""},{"dropping-particle":"","family":"King","given":"J","non-dropping-particle":"","parse-names":false,"suffix":""},{"dropping-particle":"","family":"Malomo","given":"S","non-dropping-particle":"","parse-names":false,"suffix":""},{"dropping-particle":"","family":"Tate","given":"E L","non-dropping-particle":"","parse-names":false,"suffix":""},{"dropping-particle":"","family":"Regan","given":"D O","non-dropping-particle":"","parse-names":false,"suffix":""},{"dropping-particle":"","family":"Milner","given":"S","non-dropping-particle":"","parse-names":false,"suffix":""},{"dropping-particle":"","family":"Steyl","given":"I","non-dropping-particle":"","parse-names":false,"suffix":""}],"id":"ITEM-1","issued":{"date-parts":[["2003"]]},"page":"189-199","title":"The Water Poverty Index : Development and application at the community scale","type":"article-journal","volume":"27"},"uris":["http://www.mendeley.com/documents/?uuid=a2d15251-83c7-49c8-8b9b-1a0f8ec2cc2e"]}],"mendeley":{"formattedCitation":"(Sullivan et al., 2003)","manualFormatting":"(2003)","plainTextFormattedCitation":"(Sullivan et al., 2003)","previouslyFormattedCitation":"(Sullivan et al., 2003)"},"properties":{"noteIndex":0},"schema":"https://github.com/citation-style-language/schema/raw/master/csl-citation.json"}</w:instrText>
      </w:r>
      <w:r w:rsidRPr="00F04412">
        <w:rPr>
          <w:rFonts w:eastAsia="Calibri"/>
        </w:rPr>
        <w:fldChar w:fldCharType="separate"/>
      </w:r>
      <w:r w:rsidRPr="00F04412">
        <w:rPr>
          <w:rFonts w:eastAsia="Calibri"/>
          <w:noProof/>
        </w:rPr>
        <w:t>(2003)</w:t>
      </w:r>
      <w:r w:rsidRPr="00F04412">
        <w:rPr>
          <w:rFonts w:eastAsia="Calibri"/>
        </w:rPr>
        <w:fldChar w:fldCharType="end"/>
      </w:r>
      <w:r w:rsidRPr="00F04412">
        <w:rPr>
          <w:rFonts w:eastAsia="Calibri"/>
        </w:rPr>
        <w:t xml:space="preserve"> </w:t>
      </w:r>
      <w:r w:rsidRPr="00F04412">
        <w:rPr>
          <w:lang w:val="en-GB"/>
        </w:rPr>
        <w:t>described it as:</w:t>
      </w:r>
    </w:p>
    <w:tbl>
      <w:tblPr>
        <w:tblW w:w="5000" w:type="pct"/>
        <w:tblLook w:val="04A0" w:firstRow="1" w:lastRow="0" w:firstColumn="1" w:lastColumn="0" w:noHBand="0" w:noVBand="1"/>
      </w:tblPr>
      <w:tblGrid>
        <w:gridCol w:w="7983"/>
        <w:gridCol w:w="804"/>
      </w:tblGrid>
      <w:tr w:rsidR="004853E5" w:rsidRPr="00B57B36" w14:paraId="5589A6D5" w14:textId="77777777" w:rsidTr="00BE5453">
        <w:tc>
          <w:tcPr>
            <w:tcW w:w="7983" w:type="dxa"/>
            <w:shd w:val="clear" w:color="auto" w:fill="auto"/>
            <w:vAlign w:val="center"/>
          </w:tcPr>
          <w:p w14:paraId="4E5AC8BC" w14:textId="6262D44E" w:rsidR="004853E5" w:rsidRPr="00101616" w:rsidRDefault="004853E5" w:rsidP="00BE5453">
            <w:pPr>
              <w:pStyle w:val="CETEquation"/>
              <w:rPr>
                <w:szCs w:val="18"/>
              </w:rPr>
            </w:pPr>
            <m:oMath>
              <m:r>
                <w:rPr>
                  <w:rFonts w:ascii="Cambria Math" w:eastAsia="Calibri" w:hAnsi="Cambria Math"/>
                </w:rPr>
                <m:t>WPI=</m:t>
              </m:r>
              <m:f>
                <m:fPr>
                  <m:ctrlPr>
                    <w:rPr>
                      <w:rFonts w:ascii="Cambria Math" w:eastAsia="Calibri" w:hAnsi="Cambria Math"/>
                      <w:i/>
                    </w:rPr>
                  </m:ctrlPr>
                </m:fPr>
                <m:num>
                  <m:nary>
                    <m:naryPr>
                      <m:chr m:val="∑"/>
                      <m:limLoc m:val="undOvr"/>
                      <m:ctrlPr>
                        <w:rPr>
                          <w:rFonts w:ascii="Cambria Math" w:eastAsia="Calibri" w:hAnsi="Cambria Math"/>
                          <w:i/>
                        </w:rPr>
                      </m:ctrlPr>
                    </m:naryPr>
                    <m:sub>
                      <m:r>
                        <w:rPr>
                          <w:rFonts w:ascii="Cambria Math" w:eastAsia="Calibri" w:hAnsi="Cambria Math"/>
                        </w:rPr>
                        <m:t>i=1</m:t>
                      </m:r>
                    </m:sub>
                    <m:sup>
                      <m:r>
                        <w:rPr>
                          <w:rFonts w:ascii="Cambria Math" w:eastAsia="Calibri" w:hAnsi="Cambria Math"/>
                        </w:rPr>
                        <m:t>N</m:t>
                      </m:r>
                    </m:sup>
                    <m:e>
                      <m:sSub>
                        <m:sSubPr>
                          <m:ctrlPr>
                            <w:rPr>
                              <w:rFonts w:ascii="Cambria Math" w:eastAsia="Calibri" w:hAnsi="Cambria Math"/>
                              <w:i/>
                            </w:rPr>
                          </m:ctrlPr>
                        </m:sSubPr>
                        <m:e>
                          <m:r>
                            <w:rPr>
                              <w:rFonts w:ascii="Cambria Math" w:eastAsia="Calibri" w:hAnsi="Cambria Math"/>
                            </w:rPr>
                            <m:t>w</m:t>
                          </m:r>
                        </m:e>
                        <m:sub>
                          <m:r>
                            <w:rPr>
                              <w:rFonts w:ascii="Cambria Math" w:eastAsia="Calibri" w:hAnsi="Cambria Math"/>
                            </w:rPr>
                            <m:t>i</m:t>
                          </m:r>
                        </m:sub>
                      </m:sSub>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i</m:t>
                          </m:r>
                        </m:sub>
                      </m:sSub>
                    </m:e>
                  </m:nary>
                </m:num>
                <m:den>
                  <m:nary>
                    <m:naryPr>
                      <m:chr m:val="∑"/>
                      <m:limLoc m:val="undOvr"/>
                      <m:ctrlPr>
                        <w:rPr>
                          <w:rFonts w:ascii="Cambria Math" w:eastAsia="Calibri" w:hAnsi="Cambria Math"/>
                          <w:i/>
                        </w:rPr>
                      </m:ctrlPr>
                    </m:naryPr>
                    <m:sub>
                      <m:r>
                        <w:rPr>
                          <w:rFonts w:ascii="Cambria Math" w:eastAsia="Calibri" w:hAnsi="Cambria Math"/>
                        </w:rPr>
                        <m:t>i=1</m:t>
                      </m:r>
                    </m:sub>
                    <m:sup>
                      <m:r>
                        <w:rPr>
                          <w:rFonts w:ascii="Cambria Math" w:eastAsia="Calibri" w:hAnsi="Cambria Math"/>
                        </w:rPr>
                        <m:t>N</m:t>
                      </m:r>
                    </m:sup>
                    <m:e>
                      <m:sSub>
                        <m:sSubPr>
                          <m:ctrlPr>
                            <w:rPr>
                              <w:rFonts w:ascii="Cambria Math" w:eastAsia="Calibri" w:hAnsi="Cambria Math"/>
                              <w:i/>
                            </w:rPr>
                          </m:ctrlPr>
                        </m:sSubPr>
                        <m:e>
                          <m:r>
                            <w:rPr>
                              <w:rFonts w:ascii="Cambria Math" w:eastAsia="Calibri" w:hAnsi="Cambria Math"/>
                            </w:rPr>
                            <m:t>w</m:t>
                          </m:r>
                        </m:e>
                        <m:sub>
                          <m:r>
                            <w:rPr>
                              <w:rFonts w:ascii="Cambria Math" w:eastAsia="Calibri" w:hAnsi="Cambria Math"/>
                            </w:rPr>
                            <m:t>i</m:t>
                          </m:r>
                        </m:sub>
                      </m:sSub>
                    </m:e>
                  </m:nary>
                </m:den>
              </m:f>
            </m:oMath>
            <w:r w:rsidRPr="00101616">
              <w:rPr>
                <w:rFonts w:eastAsia="Arial" w:cs="Arial"/>
                <w:szCs w:val="18"/>
              </w:rPr>
              <w:t xml:space="preserve">                                                                                                                                                         </w:t>
            </w:r>
          </w:p>
        </w:tc>
        <w:tc>
          <w:tcPr>
            <w:tcW w:w="804" w:type="dxa"/>
            <w:shd w:val="clear" w:color="auto" w:fill="auto"/>
            <w:vAlign w:val="center"/>
          </w:tcPr>
          <w:p w14:paraId="0BD3C06C" w14:textId="7CF19F59" w:rsidR="004853E5" w:rsidRPr="00B57B36" w:rsidRDefault="004853E5" w:rsidP="00BE5453">
            <w:pPr>
              <w:pStyle w:val="CETEquation"/>
              <w:jc w:val="right"/>
            </w:pPr>
            <w:r w:rsidRPr="00B57B36">
              <w:t>(</w:t>
            </w:r>
            <w:r>
              <w:t>4</w:t>
            </w:r>
            <w:r w:rsidRPr="00B57B36">
              <w:t>)</w:t>
            </w:r>
          </w:p>
        </w:tc>
      </w:tr>
    </w:tbl>
    <w:p w14:paraId="662A3AB0" w14:textId="50EF71E1" w:rsidR="00F04412" w:rsidRDefault="00F04412" w:rsidP="00F04412">
      <w:pPr>
        <w:pStyle w:val="CETBodytext"/>
      </w:pPr>
      <w:r w:rsidRPr="00F04412">
        <w:rPr>
          <w:rFonts w:eastAsia="Calibri"/>
        </w:rPr>
        <w:t xml:space="preserve">Where </w:t>
      </w:r>
      <m:oMath>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i</m:t>
            </m:r>
          </m:sub>
        </m:sSub>
      </m:oMath>
      <w:r w:rsidRPr="00F04412">
        <w:t xml:space="preserve"> is the components </w:t>
      </w:r>
      <m:oMath>
        <m:r>
          <w:rPr>
            <w:rFonts w:ascii="Cambria Math" w:hAnsi="Cambria Math"/>
          </w:rPr>
          <m:t>i</m:t>
        </m:r>
      </m:oMath>
      <w:r w:rsidRPr="00F04412">
        <w:t xml:space="preserve"> and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F04412">
        <w:t xml:space="preserve"> is the weight of that component </w:t>
      </w:r>
      <m:oMath>
        <m:r>
          <w:rPr>
            <w:rFonts w:ascii="Cambria Math" w:hAnsi="Cambria Math"/>
          </w:rPr>
          <m:t>i</m:t>
        </m:r>
      </m:oMath>
      <w:r w:rsidRPr="00F04412">
        <w:t xml:space="preserve">, the WPI result fluctuates between 0 and 100, the latter being the best possible score </w:t>
      </w:r>
      <w:r w:rsidRPr="00F04412">
        <w:fldChar w:fldCharType="begin" w:fldLock="1"/>
      </w:r>
      <w:r w:rsidR="00A31E60">
        <w:instrText>ADDIN CSL_CITATION {"citationItems":[{"id":"ITEM-1","itemData":{"author":[{"dropping-particle":"","family":"Sullivan","given":"C A","non-dropping-particle":"","parse-names":false,"suffix":""},{"dropping-particle":"","family":"Meigh","given":"J R","non-dropping-particle":"","parse-names":false,"suffix":""},{"dropping-particle":"","family":"Giacomello","given":"A M","non-dropping-particle":"","parse-names":false,"suffix":""},{"dropping-particle":"","family":"Fediw","given":"T","non-dropping-particle":"","parse-names":false,"suffix":""},{"dropping-particle":"","family":"Lawrence","given":"P","non-dropping-particle":"","parse-names":false,"suffix":""},{"dropping-particle":"","family":"Samad","given":"M","non-dropping-particle":"","parse-names":false,"suffix":""},{"dropping-particle":"","family":"Mlote","given":"S","non-dropping-particle":"","parse-names":false,"suffix":""},{"dropping-particle":"","family":"Hutton","given":"C","non-dropping-particle":"","parse-names":false,"suffix":""},{"dropping-particle":"","family":"Allan","given":"J A","non-dropping-particle":"","parse-names":false,"suffix":""},{"dropping-particle":"","family":"Schulze","given":"R E","non-dropping-particle":"","parse-names":false,"suffix":""},{"dropping-particle":"","family":"Dlamini","given":"D J M","non-dropping-particle":"","parse-names":false,"suffix":""},{"dropping-particle":"","family":"Cosgrove","given":"W","non-dropping-particle":"","parse-names":false,"suffix":""},{"dropping-particle":"","family":"Priscoli","given":"J Delli","non-dropping-particle":"","parse-names":false,"suffix":""},{"dropping-particle":"","family":"Gleick","given":"P","non-dropping-particle":"","parse-names":false,"suffix":""},{"dropping-particle":"","family":"Smout","given":"I","non-dropping-particle":"","parse-names":false,"suffix":""},{"dropping-particle":"","family":"Cobbing","given":"J","non-dropping-particle":"","parse-names":false,"suffix":""},{"dropping-particle":"","family":"Calow","given":"R","non-dropping-particle":"","parse-names":false,"suffix":""},{"dropping-particle":"","family":"Hunt","given":"C","non-dropping-particle":"","parse-names":false,"suffix":""},{"dropping-particle":"","family":"Hussain","given":"A","non-dropping-particle":"","parse-names":false,"suffix":""},{"dropping-particle":"","family":"Acreman","given":"M C","non-dropping-particle":"","parse-names":false,"suffix":""},{"dropping-particle":"","family":"King","given":"J","non-dropping-particle":"","parse-names":false,"suffix":""},{"dropping-particle":"","family":"Malomo","given":"S","non-dropping-particle":"","parse-names":false,"suffix":""},{"dropping-particle":"","family":"Tate","given":"E L","non-dropping-particle":"","parse-names":false,"suffix":""},{"dropping-particle":"","family":"Regan","given":"D O","non-dropping-particle":"","parse-names":false,"suffix":""},{"dropping-particle":"","family":"Milner","given":"S","non-dropping-particle":"","parse-names":false,"suffix":""},{"dropping-particle":"","family":"Steyl","given":"I","non-dropping-particle":"","parse-names":false,"suffix":""}],"id":"ITEM-1","issued":{"date-parts":[["2003"]]},"page":"189-199","title":"The Water Poverty Index : Development and application at the community scale","type":"article-journal","volume":"27"},"uris":["http://www.mendeley.com/documents/?uuid=a2d15251-83c7-49c8-8b9b-1a0f8ec2cc2e"]}],"mendeley":{"formattedCitation":"(Sullivan et al., 2003)","plainTextFormattedCitation":"(Sullivan et al., 2003)","previouslyFormattedCitation":"(Sullivan et al., 2003)"},"properties":{"noteIndex":0},"schema":"https://github.com/citation-style-language/schema/raw/master/csl-citation.json"}</w:instrText>
      </w:r>
      <w:r w:rsidRPr="00F04412">
        <w:fldChar w:fldCharType="separate"/>
      </w:r>
      <w:r w:rsidRPr="00F04412">
        <w:rPr>
          <w:noProof/>
        </w:rPr>
        <w:t>(Sullivan et al., 2003)</w:t>
      </w:r>
      <w:r w:rsidRPr="00F04412">
        <w:fldChar w:fldCharType="end"/>
      </w:r>
      <w:r w:rsidRPr="00F04412">
        <w:t>.</w:t>
      </w:r>
      <w:r w:rsidR="004A7320">
        <w:t xml:space="preserve"> The same formulation was used for the WPI-mB including the new category.</w:t>
      </w:r>
    </w:p>
    <w:p w14:paraId="7825F906" w14:textId="45E17340" w:rsidR="00A31E60" w:rsidRDefault="00A31E60" w:rsidP="00A31E60">
      <w:pPr>
        <w:pStyle w:val="CETHeading1"/>
        <w:rPr>
          <w:lang w:val="en-GB"/>
        </w:rPr>
      </w:pPr>
      <w:r w:rsidRPr="00A31E60">
        <w:rPr>
          <w:lang w:val="en-GB"/>
        </w:rPr>
        <w:t xml:space="preserve">Results and </w:t>
      </w:r>
      <w:r w:rsidR="000F3623">
        <w:rPr>
          <w:lang w:val="en-GB"/>
        </w:rPr>
        <w:t>D</w:t>
      </w:r>
      <w:r w:rsidRPr="00A31E60">
        <w:rPr>
          <w:lang w:val="en-GB"/>
        </w:rPr>
        <w:t>iscussion</w:t>
      </w:r>
    </w:p>
    <w:p w14:paraId="3790AA5F" w14:textId="2B8AC8B3" w:rsidR="00401EBF" w:rsidRPr="006F6461" w:rsidRDefault="00EA2FF7" w:rsidP="007A1B85">
      <w:pPr>
        <w:pStyle w:val="CETBodytext"/>
      </w:pPr>
      <w:r w:rsidRPr="00EA2FF7">
        <w:t xml:space="preserve">The </w:t>
      </w:r>
      <w:r w:rsidR="004A7320" w:rsidRPr="004A7320">
        <w:t xml:space="preserve">results in </w:t>
      </w:r>
      <w:r w:rsidR="001D407E">
        <w:fldChar w:fldCharType="begin"/>
      </w:r>
      <w:r w:rsidR="001D407E">
        <w:instrText xml:space="preserve"> REF _Ref125427772 \h </w:instrText>
      </w:r>
      <w:r w:rsidR="001D407E">
        <w:fldChar w:fldCharType="separate"/>
      </w:r>
      <w:r w:rsidR="001D407E">
        <w:t xml:space="preserve">Table </w:t>
      </w:r>
      <w:r w:rsidR="001D407E">
        <w:rPr>
          <w:noProof/>
        </w:rPr>
        <w:t>1</w:t>
      </w:r>
      <w:r w:rsidR="001D407E">
        <w:fldChar w:fldCharType="end"/>
      </w:r>
      <w:r w:rsidR="001D407E">
        <w:t xml:space="preserve"> </w:t>
      </w:r>
      <w:r w:rsidR="004A7320" w:rsidRPr="004A7320">
        <w:t>show an initial measurement of the values ​​for each WPI component and the WPI modified with bird parameters</w:t>
      </w:r>
      <w:r w:rsidR="007A1B85">
        <w:t xml:space="preserve"> (WPI-mB). </w:t>
      </w:r>
      <w:r w:rsidR="007A1B85">
        <w:t xml:space="preserve">Since </w:t>
      </w:r>
      <w:r w:rsidR="007A1B85">
        <w:t>different</w:t>
      </w:r>
      <w:r w:rsidR="007A1B85">
        <w:t xml:space="preserve"> </w:t>
      </w:r>
      <w:r w:rsidR="007A1B85">
        <w:t>sub-indexes</w:t>
      </w:r>
      <w:r w:rsidR="007A1B85">
        <w:t xml:space="preserve"> were used for </w:t>
      </w:r>
      <w:r w:rsidR="007A1B85">
        <w:t>every</w:t>
      </w:r>
      <w:r w:rsidR="007A1B85">
        <w:t xml:space="preserve"> component, </w:t>
      </w:r>
      <w:r w:rsidR="007A1B85">
        <w:t>all the values were brought</w:t>
      </w:r>
      <w:r w:rsidR="007A1B85">
        <w:t xml:space="preserve"> </w:t>
      </w:r>
      <w:r w:rsidR="007A1B85">
        <w:t>to</w:t>
      </w:r>
      <w:r w:rsidR="007A1B85">
        <w:t xml:space="preserve"> one </w:t>
      </w:r>
      <w:r w:rsidR="00F9798F">
        <w:t xml:space="preserve">dimensionless </w:t>
      </w:r>
      <w:r w:rsidR="007A1B85">
        <w:t>scale</w:t>
      </w:r>
      <w:r w:rsidR="007A1B85">
        <w:t xml:space="preserve"> were</w:t>
      </w:r>
      <w:r w:rsidR="007A1B85">
        <w:t xml:space="preserve"> each indicator was assigned a score between 0 and 100. </w:t>
      </w:r>
      <w:r w:rsidR="00DE7C87">
        <w:t>The</w:t>
      </w:r>
      <w:r w:rsidR="007A1B85" w:rsidRPr="00DE7C87">
        <w:t xml:space="preserve"> variables </w:t>
      </w:r>
      <w:r w:rsidR="00DE7C87" w:rsidRPr="00DE7C87">
        <w:t>presented without percentage were normalized applying a minimum-maximum approach</w:t>
      </w:r>
      <w:r w:rsidR="00DE7C87" w:rsidRPr="00DE7C87">
        <w:rPr>
          <w:color w:val="0070C0"/>
        </w:rPr>
        <w:t xml:space="preserve"> </w:t>
      </w:r>
      <w:r w:rsidR="007A1B85" w:rsidRPr="007A1B85">
        <w:t>(Goel et al., 2020)</w:t>
      </w:r>
      <w:r w:rsidR="007A1B85">
        <w:t>.</w:t>
      </w:r>
      <w:r w:rsidR="007A1B85" w:rsidRPr="00507033">
        <w:t xml:space="preserve"> </w:t>
      </w:r>
      <w:r w:rsidR="00507033" w:rsidRPr="00507033">
        <w:t>Errors were considered for bird and water quality parameters before calculating WPI and WPI-mB. The errors were between 1 and 4%.</w:t>
      </w:r>
      <w:r w:rsidR="00141472">
        <w:t xml:space="preserve"> </w:t>
      </w:r>
    </w:p>
    <w:p w14:paraId="22CF67D3" w14:textId="407DF548" w:rsidR="003411CA" w:rsidRDefault="003411CA" w:rsidP="003411CA">
      <w:pPr>
        <w:pStyle w:val="CETTabletitle"/>
      </w:pPr>
      <w:bookmarkStart w:id="0" w:name="_Ref125427772"/>
      <w:r>
        <w:t xml:space="preserve">Table </w:t>
      </w:r>
      <w:r>
        <w:fldChar w:fldCharType="begin"/>
      </w:r>
      <w:r>
        <w:instrText xml:space="preserve"> SEQ Table \* ARABIC </w:instrText>
      </w:r>
      <w:r>
        <w:fldChar w:fldCharType="separate"/>
      </w:r>
      <w:r w:rsidR="00D570FD">
        <w:rPr>
          <w:noProof/>
        </w:rPr>
        <w:t>1</w:t>
      </w:r>
      <w:r>
        <w:fldChar w:fldCharType="end"/>
      </w:r>
      <w:bookmarkEnd w:id="0"/>
      <w:r w:rsidR="007B6153">
        <w:t>:</w:t>
      </w:r>
      <w:r>
        <w:t xml:space="preserve"> </w:t>
      </w:r>
      <w:r w:rsidRPr="003411CA">
        <w:t>Water Poverty Index</w:t>
      </w:r>
      <w:r w:rsidR="00BD76A0">
        <w:t xml:space="preserve"> (WPI)</w:t>
      </w:r>
      <w:r w:rsidRPr="003411CA">
        <w:t xml:space="preserve"> subcomponents and values for the study area</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2"/>
        <w:gridCol w:w="837"/>
        <w:gridCol w:w="350"/>
        <w:gridCol w:w="11"/>
        <w:gridCol w:w="239"/>
        <w:gridCol w:w="65"/>
        <w:gridCol w:w="404"/>
        <w:gridCol w:w="527"/>
        <w:gridCol w:w="7"/>
        <w:gridCol w:w="355"/>
        <w:gridCol w:w="369"/>
        <w:gridCol w:w="381"/>
        <w:gridCol w:w="7"/>
        <w:gridCol w:w="520"/>
        <w:gridCol w:w="11"/>
        <w:gridCol w:w="427"/>
        <w:gridCol w:w="489"/>
        <w:gridCol w:w="12"/>
        <w:gridCol w:w="376"/>
        <w:gridCol w:w="37"/>
        <w:gridCol w:w="446"/>
        <w:gridCol w:w="569"/>
        <w:gridCol w:w="44"/>
        <w:gridCol w:w="84"/>
        <w:gridCol w:w="417"/>
        <w:gridCol w:w="313"/>
        <w:gridCol w:w="112"/>
        <w:gridCol w:w="401"/>
        <w:gridCol w:w="545"/>
      </w:tblGrid>
      <w:tr w:rsidR="005807CD" w:rsidRPr="00B57B36" w14:paraId="3C10BC86" w14:textId="77777777" w:rsidTr="00793BDF">
        <w:trPr>
          <w:jc w:val="center"/>
        </w:trPr>
        <w:tc>
          <w:tcPr>
            <w:tcW w:w="246" w:type="pct"/>
            <w:tcBorders>
              <w:top w:val="single" w:sz="12" w:space="0" w:color="008000"/>
              <w:bottom w:val="single" w:sz="6" w:space="0" w:color="008000"/>
            </w:tcBorders>
            <w:shd w:val="clear" w:color="auto" w:fill="FFFFFF"/>
          </w:tcPr>
          <w:p w14:paraId="474E6549" w14:textId="20F57712" w:rsidR="005807CD" w:rsidRPr="00B57B36" w:rsidRDefault="005807CD" w:rsidP="00733DFB">
            <w:pPr>
              <w:pStyle w:val="CETBodytext"/>
              <w:jc w:val="left"/>
              <w:rPr>
                <w:lang w:val="en-GB"/>
              </w:rPr>
            </w:pPr>
            <w:r>
              <w:rPr>
                <w:lang w:val="en-GB"/>
              </w:rPr>
              <w:t>Year</w:t>
            </w:r>
            <w:r w:rsidRPr="00B57B36">
              <w:rPr>
                <w:lang w:val="en-GB"/>
              </w:rPr>
              <w:t xml:space="preserve"> </w:t>
            </w:r>
          </w:p>
        </w:tc>
        <w:tc>
          <w:tcPr>
            <w:tcW w:w="476" w:type="pct"/>
            <w:tcBorders>
              <w:top w:val="single" w:sz="12" w:space="0" w:color="008000"/>
              <w:bottom w:val="single" w:sz="6" w:space="0" w:color="008000"/>
            </w:tcBorders>
            <w:shd w:val="clear" w:color="auto" w:fill="FFFFFF"/>
          </w:tcPr>
          <w:p w14:paraId="44CFF5DA" w14:textId="77777777" w:rsidR="005807CD" w:rsidRDefault="005807CD" w:rsidP="009A142C">
            <w:pPr>
              <w:pStyle w:val="CETBodytext"/>
              <w:jc w:val="center"/>
              <w:rPr>
                <w:lang w:val="en-GB"/>
              </w:rPr>
            </w:pPr>
            <w:r>
              <w:rPr>
                <w:lang w:val="en-GB"/>
              </w:rPr>
              <w:t>Resource (R)</w:t>
            </w:r>
          </w:p>
        </w:tc>
        <w:tc>
          <w:tcPr>
            <w:tcW w:w="608" w:type="pct"/>
            <w:gridSpan w:val="5"/>
            <w:tcBorders>
              <w:top w:val="single" w:sz="12" w:space="0" w:color="008000"/>
              <w:bottom w:val="single" w:sz="6" w:space="0" w:color="008000"/>
            </w:tcBorders>
            <w:shd w:val="clear" w:color="auto" w:fill="FFFFFF"/>
          </w:tcPr>
          <w:p w14:paraId="5EEFC91A" w14:textId="0D23AF95" w:rsidR="005807CD" w:rsidRPr="00B57B36" w:rsidRDefault="005807CD" w:rsidP="009A142C">
            <w:pPr>
              <w:pStyle w:val="CETBodytext"/>
              <w:jc w:val="center"/>
              <w:rPr>
                <w:lang w:val="en-GB"/>
              </w:rPr>
            </w:pPr>
            <w:r>
              <w:rPr>
                <w:lang w:val="en-GB"/>
              </w:rPr>
              <w:t>Access (A)</w:t>
            </w:r>
          </w:p>
        </w:tc>
        <w:tc>
          <w:tcPr>
            <w:tcW w:w="1760" w:type="pct"/>
            <w:gridSpan w:val="10"/>
            <w:tcBorders>
              <w:top w:val="single" w:sz="12" w:space="0" w:color="008000"/>
              <w:bottom w:val="single" w:sz="6" w:space="0" w:color="008000"/>
            </w:tcBorders>
            <w:shd w:val="clear" w:color="auto" w:fill="FFFFFF"/>
          </w:tcPr>
          <w:p w14:paraId="376D8445" w14:textId="08BA0F69" w:rsidR="005807CD" w:rsidRPr="00B57B36" w:rsidRDefault="005807CD" w:rsidP="009A142C">
            <w:pPr>
              <w:pStyle w:val="CETBodytext"/>
              <w:ind w:right="-1"/>
              <w:jc w:val="center"/>
              <w:rPr>
                <w:rFonts w:cs="Arial"/>
                <w:szCs w:val="18"/>
                <w:lang w:val="en-GB"/>
              </w:rPr>
            </w:pPr>
            <w:r>
              <w:rPr>
                <w:lang w:val="en-GB"/>
              </w:rPr>
              <w:t>Capacity (C)</w:t>
            </w:r>
          </w:p>
        </w:tc>
        <w:tc>
          <w:tcPr>
            <w:tcW w:w="221" w:type="pct"/>
            <w:gridSpan w:val="2"/>
            <w:tcBorders>
              <w:top w:val="single" w:sz="12" w:space="0" w:color="008000"/>
              <w:bottom w:val="single" w:sz="6" w:space="0" w:color="008000"/>
            </w:tcBorders>
            <w:shd w:val="clear" w:color="auto" w:fill="FFFFFF"/>
          </w:tcPr>
          <w:p w14:paraId="16186758" w14:textId="759FF220" w:rsidR="005807CD" w:rsidRPr="00B57B36" w:rsidRDefault="005807CD" w:rsidP="009A142C">
            <w:pPr>
              <w:pStyle w:val="CETBodytext"/>
              <w:ind w:right="-1"/>
              <w:jc w:val="center"/>
              <w:rPr>
                <w:rFonts w:cs="Arial"/>
                <w:szCs w:val="18"/>
                <w:lang w:val="en-GB"/>
              </w:rPr>
            </w:pPr>
            <w:r>
              <w:rPr>
                <w:rFonts w:cs="Arial"/>
                <w:szCs w:val="18"/>
                <w:lang w:val="en-GB"/>
              </w:rPr>
              <w:t>Use (U)</w:t>
            </w:r>
          </w:p>
        </w:tc>
        <w:tc>
          <w:tcPr>
            <w:tcW w:w="624" w:type="pct"/>
            <w:gridSpan w:val="4"/>
            <w:tcBorders>
              <w:top w:val="single" w:sz="12" w:space="0" w:color="008000"/>
              <w:bottom w:val="single" w:sz="6" w:space="0" w:color="008000"/>
            </w:tcBorders>
            <w:shd w:val="clear" w:color="auto" w:fill="FFFFFF"/>
          </w:tcPr>
          <w:p w14:paraId="0AA0152E" w14:textId="0BA618B6" w:rsidR="005807CD" w:rsidRPr="00B57B36" w:rsidRDefault="005807CD" w:rsidP="009A142C">
            <w:pPr>
              <w:pStyle w:val="CETBodytext"/>
              <w:ind w:right="-1"/>
              <w:jc w:val="center"/>
              <w:rPr>
                <w:rFonts w:cs="Arial"/>
                <w:szCs w:val="18"/>
                <w:lang w:val="en-GB"/>
              </w:rPr>
            </w:pPr>
            <w:r>
              <w:rPr>
                <w:rFonts w:cs="Arial"/>
                <w:szCs w:val="18"/>
                <w:lang w:val="en-GB"/>
              </w:rPr>
              <w:t>Environment (E)</w:t>
            </w:r>
          </w:p>
        </w:tc>
        <w:tc>
          <w:tcPr>
            <w:tcW w:w="48" w:type="pct"/>
            <w:tcBorders>
              <w:top w:val="single" w:sz="12" w:space="0" w:color="008000"/>
              <w:bottom w:val="single" w:sz="6" w:space="0" w:color="008000"/>
            </w:tcBorders>
            <w:shd w:val="clear" w:color="auto" w:fill="FFFFFF"/>
          </w:tcPr>
          <w:p w14:paraId="6CA0B13A" w14:textId="77777777" w:rsidR="005807CD" w:rsidRPr="00733DFB" w:rsidRDefault="005807CD" w:rsidP="009A142C">
            <w:pPr>
              <w:pStyle w:val="CETBodytext"/>
              <w:ind w:right="-1"/>
              <w:jc w:val="center"/>
              <w:rPr>
                <w:rFonts w:cs="Arial"/>
                <w:szCs w:val="18"/>
                <w:lang w:val="en-GB"/>
              </w:rPr>
            </w:pPr>
          </w:p>
        </w:tc>
        <w:tc>
          <w:tcPr>
            <w:tcW w:w="1016" w:type="pct"/>
            <w:gridSpan w:val="5"/>
            <w:tcBorders>
              <w:top w:val="single" w:sz="12" w:space="0" w:color="008000"/>
              <w:bottom w:val="single" w:sz="6" w:space="0" w:color="008000"/>
            </w:tcBorders>
            <w:shd w:val="clear" w:color="auto" w:fill="FFFFFF"/>
          </w:tcPr>
          <w:p w14:paraId="26217949" w14:textId="062FA384" w:rsidR="005807CD" w:rsidRPr="00B57B36" w:rsidRDefault="005807CD" w:rsidP="009A142C">
            <w:pPr>
              <w:pStyle w:val="CETBodytext"/>
              <w:ind w:right="-1"/>
              <w:jc w:val="center"/>
              <w:rPr>
                <w:rFonts w:cs="Arial"/>
                <w:szCs w:val="18"/>
                <w:lang w:val="en-GB"/>
              </w:rPr>
            </w:pPr>
            <w:r w:rsidRPr="00733DFB">
              <w:rPr>
                <w:rFonts w:cs="Arial"/>
                <w:szCs w:val="18"/>
                <w:lang w:val="en-GB"/>
              </w:rPr>
              <w:t>Biodiversity of the environment (B)</w:t>
            </w:r>
          </w:p>
        </w:tc>
      </w:tr>
      <w:tr w:rsidR="005807CD" w:rsidRPr="00B57B36" w14:paraId="798D71D3" w14:textId="77777777" w:rsidTr="00793BDF">
        <w:trPr>
          <w:jc w:val="center"/>
        </w:trPr>
        <w:tc>
          <w:tcPr>
            <w:tcW w:w="246" w:type="pct"/>
            <w:shd w:val="clear" w:color="auto" w:fill="FFFFFF"/>
          </w:tcPr>
          <w:p w14:paraId="691D2456" w14:textId="7A0C60D4" w:rsidR="005807CD" w:rsidRPr="00B57B36" w:rsidRDefault="005807CD" w:rsidP="00733DFB">
            <w:pPr>
              <w:pStyle w:val="CETBodytext"/>
              <w:jc w:val="left"/>
              <w:rPr>
                <w:lang w:val="en-GB"/>
              </w:rPr>
            </w:pPr>
          </w:p>
        </w:tc>
        <w:tc>
          <w:tcPr>
            <w:tcW w:w="476" w:type="pct"/>
            <w:shd w:val="clear" w:color="auto" w:fill="FFFFFF"/>
          </w:tcPr>
          <w:p w14:paraId="1E07F845" w14:textId="10428A4F" w:rsidR="005807CD" w:rsidRPr="00B57B36" w:rsidRDefault="005807CD" w:rsidP="009A142C">
            <w:pPr>
              <w:pStyle w:val="CETBodytext"/>
              <w:jc w:val="center"/>
              <w:rPr>
                <w:lang w:val="en-GB"/>
              </w:rPr>
            </w:pPr>
            <w:r>
              <w:rPr>
                <w:lang w:val="en-GB"/>
              </w:rPr>
              <w:t>R1</w:t>
            </w:r>
          </w:p>
        </w:tc>
        <w:tc>
          <w:tcPr>
            <w:tcW w:w="199" w:type="pct"/>
            <w:shd w:val="clear" w:color="auto" w:fill="FFFFFF"/>
          </w:tcPr>
          <w:p w14:paraId="1FFD7167" w14:textId="63D16178" w:rsidR="005807CD" w:rsidRPr="00B57B36" w:rsidRDefault="005807CD" w:rsidP="009A142C">
            <w:pPr>
              <w:pStyle w:val="CETBodytext"/>
              <w:jc w:val="center"/>
              <w:rPr>
                <w:lang w:val="en-GB"/>
              </w:rPr>
            </w:pPr>
            <w:r>
              <w:rPr>
                <w:lang w:val="en-GB"/>
              </w:rPr>
              <w:t>A1</w:t>
            </w:r>
          </w:p>
        </w:tc>
        <w:tc>
          <w:tcPr>
            <w:tcW w:w="6" w:type="pct"/>
            <w:shd w:val="clear" w:color="auto" w:fill="FFFFFF"/>
          </w:tcPr>
          <w:p w14:paraId="4089A398" w14:textId="77777777" w:rsidR="005807CD" w:rsidRDefault="005807CD" w:rsidP="009A142C">
            <w:pPr>
              <w:pStyle w:val="CETBodytext"/>
              <w:jc w:val="center"/>
              <w:rPr>
                <w:lang w:val="en-GB"/>
              </w:rPr>
            </w:pPr>
          </w:p>
        </w:tc>
        <w:tc>
          <w:tcPr>
            <w:tcW w:w="136" w:type="pct"/>
            <w:shd w:val="clear" w:color="auto" w:fill="FFFFFF"/>
          </w:tcPr>
          <w:p w14:paraId="6929A19D" w14:textId="721F9450" w:rsidR="005807CD" w:rsidRPr="00B57B36" w:rsidRDefault="005807CD" w:rsidP="009A142C">
            <w:pPr>
              <w:pStyle w:val="CETBodytext"/>
              <w:jc w:val="center"/>
              <w:rPr>
                <w:lang w:val="en-GB"/>
              </w:rPr>
            </w:pPr>
            <w:r>
              <w:rPr>
                <w:lang w:val="en-GB"/>
              </w:rPr>
              <w:t>A2</w:t>
            </w:r>
          </w:p>
        </w:tc>
        <w:tc>
          <w:tcPr>
            <w:tcW w:w="37" w:type="pct"/>
            <w:shd w:val="clear" w:color="auto" w:fill="FFFFFF"/>
          </w:tcPr>
          <w:p w14:paraId="2847B4B4" w14:textId="77777777" w:rsidR="005807CD" w:rsidRDefault="005807CD" w:rsidP="009A142C">
            <w:pPr>
              <w:pStyle w:val="CETBodytext"/>
              <w:jc w:val="center"/>
              <w:rPr>
                <w:lang w:val="en-GB"/>
              </w:rPr>
            </w:pPr>
          </w:p>
        </w:tc>
        <w:tc>
          <w:tcPr>
            <w:tcW w:w="230" w:type="pct"/>
            <w:shd w:val="clear" w:color="auto" w:fill="FFFFFF"/>
          </w:tcPr>
          <w:p w14:paraId="74A41C87" w14:textId="3840C80F" w:rsidR="005807CD" w:rsidRPr="00B57B36" w:rsidRDefault="005807CD" w:rsidP="009A142C">
            <w:pPr>
              <w:pStyle w:val="CETBodytext"/>
              <w:jc w:val="center"/>
              <w:rPr>
                <w:lang w:val="en-GB"/>
              </w:rPr>
            </w:pPr>
            <w:r>
              <w:rPr>
                <w:lang w:val="en-GB"/>
              </w:rPr>
              <w:t>A3</w:t>
            </w:r>
          </w:p>
        </w:tc>
        <w:tc>
          <w:tcPr>
            <w:tcW w:w="300" w:type="pct"/>
            <w:shd w:val="clear" w:color="auto" w:fill="FFFFFF"/>
          </w:tcPr>
          <w:p w14:paraId="55F643A8" w14:textId="4EAE220A" w:rsidR="005807CD" w:rsidRPr="00B57B36" w:rsidRDefault="005807CD" w:rsidP="009A142C">
            <w:pPr>
              <w:pStyle w:val="CETBodytext"/>
              <w:jc w:val="center"/>
              <w:rPr>
                <w:lang w:val="en-GB"/>
              </w:rPr>
            </w:pPr>
            <w:r>
              <w:rPr>
                <w:lang w:val="en-GB"/>
              </w:rPr>
              <w:t>C1</w:t>
            </w:r>
          </w:p>
        </w:tc>
        <w:tc>
          <w:tcPr>
            <w:tcW w:w="4" w:type="pct"/>
            <w:shd w:val="clear" w:color="auto" w:fill="FFFFFF"/>
          </w:tcPr>
          <w:p w14:paraId="66E5786D" w14:textId="77777777" w:rsidR="005807CD" w:rsidRDefault="005807CD" w:rsidP="009A142C">
            <w:pPr>
              <w:pStyle w:val="CETBodytext"/>
              <w:jc w:val="center"/>
              <w:rPr>
                <w:lang w:val="en-GB"/>
              </w:rPr>
            </w:pPr>
          </w:p>
        </w:tc>
        <w:tc>
          <w:tcPr>
            <w:tcW w:w="202" w:type="pct"/>
            <w:shd w:val="clear" w:color="auto" w:fill="FFFFFF"/>
          </w:tcPr>
          <w:p w14:paraId="32CC40AA" w14:textId="4E928AD9" w:rsidR="005807CD" w:rsidRPr="00B57B36" w:rsidRDefault="005807CD" w:rsidP="009A142C">
            <w:pPr>
              <w:pStyle w:val="CETBodytext"/>
              <w:jc w:val="center"/>
              <w:rPr>
                <w:lang w:val="en-GB"/>
              </w:rPr>
            </w:pPr>
            <w:r>
              <w:rPr>
                <w:lang w:val="en-GB"/>
              </w:rPr>
              <w:t>C2</w:t>
            </w:r>
          </w:p>
        </w:tc>
        <w:tc>
          <w:tcPr>
            <w:tcW w:w="210" w:type="pct"/>
            <w:shd w:val="clear" w:color="auto" w:fill="FFFFFF"/>
          </w:tcPr>
          <w:p w14:paraId="60D98C2D" w14:textId="6EC052C4" w:rsidR="005807CD" w:rsidRPr="00B57B36" w:rsidRDefault="005807CD" w:rsidP="009A142C">
            <w:pPr>
              <w:pStyle w:val="CETBodytext"/>
              <w:ind w:right="-1"/>
              <w:jc w:val="center"/>
              <w:rPr>
                <w:rFonts w:cs="Arial"/>
                <w:szCs w:val="18"/>
                <w:lang w:val="en-GB"/>
              </w:rPr>
            </w:pPr>
            <w:r>
              <w:rPr>
                <w:rFonts w:cs="Arial"/>
                <w:szCs w:val="18"/>
                <w:lang w:val="en-GB"/>
              </w:rPr>
              <w:t>C3</w:t>
            </w:r>
          </w:p>
        </w:tc>
        <w:tc>
          <w:tcPr>
            <w:tcW w:w="217" w:type="pct"/>
            <w:shd w:val="clear" w:color="auto" w:fill="FFFFFF"/>
          </w:tcPr>
          <w:p w14:paraId="398120C9" w14:textId="4053038F" w:rsidR="005807CD" w:rsidRPr="00B57B36" w:rsidRDefault="005807CD" w:rsidP="009A142C">
            <w:pPr>
              <w:pStyle w:val="CETBodytext"/>
              <w:ind w:right="-1"/>
              <w:jc w:val="center"/>
              <w:rPr>
                <w:rFonts w:cs="Arial"/>
                <w:szCs w:val="18"/>
                <w:lang w:val="en-GB"/>
              </w:rPr>
            </w:pPr>
            <w:r>
              <w:rPr>
                <w:rFonts w:cs="Arial"/>
                <w:szCs w:val="18"/>
                <w:lang w:val="en-GB"/>
              </w:rPr>
              <w:t>C4</w:t>
            </w:r>
          </w:p>
        </w:tc>
        <w:tc>
          <w:tcPr>
            <w:tcW w:w="4" w:type="pct"/>
            <w:shd w:val="clear" w:color="auto" w:fill="FFFFFF"/>
          </w:tcPr>
          <w:p w14:paraId="3DD88E03" w14:textId="77777777" w:rsidR="005807CD" w:rsidRDefault="005807CD" w:rsidP="009A142C">
            <w:pPr>
              <w:pStyle w:val="CETBodytext"/>
              <w:ind w:right="-1"/>
              <w:jc w:val="center"/>
              <w:rPr>
                <w:rFonts w:cs="Arial"/>
                <w:szCs w:val="18"/>
                <w:lang w:val="en-GB"/>
              </w:rPr>
            </w:pPr>
          </w:p>
        </w:tc>
        <w:tc>
          <w:tcPr>
            <w:tcW w:w="296" w:type="pct"/>
            <w:shd w:val="clear" w:color="auto" w:fill="FFFFFF"/>
          </w:tcPr>
          <w:p w14:paraId="7672E81E" w14:textId="28B188C4" w:rsidR="005807CD" w:rsidRPr="00B57B36" w:rsidRDefault="005807CD" w:rsidP="009A142C">
            <w:pPr>
              <w:pStyle w:val="CETBodytext"/>
              <w:ind w:right="-1"/>
              <w:jc w:val="center"/>
              <w:rPr>
                <w:rFonts w:cs="Arial"/>
                <w:szCs w:val="18"/>
                <w:lang w:val="en-GB"/>
              </w:rPr>
            </w:pPr>
            <w:r>
              <w:rPr>
                <w:rFonts w:cs="Arial"/>
                <w:szCs w:val="18"/>
                <w:lang w:val="en-GB"/>
              </w:rPr>
              <w:t>C5</w:t>
            </w:r>
          </w:p>
        </w:tc>
        <w:tc>
          <w:tcPr>
            <w:tcW w:w="6" w:type="pct"/>
            <w:shd w:val="clear" w:color="auto" w:fill="FFFFFF"/>
          </w:tcPr>
          <w:p w14:paraId="76A2CC24" w14:textId="77777777" w:rsidR="005807CD" w:rsidRDefault="005807CD" w:rsidP="009A142C">
            <w:pPr>
              <w:pStyle w:val="CETBodytext"/>
              <w:ind w:right="-1"/>
              <w:jc w:val="center"/>
              <w:rPr>
                <w:rFonts w:cs="Arial"/>
                <w:szCs w:val="18"/>
                <w:lang w:val="en-GB"/>
              </w:rPr>
            </w:pPr>
          </w:p>
        </w:tc>
        <w:tc>
          <w:tcPr>
            <w:tcW w:w="243" w:type="pct"/>
            <w:shd w:val="clear" w:color="auto" w:fill="FFFFFF"/>
          </w:tcPr>
          <w:p w14:paraId="50641CE7" w14:textId="12E858C9" w:rsidR="005807CD" w:rsidRPr="00B57B36" w:rsidRDefault="005807CD" w:rsidP="009A142C">
            <w:pPr>
              <w:pStyle w:val="CETBodytext"/>
              <w:ind w:right="-1"/>
              <w:jc w:val="center"/>
              <w:rPr>
                <w:rFonts w:cs="Arial"/>
                <w:szCs w:val="18"/>
                <w:lang w:val="en-GB"/>
              </w:rPr>
            </w:pPr>
            <w:r>
              <w:rPr>
                <w:rFonts w:cs="Arial"/>
                <w:szCs w:val="18"/>
                <w:lang w:val="en-GB"/>
              </w:rPr>
              <w:t>C6</w:t>
            </w:r>
          </w:p>
        </w:tc>
        <w:tc>
          <w:tcPr>
            <w:tcW w:w="285" w:type="pct"/>
            <w:gridSpan w:val="2"/>
            <w:shd w:val="clear" w:color="auto" w:fill="FFFFFF"/>
          </w:tcPr>
          <w:p w14:paraId="3C9D4771" w14:textId="1E1CDFBF" w:rsidR="005807CD" w:rsidRPr="00B57B36" w:rsidRDefault="005807CD" w:rsidP="009A142C">
            <w:pPr>
              <w:pStyle w:val="CETBodytext"/>
              <w:ind w:right="-1"/>
              <w:jc w:val="center"/>
              <w:rPr>
                <w:rFonts w:cs="Arial"/>
                <w:szCs w:val="18"/>
                <w:lang w:val="en-GB"/>
              </w:rPr>
            </w:pPr>
            <w:r>
              <w:rPr>
                <w:rFonts w:cs="Arial"/>
                <w:szCs w:val="18"/>
                <w:lang w:val="en-GB"/>
              </w:rPr>
              <w:t>C7</w:t>
            </w:r>
          </w:p>
        </w:tc>
        <w:tc>
          <w:tcPr>
            <w:tcW w:w="235" w:type="pct"/>
            <w:gridSpan w:val="2"/>
            <w:shd w:val="clear" w:color="auto" w:fill="FFFFFF"/>
          </w:tcPr>
          <w:p w14:paraId="043F9C80" w14:textId="1115EE02" w:rsidR="005807CD" w:rsidRPr="00B57B36" w:rsidRDefault="005807CD" w:rsidP="009A142C">
            <w:pPr>
              <w:pStyle w:val="CETBodytext"/>
              <w:ind w:right="-1"/>
              <w:jc w:val="center"/>
              <w:rPr>
                <w:rFonts w:cs="Arial"/>
                <w:szCs w:val="18"/>
                <w:lang w:val="en-GB"/>
              </w:rPr>
            </w:pPr>
            <w:r>
              <w:rPr>
                <w:rFonts w:cs="Arial"/>
                <w:szCs w:val="18"/>
                <w:lang w:val="en-GB"/>
              </w:rPr>
              <w:t>U1</w:t>
            </w:r>
          </w:p>
        </w:tc>
        <w:tc>
          <w:tcPr>
            <w:tcW w:w="254" w:type="pct"/>
            <w:shd w:val="clear" w:color="auto" w:fill="FFFFFF"/>
          </w:tcPr>
          <w:p w14:paraId="3921C901" w14:textId="2915156D" w:rsidR="005807CD" w:rsidRPr="00B57B36" w:rsidRDefault="005807CD" w:rsidP="009A142C">
            <w:pPr>
              <w:pStyle w:val="CETBodytext"/>
              <w:ind w:right="-1"/>
              <w:jc w:val="center"/>
              <w:rPr>
                <w:rFonts w:cs="Arial"/>
                <w:szCs w:val="18"/>
                <w:lang w:val="en-GB"/>
              </w:rPr>
            </w:pPr>
            <w:r>
              <w:rPr>
                <w:rFonts w:cs="Arial"/>
                <w:szCs w:val="18"/>
                <w:lang w:val="en-GB"/>
              </w:rPr>
              <w:t>E1</w:t>
            </w:r>
          </w:p>
        </w:tc>
        <w:tc>
          <w:tcPr>
            <w:tcW w:w="324" w:type="pct"/>
            <w:shd w:val="clear" w:color="auto" w:fill="FFFFFF"/>
          </w:tcPr>
          <w:p w14:paraId="0DF08139" w14:textId="41598891" w:rsidR="005807CD" w:rsidRPr="00B57B36" w:rsidRDefault="005807CD" w:rsidP="009A142C">
            <w:pPr>
              <w:pStyle w:val="CETBodytext"/>
              <w:ind w:right="-1"/>
              <w:jc w:val="center"/>
              <w:rPr>
                <w:rFonts w:cs="Arial"/>
                <w:szCs w:val="18"/>
                <w:lang w:val="en-GB"/>
              </w:rPr>
            </w:pPr>
            <w:r>
              <w:rPr>
                <w:rFonts w:cs="Arial"/>
                <w:szCs w:val="18"/>
                <w:lang w:val="en-GB"/>
              </w:rPr>
              <w:t>E2</w:t>
            </w:r>
          </w:p>
        </w:tc>
        <w:tc>
          <w:tcPr>
            <w:tcW w:w="310" w:type="pct"/>
            <w:gridSpan w:val="3"/>
            <w:shd w:val="clear" w:color="auto" w:fill="FFFFFF"/>
          </w:tcPr>
          <w:p w14:paraId="2DA289A6" w14:textId="1272A068" w:rsidR="005807CD" w:rsidRPr="00B57B36" w:rsidRDefault="005807CD" w:rsidP="009A142C">
            <w:pPr>
              <w:pStyle w:val="CETBodytext"/>
              <w:ind w:right="-1"/>
              <w:jc w:val="center"/>
              <w:rPr>
                <w:rFonts w:cs="Arial"/>
                <w:szCs w:val="18"/>
                <w:lang w:val="en-GB"/>
              </w:rPr>
            </w:pPr>
            <w:r>
              <w:rPr>
                <w:rFonts w:cs="Arial"/>
                <w:szCs w:val="18"/>
                <w:lang w:val="en-GB"/>
              </w:rPr>
              <w:t>B1</w:t>
            </w:r>
          </w:p>
        </w:tc>
        <w:tc>
          <w:tcPr>
            <w:tcW w:w="178" w:type="pct"/>
            <w:shd w:val="clear" w:color="auto" w:fill="FFFFFF"/>
          </w:tcPr>
          <w:p w14:paraId="13AECC3E" w14:textId="236419E0" w:rsidR="005807CD" w:rsidRPr="00B57B36" w:rsidRDefault="005807CD" w:rsidP="009A142C">
            <w:pPr>
              <w:pStyle w:val="CETBodytext"/>
              <w:ind w:right="-1"/>
              <w:jc w:val="center"/>
              <w:rPr>
                <w:rFonts w:cs="Arial"/>
                <w:szCs w:val="18"/>
                <w:lang w:val="en-GB"/>
              </w:rPr>
            </w:pPr>
            <w:r>
              <w:rPr>
                <w:rFonts w:cs="Arial"/>
                <w:szCs w:val="18"/>
                <w:lang w:val="en-GB"/>
              </w:rPr>
              <w:t>B2</w:t>
            </w:r>
          </w:p>
        </w:tc>
        <w:tc>
          <w:tcPr>
            <w:tcW w:w="64" w:type="pct"/>
            <w:shd w:val="clear" w:color="auto" w:fill="FFFFFF"/>
          </w:tcPr>
          <w:p w14:paraId="25673D24" w14:textId="77777777" w:rsidR="005807CD" w:rsidRDefault="005807CD" w:rsidP="009A142C">
            <w:pPr>
              <w:pStyle w:val="CETBodytext"/>
              <w:ind w:right="-1"/>
              <w:jc w:val="center"/>
              <w:rPr>
                <w:rFonts w:cs="Arial"/>
                <w:szCs w:val="18"/>
                <w:lang w:val="en-GB"/>
              </w:rPr>
            </w:pPr>
          </w:p>
        </w:tc>
        <w:tc>
          <w:tcPr>
            <w:tcW w:w="228" w:type="pct"/>
            <w:shd w:val="clear" w:color="auto" w:fill="FFFFFF"/>
          </w:tcPr>
          <w:p w14:paraId="0ED13080" w14:textId="6BBBF9B3" w:rsidR="005807CD" w:rsidRPr="00B57B36" w:rsidRDefault="005807CD" w:rsidP="009A142C">
            <w:pPr>
              <w:pStyle w:val="CETBodytext"/>
              <w:ind w:right="-1"/>
              <w:jc w:val="center"/>
              <w:rPr>
                <w:rFonts w:cs="Arial"/>
                <w:szCs w:val="18"/>
                <w:lang w:val="en-GB"/>
              </w:rPr>
            </w:pPr>
            <w:r>
              <w:rPr>
                <w:rFonts w:cs="Arial"/>
                <w:szCs w:val="18"/>
                <w:lang w:val="en-GB"/>
              </w:rPr>
              <w:t>B3</w:t>
            </w:r>
          </w:p>
        </w:tc>
        <w:tc>
          <w:tcPr>
            <w:tcW w:w="310" w:type="pct"/>
            <w:shd w:val="clear" w:color="auto" w:fill="FFFFFF"/>
          </w:tcPr>
          <w:p w14:paraId="681BA0CF" w14:textId="0ACB708C" w:rsidR="005807CD" w:rsidRPr="00B57B36" w:rsidRDefault="005807CD" w:rsidP="009A142C">
            <w:pPr>
              <w:pStyle w:val="CETBodytext"/>
              <w:ind w:right="-1"/>
              <w:jc w:val="center"/>
              <w:rPr>
                <w:rFonts w:cs="Arial"/>
                <w:szCs w:val="18"/>
                <w:lang w:val="en-GB"/>
              </w:rPr>
            </w:pPr>
            <w:r>
              <w:rPr>
                <w:rFonts w:cs="Arial"/>
                <w:szCs w:val="18"/>
                <w:lang w:val="en-GB"/>
              </w:rPr>
              <w:t>B4</w:t>
            </w:r>
          </w:p>
        </w:tc>
      </w:tr>
      <w:tr w:rsidR="005807CD" w:rsidRPr="00B57B36" w14:paraId="5D5188E6" w14:textId="77777777" w:rsidTr="00793BDF">
        <w:trPr>
          <w:jc w:val="center"/>
        </w:trPr>
        <w:tc>
          <w:tcPr>
            <w:tcW w:w="246" w:type="pct"/>
            <w:shd w:val="clear" w:color="auto" w:fill="FFFFFF"/>
          </w:tcPr>
          <w:p w14:paraId="4254A184" w14:textId="55AFF6D7" w:rsidR="005807CD" w:rsidRPr="00B57B36" w:rsidRDefault="005807CD" w:rsidP="00733DFB">
            <w:pPr>
              <w:pStyle w:val="CETBodytext"/>
              <w:ind w:right="-1"/>
              <w:jc w:val="left"/>
              <w:rPr>
                <w:rFonts w:cs="Arial"/>
                <w:szCs w:val="18"/>
                <w:lang w:val="en-GB"/>
              </w:rPr>
            </w:pPr>
            <w:r>
              <w:rPr>
                <w:rFonts w:cs="Arial"/>
                <w:szCs w:val="18"/>
                <w:lang w:val="en-GB"/>
              </w:rPr>
              <w:t>2021</w:t>
            </w:r>
          </w:p>
        </w:tc>
        <w:tc>
          <w:tcPr>
            <w:tcW w:w="476" w:type="pct"/>
            <w:shd w:val="clear" w:color="auto" w:fill="FFFFFF"/>
          </w:tcPr>
          <w:p w14:paraId="43C51427" w14:textId="197F950E" w:rsidR="005807CD" w:rsidRPr="00B57B36" w:rsidRDefault="005807CD" w:rsidP="009A142C">
            <w:pPr>
              <w:pStyle w:val="CETBodytext"/>
              <w:ind w:right="-1"/>
              <w:jc w:val="center"/>
              <w:rPr>
                <w:rFonts w:cs="Arial"/>
                <w:szCs w:val="18"/>
                <w:lang w:val="en-GB"/>
              </w:rPr>
            </w:pPr>
            <w:r>
              <w:rPr>
                <w:rFonts w:cs="Arial"/>
                <w:szCs w:val="18"/>
                <w:lang w:val="en-GB"/>
              </w:rPr>
              <w:t>83.3</w:t>
            </w:r>
          </w:p>
        </w:tc>
        <w:tc>
          <w:tcPr>
            <w:tcW w:w="199" w:type="pct"/>
            <w:shd w:val="clear" w:color="auto" w:fill="FFFFFF"/>
          </w:tcPr>
          <w:p w14:paraId="2AC736E6" w14:textId="610CE327" w:rsidR="005807CD" w:rsidRPr="00B57B36" w:rsidRDefault="005807CD" w:rsidP="009A142C">
            <w:pPr>
              <w:pStyle w:val="CETBodytext"/>
              <w:ind w:right="-1"/>
              <w:jc w:val="center"/>
              <w:rPr>
                <w:rFonts w:cs="Arial"/>
                <w:szCs w:val="18"/>
                <w:lang w:val="en-GB"/>
              </w:rPr>
            </w:pPr>
            <w:r>
              <w:rPr>
                <w:rFonts w:cs="Arial"/>
                <w:szCs w:val="18"/>
                <w:lang w:val="en-GB"/>
              </w:rPr>
              <w:t>94</w:t>
            </w:r>
          </w:p>
        </w:tc>
        <w:tc>
          <w:tcPr>
            <w:tcW w:w="6" w:type="pct"/>
            <w:shd w:val="clear" w:color="auto" w:fill="FFFFFF"/>
          </w:tcPr>
          <w:p w14:paraId="267F926F" w14:textId="77777777" w:rsidR="005807CD" w:rsidRDefault="005807CD" w:rsidP="009A142C">
            <w:pPr>
              <w:pStyle w:val="CETBodytext"/>
              <w:ind w:right="-1"/>
              <w:jc w:val="center"/>
              <w:rPr>
                <w:rFonts w:cs="Arial"/>
                <w:szCs w:val="18"/>
                <w:lang w:val="en-GB"/>
              </w:rPr>
            </w:pPr>
          </w:p>
        </w:tc>
        <w:tc>
          <w:tcPr>
            <w:tcW w:w="136" w:type="pct"/>
            <w:shd w:val="clear" w:color="auto" w:fill="FFFFFF"/>
          </w:tcPr>
          <w:p w14:paraId="4CAA0F98" w14:textId="7B55D2A9" w:rsidR="005807CD" w:rsidRPr="00B57B36" w:rsidRDefault="005807CD" w:rsidP="009A142C">
            <w:pPr>
              <w:pStyle w:val="CETBodytext"/>
              <w:ind w:right="-1"/>
              <w:jc w:val="center"/>
              <w:rPr>
                <w:rFonts w:cs="Arial"/>
                <w:szCs w:val="18"/>
                <w:lang w:val="en-GB"/>
              </w:rPr>
            </w:pPr>
            <w:r>
              <w:rPr>
                <w:rFonts w:cs="Arial"/>
                <w:szCs w:val="18"/>
                <w:lang w:val="en-GB"/>
              </w:rPr>
              <w:t>86</w:t>
            </w:r>
          </w:p>
        </w:tc>
        <w:tc>
          <w:tcPr>
            <w:tcW w:w="37" w:type="pct"/>
            <w:shd w:val="clear" w:color="auto" w:fill="FFFFFF"/>
          </w:tcPr>
          <w:p w14:paraId="39DF7458" w14:textId="77777777" w:rsidR="005807CD" w:rsidRDefault="005807CD" w:rsidP="009A142C">
            <w:pPr>
              <w:pStyle w:val="CETBodytext"/>
              <w:ind w:right="-1"/>
              <w:jc w:val="center"/>
              <w:rPr>
                <w:rFonts w:cs="Arial"/>
                <w:szCs w:val="18"/>
                <w:lang w:val="en-GB"/>
              </w:rPr>
            </w:pPr>
          </w:p>
        </w:tc>
        <w:tc>
          <w:tcPr>
            <w:tcW w:w="230" w:type="pct"/>
            <w:shd w:val="clear" w:color="auto" w:fill="FFFFFF"/>
          </w:tcPr>
          <w:p w14:paraId="0223BF18" w14:textId="61EC1B48" w:rsidR="005807CD" w:rsidRPr="00B57B36" w:rsidRDefault="005807CD" w:rsidP="009A142C">
            <w:pPr>
              <w:pStyle w:val="CETBodytext"/>
              <w:ind w:right="-1"/>
              <w:jc w:val="center"/>
              <w:rPr>
                <w:rFonts w:cs="Arial"/>
                <w:szCs w:val="18"/>
                <w:lang w:val="en-GB"/>
              </w:rPr>
            </w:pPr>
            <w:r>
              <w:rPr>
                <w:rFonts w:cs="Arial"/>
                <w:szCs w:val="18"/>
                <w:lang w:val="en-GB"/>
              </w:rPr>
              <w:t>70</w:t>
            </w:r>
          </w:p>
        </w:tc>
        <w:tc>
          <w:tcPr>
            <w:tcW w:w="300" w:type="pct"/>
            <w:shd w:val="clear" w:color="auto" w:fill="FFFFFF"/>
          </w:tcPr>
          <w:p w14:paraId="6A716620" w14:textId="1C7142DA" w:rsidR="005807CD" w:rsidRPr="00B57B36" w:rsidRDefault="005807CD" w:rsidP="009A142C">
            <w:pPr>
              <w:pStyle w:val="CETBodytext"/>
              <w:ind w:right="-1"/>
              <w:jc w:val="center"/>
              <w:rPr>
                <w:rFonts w:cs="Arial"/>
                <w:szCs w:val="18"/>
                <w:lang w:val="en-GB"/>
              </w:rPr>
            </w:pPr>
            <w:r>
              <w:rPr>
                <w:rFonts w:cs="Arial"/>
                <w:szCs w:val="18"/>
                <w:lang w:val="en-GB"/>
              </w:rPr>
              <w:t>80.5</w:t>
            </w:r>
          </w:p>
        </w:tc>
        <w:tc>
          <w:tcPr>
            <w:tcW w:w="4" w:type="pct"/>
            <w:shd w:val="clear" w:color="auto" w:fill="FFFFFF"/>
          </w:tcPr>
          <w:p w14:paraId="0A180FF4" w14:textId="77777777" w:rsidR="005807CD" w:rsidRDefault="005807CD" w:rsidP="009A142C">
            <w:pPr>
              <w:pStyle w:val="CETBodytext"/>
              <w:ind w:right="-1"/>
              <w:jc w:val="center"/>
              <w:rPr>
                <w:rFonts w:cs="Arial"/>
                <w:szCs w:val="18"/>
                <w:lang w:val="en-GB"/>
              </w:rPr>
            </w:pPr>
          </w:p>
        </w:tc>
        <w:tc>
          <w:tcPr>
            <w:tcW w:w="202" w:type="pct"/>
            <w:shd w:val="clear" w:color="auto" w:fill="FFFFFF"/>
          </w:tcPr>
          <w:p w14:paraId="7AA2F5C7" w14:textId="0C49E663" w:rsidR="005807CD" w:rsidRPr="00B57B36" w:rsidRDefault="005807CD" w:rsidP="009A142C">
            <w:pPr>
              <w:pStyle w:val="CETBodytext"/>
              <w:ind w:right="-1"/>
              <w:jc w:val="center"/>
              <w:rPr>
                <w:rFonts w:cs="Arial"/>
                <w:szCs w:val="18"/>
                <w:lang w:val="en-GB"/>
              </w:rPr>
            </w:pPr>
            <w:r>
              <w:rPr>
                <w:rFonts w:cs="Arial"/>
                <w:szCs w:val="18"/>
                <w:lang w:val="en-GB"/>
              </w:rPr>
              <w:t>50</w:t>
            </w:r>
          </w:p>
        </w:tc>
        <w:tc>
          <w:tcPr>
            <w:tcW w:w="210" w:type="pct"/>
            <w:shd w:val="clear" w:color="auto" w:fill="FFFFFF"/>
          </w:tcPr>
          <w:p w14:paraId="58BBDCC9" w14:textId="5D0ECC82" w:rsidR="005807CD" w:rsidRPr="00B57B36" w:rsidRDefault="005807CD" w:rsidP="009A142C">
            <w:pPr>
              <w:pStyle w:val="CETBodytext"/>
              <w:ind w:right="-1"/>
              <w:jc w:val="center"/>
              <w:rPr>
                <w:rFonts w:cs="Arial"/>
                <w:szCs w:val="18"/>
                <w:lang w:val="en-GB"/>
              </w:rPr>
            </w:pPr>
            <w:r>
              <w:rPr>
                <w:rFonts w:cs="Arial"/>
                <w:szCs w:val="18"/>
                <w:lang w:val="en-GB"/>
              </w:rPr>
              <w:t>43</w:t>
            </w:r>
          </w:p>
        </w:tc>
        <w:tc>
          <w:tcPr>
            <w:tcW w:w="217" w:type="pct"/>
            <w:shd w:val="clear" w:color="auto" w:fill="FFFFFF"/>
          </w:tcPr>
          <w:p w14:paraId="3753CDCF" w14:textId="6DCB3823" w:rsidR="005807CD" w:rsidRPr="00B57B36" w:rsidRDefault="005807CD" w:rsidP="009A142C">
            <w:pPr>
              <w:pStyle w:val="CETBodytext"/>
              <w:ind w:right="-1"/>
              <w:jc w:val="center"/>
              <w:rPr>
                <w:rFonts w:cs="Arial"/>
                <w:szCs w:val="18"/>
                <w:lang w:val="en-GB"/>
              </w:rPr>
            </w:pPr>
            <w:r>
              <w:rPr>
                <w:rFonts w:cs="Arial"/>
                <w:szCs w:val="18"/>
                <w:lang w:val="en-GB"/>
              </w:rPr>
              <w:t>47.7</w:t>
            </w:r>
          </w:p>
        </w:tc>
        <w:tc>
          <w:tcPr>
            <w:tcW w:w="4" w:type="pct"/>
            <w:shd w:val="clear" w:color="auto" w:fill="FFFFFF"/>
          </w:tcPr>
          <w:p w14:paraId="48280D48" w14:textId="77777777" w:rsidR="005807CD" w:rsidRDefault="005807CD" w:rsidP="009A142C">
            <w:pPr>
              <w:pStyle w:val="CETBodytext"/>
              <w:ind w:right="-1"/>
              <w:jc w:val="center"/>
              <w:rPr>
                <w:rFonts w:cs="Arial"/>
                <w:szCs w:val="18"/>
                <w:lang w:val="en-GB"/>
              </w:rPr>
            </w:pPr>
          </w:p>
        </w:tc>
        <w:tc>
          <w:tcPr>
            <w:tcW w:w="296" w:type="pct"/>
            <w:shd w:val="clear" w:color="auto" w:fill="FFFFFF"/>
          </w:tcPr>
          <w:p w14:paraId="72D22FB6" w14:textId="37CCD584" w:rsidR="005807CD" w:rsidRPr="00B57B36" w:rsidRDefault="005807CD" w:rsidP="009A142C">
            <w:pPr>
              <w:pStyle w:val="CETBodytext"/>
              <w:ind w:right="-1"/>
              <w:jc w:val="center"/>
              <w:rPr>
                <w:rFonts w:cs="Arial"/>
                <w:szCs w:val="18"/>
                <w:lang w:val="en-GB"/>
              </w:rPr>
            </w:pPr>
            <w:r>
              <w:rPr>
                <w:rFonts w:cs="Arial"/>
                <w:szCs w:val="18"/>
                <w:lang w:val="en-GB"/>
              </w:rPr>
              <w:t>86.1</w:t>
            </w:r>
          </w:p>
        </w:tc>
        <w:tc>
          <w:tcPr>
            <w:tcW w:w="6" w:type="pct"/>
            <w:shd w:val="clear" w:color="auto" w:fill="FFFFFF"/>
          </w:tcPr>
          <w:p w14:paraId="34F3672F" w14:textId="77777777" w:rsidR="005807CD" w:rsidRDefault="005807CD" w:rsidP="009A142C">
            <w:pPr>
              <w:pStyle w:val="CETBodytext"/>
              <w:ind w:right="-1"/>
              <w:jc w:val="center"/>
              <w:rPr>
                <w:rFonts w:cs="Arial"/>
                <w:szCs w:val="18"/>
                <w:lang w:val="en-GB"/>
              </w:rPr>
            </w:pPr>
          </w:p>
        </w:tc>
        <w:tc>
          <w:tcPr>
            <w:tcW w:w="243" w:type="pct"/>
            <w:shd w:val="clear" w:color="auto" w:fill="FFFFFF"/>
          </w:tcPr>
          <w:p w14:paraId="7291988F" w14:textId="5E7E78F6" w:rsidR="005807CD" w:rsidRPr="00B57B36" w:rsidRDefault="005807CD" w:rsidP="009A142C">
            <w:pPr>
              <w:pStyle w:val="CETBodytext"/>
              <w:ind w:right="-1"/>
              <w:jc w:val="center"/>
              <w:rPr>
                <w:rFonts w:cs="Arial"/>
                <w:szCs w:val="18"/>
                <w:lang w:val="en-GB"/>
              </w:rPr>
            </w:pPr>
            <w:r>
              <w:rPr>
                <w:rFonts w:cs="Arial"/>
                <w:szCs w:val="18"/>
                <w:lang w:val="en-GB"/>
              </w:rPr>
              <w:t>57.2</w:t>
            </w:r>
          </w:p>
        </w:tc>
        <w:tc>
          <w:tcPr>
            <w:tcW w:w="285" w:type="pct"/>
            <w:gridSpan w:val="2"/>
            <w:shd w:val="clear" w:color="auto" w:fill="FFFFFF"/>
          </w:tcPr>
          <w:p w14:paraId="0BA185A5" w14:textId="40354FB1" w:rsidR="005807CD" w:rsidRPr="00B57B36" w:rsidRDefault="005807CD" w:rsidP="009A142C">
            <w:pPr>
              <w:pStyle w:val="CETBodytext"/>
              <w:ind w:right="-1"/>
              <w:jc w:val="center"/>
              <w:rPr>
                <w:rFonts w:cs="Arial"/>
                <w:szCs w:val="18"/>
                <w:lang w:val="en-GB"/>
              </w:rPr>
            </w:pPr>
            <w:r>
              <w:rPr>
                <w:rFonts w:cs="Arial"/>
                <w:szCs w:val="18"/>
                <w:lang w:val="en-GB"/>
              </w:rPr>
              <w:t>50</w:t>
            </w:r>
          </w:p>
        </w:tc>
        <w:tc>
          <w:tcPr>
            <w:tcW w:w="235" w:type="pct"/>
            <w:gridSpan w:val="2"/>
            <w:shd w:val="clear" w:color="auto" w:fill="FFFFFF"/>
          </w:tcPr>
          <w:p w14:paraId="60D1C6EC" w14:textId="245EDCB3" w:rsidR="005807CD" w:rsidRPr="00B57B36" w:rsidRDefault="005807CD" w:rsidP="009A142C">
            <w:pPr>
              <w:pStyle w:val="CETBodytext"/>
              <w:ind w:right="-1"/>
              <w:jc w:val="center"/>
              <w:rPr>
                <w:rFonts w:cs="Arial"/>
                <w:szCs w:val="18"/>
                <w:lang w:val="en-GB"/>
              </w:rPr>
            </w:pPr>
            <w:r>
              <w:rPr>
                <w:rFonts w:cs="Arial"/>
                <w:szCs w:val="18"/>
                <w:lang w:val="en-GB"/>
              </w:rPr>
              <w:t>65</w:t>
            </w:r>
          </w:p>
        </w:tc>
        <w:tc>
          <w:tcPr>
            <w:tcW w:w="254" w:type="pct"/>
            <w:shd w:val="clear" w:color="auto" w:fill="FFFFFF"/>
          </w:tcPr>
          <w:p w14:paraId="217CE4C5" w14:textId="353033A7" w:rsidR="005807CD" w:rsidRPr="00B57B36" w:rsidRDefault="005807CD" w:rsidP="009A142C">
            <w:pPr>
              <w:pStyle w:val="CETBodytext"/>
              <w:ind w:right="-1"/>
              <w:jc w:val="center"/>
              <w:rPr>
                <w:rFonts w:cs="Arial"/>
                <w:szCs w:val="18"/>
                <w:lang w:val="en-GB"/>
              </w:rPr>
            </w:pPr>
            <w:r>
              <w:rPr>
                <w:rFonts w:cs="Arial"/>
                <w:szCs w:val="18"/>
                <w:lang w:val="en-GB"/>
              </w:rPr>
              <w:t>35</w:t>
            </w:r>
          </w:p>
        </w:tc>
        <w:tc>
          <w:tcPr>
            <w:tcW w:w="324" w:type="pct"/>
            <w:shd w:val="clear" w:color="auto" w:fill="FFFFFF"/>
          </w:tcPr>
          <w:p w14:paraId="58EC4D6D" w14:textId="794EDE2D" w:rsidR="005807CD" w:rsidRPr="00B57B36" w:rsidRDefault="005807CD" w:rsidP="009A142C">
            <w:pPr>
              <w:pStyle w:val="CETBodytext"/>
              <w:ind w:right="-1"/>
              <w:jc w:val="center"/>
              <w:rPr>
                <w:rFonts w:cs="Arial"/>
                <w:szCs w:val="18"/>
                <w:lang w:val="en-GB"/>
              </w:rPr>
            </w:pPr>
            <w:r>
              <w:rPr>
                <w:rFonts w:cs="Arial"/>
                <w:szCs w:val="18"/>
                <w:lang w:val="en-GB"/>
              </w:rPr>
              <w:t>60</w:t>
            </w:r>
          </w:p>
        </w:tc>
        <w:tc>
          <w:tcPr>
            <w:tcW w:w="310" w:type="pct"/>
            <w:gridSpan w:val="3"/>
            <w:shd w:val="clear" w:color="auto" w:fill="FFFFFF"/>
          </w:tcPr>
          <w:p w14:paraId="1845CCBC" w14:textId="20AB3685" w:rsidR="005807CD" w:rsidRPr="00B57B36" w:rsidRDefault="005807CD" w:rsidP="009A142C">
            <w:pPr>
              <w:pStyle w:val="CETBodytext"/>
              <w:ind w:right="-1"/>
              <w:jc w:val="center"/>
              <w:rPr>
                <w:rFonts w:cs="Arial"/>
                <w:szCs w:val="18"/>
                <w:lang w:val="en-GB"/>
              </w:rPr>
            </w:pPr>
            <w:r>
              <w:rPr>
                <w:rFonts w:cs="Arial"/>
                <w:szCs w:val="18"/>
                <w:lang w:val="en-GB"/>
              </w:rPr>
              <w:t>31.8</w:t>
            </w:r>
          </w:p>
        </w:tc>
        <w:tc>
          <w:tcPr>
            <w:tcW w:w="178" w:type="pct"/>
            <w:shd w:val="clear" w:color="auto" w:fill="FFFFFF"/>
          </w:tcPr>
          <w:p w14:paraId="6E38B9E6" w14:textId="2681B18C" w:rsidR="005807CD" w:rsidRPr="00B57B36" w:rsidRDefault="005807CD" w:rsidP="009A142C">
            <w:pPr>
              <w:pStyle w:val="CETBodytext"/>
              <w:ind w:right="-1"/>
              <w:jc w:val="center"/>
              <w:rPr>
                <w:rFonts w:cs="Arial"/>
                <w:szCs w:val="18"/>
                <w:lang w:val="en-GB"/>
              </w:rPr>
            </w:pPr>
            <w:r>
              <w:rPr>
                <w:rFonts w:cs="Arial"/>
                <w:szCs w:val="18"/>
                <w:lang w:val="en-GB"/>
              </w:rPr>
              <w:t>70</w:t>
            </w:r>
          </w:p>
        </w:tc>
        <w:tc>
          <w:tcPr>
            <w:tcW w:w="64" w:type="pct"/>
            <w:shd w:val="clear" w:color="auto" w:fill="FFFFFF"/>
          </w:tcPr>
          <w:p w14:paraId="3E927A40" w14:textId="77777777" w:rsidR="005807CD" w:rsidRDefault="005807CD" w:rsidP="009A142C">
            <w:pPr>
              <w:pStyle w:val="CETBodytext"/>
              <w:ind w:right="-1"/>
              <w:jc w:val="center"/>
              <w:rPr>
                <w:rFonts w:cs="Arial"/>
                <w:szCs w:val="18"/>
                <w:lang w:val="en-GB"/>
              </w:rPr>
            </w:pPr>
          </w:p>
        </w:tc>
        <w:tc>
          <w:tcPr>
            <w:tcW w:w="228" w:type="pct"/>
            <w:shd w:val="clear" w:color="auto" w:fill="FFFFFF"/>
          </w:tcPr>
          <w:p w14:paraId="1362FAED" w14:textId="04A16453" w:rsidR="005807CD" w:rsidRPr="00B57B36" w:rsidRDefault="005807CD" w:rsidP="009A142C">
            <w:pPr>
              <w:pStyle w:val="CETBodytext"/>
              <w:ind w:right="-1"/>
              <w:jc w:val="center"/>
              <w:rPr>
                <w:rFonts w:cs="Arial"/>
                <w:szCs w:val="18"/>
                <w:lang w:val="en-GB"/>
              </w:rPr>
            </w:pPr>
            <w:r>
              <w:rPr>
                <w:rFonts w:cs="Arial"/>
                <w:szCs w:val="18"/>
                <w:lang w:val="en-GB"/>
              </w:rPr>
              <w:t>75.8</w:t>
            </w:r>
          </w:p>
        </w:tc>
        <w:tc>
          <w:tcPr>
            <w:tcW w:w="310" w:type="pct"/>
            <w:shd w:val="clear" w:color="auto" w:fill="FFFFFF"/>
          </w:tcPr>
          <w:p w14:paraId="01532404" w14:textId="6251BD57" w:rsidR="005807CD" w:rsidRPr="00B57B36" w:rsidRDefault="005807CD" w:rsidP="009A142C">
            <w:pPr>
              <w:pStyle w:val="CETBodytext"/>
              <w:ind w:right="-1"/>
              <w:jc w:val="center"/>
              <w:rPr>
                <w:rFonts w:cs="Arial"/>
                <w:szCs w:val="18"/>
                <w:lang w:val="en-GB"/>
              </w:rPr>
            </w:pPr>
            <w:r>
              <w:rPr>
                <w:rFonts w:cs="Arial"/>
                <w:szCs w:val="18"/>
                <w:lang w:val="en-GB"/>
              </w:rPr>
              <w:t>62.6</w:t>
            </w:r>
          </w:p>
        </w:tc>
      </w:tr>
      <w:tr w:rsidR="005807CD" w:rsidRPr="00B57B36" w14:paraId="1161B3F2" w14:textId="77777777" w:rsidTr="00793BDF">
        <w:trPr>
          <w:jc w:val="center"/>
        </w:trPr>
        <w:tc>
          <w:tcPr>
            <w:tcW w:w="246" w:type="pct"/>
            <w:shd w:val="clear" w:color="auto" w:fill="FFFFFF"/>
          </w:tcPr>
          <w:p w14:paraId="655F5804" w14:textId="329EBB4F" w:rsidR="005807CD" w:rsidRPr="00B57B36" w:rsidRDefault="005807CD" w:rsidP="00733DFB">
            <w:pPr>
              <w:pStyle w:val="CETBodytext"/>
              <w:ind w:right="-1"/>
              <w:jc w:val="left"/>
              <w:rPr>
                <w:rFonts w:cs="Arial"/>
                <w:szCs w:val="18"/>
                <w:lang w:val="en-GB"/>
              </w:rPr>
            </w:pPr>
            <w:r>
              <w:rPr>
                <w:rFonts w:cs="Arial"/>
                <w:szCs w:val="18"/>
                <w:lang w:val="en-GB"/>
              </w:rPr>
              <w:t>2022</w:t>
            </w:r>
          </w:p>
        </w:tc>
        <w:tc>
          <w:tcPr>
            <w:tcW w:w="476" w:type="pct"/>
            <w:shd w:val="clear" w:color="auto" w:fill="FFFFFF"/>
          </w:tcPr>
          <w:p w14:paraId="15C088BE" w14:textId="3E956938" w:rsidR="005807CD" w:rsidRPr="00B57B36" w:rsidRDefault="005807CD" w:rsidP="009A142C">
            <w:pPr>
              <w:pStyle w:val="CETBodytext"/>
              <w:ind w:right="-1"/>
              <w:jc w:val="center"/>
              <w:rPr>
                <w:rFonts w:cs="Arial"/>
                <w:szCs w:val="18"/>
                <w:lang w:val="en-GB"/>
              </w:rPr>
            </w:pPr>
            <w:r>
              <w:rPr>
                <w:rFonts w:cs="Arial"/>
                <w:szCs w:val="18"/>
                <w:lang w:val="en-GB"/>
              </w:rPr>
              <w:t>91.7</w:t>
            </w:r>
          </w:p>
        </w:tc>
        <w:tc>
          <w:tcPr>
            <w:tcW w:w="199" w:type="pct"/>
            <w:shd w:val="clear" w:color="auto" w:fill="FFFFFF"/>
          </w:tcPr>
          <w:p w14:paraId="73B99173" w14:textId="4B9FBBE6" w:rsidR="005807CD" w:rsidRPr="00B57B36" w:rsidRDefault="005807CD" w:rsidP="009A142C">
            <w:pPr>
              <w:pStyle w:val="CETBodytext"/>
              <w:ind w:right="-1"/>
              <w:jc w:val="center"/>
              <w:rPr>
                <w:rFonts w:cs="Arial"/>
                <w:szCs w:val="18"/>
                <w:lang w:val="en-GB"/>
              </w:rPr>
            </w:pPr>
            <w:r>
              <w:rPr>
                <w:rFonts w:cs="Arial"/>
                <w:szCs w:val="18"/>
                <w:lang w:val="en-GB"/>
              </w:rPr>
              <w:t>98</w:t>
            </w:r>
          </w:p>
        </w:tc>
        <w:tc>
          <w:tcPr>
            <w:tcW w:w="6" w:type="pct"/>
            <w:shd w:val="clear" w:color="auto" w:fill="FFFFFF"/>
          </w:tcPr>
          <w:p w14:paraId="2A925D09" w14:textId="77777777" w:rsidR="005807CD" w:rsidRDefault="005807CD" w:rsidP="009A142C">
            <w:pPr>
              <w:pStyle w:val="CETBodytext"/>
              <w:ind w:right="-1"/>
              <w:jc w:val="center"/>
              <w:rPr>
                <w:rFonts w:cs="Arial"/>
                <w:szCs w:val="18"/>
                <w:lang w:val="en-GB"/>
              </w:rPr>
            </w:pPr>
          </w:p>
        </w:tc>
        <w:tc>
          <w:tcPr>
            <w:tcW w:w="136" w:type="pct"/>
            <w:shd w:val="clear" w:color="auto" w:fill="FFFFFF"/>
          </w:tcPr>
          <w:p w14:paraId="32903D54" w14:textId="07217BAD" w:rsidR="005807CD" w:rsidRPr="00B57B36" w:rsidRDefault="005807CD" w:rsidP="009A142C">
            <w:pPr>
              <w:pStyle w:val="CETBodytext"/>
              <w:ind w:right="-1"/>
              <w:jc w:val="center"/>
              <w:rPr>
                <w:rFonts w:cs="Arial"/>
                <w:szCs w:val="18"/>
                <w:lang w:val="en-GB"/>
              </w:rPr>
            </w:pPr>
            <w:r>
              <w:rPr>
                <w:rFonts w:cs="Arial"/>
                <w:szCs w:val="18"/>
                <w:lang w:val="en-GB"/>
              </w:rPr>
              <w:t>86</w:t>
            </w:r>
          </w:p>
        </w:tc>
        <w:tc>
          <w:tcPr>
            <w:tcW w:w="37" w:type="pct"/>
            <w:shd w:val="clear" w:color="auto" w:fill="FFFFFF"/>
          </w:tcPr>
          <w:p w14:paraId="46608C1F" w14:textId="77777777" w:rsidR="005807CD" w:rsidRDefault="005807CD" w:rsidP="009A142C">
            <w:pPr>
              <w:pStyle w:val="CETBodytext"/>
              <w:ind w:right="-1"/>
              <w:jc w:val="center"/>
              <w:rPr>
                <w:rFonts w:cs="Arial"/>
                <w:szCs w:val="18"/>
                <w:lang w:val="en-GB"/>
              </w:rPr>
            </w:pPr>
          </w:p>
        </w:tc>
        <w:tc>
          <w:tcPr>
            <w:tcW w:w="230" w:type="pct"/>
            <w:shd w:val="clear" w:color="auto" w:fill="FFFFFF"/>
          </w:tcPr>
          <w:p w14:paraId="6F1C7A2C" w14:textId="4C7F2FFB" w:rsidR="005807CD" w:rsidRPr="00B57B36" w:rsidRDefault="005807CD" w:rsidP="009A142C">
            <w:pPr>
              <w:pStyle w:val="CETBodytext"/>
              <w:ind w:right="-1"/>
              <w:jc w:val="center"/>
              <w:rPr>
                <w:rFonts w:cs="Arial"/>
                <w:szCs w:val="18"/>
                <w:lang w:val="en-GB"/>
              </w:rPr>
            </w:pPr>
            <w:r>
              <w:rPr>
                <w:rFonts w:cs="Arial"/>
                <w:szCs w:val="18"/>
                <w:lang w:val="en-GB"/>
              </w:rPr>
              <w:t>62</w:t>
            </w:r>
          </w:p>
        </w:tc>
        <w:tc>
          <w:tcPr>
            <w:tcW w:w="300" w:type="pct"/>
            <w:shd w:val="clear" w:color="auto" w:fill="FFFFFF"/>
          </w:tcPr>
          <w:p w14:paraId="78D4BA6D" w14:textId="0424DC67" w:rsidR="005807CD" w:rsidRPr="00B57B36" w:rsidRDefault="005807CD" w:rsidP="009A142C">
            <w:pPr>
              <w:pStyle w:val="CETBodytext"/>
              <w:ind w:right="-1"/>
              <w:jc w:val="center"/>
              <w:rPr>
                <w:rFonts w:cs="Arial"/>
                <w:szCs w:val="18"/>
                <w:lang w:val="en-GB"/>
              </w:rPr>
            </w:pPr>
            <w:r>
              <w:rPr>
                <w:rFonts w:cs="Arial"/>
                <w:szCs w:val="18"/>
                <w:lang w:val="en-GB"/>
              </w:rPr>
              <w:t>75</w:t>
            </w:r>
          </w:p>
        </w:tc>
        <w:tc>
          <w:tcPr>
            <w:tcW w:w="4" w:type="pct"/>
            <w:shd w:val="clear" w:color="auto" w:fill="FFFFFF"/>
          </w:tcPr>
          <w:p w14:paraId="2ADB0488" w14:textId="77777777" w:rsidR="005807CD" w:rsidRDefault="005807CD" w:rsidP="009A142C">
            <w:pPr>
              <w:pStyle w:val="CETBodytext"/>
              <w:ind w:right="-1"/>
              <w:jc w:val="center"/>
              <w:rPr>
                <w:rFonts w:cs="Arial"/>
                <w:szCs w:val="18"/>
                <w:lang w:val="en-GB"/>
              </w:rPr>
            </w:pPr>
          </w:p>
        </w:tc>
        <w:tc>
          <w:tcPr>
            <w:tcW w:w="202" w:type="pct"/>
            <w:shd w:val="clear" w:color="auto" w:fill="FFFFFF"/>
          </w:tcPr>
          <w:p w14:paraId="164A9B19" w14:textId="5828A8A7" w:rsidR="005807CD" w:rsidRPr="00B57B36" w:rsidRDefault="005807CD" w:rsidP="009A142C">
            <w:pPr>
              <w:pStyle w:val="CETBodytext"/>
              <w:ind w:right="-1"/>
              <w:jc w:val="center"/>
              <w:rPr>
                <w:rFonts w:cs="Arial"/>
                <w:szCs w:val="18"/>
                <w:lang w:val="en-GB"/>
              </w:rPr>
            </w:pPr>
            <w:r>
              <w:rPr>
                <w:rFonts w:cs="Arial"/>
                <w:szCs w:val="18"/>
                <w:lang w:val="en-GB"/>
              </w:rPr>
              <w:t>40</w:t>
            </w:r>
          </w:p>
        </w:tc>
        <w:tc>
          <w:tcPr>
            <w:tcW w:w="210" w:type="pct"/>
            <w:shd w:val="clear" w:color="auto" w:fill="FFFFFF"/>
          </w:tcPr>
          <w:p w14:paraId="472CB8CB" w14:textId="019B2C83" w:rsidR="005807CD" w:rsidRPr="00B57B36" w:rsidRDefault="005807CD" w:rsidP="009A142C">
            <w:pPr>
              <w:pStyle w:val="CETBodytext"/>
              <w:ind w:right="-1"/>
              <w:jc w:val="center"/>
              <w:rPr>
                <w:rFonts w:cs="Arial"/>
                <w:szCs w:val="18"/>
                <w:lang w:val="en-GB"/>
              </w:rPr>
            </w:pPr>
            <w:r>
              <w:rPr>
                <w:rFonts w:cs="Arial"/>
                <w:szCs w:val="18"/>
                <w:lang w:val="en-GB"/>
              </w:rPr>
              <w:t>51</w:t>
            </w:r>
          </w:p>
        </w:tc>
        <w:tc>
          <w:tcPr>
            <w:tcW w:w="217" w:type="pct"/>
            <w:shd w:val="clear" w:color="auto" w:fill="FFFFFF"/>
          </w:tcPr>
          <w:p w14:paraId="3CAB06EC" w14:textId="6681C495" w:rsidR="005807CD" w:rsidRPr="00B57B36" w:rsidRDefault="005807CD" w:rsidP="009A142C">
            <w:pPr>
              <w:pStyle w:val="CETBodytext"/>
              <w:ind w:right="-1"/>
              <w:jc w:val="center"/>
              <w:rPr>
                <w:rFonts w:cs="Arial"/>
                <w:szCs w:val="18"/>
                <w:lang w:val="en-GB"/>
              </w:rPr>
            </w:pPr>
            <w:r>
              <w:rPr>
                <w:rFonts w:cs="Arial"/>
                <w:szCs w:val="18"/>
                <w:lang w:val="en-GB"/>
              </w:rPr>
              <w:t>44</w:t>
            </w:r>
          </w:p>
        </w:tc>
        <w:tc>
          <w:tcPr>
            <w:tcW w:w="4" w:type="pct"/>
            <w:shd w:val="clear" w:color="auto" w:fill="FFFFFF"/>
          </w:tcPr>
          <w:p w14:paraId="624585F4" w14:textId="77777777" w:rsidR="005807CD" w:rsidRDefault="005807CD" w:rsidP="009A142C">
            <w:pPr>
              <w:pStyle w:val="CETBodytext"/>
              <w:ind w:right="-1"/>
              <w:jc w:val="center"/>
              <w:rPr>
                <w:rFonts w:cs="Arial"/>
                <w:szCs w:val="18"/>
                <w:lang w:val="en-GB"/>
              </w:rPr>
            </w:pPr>
          </w:p>
        </w:tc>
        <w:tc>
          <w:tcPr>
            <w:tcW w:w="296" w:type="pct"/>
            <w:shd w:val="clear" w:color="auto" w:fill="FFFFFF"/>
          </w:tcPr>
          <w:p w14:paraId="57BE91C6" w14:textId="43926550" w:rsidR="005807CD" w:rsidRPr="00B57B36" w:rsidRDefault="005807CD" w:rsidP="009A142C">
            <w:pPr>
              <w:pStyle w:val="CETBodytext"/>
              <w:ind w:right="-1"/>
              <w:jc w:val="center"/>
              <w:rPr>
                <w:rFonts w:cs="Arial"/>
                <w:szCs w:val="18"/>
                <w:lang w:val="en-GB"/>
              </w:rPr>
            </w:pPr>
            <w:r>
              <w:rPr>
                <w:rFonts w:cs="Arial"/>
                <w:szCs w:val="18"/>
                <w:lang w:val="en-GB"/>
              </w:rPr>
              <w:t>86.9</w:t>
            </w:r>
          </w:p>
        </w:tc>
        <w:tc>
          <w:tcPr>
            <w:tcW w:w="6" w:type="pct"/>
            <w:shd w:val="clear" w:color="auto" w:fill="FFFFFF"/>
          </w:tcPr>
          <w:p w14:paraId="03E73B81" w14:textId="77777777" w:rsidR="005807CD" w:rsidRDefault="005807CD" w:rsidP="009A142C">
            <w:pPr>
              <w:pStyle w:val="CETBodytext"/>
              <w:ind w:right="-1"/>
              <w:jc w:val="center"/>
              <w:rPr>
                <w:rFonts w:cs="Arial"/>
                <w:szCs w:val="18"/>
                <w:lang w:val="en-GB"/>
              </w:rPr>
            </w:pPr>
          </w:p>
        </w:tc>
        <w:tc>
          <w:tcPr>
            <w:tcW w:w="243" w:type="pct"/>
            <w:shd w:val="clear" w:color="auto" w:fill="FFFFFF"/>
          </w:tcPr>
          <w:p w14:paraId="6B854284" w14:textId="78CA4C8A" w:rsidR="005807CD" w:rsidRPr="00B57B36" w:rsidRDefault="005807CD" w:rsidP="009A142C">
            <w:pPr>
              <w:pStyle w:val="CETBodytext"/>
              <w:ind w:right="-1"/>
              <w:jc w:val="center"/>
              <w:rPr>
                <w:rFonts w:cs="Arial"/>
                <w:szCs w:val="18"/>
                <w:lang w:val="en-GB"/>
              </w:rPr>
            </w:pPr>
            <w:r>
              <w:rPr>
                <w:rFonts w:cs="Arial"/>
                <w:szCs w:val="18"/>
                <w:lang w:val="en-GB"/>
              </w:rPr>
              <w:t>59.5</w:t>
            </w:r>
          </w:p>
        </w:tc>
        <w:tc>
          <w:tcPr>
            <w:tcW w:w="285" w:type="pct"/>
            <w:gridSpan w:val="2"/>
            <w:shd w:val="clear" w:color="auto" w:fill="FFFFFF"/>
          </w:tcPr>
          <w:p w14:paraId="23EB4944" w14:textId="23B6664D" w:rsidR="005807CD" w:rsidRPr="00B57B36" w:rsidRDefault="005807CD" w:rsidP="009A142C">
            <w:pPr>
              <w:pStyle w:val="CETBodytext"/>
              <w:ind w:right="-1"/>
              <w:jc w:val="center"/>
              <w:rPr>
                <w:rFonts w:cs="Arial"/>
                <w:szCs w:val="18"/>
                <w:lang w:val="en-GB"/>
              </w:rPr>
            </w:pPr>
            <w:r>
              <w:rPr>
                <w:rFonts w:cs="Arial"/>
                <w:szCs w:val="18"/>
                <w:lang w:val="en-GB"/>
              </w:rPr>
              <w:t>50</w:t>
            </w:r>
          </w:p>
        </w:tc>
        <w:tc>
          <w:tcPr>
            <w:tcW w:w="235" w:type="pct"/>
            <w:gridSpan w:val="2"/>
            <w:shd w:val="clear" w:color="auto" w:fill="FFFFFF"/>
          </w:tcPr>
          <w:p w14:paraId="449328F8" w14:textId="11AB4304" w:rsidR="005807CD" w:rsidRPr="00B57B36" w:rsidRDefault="005807CD" w:rsidP="009A142C">
            <w:pPr>
              <w:pStyle w:val="CETBodytext"/>
              <w:ind w:right="-1"/>
              <w:jc w:val="center"/>
              <w:rPr>
                <w:rFonts w:cs="Arial"/>
                <w:szCs w:val="18"/>
                <w:lang w:val="en-GB"/>
              </w:rPr>
            </w:pPr>
            <w:r>
              <w:rPr>
                <w:rFonts w:cs="Arial"/>
                <w:szCs w:val="18"/>
                <w:lang w:val="en-GB"/>
              </w:rPr>
              <w:t>65</w:t>
            </w:r>
          </w:p>
        </w:tc>
        <w:tc>
          <w:tcPr>
            <w:tcW w:w="254" w:type="pct"/>
            <w:shd w:val="clear" w:color="auto" w:fill="FFFFFF"/>
          </w:tcPr>
          <w:p w14:paraId="5D2C4367" w14:textId="79181531" w:rsidR="005807CD" w:rsidRPr="00B57B36" w:rsidRDefault="005807CD" w:rsidP="009A142C">
            <w:pPr>
              <w:pStyle w:val="CETBodytext"/>
              <w:ind w:right="-1"/>
              <w:jc w:val="center"/>
              <w:rPr>
                <w:rFonts w:cs="Arial"/>
                <w:szCs w:val="18"/>
                <w:lang w:val="en-GB"/>
              </w:rPr>
            </w:pPr>
            <w:r>
              <w:rPr>
                <w:rFonts w:cs="Arial"/>
                <w:szCs w:val="18"/>
                <w:lang w:val="en-GB"/>
              </w:rPr>
              <w:t>70</w:t>
            </w:r>
          </w:p>
        </w:tc>
        <w:tc>
          <w:tcPr>
            <w:tcW w:w="324" w:type="pct"/>
            <w:shd w:val="clear" w:color="auto" w:fill="FFFFFF"/>
          </w:tcPr>
          <w:p w14:paraId="054968E3" w14:textId="7CD64DF0" w:rsidR="005807CD" w:rsidRPr="00B57B36" w:rsidRDefault="005807CD" w:rsidP="009A142C">
            <w:pPr>
              <w:pStyle w:val="CETBodytext"/>
              <w:ind w:right="-1"/>
              <w:jc w:val="center"/>
              <w:rPr>
                <w:rFonts w:cs="Arial"/>
                <w:szCs w:val="18"/>
                <w:lang w:val="en-GB"/>
              </w:rPr>
            </w:pPr>
            <w:r>
              <w:rPr>
                <w:rFonts w:cs="Arial"/>
                <w:szCs w:val="18"/>
                <w:lang w:val="en-GB"/>
              </w:rPr>
              <w:t>60</w:t>
            </w:r>
          </w:p>
        </w:tc>
        <w:tc>
          <w:tcPr>
            <w:tcW w:w="310" w:type="pct"/>
            <w:gridSpan w:val="3"/>
            <w:shd w:val="clear" w:color="auto" w:fill="FFFFFF"/>
          </w:tcPr>
          <w:p w14:paraId="54CE895E" w14:textId="0D20E7CD" w:rsidR="005807CD" w:rsidRPr="00B57B36" w:rsidRDefault="005807CD" w:rsidP="009A142C">
            <w:pPr>
              <w:pStyle w:val="CETBodytext"/>
              <w:ind w:right="-1"/>
              <w:jc w:val="center"/>
              <w:rPr>
                <w:rFonts w:cs="Arial"/>
                <w:szCs w:val="18"/>
                <w:lang w:val="en-GB"/>
              </w:rPr>
            </w:pPr>
            <w:r>
              <w:rPr>
                <w:rFonts w:cs="Arial"/>
                <w:szCs w:val="18"/>
                <w:lang w:val="en-GB"/>
              </w:rPr>
              <w:t>43.3</w:t>
            </w:r>
          </w:p>
        </w:tc>
        <w:tc>
          <w:tcPr>
            <w:tcW w:w="178" w:type="pct"/>
            <w:shd w:val="clear" w:color="auto" w:fill="FFFFFF"/>
          </w:tcPr>
          <w:p w14:paraId="751CEF17" w14:textId="6164157A" w:rsidR="005807CD" w:rsidRPr="00B57B36" w:rsidRDefault="005807CD" w:rsidP="009A142C">
            <w:pPr>
              <w:pStyle w:val="CETBodytext"/>
              <w:ind w:right="-1"/>
              <w:jc w:val="center"/>
              <w:rPr>
                <w:rFonts w:cs="Arial"/>
                <w:szCs w:val="18"/>
                <w:lang w:val="en-GB"/>
              </w:rPr>
            </w:pPr>
            <w:r>
              <w:rPr>
                <w:rFonts w:cs="Arial"/>
                <w:szCs w:val="18"/>
                <w:lang w:val="en-GB"/>
              </w:rPr>
              <w:t>25</w:t>
            </w:r>
          </w:p>
        </w:tc>
        <w:tc>
          <w:tcPr>
            <w:tcW w:w="64" w:type="pct"/>
            <w:shd w:val="clear" w:color="auto" w:fill="FFFFFF"/>
          </w:tcPr>
          <w:p w14:paraId="12E5D176" w14:textId="77777777" w:rsidR="005807CD" w:rsidRDefault="005807CD" w:rsidP="009A142C">
            <w:pPr>
              <w:pStyle w:val="CETBodytext"/>
              <w:ind w:right="-1"/>
              <w:jc w:val="center"/>
              <w:rPr>
                <w:rFonts w:cs="Arial"/>
                <w:szCs w:val="18"/>
                <w:lang w:val="en-GB"/>
              </w:rPr>
            </w:pPr>
          </w:p>
        </w:tc>
        <w:tc>
          <w:tcPr>
            <w:tcW w:w="228" w:type="pct"/>
            <w:shd w:val="clear" w:color="auto" w:fill="FFFFFF"/>
          </w:tcPr>
          <w:p w14:paraId="77F8FCF7" w14:textId="1468C8A3" w:rsidR="005807CD" w:rsidRPr="00B57B36" w:rsidRDefault="005807CD" w:rsidP="009A142C">
            <w:pPr>
              <w:pStyle w:val="CETBodytext"/>
              <w:ind w:right="-1"/>
              <w:jc w:val="center"/>
              <w:rPr>
                <w:rFonts w:cs="Arial"/>
                <w:szCs w:val="18"/>
                <w:lang w:val="en-GB"/>
              </w:rPr>
            </w:pPr>
            <w:r>
              <w:rPr>
                <w:rFonts w:cs="Arial"/>
                <w:szCs w:val="18"/>
                <w:lang w:val="en-GB"/>
              </w:rPr>
              <w:t>55.1</w:t>
            </w:r>
          </w:p>
        </w:tc>
        <w:tc>
          <w:tcPr>
            <w:tcW w:w="310" w:type="pct"/>
            <w:shd w:val="clear" w:color="auto" w:fill="FFFFFF"/>
          </w:tcPr>
          <w:p w14:paraId="2D038059" w14:textId="34FE4F65" w:rsidR="005807CD" w:rsidRPr="00B57B36" w:rsidRDefault="005807CD" w:rsidP="009A142C">
            <w:pPr>
              <w:pStyle w:val="CETBodytext"/>
              <w:ind w:right="-1"/>
              <w:jc w:val="center"/>
              <w:rPr>
                <w:rFonts w:cs="Arial"/>
                <w:szCs w:val="18"/>
                <w:lang w:val="en-GB"/>
              </w:rPr>
            </w:pPr>
            <w:r>
              <w:rPr>
                <w:rFonts w:cs="Arial"/>
                <w:szCs w:val="18"/>
                <w:lang w:val="en-GB"/>
              </w:rPr>
              <w:t>56.1</w:t>
            </w:r>
          </w:p>
        </w:tc>
      </w:tr>
    </w:tbl>
    <w:p w14:paraId="551388AC" w14:textId="77777777" w:rsidR="001D407E" w:rsidRDefault="001D407E" w:rsidP="00A31E60">
      <w:pPr>
        <w:pStyle w:val="CETBodytext"/>
      </w:pPr>
    </w:p>
    <w:p w14:paraId="2B9756A3" w14:textId="15893C6B" w:rsidR="00A31E60" w:rsidRDefault="00793BDF" w:rsidP="00A31E60">
      <w:pPr>
        <w:pStyle w:val="CETBodytext"/>
        <w:rPr>
          <w:noProof/>
        </w:rPr>
      </w:pPr>
      <w:r w:rsidRPr="004A7320">
        <w:t>Starting with the Resources (R) component, since only one subcomponent (R1) was taken into account and that the water supply in the city of Cartagena is almost permanent, except when maintenance work is carried out, the value obtained was high, however, in the influence areas of the Juan Angola creek there are no official records that specify the water sources or the supply regularity to the inhabitants</w:t>
      </w:r>
      <w:r w:rsidRPr="00FD2D95">
        <w:t>.</w:t>
      </w:r>
      <w:r w:rsidR="001D407E">
        <w:t xml:space="preserve"> </w:t>
      </w:r>
      <w:r w:rsidR="001D407E">
        <w:rPr>
          <w:noProof/>
        </w:rPr>
        <w:t xml:space="preserve">In </w:t>
      </w:r>
      <w:r w:rsidR="001D407E">
        <w:rPr>
          <w:noProof/>
        </w:rPr>
        <w:fldChar w:fldCharType="begin"/>
      </w:r>
      <w:r w:rsidR="001D407E">
        <w:rPr>
          <w:noProof/>
        </w:rPr>
        <w:instrText xml:space="preserve"> REF _Ref125427772 \h </w:instrText>
      </w:r>
      <w:r w:rsidR="001D407E">
        <w:rPr>
          <w:noProof/>
        </w:rPr>
      </w:r>
      <w:r w:rsidR="001D407E">
        <w:rPr>
          <w:noProof/>
        </w:rPr>
        <w:fldChar w:fldCharType="separate"/>
      </w:r>
      <w:r w:rsidR="001D407E">
        <w:t xml:space="preserve">Table </w:t>
      </w:r>
      <w:r w:rsidR="001D407E">
        <w:rPr>
          <w:noProof/>
        </w:rPr>
        <w:t>1</w:t>
      </w:r>
      <w:r w:rsidR="001D407E">
        <w:rPr>
          <w:noProof/>
        </w:rPr>
        <w:fldChar w:fldCharType="end"/>
      </w:r>
      <w:r w:rsidR="00103927" w:rsidRPr="00103927">
        <w:rPr>
          <w:noProof/>
        </w:rPr>
        <w:t xml:space="preserve">, for the </w:t>
      </w:r>
      <w:r w:rsidR="00103927" w:rsidRPr="00103927">
        <w:rPr>
          <w:noProof/>
        </w:rPr>
        <w:lastRenderedPageBreak/>
        <w:t xml:space="preserve">subcomponents of Access category (A), data was taken at the city level, which influences the regular values ​​of the component; a determining factor is the reliability of the water potability consumed by the population, aqueduct coverage and sewerage services, except for coastal invasion areas that increased in 2022, which is reflected in the lower value for A3 in that year. The capacity (C) category involves aspects of health, education, and economy (Ladi et al., 2021), where the subcomponents that related the lowest values ​​were those that involve poverty, which is consistent with the specific inhabitants' situation of the neighborhoods on the banks the Juan Angola creek, where the percentages of the population finishing primary school are low, as are the levels of poverty. The use (U) component only had a subcomponent </w:t>
      </w:r>
      <w:r w:rsidR="001D407E" w:rsidRPr="00103927">
        <w:rPr>
          <w:noProof/>
        </w:rPr>
        <w:t xml:space="preserve">quantified </w:t>
      </w:r>
      <w:r w:rsidR="001D407E">
        <w:rPr>
          <w:noProof/>
        </w:rPr>
        <w:t>at</w:t>
      </w:r>
      <w:r w:rsidR="00103927" w:rsidRPr="00103927">
        <w:rPr>
          <w:noProof/>
        </w:rPr>
        <w:t xml:space="preserve"> the city level, indicating that the </w:t>
      </w:r>
      <w:r w:rsidR="001D407E" w:rsidRPr="00103927">
        <w:rPr>
          <w:noProof/>
        </w:rPr>
        <w:t xml:space="preserve">population </w:t>
      </w:r>
      <w:r w:rsidR="00103927" w:rsidRPr="00103927">
        <w:rPr>
          <w:noProof/>
        </w:rPr>
        <w:t>majority</w:t>
      </w:r>
      <w:r w:rsidR="001D407E">
        <w:rPr>
          <w:noProof/>
        </w:rPr>
        <w:t xml:space="preserve"> </w:t>
      </w:r>
      <w:r w:rsidR="00103927" w:rsidRPr="00103927">
        <w:rPr>
          <w:noProof/>
        </w:rPr>
        <w:t>use</w:t>
      </w:r>
      <w:r w:rsidR="001D407E">
        <w:rPr>
          <w:noProof/>
        </w:rPr>
        <w:t xml:space="preserve"> </w:t>
      </w:r>
      <w:r w:rsidR="001D407E" w:rsidRPr="001D407E">
        <w:rPr>
          <w:noProof/>
        </w:rPr>
        <w:t>more water at the household level than the estimated average per capita amount</w:t>
      </w:r>
      <w:r w:rsidR="00103927" w:rsidRPr="00103927">
        <w:rPr>
          <w:noProof/>
        </w:rPr>
        <w:t>.</w:t>
      </w:r>
      <w:r w:rsidR="00671E3F">
        <w:rPr>
          <w:noProof/>
        </w:rPr>
        <w:t xml:space="preserve"> </w:t>
      </w:r>
      <w:r w:rsidR="00103927" w:rsidRPr="00103927">
        <w:rPr>
          <w:noProof/>
        </w:rPr>
        <w:t>Environment (E) component shows that E1 is half the quantification for 2022, registering very poor water quality for the year 2021, which is justified by the return to normal activities after the Cov</w:t>
      </w:r>
      <w:r w:rsidR="00AA0C26">
        <w:rPr>
          <w:noProof/>
        </w:rPr>
        <w:t>i</w:t>
      </w:r>
      <w:r w:rsidR="00103927" w:rsidRPr="00103927">
        <w:rPr>
          <w:noProof/>
        </w:rPr>
        <w:t>d-19 pandemic, presenting the overexposure of the water body with the dumping from the informal settlement on the sides of the Juan Angola Crek, the increase in flights from the airport and the greater presence of local garbage dumps. Relating Access (A) and Environment (E) components the population has availability of water, but having poor quality becomes a latent threat that threatens accessibility (Thakur et al., 2017). The new component Biodiversity of the environment (B) presented different results in B1 and B2 subcomponents, whereby in the year 2021 the birds' abundance was lower although the species diversity was higher, quite the opposite of the year 2022</w:t>
      </w:r>
      <w:r w:rsidR="00B86C3F">
        <w:rPr>
          <w:noProof/>
        </w:rPr>
        <w:t xml:space="preserve"> </w:t>
      </w:r>
      <w:r w:rsidR="00B86C3F" w:rsidRPr="00B86C3F">
        <w:rPr>
          <w:noProof/>
        </w:rPr>
        <w:t>due to there are more migratory species from North hemisphere in the dry period (December to March)</w:t>
      </w:r>
      <w:r w:rsidR="00103927" w:rsidRPr="00103927">
        <w:rPr>
          <w:noProof/>
        </w:rPr>
        <w:t xml:space="preserve">, the above justified by the variety of birds that arrive at the water body of an accessory, </w:t>
      </w:r>
      <w:r w:rsidR="00B86C3F">
        <w:rPr>
          <w:noProof/>
        </w:rPr>
        <w:t xml:space="preserve">the </w:t>
      </w:r>
      <w:r w:rsidR="00103927" w:rsidRPr="00103927">
        <w:rPr>
          <w:noProof/>
        </w:rPr>
        <w:t>incidental or constant type depending on the time of year, how in this case two different weather periods are contrasted, while B3 and B4 related the types of species with the total, for 2022, the relationship decreased by a small range compared to 2021 because the Juan Angola creek presented an environmental recovery</w:t>
      </w:r>
      <w:r w:rsidR="001F3531">
        <w:rPr>
          <w:noProof/>
        </w:rPr>
        <w:t>,</w:t>
      </w:r>
      <w:r w:rsidR="0011091F">
        <w:rPr>
          <w:noProof/>
        </w:rPr>
        <w:t xml:space="preserve"> </w:t>
      </w:r>
      <w:r w:rsidR="00103927" w:rsidRPr="00103927">
        <w:rPr>
          <w:noProof/>
        </w:rPr>
        <w:t>the birds did not have easy food, a situation that forced some to migrate to other water bodies</w:t>
      </w:r>
      <w:r w:rsidR="004B03A7">
        <w:rPr>
          <w:noProof/>
        </w:rPr>
        <w:t>.</w:t>
      </w:r>
    </w:p>
    <w:p w14:paraId="7803B001" w14:textId="77777777" w:rsidR="008B3999" w:rsidRDefault="008B3999" w:rsidP="00A31E60">
      <w:pPr>
        <w:pStyle w:val="CETBodytext"/>
        <w:rPr>
          <w:noProof/>
        </w:rPr>
      </w:pPr>
    </w:p>
    <w:p w14:paraId="53E88185" w14:textId="7DCC1B6F" w:rsidR="00691FC6" w:rsidRDefault="00691FC6" w:rsidP="00A31E60">
      <w:pPr>
        <w:pStyle w:val="CETBodytext"/>
        <w:rPr>
          <w:noProof/>
        </w:rPr>
      </w:pPr>
      <w:r>
        <w:rPr>
          <w:noProof/>
        </w:rPr>
        <w:fldChar w:fldCharType="begin"/>
      </w:r>
      <w:r>
        <w:rPr>
          <w:noProof/>
        </w:rPr>
        <w:instrText xml:space="preserve"> REF _Ref125432713 \h </w:instrText>
      </w:r>
      <w:r>
        <w:rPr>
          <w:noProof/>
        </w:rPr>
      </w:r>
      <w:r>
        <w:rPr>
          <w:noProof/>
        </w:rPr>
        <w:fldChar w:fldCharType="separate"/>
      </w:r>
      <w:r>
        <w:t xml:space="preserve">Table </w:t>
      </w:r>
      <w:r>
        <w:rPr>
          <w:noProof/>
        </w:rPr>
        <w:t>2</w:t>
      </w:r>
      <w:r>
        <w:rPr>
          <w:noProof/>
        </w:rPr>
        <w:fldChar w:fldCharType="end"/>
      </w:r>
      <w:r>
        <w:rPr>
          <w:noProof/>
        </w:rPr>
        <w:t xml:space="preserve"> </w:t>
      </w:r>
      <w:r w:rsidR="00103927" w:rsidRPr="00103927">
        <w:rPr>
          <w:noProof/>
        </w:rPr>
        <w:t>shows the quantification of the WPI components and the WPI modified (WPI-mB), where for Resources (R) and Access (A) it is necessary for government entities to present more specific data for the communities and thus obtain a value that shows the water availability annually to the entire population in the front sector of the Juan Angola creek</w:t>
      </w:r>
      <w:r w:rsidR="006862A1">
        <w:rPr>
          <w:noProof/>
        </w:rPr>
        <w:t>. I</w:t>
      </w:r>
      <w:r w:rsidR="00103927" w:rsidRPr="00103927">
        <w:rPr>
          <w:noProof/>
        </w:rPr>
        <w:t>t is necessary to improve the reliability of piped water supply.</w:t>
      </w:r>
      <w:r w:rsidR="00F830B3">
        <w:rPr>
          <w:noProof/>
        </w:rPr>
        <w:t xml:space="preserve"> </w:t>
      </w:r>
      <w:r w:rsidR="00F830B3" w:rsidRPr="003E4441">
        <w:rPr>
          <w:noProof/>
        </w:rPr>
        <w:t>Capacity (C), an urgent measure must be taken to reduce the poverty levels, social inequality, and access to education in the neighborhoods near Juan Angola creek, since they are the main destabilizers of the component; The Use (U) although it was reported the same for both years, it is necessary to minimize the water consumption for domestic use. The environmental component (E) evidenced the recovery of the body of water in 2022, but more cleaning campaigns</w:t>
      </w:r>
      <w:r w:rsidR="00F830B3">
        <w:rPr>
          <w:noProof/>
        </w:rPr>
        <w:t xml:space="preserve">, </w:t>
      </w:r>
      <w:r w:rsidR="00F830B3" w:rsidRPr="003E4441">
        <w:rPr>
          <w:noProof/>
        </w:rPr>
        <w:t>and environmental education must be carried out in this area. The biodiversity of the environment (B) component showed the variability (decrease) in biodiversity levels for the year 2022, considering the presence/absence of birds as an impor</w:t>
      </w:r>
      <w:r w:rsidR="00F830B3">
        <w:rPr>
          <w:noProof/>
        </w:rPr>
        <w:t>tant item of ​​the creek state.</w:t>
      </w:r>
    </w:p>
    <w:p w14:paraId="1C9342BB" w14:textId="684F310F" w:rsidR="00D570FD" w:rsidRDefault="00D570FD" w:rsidP="00D570FD">
      <w:pPr>
        <w:pStyle w:val="CETTabletitle"/>
      </w:pPr>
      <w:bookmarkStart w:id="1" w:name="_Ref125432713"/>
      <w:r>
        <w:t xml:space="preserve">Table </w:t>
      </w:r>
      <w:r>
        <w:fldChar w:fldCharType="begin"/>
      </w:r>
      <w:r>
        <w:instrText xml:space="preserve"> SEQ Table \* ARABIC </w:instrText>
      </w:r>
      <w:r>
        <w:fldChar w:fldCharType="separate"/>
      </w:r>
      <w:r>
        <w:rPr>
          <w:noProof/>
        </w:rPr>
        <w:t>2</w:t>
      </w:r>
      <w:r>
        <w:fldChar w:fldCharType="end"/>
      </w:r>
      <w:bookmarkEnd w:id="1"/>
      <w:r w:rsidR="007B6153">
        <w:t>:</w:t>
      </w:r>
      <w:r>
        <w:t xml:space="preserve"> </w:t>
      </w:r>
      <w:r w:rsidRPr="00D570FD">
        <w:t>Water Poverty Index (WPI)</w:t>
      </w:r>
      <w:r>
        <w:t xml:space="preserve"> </w:t>
      </w:r>
      <w:r w:rsidRPr="00D570FD">
        <w:t>components and values for the study area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41"/>
        <w:gridCol w:w="839"/>
        <w:gridCol w:w="672"/>
        <w:gridCol w:w="701"/>
        <w:gridCol w:w="641"/>
        <w:gridCol w:w="1115"/>
        <w:gridCol w:w="1608"/>
        <w:gridCol w:w="1396"/>
        <w:gridCol w:w="1274"/>
      </w:tblGrid>
      <w:tr w:rsidR="00A33F2B" w:rsidRPr="00B57B36" w14:paraId="10E32B52" w14:textId="3E9BFB2D" w:rsidTr="008B3999">
        <w:tc>
          <w:tcPr>
            <w:tcW w:w="541" w:type="dxa"/>
            <w:tcBorders>
              <w:top w:val="single" w:sz="12" w:space="0" w:color="008000"/>
              <w:bottom w:val="single" w:sz="6" w:space="0" w:color="008000"/>
            </w:tcBorders>
            <w:shd w:val="clear" w:color="auto" w:fill="FFFFFF"/>
          </w:tcPr>
          <w:p w14:paraId="551EB561" w14:textId="2ADD627E" w:rsidR="00A33F2B" w:rsidRPr="00B57B36" w:rsidRDefault="00A33F2B" w:rsidP="00BE5453">
            <w:pPr>
              <w:pStyle w:val="CETBodytext"/>
              <w:rPr>
                <w:lang w:val="en-GB"/>
              </w:rPr>
            </w:pPr>
            <w:r>
              <w:rPr>
                <w:lang w:val="en-GB"/>
              </w:rPr>
              <w:t>Year</w:t>
            </w:r>
            <w:r w:rsidRPr="00B57B36">
              <w:rPr>
                <w:lang w:val="en-GB"/>
              </w:rPr>
              <w:t xml:space="preserve"> </w:t>
            </w:r>
          </w:p>
        </w:tc>
        <w:tc>
          <w:tcPr>
            <w:tcW w:w="839" w:type="dxa"/>
            <w:tcBorders>
              <w:top w:val="single" w:sz="12" w:space="0" w:color="008000"/>
              <w:bottom w:val="single" w:sz="6" w:space="0" w:color="008000"/>
            </w:tcBorders>
            <w:shd w:val="clear" w:color="auto" w:fill="FFFFFF"/>
          </w:tcPr>
          <w:p w14:paraId="162129DA" w14:textId="15B24F1D" w:rsidR="00A33F2B" w:rsidRPr="00B57B36" w:rsidRDefault="00A33F2B" w:rsidP="00BE5453">
            <w:pPr>
              <w:pStyle w:val="CETBodytext"/>
              <w:rPr>
                <w:lang w:val="en-GB"/>
              </w:rPr>
            </w:pPr>
            <w:r w:rsidRPr="005807CD">
              <w:rPr>
                <w:lang w:val="en-GB"/>
              </w:rPr>
              <w:t>Resource (R)</w:t>
            </w:r>
          </w:p>
        </w:tc>
        <w:tc>
          <w:tcPr>
            <w:tcW w:w="672" w:type="dxa"/>
            <w:tcBorders>
              <w:top w:val="single" w:sz="12" w:space="0" w:color="008000"/>
              <w:bottom w:val="single" w:sz="6" w:space="0" w:color="008000"/>
            </w:tcBorders>
            <w:shd w:val="clear" w:color="auto" w:fill="FFFFFF"/>
          </w:tcPr>
          <w:p w14:paraId="114F3AFC" w14:textId="53048E23" w:rsidR="00A33F2B" w:rsidRPr="00B57B36" w:rsidRDefault="00A33F2B" w:rsidP="00BE5453">
            <w:pPr>
              <w:pStyle w:val="CETBodytext"/>
              <w:rPr>
                <w:lang w:val="en-GB"/>
              </w:rPr>
            </w:pPr>
            <w:r w:rsidRPr="005807CD">
              <w:rPr>
                <w:lang w:val="en-GB"/>
              </w:rPr>
              <w:t>Access (A)</w:t>
            </w:r>
          </w:p>
        </w:tc>
        <w:tc>
          <w:tcPr>
            <w:tcW w:w="701" w:type="dxa"/>
            <w:tcBorders>
              <w:top w:val="single" w:sz="12" w:space="0" w:color="008000"/>
              <w:bottom w:val="single" w:sz="6" w:space="0" w:color="008000"/>
            </w:tcBorders>
            <w:shd w:val="clear" w:color="auto" w:fill="FFFFFF"/>
          </w:tcPr>
          <w:p w14:paraId="27967E29" w14:textId="56EF60C2" w:rsidR="00A33F2B" w:rsidRPr="00B57B36" w:rsidRDefault="00A33F2B" w:rsidP="00BE5453">
            <w:pPr>
              <w:pStyle w:val="CETBodytext"/>
              <w:ind w:right="-1"/>
              <w:rPr>
                <w:rFonts w:cs="Arial"/>
                <w:szCs w:val="18"/>
                <w:lang w:val="en-GB"/>
              </w:rPr>
            </w:pPr>
            <w:r w:rsidRPr="005807CD">
              <w:rPr>
                <w:rFonts w:cs="Arial"/>
                <w:szCs w:val="18"/>
                <w:lang w:val="en-GB"/>
              </w:rPr>
              <w:t>Capacity (C)</w:t>
            </w:r>
          </w:p>
        </w:tc>
        <w:tc>
          <w:tcPr>
            <w:tcW w:w="641" w:type="dxa"/>
            <w:tcBorders>
              <w:top w:val="single" w:sz="12" w:space="0" w:color="008000"/>
              <w:bottom w:val="single" w:sz="6" w:space="0" w:color="008000"/>
            </w:tcBorders>
            <w:shd w:val="clear" w:color="auto" w:fill="FFFFFF"/>
          </w:tcPr>
          <w:p w14:paraId="5372AF9A" w14:textId="2A9B2891" w:rsidR="00A33F2B" w:rsidRPr="00B57B36" w:rsidRDefault="00A33F2B" w:rsidP="00BE5453">
            <w:pPr>
              <w:pStyle w:val="CETBodytext"/>
              <w:ind w:right="-1"/>
              <w:rPr>
                <w:rFonts w:cs="Arial"/>
                <w:szCs w:val="18"/>
                <w:lang w:val="en-GB"/>
              </w:rPr>
            </w:pPr>
            <w:r w:rsidRPr="005807CD">
              <w:rPr>
                <w:rFonts w:cs="Arial"/>
                <w:szCs w:val="18"/>
                <w:lang w:val="en-GB"/>
              </w:rPr>
              <w:t>Use (U)</w:t>
            </w:r>
          </w:p>
        </w:tc>
        <w:tc>
          <w:tcPr>
            <w:tcW w:w="1115" w:type="dxa"/>
            <w:tcBorders>
              <w:top w:val="single" w:sz="12" w:space="0" w:color="008000"/>
              <w:bottom w:val="single" w:sz="6" w:space="0" w:color="008000"/>
            </w:tcBorders>
            <w:shd w:val="clear" w:color="auto" w:fill="FFFFFF"/>
          </w:tcPr>
          <w:p w14:paraId="71C79670" w14:textId="5C3AA0CF" w:rsidR="00A33F2B" w:rsidRPr="00B57B36" w:rsidRDefault="00A33F2B" w:rsidP="00BE5453">
            <w:pPr>
              <w:pStyle w:val="CETBodytext"/>
              <w:ind w:right="-1"/>
              <w:rPr>
                <w:rFonts w:cs="Arial"/>
                <w:szCs w:val="18"/>
                <w:lang w:val="en-GB"/>
              </w:rPr>
            </w:pPr>
            <w:r w:rsidRPr="005807CD">
              <w:rPr>
                <w:rFonts w:cs="Arial"/>
                <w:szCs w:val="18"/>
                <w:lang w:val="en-GB"/>
              </w:rPr>
              <w:t>Environment (E)</w:t>
            </w:r>
          </w:p>
        </w:tc>
        <w:tc>
          <w:tcPr>
            <w:tcW w:w="1608" w:type="dxa"/>
            <w:tcBorders>
              <w:top w:val="single" w:sz="12" w:space="0" w:color="008000"/>
              <w:bottom w:val="single" w:sz="6" w:space="0" w:color="008000"/>
            </w:tcBorders>
            <w:shd w:val="clear" w:color="auto" w:fill="FFFFFF"/>
          </w:tcPr>
          <w:p w14:paraId="4B97AB73" w14:textId="6F8D5888" w:rsidR="00A33F2B" w:rsidRPr="005807CD" w:rsidRDefault="00A33F2B" w:rsidP="00BE5453">
            <w:pPr>
              <w:pStyle w:val="CETBodytext"/>
              <w:ind w:right="-1"/>
              <w:rPr>
                <w:rFonts w:cs="Arial"/>
                <w:szCs w:val="18"/>
                <w:lang w:val="en-GB"/>
              </w:rPr>
            </w:pPr>
            <w:r>
              <w:rPr>
                <w:rFonts w:cs="Arial"/>
                <w:szCs w:val="18"/>
                <w:lang w:val="en-GB"/>
              </w:rPr>
              <w:t>Water Poverty Index (WPI)</w:t>
            </w:r>
          </w:p>
        </w:tc>
        <w:tc>
          <w:tcPr>
            <w:tcW w:w="1396" w:type="dxa"/>
            <w:tcBorders>
              <w:top w:val="single" w:sz="12" w:space="0" w:color="008000"/>
              <w:bottom w:val="single" w:sz="6" w:space="0" w:color="008000"/>
            </w:tcBorders>
            <w:shd w:val="clear" w:color="auto" w:fill="FFFFFF"/>
          </w:tcPr>
          <w:p w14:paraId="261E8F39" w14:textId="6322DD7B" w:rsidR="00A33F2B" w:rsidRPr="005807CD" w:rsidRDefault="00A33F2B" w:rsidP="00103927">
            <w:pPr>
              <w:pStyle w:val="CETBodytext"/>
              <w:ind w:left="117" w:right="142"/>
              <w:rPr>
                <w:rFonts w:cs="Arial"/>
                <w:szCs w:val="18"/>
                <w:lang w:val="en-GB"/>
              </w:rPr>
            </w:pPr>
            <w:r w:rsidRPr="005807CD">
              <w:rPr>
                <w:rFonts w:cs="Arial"/>
                <w:szCs w:val="18"/>
                <w:lang w:val="en-GB"/>
              </w:rPr>
              <w:t>Biodiversity of the environment (B)</w:t>
            </w:r>
          </w:p>
        </w:tc>
        <w:tc>
          <w:tcPr>
            <w:tcW w:w="1274" w:type="dxa"/>
            <w:tcBorders>
              <w:top w:val="single" w:sz="12" w:space="0" w:color="008000"/>
              <w:bottom w:val="single" w:sz="6" w:space="0" w:color="008000"/>
            </w:tcBorders>
            <w:shd w:val="clear" w:color="auto" w:fill="FFFFFF"/>
          </w:tcPr>
          <w:p w14:paraId="00FFC8EA" w14:textId="14B1A3F4" w:rsidR="00A33F2B" w:rsidRPr="005807CD" w:rsidRDefault="00A33F2B" w:rsidP="00BE5453">
            <w:pPr>
              <w:pStyle w:val="CETBodytext"/>
              <w:ind w:right="-1"/>
              <w:rPr>
                <w:rFonts w:cs="Arial"/>
                <w:szCs w:val="18"/>
                <w:lang w:val="en-GB"/>
              </w:rPr>
            </w:pPr>
            <w:r>
              <w:rPr>
                <w:rFonts w:cs="Arial"/>
                <w:szCs w:val="18"/>
                <w:lang w:val="en-GB"/>
              </w:rPr>
              <w:t xml:space="preserve">WPI modified with </w:t>
            </w:r>
            <w:r w:rsidR="001A3A5A">
              <w:rPr>
                <w:rFonts w:cs="Arial"/>
                <w:szCs w:val="18"/>
                <w:lang w:val="en-GB"/>
              </w:rPr>
              <w:t>birds’</w:t>
            </w:r>
            <w:r>
              <w:rPr>
                <w:rFonts w:cs="Arial"/>
                <w:szCs w:val="18"/>
                <w:lang w:val="en-GB"/>
              </w:rPr>
              <w:t xml:space="preserve"> parameters</w:t>
            </w:r>
            <w:r w:rsidR="00A56E4C">
              <w:rPr>
                <w:rFonts w:cs="Arial"/>
                <w:szCs w:val="18"/>
                <w:lang w:val="en-GB"/>
              </w:rPr>
              <w:t xml:space="preserve"> (WPI-mB)</w:t>
            </w:r>
          </w:p>
        </w:tc>
      </w:tr>
      <w:tr w:rsidR="00A33F2B" w:rsidRPr="00B57B36" w14:paraId="7743354C" w14:textId="6FCB6B22" w:rsidTr="008B3999">
        <w:tc>
          <w:tcPr>
            <w:tcW w:w="541" w:type="dxa"/>
            <w:shd w:val="clear" w:color="auto" w:fill="FFFFFF"/>
          </w:tcPr>
          <w:p w14:paraId="76019A2A" w14:textId="3B4C291E" w:rsidR="00A33F2B" w:rsidRPr="00B57B36" w:rsidRDefault="00A33F2B" w:rsidP="00BE5453">
            <w:pPr>
              <w:pStyle w:val="CETBodytext"/>
              <w:rPr>
                <w:lang w:val="en-GB"/>
              </w:rPr>
            </w:pPr>
            <w:r>
              <w:rPr>
                <w:lang w:val="en-GB"/>
              </w:rPr>
              <w:t>2021</w:t>
            </w:r>
          </w:p>
        </w:tc>
        <w:tc>
          <w:tcPr>
            <w:tcW w:w="839" w:type="dxa"/>
            <w:shd w:val="clear" w:color="auto" w:fill="FFFFFF"/>
          </w:tcPr>
          <w:p w14:paraId="368431FF" w14:textId="4959854C" w:rsidR="00A33F2B" w:rsidRPr="00B57B36" w:rsidRDefault="00A33F2B" w:rsidP="00BE5453">
            <w:pPr>
              <w:pStyle w:val="CETBodytext"/>
              <w:rPr>
                <w:lang w:val="en-GB"/>
              </w:rPr>
            </w:pPr>
            <w:r>
              <w:rPr>
                <w:lang w:val="en-GB"/>
              </w:rPr>
              <w:t>83.3</w:t>
            </w:r>
          </w:p>
        </w:tc>
        <w:tc>
          <w:tcPr>
            <w:tcW w:w="672" w:type="dxa"/>
            <w:shd w:val="clear" w:color="auto" w:fill="FFFFFF"/>
          </w:tcPr>
          <w:p w14:paraId="087EDD7B" w14:textId="76FA6847" w:rsidR="00A33F2B" w:rsidRPr="00B57B36" w:rsidRDefault="00A33F2B" w:rsidP="00BE5453">
            <w:pPr>
              <w:pStyle w:val="CETBodytext"/>
              <w:rPr>
                <w:lang w:val="en-GB"/>
              </w:rPr>
            </w:pPr>
            <w:r>
              <w:rPr>
                <w:lang w:val="en-GB"/>
              </w:rPr>
              <w:t>83.3</w:t>
            </w:r>
          </w:p>
        </w:tc>
        <w:tc>
          <w:tcPr>
            <w:tcW w:w="701" w:type="dxa"/>
            <w:shd w:val="clear" w:color="auto" w:fill="FFFFFF"/>
          </w:tcPr>
          <w:p w14:paraId="060362FF" w14:textId="24E9D8DD" w:rsidR="00A33F2B" w:rsidRPr="00B57B36" w:rsidRDefault="00A33F2B" w:rsidP="00BE5453">
            <w:pPr>
              <w:pStyle w:val="CETBodytext"/>
              <w:ind w:right="-1"/>
              <w:rPr>
                <w:rFonts w:cs="Arial"/>
                <w:szCs w:val="18"/>
                <w:lang w:val="en-GB"/>
              </w:rPr>
            </w:pPr>
            <w:r>
              <w:rPr>
                <w:rFonts w:cs="Arial"/>
                <w:szCs w:val="18"/>
                <w:lang w:val="en-GB"/>
              </w:rPr>
              <w:t>59.2</w:t>
            </w:r>
          </w:p>
        </w:tc>
        <w:tc>
          <w:tcPr>
            <w:tcW w:w="641" w:type="dxa"/>
            <w:shd w:val="clear" w:color="auto" w:fill="FFFFFF"/>
          </w:tcPr>
          <w:p w14:paraId="4AF983AA" w14:textId="4AEFCED7" w:rsidR="00A33F2B" w:rsidRPr="00B57B36" w:rsidRDefault="00A33F2B" w:rsidP="00BE5453">
            <w:pPr>
              <w:pStyle w:val="CETBodytext"/>
              <w:ind w:right="-1"/>
              <w:rPr>
                <w:rFonts w:cs="Arial"/>
                <w:szCs w:val="18"/>
                <w:lang w:val="en-GB"/>
              </w:rPr>
            </w:pPr>
            <w:r>
              <w:rPr>
                <w:rFonts w:cs="Arial"/>
                <w:szCs w:val="18"/>
                <w:lang w:val="en-GB"/>
              </w:rPr>
              <w:t>65</w:t>
            </w:r>
          </w:p>
        </w:tc>
        <w:tc>
          <w:tcPr>
            <w:tcW w:w="1115" w:type="dxa"/>
            <w:shd w:val="clear" w:color="auto" w:fill="FFFFFF"/>
          </w:tcPr>
          <w:p w14:paraId="613CDEFB" w14:textId="4E6C6201" w:rsidR="00A33F2B" w:rsidRPr="00B57B36" w:rsidRDefault="00A33F2B" w:rsidP="00BE5453">
            <w:pPr>
              <w:pStyle w:val="CETBodytext"/>
              <w:ind w:right="-1"/>
              <w:rPr>
                <w:rFonts w:cs="Arial"/>
                <w:szCs w:val="18"/>
                <w:lang w:val="en-GB"/>
              </w:rPr>
            </w:pPr>
            <w:r>
              <w:rPr>
                <w:rFonts w:cs="Arial"/>
                <w:szCs w:val="18"/>
                <w:lang w:val="en-GB"/>
              </w:rPr>
              <w:t>47.5</w:t>
            </w:r>
          </w:p>
        </w:tc>
        <w:tc>
          <w:tcPr>
            <w:tcW w:w="1608" w:type="dxa"/>
            <w:shd w:val="clear" w:color="auto" w:fill="FFFFFF"/>
          </w:tcPr>
          <w:p w14:paraId="526ADB41" w14:textId="2A1E080C" w:rsidR="00A33F2B" w:rsidRDefault="00A33F2B" w:rsidP="00BE5453">
            <w:pPr>
              <w:pStyle w:val="CETBodytext"/>
              <w:ind w:right="-1"/>
              <w:rPr>
                <w:rFonts w:cs="Arial"/>
                <w:szCs w:val="18"/>
                <w:lang w:val="en-GB"/>
              </w:rPr>
            </w:pPr>
            <w:r>
              <w:rPr>
                <w:rFonts w:cs="Arial"/>
                <w:szCs w:val="18"/>
                <w:lang w:val="en-GB"/>
              </w:rPr>
              <w:t>67.7</w:t>
            </w:r>
          </w:p>
        </w:tc>
        <w:tc>
          <w:tcPr>
            <w:tcW w:w="1396" w:type="dxa"/>
            <w:shd w:val="clear" w:color="auto" w:fill="FFFFFF"/>
          </w:tcPr>
          <w:p w14:paraId="4AFD624D" w14:textId="472A388D" w:rsidR="00A33F2B" w:rsidRPr="00B57B36" w:rsidRDefault="00A6038D" w:rsidP="00BE5453">
            <w:pPr>
              <w:pStyle w:val="CETBodytext"/>
              <w:ind w:right="-1"/>
              <w:rPr>
                <w:rFonts w:cs="Arial"/>
                <w:szCs w:val="18"/>
                <w:lang w:val="en-GB"/>
              </w:rPr>
            </w:pPr>
            <w:r>
              <w:rPr>
                <w:rFonts w:cs="Arial"/>
                <w:szCs w:val="18"/>
                <w:lang w:val="en-GB"/>
              </w:rPr>
              <w:t xml:space="preserve">  </w:t>
            </w:r>
            <w:r w:rsidR="00A33F2B">
              <w:rPr>
                <w:rFonts w:cs="Arial"/>
                <w:szCs w:val="18"/>
                <w:lang w:val="en-GB"/>
              </w:rPr>
              <w:t>60.1</w:t>
            </w:r>
          </w:p>
        </w:tc>
        <w:tc>
          <w:tcPr>
            <w:tcW w:w="1274" w:type="dxa"/>
            <w:shd w:val="clear" w:color="auto" w:fill="FFFFFF"/>
          </w:tcPr>
          <w:p w14:paraId="69D9E50C" w14:textId="4F6C9B91" w:rsidR="00A33F2B" w:rsidRPr="00B57B36" w:rsidRDefault="00A33F2B" w:rsidP="00BE5453">
            <w:pPr>
              <w:pStyle w:val="CETBodytext"/>
              <w:ind w:right="-1"/>
              <w:rPr>
                <w:rFonts w:cs="Arial"/>
                <w:szCs w:val="18"/>
                <w:lang w:val="en-GB"/>
              </w:rPr>
            </w:pPr>
            <w:r>
              <w:rPr>
                <w:rFonts w:cs="Arial"/>
                <w:szCs w:val="18"/>
                <w:lang w:val="en-GB"/>
              </w:rPr>
              <w:t>66.41</w:t>
            </w:r>
          </w:p>
        </w:tc>
      </w:tr>
      <w:tr w:rsidR="00A33F2B" w:rsidRPr="00B57B36" w14:paraId="505313A2" w14:textId="6734DFBD" w:rsidTr="008B3999">
        <w:tc>
          <w:tcPr>
            <w:tcW w:w="541" w:type="dxa"/>
            <w:shd w:val="clear" w:color="auto" w:fill="FFFFFF"/>
          </w:tcPr>
          <w:p w14:paraId="686096F3" w14:textId="278B195D" w:rsidR="00A33F2B" w:rsidRPr="00B57B36" w:rsidRDefault="00A33F2B" w:rsidP="00BE5453">
            <w:pPr>
              <w:pStyle w:val="CETBodytext"/>
              <w:ind w:right="-1"/>
              <w:rPr>
                <w:rFonts w:cs="Arial"/>
                <w:szCs w:val="18"/>
                <w:lang w:val="en-GB"/>
              </w:rPr>
            </w:pPr>
            <w:r>
              <w:rPr>
                <w:rFonts w:cs="Arial"/>
                <w:szCs w:val="18"/>
                <w:lang w:val="en-GB"/>
              </w:rPr>
              <w:t>2022</w:t>
            </w:r>
          </w:p>
        </w:tc>
        <w:tc>
          <w:tcPr>
            <w:tcW w:w="839" w:type="dxa"/>
            <w:shd w:val="clear" w:color="auto" w:fill="FFFFFF"/>
          </w:tcPr>
          <w:p w14:paraId="5C8BC94F" w14:textId="7AD13D7E" w:rsidR="00A33F2B" w:rsidRPr="00B57B36" w:rsidRDefault="00A33F2B" w:rsidP="00BE5453">
            <w:pPr>
              <w:pStyle w:val="CETBodytext"/>
              <w:ind w:right="-1"/>
              <w:rPr>
                <w:rFonts w:cs="Arial"/>
                <w:szCs w:val="18"/>
                <w:lang w:val="en-GB"/>
              </w:rPr>
            </w:pPr>
            <w:r>
              <w:rPr>
                <w:rFonts w:cs="Arial"/>
                <w:szCs w:val="18"/>
                <w:lang w:val="en-GB"/>
              </w:rPr>
              <w:t>91.7</w:t>
            </w:r>
          </w:p>
        </w:tc>
        <w:tc>
          <w:tcPr>
            <w:tcW w:w="672" w:type="dxa"/>
            <w:shd w:val="clear" w:color="auto" w:fill="FFFFFF"/>
          </w:tcPr>
          <w:p w14:paraId="79B6BE27" w14:textId="5645089F" w:rsidR="00A33F2B" w:rsidRPr="00B57B36" w:rsidRDefault="00A33F2B" w:rsidP="00BE5453">
            <w:pPr>
              <w:pStyle w:val="CETBodytext"/>
              <w:ind w:right="-1"/>
              <w:rPr>
                <w:rFonts w:cs="Arial"/>
                <w:szCs w:val="18"/>
                <w:lang w:val="en-GB"/>
              </w:rPr>
            </w:pPr>
            <w:r>
              <w:rPr>
                <w:rFonts w:cs="Arial"/>
                <w:szCs w:val="18"/>
                <w:lang w:val="en-GB"/>
              </w:rPr>
              <w:t>82</w:t>
            </w:r>
          </w:p>
        </w:tc>
        <w:tc>
          <w:tcPr>
            <w:tcW w:w="701" w:type="dxa"/>
            <w:shd w:val="clear" w:color="auto" w:fill="FFFFFF"/>
          </w:tcPr>
          <w:p w14:paraId="72A9D1EE" w14:textId="3AB9C06E" w:rsidR="00A33F2B" w:rsidRPr="00B57B36" w:rsidRDefault="00A33F2B" w:rsidP="00BE5453">
            <w:pPr>
              <w:pStyle w:val="CETBodytext"/>
              <w:ind w:right="-1"/>
              <w:rPr>
                <w:rFonts w:cs="Arial"/>
                <w:szCs w:val="18"/>
                <w:lang w:val="en-GB"/>
              </w:rPr>
            </w:pPr>
            <w:r>
              <w:rPr>
                <w:rFonts w:cs="Arial"/>
                <w:szCs w:val="18"/>
                <w:lang w:val="en-GB"/>
              </w:rPr>
              <w:t>58.1</w:t>
            </w:r>
          </w:p>
        </w:tc>
        <w:tc>
          <w:tcPr>
            <w:tcW w:w="641" w:type="dxa"/>
            <w:shd w:val="clear" w:color="auto" w:fill="FFFFFF"/>
          </w:tcPr>
          <w:p w14:paraId="77E789B9" w14:textId="3C5E6FA5" w:rsidR="00A33F2B" w:rsidRPr="00B57B36" w:rsidRDefault="00A33F2B" w:rsidP="00BE5453">
            <w:pPr>
              <w:pStyle w:val="CETBodytext"/>
              <w:ind w:right="-1"/>
              <w:rPr>
                <w:rFonts w:cs="Arial"/>
                <w:szCs w:val="18"/>
                <w:lang w:val="en-GB"/>
              </w:rPr>
            </w:pPr>
            <w:r>
              <w:rPr>
                <w:rFonts w:cs="Arial"/>
                <w:szCs w:val="18"/>
                <w:lang w:val="en-GB"/>
              </w:rPr>
              <w:t>65</w:t>
            </w:r>
          </w:p>
        </w:tc>
        <w:tc>
          <w:tcPr>
            <w:tcW w:w="1115" w:type="dxa"/>
            <w:shd w:val="clear" w:color="auto" w:fill="FFFFFF"/>
          </w:tcPr>
          <w:p w14:paraId="089B7E90" w14:textId="13FB3AA6" w:rsidR="00A33F2B" w:rsidRPr="00B57B36" w:rsidRDefault="00A33F2B" w:rsidP="00BE5453">
            <w:pPr>
              <w:pStyle w:val="CETBodytext"/>
              <w:ind w:right="-1"/>
              <w:rPr>
                <w:rFonts w:cs="Arial"/>
                <w:szCs w:val="18"/>
                <w:lang w:val="en-GB"/>
              </w:rPr>
            </w:pPr>
            <w:r>
              <w:rPr>
                <w:rFonts w:cs="Arial"/>
                <w:szCs w:val="18"/>
                <w:lang w:val="en-GB"/>
              </w:rPr>
              <w:t>65</w:t>
            </w:r>
          </w:p>
        </w:tc>
        <w:tc>
          <w:tcPr>
            <w:tcW w:w="1608" w:type="dxa"/>
            <w:shd w:val="clear" w:color="auto" w:fill="FFFFFF"/>
          </w:tcPr>
          <w:p w14:paraId="4BC21CC5" w14:textId="12A9C17A" w:rsidR="00A33F2B" w:rsidRDefault="00A33F2B" w:rsidP="00BE5453">
            <w:pPr>
              <w:pStyle w:val="CETBodytext"/>
              <w:ind w:right="-1"/>
              <w:rPr>
                <w:rFonts w:cs="Arial"/>
                <w:szCs w:val="18"/>
                <w:lang w:val="en-GB"/>
              </w:rPr>
            </w:pPr>
            <w:r>
              <w:rPr>
                <w:rFonts w:cs="Arial"/>
                <w:szCs w:val="18"/>
                <w:lang w:val="en-GB"/>
              </w:rPr>
              <w:t>72.3</w:t>
            </w:r>
          </w:p>
        </w:tc>
        <w:tc>
          <w:tcPr>
            <w:tcW w:w="1396" w:type="dxa"/>
            <w:shd w:val="clear" w:color="auto" w:fill="FFFFFF"/>
          </w:tcPr>
          <w:p w14:paraId="2353573C" w14:textId="52A37B74" w:rsidR="00A33F2B" w:rsidRPr="00B57B36" w:rsidRDefault="00A6038D" w:rsidP="00BE5453">
            <w:pPr>
              <w:pStyle w:val="CETBodytext"/>
              <w:ind w:right="-1"/>
              <w:rPr>
                <w:rFonts w:cs="Arial"/>
                <w:szCs w:val="18"/>
                <w:lang w:val="en-GB"/>
              </w:rPr>
            </w:pPr>
            <w:r>
              <w:rPr>
                <w:rFonts w:cs="Arial"/>
                <w:szCs w:val="18"/>
                <w:lang w:val="en-GB"/>
              </w:rPr>
              <w:t xml:space="preserve">  </w:t>
            </w:r>
            <w:r w:rsidR="00A33F2B">
              <w:rPr>
                <w:rFonts w:cs="Arial"/>
                <w:szCs w:val="18"/>
                <w:lang w:val="en-GB"/>
              </w:rPr>
              <w:t>44.9</w:t>
            </w:r>
          </w:p>
        </w:tc>
        <w:tc>
          <w:tcPr>
            <w:tcW w:w="1274" w:type="dxa"/>
            <w:shd w:val="clear" w:color="auto" w:fill="FFFFFF"/>
          </w:tcPr>
          <w:p w14:paraId="72784274" w14:textId="3C36E46A" w:rsidR="00A33F2B" w:rsidRPr="00B57B36" w:rsidRDefault="00A33F2B" w:rsidP="00BE5453">
            <w:pPr>
              <w:pStyle w:val="CETBodytext"/>
              <w:ind w:right="-1"/>
              <w:rPr>
                <w:rFonts w:cs="Arial"/>
                <w:szCs w:val="18"/>
                <w:lang w:val="en-GB"/>
              </w:rPr>
            </w:pPr>
            <w:r>
              <w:rPr>
                <w:rFonts w:cs="Arial"/>
                <w:szCs w:val="18"/>
                <w:lang w:val="en-GB"/>
              </w:rPr>
              <w:t>67.77</w:t>
            </w:r>
          </w:p>
        </w:tc>
      </w:tr>
    </w:tbl>
    <w:p w14:paraId="12C967DB" w14:textId="59E97D8D" w:rsidR="005807CD" w:rsidRDefault="005807CD" w:rsidP="00A31E60">
      <w:pPr>
        <w:pStyle w:val="CETBodytext"/>
        <w:rPr>
          <w:noProof/>
        </w:rPr>
      </w:pPr>
    </w:p>
    <w:p w14:paraId="297D1C2F" w14:textId="120325FF" w:rsidR="007B6153" w:rsidRPr="001050B3" w:rsidRDefault="00507033" w:rsidP="00A31E60">
      <w:pPr>
        <w:pStyle w:val="CETBodytext"/>
      </w:pPr>
      <w:r>
        <w:rPr>
          <w:noProof/>
        </w:rPr>
        <w:fldChar w:fldCharType="begin"/>
      </w:r>
      <w:r>
        <w:rPr>
          <w:noProof/>
        </w:rPr>
        <w:instrText xml:space="preserve"> REF _Ref131451293 \h </w:instrText>
      </w:r>
      <w:r>
        <w:rPr>
          <w:noProof/>
        </w:rPr>
      </w:r>
      <w:r>
        <w:rPr>
          <w:noProof/>
        </w:rPr>
        <w:fldChar w:fldCharType="separate"/>
      </w:r>
      <w:r>
        <w:t xml:space="preserve">Figure </w:t>
      </w:r>
      <w:r>
        <w:rPr>
          <w:noProof/>
        </w:rPr>
        <w:t>1</w:t>
      </w:r>
      <w:r>
        <w:rPr>
          <w:noProof/>
        </w:rPr>
        <w:fldChar w:fldCharType="end"/>
      </w:r>
      <w:r>
        <w:rPr>
          <w:noProof/>
        </w:rPr>
        <w:t xml:space="preserve"> </w:t>
      </w:r>
      <w:r w:rsidR="003E4441" w:rsidRPr="003E4441">
        <w:rPr>
          <w:noProof/>
        </w:rPr>
        <w:t>compare the application of the WPI and</w:t>
      </w:r>
      <w:r w:rsidR="001415E2">
        <w:rPr>
          <w:noProof/>
        </w:rPr>
        <w:t xml:space="preserve"> </w:t>
      </w:r>
      <w:r w:rsidR="003E4441" w:rsidRPr="003E4441">
        <w:rPr>
          <w:noProof/>
        </w:rPr>
        <w:t>WPI</w:t>
      </w:r>
      <w:r w:rsidR="001415E2">
        <w:rPr>
          <w:noProof/>
        </w:rPr>
        <w:t>-mB</w:t>
      </w:r>
      <w:r w:rsidR="003E4441" w:rsidRPr="003E4441">
        <w:rPr>
          <w:noProof/>
        </w:rPr>
        <w:t xml:space="preserve"> to estimate the influence of the Biodiversity of the environment (B) component, in this case, the difference relating to Table 2, the WPI</w:t>
      </w:r>
      <w:r w:rsidR="001415E2">
        <w:rPr>
          <w:noProof/>
        </w:rPr>
        <w:t xml:space="preserve"> </w:t>
      </w:r>
      <w:r w:rsidR="003E4441" w:rsidRPr="003E4441">
        <w:rPr>
          <w:noProof/>
        </w:rPr>
        <w:t>values ​​are more distant than those calculated with WPI</w:t>
      </w:r>
      <w:r w:rsidR="001415E2">
        <w:rPr>
          <w:noProof/>
        </w:rPr>
        <w:t>-mB</w:t>
      </w:r>
      <w:r w:rsidR="003E4441" w:rsidRPr="003E4441">
        <w:rPr>
          <w:noProof/>
        </w:rPr>
        <w:t>. In addition, the significant contribution of the Environment (E) component to the WPI calculation in both cases is due to the specificity data for the water body in the area under study.</w:t>
      </w:r>
      <w:r w:rsidR="00592911">
        <w:rPr>
          <w:lang w:val="en-GB"/>
        </w:rPr>
        <w:t xml:space="preserve"> </w:t>
      </w:r>
      <w:r w:rsidR="003E4441" w:rsidRPr="003E4441">
        <w:t>From Table 2, the WPI values presented a greater variation than those calculated with the WPI-mB, mainly because WPI considers that the Juan Angola creek presents less water poverty in the year 2022, however, when incorporating the biodiversity parameters in WPI-mB the water poverty increases between 1.3 and 4.6 percentage points indicating the creek deterioration</w:t>
      </w:r>
      <w:r w:rsidR="001415E2">
        <w:t>, a</w:t>
      </w:r>
      <w:r w:rsidR="001415E2" w:rsidRPr="001415E2">
        <w:t xml:space="preserve">lthough the index had a higher score, biodiversity (B) in the year 2022 decreased due to the increase in the </w:t>
      </w:r>
      <w:r w:rsidR="001415E2">
        <w:t xml:space="preserve">creek </w:t>
      </w:r>
      <w:r w:rsidR="001415E2" w:rsidRPr="001415E2">
        <w:t>contamination</w:t>
      </w:r>
      <w:r w:rsidR="001415E2">
        <w:t xml:space="preserve"> </w:t>
      </w:r>
      <w:r w:rsidR="001415E2" w:rsidRPr="001415E2">
        <w:t>and little food for the birds</w:t>
      </w:r>
      <w:r w:rsidR="001415E2">
        <w:t xml:space="preserve">. B component </w:t>
      </w:r>
      <w:r w:rsidR="00384A98">
        <w:t xml:space="preserve">in WPI-mB </w:t>
      </w:r>
      <w:r w:rsidR="001415E2">
        <w:t>p</w:t>
      </w:r>
      <w:r w:rsidR="003E4441" w:rsidRPr="003E4441">
        <w:t>rovid</w:t>
      </w:r>
      <w:r w:rsidR="00E43880">
        <w:t xml:space="preserve">es </w:t>
      </w:r>
      <w:r w:rsidR="003E4441" w:rsidRPr="003E4441">
        <w:t>a complete perspective that involves other species inhabiting the water body and suffer in a measurable, evident</w:t>
      </w:r>
      <w:r w:rsidR="00D66C5E">
        <w:t>,</w:t>
      </w:r>
      <w:r w:rsidR="003E4441" w:rsidRPr="003E4441">
        <w:t xml:space="preserve"> and marked way the changes in its environment, acting as bioindicator species based on the other components of the water poverty index, a situation that demonstrates the importance of incorporating the proposed component (B) in this research</w:t>
      </w:r>
      <w:r w:rsidR="000A4A2E">
        <w:t>.</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4810"/>
      </w:tblGrid>
      <w:tr w:rsidR="006F7184" w14:paraId="7F72C923" w14:textId="77777777" w:rsidTr="009C5A19">
        <w:trPr>
          <w:trHeight w:val="3109"/>
          <w:jc w:val="center"/>
        </w:trPr>
        <w:tc>
          <w:tcPr>
            <w:tcW w:w="1694" w:type="pct"/>
          </w:tcPr>
          <w:p w14:paraId="25406863" w14:textId="77777777" w:rsidR="008B5A6C" w:rsidRPr="0037517B" w:rsidRDefault="008B5A6C" w:rsidP="006F7184">
            <w:pPr>
              <w:pStyle w:val="CETBodytext"/>
              <w:keepNext/>
              <w:jc w:val="left"/>
              <w:rPr>
                <w:noProof/>
                <w:lang w:eastAsia="es-CO"/>
              </w:rPr>
            </w:pPr>
          </w:p>
          <w:p w14:paraId="214AF4E0" w14:textId="26B267AF" w:rsidR="006F7184" w:rsidRDefault="007D6276" w:rsidP="00924E75">
            <w:pPr>
              <w:pStyle w:val="CETBodytext"/>
              <w:keepNext/>
              <w:jc w:val="center"/>
            </w:pPr>
            <w:r>
              <w:rPr>
                <w:noProof/>
                <w:lang w:val="es-CO" w:eastAsia="es-CO"/>
              </w:rPr>
              <w:drawing>
                <wp:inline distT="0" distB="0" distL="0" distR="0" wp14:anchorId="0A310800" wp14:editId="4035DCA4">
                  <wp:extent cx="2388723" cy="1656272"/>
                  <wp:effectExtent l="0" t="0" r="0" b="1270"/>
                  <wp:docPr id="7344095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34" r="25773" b="8889"/>
                          <a:stretch/>
                        </pic:blipFill>
                        <pic:spPr bwMode="auto">
                          <a:xfrm>
                            <a:off x="0" y="0"/>
                            <a:ext cx="2403928" cy="1666815"/>
                          </a:xfrm>
                          <a:prstGeom prst="rect">
                            <a:avLst/>
                          </a:prstGeom>
                          <a:noFill/>
                          <a:ln>
                            <a:noFill/>
                          </a:ln>
                          <a:extLst>
                            <a:ext uri="{53640926-AAD7-44D8-BBD7-CCE9431645EC}">
                              <a14:shadowObscured xmlns:a14="http://schemas.microsoft.com/office/drawing/2010/main"/>
                            </a:ext>
                          </a:extLst>
                        </pic:spPr>
                      </pic:pic>
                    </a:graphicData>
                  </a:graphic>
                </wp:inline>
              </w:drawing>
            </w:r>
          </w:p>
          <w:p w14:paraId="3F6AF98B" w14:textId="03C8540E" w:rsidR="006F6461" w:rsidRDefault="007B6153" w:rsidP="007B6153">
            <w:pPr>
              <w:pStyle w:val="CETBodytext"/>
              <w:jc w:val="center"/>
            </w:pPr>
            <w:r>
              <w:t>(a)</w:t>
            </w:r>
          </w:p>
        </w:tc>
        <w:tc>
          <w:tcPr>
            <w:tcW w:w="3306" w:type="pct"/>
          </w:tcPr>
          <w:p w14:paraId="7104743E" w14:textId="77777777" w:rsidR="008B5A6C" w:rsidRDefault="008B5A6C" w:rsidP="007B6153">
            <w:pPr>
              <w:pStyle w:val="CETBodytext"/>
              <w:keepNext/>
              <w:jc w:val="left"/>
              <w:rPr>
                <w:noProof/>
                <w:lang w:val="es-CO" w:eastAsia="es-CO"/>
              </w:rPr>
            </w:pPr>
          </w:p>
          <w:p w14:paraId="2ABCA5A2" w14:textId="32F16034" w:rsidR="006F6461" w:rsidRDefault="007D6276" w:rsidP="00924E75">
            <w:pPr>
              <w:pStyle w:val="CETBodytext"/>
              <w:keepNext/>
              <w:jc w:val="center"/>
            </w:pPr>
            <w:r>
              <w:rPr>
                <w:noProof/>
                <w:lang w:val="es-CO" w:eastAsia="es-CO"/>
              </w:rPr>
              <w:drawing>
                <wp:inline distT="0" distB="0" distL="0" distR="0" wp14:anchorId="26CC5E3C" wp14:editId="33A80F1B">
                  <wp:extent cx="2073760" cy="1609891"/>
                  <wp:effectExtent l="0" t="0" r="3175" b="0"/>
                  <wp:docPr id="6223027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18472" t="2251" r="23756" b="4225"/>
                          <a:stretch/>
                        </pic:blipFill>
                        <pic:spPr bwMode="auto">
                          <a:xfrm>
                            <a:off x="0" y="0"/>
                            <a:ext cx="2073760" cy="1609891"/>
                          </a:xfrm>
                          <a:prstGeom prst="rect">
                            <a:avLst/>
                          </a:prstGeom>
                          <a:noFill/>
                          <a:ln>
                            <a:noFill/>
                          </a:ln>
                          <a:extLst>
                            <a:ext uri="{53640926-AAD7-44D8-BBD7-CCE9431645EC}">
                              <a14:shadowObscured xmlns:a14="http://schemas.microsoft.com/office/drawing/2010/main"/>
                            </a:ext>
                          </a:extLst>
                        </pic:spPr>
                      </pic:pic>
                    </a:graphicData>
                  </a:graphic>
                </wp:inline>
              </w:drawing>
            </w:r>
          </w:p>
          <w:p w14:paraId="05F41268" w14:textId="1F7DA3F8" w:rsidR="007B6153" w:rsidRPr="007B6153" w:rsidRDefault="007B6153" w:rsidP="007B6153">
            <w:pPr>
              <w:pStyle w:val="CETBodytext"/>
              <w:keepNext/>
              <w:jc w:val="center"/>
            </w:pPr>
            <w:r w:rsidRPr="007B6153">
              <w:t>(b)</w:t>
            </w:r>
          </w:p>
        </w:tc>
      </w:tr>
    </w:tbl>
    <w:p w14:paraId="25F0C7EE" w14:textId="10371D77" w:rsidR="007B6153" w:rsidRDefault="007B6153" w:rsidP="007B6153">
      <w:pPr>
        <w:pStyle w:val="CETCaption"/>
      </w:pPr>
      <w:bookmarkStart w:id="2" w:name="_Ref131451293"/>
      <w:r>
        <w:t xml:space="preserve">Figure </w:t>
      </w:r>
      <w:r>
        <w:fldChar w:fldCharType="begin"/>
      </w:r>
      <w:r>
        <w:instrText xml:space="preserve"> SEQ Figure \* ARABIC </w:instrText>
      </w:r>
      <w:r>
        <w:fldChar w:fldCharType="separate"/>
      </w:r>
      <w:r w:rsidR="00507033">
        <w:rPr>
          <w:noProof/>
        </w:rPr>
        <w:t>1</w:t>
      </w:r>
      <w:r>
        <w:fldChar w:fldCharType="end"/>
      </w:r>
      <w:bookmarkEnd w:id="2"/>
      <w:r w:rsidR="002779C5">
        <w:t>: (a) WPI components values, (b)</w:t>
      </w:r>
      <w:r w:rsidR="002779C5" w:rsidRPr="002779C5">
        <w:t xml:space="preserve"> </w:t>
      </w:r>
      <w:r w:rsidR="002779C5">
        <w:t>WPI-mB components values</w:t>
      </w:r>
    </w:p>
    <w:p w14:paraId="0A0CDFFD" w14:textId="43CFEEF1" w:rsidR="004B03A7" w:rsidRDefault="00C24115" w:rsidP="00C24115">
      <w:pPr>
        <w:pStyle w:val="CETBodytext"/>
        <w:rPr>
          <w:lang w:val="en-GB"/>
        </w:rPr>
      </w:pPr>
      <w:r w:rsidRPr="00C039A1">
        <w:rPr>
          <w:lang w:val="en-GB"/>
        </w:rPr>
        <w:t xml:space="preserve">The </w:t>
      </w:r>
      <w:r w:rsidR="003E4441" w:rsidRPr="003E4441">
        <w:rPr>
          <w:lang w:val="en-GB"/>
        </w:rPr>
        <w:t>values ​​obtained for water poverty were low (65-75) in WPI and WPI-mB, which indicates favourable environmental conditions for access to water sources, and sustainable development measures should be applied to some specific areas that lack the resource (Thakur et al., 2017). Although water poverty is low, components such as Environment (E) and Biodiversity of the environment (B) are in low ranges</w:t>
      </w:r>
      <w:r w:rsidR="00D66C5E">
        <w:rPr>
          <w:lang w:val="en-GB"/>
        </w:rPr>
        <w:t>. I</w:t>
      </w:r>
      <w:r w:rsidR="003E4441" w:rsidRPr="003E4441">
        <w:rPr>
          <w:lang w:val="en-GB"/>
        </w:rPr>
        <w:t>n addition, Capacity (C) subcomponents indicate a high rate of inequality in the city</w:t>
      </w:r>
      <w:r w:rsidR="00D66C5E">
        <w:rPr>
          <w:lang w:val="en-GB"/>
        </w:rPr>
        <w:t>,</w:t>
      </w:r>
      <w:r w:rsidR="003E4441" w:rsidRPr="003E4441">
        <w:rPr>
          <w:lang w:val="en-GB"/>
        </w:rPr>
        <w:t xml:space="preserve"> and between influence areas of the Juan Angola creek, a situation that should generate serious concern among the education, human development, and promotion of equity secretariats.</w:t>
      </w:r>
    </w:p>
    <w:p w14:paraId="68D26B83" w14:textId="77777777" w:rsidR="00600535" w:rsidRPr="00B57B36" w:rsidRDefault="00600535" w:rsidP="00600535">
      <w:pPr>
        <w:pStyle w:val="CETHeading1"/>
        <w:rPr>
          <w:lang w:val="en-GB"/>
        </w:rPr>
      </w:pPr>
      <w:r w:rsidRPr="00B57B36">
        <w:rPr>
          <w:lang w:val="en-GB"/>
        </w:rPr>
        <w:t>Conclusions</w:t>
      </w:r>
    </w:p>
    <w:p w14:paraId="3B7BBA0C" w14:textId="76340F50" w:rsidR="00E24F94" w:rsidRDefault="00746F36" w:rsidP="001050B3">
      <w:pPr>
        <w:pStyle w:val="CETBodytext"/>
        <w:rPr>
          <w:lang w:val="en-GB"/>
        </w:rPr>
      </w:pPr>
      <w:r w:rsidRPr="00746F36">
        <w:rPr>
          <w:lang w:val="en-GB"/>
        </w:rPr>
        <w:t xml:space="preserve">Cartagena </w:t>
      </w:r>
      <w:r w:rsidR="003E4441" w:rsidRPr="003E4441">
        <w:rPr>
          <w:lang w:val="en-GB"/>
        </w:rPr>
        <w:t>is a Colombian city rich in water, the Juan Angola creek is one of its most important and polluted water bodies due to the high anthropogenic affectation to which it is exposed. The general components of the WPI showed good levels for the case of Resources (R)</w:t>
      </w:r>
      <w:r w:rsidR="00D66C5E">
        <w:rPr>
          <w:lang w:val="en-GB"/>
        </w:rPr>
        <w:t>,</w:t>
      </w:r>
      <w:r w:rsidR="003E4441" w:rsidRPr="003E4441">
        <w:rPr>
          <w:lang w:val="en-GB"/>
        </w:rPr>
        <w:t xml:space="preserve"> and Access (C) from a city perspective, while in Capacity (C) there were drastic variations in the subcomponents that show high levels of social and economic inequality, in the Use (U) the amounts of water used in homes should be improved according to the national average, the Environment (E) component for including the direct calculation of the water quality index with specific parameters of the Juan Angola creek indicated the bad state of the body of water for 2021, however, there was a recovery for 2022,</w:t>
      </w:r>
      <w:r w:rsidR="0011091F">
        <w:rPr>
          <w:lang w:val="en-GB"/>
        </w:rPr>
        <w:t xml:space="preserve"> </w:t>
      </w:r>
      <w:r w:rsidR="0011091F" w:rsidRPr="0011091F">
        <w:rPr>
          <w:lang w:val="en-GB"/>
        </w:rPr>
        <w:t>while the Biodiversity of the environment (B) deteriorated by 2022.</w:t>
      </w:r>
      <w:r w:rsidR="0011091F">
        <w:rPr>
          <w:lang w:val="en-GB"/>
        </w:rPr>
        <w:t xml:space="preserve"> </w:t>
      </w:r>
      <w:r w:rsidR="0080649E">
        <w:rPr>
          <w:lang w:val="en-GB"/>
        </w:rPr>
        <w:t>In this research, b</w:t>
      </w:r>
      <w:r w:rsidR="00F830B3" w:rsidRPr="00F830B3">
        <w:rPr>
          <w:lang w:val="en-GB"/>
        </w:rPr>
        <w:t xml:space="preserve">irds </w:t>
      </w:r>
      <w:r w:rsidR="0080649E">
        <w:rPr>
          <w:lang w:val="en-GB"/>
        </w:rPr>
        <w:t>were</w:t>
      </w:r>
      <w:r w:rsidR="00F830B3" w:rsidRPr="00F830B3">
        <w:rPr>
          <w:lang w:val="en-GB"/>
        </w:rPr>
        <w:t xml:space="preserve"> chosen because they are high-order consumers, easy to observe, and very sensitive to changes in food supply, shelter, nest building, and the maintenance of their young</w:t>
      </w:r>
      <w:r w:rsidR="0080649E">
        <w:rPr>
          <w:lang w:val="en-GB"/>
        </w:rPr>
        <w:t>lings</w:t>
      </w:r>
      <w:r w:rsidR="00F830B3" w:rsidRPr="00F830B3">
        <w:rPr>
          <w:lang w:val="en-GB"/>
        </w:rPr>
        <w:t xml:space="preserve">. In a mangrove forest ecosystem, there are birds that occupy very specialized niches, which are completely dependent on the </w:t>
      </w:r>
      <w:r w:rsidR="0004076D" w:rsidRPr="00F830B3">
        <w:rPr>
          <w:lang w:val="en-GB"/>
        </w:rPr>
        <w:t>ecosystem</w:t>
      </w:r>
      <w:r w:rsidR="0004076D">
        <w:rPr>
          <w:lang w:val="en-GB"/>
        </w:rPr>
        <w:t xml:space="preserve"> </w:t>
      </w:r>
      <w:r w:rsidR="00F830B3" w:rsidRPr="00F830B3">
        <w:rPr>
          <w:lang w:val="en-GB"/>
        </w:rPr>
        <w:t xml:space="preserve">quality. Changes in environmental conditions </w:t>
      </w:r>
      <w:r w:rsidR="00CC64D3">
        <w:rPr>
          <w:lang w:val="en-GB"/>
        </w:rPr>
        <w:t>could</w:t>
      </w:r>
      <w:r w:rsidR="00F830B3" w:rsidRPr="00F830B3">
        <w:rPr>
          <w:lang w:val="en-GB"/>
        </w:rPr>
        <w:t xml:space="preserve"> </w:t>
      </w:r>
      <w:r w:rsidR="00CC64D3">
        <w:rPr>
          <w:lang w:val="en-GB"/>
        </w:rPr>
        <w:t>swiftly affect</w:t>
      </w:r>
      <w:r w:rsidR="00F830B3" w:rsidRPr="00F830B3">
        <w:rPr>
          <w:lang w:val="en-GB"/>
        </w:rPr>
        <w:t xml:space="preserve"> </w:t>
      </w:r>
      <w:r w:rsidR="00CC64D3" w:rsidRPr="00F830B3">
        <w:rPr>
          <w:lang w:val="en-GB"/>
        </w:rPr>
        <w:t>these bird communities</w:t>
      </w:r>
      <w:r w:rsidR="00CC64D3">
        <w:rPr>
          <w:lang w:val="en-GB"/>
        </w:rPr>
        <w:t>’</w:t>
      </w:r>
      <w:r w:rsidR="00CC64D3" w:rsidRPr="00F830B3">
        <w:rPr>
          <w:lang w:val="en-GB"/>
        </w:rPr>
        <w:t xml:space="preserve"> </w:t>
      </w:r>
      <w:r w:rsidR="00CC64D3">
        <w:rPr>
          <w:lang w:val="en-GB"/>
        </w:rPr>
        <w:t>compositions</w:t>
      </w:r>
      <w:r w:rsidR="00F830B3" w:rsidRPr="00F830B3">
        <w:rPr>
          <w:lang w:val="en-GB"/>
        </w:rPr>
        <w:t>.</w:t>
      </w:r>
      <w:r w:rsidR="00F830B3">
        <w:rPr>
          <w:lang w:val="en-GB"/>
        </w:rPr>
        <w:t xml:space="preserve"> </w:t>
      </w:r>
      <w:r w:rsidR="003E4441" w:rsidRPr="003E4441">
        <w:rPr>
          <w:lang w:val="en-GB"/>
        </w:rPr>
        <w:t>In general, WPI and WPI-mB were found within low levels of water poverty</w:t>
      </w:r>
      <w:r w:rsidR="00D66C5E">
        <w:rPr>
          <w:lang w:val="en-GB"/>
        </w:rPr>
        <w:t>. H</w:t>
      </w:r>
      <w:r w:rsidR="003E4441" w:rsidRPr="003E4441">
        <w:rPr>
          <w:lang w:val="en-GB"/>
        </w:rPr>
        <w:t>owever, it is possible that b</w:t>
      </w:r>
      <w:bookmarkStart w:id="3" w:name="_GoBack"/>
      <w:bookmarkEnd w:id="3"/>
      <w:r w:rsidR="003E4441" w:rsidRPr="003E4441">
        <w:rPr>
          <w:lang w:val="en-GB"/>
        </w:rPr>
        <w:t>y placing some data from specific subcomponents to the areas of influence, the results are less favourable. Therefore, the importance of incorporating the biodiversity component (B) lies in showing how the population of birds that inhabit the water body varies, becoming a bioindicator of the affectations suffered in the creek and that groups how the other components are related for their influence on the conditions of water poverty. Therefore, for future research, it is proposed to include other bioindicator species in the component B calculation.</w:t>
      </w:r>
    </w:p>
    <w:p w14:paraId="459D05E6" w14:textId="77777777" w:rsidR="00600535" w:rsidRPr="00B57B36" w:rsidRDefault="00600535" w:rsidP="00600535">
      <w:pPr>
        <w:pStyle w:val="CETAcknowledgementstitle"/>
      </w:pPr>
      <w:r w:rsidRPr="00B57B36">
        <w:t>Acknowledgments</w:t>
      </w:r>
    </w:p>
    <w:p w14:paraId="33F8138F" w14:textId="65B68FC3" w:rsidR="00600535" w:rsidRPr="00B57B36" w:rsidRDefault="00B67EEA" w:rsidP="00600535">
      <w:pPr>
        <w:pStyle w:val="CETBodytext"/>
        <w:rPr>
          <w:lang w:val="en-GB"/>
        </w:rPr>
      </w:pPr>
      <w:r w:rsidRPr="00B67EEA">
        <w:rPr>
          <w:lang w:val="en-GB"/>
        </w:rPr>
        <w:t xml:space="preserve">The authors acknowledge the </w:t>
      </w:r>
      <w:r w:rsidRPr="00924E75">
        <w:rPr>
          <w:i/>
          <w:iCs/>
          <w:lang w:val="en-GB"/>
        </w:rPr>
        <w:t>Universidad de Cartagena</w:t>
      </w:r>
      <w:r w:rsidR="003E4441">
        <w:rPr>
          <w:lang w:val="en-GB"/>
        </w:rPr>
        <w:t xml:space="preserve"> and </w:t>
      </w:r>
      <w:r w:rsidR="003E4441" w:rsidRPr="00924E75">
        <w:rPr>
          <w:i/>
          <w:iCs/>
          <w:lang w:val="en-GB"/>
        </w:rPr>
        <w:t>Colegio Montessori</w:t>
      </w:r>
      <w:r w:rsidR="00924E75">
        <w:rPr>
          <w:i/>
          <w:iCs/>
          <w:lang w:val="en-GB"/>
        </w:rPr>
        <w:t xml:space="preserve"> de</w:t>
      </w:r>
      <w:r w:rsidR="003E4441" w:rsidRPr="00924E75">
        <w:rPr>
          <w:i/>
          <w:iCs/>
          <w:lang w:val="en-GB"/>
        </w:rPr>
        <w:t xml:space="preserve"> Cartagena</w:t>
      </w:r>
      <w:r w:rsidRPr="00B67EEA">
        <w:rPr>
          <w:lang w:val="en-GB"/>
        </w:rPr>
        <w:t xml:space="preserve"> for their support with the development of th</w:t>
      </w:r>
      <w:r w:rsidR="00793BDF">
        <w:rPr>
          <w:lang w:val="en-GB"/>
        </w:rPr>
        <w:t>is research project</w:t>
      </w:r>
      <w:r w:rsidRPr="00B67EEA">
        <w:rPr>
          <w:lang w:val="en-GB"/>
        </w:rPr>
        <w:t xml:space="preserve"> (Act 086-2019).</w:t>
      </w:r>
    </w:p>
    <w:p w14:paraId="4F1327F8" w14:textId="77777777" w:rsidR="00600535" w:rsidRDefault="00600535" w:rsidP="00600535">
      <w:pPr>
        <w:pStyle w:val="CETReference"/>
      </w:pPr>
      <w:r w:rsidRPr="00B57B36">
        <w:t>References</w:t>
      </w:r>
    </w:p>
    <w:p w14:paraId="6B923EF1" w14:textId="76ED05E6" w:rsidR="009E5D6B" w:rsidRPr="009E5D6B" w:rsidRDefault="009E5D6B" w:rsidP="009E5D6B">
      <w:pPr>
        <w:widowControl w:val="0"/>
        <w:autoSpaceDE w:val="0"/>
        <w:autoSpaceDN w:val="0"/>
        <w:adjustRightInd w:val="0"/>
        <w:spacing w:line="240" w:lineRule="auto"/>
        <w:ind w:left="480" w:hanging="480"/>
      </w:pPr>
      <w:r w:rsidRPr="009E5D6B">
        <w:t xml:space="preserve">Akoto, O., Adopler, A., Tepkor, H. E., Opoku, F., 2021, A comprehensive evaluation of surface water quality and potential health risk assessments of </w:t>
      </w:r>
      <w:r w:rsidR="001415E2" w:rsidRPr="009E5D6B">
        <w:t>Sisa River</w:t>
      </w:r>
      <w:r w:rsidRPr="009E5D6B">
        <w:t xml:space="preserve">, Kumasi, Groundwater for Sustainable Development, 15, 1–13. </w:t>
      </w:r>
    </w:p>
    <w:p w14:paraId="6485A207" w14:textId="77777777" w:rsidR="009E5D6B" w:rsidRPr="009E5D6B" w:rsidRDefault="009E5D6B" w:rsidP="009E5D6B">
      <w:pPr>
        <w:widowControl w:val="0"/>
        <w:autoSpaceDE w:val="0"/>
        <w:autoSpaceDN w:val="0"/>
        <w:adjustRightInd w:val="0"/>
        <w:spacing w:line="240" w:lineRule="auto"/>
        <w:ind w:left="480" w:hanging="480"/>
      </w:pPr>
      <w:r w:rsidRPr="009E5D6B">
        <w:t xml:space="preserve">Alnashiri, H. M., 2021, Zooplankton and meiobenthos diversity at the intertidal sandy shores of Jizan and Farasan coastal areas of Red Sea, Saudi Journal of Biological Sciences, 28(12), 7061–7067. </w:t>
      </w:r>
    </w:p>
    <w:p w14:paraId="75A5D7C2" w14:textId="77777777" w:rsidR="009E5D6B" w:rsidRPr="009E5D6B" w:rsidRDefault="009E5D6B" w:rsidP="009E5D6B">
      <w:pPr>
        <w:widowControl w:val="0"/>
        <w:autoSpaceDE w:val="0"/>
        <w:autoSpaceDN w:val="0"/>
        <w:adjustRightInd w:val="0"/>
        <w:spacing w:line="240" w:lineRule="auto"/>
        <w:ind w:left="480" w:hanging="480"/>
      </w:pPr>
      <w:r w:rsidRPr="009E5D6B">
        <w:t xml:space="preserve">Bafarasat, A. Z., 2021, Is our urban water system still sustainable? A simple statistical test with complexity science insight, Journal of Environmental Management, 280, 1–13. </w:t>
      </w:r>
    </w:p>
    <w:p w14:paraId="765318EC" w14:textId="143F20D6" w:rsidR="009E5D6B" w:rsidRPr="009E5D6B" w:rsidRDefault="009E5D6B" w:rsidP="009E5D6B">
      <w:pPr>
        <w:widowControl w:val="0"/>
        <w:autoSpaceDE w:val="0"/>
        <w:autoSpaceDN w:val="0"/>
        <w:adjustRightInd w:val="0"/>
        <w:spacing w:line="240" w:lineRule="auto"/>
        <w:ind w:left="480" w:hanging="480"/>
      </w:pPr>
      <w:r w:rsidRPr="009E5D6B">
        <w:t xml:space="preserve">Beck, K. K., Mariani, M., Fletcher, M. S., Schneider, L., Aquino-López, M. A., Gadd, P. S., Heijnis, H., Saunders, </w:t>
      </w:r>
      <w:r w:rsidRPr="009E5D6B">
        <w:lastRenderedPageBreak/>
        <w:t xml:space="preserve">K. M., Zawadzki, A., 2020, The impacts of intensive mining on terrestrial and aquatic ecosystems: A case of sediment pollution and calcium decline in cool temperate Tasmania, Australia, Environmental Pollution, 265, 1–13. </w:t>
      </w:r>
    </w:p>
    <w:p w14:paraId="6CF001DA" w14:textId="2A28BA82" w:rsidR="009E5D6B" w:rsidRPr="009E5D6B" w:rsidRDefault="009E5D6B" w:rsidP="009E5D6B">
      <w:pPr>
        <w:widowControl w:val="0"/>
        <w:autoSpaceDE w:val="0"/>
        <w:autoSpaceDN w:val="0"/>
        <w:adjustRightInd w:val="0"/>
        <w:spacing w:line="240" w:lineRule="auto"/>
        <w:ind w:left="480" w:hanging="480"/>
      </w:pPr>
      <w:r w:rsidRPr="009E5D6B">
        <w:t xml:space="preserve">Cartagena Cómo Vamos. (2022). Report Quality of life 2021- Cartagena alerts today (ESP) &lt;cartagenacomovamos.org/nuevo/publicaciones/informes/&gt; accessed </w:t>
      </w:r>
      <w:r w:rsidR="00DF5FC6">
        <w:t>15</w:t>
      </w:r>
      <w:r w:rsidRPr="009E5D6B">
        <w:t>.</w:t>
      </w:r>
      <w:r w:rsidR="00DF5FC6">
        <w:t>03</w:t>
      </w:r>
      <w:r w:rsidRPr="009E5D6B">
        <w:t>.202</w:t>
      </w:r>
      <w:r w:rsidR="00DF5FC6">
        <w:t>3</w:t>
      </w:r>
      <w:r w:rsidRPr="009E5D6B">
        <w:t>.</w:t>
      </w:r>
    </w:p>
    <w:p w14:paraId="4E840C98" w14:textId="77777777" w:rsidR="009E5D6B" w:rsidRPr="009E5D6B" w:rsidRDefault="009E5D6B" w:rsidP="009E5D6B">
      <w:pPr>
        <w:widowControl w:val="0"/>
        <w:autoSpaceDE w:val="0"/>
        <w:autoSpaceDN w:val="0"/>
        <w:adjustRightInd w:val="0"/>
        <w:spacing w:line="240" w:lineRule="auto"/>
        <w:ind w:left="480" w:hanging="480"/>
      </w:pPr>
      <w:r w:rsidRPr="009E5D6B">
        <w:t>Chin, H. H., Jia, X., Varbanov, P. S., Klemeš, J. J., Alwi, S. R. W., 2021, Targeting flowrates and concentrations in internal or total site water mains for single contaminant, Chemical Engineering Transactions, 86, 895–900. https://doi.org/10.3303/CET2186150</w:t>
      </w:r>
    </w:p>
    <w:p w14:paraId="3AE3FB8F" w14:textId="6E83F3B1" w:rsidR="009E5D6B" w:rsidRPr="009E5D6B" w:rsidRDefault="009E5D6B" w:rsidP="009E5D6B">
      <w:pPr>
        <w:widowControl w:val="0"/>
        <w:autoSpaceDE w:val="0"/>
        <w:autoSpaceDN w:val="0"/>
        <w:adjustRightInd w:val="0"/>
        <w:spacing w:line="240" w:lineRule="auto"/>
        <w:ind w:left="480" w:hanging="480"/>
      </w:pPr>
      <w:r w:rsidRPr="009E5D6B">
        <w:t xml:space="preserve">Clements, J. F., Schulenberg, T. S., Iliff, M. J., Billerman, S., Fredericks, T., Gerbracht, J., Lepage, D., Sullivan, B., Wood, C. L., 2021, The eBird/Clements checklist of birds of the world: v2021. Cornell University Press &lt;birds.cornell.edu/clementschecklist/download/&gt; accessed </w:t>
      </w:r>
      <w:r w:rsidR="00747390">
        <w:t>20</w:t>
      </w:r>
      <w:r w:rsidRPr="009E5D6B">
        <w:t>.</w:t>
      </w:r>
      <w:r w:rsidR="00747390">
        <w:t>03</w:t>
      </w:r>
      <w:r w:rsidRPr="009E5D6B">
        <w:t>.202</w:t>
      </w:r>
      <w:r w:rsidR="00747390">
        <w:t>3</w:t>
      </w:r>
      <w:r w:rsidRPr="009E5D6B">
        <w:t>.</w:t>
      </w:r>
    </w:p>
    <w:p w14:paraId="57367CB5" w14:textId="77777777" w:rsidR="009E5D6B" w:rsidRPr="009E5D6B" w:rsidRDefault="009E5D6B" w:rsidP="009E5D6B">
      <w:pPr>
        <w:widowControl w:val="0"/>
        <w:autoSpaceDE w:val="0"/>
        <w:autoSpaceDN w:val="0"/>
        <w:adjustRightInd w:val="0"/>
        <w:spacing w:line="240" w:lineRule="auto"/>
        <w:ind w:left="480" w:hanging="480"/>
      </w:pPr>
      <w:r w:rsidRPr="009E5D6B">
        <w:t xml:space="preserve">El-Gafy, D, 2018, The water poverty index as an assistant tool for drawing strategies of the Egyptian water sector, Ain Shams Engineering Journal, 9(2), 173–186. </w:t>
      </w:r>
    </w:p>
    <w:p w14:paraId="605B0AD6" w14:textId="77777777" w:rsidR="009E5D6B" w:rsidRPr="009E5D6B" w:rsidRDefault="009E5D6B" w:rsidP="009E5D6B">
      <w:pPr>
        <w:widowControl w:val="0"/>
        <w:autoSpaceDE w:val="0"/>
        <w:autoSpaceDN w:val="0"/>
        <w:adjustRightInd w:val="0"/>
        <w:spacing w:line="240" w:lineRule="auto"/>
        <w:ind w:left="480" w:hanging="480"/>
      </w:pPr>
      <w:r w:rsidRPr="009E5D6B">
        <w:t xml:space="preserve">Garizábal-Carmona, J. A., Mancera-Rodríguez, N. J., 2021, Bird species richness across a Northern Andean city: Effects of size, shape, land cover, and vegetation of urban green spaces, Urban Forestry and Urban Greening, 64, 1–9. </w:t>
      </w:r>
    </w:p>
    <w:p w14:paraId="1FBBA0D7" w14:textId="77777777" w:rsidR="009E5D6B" w:rsidRPr="009E5D6B" w:rsidRDefault="009E5D6B" w:rsidP="009E5D6B">
      <w:pPr>
        <w:widowControl w:val="0"/>
        <w:autoSpaceDE w:val="0"/>
        <w:autoSpaceDN w:val="0"/>
        <w:adjustRightInd w:val="0"/>
        <w:spacing w:line="240" w:lineRule="auto"/>
        <w:ind w:left="480" w:hanging="480"/>
      </w:pPr>
      <w:r w:rsidRPr="009E5D6B">
        <w:t xml:space="preserve">Goel, I., Sharma, S., Kashiramka, S., 2020, The Water Poverty Index: An application in the Indian context, Natural Resource Forum, 44, 195–218. </w:t>
      </w:r>
    </w:p>
    <w:p w14:paraId="7C161D90" w14:textId="77777777" w:rsidR="009E5D6B" w:rsidRPr="009E5D6B" w:rsidRDefault="009E5D6B" w:rsidP="009E5D6B">
      <w:pPr>
        <w:widowControl w:val="0"/>
        <w:autoSpaceDE w:val="0"/>
        <w:autoSpaceDN w:val="0"/>
        <w:adjustRightInd w:val="0"/>
        <w:spacing w:line="240" w:lineRule="auto"/>
        <w:ind w:left="480" w:hanging="480"/>
      </w:pPr>
      <w:r w:rsidRPr="009E5D6B">
        <w:t xml:space="preserve">Gong, L., Jin, C. L., Li, Y. X., Zhou, Z. L., 2017, A novel water poverty index model for evaluation of Chinese regional water security. IOP Conference Series: Earth and Environmental Science, 82(1), 1–10. </w:t>
      </w:r>
    </w:p>
    <w:p w14:paraId="777905C2" w14:textId="77777777" w:rsidR="009E5D6B" w:rsidRPr="009E5D6B" w:rsidRDefault="009E5D6B" w:rsidP="009E5D6B">
      <w:pPr>
        <w:widowControl w:val="0"/>
        <w:autoSpaceDE w:val="0"/>
        <w:autoSpaceDN w:val="0"/>
        <w:adjustRightInd w:val="0"/>
        <w:spacing w:line="240" w:lineRule="auto"/>
        <w:ind w:left="480" w:hanging="480"/>
      </w:pPr>
      <w:r w:rsidRPr="009E5D6B">
        <w:t xml:space="preserve">Jemmali, H., 2016, Mapping water poverty in Africa using the improved Multidimensional Index of Water Poverty, International Journal of Water Resources Development, </w:t>
      </w:r>
      <w:r w:rsidRPr="009E5D6B">
        <w:rPr>
          <w:rFonts w:eastAsia="Calibri" w:cs="Arial"/>
          <w:i/>
          <w:iCs/>
          <w:noProof/>
          <w:szCs w:val="24"/>
          <w:lang w:val="en-US"/>
          <w14:ligatures w14:val="standardContextual"/>
        </w:rPr>
        <w:t>33</w:t>
      </w:r>
      <w:r w:rsidRPr="009E5D6B">
        <w:rPr>
          <w:rFonts w:eastAsia="Calibri" w:cs="Arial"/>
          <w:noProof/>
          <w:szCs w:val="24"/>
          <w:lang w:val="en-US"/>
          <w14:ligatures w14:val="standardContextual"/>
        </w:rPr>
        <w:t>(4), 646–666</w:t>
      </w:r>
      <w:r w:rsidRPr="009E5D6B">
        <w:t xml:space="preserve">. </w:t>
      </w:r>
    </w:p>
    <w:p w14:paraId="78DEEBC5" w14:textId="77777777" w:rsidR="009E5D6B" w:rsidRPr="009E5D6B" w:rsidRDefault="009E5D6B" w:rsidP="009E5D6B">
      <w:pPr>
        <w:widowControl w:val="0"/>
        <w:autoSpaceDE w:val="0"/>
        <w:autoSpaceDN w:val="0"/>
        <w:adjustRightInd w:val="0"/>
        <w:spacing w:line="240" w:lineRule="auto"/>
        <w:ind w:left="480" w:hanging="480"/>
      </w:pPr>
      <w:r w:rsidRPr="009E5D6B">
        <w:t>Kallio, M., Guillaume, J. H. A., Kummu, M., Virrantaus, K., 2018, Spatial Variation in Seasonal Water Poverty Index for Laos: An Application of Geographically Weighted Principal Component Analysis, Social Indicators Research, 140(3), 1131–1157.</w:t>
      </w:r>
    </w:p>
    <w:p w14:paraId="1B07CDFE" w14:textId="77777777" w:rsidR="009E5D6B" w:rsidRPr="009E5D6B" w:rsidRDefault="009E5D6B" w:rsidP="009E5D6B">
      <w:pPr>
        <w:widowControl w:val="0"/>
        <w:autoSpaceDE w:val="0"/>
        <w:autoSpaceDN w:val="0"/>
        <w:adjustRightInd w:val="0"/>
        <w:spacing w:line="240" w:lineRule="auto"/>
        <w:ind w:left="480" w:hanging="480"/>
      </w:pPr>
      <w:r w:rsidRPr="009E5D6B">
        <w:t xml:space="preserve">Khadka, G., and Pathak, D., 2021, Groundwater potential as an indicator of water poverty index in drought-prone mid-hill region of Nepal Himalaya, Groundwater for Sustainable Development, 12, 1–53. </w:t>
      </w:r>
    </w:p>
    <w:p w14:paraId="157652A2" w14:textId="77777777" w:rsidR="009E5D6B" w:rsidRPr="009E5D6B" w:rsidRDefault="009E5D6B" w:rsidP="009E5D6B">
      <w:pPr>
        <w:widowControl w:val="0"/>
        <w:autoSpaceDE w:val="0"/>
        <w:autoSpaceDN w:val="0"/>
        <w:adjustRightInd w:val="0"/>
        <w:spacing w:line="240" w:lineRule="auto"/>
        <w:ind w:left="480" w:hanging="480"/>
      </w:pPr>
      <w:r w:rsidRPr="009E5D6B">
        <w:t xml:space="preserve">Ladi, T., Mahmoudpour, A., Sharifi, A., 2021, Assessing impacts of the water poverty index components on the human development index in Iran, Habitat International, 113, 1–19. </w:t>
      </w:r>
    </w:p>
    <w:p w14:paraId="774CBDA8" w14:textId="77777777" w:rsidR="009E5D6B" w:rsidRPr="009E5D6B" w:rsidRDefault="009E5D6B" w:rsidP="009E5D6B">
      <w:pPr>
        <w:widowControl w:val="0"/>
        <w:autoSpaceDE w:val="0"/>
        <w:autoSpaceDN w:val="0"/>
        <w:adjustRightInd w:val="0"/>
        <w:spacing w:line="240" w:lineRule="auto"/>
        <w:ind w:left="480" w:hanging="480"/>
      </w:pPr>
      <w:r w:rsidRPr="009E5D6B">
        <w:t xml:space="preserve">Li, X., Anderson, C. J., Wang, Y., Lei, G., 2021, Waterbird diversity and abundance in response to variations in climate in the Liaohe Estuary, China, Ecological Indicators, 132, 1–10. </w:t>
      </w:r>
    </w:p>
    <w:p w14:paraId="5614C7B2" w14:textId="77777777" w:rsidR="009E5D6B" w:rsidRPr="009E5D6B" w:rsidRDefault="009E5D6B" w:rsidP="009E5D6B">
      <w:pPr>
        <w:widowControl w:val="0"/>
        <w:autoSpaceDE w:val="0"/>
        <w:autoSpaceDN w:val="0"/>
        <w:adjustRightInd w:val="0"/>
        <w:spacing w:line="240" w:lineRule="auto"/>
        <w:ind w:left="480" w:hanging="480"/>
      </w:pPr>
      <w:r w:rsidRPr="009E5D6B">
        <w:t xml:space="preserve">Lopez-Alvarez, B., Urbano-Peña, M. A., Moran-Ramírez, J., Ramos-Leal, J. A., Tuxpan-Vargas, J., 2020, Estimation of the environment component of the Water Poverty Index via remote sensing in semi-arid zones, Hydrological Sciences Journal, 65(16), 2647–2657. </w:t>
      </w:r>
    </w:p>
    <w:p w14:paraId="763DE6A1" w14:textId="77777777" w:rsidR="009E5D6B" w:rsidRPr="009E5D6B" w:rsidRDefault="009E5D6B" w:rsidP="009E5D6B">
      <w:pPr>
        <w:widowControl w:val="0"/>
        <w:autoSpaceDE w:val="0"/>
        <w:autoSpaceDN w:val="0"/>
        <w:adjustRightInd w:val="0"/>
        <w:spacing w:line="240" w:lineRule="auto"/>
        <w:ind w:left="480" w:hanging="480"/>
      </w:pPr>
      <w:r w:rsidRPr="009E5D6B">
        <w:t xml:space="preserve">Makubura, R., Meddage, D. P. P., Azamathulla, H. M., Pandey, M., Rathnayake, U., 2022, A Simplified Mathematical Formulation for Water Quality Index (WQI): A Case Study in the Kelani River Basin, Sri Lanka, Fluids, 7(147), 1–13. </w:t>
      </w:r>
    </w:p>
    <w:p w14:paraId="3FC5AF11" w14:textId="77777777" w:rsidR="009E5D6B" w:rsidRPr="009E5D6B" w:rsidRDefault="009E5D6B" w:rsidP="009E5D6B">
      <w:pPr>
        <w:widowControl w:val="0"/>
        <w:autoSpaceDE w:val="0"/>
        <w:autoSpaceDN w:val="0"/>
        <w:adjustRightInd w:val="0"/>
        <w:spacing w:line="240" w:lineRule="auto"/>
        <w:ind w:left="480" w:hanging="480"/>
      </w:pPr>
      <w:r w:rsidRPr="009E5D6B">
        <w:t>Melles, S., Glenn, S., Martin, K, 2003, Conservation Ecology: Urban bird diversity and landscape complexity: Species–environment associations along a multiscale habitat gradient &lt; ecologyandsociety.org/vol7/iss1/art5/main.html &gt; accessed 28.12.2022.</w:t>
      </w:r>
    </w:p>
    <w:p w14:paraId="1DD9ED54" w14:textId="77777777" w:rsidR="009E5D6B" w:rsidRPr="009E5D6B" w:rsidRDefault="009E5D6B" w:rsidP="009E5D6B">
      <w:pPr>
        <w:widowControl w:val="0"/>
        <w:autoSpaceDE w:val="0"/>
        <w:autoSpaceDN w:val="0"/>
        <w:adjustRightInd w:val="0"/>
        <w:spacing w:line="240" w:lineRule="auto"/>
        <w:ind w:left="480" w:hanging="480"/>
      </w:pPr>
      <w:r w:rsidRPr="009E5D6B">
        <w:t xml:space="preserve">Shadeed, S. M., Judeh, T. G., Almasri, M. N., 2019, Developing GIS-based water poverty and rainwater harvesting suitability maps for domestic use in the Dead Sea region (West Bank, Palestine), Hydrology and Earth System Sciences, 23(3), 1581–1592. </w:t>
      </w:r>
    </w:p>
    <w:p w14:paraId="4C72744D" w14:textId="77777777" w:rsidR="009E5D6B" w:rsidRPr="009E5D6B" w:rsidRDefault="009E5D6B" w:rsidP="009E5D6B">
      <w:pPr>
        <w:widowControl w:val="0"/>
        <w:autoSpaceDE w:val="0"/>
        <w:autoSpaceDN w:val="0"/>
        <w:adjustRightInd w:val="0"/>
        <w:spacing w:line="240" w:lineRule="auto"/>
        <w:ind w:left="480" w:hanging="480"/>
      </w:pPr>
      <w:r w:rsidRPr="009E5D6B">
        <w:t xml:space="preserve">Simamora, T. I., Purbowo, S. D., Laumonier, Y., 2021, Looking for indicator bird species in the context of forest fragmentation and isolation in West Kalimantan, Indonesia, Global Ecology and Conservation, 27, 1–23. </w:t>
      </w:r>
    </w:p>
    <w:p w14:paraId="5DE47E12" w14:textId="77777777" w:rsidR="009E5D6B" w:rsidRPr="009E5D6B" w:rsidRDefault="009E5D6B" w:rsidP="009E5D6B">
      <w:pPr>
        <w:widowControl w:val="0"/>
        <w:autoSpaceDE w:val="0"/>
        <w:autoSpaceDN w:val="0"/>
        <w:adjustRightInd w:val="0"/>
        <w:spacing w:line="240" w:lineRule="auto"/>
        <w:ind w:left="480" w:hanging="480"/>
      </w:pPr>
      <w:r w:rsidRPr="009E5D6B">
        <w:t xml:space="preserve">Soifer, L. G., Donovan, S. K., Brentjens, E. T., Bratt, A. R., 2021, Piecing together cities to support bird diversity: Development and forest edge density affect bird richness in urban environments, Landscape and Urban Planning, 213, 1–14. </w:t>
      </w:r>
    </w:p>
    <w:p w14:paraId="21C5590D" w14:textId="77777777" w:rsidR="009E5D6B" w:rsidRPr="009E5D6B" w:rsidRDefault="009E5D6B" w:rsidP="009E5D6B">
      <w:pPr>
        <w:widowControl w:val="0"/>
        <w:autoSpaceDE w:val="0"/>
        <w:autoSpaceDN w:val="0"/>
        <w:adjustRightInd w:val="0"/>
        <w:spacing w:line="240" w:lineRule="auto"/>
        <w:ind w:left="480" w:hanging="480"/>
      </w:pPr>
      <w:r w:rsidRPr="009E5D6B">
        <w:t>Sullivan, C. A., Meigh, J. R., Giacomello, A. M., Fediw, T., Lawrence, P., Samad, M., Mlote, S., Hutton, C., Allan, J. A., Schulze, R. E., Dlamini, D. J. M., Cosgrove, W., Priscoli, J. D., Gleick, P., Smout, I., Cobbing, J., Calow, R., Hunt, C., Hussain, A., Steyl, I., 2003, The Water Poverty Index : Development and application at the community scale. 27, 189–199.</w:t>
      </w:r>
    </w:p>
    <w:p w14:paraId="2AF5F967" w14:textId="77777777" w:rsidR="009E5D6B" w:rsidRPr="009E5D6B" w:rsidRDefault="009E5D6B" w:rsidP="009E5D6B">
      <w:pPr>
        <w:widowControl w:val="0"/>
        <w:autoSpaceDE w:val="0"/>
        <w:autoSpaceDN w:val="0"/>
        <w:adjustRightInd w:val="0"/>
        <w:spacing w:line="240" w:lineRule="auto"/>
        <w:ind w:left="480" w:hanging="480"/>
      </w:pPr>
      <w:r w:rsidRPr="009E5D6B">
        <w:t xml:space="preserve">Thakur, J. K., Neupane, M., Mohanan, A. A., 2017, Water poverty in upper Bagmati River Basin in Nepal, Water Science, 31(1), 93–108. </w:t>
      </w:r>
    </w:p>
    <w:p w14:paraId="396DA84E" w14:textId="77777777" w:rsidR="009E5D6B" w:rsidRPr="009E5D6B" w:rsidRDefault="009E5D6B" w:rsidP="009E5D6B">
      <w:pPr>
        <w:widowControl w:val="0"/>
        <w:autoSpaceDE w:val="0"/>
        <w:autoSpaceDN w:val="0"/>
        <w:adjustRightInd w:val="0"/>
        <w:spacing w:line="240" w:lineRule="auto"/>
        <w:ind w:left="480" w:hanging="480"/>
      </w:pPr>
      <w:r w:rsidRPr="009E5D6B">
        <w:t>Tikadar, K. K., Kunda, M., Mazumder, S. K., 2021, Diversity of fishery resources and catch efficiency of fishing gears in Gorai River, Bangladesh, Heliyon, 7(12),1-12.</w:t>
      </w:r>
    </w:p>
    <w:p w14:paraId="3EDE818B" w14:textId="77777777" w:rsidR="009E5D6B" w:rsidRPr="009E5D6B" w:rsidRDefault="009E5D6B" w:rsidP="009E5D6B">
      <w:pPr>
        <w:widowControl w:val="0"/>
        <w:autoSpaceDE w:val="0"/>
        <w:autoSpaceDN w:val="0"/>
        <w:adjustRightInd w:val="0"/>
        <w:spacing w:line="240" w:lineRule="auto"/>
        <w:ind w:left="480" w:hanging="480"/>
      </w:pPr>
      <w:r w:rsidRPr="009E5D6B">
        <w:t xml:space="preserve">Wurtz, M., Angeliaume, A., Herrera, M. T. A., Blot, F., Paegelow, M., Reyes, V. M., 2019, A spatial application of the water poverty index (WPI) in the State of Chihuahua, Mexico, Water Policy, 21(1), 147–161. </w:t>
      </w:r>
    </w:p>
    <w:p w14:paraId="5403B77A" w14:textId="77777777" w:rsidR="009E5D6B" w:rsidRPr="009E5D6B" w:rsidRDefault="009E5D6B" w:rsidP="009E5D6B">
      <w:pPr>
        <w:widowControl w:val="0"/>
        <w:autoSpaceDE w:val="0"/>
        <w:autoSpaceDN w:val="0"/>
        <w:adjustRightInd w:val="0"/>
        <w:spacing w:line="240" w:lineRule="auto"/>
        <w:ind w:left="480" w:hanging="480"/>
      </w:pPr>
      <w:r w:rsidRPr="009E5D6B">
        <w:t>Zhang, S., Zhang, P., Pan, B., Zou, Y., Xie, Y., Zhu, F., Chen, X., Li, F., Deng, Z., Zhang, H., Yang, S., 2021, Wetland restoration in the East Dongting Lake effectively increased waterbird diversity by improving habitat quality, Global Ecology and Conservation, 27, 1-15.</w:t>
      </w:r>
    </w:p>
    <w:p w14:paraId="277CD0EB" w14:textId="0284C11D" w:rsidR="00793BDF" w:rsidRDefault="009E5D6B" w:rsidP="0014103A">
      <w:pPr>
        <w:widowControl w:val="0"/>
        <w:autoSpaceDE w:val="0"/>
        <w:autoSpaceDN w:val="0"/>
        <w:adjustRightInd w:val="0"/>
        <w:spacing w:line="240" w:lineRule="auto"/>
        <w:ind w:left="480" w:hanging="480"/>
      </w:pPr>
      <w:r w:rsidRPr="009E5D6B">
        <w:t>Zogaris, S., and Kallimanis, A.</w:t>
      </w:r>
      <w:r w:rsidR="00D2747F">
        <w:t xml:space="preserve">, </w:t>
      </w:r>
      <w:r w:rsidRPr="009E5D6B">
        <w:t>2016</w:t>
      </w:r>
      <w:r w:rsidR="00D2747F">
        <w:t xml:space="preserve">, </w:t>
      </w:r>
      <w:r w:rsidRPr="009E5D6B">
        <w:t>Coastal zone habitat-use by birds in Qatar: Insights from a rapid assessment method during spring migration</w:t>
      </w:r>
      <w:r w:rsidR="00D2747F">
        <w:t xml:space="preserve">, </w:t>
      </w:r>
      <w:r w:rsidRPr="009E5D6B">
        <w:t>Tropical Conservation Science</w:t>
      </w:r>
      <w:r w:rsidR="00D2747F">
        <w:t xml:space="preserve">, </w:t>
      </w:r>
      <w:r w:rsidRPr="009E5D6B">
        <w:t xml:space="preserve">9 (2): 658-676. </w:t>
      </w:r>
    </w:p>
    <w:sectPr w:rsidR="00793BD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71DF" w14:textId="77777777" w:rsidR="00736A7F" w:rsidRDefault="00736A7F" w:rsidP="004F5E36">
      <w:r>
        <w:separator/>
      </w:r>
    </w:p>
  </w:endnote>
  <w:endnote w:type="continuationSeparator" w:id="0">
    <w:p w14:paraId="2DEBD10A" w14:textId="77777777" w:rsidR="00736A7F" w:rsidRDefault="00736A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98B4" w14:textId="77777777" w:rsidR="00736A7F" w:rsidRDefault="00736A7F" w:rsidP="004F5E36">
      <w:r>
        <w:separator/>
      </w:r>
    </w:p>
  </w:footnote>
  <w:footnote w:type="continuationSeparator" w:id="0">
    <w:p w14:paraId="257B0FCB" w14:textId="77777777" w:rsidR="00736A7F" w:rsidRDefault="00736A7F"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FB7539B"/>
    <w:multiLevelType w:val="hybridMultilevel"/>
    <w:tmpl w:val="31200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DCA"/>
    <w:rsid w:val="000117CB"/>
    <w:rsid w:val="00012004"/>
    <w:rsid w:val="00026B56"/>
    <w:rsid w:val="0003148D"/>
    <w:rsid w:val="00031EEC"/>
    <w:rsid w:val="00035300"/>
    <w:rsid w:val="00037C9D"/>
    <w:rsid w:val="0004076D"/>
    <w:rsid w:val="00051566"/>
    <w:rsid w:val="000602F4"/>
    <w:rsid w:val="00062A9A"/>
    <w:rsid w:val="00065058"/>
    <w:rsid w:val="00086C39"/>
    <w:rsid w:val="00090508"/>
    <w:rsid w:val="00094290"/>
    <w:rsid w:val="000A03B2"/>
    <w:rsid w:val="000A096C"/>
    <w:rsid w:val="000A4A2E"/>
    <w:rsid w:val="000B4C29"/>
    <w:rsid w:val="000D0268"/>
    <w:rsid w:val="000D19FD"/>
    <w:rsid w:val="000D34BE"/>
    <w:rsid w:val="000E102F"/>
    <w:rsid w:val="000E36F1"/>
    <w:rsid w:val="000E3A73"/>
    <w:rsid w:val="000E414A"/>
    <w:rsid w:val="000F093C"/>
    <w:rsid w:val="000F10F1"/>
    <w:rsid w:val="000F30EA"/>
    <w:rsid w:val="000F3623"/>
    <w:rsid w:val="000F787B"/>
    <w:rsid w:val="00101616"/>
    <w:rsid w:val="00103927"/>
    <w:rsid w:val="001050B3"/>
    <w:rsid w:val="00107D79"/>
    <w:rsid w:val="0011091F"/>
    <w:rsid w:val="0012091F"/>
    <w:rsid w:val="001222FD"/>
    <w:rsid w:val="00126BC2"/>
    <w:rsid w:val="001308B6"/>
    <w:rsid w:val="0013121F"/>
    <w:rsid w:val="00131FE6"/>
    <w:rsid w:val="0013263F"/>
    <w:rsid w:val="001331DF"/>
    <w:rsid w:val="00134DE4"/>
    <w:rsid w:val="0014034D"/>
    <w:rsid w:val="0014103A"/>
    <w:rsid w:val="00141472"/>
    <w:rsid w:val="001415E2"/>
    <w:rsid w:val="00141F16"/>
    <w:rsid w:val="0014262A"/>
    <w:rsid w:val="00144D16"/>
    <w:rsid w:val="00150E59"/>
    <w:rsid w:val="00152DE3"/>
    <w:rsid w:val="001550F2"/>
    <w:rsid w:val="00155AA5"/>
    <w:rsid w:val="0015641A"/>
    <w:rsid w:val="00164CF9"/>
    <w:rsid w:val="001667A6"/>
    <w:rsid w:val="00184AD6"/>
    <w:rsid w:val="00195323"/>
    <w:rsid w:val="00196B21"/>
    <w:rsid w:val="001A2D3B"/>
    <w:rsid w:val="001A3A5A"/>
    <w:rsid w:val="001A4AF7"/>
    <w:rsid w:val="001B0349"/>
    <w:rsid w:val="001B1E93"/>
    <w:rsid w:val="001B65C1"/>
    <w:rsid w:val="001C41FB"/>
    <w:rsid w:val="001C526E"/>
    <w:rsid w:val="001C684B"/>
    <w:rsid w:val="001D0CFB"/>
    <w:rsid w:val="001D21AF"/>
    <w:rsid w:val="001D407E"/>
    <w:rsid w:val="001D53FC"/>
    <w:rsid w:val="001D7C62"/>
    <w:rsid w:val="001F3531"/>
    <w:rsid w:val="001F42A5"/>
    <w:rsid w:val="001F7B9D"/>
    <w:rsid w:val="00201C93"/>
    <w:rsid w:val="002032CE"/>
    <w:rsid w:val="0021435E"/>
    <w:rsid w:val="002224B4"/>
    <w:rsid w:val="002225AF"/>
    <w:rsid w:val="00241C13"/>
    <w:rsid w:val="002447EF"/>
    <w:rsid w:val="00251550"/>
    <w:rsid w:val="0025195C"/>
    <w:rsid w:val="00263B05"/>
    <w:rsid w:val="00271F63"/>
    <w:rsid w:val="0027221A"/>
    <w:rsid w:val="002724FA"/>
    <w:rsid w:val="00275B61"/>
    <w:rsid w:val="002779C5"/>
    <w:rsid w:val="00277AF2"/>
    <w:rsid w:val="00280FAF"/>
    <w:rsid w:val="00281C52"/>
    <w:rsid w:val="00282388"/>
    <w:rsid w:val="00282656"/>
    <w:rsid w:val="00290F37"/>
    <w:rsid w:val="00296B83"/>
    <w:rsid w:val="002A77E1"/>
    <w:rsid w:val="002B01EB"/>
    <w:rsid w:val="002B09E6"/>
    <w:rsid w:val="002B4015"/>
    <w:rsid w:val="002B78CE"/>
    <w:rsid w:val="002C2FB6"/>
    <w:rsid w:val="002E5FA7"/>
    <w:rsid w:val="002E6C3A"/>
    <w:rsid w:val="002E6E52"/>
    <w:rsid w:val="002F3309"/>
    <w:rsid w:val="003008CE"/>
    <w:rsid w:val="003009B7"/>
    <w:rsid w:val="00300E56"/>
    <w:rsid w:val="0030469C"/>
    <w:rsid w:val="00312B4C"/>
    <w:rsid w:val="00321CA6"/>
    <w:rsid w:val="00323763"/>
    <w:rsid w:val="00334C09"/>
    <w:rsid w:val="003411CA"/>
    <w:rsid w:val="00353B9D"/>
    <w:rsid w:val="00367906"/>
    <w:rsid w:val="003723D4"/>
    <w:rsid w:val="0037517B"/>
    <w:rsid w:val="00380573"/>
    <w:rsid w:val="00381905"/>
    <w:rsid w:val="00384A98"/>
    <w:rsid w:val="00384CC8"/>
    <w:rsid w:val="00385798"/>
    <w:rsid w:val="003871FD"/>
    <w:rsid w:val="00391FF5"/>
    <w:rsid w:val="00392F9A"/>
    <w:rsid w:val="00394202"/>
    <w:rsid w:val="003A1E30"/>
    <w:rsid w:val="003A2829"/>
    <w:rsid w:val="003A7D1C"/>
    <w:rsid w:val="003B304B"/>
    <w:rsid w:val="003B3146"/>
    <w:rsid w:val="003D444F"/>
    <w:rsid w:val="003D7258"/>
    <w:rsid w:val="003E065E"/>
    <w:rsid w:val="003E4441"/>
    <w:rsid w:val="003F015E"/>
    <w:rsid w:val="003F41A6"/>
    <w:rsid w:val="00400414"/>
    <w:rsid w:val="00401EBF"/>
    <w:rsid w:val="00406D90"/>
    <w:rsid w:val="0041446B"/>
    <w:rsid w:val="0042733B"/>
    <w:rsid w:val="00432E42"/>
    <w:rsid w:val="0044071E"/>
    <w:rsid w:val="0044329C"/>
    <w:rsid w:val="004446D0"/>
    <w:rsid w:val="00446CE7"/>
    <w:rsid w:val="00453E24"/>
    <w:rsid w:val="00457456"/>
    <w:rsid w:val="004577FE"/>
    <w:rsid w:val="00457B9C"/>
    <w:rsid w:val="0046164A"/>
    <w:rsid w:val="004628D2"/>
    <w:rsid w:val="00462DCD"/>
    <w:rsid w:val="004648AD"/>
    <w:rsid w:val="004703A9"/>
    <w:rsid w:val="004760DE"/>
    <w:rsid w:val="004763D7"/>
    <w:rsid w:val="004853E5"/>
    <w:rsid w:val="004A004E"/>
    <w:rsid w:val="004A24CF"/>
    <w:rsid w:val="004A72D3"/>
    <w:rsid w:val="004A7320"/>
    <w:rsid w:val="004B03A7"/>
    <w:rsid w:val="004C3D1D"/>
    <w:rsid w:val="004C4895"/>
    <w:rsid w:val="004C7913"/>
    <w:rsid w:val="004C7E49"/>
    <w:rsid w:val="004D31B4"/>
    <w:rsid w:val="004D508F"/>
    <w:rsid w:val="004D6406"/>
    <w:rsid w:val="004E0B2A"/>
    <w:rsid w:val="004E4DD6"/>
    <w:rsid w:val="004F06F8"/>
    <w:rsid w:val="004F0F00"/>
    <w:rsid w:val="004F36AF"/>
    <w:rsid w:val="004F5E36"/>
    <w:rsid w:val="00505BDD"/>
    <w:rsid w:val="00506BF9"/>
    <w:rsid w:val="00507033"/>
    <w:rsid w:val="00507B47"/>
    <w:rsid w:val="00507BEF"/>
    <w:rsid w:val="00507CC9"/>
    <w:rsid w:val="005119A5"/>
    <w:rsid w:val="005154DB"/>
    <w:rsid w:val="005278B7"/>
    <w:rsid w:val="00532016"/>
    <w:rsid w:val="005346C8"/>
    <w:rsid w:val="00543BC7"/>
    <w:rsid w:val="00543E7D"/>
    <w:rsid w:val="00547A68"/>
    <w:rsid w:val="00552E3F"/>
    <w:rsid w:val="005531C9"/>
    <w:rsid w:val="00554E74"/>
    <w:rsid w:val="00557FFA"/>
    <w:rsid w:val="00570C43"/>
    <w:rsid w:val="00576859"/>
    <w:rsid w:val="005807CD"/>
    <w:rsid w:val="00592911"/>
    <w:rsid w:val="00595223"/>
    <w:rsid w:val="005A61F2"/>
    <w:rsid w:val="005B0B87"/>
    <w:rsid w:val="005B2110"/>
    <w:rsid w:val="005B61E6"/>
    <w:rsid w:val="005B70BB"/>
    <w:rsid w:val="005C77E1"/>
    <w:rsid w:val="005D3A67"/>
    <w:rsid w:val="005D668A"/>
    <w:rsid w:val="005D6A2F"/>
    <w:rsid w:val="005E19F5"/>
    <w:rsid w:val="005E1A82"/>
    <w:rsid w:val="005E794C"/>
    <w:rsid w:val="005F0A28"/>
    <w:rsid w:val="005F0E5E"/>
    <w:rsid w:val="005F1AFC"/>
    <w:rsid w:val="005F1D96"/>
    <w:rsid w:val="005F3980"/>
    <w:rsid w:val="00600535"/>
    <w:rsid w:val="00600542"/>
    <w:rsid w:val="00604895"/>
    <w:rsid w:val="006106BE"/>
    <w:rsid w:val="00610CD6"/>
    <w:rsid w:val="00611D94"/>
    <w:rsid w:val="00616FE9"/>
    <w:rsid w:val="00620DEE"/>
    <w:rsid w:val="0062170D"/>
    <w:rsid w:val="00621F92"/>
    <w:rsid w:val="0062280A"/>
    <w:rsid w:val="00622AFF"/>
    <w:rsid w:val="00625639"/>
    <w:rsid w:val="00631B33"/>
    <w:rsid w:val="00635181"/>
    <w:rsid w:val="0064184D"/>
    <w:rsid w:val="006422CC"/>
    <w:rsid w:val="00660E3E"/>
    <w:rsid w:val="00662E74"/>
    <w:rsid w:val="00671E3F"/>
    <w:rsid w:val="00675164"/>
    <w:rsid w:val="00680C23"/>
    <w:rsid w:val="00685C28"/>
    <w:rsid w:val="006862A1"/>
    <w:rsid w:val="00691FC6"/>
    <w:rsid w:val="00693766"/>
    <w:rsid w:val="006A3281"/>
    <w:rsid w:val="006B4888"/>
    <w:rsid w:val="006C2E45"/>
    <w:rsid w:val="006C359C"/>
    <w:rsid w:val="006C5273"/>
    <w:rsid w:val="006C5579"/>
    <w:rsid w:val="006C5EF1"/>
    <w:rsid w:val="006D6734"/>
    <w:rsid w:val="006D6E8B"/>
    <w:rsid w:val="006E3B0D"/>
    <w:rsid w:val="006E737D"/>
    <w:rsid w:val="006F6461"/>
    <w:rsid w:val="006F7184"/>
    <w:rsid w:val="00713973"/>
    <w:rsid w:val="007158E2"/>
    <w:rsid w:val="00720A24"/>
    <w:rsid w:val="00727AC3"/>
    <w:rsid w:val="00732386"/>
    <w:rsid w:val="00733DFB"/>
    <w:rsid w:val="0073514D"/>
    <w:rsid w:val="00736A7F"/>
    <w:rsid w:val="007447F3"/>
    <w:rsid w:val="00746F36"/>
    <w:rsid w:val="00747390"/>
    <w:rsid w:val="0075499F"/>
    <w:rsid w:val="0076097B"/>
    <w:rsid w:val="007661C8"/>
    <w:rsid w:val="0077098D"/>
    <w:rsid w:val="007931FA"/>
    <w:rsid w:val="00793BDF"/>
    <w:rsid w:val="00797586"/>
    <w:rsid w:val="007A0D3D"/>
    <w:rsid w:val="007A1B85"/>
    <w:rsid w:val="007A4861"/>
    <w:rsid w:val="007A7949"/>
    <w:rsid w:val="007A7BBA"/>
    <w:rsid w:val="007B0C50"/>
    <w:rsid w:val="007B2BE3"/>
    <w:rsid w:val="007B3089"/>
    <w:rsid w:val="007B48F9"/>
    <w:rsid w:val="007B6153"/>
    <w:rsid w:val="007C1A43"/>
    <w:rsid w:val="007D0F2B"/>
    <w:rsid w:val="007D1104"/>
    <w:rsid w:val="007D211E"/>
    <w:rsid w:val="007D6276"/>
    <w:rsid w:val="007F7967"/>
    <w:rsid w:val="0080013E"/>
    <w:rsid w:val="0080649E"/>
    <w:rsid w:val="00813288"/>
    <w:rsid w:val="008168FC"/>
    <w:rsid w:val="00822D28"/>
    <w:rsid w:val="00830996"/>
    <w:rsid w:val="008345F1"/>
    <w:rsid w:val="00837521"/>
    <w:rsid w:val="008401D9"/>
    <w:rsid w:val="00842BED"/>
    <w:rsid w:val="00854AE3"/>
    <w:rsid w:val="00865B07"/>
    <w:rsid w:val="008667EA"/>
    <w:rsid w:val="00871C3E"/>
    <w:rsid w:val="0087637F"/>
    <w:rsid w:val="00892AD5"/>
    <w:rsid w:val="00895CDB"/>
    <w:rsid w:val="00896BE0"/>
    <w:rsid w:val="008A1512"/>
    <w:rsid w:val="008B2A7A"/>
    <w:rsid w:val="008B3999"/>
    <w:rsid w:val="008B508F"/>
    <w:rsid w:val="008B5A6C"/>
    <w:rsid w:val="008C0063"/>
    <w:rsid w:val="008C682F"/>
    <w:rsid w:val="008D239C"/>
    <w:rsid w:val="008D32B9"/>
    <w:rsid w:val="008D433B"/>
    <w:rsid w:val="008E566E"/>
    <w:rsid w:val="008F669E"/>
    <w:rsid w:val="0090161A"/>
    <w:rsid w:val="00901EB6"/>
    <w:rsid w:val="00904C62"/>
    <w:rsid w:val="00912728"/>
    <w:rsid w:val="00922BA8"/>
    <w:rsid w:val="00924DAC"/>
    <w:rsid w:val="00924E75"/>
    <w:rsid w:val="00927058"/>
    <w:rsid w:val="009412F3"/>
    <w:rsid w:val="00942750"/>
    <w:rsid w:val="009450CE"/>
    <w:rsid w:val="0094535C"/>
    <w:rsid w:val="00945C8F"/>
    <w:rsid w:val="00947179"/>
    <w:rsid w:val="0095164B"/>
    <w:rsid w:val="00954090"/>
    <w:rsid w:val="009573E7"/>
    <w:rsid w:val="00963E05"/>
    <w:rsid w:val="00964A45"/>
    <w:rsid w:val="00967843"/>
    <w:rsid w:val="00967D54"/>
    <w:rsid w:val="00971028"/>
    <w:rsid w:val="00990B9D"/>
    <w:rsid w:val="00993B84"/>
    <w:rsid w:val="00996483"/>
    <w:rsid w:val="00996F5A"/>
    <w:rsid w:val="009A142C"/>
    <w:rsid w:val="009B041A"/>
    <w:rsid w:val="009B0F0E"/>
    <w:rsid w:val="009C37C3"/>
    <w:rsid w:val="009C5A19"/>
    <w:rsid w:val="009C6CD3"/>
    <w:rsid w:val="009C7C86"/>
    <w:rsid w:val="009D2FF7"/>
    <w:rsid w:val="009E5D6B"/>
    <w:rsid w:val="009E7884"/>
    <w:rsid w:val="009E788A"/>
    <w:rsid w:val="009F0E08"/>
    <w:rsid w:val="009F3E07"/>
    <w:rsid w:val="009F70E4"/>
    <w:rsid w:val="009F742D"/>
    <w:rsid w:val="009F7EEF"/>
    <w:rsid w:val="00A07416"/>
    <w:rsid w:val="00A1763D"/>
    <w:rsid w:val="00A17CEC"/>
    <w:rsid w:val="00A27EF0"/>
    <w:rsid w:val="00A31E60"/>
    <w:rsid w:val="00A32530"/>
    <w:rsid w:val="00A32A21"/>
    <w:rsid w:val="00A33F2B"/>
    <w:rsid w:val="00A34EC2"/>
    <w:rsid w:val="00A42361"/>
    <w:rsid w:val="00A50B20"/>
    <w:rsid w:val="00A51390"/>
    <w:rsid w:val="00A56E4C"/>
    <w:rsid w:val="00A6038D"/>
    <w:rsid w:val="00A60D13"/>
    <w:rsid w:val="00A72745"/>
    <w:rsid w:val="00A74C62"/>
    <w:rsid w:val="00A76EFC"/>
    <w:rsid w:val="00A775EB"/>
    <w:rsid w:val="00A91010"/>
    <w:rsid w:val="00A92AC9"/>
    <w:rsid w:val="00A93FC0"/>
    <w:rsid w:val="00A97F29"/>
    <w:rsid w:val="00AA0C26"/>
    <w:rsid w:val="00AA602D"/>
    <w:rsid w:val="00AA702E"/>
    <w:rsid w:val="00AB0964"/>
    <w:rsid w:val="00AB49B1"/>
    <w:rsid w:val="00AB5011"/>
    <w:rsid w:val="00AC7368"/>
    <w:rsid w:val="00AD16B9"/>
    <w:rsid w:val="00AD70CA"/>
    <w:rsid w:val="00AE08BD"/>
    <w:rsid w:val="00AE377D"/>
    <w:rsid w:val="00AF0EBA"/>
    <w:rsid w:val="00AF0FE0"/>
    <w:rsid w:val="00B02C8A"/>
    <w:rsid w:val="00B04ABB"/>
    <w:rsid w:val="00B07158"/>
    <w:rsid w:val="00B11A5C"/>
    <w:rsid w:val="00B1304A"/>
    <w:rsid w:val="00B17FBD"/>
    <w:rsid w:val="00B24577"/>
    <w:rsid w:val="00B315A6"/>
    <w:rsid w:val="00B31813"/>
    <w:rsid w:val="00B33365"/>
    <w:rsid w:val="00B3694D"/>
    <w:rsid w:val="00B57355"/>
    <w:rsid w:val="00B57B36"/>
    <w:rsid w:val="00B57E6F"/>
    <w:rsid w:val="00B67EEA"/>
    <w:rsid w:val="00B8686D"/>
    <w:rsid w:val="00B86C3F"/>
    <w:rsid w:val="00B93F69"/>
    <w:rsid w:val="00BA551C"/>
    <w:rsid w:val="00BA7B4F"/>
    <w:rsid w:val="00BB1DDC"/>
    <w:rsid w:val="00BB31E8"/>
    <w:rsid w:val="00BB6A7C"/>
    <w:rsid w:val="00BC30C9"/>
    <w:rsid w:val="00BC3A92"/>
    <w:rsid w:val="00BD077D"/>
    <w:rsid w:val="00BD76A0"/>
    <w:rsid w:val="00BE3E58"/>
    <w:rsid w:val="00C01616"/>
    <w:rsid w:val="00C0162B"/>
    <w:rsid w:val="00C039A1"/>
    <w:rsid w:val="00C03C1D"/>
    <w:rsid w:val="00C068ED"/>
    <w:rsid w:val="00C21658"/>
    <w:rsid w:val="00C22E0C"/>
    <w:rsid w:val="00C24115"/>
    <w:rsid w:val="00C345B1"/>
    <w:rsid w:val="00C40142"/>
    <w:rsid w:val="00C52C3C"/>
    <w:rsid w:val="00C57182"/>
    <w:rsid w:val="00C57863"/>
    <w:rsid w:val="00C655FD"/>
    <w:rsid w:val="00C677F1"/>
    <w:rsid w:val="00C75407"/>
    <w:rsid w:val="00C870A8"/>
    <w:rsid w:val="00C94434"/>
    <w:rsid w:val="00CA0D75"/>
    <w:rsid w:val="00CA1C95"/>
    <w:rsid w:val="00CA5A9C"/>
    <w:rsid w:val="00CB291F"/>
    <w:rsid w:val="00CC4C20"/>
    <w:rsid w:val="00CC64D3"/>
    <w:rsid w:val="00CD3517"/>
    <w:rsid w:val="00CD5FE2"/>
    <w:rsid w:val="00CE7C68"/>
    <w:rsid w:val="00D025CF"/>
    <w:rsid w:val="00D02B4C"/>
    <w:rsid w:val="00D040C4"/>
    <w:rsid w:val="00D2747F"/>
    <w:rsid w:val="00D31491"/>
    <w:rsid w:val="00D435C3"/>
    <w:rsid w:val="00D46B7E"/>
    <w:rsid w:val="00D549DC"/>
    <w:rsid w:val="00D54C38"/>
    <w:rsid w:val="00D570FD"/>
    <w:rsid w:val="00D57C84"/>
    <w:rsid w:val="00D6057D"/>
    <w:rsid w:val="00D63E7E"/>
    <w:rsid w:val="00D66C5E"/>
    <w:rsid w:val="00D7142F"/>
    <w:rsid w:val="00D71640"/>
    <w:rsid w:val="00D836C5"/>
    <w:rsid w:val="00D84576"/>
    <w:rsid w:val="00D84678"/>
    <w:rsid w:val="00D95E37"/>
    <w:rsid w:val="00DA1399"/>
    <w:rsid w:val="00DA24C6"/>
    <w:rsid w:val="00DA4D7B"/>
    <w:rsid w:val="00DB22DB"/>
    <w:rsid w:val="00DB256E"/>
    <w:rsid w:val="00DD3F68"/>
    <w:rsid w:val="00DD4FD5"/>
    <w:rsid w:val="00DE264A"/>
    <w:rsid w:val="00DE569C"/>
    <w:rsid w:val="00DE6FA9"/>
    <w:rsid w:val="00DE7C87"/>
    <w:rsid w:val="00DF5072"/>
    <w:rsid w:val="00DF5FC6"/>
    <w:rsid w:val="00E004BA"/>
    <w:rsid w:val="00E02D18"/>
    <w:rsid w:val="00E041E7"/>
    <w:rsid w:val="00E170D1"/>
    <w:rsid w:val="00E200FF"/>
    <w:rsid w:val="00E204F1"/>
    <w:rsid w:val="00E23CA1"/>
    <w:rsid w:val="00E24B7B"/>
    <w:rsid w:val="00E24F94"/>
    <w:rsid w:val="00E409A8"/>
    <w:rsid w:val="00E43880"/>
    <w:rsid w:val="00E50C12"/>
    <w:rsid w:val="00E64C76"/>
    <w:rsid w:val="00E65B91"/>
    <w:rsid w:val="00E7175C"/>
    <w:rsid w:val="00E7209D"/>
    <w:rsid w:val="00E72EAD"/>
    <w:rsid w:val="00E77099"/>
    <w:rsid w:val="00E77223"/>
    <w:rsid w:val="00E8528B"/>
    <w:rsid w:val="00E85B94"/>
    <w:rsid w:val="00E978D0"/>
    <w:rsid w:val="00EA2FF7"/>
    <w:rsid w:val="00EA448A"/>
    <w:rsid w:val="00EA4613"/>
    <w:rsid w:val="00EA7F91"/>
    <w:rsid w:val="00EB1523"/>
    <w:rsid w:val="00EC01A8"/>
    <w:rsid w:val="00EC0575"/>
    <w:rsid w:val="00EC0E49"/>
    <w:rsid w:val="00EC101F"/>
    <w:rsid w:val="00EC1D9F"/>
    <w:rsid w:val="00EC7F01"/>
    <w:rsid w:val="00EE0131"/>
    <w:rsid w:val="00EE17B0"/>
    <w:rsid w:val="00EF06D9"/>
    <w:rsid w:val="00F04412"/>
    <w:rsid w:val="00F13651"/>
    <w:rsid w:val="00F14BC9"/>
    <w:rsid w:val="00F22C08"/>
    <w:rsid w:val="00F30C64"/>
    <w:rsid w:val="00F32BA2"/>
    <w:rsid w:val="00F32CDB"/>
    <w:rsid w:val="00F43814"/>
    <w:rsid w:val="00F565FE"/>
    <w:rsid w:val="00F56A61"/>
    <w:rsid w:val="00F63A70"/>
    <w:rsid w:val="00F7534E"/>
    <w:rsid w:val="00F830B3"/>
    <w:rsid w:val="00F873F0"/>
    <w:rsid w:val="00F90A0E"/>
    <w:rsid w:val="00F9798F"/>
    <w:rsid w:val="00FA1802"/>
    <w:rsid w:val="00FA21D0"/>
    <w:rsid w:val="00FA39AB"/>
    <w:rsid w:val="00FA42EA"/>
    <w:rsid w:val="00FA490C"/>
    <w:rsid w:val="00FA5590"/>
    <w:rsid w:val="00FA5F5F"/>
    <w:rsid w:val="00FA625D"/>
    <w:rsid w:val="00FB0097"/>
    <w:rsid w:val="00FB15E1"/>
    <w:rsid w:val="00FB730C"/>
    <w:rsid w:val="00FC0906"/>
    <w:rsid w:val="00FC2695"/>
    <w:rsid w:val="00FC29EE"/>
    <w:rsid w:val="00FC3E03"/>
    <w:rsid w:val="00FC3FC1"/>
    <w:rsid w:val="00FC72B0"/>
    <w:rsid w:val="00FD2D95"/>
    <w:rsid w:val="00FD547A"/>
    <w:rsid w:val="00FE32BD"/>
    <w:rsid w:val="00FE6957"/>
    <w:rsid w:val="00FF71A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1016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C279E-C266-46CC-87A6-2B1F4299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9570</Words>
  <Characters>52257</Characters>
  <Application>Microsoft Office Word</Application>
  <DocSecurity>0</DocSecurity>
  <Lines>985</Lines>
  <Paragraphs>471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Karina A Ojeda D</cp:lastModifiedBy>
  <cp:revision>6</cp:revision>
  <cp:lastPrinted>2015-05-12T18:31:00Z</cp:lastPrinted>
  <dcterms:created xsi:type="dcterms:W3CDTF">2023-04-05T12:53:00Z</dcterms:created>
  <dcterms:modified xsi:type="dcterms:W3CDTF">2023-04-05T13:37:00Z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https://csl.mendeley.com/styles/460025091/ieee-jsdewes</vt:lpwstr>
  </property>
  <property fmtid="{D5CDD505-2E9C-101B-9397-08002B2CF9AE}" pid="17" name="Mendeley Recent Style Name 6_1">
    <vt:lpwstr>IEEE - JSDEWES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5835b023-72c3-3f07-bca7-ec364861b9bc</vt:lpwstr>
  </property>
  <property fmtid="{D5CDD505-2E9C-101B-9397-08002B2CF9AE}" pid="26" name="Mendeley Citation Style_1">
    <vt:lpwstr>http://www.zotero.org/styles/apa</vt:lpwstr>
  </property>
  <property fmtid="{D5CDD505-2E9C-101B-9397-08002B2CF9AE}" pid="27" name="GrammarlyDocumentId">
    <vt:lpwstr>a888cf66c357f6295f7d96d53e1098a3f1c105d4dc5722d0955411fdd99371ca</vt:lpwstr>
  </property>
</Properties>
</file>