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D366DA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006D5EC1" w:rsidRPr="00293D18">
              <w:rPr>
                <w:rFonts w:ascii="Tahoma" w:hAnsi="Tahoma" w:cs="Tahoma"/>
                <w:sz w:val="14"/>
                <w:szCs w:val="14"/>
              </w:rPr>
              <w:t>Sauro Pierucci</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050E02B" w:rsidR="00E978D0" w:rsidRPr="00B57B36" w:rsidRDefault="00CC7425" w:rsidP="00E978D0">
      <w:pPr>
        <w:pStyle w:val="CETTitle"/>
      </w:pPr>
      <w:r>
        <w:t>Life Cycle assessment of a new synthesis route</w:t>
      </w:r>
      <w:r w:rsidR="0037302E">
        <w:t>:</w:t>
      </w:r>
      <w:r>
        <w:t xml:space="preserve"> which d</w:t>
      </w:r>
      <w:r w:rsidR="003B39C2">
        <w:t>egree of modelling is necessary</w:t>
      </w:r>
      <w:r>
        <w:t>?</w:t>
      </w:r>
    </w:p>
    <w:p w14:paraId="0488FED2" w14:textId="40EEBDE1" w:rsidR="00B57E6F" w:rsidRPr="00B57B36" w:rsidRDefault="00CC7425" w:rsidP="00C373A2">
      <w:pPr>
        <w:pStyle w:val="CETAuthors"/>
      </w:pPr>
      <w:r>
        <w:t>Laurent Astruc</w:t>
      </w:r>
      <w:r w:rsidR="00B57E6F" w:rsidRPr="00B57B36">
        <w:t xml:space="preserve">, </w:t>
      </w:r>
      <w:r>
        <w:t>Caroline Sablayrolles</w:t>
      </w:r>
      <w:r w:rsidR="00B57E6F" w:rsidRPr="00B57B36">
        <w:t xml:space="preserve">, </w:t>
      </w:r>
      <w:r>
        <w:t>Ivonne Rodriguez-Donis, Claire Vialle</w:t>
      </w:r>
      <w:r w:rsidRPr="00B57B36">
        <w:t>*</w:t>
      </w:r>
    </w:p>
    <w:p w14:paraId="0B3F1170" w14:textId="259D4548" w:rsidR="00CC7425" w:rsidRDefault="00CC7425" w:rsidP="00B57E6F">
      <w:pPr>
        <w:pStyle w:val="CETAddress"/>
      </w:pPr>
      <w:r w:rsidRPr="00CC7425">
        <w:t>Laboratoire de Chimie Agro-industrielle (LCA), Université de Toulouse, INR</w:t>
      </w:r>
      <w:r>
        <w:t>AE, Toulouse, France</w:t>
      </w:r>
    </w:p>
    <w:p w14:paraId="73F1267A" w14:textId="4DB36970" w:rsidR="00B57E6F" w:rsidRPr="00B57B36" w:rsidRDefault="00CC7425" w:rsidP="00B57E6F">
      <w:pPr>
        <w:pStyle w:val="CETemail"/>
      </w:pPr>
      <w:r>
        <w:t>claire.vialle</w:t>
      </w:r>
      <w:r w:rsidR="00B57E6F" w:rsidRPr="00B57B36">
        <w:t>@</w:t>
      </w:r>
      <w:r>
        <w:t>ensiacet.fr</w:t>
      </w:r>
      <w:r w:rsidR="00B57E6F" w:rsidRPr="00B57B36">
        <w:t>]</w:t>
      </w:r>
    </w:p>
    <w:p w14:paraId="3C5004C3" w14:textId="28162DAC" w:rsidR="00EC641C" w:rsidRPr="0033179A" w:rsidRDefault="00EC641C" w:rsidP="00237B67">
      <w:pPr>
        <w:pStyle w:val="PrformatHTML"/>
        <w:spacing w:before="120"/>
        <w:rPr>
          <w:rFonts w:ascii="Arial" w:hAnsi="Arial" w:cs="Arial"/>
        </w:rPr>
      </w:pPr>
      <w:r w:rsidRPr="00935847">
        <w:rPr>
          <w:rStyle w:val="y2iqfc"/>
          <w:rFonts w:ascii="Arial" w:hAnsi="Arial" w:cs="Arial"/>
          <w:lang w:val="en"/>
        </w:rPr>
        <w:t xml:space="preserve">The environmental </w:t>
      </w:r>
      <w:r w:rsidR="0037302E">
        <w:rPr>
          <w:rStyle w:val="y2iqfc"/>
          <w:rFonts w:ascii="Arial" w:hAnsi="Arial" w:cs="Arial"/>
          <w:lang w:val="en"/>
        </w:rPr>
        <w:t xml:space="preserve">assessment </w:t>
      </w:r>
      <w:r w:rsidRPr="00935847">
        <w:rPr>
          <w:rStyle w:val="y2iqfc"/>
          <w:rFonts w:ascii="Arial" w:hAnsi="Arial" w:cs="Arial"/>
          <w:lang w:val="en"/>
        </w:rPr>
        <w:t xml:space="preserve">of </w:t>
      </w:r>
      <w:r w:rsidR="0037302E">
        <w:rPr>
          <w:rStyle w:val="y2iqfc"/>
          <w:rFonts w:ascii="Arial" w:hAnsi="Arial" w:cs="Arial"/>
          <w:lang w:val="en"/>
        </w:rPr>
        <w:t>innovative</w:t>
      </w:r>
      <w:r w:rsidRPr="00935847">
        <w:rPr>
          <w:rStyle w:val="y2iqfc"/>
          <w:rFonts w:ascii="Arial" w:hAnsi="Arial" w:cs="Arial"/>
          <w:lang w:val="en"/>
        </w:rPr>
        <w:t xml:space="preserve"> bio-based technologies at an early stage </w:t>
      </w:r>
      <w:r w:rsidR="0037302E">
        <w:rPr>
          <w:rStyle w:val="y2iqfc"/>
          <w:rFonts w:ascii="Arial" w:hAnsi="Arial" w:cs="Arial"/>
          <w:lang w:val="en"/>
        </w:rPr>
        <w:t>is necessary</w:t>
      </w:r>
      <w:r w:rsidRPr="00935847">
        <w:rPr>
          <w:rStyle w:val="y2iqfc"/>
          <w:rFonts w:ascii="Arial" w:hAnsi="Arial" w:cs="Arial"/>
          <w:lang w:val="en"/>
        </w:rPr>
        <w:t xml:space="preserve">. </w:t>
      </w:r>
      <w:r w:rsidR="0037302E">
        <w:rPr>
          <w:rStyle w:val="y2iqfc"/>
          <w:rFonts w:ascii="Arial" w:hAnsi="Arial" w:cs="Arial"/>
          <w:lang w:val="en"/>
        </w:rPr>
        <w:t>A promising solution is to couple</w:t>
      </w:r>
      <w:r w:rsidRPr="00935847">
        <w:rPr>
          <w:rStyle w:val="y2iqfc"/>
          <w:rFonts w:ascii="Arial" w:hAnsi="Arial" w:cs="Arial"/>
          <w:lang w:val="en"/>
        </w:rPr>
        <w:t xml:space="preserve"> a process</w:t>
      </w:r>
      <w:r w:rsidR="00237B67">
        <w:rPr>
          <w:rStyle w:val="y2iqfc"/>
          <w:rFonts w:ascii="Arial" w:hAnsi="Arial" w:cs="Arial"/>
          <w:lang w:val="en"/>
        </w:rPr>
        <w:t xml:space="preserve"> modeling/simulation tool with life cycle assessment </w:t>
      </w:r>
      <w:r w:rsidR="0037302E">
        <w:rPr>
          <w:rStyle w:val="y2iqfc"/>
          <w:rFonts w:ascii="Arial" w:hAnsi="Arial" w:cs="Arial"/>
          <w:lang w:val="en"/>
        </w:rPr>
        <w:t>in order to provide</w:t>
      </w:r>
      <w:r w:rsidRPr="00935847">
        <w:rPr>
          <w:rStyle w:val="y2iqfc"/>
          <w:rFonts w:ascii="Arial" w:hAnsi="Arial" w:cs="Arial"/>
          <w:lang w:val="en"/>
        </w:rPr>
        <w:t xml:space="preserve"> inventory data</w:t>
      </w:r>
      <w:r w:rsidR="0037302E">
        <w:rPr>
          <w:rStyle w:val="y2iqfc"/>
          <w:rFonts w:ascii="Arial" w:hAnsi="Arial" w:cs="Arial"/>
          <w:lang w:val="en"/>
        </w:rPr>
        <w:t xml:space="preserve">. However, the impact of </w:t>
      </w:r>
      <w:r w:rsidRPr="00935847">
        <w:rPr>
          <w:rStyle w:val="y2iqfc"/>
          <w:rFonts w:ascii="Arial" w:hAnsi="Arial" w:cs="Arial"/>
          <w:lang w:val="en"/>
        </w:rPr>
        <w:t xml:space="preserve">the </w:t>
      </w:r>
      <w:r w:rsidR="0037302E">
        <w:rPr>
          <w:rStyle w:val="y2iqfc"/>
          <w:rFonts w:ascii="Arial" w:hAnsi="Arial" w:cs="Arial"/>
          <w:lang w:val="en"/>
        </w:rPr>
        <w:t>modeling of</w:t>
      </w:r>
      <w:r w:rsidRPr="00935847">
        <w:rPr>
          <w:rStyle w:val="y2iqfc"/>
          <w:rFonts w:ascii="Arial" w:hAnsi="Arial" w:cs="Arial"/>
          <w:lang w:val="en"/>
        </w:rPr>
        <w:t xml:space="preserve"> the reaction and </w:t>
      </w:r>
      <w:r w:rsidR="0037302E">
        <w:rPr>
          <w:rStyle w:val="y2iqfc"/>
          <w:rFonts w:ascii="Arial" w:hAnsi="Arial" w:cs="Arial"/>
          <w:lang w:val="en"/>
        </w:rPr>
        <w:t xml:space="preserve">of </w:t>
      </w:r>
      <w:r w:rsidRPr="00935847">
        <w:rPr>
          <w:rStyle w:val="y2iqfc"/>
          <w:rFonts w:ascii="Arial" w:hAnsi="Arial" w:cs="Arial"/>
          <w:lang w:val="en"/>
        </w:rPr>
        <w:t xml:space="preserve">separation steps </w:t>
      </w:r>
      <w:r w:rsidR="0037302E">
        <w:rPr>
          <w:rStyle w:val="y2iqfc"/>
          <w:rFonts w:ascii="Arial" w:hAnsi="Arial" w:cs="Arial"/>
          <w:lang w:val="en"/>
        </w:rPr>
        <w:t xml:space="preserve">on the environmental impacts has to be studied. </w:t>
      </w:r>
      <w:r w:rsidRPr="00935847">
        <w:rPr>
          <w:rStyle w:val="y2iqfc"/>
          <w:rFonts w:ascii="Arial" w:hAnsi="Arial" w:cs="Arial"/>
          <w:lang w:val="en"/>
        </w:rPr>
        <w:t>This article deals with the impact of the degree of c</w:t>
      </w:r>
      <w:r w:rsidR="0037302E">
        <w:rPr>
          <w:rStyle w:val="y2iqfc"/>
          <w:rFonts w:ascii="Arial" w:hAnsi="Arial" w:cs="Arial"/>
          <w:lang w:val="en"/>
        </w:rPr>
        <w:t>omplexity of the modeling of a</w:t>
      </w:r>
      <w:r w:rsidRPr="00935847">
        <w:rPr>
          <w:rStyle w:val="y2iqfc"/>
          <w:rFonts w:ascii="Arial" w:hAnsi="Arial" w:cs="Arial"/>
          <w:lang w:val="en"/>
        </w:rPr>
        <w:t xml:space="preserve"> reaction </w:t>
      </w:r>
      <w:r w:rsidR="0037302E">
        <w:rPr>
          <w:rStyle w:val="y2iqfc"/>
          <w:rFonts w:ascii="Arial" w:hAnsi="Arial" w:cs="Arial"/>
          <w:lang w:val="en"/>
        </w:rPr>
        <w:t>route</w:t>
      </w:r>
      <w:r w:rsidRPr="00935847">
        <w:rPr>
          <w:rStyle w:val="y2iqfc"/>
          <w:rFonts w:ascii="Arial" w:hAnsi="Arial" w:cs="Arial"/>
          <w:lang w:val="en"/>
        </w:rPr>
        <w:t xml:space="preserve"> </w:t>
      </w:r>
      <w:r w:rsidR="0037302E">
        <w:rPr>
          <w:rStyle w:val="y2iqfc"/>
          <w:rFonts w:ascii="Arial" w:hAnsi="Arial" w:cs="Arial"/>
          <w:lang w:val="en"/>
        </w:rPr>
        <w:t>on the environmental performance. The corresponding case study is the</w:t>
      </w:r>
      <w:r w:rsidR="0037302E" w:rsidRPr="00935847">
        <w:rPr>
          <w:rStyle w:val="y2iqfc"/>
          <w:rFonts w:ascii="Arial" w:hAnsi="Arial" w:cs="Arial"/>
          <w:lang w:val="en"/>
        </w:rPr>
        <w:t xml:space="preserve"> </w:t>
      </w:r>
      <w:r w:rsidR="0037302E">
        <w:rPr>
          <w:rStyle w:val="y2iqfc"/>
          <w:rFonts w:ascii="Arial" w:hAnsi="Arial" w:cs="Arial"/>
          <w:lang w:val="en"/>
        </w:rPr>
        <w:t>production of dimethyl carbonate (DMC) via m</w:t>
      </w:r>
      <w:r w:rsidRPr="00935847">
        <w:rPr>
          <w:rStyle w:val="y2iqfc"/>
          <w:rFonts w:ascii="Arial" w:hAnsi="Arial" w:cs="Arial"/>
          <w:lang w:val="en"/>
        </w:rPr>
        <w:t xml:space="preserve">ethanolysis of urea. Three scenarios were designed to model the </w:t>
      </w:r>
      <w:r>
        <w:rPr>
          <w:rStyle w:val="y2iqfc"/>
          <w:rFonts w:ascii="Arial" w:hAnsi="Arial" w:cs="Arial"/>
          <w:lang w:val="en"/>
        </w:rPr>
        <w:t xml:space="preserve">three </w:t>
      </w:r>
      <w:r w:rsidRPr="00935847">
        <w:rPr>
          <w:rStyle w:val="y2iqfc"/>
          <w:rFonts w:ascii="Arial" w:hAnsi="Arial" w:cs="Arial"/>
          <w:lang w:val="en"/>
        </w:rPr>
        <w:t>reactions</w:t>
      </w:r>
      <w:r w:rsidR="00237B67">
        <w:rPr>
          <w:rStyle w:val="y2iqfc"/>
          <w:rFonts w:ascii="Arial" w:hAnsi="Arial" w:cs="Arial"/>
          <w:lang w:val="en"/>
        </w:rPr>
        <w:t xml:space="preserve"> composing the reaction pathway</w:t>
      </w:r>
      <w:r w:rsidRPr="00935847">
        <w:rPr>
          <w:rStyle w:val="y2iqfc"/>
          <w:rFonts w:ascii="Arial" w:hAnsi="Arial" w:cs="Arial"/>
          <w:lang w:val="en"/>
        </w:rPr>
        <w:t>, which correspond to different degrees of knowledge of these reactions at the laboratory scale.</w:t>
      </w:r>
      <w:r>
        <w:rPr>
          <w:rStyle w:val="y2iqfc"/>
          <w:rFonts w:ascii="Arial" w:hAnsi="Arial" w:cs="Arial"/>
          <w:lang w:val="en"/>
        </w:rPr>
        <w:t xml:space="preserve"> </w:t>
      </w:r>
      <w:r w:rsidR="00237B67">
        <w:rPr>
          <w:rStyle w:val="y2iqfc"/>
          <w:rFonts w:ascii="Arial" w:hAnsi="Arial" w:cs="Arial"/>
          <w:lang w:val="en"/>
        </w:rPr>
        <w:t>S</w:t>
      </w:r>
      <w:r w:rsidRPr="00935847">
        <w:rPr>
          <w:rStyle w:val="y2iqfc"/>
          <w:rFonts w:ascii="Arial" w:hAnsi="Arial" w:cs="Arial"/>
          <w:lang w:val="en"/>
        </w:rPr>
        <w:t>cenarios were evaluated from an environmental point of vie</w:t>
      </w:r>
      <w:bookmarkStart w:id="0" w:name="_GoBack"/>
      <w:bookmarkEnd w:id="0"/>
      <w:r w:rsidRPr="00935847">
        <w:rPr>
          <w:rStyle w:val="y2iqfc"/>
          <w:rFonts w:ascii="Arial" w:hAnsi="Arial" w:cs="Arial"/>
          <w:lang w:val="en"/>
        </w:rPr>
        <w:t xml:space="preserve">w. </w:t>
      </w:r>
      <w:r>
        <w:rPr>
          <w:rStyle w:val="y2iqfc"/>
          <w:rFonts w:ascii="Arial" w:hAnsi="Arial" w:cs="Arial"/>
          <w:lang w:val="en"/>
        </w:rPr>
        <w:t>H</w:t>
      </w:r>
      <w:r w:rsidRPr="0033179A">
        <w:rPr>
          <w:rStyle w:val="y2iqfc"/>
          <w:rFonts w:ascii="Arial" w:hAnsi="Arial" w:cs="Arial"/>
          <w:lang w:val="en"/>
        </w:rPr>
        <w:t xml:space="preserve">ot spots </w:t>
      </w:r>
      <w:r>
        <w:rPr>
          <w:rStyle w:val="y2iqfc"/>
          <w:rFonts w:ascii="Arial" w:hAnsi="Arial" w:cs="Arial"/>
          <w:lang w:val="en"/>
        </w:rPr>
        <w:t>analysis highlighted the l</w:t>
      </w:r>
      <w:r w:rsidRPr="0033179A">
        <w:rPr>
          <w:rStyle w:val="y2iqfc"/>
          <w:rFonts w:ascii="Arial" w:hAnsi="Arial" w:cs="Arial"/>
          <w:lang w:val="en"/>
        </w:rPr>
        <w:t xml:space="preserve">ow contribution of the reaction </w:t>
      </w:r>
      <w:r>
        <w:rPr>
          <w:rStyle w:val="y2iqfc"/>
          <w:rFonts w:ascii="Arial" w:hAnsi="Arial" w:cs="Arial"/>
          <w:lang w:val="en"/>
        </w:rPr>
        <w:t>(R</w:t>
      </w:r>
      <w:r w:rsidRPr="0033179A">
        <w:rPr>
          <w:rStyle w:val="y2iqfc"/>
          <w:rFonts w:ascii="Arial" w:hAnsi="Arial" w:cs="Arial"/>
          <w:lang w:val="en"/>
        </w:rPr>
        <w:t>1</w:t>
      </w:r>
      <w:r>
        <w:rPr>
          <w:rStyle w:val="y2iqfc"/>
          <w:rFonts w:ascii="Arial" w:hAnsi="Arial" w:cs="Arial"/>
          <w:lang w:val="en"/>
        </w:rPr>
        <w:t>)</w:t>
      </w:r>
      <w:r w:rsidRPr="0033179A">
        <w:rPr>
          <w:rStyle w:val="y2iqfc"/>
          <w:rFonts w:ascii="Arial" w:hAnsi="Arial" w:cs="Arial"/>
          <w:lang w:val="en"/>
        </w:rPr>
        <w:t xml:space="preserve"> </w:t>
      </w:r>
      <w:r w:rsidR="00237B67">
        <w:rPr>
          <w:rStyle w:val="y2iqfc"/>
          <w:rFonts w:ascii="Arial" w:hAnsi="Arial" w:cs="Arial"/>
          <w:lang w:val="en"/>
        </w:rPr>
        <w:t>for the production of the methyl carbamate</w:t>
      </w:r>
      <w:r>
        <w:rPr>
          <w:rStyle w:val="y2iqfc"/>
          <w:rFonts w:ascii="Arial" w:hAnsi="Arial" w:cs="Arial"/>
          <w:lang w:val="en"/>
        </w:rPr>
        <w:t>, of the</w:t>
      </w:r>
      <w:r w:rsidRPr="0033179A">
        <w:rPr>
          <w:rStyle w:val="y2iqfc"/>
          <w:rFonts w:ascii="Arial" w:hAnsi="Arial" w:cs="Arial"/>
          <w:lang w:val="en"/>
        </w:rPr>
        <w:t xml:space="preserve"> separation by distillation of the mixtu</w:t>
      </w:r>
      <w:r>
        <w:rPr>
          <w:rStyle w:val="y2iqfc"/>
          <w:rFonts w:ascii="Arial" w:hAnsi="Arial" w:cs="Arial"/>
          <w:lang w:val="en"/>
        </w:rPr>
        <w:t>re resulting from this reaction, of the infrastructure. R</w:t>
      </w:r>
      <w:r w:rsidRPr="0033179A">
        <w:rPr>
          <w:rStyle w:val="y2iqfc"/>
          <w:rFonts w:ascii="Arial" w:hAnsi="Arial" w:cs="Arial"/>
          <w:lang w:val="en"/>
        </w:rPr>
        <w:t>aw materials appear a</w:t>
      </w:r>
      <w:r>
        <w:rPr>
          <w:rStyle w:val="y2iqfc"/>
          <w:rFonts w:ascii="Arial" w:hAnsi="Arial" w:cs="Arial"/>
          <w:lang w:val="en"/>
        </w:rPr>
        <w:t>s the major contributor. T</w:t>
      </w:r>
      <w:r w:rsidRPr="0033179A">
        <w:rPr>
          <w:rStyle w:val="y2iqfc"/>
          <w:rFonts w:ascii="Arial" w:hAnsi="Arial" w:cs="Arial"/>
          <w:lang w:val="en"/>
        </w:rPr>
        <w:t xml:space="preserve">he reaction </w:t>
      </w:r>
      <w:r>
        <w:rPr>
          <w:rStyle w:val="y2iqfc"/>
          <w:rFonts w:ascii="Arial" w:hAnsi="Arial" w:cs="Arial"/>
          <w:lang w:val="en"/>
        </w:rPr>
        <w:t>(R</w:t>
      </w:r>
      <w:r w:rsidRPr="0033179A">
        <w:rPr>
          <w:rStyle w:val="y2iqfc"/>
          <w:rFonts w:ascii="Arial" w:hAnsi="Arial" w:cs="Arial"/>
          <w:lang w:val="en"/>
        </w:rPr>
        <w:t>2</w:t>
      </w:r>
      <w:r>
        <w:rPr>
          <w:rStyle w:val="y2iqfc"/>
          <w:rFonts w:ascii="Arial" w:hAnsi="Arial" w:cs="Arial"/>
          <w:lang w:val="en"/>
        </w:rPr>
        <w:t>)</w:t>
      </w:r>
      <w:r w:rsidRPr="0033179A">
        <w:rPr>
          <w:rStyle w:val="y2iqfc"/>
          <w:rFonts w:ascii="Arial" w:hAnsi="Arial" w:cs="Arial"/>
          <w:lang w:val="en"/>
        </w:rPr>
        <w:t xml:space="preserve"> </w:t>
      </w:r>
      <w:r>
        <w:rPr>
          <w:rStyle w:val="y2iqfc"/>
          <w:rFonts w:ascii="Arial" w:hAnsi="Arial" w:cs="Arial"/>
          <w:lang w:val="en"/>
        </w:rPr>
        <w:t xml:space="preserve">for the production of DMC </w:t>
      </w:r>
      <w:r w:rsidRPr="0033179A">
        <w:rPr>
          <w:rStyle w:val="y2iqfc"/>
          <w:rFonts w:ascii="Arial" w:hAnsi="Arial" w:cs="Arial"/>
          <w:lang w:val="en"/>
        </w:rPr>
        <w:t xml:space="preserve">and </w:t>
      </w:r>
      <w:r>
        <w:rPr>
          <w:rStyle w:val="y2iqfc"/>
          <w:rFonts w:ascii="Arial" w:hAnsi="Arial" w:cs="Arial"/>
          <w:lang w:val="en"/>
        </w:rPr>
        <w:t>the separation for purification of the DMC</w:t>
      </w:r>
      <w:r w:rsidRPr="0033179A">
        <w:rPr>
          <w:rStyle w:val="y2iqfc"/>
          <w:rFonts w:ascii="Arial" w:hAnsi="Arial" w:cs="Arial"/>
          <w:lang w:val="en"/>
        </w:rPr>
        <w:t xml:space="preserve"> present significant impacts due to energy requirements.</w:t>
      </w:r>
      <w:r w:rsidR="00237B67">
        <w:rPr>
          <w:rStyle w:val="y2iqfc"/>
          <w:rFonts w:ascii="Arial" w:hAnsi="Arial" w:cs="Arial"/>
          <w:lang w:val="en"/>
        </w:rPr>
        <w:t xml:space="preserve"> </w:t>
      </w:r>
      <w:r w:rsidRPr="0033179A">
        <w:rPr>
          <w:rStyle w:val="y2iqfc"/>
          <w:rFonts w:ascii="Arial" w:hAnsi="Arial" w:cs="Arial"/>
          <w:lang w:val="en"/>
        </w:rPr>
        <w:t>For</w:t>
      </w:r>
      <w:r w:rsidR="001505AA">
        <w:rPr>
          <w:rStyle w:val="y2iqfc"/>
          <w:rFonts w:ascii="Arial" w:hAnsi="Arial" w:cs="Arial"/>
          <w:lang w:val="en"/>
        </w:rPr>
        <w:t xml:space="preserve"> the three scenarios, heating has</w:t>
      </w:r>
      <w:r w:rsidRPr="0033179A">
        <w:rPr>
          <w:rStyle w:val="y2iqfc"/>
          <w:rFonts w:ascii="Arial" w:hAnsi="Arial" w:cs="Arial"/>
          <w:lang w:val="en"/>
        </w:rPr>
        <w:t xml:space="preserve"> a preponderant impact on a</w:t>
      </w:r>
      <w:r w:rsidR="003A4703">
        <w:rPr>
          <w:rStyle w:val="y2iqfc"/>
          <w:rFonts w:ascii="Arial" w:hAnsi="Arial" w:cs="Arial"/>
          <w:lang w:val="en"/>
        </w:rPr>
        <w:t xml:space="preserve"> large number of categories. The</w:t>
      </w:r>
      <w:r w:rsidRPr="0033179A">
        <w:rPr>
          <w:rStyle w:val="y2iqfc"/>
          <w:rFonts w:ascii="Arial" w:hAnsi="Arial" w:cs="Arial"/>
          <w:lang w:val="en"/>
        </w:rPr>
        <w:t xml:space="preserve"> three </w:t>
      </w:r>
      <w:r w:rsidR="003A4703">
        <w:rPr>
          <w:rStyle w:val="y2iqfc"/>
          <w:rFonts w:ascii="Arial" w:hAnsi="Arial" w:cs="Arial"/>
          <w:lang w:val="en"/>
        </w:rPr>
        <w:t xml:space="preserve">studied </w:t>
      </w:r>
      <w:r w:rsidRPr="0033179A">
        <w:rPr>
          <w:rStyle w:val="y2iqfc"/>
          <w:rFonts w:ascii="Arial" w:hAnsi="Arial" w:cs="Arial"/>
          <w:lang w:val="en"/>
        </w:rPr>
        <w:t xml:space="preserve">scenarios </w:t>
      </w:r>
      <w:r w:rsidR="003A4703">
        <w:rPr>
          <w:rStyle w:val="y2iqfc"/>
          <w:rFonts w:ascii="Arial" w:hAnsi="Arial" w:cs="Arial"/>
          <w:lang w:val="en"/>
        </w:rPr>
        <w:t xml:space="preserve">conducts to a </w:t>
      </w:r>
      <w:r w:rsidRPr="0033179A">
        <w:rPr>
          <w:rStyle w:val="y2iqfc"/>
          <w:rFonts w:ascii="Arial" w:hAnsi="Arial" w:cs="Arial"/>
          <w:lang w:val="en"/>
        </w:rPr>
        <w:t xml:space="preserve">coherent material balance that are quite similar, but the results of the energy balance diverge. </w:t>
      </w:r>
      <w:r>
        <w:rPr>
          <w:rStyle w:val="y2iqfc"/>
          <w:rFonts w:ascii="Arial" w:hAnsi="Arial" w:cs="Arial"/>
          <w:lang w:val="en"/>
        </w:rPr>
        <w:t>As a result, i</w:t>
      </w:r>
      <w:r w:rsidRPr="0033179A">
        <w:rPr>
          <w:rStyle w:val="y2iqfc"/>
          <w:rFonts w:ascii="Arial" w:hAnsi="Arial" w:cs="Arial"/>
          <w:lang w:val="en"/>
        </w:rPr>
        <w:t xml:space="preserve">t is necessary to increase the precision of the modeling to </w:t>
      </w:r>
      <w:r w:rsidR="003A4703">
        <w:rPr>
          <w:rStyle w:val="y2iqfc"/>
          <w:rFonts w:ascii="Arial" w:hAnsi="Arial" w:cs="Arial"/>
          <w:lang w:val="en"/>
        </w:rPr>
        <w:t>consider</w:t>
      </w:r>
      <w:r w:rsidRPr="0033179A">
        <w:rPr>
          <w:rStyle w:val="y2iqfc"/>
          <w:rFonts w:ascii="Arial" w:hAnsi="Arial" w:cs="Arial"/>
          <w:lang w:val="en"/>
        </w:rPr>
        <w:t xml:space="preserve"> the energy aspect of the process. </w:t>
      </w:r>
    </w:p>
    <w:p w14:paraId="476B2F2E" w14:textId="77777777" w:rsidR="00600535" w:rsidRPr="00B57B36" w:rsidRDefault="00600535" w:rsidP="00600535">
      <w:pPr>
        <w:pStyle w:val="CETHeading1"/>
        <w:rPr>
          <w:lang w:val="en-GB"/>
        </w:rPr>
      </w:pPr>
      <w:r w:rsidRPr="00B57B36">
        <w:rPr>
          <w:lang w:val="en-GB"/>
        </w:rPr>
        <w:t>Introduction</w:t>
      </w:r>
    </w:p>
    <w:p w14:paraId="3E4B08C1" w14:textId="459F6C44" w:rsidR="00237B67" w:rsidRDefault="00237B67" w:rsidP="00237B67">
      <w:pPr>
        <w:pStyle w:val="CETBodytext"/>
        <w:rPr>
          <w:lang w:eastAsia="fr-FR"/>
        </w:rPr>
      </w:pPr>
      <w:r>
        <w:rPr>
          <w:rStyle w:val="y2iqfc"/>
          <w:rFonts w:cs="Arial"/>
          <w:lang w:val="en"/>
        </w:rPr>
        <w:t>Dimethyl carbonate (</w:t>
      </w:r>
      <w:r w:rsidRPr="00237B67">
        <w:rPr>
          <w:lang w:eastAsia="fr-FR"/>
        </w:rPr>
        <w:t>DMC</w:t>
      </w:r>
      <w:r>
        <w:rPr>
          <w:lang w:eastAsia="fr-FR"/>
        </w:rPr>
        <w:t>)</w:t>
      </w:r>
      <w:r w:rsidRPr="00237B67">
        <w:rPr>
          <w:lang w:eastAsia="fr-FR"/>
        </w:rPr>
        <w:t xml:space="preserve"> is currently a clean alternative to toxic phosgene and dimethyl sulfate in methylation or carbonylation reaction</w:t>
      </w:r>
      <w:r w:rsidR="00C373A2">
        <w:rPr>
          <w:lang w:eastAsia="fr-FR"/>
        </w:rPr>
        <w:t>s (Shukla and Srivastava, 2017)</w:t>
      </w:r>
      <w:r w:rsidRPr="00237B67">
        <w:rPr>
          <w:lang w:eastAsia="fr-FR"/>
        </w:rPr>
        <w:t xml:space="preserve">. Urea methanolysis is a promising </w:t>
      </w:r>
      <w:r>
        <w:rPr>
          <w:lang w:eastAsia="fr-FR"/>
        </w:rPr>
        <w:t>pathway</w:t>
      </w:r>
      <w:r w:rsidRPr="00237B67">
        <w:rPr>
          <w:lang w:eastAsia="fr-FR"/>
        </w:rPr>
        <w:t xml:space="preserve"> as reactants can be produc</w:t>
      </w:r>
      <w:r>
        <w:rPr>
          <w:lang w:eastAsia="fr-FR"/>
        </w:rPr>
        <w:t>ed from</w:t>
      </w:r>
      <w:r w:rsidR="00D60D3A">
        <w:rPr>
          <w:lang w:eastAsia="fr-FR"/>
        </w:rPr>
        <w:t xml:space="preserve"> circular</w:t>
      </w:r>
      <w:r w:rsidRPr="00237B67">
        <w:rPr>
          <w:lang w:eastAsia="fr-FR"/>
        </w:rPr>
        <w:t xml:space="preserve"> CO</w:t>
      </w:r>
      <w:r w:rsidRPr="00237B67">
        <w:rPr>
          <w:vertAlign w:val="subscript"/>
          <w:lang w:eastAsia="fr-FR"/>
        </w:rPr>
        <w:t>2</w:t>
      </w:r>
      <w:r w:rsidRPr="00237B67">
        <w:rPr>
          <w:lang w:eastAsia="fr-FR"/>
        </w:rPr>
        <w:t xml:space="preserve"> and ammonia for urea production and</w:t>
      </w:r>
      <w:r w:rsidR="00D60D3A">
        <w:rPr>
          <w:lang w:eastAsia="fr-FR"/>
        </w:rPr>
        <w:t xml:space="preserve"> bio-based</w:t>
      </w:r>
      <w:r w:rsidRPr="00237B67">
        <w:rPr>
          <w:lang w:eastAsia="fr-FR"/>
        </w:rPr>
        <w:t xml:space="preserve"> methan</w:t>
      </w:r>
      <w:r>
        <w:rPr>
          <w:lang w:eastAsia="fr-FR"/>
        </w:rPr>
        <w:t>ol for DMC (Huang et al., 2015)</w:t>
      </w:r>
      <w:r w:rsidRPr="00237B67">
        <w:rPr>
          <w:lang w:eastAsia="fr-FR"/>
        </w:rPr>
        <w:t>. The reaction pathway is composed of three reactions: (R1) produces the methyl carbamate intermediate (MC: NH</w:t>
      </w:r>
      <w:r w:rsidRPr="00237B67">
        <w:rPr>
          <w:vertAlign w:val="subscript"/>
          <w:lang w:eastAsia="fr-FR"/>
        </w:rPr>
        <w:t>2</w:t>
      </w:r>
      <w:r w:rsidRPr="00237B67">
        <w:rPr>
          <w:lang w:eastAsia="fr-FR"/>
        </w:rPr>
        <w:t>COOCH</w:t>
      </w:r>
      <w:r w:rsidRPr="00237B67">
        <w:rPr>
          <w:vertAlign w:val="subscript"/>
          <w:lang w:eastAsia="fr-FR"/>
        </w:rPr>
        <w:t>3</w:t>
      </w:r>
      <w:r w:rsidRPr="00237B67">
        <w:rPr>
          <w:lang w:eastAsia="fr-FR"/>
        </w:rPr>
        <w:t>), (R2) produces DMC and (R3) is a side reaction that produces N-Methyl Methyl Carbamate (NMMC: CH</w:t>
      </w:r>
      <w:r w:rsidRPr="00237B67">
        <w:rPr>
          <w:vertAlign w:val="subscript"/>
          <w:lang w:eastAsia="fr-FR"/>
        </w:rPr>
        <w:t>3</w:t>
      </w:r>
      <w:r w:rsidRPr="00237B67">
        <w:rPr>
          <w:lang w:eastAsia="fr-FR"/>
        </w:rPr>
        <w:t>NH</w:t>
      </w:r>
      <w:r w:rsidRPr="00237B67">
        <w:rPr>
          <w:vertAlign w:val="subscript"/>
          <w:lang w:eastAsia="fr-FR"/>
        </w:rPr>
        <w:t>2</w:t>
      </w:r>
      <w:r w:rsidRPr="00237B67">
        <w:rPr>
          <w:lang w:eastAsia="fr-FR"/>
        </w:rPr>
        <w:t>COOCH</w:t>
      </w:r>
      <w:r w:rsidRPr="00237B67">
        <w:rPr>
          <w:vertAlign w:val="subscript"/>
          <w:lang w:eastAsia="fr-FR"/>
        </w:rPr>
        <w:t>3</w:t>
      </w:r>
      <w:r w:rsidRPr="00237B67">
        <w:rPr>
          <w:lang w:eastAsia="fr-FR"/>
        </w:rPr>
        <w:t>) from the MC and DMC:</w:t>
      </w:r>
    </w:p>
    <w:tbl>
      <w:tblPr>
        <w:tblW w:w="5000" w:type="pct"/>
        <w:tblLook w:val="04A0" w:firstRow="1" w:lastRow="0" w:firstColumn="1" w:lastColumn="0" w:noHBand="0" w:noVBand="1"/>
      </w:tblPr>
      <w:tblGrid>
        <w:gridCol w:w="7986"/>
        <w:gridCol w:w="801"/>
      </w:tblGrid>
      <w:tr w:rsidR="00237B67" w:rsidRPr="00B57B36" w14:paraId="6083C6FE" w14:textId="77777777" w:rsidTr="00237B67">
        <w:tc>
          <w:tcPr>
            <w:tcW w:w="7986" w:type="dxa"/>
          </w:tcPr>
          <w:p w14:paraId="4A20BEF5" w14:textId="0EFAFCD1" w:rsidR="00237B67" w:rsidRPr="00B57B36" w:rsidRDefault="00237B67" w:rsidP="00B723AB">
            <w:pPr>
              <w:pStyle w:val="CETEquation"/>
              <w:spacing w:before="0" w:after="0"/>
              <w:rPr>
                <w:noProof/>
                <w:lang w:val="fr-FR" w:eastAsia="fr-FR"/>
              </w:rPr>
            </w:pPr>
            <w:r w:rsidRPr="00DC7072">
              <w:rPr>
                <w:rFonts w:eastAsia="CIDFont+F1" w:cstheme="minorHAnsi"/>
                <w:lang w:val="en-US"/>
              </w:rPr>
              <w:t>(R1) NH</w:t>
            </w:r>
            <w:r w:rsidRPr="00DC7072">
              <w:rPr>
                <w:rFonts w:eastAsia="CIDFont+F1" w:cstheme="minorHAnsi"/>
                <w:vertAlign w:val="subscript"/>
                <w:lang w:val="en-US"/>
              </w:rPr>
              <w:t>2</w:t>
            </w:r>
            <w:r w:rsidRPr="00DC7072">
              <w:rPr>
                <w:rFonts w:eastAsia="CIDFont+F1" w:cstheme="minorHAnsi"/>
                <w:lang w:val="en-US"/>
              </w:rPr>
              <w:t>CONH</w:t>
            </w:r>
            <w:r w:rsidRPr="00DC7072">
              <w:rPr>
                <w:rFonts w:eastAsia="CIDFont+F1" w:cstheme="minorHAnsi"/>
                <w:vertAlign w:val="subscript"/>
                <w:lang w:val="en-US"/>
              </w:rPr>
              <w:t>2(s)</w:t>
            </w:r>
            <w:r w:rsidRPr="00DC7072">
              <w:rPr>
                <w:rFonts w:eastAsia="CIDFont+F1" w:cstheme="minorHAnsi"/>
                <w:lang w:val="en-US"/>
              </w:rPr>
              <w:t xml:space="preserve"> + CH</w:t>
            </w:r>
            <w:r w:rsidRPr="00DC7072">
              <w:rPr>
                <w:rFonts w:eastAsia="CIDFont+F1" w:cstheme="minorHAnsi"/>
                <w:vertAlign w:val="subscript"/>
                <w:lang w:val="en-US"/>
              </w:rPr>
              <w:t>3</w:t>
            </w:r>
            <w:r w:rsidRPr="00DC7072">
              <w:rPr>
                <w:rFonts w:eastAsia="CIDFont+F1" w:cstheme="minorHAnsi"/>
                <w:lang w:val="en-US"/>
              </w:rPr>
              <w:t>OH</w:t>
            </w:r>
            <w:r w:rsidRPr="00DC7072">
              <w:rPr>
                <w:rFonts w:eastAsia="CIDFont+F1" w:cstheme="minorHAnsi"/>
                <w:vertAlign w:val="subscript"/>
                <w:lang w:val="en-US"/>
              </w:rPr>
              <w:t>(l)</w:t>
            </w:r>
            <w:r w:rsidRPr="00DC7072">
              <w:rPr>
                <w:rFonts w:eastAsia="CIDFont+F1" w:cstheme="minorHAnsi"/>
                <w:lang w:val="en-US"/>
              </w:rPr>
              <w:t xml:space="preserve"> → NH</w:t>
            </w:r>
            <w:r w:rsidRPr="00DC7072">
              <w:rPr>
                <w:rFonts w:eastAsia="CIDFont+F1" w:cstheme="minorHAnsi"/>
                <w:vertAlign w:val="subscript"/>
                <w:lang w:val="en-US"/>
              </w:rPr>
              <w:t>2</w:t>
            </w:r>
            <w:r w:rsidRPr="00DC7072">
              <w:rPr>
                <w:rFonts w:eastAsia="CIDFont+F1" w:cstheme="minorHAnsi"/>
                <w:lang w:val="en-US"/>
              </w:rPr>
              <w:t>COOCH</w:t>
            </w:r>
            <w:r w:rsidRPr="00DC7072">
              <w:rPr>
                <w:rFonts w:eastAsia="CIDFont+F1" w:cstheme="minorHAnsi"/>
                <w:vertAlign w:val="subscript"/>
                <w:lang w:val="en-US"/>
              </w:rPr>
              <w:t>3(s)</w:t>
            </w:r>
            <w:r w:rsidRPr="00DC7072">
              <w:rPr>
                <w:rFonts w:eastAsia="CIDFont+F1" w:cstheme="minorHAnsi"/>
                <w:lang w:val="en-US"/>
              </w:rPr>
              <w:t xml:space="preserve"> + NH</w:t>
            </w:r>
            <w:r w:rsidRPr="00DC7072">
              <w:rPr>
                <w:rFonts w:eastAsia="CIDFont+F1" w:cstheme="minorHAnsi"/>
                <w:vertAlign w:val="subscript"/>
                <w:lang w:val="en-US"/>
              </w:rPr>
              <w:t>3(g)</w:t>
            </w:r>
          </w:p>
        </w:tc>
        <w:tc>
          <w:tcPr>
            <w:tcW w:w="801" w:type="dxa"/>
            <w:shd w:val="clear" w:color="auto" w:fill="auto"/>
            <w:vAlign w:val="center"/>
          </w:tcPr>
          <w:p w14:paraId="26067358" w14:textId="77777777" w:rsidR="00237B67" w:rsidRPr="00B57B36" w:rsidRDefault="00237B67" w:rsidP="00B723AB">
            <w:pPr>
              <w:pStyle w:val="CETEquation"/>
              <w:spacing w:before="0" w:after="0"/>
              <w:jc w:val="right"/>
            </w:pPr>
            <w:r w:rsidRPr="00B57B36">
              <w:t>(1)</w:t>
            </w:r>
          </w:p>
        </w:tc>
      </w:tr>
      <w:tr w:rsidR="00237B67" w:rsidRPr="00B57B36" w14:paraId="09F6EC17" w14:textId="77777777" w:rsidTr="00237B67">
        <w:tc>
          <w:tcPr>
            <w:tcW w:w="7986" w:type="dxa"/>
          </w:tcPr>
          <w:p w14:paraId="2C58AD07" w14:textId="402F6FB9" w:rsidR="00237B67" w:rsidRPr="00DC7072" w:rsidRDefault="00237B67" w:rsidP="00B723AB">
            <w:pPr>
              <w:pStyle w:val="CETEquation"/>
              <w:spacing w:before="0" w:after="0"/>
              <w:rPr>
                <w:rFonts w:eastAsia="CIDFont+F1" w:cstheme="minorHAnsi"/>
              </w:rPr>
            </w:pPr>
            <w:r w:rsidRPr="00DC7072">
              <w:rPr>
                <w:rFonts w:eastAsia="CIDFont+F1" w:cstheme="minorHAnsi"/>
                <w:lang w:val="en-US"/>
              </w:rPr>
              <w:t>(R2) NH</w:t>
            </w:r>
            <w:r w:rsidRPr="00DC7072">
              <w:rPr>
                <w:rFonts w:eastAsia="CIDFont+F1" w:cstheme="minorHAnsi"/>
                <w:vertAlign w:val="subscript"/>
                <w:lang w:val="en-US"/>
              </w:rPr>
              <w:t>2</w:t>
            </w:r>
            <w:r w:rsidRPr="00DC7072">
              <w:rPr>
                <w:rFonts w:eastAsia="CIDFont+F1" w:cstheme="minorHAnsi"/>
                <w:lang w:val="en-US"/>
              </w:rPr>
              <w:t>COOCH</w:t>
            </w:r>
            <w:r w:rsidRPr="00DC7072">
              <w:rPr>
                <w:rFonts w:eastAsia="CIDFont+F1" w:cstheme="minorHAnsi"/>
                <w:vertAlign w:val="subscript"/>
                <w:lang w:val="en-US"/>
              </w:rPr>
              <w:t>3(s)</w:t>
            </w:r>
            <w:r w:rsidRPr="00DC7072">
              <w:rPr>
                <w:rFonts w:eastAsia="CIDFont+F1" w:cstheme="minorHAnsi"/>
                <w:lang w:val="en-US"/>
              </w:rPr>
              <w:t xml:space="preserve"> + CH</w:t>
            </w:r>
            <w:r w:rsidRPr="00DC7072">
              <w:rPr>
                <w:rFonts w:eastAsia="CIDFont+F1" w:cstheme="minorHAnsi"/>
                <w:vertAlign w:val="subscript"/>
                <w:lang w:val="en-US"/>
              </w:rPr>
              <w:t>3</w:t>
            </w:r>
            <w:r w:rsidRPr="00DC7072">
              <w:rPr>
                <w:rFonts w:eastAsia="CIDFont+F1" w:cstheme="minorHAnsi"/>
                <w:lang w:val="en-US"/>
              </w:rPr>
              <w:t>OH</w:t>
            </w:r>
            <w:r w:rsidRPr="00DC7072">
              <w:rPr>
                <w:rFonts w:eastAsia="CIDFont+F1" w:cstheme="minorHAnsi"/>
                <w:vertAlign w:val="subscript"/>
                <w:lang w:val="en-US"/>
              </w:rPr>
              <w:t>(l)</w:t>
            </w:r>
            <w:r w:rsidRPr="00DC7072">
              <w:rPr>
                <w:rFonts w:eastAsia="CIDFont+F1" w:cstheme="minorHAnsi"/>
                <w:lang w:val="en-US"/>
              </w:rPr>
              <w:t xml:space="preserve"> → (CH</w:t>
            </w:r>
            <w:r w:rsidRPr="00DC7072">
              <w:rPr>
                <w:rFonts w:eastAsia="CIDFont+F1" w:cstheme="minorHAnsi"/>
                <w:vertAlign w:val="subscript"/>
                <w:lang w:val="en-US"/>
              </w:rPr>
              <w:t>3</w:t>
            </w:r>
            <w:r w:rsidRPr="00DC7072">
              <w:rPr>
                <w:rFonts w:eastAsia="CIDFont+F1" w:cstheme="minorHAnsi"/>
                <w:lang w:val="en-US"/>
              </w:rPr>
              <w:t>O)</w:t>
            </w:r>
            <w:r w:rsidRPr="00DC7072">
              <w:rPr>
                <w:rFonts w:eastAsia="CIDFont+F1" w:cstheme="minorHAnsi"/>
                <w:vertAlign w:val="subscript"/>
                <w:lang w:val="en-US"/>
              </w:rPr>
              <w:t>2</w:t>
            </w:r>
            <w:r w:rsidRPr="00DC7072">
              <w:rPr>
                <w:rFonts w:eastAsia="CIDFont+F1" w:cstheme="minorHAnsi"/>
                <w:lang w:val="en-US"/>
              </w:rPr>
              <w:t>CO</w:t>
            </w:r>
            <w:r w:rsidRPr="00DC7072">
              <w:rPr>
                <w:rFonts w:eastAsia="CIDFont+F1" w:cstheme="minorHAnsi"/>
                <w:vertAlign w:val="subscript"/>
                <w:lang w:val="en-US"/>
              </w:rPr>
              <w:t>(l)</w:t>
            </w:r>
            <w:r w:rsidRPr="00DC7072">
              <w:rPr>
                <w:rFonts w:eastAsia="CIDFont+F1" w:cstheme="minorHAnsi"/>
                <w:lang w:val="en-US"/>
              </w:rPr>
              <w:t xml:space="preserve"> + NH3</w:t>
            </w:r>
            <w:r w:rsidRPr="00DC7072">
              <w:rPr>
                <w:rFonts w:eastAsia="CIDFont+F1" w:cstheme="minorHAnsi"/>
                <w:vertAlign w:val="subscript"/>
                <w:lang w:val="en-US"/>
              </w:rPr>
              <w:t>(g)</w:t>
            </w:r>
            <w:r w:rsidRPr="00DC7072">
              <w:rPr>
                <w:noProof/>
                <w:lang w:val="en-US"/>
              </w:rPr>
              <w:t xml:space="preserve"> </w:t>
            </w:r>
          </w:p>
        </w:tc>
        <w:tc>
          <w:tcPr>
            <w:tcW w:w="801" w:type="dxa"/>
            <w:shd w:val="clear" w:color="auto" w:fill="auto"/>
            <w:vAlign w:val="center"/>
          </w:tcPr>
          <w:p w14:paraId="56FED9D0" w14:textId="2E7A9C12" w:rsidR="00237B67" w:rsidRPr="00B57B36" w:rsidRDefault="00237B67" w:rsidP="00B723AB">
            <w:pPr>
              <w:pStyle w:val="CETEquation"/>
              <w:spacing w:before="0" w:after="0"/>
              <w:jc w:val="right"/>
            </w:pPr>
            <w:r>
              <w:t>(2)</w:t>
            </w:r>
          </w:p>
        </w:tc>
      </w:tr>
      <w:tr w:rsidR="00237B67" w:rsidRPr="00B57B36" w14:paraId="5703DF7D" w14:textId="77777777" w:rsidTr="00237B67">
        <w:tc>
          <w:tcPr>
            <w:tcW w:w="7986" w:type="dxa"/>
          </w:tcPr>
          <w:p w14:paraId="368F7848" w14:textId="79EC72A9" w:rsidR="00237B67" w:rsidRPr="00DC7072" w:rsidRDefault="00237B67" w:rsidP="00B723AB">
            <w:pPr>
              <w:pStyle w:val="CETEquation"/>
              <w:spacing w:before="0" w:after="0"/>
              <w:rPr>
                <w:rFonts w:eastAsia="CIDFont+F1" w:cstheme="minorHAnsi"/>
                <w:lang w:val="en-US"/>
              </w:rPr>
            </w:pPr>
            <w:r w:rsidRPr="00DC7072">
              <w:rPr>
                <w:lang w:val="en-US"/>
              </w:rPr>
              <w:t xml:space="preserve">(R3) </w:t>
            </w:r>
            <w:r w:rsidRPr="00DC7072">
              <w:rPr>
                <w:rFonts w:eastAsia="CIDFont+F1" w:cstheme="minorHAnsi"/>
                <w:lang w:val="en-US"/>
              </w:rPr>
              <w:t>NH</w:t>
            </w:r>
            <w:r w:rsidRPr="00DC7072">
              <w:rPr>
                <w:rFonts w:eastAsia="CIDFont+F1" w:cstheme="minorHAnsi"/>
                <w:vertAlign w:val="subscript"/>
                <w:lang w:val="en-US"/>
              </w:rPr>
              <w:t>2</w:t>
            </w:r>
            <w:r w:rsidRPr="00DC7072">
              <w:rPr>
                <w:rFonts w:eastAsia="CIDFont+F1" w:cstheme="minorHAnsi"/>
                <w:lang w:val="en-US"/>
              </w:rPr>
              <w:t>COOCH</w:t>
            </w:r>
            <w:r w:rsidRPr="00DC7072">
              <w:rPr>
                <w:rFonts w:eastAsia="CIDFont+F1" w:cstheme="minorHAnsi"/>
                <w:vertAlign w:val="subscript"/>
                <w:lang w:val="en-US"/>
              </w:rPr>
              <w:t>3(s)</w:t>
            </w:r>
            <w:r w:rsidRPr="00DC7072">
              <w:rPr>
                <w:lang w:val="en-US"/>
              </w:rPr>
              <w:t xml:space="preserve"> + </w:t>
            </w:r>
            <w:r w:rsidRPr="00DC7072">
              <w:rPr>
                <w:rFonts w:eastAsia="CIDFont+F1" w:cstheme="minorHAnsi"/>
                <w:lang w:val="en-US"/>
              </w:rPr>
              <w:t>(CH</w:t>
            </w:r>
            <w:r w:rsidRPr="00DC7072">
              <w:rPr>
                <w:rFonts w:eastAsia="CIDFont+F1" w:cstheme="minorHAnsi"/>
                <w:vertAlign w:val="subscript"/>
                <w:lang w:val="en-US"/>
              </w:rPr>
              <w:t>3</w:t>
            </w:r>
            <w:r w:rsidRPr="00DC7072">
              <w:rPr>
                <w:rFonts w:eastAsia="CIDFont+F1" w:cstheme="minorHAnsi"/>
                <w:lang w:val="en-US"/>
              </w:rPr>
              <w:t>O)</w:t>
            </w:r>
            <w:r w:rsidRPr="00DC7072">
              <w:rPr>
                <w:rFonts w:eastAsia="CIDFont+F1" w:cstheme="minorHAnsi"/>
                <w:vertAlign w:val="subscript"/>
                <w:lang w:val="en-US"/>
              </w:rPr>
              <w:t>2</w:t>
            </w:r>
            <w:r w:rsidRPr="00DC7072">
              <w:rPr>
                <w:rFonts w:eastAsia="CIDFont+F1" w:cstheme="minorHAnsi"/>
                <w:lang w:val="en-US"/>
              </w:rPr>
              <w:t>CO</w:t>
            </w:r>
            <w:r w:rsidRPr="00DC7072">
              <w:rPr>
                <w:rFonts w:eastAsia="CIDFont+F1" w:cstheme="minorHAnsi"/>
                <w:vertAlign w:val="subscript"/>
                <w:lang w:val="en-US"/>
              </w:rPr>
              <w:t>(l)</w:t>
            </w:r>
            <w:r w:rsidRPr="00DC7072">
              <w:rPr>
                <w:lang w:val="en-US"/>
              </w:rPr>
              <w:t>→ CH</w:t>
            </w:r>
            <w:r w:rsidRPr="00DC7072">
              <w:rPr>
                <w:vertAlign w:val="subscript"/>
                <w:lang w:val="en-US"/>
              </w:rPr>
              <w:t>3</w:t>
            </w:r>
            <w:r w:rsidRPr="00DC7072">
              <w:rPr>
                <w:lang w:val="en-US"/>
              </w:rPr>
              <w:t>NH</w:t>
            </w:r>
            <w:r w:rsidRPr="00DC7072">
              <w:rPr>
                <w:vertAlign w:val="subscript"/>
                <w:lang w:val="en-US"/>
              </w:rPr>
              <w:t>2</w:t>
            </w:r>
            <w:r w:rsidRPr="00DC7072">
              <w:rPr>
                <w:lang w:val="en-US"/>
              </w:rPr>
              <w:t>COOCH</w:t>
            </w:r>
            <w:r w:rsidRPr="00DC7072">
              <w:rPr>
                <w:vertAlign w:val="subscript"/>
                <w:lang w:val="en-US"/>
              </w:rPr>
              <w:t>3</w:t>
            </w:r>
            <w:r w:rsidRPr="00DC7072">
              <w:rPr>
                <w:lang w:val="en-US"/>
              </w:rPr>
              <w:t>(l)+ CO</w:t>
            </w:r>
            <w:r w:rsidRPr="00DC7072">
              <w:rPr>
                <w:vertAlign w:val="subscript"/>
                <w:lang w:val="en-US"/>
              </w:rPr>
              <w:t>2</w:t>
            </w:r>
            <w:r w:rsidRPr="00DC7072">
              <w:rPr>
                <w:lang w:val="en-US"/>
              </w:rPr>
              <w:t>(g) + CH</w:t>
            </w:r>
            <w:r w:rsidRPr="00DC7072">
              <w:rPr>
                <w:vertAlign w:val="subscript"/>
                <w:lang w:val="en-US"/>
              </w:rPr>
              <w:t>3</w:t>
            </w:r>
            <w:r w:rsidRPr="00DC7072">
              <w:rPr>
                <w:lang w:val="en-US"/>
              </w:rPr>
              <w:t>OH(l)</w:t>
            </w:r>
          </w:p>
        </w:tc>
        <w:tc>
          <w:tcPr>
            <w:tcW w:w="801" w:type="dxa"/>
            <w:shd w:val="clear" w:color="auto" w:fill="auto"/>
            <w:vAlign w:val="center"/>
          </w:tcPr>
          <w:p w14:paraId="3D894AB5" w14:textId="17350C57" w:rsidR="00237B67" w:rsidRPr="00B57B36" w:rsidRDefault="00237B67" w:rsidP="00B723AB">
            <w:pPr>
              <w:pStyle w:val="CETEquation"/>
              <w:spacing w:before="0" w:after="0"/>
              <w:jc w:val="right"/>
            </w:pPr>
            <w:r>
              <w:t>(3)</w:t>
            </w:r>
          </w:p>
        </w:tc>
      </w:tr>
    </w:tbl>
    <w:p w14:paraId="3A0CA575" w14:textId="04336628" w:rsidR="008651ED" w:rsidRDefault="00237B67" w:rsidP="008651ED">
      <w:pPr>
        <w:pStyle w:val="CETBodytext"/>
        <w:rPr>
          <w:lang w:eastAsia="fr-FR"/>
        </w:rPr>
      </w:pPr>
      <w:r w:rsidRPr="00237B67">
        <w:rPr>
          <w:lang w:eastAsia="fr-FR"/>
        </w:rPr>
        <w:t xml:space="preserve">Modeling/simulation of the urea methanolysis process is very little studied in the scientific literature. Studies have considered (R1) to be instantaneous with complete conversion and without catalyst and the side reaction (R3) is generally neglected. The main </w:t>
      </w:r>
      <w:r w:rsidR="008651ED">
        <w:rPr>
          <w:lang w:eastAsia="fr-FR"/>
        </w:rPr>
        <w:t>limits</w:t>
      </w:r>
      <w:r w:rsidRPr="00237B67">
        <w:rPr>
          <w:lang w:eastAsia="fr-FR"/>
        </w:rPr>
        <w:t xml:space="preserve"> of this chemical pathway are based on the thermodynamic limitations of the reaction (R2) requiring a high excess of methanol and severe reaction conditions. Zn-based catalysts showed the best efficiencies with a yield between 30% and 50% (Shukla and Srivastava, 2017). Kongpanna et al. (2015) proposed a thermodynamic equilibrium model considering that the reaction (R2) takes place in the vapor phase in an ideally stirred reactor. However, this equilibrium model is not correct because in reality the reactions take </w:t>
      </w:r>
      <w:r w:rsidRPr="008651ED">
        <w:rPr>
          <w:rStyle w:val="CETBodytextCarattere"/>
        </w:rPr>
        <w:t xml:space="preserve">place in the liquid phase. </w:t>
      </w:r>
      <w:r w:rsidR="008651ED" w:rsidRPr="008651ED">
        <w:rPr>
          <w:rStyle w:val="CETBodytextCarattere"/>
          <w:lang w:val="en" w:eastAsia="fr-FR"/>
        </w:rPr>
        <w:t>This thermodynamic model for (R2) was adopted by Vazquez et al. (2018) for the simulation of a reactive distillation column including the reaction (R3) with a conversion rate of 2% (Shukla and Srivastava, 2017). Several authors have performed an environmental assessment based on process simulation results using atom economy, energy efficiency and CO2 emission. Kongpanna et al., (2015) concluded that an increase in the reaction yield (R2) is essential for a favorable effect on the environment.</w:t>
      </w:r>
      <w:r w:rsidR="008651ED">
        <w:rPr>
          <w:rStyle w:val="CETBodytextCarattere"/>
          <w:lang w:val="en" w:eastAsia="fr-FR"/>
        </w:rPr>
        <w:t xml:space="preserve"> </w:t>
      </w:r>
      <w:r w:rsidR="008651ED" w:rsidRPr="008651ED">
        <w:rPr>
          <w:lang w:eastAsia="fr-FR"/>
        </w:rPr>
        <w:t xml:space="preserve">Sanchez et al. (2019) also performed an environmental assessment using a polynomial model of the yield of DMC and NMMC as a function of temperature and pressure in a plug-flow reactor. The optimal values of </w:t>
      </w:r>
      <w:r w:rsidR="008651ED" w:rsidRPr="008651ED">
        <w:rPr>
          <w:lang w:eastAsia="fr-FR"/>
        </w:rPr>
        <w:lastRenderedPageBreak/>
        <w:t xml:space="preserve">temperature and pressure avoided the formation of NMMC but with a yield of 48% for DMC. To our knowledge, no environmental assessment </w:t>
      </w:r>
      <w:r w:rsidR="008651ED">
        <w:rPr>
          <w:lang w:eastAsia="fr-FR"/>
        </w:rPr>
        <w:t xml:space="preserve">using Life cycle </w:t>
      </w:r>
      <w:r w:rsidR="001505AA">
        <w:rPr>
          <w:lang w:eastAsia="fr-FR"/>
        </w:rPr>
        <w:t>assessment</w:t>
      </w:r>
      <w:r w:rsidR="008651ED" w:rsidRPr="008651ED">
        <w:rPr>
          <w:lang w:eastAsia="fr-FR"/>
        </w:rPr>
        <w:t xml:space="preserve"> </w:t>
      </w:r>
      <w:r w:rsidR="008651ED">
        <w:rPr>
          <w:lang w:eastAsia="fr-FR"/>
        </w:rPr>
        <w:t xml:space="preserve">(LCA) </w:t>
      </w:r>
      <w:r w:rsidR="008651ED" w:rsidRPr="008651ED">
        <w:rPr>
          <w:lang w:eastAsia="fr-FR"/>
        </w:rPr>
        <w:t>has been carried out for this synthesis route. The environmental results will make it possible to (1) determine which unit steps and/or elements are the major contributors to each scenario and (2) quantify the total environmental impacts generated by each scenario in order to compare them.</w:t>
      </w:r>
    </w:p>
    <w:p w14:paraId="7A15605D" w14:textId="72090495" w:rsidR="00281FAA" w:rsidRPr="008651ED" w:rsidRDefault="00281FAA" w:rsidP="00281FAA">
      <w:pPr>
        <w:pStyle w:val="CETHeading1"/>
        <w:rPr>
          <w:lang w:eastAsia="fr-FR"/>
        </w:rPr>
      </w:pPr>
      <w:r>
        <w:rPr>
          <w:lang w:eastAsia="fr-FR"/>
        </w:rPr>
        <w:t xml:space="preserve">Modeling and simulation of </w:t>
      </w:r>
      <w:r w:rsidRPr="008651ED">
        <w:rPr>
          <w:lang w:eastAsia="fr-FR"/>
        </w:rPr>
        <w:t>DMC production process by urea methanolysis</w:t>
      </w:r>
    </w:p>
    <w:p w14:paraId="53690D94" w14:textId="5F01C21D" w:rsidR="008651ED" w:rsidRPr="008651ED" w:rsidRDefault="008651ED" w:rsidP="00281FAA">
      <w:pPr>
        <w:pStyle w:val="CETheadingx"/>
        <w:rPr>
          <w:lang w:val="fr-FR" w:eastAsia="fr-FR"/>
        </w:rPr>
      </w:pPr>
      <w:r w:rsidRPr="008651ED">
        <w:rPr>
          <w:lang w:eastAsia="fr-FR"/>
        </w:rPr>
        <w:t xml:space="preserve">Modeling of the DMC production process </w:t>
      </w:r>
    </w:p>
    <w:p w14:paraId="6C36DC45" w14:textId="4F182AB9" w:rsidR="008651ED" w:rsidRPr="008651ED" w:rsidRDefault="008651ED" w:rsidP="008651ED">
      <w:pPr>
        <w:pStyle w:val="CETBodytext"/>
        <w:rPr>
          <w:lang w:val="fr-FR" w:eastAsia="fr-FR"/>
        </w:rPr>
      </w:pPr>
      <w:r w:rsidRPr="008651ED">
        <w:rPr>
          <w:lang w:eastAsia="fr-FR"/>
        </w:rPr>
        <w:t>Three scenarios were designed to model the reactions (R1), (R2) and (R3), which correspond to different degrees of knowledge of these reactions at the laboratory scale. Table 1 shows the parameters of each model used for the simulation of reactions with adapted technologies. The parameters of the kinetic model of the reaction (R1) were calculated from experimental data without catalyst reported by Sun et al. (2004). In the case of reactions (R2) and (R3), an experimental kinetic study was carried out by Zhao et al.</w:t>
      </w:r>
      <w:r w:rsidR="00775588">
        <w:rPr>
          <w:lang w:eastAsia="fr-FR"/>
        </w:rPr>
        <w:t xml:space="preserve"> (2012) using ZnO as a catalyst</w:t>
      </w:r>
      <w:r w:rsidR="00302311">
        <w:rPr>
          <w:lang w:eastAsia="fr-FR"/>
        </w:rPr>
        <w:t xml:space="preserve">. </w:t>
      </w:r>
      <w:r w:rsidRPr="008651ED">
        <w:rPr>
          <w:lang w:eastAsia="fr-FR"/>
        </w:rPr>
        <w:t>We used the FactSage software (Bale et al., 2016) to obtain the model of the equilibrium constant in the temperature interval 373 – 443 K suggested by Huang et al. (2015). The equilibrium constant calculated at 160°C of 7.34 is very close to the value determined experimentally by Zeng et al. (2010) of 7.23.</w:t>
      </w:r>
    </w:p>
    <w:p w14:paraId="2D2ACC71" w14:textId="604132AC" w:rsidR="00302311" w:rsidRDefault="008651ED" w:rsidP="00302311">
      <w:pPr>
        <w:pStyle w:val="CETTabletitle"/>
      </w:pPr>
      <w:r>
        <w:t>Table</w:t>
      </w:r>
      <w:r w:rsidRPr="00A0087A">
        <w:t xml:space="preserve"> 1</w:t>
      </w:r>
      <w:r w:rsidRPr="00526CFF">
        <w:t xml:space="preserve">. </w:t>
      </w:r>
      <w:r>
        <w:t>Scenarios d</w:t>
      </w:r>
      <w:r w:rsidRPr="00526CFF">
        <w:t xml:space="preserve">escription </w:t>
      </w:r>
      <w:r w:rsidR="00302311">
        <w:t>for the modeling</w:t>
      </w:r>
      <w:r>
        <w:t xml:space="preserve"> of the reactions</w:t>
      </w:r>
      <w:r w:rsidR="00302311">
        <w:t xml:space="preserve">                                                                            </w:t>
      </w:r>
      <w:r w:rsidR="00302311">
        <w:rPr>
          <w:lang w:eastAsia="fr-FR"/>
        </w:rPr>
        <w:t>r</w:t>
      </w:r>
      <w:r w:rsidR="00302311" w:rsidRPr="00302311">
        <w:rPr>
          <w:vertAlign w:val="subscript"/>
          <w:lang w:eastAsia="fr-FR"/>
        </w:rPr>
        <w:t>j</w:t>
      </w:r>
      <w:r w:rsidR="00302311" w:rsidRPr="008651ED">
        <w:rPr>
          <w:lang w:eastAsia="fr-FR"/>
        </w:rPr>
        <w:t xml:space="preserve"> (mol.L</w:t>
      </w:r>
      <w:r w:rsidR="00302311" w:rsidRPr="008651ED">
        <w:rPr>
          <w:vertAlign w:val="superscript"/>
          <w:lang w:eastAsia="fr-FR"/>
        </w:rPr>
        <w:t>-1</w:t>
      </w:r>
      <w:r w:rsidR="00302311" w:rsidRPr="008651ED">
        <w:rPr>
          <w:lang w:eastAsia="fr-FR"/>
        </w:rPr>
        <w:t>) is the reaction rate with the reactant concentrations expressed in mol.L</w:t>
      </w:r>
      <w:r w:rsidR="00302311" w:rsidRPr="008651ED">
        <w:rPr>
          <w:vertAlign w:val="superscript"/>
          <w:lang w:eastAsia="fr-FR"/>
        </w:rPr>
        <w:t>-1</w:t>
      </w:r>
      <w:r w:rsidR="00302311" w:rsidRPr="008651ED">
        <w:rPr>
          <w:lang w:eastAsia="fr-FR"/>
        </w:rPr>
        <w:t>, the activation energy in J.mol</w:t>
      </w:r>
      <w:r w:rsidR="00302311" w:rsidRPr="008651ED">
        <w:rPr>
          <w:vertAlign w:val="superscript"/>
          <w:lang w:eastAsia="fr-FR"/>
        </w:rPr>
        <w:t>-1</w:t>
      </w:r>
      <w:r w:rsidR="00302311" w:rsidRPr="008651ED">
        <w:rPr>
          <w:lang w:eastAsia="fr-FR"/>
        </w:rPr>
        <w:t xml:space="preserve"> and the temperature T in K. R is the gas constant (J.mol</w:t>
      </w:r>
      <w:r w:rsidR="00302311" w:rsidRPr="008651ED">
        <w:rPr>
          <w:vertAlign w:val="superscript"/>
          <w:lang w:eastAsia="fr-FR"/>
        </w:rPr>
        <w:t>-1</w:t>
      </w:r>
      <w:r w:rsidR="00302311">
        <w:rPr>
          <w:lang w:eastAsia="fr-FR"/>
        </w:rPr>
        <w:t>.</w:t>
      </w:r>
      <w:r w:rsidR="00302311" w:rsidRPr="008651ED">
        <w:rPr>
          <w:lang w:eastAsia="fr-FR"/>
        </w:rPr>
        <w:t>K</w:t>
      </w:r>
      <w:r w:rsidR="00302311" w:rsidRPr="008651ED">
        <w:rPr>
          <w:vertAlign w:val="superscript"/>
          <w:lang w:eastAsia="fr-FR"/>
        </w:rPr>
        <w:t>-1</w:t>
      </w:r>
      <w:r w:rsidR="00302311" w:rsidRPr="008651ED">
        <w:rPr>
          <w:lang w:eastAsia="fr-FR"/>
        </w:rPr>
        <w:t>).</w:t>
      </w:r>
    </w:p>
    <w:tbl>
      <w:tblPr>
        <w:tblW w:w="8935"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3260"/>
        <w:gridCol w:w="4399"/>
      </w:tblGrid>
      <w:tr w:rsidR="008651ED" w:rsidRPr="00AE46F8" w14:paraId="7135A8B8" w14:textId="77777777" w:rsidTr="00AE46F8">
        <w:trPr>
          <w:jc w:val="center"/>
        </w:trPr>
        <w:tc>
          <w:tcPr>
            <w:tcW w:w="8935" w:type="dxa"/>
            <w:gridSpan w:val="3"/>
            <w:tcBorders>
              <w:top w:val="single" w:sz="12" w:space="0" w:color="008000"/>
              <w:bottom w:val="single" w:sz="6" w:space="0" w:color="008000"/>
            </w:tcBorders>
            <w:shd w:val="clear" w:color="auto" w:fill="FFFFFF"/>
            <w:vAlign w:val="center"/>
          </w:tcPr>
          <w:p w14:paraId="0F70B0A7" w14:textId="42D8FE3D" w:rsidR="008651ED" w:rsidRPr="00AE46F8" w:rsidRDefault="008651ED" w:rsidP="00AE46F8">
            <w:pPr>
              <w:pStyle w:val="CETBodytext"/>
              <w:jc w:val="center"/>
              <w:rPr>
                <w:sz w:val="16"/>
                <w:szCs w:val="16"/>
              </w:rPr>
            </w:pPr>
            <w:r w:rsidRPr="00AE46F8">
              <w:rPr>
                <w:rFonts w:cs="Arial"/>
                <w:sz w:val="16"/>
                <w:szCs w:val="16"/>
              </w:rPr>
              <w:sym w:font="Wingdings" w:char="F0E0"/>
            </w:r>
            <w:r w:rsidRPr="00AE46F8">
              <w:rPr>
                <w:rFonts w:cs="Arial"/>
                <w:sz w:val="16"/>
                <w:szCs w:val="16"/>
              </w:rPr>
              <w:t xml:space="preserve">     Increasing level of knowledge      </w:t>
            </w:r>
            <w:r w:rsidRPr="00AE46F8">
              <w:rPr>
                <w:rFonts w:cs="Arial"/>
                <w:sz w:val="16"/>
                <w:szCs w:val="16"/>
              </w:rPr>
              <w:sym w:font="Wingdings" w:char="F0E0"/>
            </w:r>
          </w:p>
        </w:tc>
      </w:tr>
      <w:tr w:rsidR="008651ED" w:rsidRPr="00AE46F8" w14:paraId="362256E1" w14:textId="77777777" w:rsidTr="00302311">
        <w:trPr>
          <w:jc w:val="center"/>
        </w:trPr>
        <w:tc>
          <w:tcPr>
            <w:tcW w:w="1276" w:type="dxa"/>
            <w:tcBorders>
              <w:top w:val="single" w:sz="12" w:space="0" w:color="008000"/>
              <w:bottom w:val="single" w:sz="4" w:space="0" w:color="008000"/>
            </w:tcBorders>
            <w:shd w:val="clear" w:color="auto" w:fill="FFFFFF"/>
            <w:vAlign w:val="center"/>
          </w:tcPr>
          <w:p w14:paraId="765F5568" w14:textId="77777777" w:rsidR="008651ED" w:rsidRPr="00AE46F8" w:rsidRDefault="008651ED" w:rsidP="00AE46F8">
            <w:pPr>
              <w:pStyle w:val="CETBodytext"/>
              <w:jc w:val="left"/>
              <w:rPr>
                <w:sz w:val="16"/>
                <w:szCs w:val="16"/>
              </w:rPr>
            </w:pPr>
            <w:r w:rsidRPr="00AE46F8">
              <w:rPr>
                <w:sz w:val="16"/>
                <w:szCs w:val="16"/>
              </w:rPr>
              <w:t>Scenario I</w:t>
            </w:r>
          </w:p>
          <w:p w14:paraId="33A7CFA0" w14:textId="425C672D" w:rsidR="008651ED" w:rsidRPr="00AE46F8" w:rsidRDefault="008651ED" w:rsidP="00AE46F8">
            <w:pPr>
              <w:pStyle w:val="CETBodytext"/>
              <w:jc w:val="left"/>
              <w:rPr>
                <w:sz w:val="16"/>
                <w:szCs w:val="16"/>
              </w:rPr>
            </w:pPr>
            <w:r w:rsidRPr="00AE46F8">
              <w:rPr>
                <w:sz w:val="16"/>
                <w:szCs w:val="16"/>
              </w:rPr>
              <w:t>Conversion rate</w:t>
            </w:r>
          </w:p>
        </w:tc>
        <w:tc>
          <w:tcPr>
            <w:tcW w:w="3260" w:type="dxa"/>
            <w:tcBorders>
              <w:top w:val="single" w:sz="12" w:space="0" w:color="008000"/>
              <w:bottom w:val="single" w:sz="4" w:space="0" w:color="008000"/>
            </w:tcBorders>
            <w:shd w:val="clear" w:color="auto" w:fill="FFFFFF"/>
            <w:vAlign w:val="center"/>
          </w:tcPr>
          <w:p w14:paraId="3FE2F1D1" w14:textId="77777777" w:rsidR="008651ED" w:rsidRPr="00AE46F8" w:rsidRDefault="008651ED" w:rsidP="00AE46F8">
            <w:pPr>
              <w:pStyle w:val="CETBodytext"/>
              <w:jc w:val="left"/>
              <w:rPr>
                <w:sz w:val="16"/>
                <w:szCs w:val="16"/>
              </w:rPr>
            </w:pPr>
            <w:r w:rsidRPr="00AE46F8">
              <w:rPr>
                <w:sz w:val="16"/>
                <w:szCs w:val="16"/>
              </w:rPr>
              <w:t>Scenario II</w:t>
            </w:r>
          </w:p>
          <w:p w14:paraId="47D5005F" w14:textId="0063C2FD" w:rsidR="008651ED" w:rsidRPr="00AE46F8" w:rsidRDefault="008651ED" w:rsidP="00AE46F8">
            <w:pPr>
              <w:pStyle w:val="CETBodytext"/>
              <w:jc w:val="left"/>
              <w:rPr>
                <w:sz w:val="16"/>
                <w:szCs w:val="16"/>
              </w:rPr>
            </w:pPr>
            <w:r w:rsidRPr="00AE46F8">
              <w:rPr>
                <w:sz w:val="16"/>
                <w:szCs w:val="16"/>
              </w:rPr>
              <w:t>Equilibrium model (T,K)</w:t>
            </w:r>
          </w:p>
        </w:tc>
        <w:tc>
          <w:tcPr>
            <w:tcW w:w="4399" w:type="dxa"/>
            <w:tcBorders>
              <w:top w:val="single" w:sz="12" w:space="0" w:color="008000"/>
              <w:bottom w:val="single" w:sz="4" w:space="0" w:color="008000"/>
            </w:tcBorders>
            <w:shd w:val="clear" w:color="auto" w:fill="FFFFFF"/>
            <w:vAlign w:val="center"/>
          </w:tcPr>
          <w:p w14:paraId="74EB5BF2" w14:textId="77777777" w:rsidR="008651ED" w:rsidRPr="00AE46F8" w:rsidRDefault="008651ED" w:rsidP="00AE46F8">
            <w:pPr>
              <w:pStyle w:val="CETBodytext"/>
              <w:jc w:val="left"/>
              <w:rPr>
                <w:sz w:val="16"/>
                <w:szCs w:val="16"/>
              </w:rPr>
            </w:pPr>
            <w:r w:rsidRPr="00AE46F8">
              <w:rPr>
                <w:sz w:val="16"/>
                <w:szCs w:val="16"/>
              </w:rPr>
              <w:t>Scenario III</w:t>
            </w:r>
          </w:p>
          <w:p w14:paraId="517C0EC8" w14:textId="04335392" w:rsidR="008651ED" w:rsidRPr="00AE46F8" w:rsidRDefault="008651ED" w:rsidP="00AE46F8">
            <w:pPr>
              <w:pStyle w:val="CETBodytext"/>
              <w:jc w:val="left"/>
              <w:rPr>
                <w:sz w:val="16"/>
                <w:szCs w:val="16"/>
              </w:rPr>
            </w:pPr>
            <w:r w:rsidRPr="00AE46F8">
              <w:rPr>
                <w:sz w:val="16"/>
                <w:szCs w:val="16"/>
              </w:rPr>
              <w:t>Kinetic model</w:t>
            </w:r>
          </w:p>
        </w:tc>
      </w:tr>
      <w:tr w:rsidR="00657E03" w:rsidRPr="00AE46F8" w14:paraId="42A1029B" w14:textId="77777777" w:rsidTr="00A70235">
        <w:trPr>
          <w:jc w:val="center"/>
        </w:trPr>
        <w:tc>
          <w:tcPr>
            <w:tcW w:w="8935" w:type="dxa"/>
            <w:gridSpan w:val="3"/>
            <w:tcBorders>
              <w:top w:val="single" w:sz="4" w:space="0" w:color="008000"/>
              <w:bottom w:val="single" w:sz="4" w:space="0" w:color="008000"/>
            </w:tcBorders>
            <w:shd w:val="clear" w:color="auto" w:fill="auto"/>
            <w:vAlign w:val="center"/>
          </w:tcPr>
          <w:p w14:paraId="38AC876F" w14:textId="1671453A" w:rsidR="00657E03" w:rsidRPr="00AE46F8" w:rsidRDefault="00657E03" w:rsidP="00A70235">
            <w:pPr>
              <w:pStyle w:val="CETBodytext"/>
              <w:jc w:val="left"/>
              <w:rPr>
                <w:sz w:val="16"/>
                <w:szCs w:val="16"/>
                <w:lang w:val="en-GB"/>
              </w:rPr>
            </w:pPr>
            <w:r w:rsidRPr="00AE46F8">
              <w:rPr>
                <w:sz w:val="16"/>
                <w:szCs w:val="16"/>
              </w:rPr>
              <w:t>Reaction R1</w:t>
            </w:r>
          </w:p>
        </w:tc>
      </w:tr>
      <w:tr w:rsidR="008651ED" w:rsidRPr="00AE46F8" w14:paraId="4F55D9C5" w14:textId="77777777" w:rsidTr="00302311">
        <w:trPr>
          <w:jc w:val="center"/>
        </w:trPr>
        <w:tc>
          <w:tcPr>
            <w:tcW w:w="1276" w:type="dxa"/>
            <w:tcBorders>
              <w:top w:val="single" w:sz="4" w:space="0" w:color="008000"/>
            </w:tcBorders>
            <w:shd w:val="clear" w:color="auto" w:fill="FFFFFF"/>
            <w:vAlign w:val="center"/>
          </w:tcPr>
          <w:p w14:paraId="4072A73D" w14:textId="4D830E91" w:rsidR="008651ED" w:rsidRPr="00AE46F8" w:rsidRDefault="008651ED" w:rsidP="00AE46F8">
            <w:pPr>
              <w:pStyle w:val="CETBodytext"/>
              <w:jc w:val="left"/>
              <w:rPr>
                <w:sz w:val="16"/>
                <w:szCs w:val="16"/>
                <w:lang w:val="en-GB"/>
              </w:rPr>
            </w:pPr>
            <w:r w:rsidRPr="00AE46F8">
              <w:rPr>
                <w:sz w:val="16"/>
                <w:szCs w:val="16"/>
              </w:rPr>
              <w:t>τ</w:t>
            </w:r>
            <w:r w:rsidRPr="00AE46F8">
              <w:rPr>
                <w:sz w:val="16"/>
                <w:szCs w:val="16"/>
                <w:vertAlign w:val="subscript"/>
              </w:rPr>
              <w:t>urea</w:t>
            </w:r>
            <w:r w:rsidRPr="00AE46F8">
              <w:rPr>
                <w:sz w:val="16"/>
                <w:szCs w:val="16"/>
              </w:rPr>
              <w:t xml:space="preserve"> = 100%</w:t>
            </w:r>
          </w:p>
        </w:tc>
        <w:tc>
          <w:tcPr>
            <w:tcW w:w="3260" w:type="dxa"/>
            <w:tcBorders>
              <w:top w:val="single" w:sz="4" w:space="0" w:color="008000"/>
            </w:tcBorders>
            <w:shd w:val="clear" w:color="auto" w:fill="FFFFFF"/>
            <w:vAlign w:val="center"/>
          </w:tcPr>
          <w:p w14:paraId="0986A4F5" w14:textId="2F816402" w:rsidR="008651ED" w:rsidRPr="00AE46F8" w:rsidRDefault="00657E03" w:rsidP="00AE46F8">
            <w:pPr>
              <w:pStyle w:val="CETEquation"/>
              <w:spacing w:before="0" w:after="0"/>
              <w:rPr>
                <w:sz w:val="16"/>
                <w:szCs w:val="16"/>
              </w:rPr>
            </w:pPr>
            <w:r w:rsidRPr="00AE46F8">
              <w:rPr>
                <w:sz w:val="16"/>
                <w:szCs w:val="16"/>
              </w:rPr>
              <w:t>K =36.74 - 0.</w:t>
            </w:r>
            <w:r w:rsidR="008651ED" w:rsidRPr="00AE46F8">
              <w:rPr>
                <w:sz w:val="16"/>
                <w:szCs w:val="16"/>
              </w:rPr>
              <w:t>1993</w:t>
            </w:r>
            <w:r w:rsidRPr="00AE46F8">
              <w:rPr>
                <w:sz w:val="16"/>
                <w:szCs w:val="16"/>
              </w:rPr>
              <w:t xml:space="preserve"> </w:t>
            </w:r>
            <w:r w:rsidR="008651ED" w:rsidRPr="00AE46F8">
              <w:rPr>
                <w:sz w:val="16"/>
                <w:szCs w:val="16"/>
              </w:rPr>
              <w:t>T</w:t>
            </w:r>
            <w:r w:rsidRPr="00AE46F8">
              <w:rPr>
                <w:sz w:val="16"/>
                <w:szCs w:val="16"/>
              </w:rPr>
              <w:t xml:space="preserve"> </w:t>
            </w:r>
            <w:r w:rsidR="008651ED" w:rsidRPr="00AE46F8">
              <w:rPr>
                <w:sz w:val="16"/>
                <w:szCs w:val="16"/>
              </w:rPr>
              <w:t>-</w:t>
            </w:r>
            <w:r w:rsidRPr="00AE46F8">
              <w:rPr>
                <w:sz w:val="16"/>
                <w:szCs w:val="16"/>
              </w:rPr>
              <w:t xml:space="preserve"> </w:t>
            </w:r>
            <w:r w:rsidR="008651ED" w:rsidRPr="00AE46F8">
              <w:rPr>
                <w:sz w:val="16"/>
                <w:szCs w:val="16"/>
              </w:rPr>
              <w:t>3.10-3</w:t>
            </w:r>
            <w:r w:rsidRPr="00AE46F8">
              <w:rPr>
                <w:sz w:val="16"/>
                <w:szCs w:val="16"/>
              </w:rPr>
              <w:t xml:space="preserve"> </w:t>
            </w:r>
            <w:r w:rsidR="008651ED" w:rsidRPr="00AE46F8">
              <w:rPr>
                <w:sz w:val="16"/>
                <w:szCs w:val="16"/>
              </w:rPr>
              <w:t>T</w:t>
            </w:r>
            <w:r w:rsidR="008651ED" w:rsidRPr="00302311">
              <w:rPr>
                <w:sz w:val="16"/>
                <w:szCs w:val="16"/>
                <w:vertAlign w:val="superscript"/>
              </w:rPr>
              <w:t>2</w:t>
            </w:r>
          </w:p>
        </w:tc>
        <w:tc>
          <w:tcPr>
            <w:tcW w:w="4399" w:type="dxa"/>
            <w:tcBorders>
              <w:top w:val="single" w:sz="4" w:space="0" w:color="008000"/>
            </w:tcBorders>
            <w:shd w:val="clear" w:color="auto" w:fill="FFFFFF"/>
            <w:vAlign w:val="center"/>
          </w:tcPr>
          <w:p w14:paraId="0D72FDA9" w14:textId="2030F776" w:rsidR="008651ED" w:rsidRPr="00AE46F8" w:rsidRDefault="003A4703" w:rsidP="00AE46F8">
            <w:pPr>
              <w:pStyle w:val="CETEquation"/>
              <w:spacing w:before="0" w:after="0"/>
              <w:rPr>
                <w:sz w:val="16"/>
                <w:szCs w:val="16"/>
              </w:rPr>
            </w:pPr>
            <m:oMathPara>
              <m:oMathParaPr>
                <m:jc m:val="left"/>
              </m:oMathParaPr>
              <m:oMath>
                <m:sSub>
                  <m:sSubPr>
                    <m:ctrlPr>
                      <w:rPr>
                        <w:rFonts w:ascii="Cambria Math" w:hAnsi="Cambria Math"/>
                        <w:sz w:val="16"/>
                        <w:szCs w:val="16"/>
                      </w:rPr>
                    </m:ctrlPr>
                  </m:sSubPr>
                  <m:e>
                    <m:r>
                      <w:rPr>
                        <w:rFonts w:ascii="Cambria Math" w:hAnsi="Cambria Math"/>
                        <w:sz w:val="16"/>
                        <w:szCs w:val="16"/>
                      </w:rPr>
                      <m:t>r</m:t>
                    </m:r>
                  </m:e>
                  <m:sub>
                    <m:r>
                      <w:rPr>
                        <w:rFonts w:ascii="Cambria Math" w:hAnsi="Cambria Math"/>
                        <w:sz w:val="16"/>
                        <w:szCs w:val="16"/>
                      </w:rPr>
                      <m:t>urea</m:t>
                    </m:r>
                  </m:sub>
                </m:sSub>
                <m:r>
                  <m:rPr>
                    <m:sty m:val="p"/>
                  </m:rPr>
                  <w:rPr>
                    <w:rFonts w:ascii="Cambria Math" w:hAnsi="Cambria Math"/>
                    <w:sz w:val="16"/>
                    <w:szCs w:val="16"/>
                  </w:rPr>
                  <m:t>=-1.61.</m:t>
                </m:r>
                <m:sSup>
                  <m:sSupPr>
                    <m:ctrlPr>
                      <w:rPr>
                        <w:rFonts w:ascii="Cambria Math" w:hAnsi="Cambria Math"/>
                        <w:sz w:val="16"/>
                        <w:szCs w:val="16"/>
                      </w:rPr>
                    </m:ctrlPr>
                  </m:sSupPr>
                  <m:e>
                    <m:r>
                      <m:rPr>
                        <m:sty m:val="p"/>
                      </m:rPr>
                      <w:rPr>
                        <w:rFonts w:ascii="Cambria Math" w:hAnsi="Cambria Math"/>
                        <w:sz w:val="16"/>
                        <w:szCs w:val="16"/>
                      </w:rPr>
                      <m:t>10</m:t>
                    </m:r>
                  </m:e>
                  <m:sup>
                    <m:r>
                      <m:rPr>
                        <m:sty m:val="p"/>
                      </m:rPr>
                      <w:rPr>
                        <w:rFonts w:ascii="Cambria Math" w:hAnsi="Cambria Math"/>
                        <w:sz w:val="16"/>
                        <w:szCs w:val="16"/>
                      </w:rPr>
                      <m:t>11</m:t>
                    </m:r>
                  </m:sup>
                </m:sSup>
                <m:r>
                  <m:rPr>
                    <m:sty m:val="p"/>
                  </m:rPr>
                  <w:rPr>
                    <w:rFonts w:ascii="Cambria Math" w:hAnsi="Cambria Math"/>
                    <w:sz w:val="16"/>
                    <w:szCs w:val="16"/>
                  </w:rPr>
                  <m:t>.</m:t>
                </m:r>
                <m:sSup>
                  <m:sSupPr>
                    <m:ctrlPr>
                      <w:rPr>
                        <w:rFonts w:ascii="Cambria Math" w:hAnsi="Cambria Math"/>
                        <w:sz w:val="16"/>
                        <w:szCs w:val="16"/>
                      </w:rPr>
                    </m:ctrlPr>
                  </m:sSupPr>
                  <m:e>
                    <m:r>
                      <w:rPr>
                        <w:rFonts w:ascii="Cambria Math" w:hAnsi="Cambria Math"/>
                        <w:sz w:val="16"/>
                        <w:szCs w:val="16"/>
                      </w:rPr>
                      <m:t>e</m:t>
                    </m:r>
                  </m:e>
                  <m:sup>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129400</m:t>
                        </m:r>
                      </m:num>
                      <m:den>
                        <m:r>
                          <w:rPr>
                            <w:rFonts w:ascii="Cambria Math" w:hAnsi="Cambria Math"/>
                            <w:sz w:val="16"/>
                            <w:szCs w:val="16"/>
                          </w:rPr>
                          <m:t>R</m:t>
                        </m:r>
                        <m:r>
                          <m:rPr>
                            <m:sty m:val="p"/>
                          </m:rPr>
                          <w:rPr>
                            <w:rFonts w:ascii="Cambria Math" w:hAnsi="Cambria Math"/>
                            <w:sz w:val="16"/>
                            <w:szCs w:val="16"/>
                          </w:rPr>
                          <m:t>.</m:t>
                        </m:r>
                        <m:r>
                          <w:rPr>
                            <w:rFonts w:ascii="Cambria Math" w:hAnsi="Cambria Math"/>
                            <w:sz w:val="16"/>
                            <w:szCs w:val="16"/>
                          </w:rPr>
                          <m:t>T</m:t>
                        </m:r>
                      </m:den>
                    </m:f>
                  </m:sup>
                </m:sSup>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C</m:t>
                    </m:r>
                  </m:e>
                  <m:sub>
                    <m:r>
                      <w:rPr>
                        <w:rFonts w:ascii="Cambria Math" w:hAnsi="Cambria Math"/>
                        <w:sz w:val="16"/>
                        <w:szCs w:val="16"/>
                      </w:rPr>
                      <m:t>CH</m:t>
                    </m:r>
                    <m:r>
                      <m:rPr>
                        <m:sty m:val="p"/>
                      </m:rPr>
                      <w:rPr>
                        <w:rFonts w:ascii="Cambria Math" w:hAnsi="Cambria Math"/>
                        <w:sz w:val="16"/>
                        <w:szCs w:val="16"/>
                      </w:rPr>
                      <m:t>30</m:t>
                    </m:r>
                    <m:r>
                      <w:rPr>
                        <w:rFonts w:ascii="Cambria Math" w:hAnsi="Cambria Math"/>
                        <w:sz w:val="16"/>
                        <w:szCs w:val="16"/>
                      </w:rPr>
                      <m:t>H</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C</m:t>
                    </m:r>
                  </m:e>
                  <m:sub>
                    <m:r>
                      <w:rPr>
                        <w:rFonts w:ascii="Cambria Math" w:hAnsi="Cambria Math"/>
                        <w:sz w:val="16"/>
                        <w:szCs w:val="16"/>
                      </w:rPr>
                      <m:t>ur</m:t>
                    </m:r>
                    <m:r>
                      <m:rPr>
                        <m:sty m:val="p"/>
                      </m:rPr>
                      <w:rPr>
                        <w:rFonts w:ascii="Cambria Math" w:hAnsi="Cambria Math"/>
                        <w:sz w:val="16"/>
                        <w:szCs w:val="16"/>
                      </w:rPr>
                      <m:t>é</m:t>
                    </m:r>
                    <m:r>
                      <w:rPr>
                        <w:rFonts w:ascii="Cambria Math" w:hAnsi="Cambria Math"/>
                        <w:sz w:val="16"/>
                        <w:szCs w:val="16"/>
                      </w:rPr>
                      <m:t>e</m:t>
                    </m:r>
                  </m:sub>
                </m:sSub>
              </m:oMath>
            </m:oMathPara>
          </w:p>
        </w:tc>
      </w:tr>
      <w:tr w:rsidR="00657E03" w:rsidRPr="00AE46F8" w14:paraId="015B8D45" w14:textId="77777777" w:rsidTr="00302311">
        <w:trPr>
          <w:jc w:val="center"/>
        </w:trPr>
        <w:tc>
          <w:tcPr>
            <w:tcW w:w="1276" w:type="dxa"/>
            <w:tcBorders>
              <w:bottom w:val="single" w:sz="4" w:space="0" w:color="008000"/>
            </w:tcBorders>
            <w:shd w:val="clear" w:color="auto" w:fill="FFFFFF"/>
            <w:vAlign w:val="center"/>
          </w:tcPr>
          <w:p w14:paraId="65BEE4EB" w14:textId="15C26964" w:rsidR="00657E03" w:rsidRPr="00AE46F8" w:rsidRDefault="00657E03" w:rsidP="00AE46F8">
            <w:pPr>
              <w:pStyle w:val="CETBodytext"/>
              <w:jc w:val="left"/>
              <w:rPr>
                <w:sz w:val="16"/>
                <w:szCs w:val="16"/>
              </w:rPr>
            </w:pPr>
            <w:r w:rsidRPr="00AE46F8">
              <w:rPr>
                <w:sz w:val="16"/>
                <w:szCs w:val="16"/>
              </w:rPr>
              <w:t>Ideal reactor</w:t>
            </w:r>
          </w:p>
        </w:tc>
        <w:tc>
          <w:tcPr>
            <w:tcW w:w="3260" w:type="dxa"/>
            <w:tcBorders>
              <w:bottom w:val="single" w:sz="4" w:space="0" w:color="008000"/>
            </w:tcBorders>
            <w:shd w:val="clear" w:color="auto" w:fill="FFFFFF"/>
            <w:vAlign w:val="center"/>
          </w:tcPr>
          <w:p w14:paraId="6760F7B7" w14:textId="602D7F84" w:rsidR="00657E03" w:rsidRPr="00AE46F8" w:rsidRDefault="00657E03" w:rsidP="00AE46F8">
            <w:pPr>
              <w:pStyle w:val="CETBodytext"/>
              <w:jc w:val="left"/>
              <w:rPr>
                <w:sz w:val="16"/>
                <w:szCs w:val="16"/>
              </w:rPr>
            </w:pPr>
            <w:r w:rsidRPr="00AE46F8">
              <w:rPr>
                <w:sz w:val="16"/>
                <w:szCs w:val="16"/>
              </w:rPr>
              <w:t>Ideal reactor</w:t>
            </w:r>
          </w:p>
        </w:tc>
        <w:tc>
          <w:tcPr>
            <w:tcW w:w="4399" w:type="dxa"/>
            <w:tcBorders>
              <w:bottom w:val="single" w:sz="4" w:space="0" w:color="008000"/>
            </w:tcBorders>
            <w:shd w:val="clear" w:color="auto" w:fill="FFFFFF"/>
            <w:vAlign w:val="center"/>
          </w:tcPr>
          <w:p w14:paraId="0E0C1A59" w14:textId="01A324B0" w:rsidR="00657E03" w:rsidRPr="00AE46F8" w:rsidRDefault="00657E03" w:rsidP="00AE46F8">
            <w:pPr>
              <w:pStyle w:val="CETBodytext"/>
              <w:jc w:val="left"/>
              <w:rPr>
                <w:sz w:val="16"/>
                <w:szCs w:val="16"/>
                <w:lang w:val="en-GB"/>
              </w:rPr>
            </w:pPr>
            <w:r w:rsidRPr="00AE46F8">
              <w:rPr>
                <w:sz w:val="16"/>
                <w:szCs w:val="16"/>
              </w:rPr>
              <w:t>Plug flow reactor</w:t>
            </w:r>
          </w:p>
        </w:tc>
      </w:tr>
      <w:tr w:rsidR="00657E03" w:rsidRPr="00AE46F8" w14:paraId="782FEDC6" w14:textId="77777777" w:rsidTr="00A70235">
        <w:trPr>
          <w:jc w:val="center"/>
        </w:trPr>
        <w:tc>
          <w:tcPr>
            <w:tcW w:w="8935" w:type="dxa"/>
            <w:gridSpan w:val="3"/>
            <w:tcBorders>
              <w:top w:val="single" w:sz="4" w:space="0" w:color="008000"/>
              <w:bottom w:val="single" w:sz="4" w:space="0" w:color="008000"/>
            </w:tcBorders>
            <w:shd w:val="clear" w:color="auto" w:fill="auto"/>
            <w:vAlign w:val="center"/>
          </w:tcPr>
          <w:p w14:paraId="0C7824FE" w14:textId="17E12561" w:rsidR="00657E03" w:rsidRPr="00AE46F8" w:rsidRDefault="00657E03" w:rsidP="00A70235">
            <w:pPr>
              <w:pStyle w:val="CETBodytext"/>
              <w:jc w:val="left"/>
              <w:rPr>
                <w:sz w:val="16"/>
                <w:szCs w:val="16"/>
                <w:lang w:val="en-GB"/>
              </w:rPr>
            </w:pPr>
            <w:r w:rsidRPr="00AE46F8">
              <w:rPr>
                <w:sz w:val="16"/>
                <w:szCs w:val="16"/>
              </w:rPr>
              <w:t>Reactions R2 + R3</w:t>
            </w:r>
          </w:p>
        </w:tc>
      </w:tr>
      <w:tr w:rsidR="008651ED" w:rsidRPr="00AE46F8" w14:paraId="7344E483" w14:textId="77777777" w:rsidTr="00302311">
        <w:trPr>
          <w:jc w:val="center"/>
        </w:trPr>
        <w:tc>
          <w:tcPr>
            <w:tcW w:w="1276" w:type="dxa"/>
            <w:tcBorders>
              <w:top w:val="single" w:sz="4" w:space="0" w:color="008000"/>
            </w:tcBorders>
            <w:shd w:val="clear" w:color="auto" w:fill="FFFFFF"/>
            <w:vAlign w:val="center"/>
          </w:tcPr>
          <w:p w14:paraId="76953E2A" w14:textId="40F959E4" w:rsidR="008651ED" w:rsidRPr="00AE46F8" w:rsidRDefault="008651ED" w:rsidP="00AE46F8">
            <w:pPr>
              <w:pStyle w:val="CETBodytext"/>
              <w:jc w:val="left"/>
              <w:rPr>
                <w:sz w:val="16"/>
                <w:szCs w:val="16"/>
              </w:rPr>
            </w:pPr>
            <w:r w:rsidRPr="00AE46F8">
              <w:rPr>
                <w:sz w:val="16"/>
                <w:szCs w:val="16"/>
              </w:rPr>
              <w:t>τ</w:t>
            </w:r>
            <w:r w:rsidRPr="00AE46F8">
              <w:rPr>
                <w:sz w:val="16"/>
                <w:szCs w:val="16"/>
                <w:vertAlign w:val="subscript"/>
              </w:rPr>
              <w:t>MC</w:t>
            </w:r>
            <w:r w:rsidRPr="00AE46F8">
              <w:rPr>
                <w:sz w:val="16"/>
                <w:szCs w:val="16"/>
              </w:rPr>
              <w:t>(</w:t>
            </w:r>
            <w:r w:rsidR="00657E03" w:rsidRPr="00AE46F8">
              <w:rPr>
                <w:sz w:val="16"/>
                <w:szCs w:val="16"/>
              </w:rPr>
              <w:t>R2) = 50%</w:t>
            </w:r>
          </w:p>
          <w:p w14:paraId="38FA527A" w14:textId="77777777" w:rsidR="00657E03" w:rsidRPr="00AE46F8" w:rsidRDefault="00657E03" w:rsidP="00AE46F8">
            <w:pPr>
              <w:pStyle w:val="CETBodytext"/>
              <w:jc w:val="left"/>
              <w:rPr>
                <w:sz w:val="16"/>
                <w:szCs w:val="16"/>
              </w:rPr>
            </w:pPr>
          </w:p>
          <w:p w14:paraId="2A74D582" w14:textId="567EC446" w:rsidR="008651ED" w:rsidRPr="00AE46F8" w:rsidRDefault="008651ED" w:rsidP="00AE46F8">
            <w:pPr>
              <w:pStyle w:val="CETBodytext"/>
              <w:jc w:val="left"/>
              <w:rPr>
                <w:sz w:val="16"/>
                <w:szCs w:val="16"/>
                <w:lang w:val="en-GB"/>
              </w:rPr>
            </w:pPr>
            <w:r w:rsidRPr="00AE46F8">
              <w:rPr>
                <w:sz w:val="16"/>
                <w:szCs w:val="16"/>
                <w:lang w:eastAsia="fr-FR"/>
              </w:rPr>
              <w:t>τ</w:t>
            </w:r>
            <w:r w:rsidRPr="00AE46F8">
              <w:rPr>
                <w:sz w:val="16"/>
                <w:szCs w:val="16"/>
                <w:vertAlign w:val="subscript"/>
                <w:lang w:eastAsia="fr-FR"/>
              </w:rPr>
              <w:t>DMC</w:t>
            </w:r>
            <w:r w:rsidRPr="00AE46F8">
              <w:rPr>
                <w:sz w:val="16"/>
                <w:szCs w:val="16"/>
                <w:lang w:eastAsia="fr-FR"/>
              </w:rPr>
              <w:t>(R3) = 2%</w:t>
            </w:r>
          </w:p>
        </w:tc>
        <w:tc>
          <w:tcPr>
            <w:tcW w:w="3260" w:type="dxa"/>
            <w:tcBorders>
              <w:top w:val="single" w:sz="4" w:space="0" w:color="008000"/>
            </w:tcBorders>
            <w:shd w:val="clear" w:color="auto" w:fill="FFFFFF"/>
            <w:vAlign w:val="center"/>
          </w:tcPr>
          <w:p w14:paraId="46444770" w14:textId="6307E5EE" w:rsidR="008651ED" w:rsidRDefault="008651ED" w:rsidP="00AE46F8">
            <w:pPr>
              <w:pStyle w:val="CETEquation"/>
              <w:spacing w:before="0" w:after="0"/>
              <w:rPr>
                <w:sz w:val="16"/>
                <w:szCs w:val="16"/>
                <w:vertAlign w:val="superscript"/>
              </w:rPr>
            </w:pPr>
            <w:r w:rsidRPr="00AE46F8">
              <w:rPr>
                <w:sz w:val="16"/>
                <w:szCs w:val="16"/>
              </w:rPr>
              <w:t>K</w:t>
            </w:r>
            <w:r w:rsidRPr="00AE46F8">
              <w:rPr>
                <w:sz w:val="16"/>
                <w:szCs w:val="16"/>
                <w:vertAlign w:val="subscript"/>
              </w:rPr>
              <w:t xml:space="preserve">R2 </w:t>
            </w:r>
            <w:r w:rsidR="00657E03" w:rsidRPr="00AE46F8">
              <w:rPr>
                <w:sz w:val="16"/>
                <w:szCs w:val="16"/>
              </w:rPr>
              <w:t>= 15.5 - 1.702 T - 6.</w:t>
            </w:r>
            <w:r w:rsidRPr="00AE46F8">
              <w:rPr>
                <w:sz w:val="16"/>
                <w:szCs w:val="16"/>
              </w:rPr>
              <w:t>8.10</w:t>
            </w:r>
            <w:r w:rsidRPr="00AE46F8">
              <w:rPr>
                <w:sz w:val="16"/>
                <w:szCs w:val="16"/>
                <w:vertAlign w:val="superscript"/>
              </w:rPr>
              <w:t>-3</w:t>
            </w:r>
            <w:r w:rsidR="00657E03" w:rsidRPr="00AE46F8">
              <w:rPr>
                <w:sz w:val="16"/>
                <w:szCs w:val="16"/>
                <w:vertAlign w:val="superscript"/>
              </w:rPr>
              <w:t xml:space="preserve"> </w:t>
            </w:r>
            <w:r w:rsidRPr="00AE46F8">
              <w:rPr>
                <w:sz w:val="16"/>
                <w:szCs w:val="16"/>
              </w:rPr>
              <w:t>T</w:t>
            </w:r>
            <w:r w:rsidRPr="00AE46F8">
              <w:rPr>
                <w:sz w:val="16"/>
                <w:szCs w:val="16"/>
                <w:vertAlign w:val="superscript"/>
              </w:rPr>
              <w:t>2</w:t>
            </w:r>
            <w:r w:rsidRPr="00AE46F8">
              <w:rPr>
                <w:sz w:val="16"/>
                <w:szCs w:val="16"/>
              </w:rPr>
              <w:t xml:space="preserve"> + 10</w:t>
            </w:r>
            <w:r w:rsidRPr="00AE46F8">
              <w:rPr>
                <w:sz w:val="16"/>
                <w:szCs w:val="16"/>
                <w:vertAlign w:val="superscript"/>
              </w:rPr>
              <w:t>-5</w:t>
            </w:r>
            <w:r w:rsidR="00657E03" w:rsidRPr="00AE46F8">
              <w:rPr>
                <w:sz w:val="16"/>
                <w:szCs w:val="16"/>
                <w:vertAlign w:val="superscript"/>
              </w:rPr>
              <w:t xml:space="preserve"> </w:t>
            </w:r>
            <w:r w:rsidRPr="00AE46F8">
              <w:rPr>
                <w:sz w:val="16"/>
                <w:szCs w:val="16"/>
              </w:rPr>
              <w:t>T</w:t>
            </w:r>
            <w:r w:rsidRPr="00AE46F8">
              <w:rPr>
                <w:sz w:val="16"/>
                <w:szCs w:val="16"/>
                <w:vertAlign w:val="superscript"/>
              </w:rPr>
              <w:t>3</w:t>
            </w:r>
          </w:p>
          <w:p w14:paraId="410CC675" w14:textId="77777777" w:rsidR="00AE46F8" w:rsidRPr="00AE46F8" w:rsidRDefault="00AE46F8" w:rsidP="00AE46F8">
            <w:pPr>
              <w:pStyle w:val="CETBodytext"/>
              <w:rPr>
                <w:lang w:val="en-GB"/>
              </w:rPr>
            </w:pPr>
          </w:p>
          <w:p w14:paraId="5F2F9937" w14:textId="44755D44" w:rsidR="008651ED" w:rsidRPr="00AE46F8" w:rsidRDefault="008651ED" w:rsidP="00AE46F8">
            <w:pPr>
              <w:pStyle w:val="CETBodytext"/>
              <w:jc w:val="left"/>
              <w:rPr>
                <w:sz w:val="16"/>
                <w:szCs w:val="16"/>
                <w:lang w:val="en-GB"/>
              </w:rPr>
            </w:pPr>
            <w:r w:rsidRPr="00AE46F8">
              <w:rPr>
                <w:sz w:val="16"/>
                <w:szCs w:val="16"/>
                <w:lang w:eastAsia="fr-FR"/>
              </w:rPr>
              <w:t>τ</w:t>
            </w:r>
            <w:r w:rsidRPr="00AE46F8">
              <w:rPr>
                <w:sz w:val="16"/>
                <w:szCs w:val="16"/>
                <w:vertAlign w:val="subscript"/>
                <w:lang w:eastAsia="fr-FR"/>
              </w:rPr>
              <w:t>DMC</w:t>
            </w:r>
            <w:r w:rsidRPr="00AE46F8">
              <w:rPr>
                <w:sz w:val="16"/>
                <w:szCs w:val="16"/>
                <w:lang w:eastAsia="fr-FR"/>
              </w:rPr>
              <w:t>(R3) = 2%</w:t>
            </w:r>
          </w:p>
        </w:tc>
        <w:tc>
          <w:tcPr>
            <w:tcW w:w="4399" w:type="dxa"/>
            <w:tcBorders>
              <w:top w:val="single" w:sz="4" w:space="0" w:color="008000"/>
            </w:tcBorders>
            <w:shd w:val="clear" w:color="auto" w:fill="FFFFFF"/>
            <w:vAlign w:val="center"/>
          </w:tcPr>
          <w:p w14:paraId="3E58D959" w14:textId="58E01A98" w:rsidR="00657E03" w:rsidRPr="00AE46F8" w:rsidRDefault="003A4703" w:rsidP="00AE46F8">
            <w:pPr>
              <w:pStyle w:val="CETEquation"/>
              <w:spacing w:before="0" w:after="0"/>
              <w:rPr>
                <w:sz w:val="16"/>
                <w:szCs w:val="16"/>
              </w:rPr>
            </w:pPr>
            <m:oMathPara>
              <m:oMathParaPr>
                <m:jc m:val="left"/>
              </m:oMathParaPr>
              <m:oMath>
                <m:sSub>
                  <m:sSubPr>
                    <m:ctrlPr>
                      <w:rPr>
                        <w:rFonts w:ascii="Cambria Math" w:hAnsi="Cambria Math"/>
                        <w:sz w:val="16"/>
                        <w:szCs w:val="16"/>
                      </w:rPr>
                    </m:ctrlPr>
                  </m:sSubPr>
                  <m:e>
                    <m:r>
                      <w:rPr>
                        <w:rFonts w:ascii="Cambria Math" w:hAnsi="Cambria Math"/>
                        <w:sz w:val="16"/>
                        <w:szCs w:val="16"/>
                      </w:rPr>
                      <m:t>r</m:t>
                    </m:r>
                  </m:e>
                  <m:sub>
                    <m:r>
                      <w:rPr>
                        <w:rFonts w:ascii="Cambria Math" w:hAnsi="Cambria Math"/>
                        <w:sz w:val="16"/>
                        <w:szCs w:val="16"/>
                      </w:rPr>
                      <m:t>MC</m:t>
                    </m:r>
                  </m:sub>
                </m:sSub>
                <m:r>
                  <m:rPr>
                    <m:sty m:val="p"/>
                  </m:rPr>
                  <w:rPr>
                    <w:rFonts w:ascii="Cambria Math" w:hAnsi="Cambria Math"/>
                    <w:sz w:val="16"/>
                    <w:szCs w:val="16"/>
                  </w:rPr>
                  <m:t>=-2.35.</m:t>
                </m:r>
                <m:sSup>
                  <m:sSupPr>
                    <m:ctrlPr>
                      <w:rPr>
                        <w:rFonts w:ascii="Cambria Math" w:hAnsi="Cambria Math"/>
                        <w:sz w:val="16"/>
                        <w:szCs w:val="16"/>
                      </w:rPr>
                    </m:ctrlPr>
                  </m:sSupPr>
                  <m:e>
                    <m:r>
                      <m:rPr>
                        <m:sty m:val="p"/>
                      </m:rPr>
                      <w:rPr>
                        <w:rFonts w:ascii="Cambria Math" w:hAnsi="Cambria Math"/>
                        <w:sz w:val="16"/>
                        <w:szCs w:val="16"/>
                      </w:rPr>
                      <m:t>10</m:t>
                    </m:r>
                  </m:e>
                  <m:sup>
                    <m:r>
                      <m:rPr>
                        <m:sty m:val="p"/>
                      </m:rPr>
                      <w:rPr>
                        <w:rFonts w:ascii="Cambria Math" w:hAnsi="Cambria Math"/>
                        <w:sz w:val="16"/>
                        <w:szCs w:val="16"/>
                      </w:rPr>
                      <m:t>6</m:t>
                    </m:r>
                  </m:sup>
                </m:sSup>
                <m:r>
                  <m:rPr>
                    <m:sty m:val="p"/>
                  </m:rPr>
                  <w:rPr>
                    <w:rFonts w:ascii="Cambria Math" w:hAnsi="Cambria Math"/>
                    <w:sz w:val="16"/>
                    <w:szCs w:val="16"/>
                  </w:rPr>
                  <m:t>.</m:t>
                </m:r>
                <m:sSup>
                  <m:sSupPr>
                    <m:ctrlPr>
                      <w:rPr>
                        <w:rFonts w:ascii="Cambria Math" w:hAnsi="Cambria Math"/>
                        <w:sz w:val="16"/>
                        <w:szCs w:val="16"/>
                      </w:rPr>
                    </m:ctrlPr>
                  </m:sSupPr>
                  <m:e>
                    <m:r>
                      <w:rPr>
                        <w:rFonts w:ascii="Cambria Math" w:hAnsi="Cambria Math"/>
                        <w:sz w:val="16"/>
                        <w:szCs w:val="16"/>
                      </w:rPr>
                      <m:t>e</m:t>
                    </m:r>
                  </m:e>
                  <m:sup>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104000</m:t>
                        </m:r>
                      </m:num>
                      <m:den>
                        <m:r>
                          <w:rPr>
                            <w:rFonts w:ascii="Cambria Math" w:hAnsi="Cambria Math"/>
                            <w:sz w:val="16"/>
                            <w:szCs w:val="16"/>
                          </w:rPr>
                          <m:t>R</m:t>
                        </m:r>
                        <m:r>
                          <m:rPr>
                            <m:sty m:val="p"/>
                          </m:rPr>
                          <w:rPr>
                            <w:rFonts w:ascii="Cambria Math" w:hAnsi="Cambria Math"/>
                            <w:sz w:val="16"/>
                            <w:szCs w:val="16"/>
                          </w:rPr>
                          <m:t>.</m:t>
                        </m:r>
                        <m:r>
                          <w:rPr>
                            <w:rFonts w:ascii="Cambria Math" w:hAnsi="Cambria Math"/>
                            <w:sz w:val="16"/>
                            <w:szCs w:val="16"/>
                          </w:rPr>
                          <m:t>T</m:t>
                        </m:r>
                      </m:den>
                    </m:f>
                  </m:sup>
                </m:sSup>
                <m:r>
                  <m:rPr>
                    <m:sty m:val="p"/>
                  </m:rPr>
                  <w:rPr>
                    <w:rFonts w:ascii="Cambria Math" w:hAnsi="Cambria Math"/>
                    <w:sz w:val="16"/>
                    <w:szCs w:val="16"/>
                  </w:rPr>
                  <m:t>.</m:t>
                </m:r>
                <m:sSubSup>
                  <m:sSubSupPr>
                    <m:ctrlPr>
                      <w:rPr>
                        <w:rFonts w:ascii="Cambria Math" w:hAnsi="Cambria Math"/>
                        <w:sz w:val="16"/>
                        <w:szCs w:val="16"/>
                      </w:rPr>
                    </m:ctrlPr>
                  </m:sSubSupPr>
                  <m:e>
                    <m:r>
                      <w:rPr>
                        <w:rFonts w:ascii="Cambria Math" w:hAnsi="Cambria Math"/>
                        <w:sz w:val="16"/>
                        <w:szCs w:val="16"/>
                      </w:rPr>
                      <m:t>C</m:t>
                    </m:r>
                  </m:e>
                  <m:sub>
                    <m:r>
                      <w:rPr>
                        <w:rFonts w:ascii="Cambria Math" w:hAnsi="Cambria Math"/>
                        <w:sz w:val="16"/>
                        <w:szCs w:val="16"/>
                      </w:rPr>
                      <m:t>MC</m:t>
                    </m:r>
                  </m:sub>
                  <m:sup>
                    <m:r>
                      <m:rPr>
                        <m:sty m:val="p"/>
                      </m:rPr>
                      <w:rPr>
                        <w:rFonts w:ascii="Cambria Math" w:hAnsi="Cambria Math"/>
                        <w:sz w:val="16"/>
                        <w:szCs w:val="16"/>
                      </w:rPr>
                      <m:t>1.09</m:t>
                    </m:r>
                  </m:sup>
                </m:sSubSup>
                <m:r>
                  <m:rPr>
                    <m:sty m:val="p"/>
                  </m:rPr>
                  <w:rPr>
                    <w:rFonts w:ascii="Cambria Math" w:hAnsi="Cambria Math"/>
                    <w:sz w:val="16"/>
                    <w:szCs w:val="16"/>
                  </w:rPr>
                  <m:t>-6,2.</m:t>
                </m:r>
                <m:sSup>
                  <m:sSupPr>
                    <m:ctrlPr>
                      <w:rPr>
                        <w:rFonts w:ascii="Cambria Math" w:hAnsi="Cambria Math"/>
                        <w:sz w:val="16"/>
                        <w:szCs w:val="16"/>
                      </w:rPr>
                    </m:ctrlPr>
                  </m:sSupPr>
                  <m:e>
                    <m:r>
                      <m:rPr>
                        <m:sty m:val="p"/>
                      </m:rPr>
                      <w:rPr>
                        <w:rFonts w:ascii="Cambria Math" w:hAnsi="Cambria Math"/>
                        <w:sz w:val="16"/>
                        <w:szCs w:val="16"/>
                      </w:rPr>
                      <m:t>10</m:t>
                    </m:r>
                  </m:e>
                  <m:sup>
                    <m:r>
                      <m:rPr>
                        <m:sty m:val="p"/>
                      </m:rPr>
                      <w:rPr>
                        <w:rFonts w:ascii="Cambria Math" w:hAnsi="Cambria Math"/>
                        <w:sz w:val="16"/>
                        <w:szCs w:val="16"/>
                      </w:rPr>
                      <m:t>9</m:t>
                    </m:r>
                  </m:sup>
                </m:sSup>
                <m:r>
                  <m:rPr>
                    <m:sty m:val="p"/>
                  </m:rPr>
                  <w:rPr>
                    <w:rFonts w:ascii="Cambria Math" w:hAnsi="Cambria Math"/>
                    <w:sz w:val="16"/>
                    <w:szCs w:val="16"/>
                  </w:rPr>
                  <m:t>.</m:t>
                </m:r>
                <m:sSup>
                  <m:sSupPr>
                    <m:ctrlPr>
                      <w:rPr>
                        <w:rFonts w:ascii="Cambria Math" w:hAnsi="Cambria Math"/>
                        <w:sz w:val="16"/>
                        <w:szCs w:val="16"/>
                      </w:rPr>
                    </m:ctrlPr>
                  </m:sSupPr>
                  <m:e>
                    <m:r>
                      <w:rPr>
                        <w:rFonts w:ascii="Cambria Math" w:hAnsi="Cambria Math"/>
                        <w:sz w:val="16"/>
                        <w:szCs w:val="16"/>
                      </w:rPr>
                      <m:t>e</m:t>
                    </m:r>
                  </m:e>
                  <m:sup>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135000</m:t>
                        </m:r>
                      </m:num>
                      <m:den>
                        <m:r>
                          <w:rPr>
                            <w:rFonts w:ascii="Cambria Math" w:hAnsi="Cambria Math"/>
                            <w:sz w:val="16"/>
                            <w:szCs w:val="16"/>
                          </w:rPr>
                          <m:t>R</m:t>
                        </m:r>
                        <m:r>
                          <m:rPr>
                            <m:sty m:val="p"/>
                          </m:rPr>
                          <w:rPr>
                            <w:rFonts w:ascii="Cambria Math" w:hAnsi="Cambria Math"/>
                            <w:sz w:val="16"/>
                            <w:szCs w:val="16"/>
                          </w:rPr>
                          <m:t>.</m:t>
                        </m:r>
                        <m:r>
                          <w:rPr>
                            <w:rFonts w:ascii="Cambria Math" w:hAnsi="Cambria Math"/>
                            <w:sz w:val="16"/>
                            <w:szCs w:val="16"/>
                          </w:rPr>
                          <m:t>T</m:t>
                        </m:r>
                      </m:den>
                    </m:f>
                  </m:sup>
                </m:sSup>
                <m:r>
                  <m:rPr>
                    <m:sty m:val="p"/>
                  </m:rPr>
                  <w:rPr>
                    <w:rFonts w:ascii="Cambria Math" w:hAnsi="Cambria Math"/>
                    <w:sz w:val="16"/>
                    <w:szCs w:val="16"/>
                  </w:rPr>
                  <m:t>.</m:t>
                </m:r>
                <m:sSubSup>
                  <m:sSubSupPr>
                    <m:ctrlPr>
                      <w:rPr>
                        <w:rFonts w:ascii="Cambria Math" w:hAnsi="Cambria Math"/>
                        <w:sz w:val="16"/>
                        <w:szCs w:val="16"/>
                      </w:rPr>
                    </m:ctrlPr>
                  </m:sSubSupPr>
                  <m:e>
                    <m:r>
                      <w:rPr>
                        <w:rFonts w:ascii="Cambria Math" w:hAnsi="Cambria Math"/>
                        <w:sz w:val="16"/>
                        <w:szCs w:val="16"/>
                      </w:rPr>
                      <m:t>C</m:t>
                    </m:r>
                  </m:e>
                  <m:sub>
                    <m:r>
                      <w:rPr>
                        <w:rFonts w:ascii="Cambria Math" w:hAnsi="Cambria Math"/>
                        <w:sz w:val="16"/>
                        <w:szCs w:val="16"/>
                      </w:rPr>
                      <m:t>MC</m:t>
                    </m:r>
                  </m:sub>
                  <m:sup>
                    <m:r>
                      <m:rPr>
                        <m:sty m:val="p"/>
                      </m:rPr>
                      <w:rPr>
                        <w:rFonts w:ascii="Cambria Math" w:hAnsi="Cambria Math"/>
                        <w:sz w:val="16"/>
                        <w:szCs w:val="16"/>
                      </w:rPr>
                      <m:t>1.11</m:t>
                    </m:r>
                  </m:sup>
                </m:sSubSup>
                <m:r>
                  <m:rPr>
                    <m:sty m:val="p"/>
                  </m:rPr>
                  <w:rPr>
                    <w:rFonts w:ascii="Cambria Math" w:hAnsi="Cambria Math"/>
                    <w:sz w:val="16"/>
                    <w:szCs w:val="16"/>
                  </w:rPr>
                  <m:t>.</m:t>
                </m:r>
                <m:sSubSup>
                  <m:sSubSupPr>
                    <m:ctrlPr>
                      <w:rPr>
                        <w:rFonts w:ascii="Cambria Math" w:hAnsi="Cambria Math"/>
                        <w:sz w:val="16"/>
                        <w:szCs w:val="16"/>
                      </w:rPr>
                    </m:ctrlPr>
                  </m:sSubSupPr>
                  <m:e>
                    <m:r>
                      <w:rPr>
                        <w:rFonts w:ascii="Cambria Math" w:hAnsi="Cambria Math"/>
                        <w:sz w:val="16"/>
                        <w:szCs w:val="16"/>
                      </w:rPr>
                      <m:t>C</m:t>
                    </m:r>
                  </m:e>
                  <m:sub>
                    <m:r>
                      <w:rPr>
                        <w:rFonts w:ascii="Cambria Math" w:hAnsi="Cambria Math"/>
                        <w:sz w:val="16"/>
                        <w:szCs w:val="16"/>
                      </w:rPr>
                      <m:t>MC</m:t>
                    </m:r>
                  </m:sub>
                  <m:sup>
                    <m:r>
                      <m:rPr>
                        <m:sty m:val="p"/>
                      </m:rPr>
                      <w:rPr>
                        <w:rFonts w:ascii="Cambria Math" w:hAnsi="Cambria Math"/>
                        <w:sz w:val="16"/>
                        <w:szCs w:val="16"/>
                      </w:rPr>
                      <m:t>1.5</m:t>
                    </m:r>
                  </m:sup>
                </m:sSubSup>
              </m:oMath>
            </m:oMathPara>
          </w:p>
          <w:p w14:paraId="7196F68F" w14:textId="39C58D94" w:rsidR="00657E03" w:rsidRPr="00AE46F8" w:rsidRDefault="003A4703" w:rsidP="00AE46F8">
            <w:pPr>
              <w:pStyle w:val="CETEquation"/>
              <w:spacing w:before="0" w:after="0"/>
              <w:rPr>
                <w:sz w:val="16"/>
                <w:szCs w:val="16"/>
              </w:rPr>
            </w:pPr>
            <m:oMathPara>
              <m:oMathParaPr>
                <m:jc m:val="left"/>
              </m:oMathParaPr>
              <m:oMath>
                <m:sSub>
                  <m:sSubPr>
                    <m:ctrlPr>
                      <w:rPr>
                        <w:rFonts w:ascii="Cambria Math" w:hAnsi="Cambria Math"/>
                        <w:sz w:val="16"/>
                        <w:szCs w:val="16"/>
                      </w:rPr>
                    </m:ctrlPr>
                  </m:sSubPr>
                  <m:e>
                    <m:r>
                      <w:rPr>
                        <w:rFonts w:ascii="Cambria Math" w:hAnsi="Cambria Math"/>
                        <w:sz w:val="16"/>
                        <w:szCs w:val="16"/>
                      </w:rPr>
                      <m:t>r</m:t>
                    </m:r>
                  </m:e>
                  <m:sub>
                    <m:r>
                      <w:rPr>
                        <w:rFonts w:ascii="Cambria Math" w:hAnsi="Cambria Math"/>
                        <w:sz w:val="16"/>
                        <w:szCs w:val="16"/>
                      </w:rPr>
                      <m:t>DMC</m:t>
                    </m:r>
                  </m:sub>
                </m:sSub>
                <m:r>
                  <m:rPr>
                    <m:sty m:val="p"/>
                  </m:rPr>
                  <w:rPr>
                    <w:rFonts w:ascii="Cambria Math" w:hAnsi="Cambria Math"/>
                    <w:sz w:val="16"/>
                    <w:szCs w:val="16"/>
                  </w:rPr>
                  <m:t>=2.35.</m:t>
                </m:r>
                <m:sSup>
                  <m:sSupPr>
                    <m:ctrlPr>
                      <w:rPr>
                        <w:rFonts w:ascii="Cambria Math" w:hAnsi="Cambria Math"/>
                        <w:sz w:val="16"/>
                        <w:szCs w:val="16"/>
                      </w:rPr>
                    </m:ctrlPr>
                  </m:sSupPr>
                  <m:e>
                    <m:r>
                      <m:rPr>
                        <m:sty m:val="p"/>
                      </m:rPr>
                      <w:rPr>
                        <w:rFonts w:ascii="Cambria Math" w:hAnsi="Cambria Math"/>
                        <w:sz w:val="16"/>
                        <w:szCs w:val="16"/>
                      </w:rPr>
                      <m:t>10</m:t>
                    </m:r>
                  </m:e>
                  <m:sup>
                    <m:r>
                      <m:rPr>
                        <m:sty m:val="p"/>
                      </m:rPr>
                      <w:rPr>
                        <w:rFonts w:ascii="Cambria Math" w:hAnsi="Cambria Math"/>
                        <w:sz w:val="16"/>
                        <w:szCs w:val="16"/>
                      </w:rPr>
                      <m:t>6</m:t>
                    </m:r>
                  </m:sup>
                </m:sSup>
                <m:r>
                  <m:rPr>
                    <m:sty m:val="p"/>
                  </m:rPr>
                  <w:rPr>
                    <w:rFonts w:ascii="Cambria Math" w:hAnsi="Cambria Math"/>
                    <w:sz w:val="16"/>
                    <w:szCs w:val="16"/>
                  </w:rPr>
                  <m:t>.</m:t>
                </m:r>
                <m:sSup>
                  <m:sSupPr>
                    <m:ctrlPr>
                      <w:rPr>
                        <w:rFonts w:ascii="Cambria Math" w:hAnsi="Cambria Math"/>
                        <w:sz w:val="16"/>
                        <w:szCs w:val="16"/>
                      </w:rPr>
                    </m:ctrlPr>
                  </m:sSupPr>
                  <m:e>
                    <m:r>
                      <w:rPr>
                        <w:rFonts w:ascii="Cambria Math" w:hAnsi="Cambria Math"/>
                        <w:sz w:val="16"/>
                        <w:szCs w:val="16"/>
                      </w:rPr>
                      <m:t>e</m:t>
                    </m:r>
                  </m:e>
                  <m:sup>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104000</m:t>
                        </m:r>
                      </m:num>
                      <m:den>
                        <m:r>
                          <w:rPr>
                            <w:rFonts w:ascii="Cambria Math" w:hAnsi="Cambria Math"/>
                            <w:sz w:val="16"/>
                            <w:szCs w:val="16"/>
                          </w:rPr>
                          <m:t>R</m:t>
                        </m:r>
                        <m:r>
                          <m:rPr>
                            <m:sty m:val="p"/>
                          </m:rPr>
                          <w:rPr>
                            <w:rFonts w:ascii="Cambria Math" w:hAnsi="Cambria Math"/>
                            <w:sz w:val="16"/>
                            <w:szCs w:val="16"/>
                          </w:rPr>
                          <m:t>.</m:t>
                        </m:r>
                        <m:r>
                          <w:rPr>
                            <w:rFonts w:ascii="Cambria Math" w:hAnsi="Cambria Math"/>
                            <w:sz w:val="16"/>
                            <w:szCs w:val="16"/>
                          </w:rPr>
                          <m:t>T</m:t>
                        </m:r>
                      </m:den>
                    </m:f>
                  </m:sup>
                </m:sSup>
                <m:r>
                  <m:rPr>
                    <m:sty m:val="p"/>
                  </m:rPr>
                  <w:rPr>
                    <w:rFonts w:ascii="Cambria Math" w:hAnsi="Cambria Math"/>
                    <w:sz w:val="16"/>
                    <w:szCs w:val="16"/>
                  </w:rPr>
                  <m:t>.</m:t>
                </m:r>
                <m:sSubSup>
                  <m:sSubSupPr>
                    <m:ctrlPr>
                      <w:rPr>
                        <w:rFonts w:ascii="Cambria Math" w:hAnsi="Cambria Math"/>
                        <w:sz w:val="16"/>
                        <w:szCs w:val="16"/>
                      </w:rPr>
                    </m:ctrlPr>
                  </m:sSubSupPr>
                  <m:e>
                    <m:r>
                      <w:rPr>
                        <w:rFonts w:ascii="Cambria Math" w:hAnsi="Cambria Math"/>
                        <w:sz w:val="16"/>
                        <w:szCs w:val="16"/>
                      </w:rPr>
                      <m:t>C</m:t>
                    </m:r>
                  </m:e>
                  <m:sub>
                    <m:r>
                      <w:rPr>
                        <w:rFonts w:ascii="Cambria Math" w:hAnsi="Cambria Math"/>
                        <w:sz w:val="16"/>
                        <w:szCs w:val="16"/>
                      </w:rPr>
                      <m:t>MC</m:t>
                    </m:r>
                  </m:sub>
                  <m:sup>
                    <m:r>
                      <m:rPr>
                        <m:sty m:val="p"/>
                      </m:rPr>
                      <w:rPr>
                        <w:rFonts w:ascii="Cambria Math" w:hAnsi="Cambria Math"/>
                        <w:sz w:val="16"/>
                        <w:szCs w:val="16"/>
                      </w:rPr>
                      <m:t>1.09</m:t>
                    </m:r>
                  </m:sup>
                </m:sSubSup>
                <m:r>
                  <m:rPr>
                    <m:sty m:val="p"/>
                  </m:rPr>
                  <w:rPr>
                    <w:rFonts w:ascii="Cambria Math" w:hAnsi="Cambria Math"/>
                    <w:sz w:val="16"/>
                    <w:szCs w:val="16"/>
                  </w:rPr>
                  <m:t>-6.2.</m:t>
                </m:r>
                <m:sSup>
                  <m:sSupPr>
                    <m:ctrlPr>
                      <w:rPr>
                        <w:rFonts w:ascii="Cambria Math" w:hAnsi="Cambria Math"/>
                        <w:sz w:val="16"/>
                        <w:szCs w:val="16"/>
                      </w:rPr>
                    </m:ctrlPr>
                  </m:sSupPr>
                  <m:e>
                    <m:r>
                      <m:rPr>
                        <m:sty m:val="p"/>
                      </m:rPr>
                      <w:rPr>
                        <w:rFonts w:ascii="Cambria Math" w:hAnsi="Cambria Math"/>
                        <w:sz w:val="16"/>
                        <w:szCs w:val="16"/>
                      </w:rPr>
                      <m:t>10</m:t>
                    </m:r>
                  </m:e>
                  <m:sup>
                    <m:r>
                      <m:rPr>
                        <m:sty m:val="p"/>
                      </m:rPr>
                      <w:rPr>
                        <w:rFonts w:ascii="Cambria Math" w:hAnsi="Cambria Math"/>
                        <w:sz w:val="16"/>
                        <w:szCs w:val="16"/>
                      </w:rPr>
                      <m:t>9</m:t>
                    </m:r>
                  </m:sup>
                </m:sSup>
                <m:r>
                  <m:rPr>
                    <m:sty m:val="p"/>
                  </m:rPr>
                  <w:rPr>
                    <w:rFonts w:ascii="Cambria Math" w:hAnsi="Cambria Math"/>
                    <w:sz w:val="16"/>
                    <w:szCs w:val="16"/>
                  </w:rPr>
                  <m:t>.</m:t>
                </m:r>
                <m:sSup>
                  <m:sSupPr>
                    <m:ctrlPr>
                      <w:rPr>
                        <w:rFonts w:ascii="Cambria Math" w:hAnsi="Cambria Math"/>
                        <w:sz w:val="16"/>
                        <w:szCs w:val="16"/>
                      </w:rPr>
                    </m:ctrlPr>
                  </m:sSupPr>
                  <m:e>
                    <m:r>
                      <w:rPr>
                        <w:rFonts w:ascii="Cambria Math" w:hAnsi="Cambria Math"/>
                        <w:sz w:val="16"/>
                        <w:szCs w:val="16"/>
                      </w:rPr>
                      <m:t>e</m:t>
                    </m:r>
                  </m:e>
                  <m:sup>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135000</m:t>
                        </m:r>
                      </m:num>
                      <m:den>
                        <m:r>
                          <w:rPr>
                            <w:rFonts w:ascii="Cambria Math" w:hAnsi="Cambria Math"/>
                            <w:sz w:val="16"/>
                            <w:szCs w:val="16"/>
                          </w:rPr>
                          <m:t>R</m:t>
                        </m:r>
                        <m:r>
                          <m:rPr>
                            <m:sty m:val="p"/>
                          </m:rPr>
                          <w:rPr>
                            <w:rFonts w:ascii="Cambria Math" w:hAnsi="Cambria Math"/>
                            <w:sz w:val="16"/>
                            <w:szCs w:val="16"/>
                          </w:rPr>
                          <m:t>.</m:t>
                        </m:r>
                        <m:r>
                          <w:rPr>
                            <w:rFonts w:ascii="Cambria Math" w:hAnsi="Cambria Math"/>
                            <w:sz w:val="16"/>
                            <w:szCs w:val="16"/>
                          </w:rPr>
                          <m:t>T</m:t>
                        </m:r>
                      </m:den>
                    </m:f>
                  </m:sup>
                </m:sSup>
                <m:r>
                  <m:rPr>
                    <m:sty m:val="p"/>
                  </m:rPr>
                  <w:rPr>
                    <w:rFonts w:ascii="Cambria Math" w:hAnsi="Cambria Math"/>
                    <w:sz w:val="16"/>
                    <w:szCs w:val="16"/>
                  </w:rPr>
                  <m:t>.</m:t>
                </m:r>
                <m:sSubSup>
                  <m:sSubSupPr>
                    <m:ctrlPr>
                      <w:rPr>
                        <w:rFonts w:ascii="Cambria Math" w:hAnsi="Cambria Math"/>
                        <w:sz w:val="16"/>
                        <w:szCs w:val="16"/>
                      </w:rPr>
                    </m:ctrlPr>
                  </m:sSubSupPr>
                  <m:e>
                    <m:r>
                      <w:rPr>
                        <w:rFonts w:ascii="Cambria Math" w:hAnsi="Cambria Math"/>
                        <w:sz w:val="16"/>
                        <w:szCs w:val="16"/>
                      </w:rPr>
                      <m:t>C</m:t>
                    </m:r>
                  </m:e>
                  <m:sub>
                    <m:r>
                      <w:rPr>
                        <w:rFonts w:ascii="Cambria Math" w:hAnsi="Cambria Math"/>
                        <w:sz w:val="16"/>
                        <w:szCs w:val="16"/>
                      </w:rPr>
                      <m:t>MC</m:t>
                    </m:r>
                  </m:sub>
                  <m:sup>
                    <m:r>
                      <m:rPr>
                        <m:sty m:val="p"/>
                      </m:rPr>
                      <w:rPr>
                        <w:rFonts w:ascii="Cambria Math" w:hAnsi="Cambria Math"/>
                        <w:sz w:val="16"/>
                        <w:szCs w:val="16"/>
                      </w:rPr>
                      <m:t>1.11</m:t>
                    </m:r>
                  </m:sup>
                </m:sSubSup>
                <m:r>
                  <m:rPr>
                    <m:sty m:val="p"/>
                  </m:rPr>
                  <w:rPr>
                    <w:rFonts w:ascii="Cambria Math" w:hAnsi="Cambria Math"/>
                    <w:sz w:val="16"/>
                    <w:szCs w:val="16"/>
                  </w:rPr>
                  <m:t>.</m:t>
                </m:r>
                <m:sSubSup>
                  <m:sSubSupPr>
                    <m:ctrlPr>
                      <w:rPr>
                        <w:rFonts w:ascii="Cambria Math" w:hAnsi="Cambria Math"/>
                        <w:sz w:val="16"/>
                        <w:szCs w:val="16"/>
                      </w:rPr>
                    </m:ctrlPr>
                  </m:sSubSupPr>
                  <m:e>
                    <m:r>
                      <w:rPr>
                        <w:rFonts w:ascii="Cambria Math" w:hAnsi="Cambria Math"/>
                        <w:sz w:val="16"/>
                        <w:szCs w:val="16"/>
                      </w:rPr>
                      <m:t>C</m:t>
                    </m:r>
                  </m:e>
                  <m:sub>
                    <m:r>
                      <w:rPr>
                        <w:rFonts w:ascii="Cambria Math" w:hAnsi="Cambria Math"/>
                        <w:sz w:val="16"/>
                        <w:szCs w:val="16"/>
                      </w:rPr>
                      <m:t>DMC</m:t>
                    </m:r>
                  </m:sub>
                  <m:sup>
                    <m:r>
                      <m:rPr>
                        <m:sty m:val="p"/>
                      </m:rPr>
                      <w:rPr>
                        <w:rFonts w:ascii="Cambria Math" w:hAnsi="Cambria Math"/>
                        <w:sz w:val="16"/>
                        <w:szCs w:val="16"/>
                      </w:rPr>
                      <m:t>1.5</m:t>
                    </m:r>
                  </m:sup>
                </m:sSubSup>
              </m:oMath>
            </m:oMathPara>
          </w:p>
          <w:p w14:paraId="4015CDA3" w14:textId="6DCD60AE" w:rsidR="008651ED" w:rsidRPr="00AE46F8" w:rsidRDefault="003A4703" w:rsidP="00AE46F8">
            <w:pPr>
              <w:pStyle w:val="CETEquation"/>
              <w:spacing w:before="0" w:after="0"/>
              <w:rPr>
                <w:sz w:val="16"/>
                <w:szCs w:val="16"/>
              </w:rPr>
            </w:pPr>
            <m:oMathPara>
              <m:oMathParaPr>
                <m:jc m:val="left"/>
              </m:oMathParaPr>
              <m:oMath>
                <m:sSub>
                  <m:sSubPr>
                    <m:ctrlPr>
                      <w:rPr>
                        <w:rFonts w:ascii="Cambria Math" w:hAnsi="Cambria Math"/>
                        <w:sz w:val="16"/>
                        <w:szCs w:val="16"/>
                      </w:rPr>
                    </m:ctrlPr>
                  </m:sSubPr>
                  <m:e>
                    <m:r>
                      <w:rPr>
                        <w:rFonts w:ascii="Cambria Math" w:hAnsi="Cambria Math"/>
                        <w:sz w:val="16"/>
                        <w:szCs w:val="16"/>
                      </w:rPr>
                      <m:t>r</m:t>
                    </m:r>
                  </m:e>
                  <m:sub>
                    <m:r>
                      <w:rPr>
                        <w:rFonts w:ascii="Cambria Math" w:hAnsi="Cambria Math"/>
                        <w:sz w:val="16"/>
                        <w:szCs w:val="16"/>
                      </w:rPr>
                      <m:t>NMMC</m:t>
                    </m:r>
                  </m:sub>
                </m:sSub>
                <m:r>
                  <m:rPr>
                    <m:sty m:val="p"/>
                  </m:rPr>
                  <w:rPr>
                    <w:rFonts w:ascii="Cambria Math" w:hAnsi="Cambria Math"/>
                    <w:sz w:val="16"/>
                    <w:szCs w:val="16"/>
                  </w:rPr>
                  <m:t>=6.2.</m:t>
                </m:r>
                <m:sSup>
                  <m:sSupPr>
                    <m:ctrlPr>
                      <w:rPr>
                        <w:rFonts w:ascii="Cambria Math" w:hAnsi="Cambria Math"/>
                        <w:sz w:val="16"/>
                        <w:szCs w:val="16"/>
                      </w:rPr>
                    </m:ctrlPr>
                  </m:sSupPr>
                  <m:e>
                    <m:r>
                      <m:rPr>
                        <m:sty m:val="p"/>
                      </m:rPr>
                      <w:rPr>
                        <w:rFonts w:ascii="Cambria Math" w:hAnsi="Cambria Math"/>
                        <w:sz w:val="16"/>
                        <w:szCs w:val="16"/>
                      </w:rPr>
                      <m:t>10</m:t>
                    </m:r>
                  </m:e>
                  <m:sup>
                    <m:r>
                      <m:rPr>
                        <m:sty m:val="p"/>
                      </m:rPr>
                      <w:rPr>
                        <w:rFonts w:ascii="Cambria Math" w:hAnsi="Cambria Math"/>
                        <w:sz w:val="16"/>
                        <w:szCs w:val="16"/>
                      </w:rPr>
                      <m:t>9</m:t>
                    </m:r>
                  </m:sup>
                </m:sSup>
                <m:r>
                  <m:rPr>
                    <m:sty m:val="p"/>
                  </m:rPr>
                  <w:rPr>
                    <w:rFonts w:ascii="Cambria Math" w:hAnsi="Cambria Math"/>
                    <w:sz w:val="16"/>
                    <w:szCs w:val="16"/>
                  </w:rPr>
                  <m:t>.</m:t>
                </m:r>
                <m:sSup>
                  <m:sSupPr>
                    <m:ctrlPr>
                      <w:rPr>
                        <w:rFonts w:ascii="Cambria Math" w:hAnsi="Cambria Math"/>
                        <w:sz w:val="16"/>
                        <w:szCs w:val="16"/>
                      </w:rPr>
                    </m:ctrlPr>
                  </m:sSupPr>
                  <m:e>
                    <m:r>
                      <w:rPr>
                        <w:rFonts w:ascii="Cambria Math" w:hAnsi="Cambria Math"/>
                        <w:sz w:val="16"/>
                        <w:szCs w:val="16"/>
                      </w:rPr>
                      <m:t>e</m:t>
                    </m:r>
                  </m:e>
                  <m:sup>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135000</m:t>
                        </m:r>
                      </m:num>
                      <m:den>
                        <m:r>
                          <w:rPr>
                            <w:rFonts w:ascii="Cambria Math" w:hAnsi="Cambria Math"/>
                            <w:sz w:val="16"/>
                            <w:szCs w:val="16"/>
                          </w:rPr>
                          <m:t>R</m:t>
                        </m:r>
                        <m:r>
                          <m:rPr>
                            <m:sty m:val="p"/>
                          </m:rPr>
                          <w:rPr>
                            <w:rFonts w:ascii="Cambria Math" w:hAnsi="Cambria Math"/>
                            <w:sz w:val="16"/>
                            <w:szCs w:val="16"/>
                          </w:rPr>
                          <m:t>.</m:t>
                        </m:r>
                        <m:r>
                          <w:rPr>
                            <w:rFonts w:ascii="Cambria Math" w:hAnsi="Cambria Math"/>
                            <w:sz w:val="16"/>
                            <w:szCs w:val="16"/>
                          </w:rPr>
                          <m:t>T</m:t>
                        </m:r>
                      </m:den>
                    </m:f>
                  </m:sup>
                </m:sSup>
                <m:r>
                  <m:rPr>
                    <m:sty m:val="p"/>
                  </m:rPr>
                  <w:rPr>
                    <w:rFonts w:ascii="Cambria Math" w:hAnsi="Cambria Math"/>
                    <w:sz w:val="16"/>
                    <w:szCs w:val="16"/>
                  </w:rPr>
                  <m:t>.</m:t>
                </m:r>
                <m:sSubSup>
                  <m:sSubSupPr>
                    <m:ctrlPr>
                      <w:rPr>
                        <w:rFonts w:ascii="Cambria Math" w:hAnsi="Cambria Math"/>
                        <w:sz w:val="16"/>
                        <w:szCs w:val="16"/>
                      </w:rPr>
                    </m:ctrlPr>
                  </m:sSubSupPr>
                  <m:e>
                    <m:r>
                      <w:rPr>
                        <w:rFonts w:ascii="Cambria Math" w:hAnsi="Cambria Math"/>
                        <w:sz w:val="16"/>
                        <w:szCs w:val="16"/>
                      </w:rPr>
                      <m:t>C</m:t>
                    </m:r>
                  </m:e>
                  <m:sub>
                    <m:r>
                      <w:rPr>
                        <w:rFonts w:ascii="Cambria Math" w:hAnsi="Cambria Math"/>
                        <w:sz w:val="16"/>
                        <w:szCs w:val="16"/>
                      </w:rPr>
                      <m:t>MC</m:t>
                    </m:r>
                  </m:sub>
                  <m:sup>
                    <m:r>
                      <m:rPr>
                        <m:sty m:val="p"/>
                      </m:rPr>
                      <w:rPr>
                        <w:rFonts w:ascii="Cambria Math" w:hAnsi="Cambria Math"/>
                        <w:sz w:val="16"/>
                        <w:szCs w:val="16"/>
                      </w:rPr>
                      <m:t>1.11</m:t>
                    </m:r>
                  </m:sup>
                </m:sSubSup>
                <m:r>
                  <m:rPr>
                    <m:sty m:val="p"/>
                  </m:rPr>
                  <w:rPr>
                    <w:rFonts w:ascii="Cambria Math" w:hAnsi="Cambria Math"/>
                    <w:sz w:val="16"/>
                    <w:szCs w:val="16"/>
                  </w:rPr>
                  <m:t>.</m:t>
                </m:r>
                <m:sSubSup>
                  <m:sSubSupPr>
                    <m:ctrlPr>
                      <w:rPr>
                        <w:rFonts w:ascii="Cambria Math" w:hAnsi="Cambria Math"/>
                        <w:sz w:val="16"/>
                        <w:szCs w:val="16"/>
                      </w:rPr>
                    </m:ctrlPr>
                  </m:sSubSupPr>
                  <m:e>
                    <m:r>
                      <w:rPr>
                        <w:rFonts w:ascii="Cambria Math" w:hAnsi="Cambria Math"/>
                        <w:sz w:val="16"/>
                        <w:szCs w:val="16"/>
                      </w:rPr>
                      <m:t>C</m:t>
                    </m:r>
                  </m:e>
                  <m:sub>
                    <m:r>
                      <w:rPr>
                        <w:rFonts w:ascii="Cambria Math" w:hAnsi="Cambria Math"/>
                        <w:sz w:val="16"/>
                        <w:szCs w:val="16"/>
                      </w:rPr>
                      <m:t>DMC</m:t>
                    </m:r>
                  </m:sub>
                  <m:sup>
                    <m:r>
                      <m:rPr>
                        <m:sty m:val="p"/>
                      </m:rPr>
                      <w:rPr>
                        <w:rFonts w:ascii="Cambria Math" w:hAnsi="Cambria Math"/>
                        <w:sz w:val="16"/>
                        <w:szCs w:val="16"/>
                      </w:rPr>
                      <m:t>1.5</m:t>
                    </m:r>
                  </m:sup>
                </m:sSubSup>
              </m:oMath>
            </m:oMathPara>
          </w:p>
        </w:tc>
      </w:tr>
      <w:tr w:rsidR="008651ED" w:rsidRPr="00AE46F8" w14:paraId="25AA6BFF" w14:textId="77777777" w:rsidTr="00302311">
        <w:trPr>
          <w:jc w:val="center"/>
        </w:trPr>
        <w:tc>
          <w:tcPr>
            <w:tcW w:w="1276" w:type="dxa"/>
            <w:shd w:val="clear" w:color="auto" w:fill="FFFFFF"/>
            <w:vAlign w:val="center"/>
          </w:tcPr>
          <w:p w14:paraId="271D5F16" w14:textId="77777777" w:rsidR="008651ED" w:rsidRPr="00AE46F8" w:rsidRDefault="008651ED" w:rsidP="00AE46F8">
            <w:pPr>
              <w:pStyle w:val="CETBodytext"/>
              <w:jc w:val="left"/>
              <w:rPr>
                <w:sz w:val="16"/>
                <w:szCs w:val="16"/>
              </w:rPr>
            </w:pPr>
            <w:r w:rsidRPr="00AE46F8">
              <w:rPr>
                <w:sz w:val="16"/>
                <w:szCs w:val="16"/>
              </w:rPr>
              <w:t>Ideal reactor+</w:t>
            </w:r>
          </w:p>
          <w:p w14:paraId="35EDC635" w14:textId="2CD5847E" w:rsidR="008651ED" w:rsidRPr="00AE46F8" w:rsidRDefault="008651ED" w:rsidP="00AE46F8">
            <w:pPr>
              <w:pStyle w:val="CETBodytext"/>
              <w:jc w:val="left"/>
              <w:rPr>
                <w:sz w:val="16"/>
                <w:szCs w:val="16"/>
                <w:lang w:val="en-GB"/>
              </w:rPr>
            </w:pPr>
            <w:r w:rsidRPr="00AE46F8">
              <w:rPr>
                <w:sz w:val="16"/>
                <w:szCs w:val="16"/>
              </w:rPr>
              <w:t>Distillation</w:t>
            </w:r>
          </w:p>
        </w:tc>
        <w:tc>
          <w:tcPr>
            <w:tcW w:w="3260" w:type="dxa"/>
            <w:shd w:val="clear" w:color="auto" w:fill="FFFFFF"/>
            <w:vAlign w:val="center"/>
          </w:tcPr>
          <w:p w14:paraId="7DD9A72E" w14:textId="389EDB3D" w:rsidR="008651ED" w:rsidRPr="00AE46F8" w:rsidRDefault="008651ED" w:rsidP="00AE46F8">
            <w:pPr>
              <w:pStyle w:val="CETBodytext"/>
              <w:jc w:val="left"/>
              <w:rPr>
                <w:sz w:val="16"/>
                <w:szCs w:val="16"/>
                <w:lang w:val="en-GB"/>
              </w:rPr>
            </w:pPr>
            <w:r w:rsidRPr="00AE46F8">
              <w:rPr>
                <w:sz w:val="16"/>
                <w:szCs w:val="16"/>
              </w:rPr>
              <w:t>Reactive Distillation</w:t>
            </w:r>
          </w:p>
        </w:tc>
        <w:tc>
          <w:tcPr>
            <w:tcW w:w="4399" w:type="dxa"/>
            <w:shd w:val="clear" w:color="auto" w:fill="FFFFFF"/>
            <w:vAlign w:val="center"/>
          </w:tcPr>
          <w:p w14:paraId="21EF9E4D" w14:textId="5CF6988E" w:rsidR="008651ED" w:rsidRPr="00AE46F8" w:rsidRDefault="00657E03" w:rsidP="00AE46F8">
            <w:pPr>
              <w:pStyle w:val="CETBodytext"/>
              <w:jc w:val="left"/>
              <w:rPr>
                <w:sz w:val="16"/>
                <w:szCs w:val="16"/>
                <w:lang w:val="en-GB"/>
              </w:rPr>
            </w:pPr>
            <w:r w:rsidRPr="00AE46F8">
              <w:rPr>
                <w:sz w:val="16"/>
                <w:szCs w:val="16"/>
              </w:rPr>
              <w:t>Reactive Distillation</w:t>
            </w:r>
          </w:p>
        </w:tc>
      </w:tr>
    </w:tbl>
    <w:p w14:paraId="447FB59B" w14:textId="77777777" w:rsidR="00775588" w:rsidRDefault="00775588" w:rsidP="001903CF">
      <w:pPr>
        <w:pStyle w:val="CETCaption"/>
        <w:rPr>
          <w:lang w:val="en" w:eastAsia="fr-FR"/>
        </w:rPr>
      </w:pPr>
      <w:r w:rsidRPr="00AE46F8">
        <w:rPr>
          <w:noProof/>
          <w:lang w:val="fr-FR" w:eastAsia="fr-FR"/>
        </w:rPr>
        <w:drawing>
          <wp:inline distT="0" distB="0" distL="0" distR="0" wp14:anchorId="6C3FF92B" wp14:editId="7FBD6420">
            <wp:extent cx="5626100" cy="1519903"/>
            <wp:effectExtent l="0" t="0" r="0" b="4445"/>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10"/>
                    <a:srcRect t="-1" b="34774"/>
                    <a:stretch/>
                  </pic:blipFill>
                  <pic:spPr bwMode="auto">
                    <a:xfrm>
                      <a:off x="0" y="0"/>
                      <a:ext cx="5716336" cy="1544281"/>
                    </a:xfrm>
                    <a:prstGeom prst="rect">
                      <a:avLst/>
                    </a:prstGeom>
                    <a:ln>
                      <a:noFill/>
                    </a:ln>
                    <a:extLst>
                      <a:ext uri="{53640926-AAD7-44D8-BBD7-CCE9431645EC}">
                        <a14:shadowObscured xmlns:a14="http://schemas.microsoft.com/office/drawing/2010/main"/>
                      </a:ext>
                    </a:extLst>
                  </pic:spPr>
                </pic:pic>
              </a:graphicData>
            </a:graphic>
          </wp:inline>
        </w:drawing>
      </w:r>
    </w:p>
    <w:p w14:paraId="7266C928" w14:textId="77777777" w:rsidR="00775588" w:rsidRPr="00AE46F8" w:rsidRDefault="00775588" w:rsidP="00775588">
      <w:pPr>
        <w:pStyle w:val="CETCaption"/>
        <w:rPr>
          <w:lang w:val="fr-FR" w:eastAsia="fr-FR"/>
        </w:rPr>
      </w:pPr>
      <w:r w:rsidRPr="00AE46F8">
        <w:rPr>
          <w:lang w:val="en" w:eastAsia="fr-FR"/>
        </w:rPr>
        <w:t>Figure 1. DMC production process for each reaction modeling scenario</w:t>
      </w:r>
    </w:p>
    <w:p w14:paraId="2CDDB689" w14:textId="6718FD6D" w:rsidR="00657E03" w:rsidRPr="00657E03" w:rsidRDefault="00657E03" w:rsidP="00657E03">
      <w:pPr>
        <w:pStyle w:val="CETBodytext"/>
        <w:rPr>
          <w:lang w:val="fr-FR" w:eastAsia="fr-FR"/>
        </w:rPr>
      </w:pPr>
      <w:r>
        <w:rPr>
          <w:lang w:eastAsia="fr-FR"/>
        </w:rPr>
        <w:t>A</w:t>
      </w:r>
      <w:r w:rsidRPr="00657E03">
        <w:rPr>
          <w:lang w:eastAsia="fr-FR"/>
        </w:rPr>
        <w:t xml:space="preserve"> thermodynamic model based on the calculation of activity coefficients in the liquid phase</w:t>
      </w:r>
      <w:r>
        <w:rPr>
          <w:lang w:eastAsia="fr-FR"/>
        </w:rPr>
        <w:t xml:space="preserve"> was chosen</w:t>
      </w:r>
      <w:r w:rsidRPr="00657E03">
        <w:rPr>
          <w:lang w:eastAsia="fr-FR"/>
        </w:rPr>
        <w:t xml:space="preserve"> while the vapor phase is considered ideal. The Wilson model was selected for the reactive distillation column and the NH</w:t>
      </w:r>
      <w:r w:rsidRPr="00657E03">
        <w:rPr>
          <w:vertAlign w:val="subscript"/>
          <w:lang w:eastAsia="fr-FR"/>
        </w:rPr>
        <w:t>3</w:t>
      </w:r>
      <w:r w:rsidRPr="00657E03">
        <w:rPr>
          <w:lang w:eastAsia="fr-FR"/>
        </w:rPr>
        <w:t xml:space="preserve"> purification columns as proposed by Wang et al. (2007) for the pressure range 5 – 10 bar. The NRTL model with binary coefficients described by Matsuda et al. (2019) makes it possible to better calculate the methanol – DMC azeotrope at higher pressures. Figure 1 shows process flow diagrams for the production of DMC</w:t>
      </w:r>
      <w:r w:rsidR="00302311">
        <w:rPr>
          <w:lang w:eastAsia="fr-FR"/>
        </w:rPr>
        <w:t xml:space="preserve">. </w:t>
      </w:r>
      <w:r w:rsidRPr="00657E03">
        <w:rPr>
          <w:lang w:eastAsia="fr-FR"/>
        </w:rPr>
        <w:t xml:space="preserve">For the reaction stage (R1), a perfectly stirred ideal reactor (RI) is appropriate for scenario I, because the reaction is instantaneous, while a </w:t>
      </w:r>
      <w:r w:rsidR="00AE46F8">
        <w:rPr>
          <w:lang w:eastAsia="fr-FR"/>
        </w:rPr>
        <w:t>plug flow</w:t>
      </w:r>
      <w:r w:rsidRPr="00657E03">
        <w:rPr>
          <w:lang w:eastAsia="fr-FR"/>
        </w:rPr>
        <w:t xml:space="preserve"> reactor (RP) was chosen for scenarios II and III. For the reaction step (R2), an ideal reactor connected to a distillation column (RI+D) was chosen for scenario I.</w:t>
      </w:r>
      <w:r w:rsidR="00775588">
        <w:rPr>
          <w:lang w:eastAsia="fr-FR"/>
        </w:rPr>
        <w:t xml:space="preserve"> A</w:t>
      </w:r>
      <w:r w:rsidRPr="00657E03">
        <w:rPr>
          <w:lang w:eastAsia="fr-FR"/>
        </w:rPr>
        <w:t xml:space="preserve"> reactive distillation column (DR) makes it possible to optimize the production yield of the DMC using the equilibrium model of scenario II and the kinetic model of scenario III. The separation of NH</w:t>
      </w:r>
      <w:r w:rsidRPr="00AE46F8">
        <w:rPr>
          <w:vertAlign w:val="subscript"/>
          <w:lang w:eastAsia="fr-FR"/>
        </w:rPr>
        <w:t>3</w:t>
      </w:r>
      <w:r w:rsidRPr="00657E03">
        <w:rPr>
          <w:lang w:eastAsia="fr-FR"/>
        </w:rPr>
        <w:t xml:space="preserve"> from mixtures resulting from each reaction in the separation (S1) and separation (S2) stages is carried out by a distillation column with partial condenser (CDCP) for all scenarios. The purification of DMC in the last part of the separation step (S2) is carried out by a distillation </w:t>
      </w:r>
      <w:r w:rsidRPr="00657E03">
        <w:rPr>
          <w:lang w:eastAsia="fr-FR"/>
        </w:rPr>
        <w:lastRenderedPageBreak/>
        <w:t>column with a total condenser (CDCT). The process feed is made with 4</w:t>
      </w:r>
      <w:r w:rsidR="00AE46F8">
        <w:rPr>
          <w:lang w:eastAsia="fr-FR"/>
        </w:rPr>
        <w:t>,</w:t>
      </w:r>
      <w:r w:rsidRPr="00657E03">
        <w:rPr>
          <w:lang w:eastAsia="fr-FR"/>
        </w:rPr>
        <w:t>165 kg/h of methanol (stream 1, figure 1) and 6</w:t>
      </w:r>
      <w:r w:rsidR="00AE46F8">
        <w:rPr>
          <w:lang w:eastAsia="fr-FR"/>
        </w:rPr>
        <w:t>,</w:t>
      </w:r>
      <w:r w:rsidRPr="00657E03">
        <w:rPr>
          <w:lang w:eastAsia="fr-FR"/>
        </w:rPr>
        <w:t>006 kg/h of urea (stream 2). Then, the CH</w:t>
      </w:r>
      <w:r w:rsidRPr="00AE46F8">
        <w:rPr>
          <w:vertAlign w:val="subscript"/>
          <w:lang w:eastAsia="fr-FR"/>
        </w:rPr>
        <w:t>3</w:t>
      </w:r>
      <w:r w:rsidRPr="00657E03">
        <w:rPr>
          <w:lang w:eastAsia="fr-FR"/>
        </w:rPr>
        <w:t>OH - DMC mixture (stream 8) is recycled in the reaction step (R2) for both technologies (RI+D) and (DR). The CH</w:t>
      </w:r>
      <w:r w:rsidRPr="00AE46F8">
        <w:rPr>
          <w:vertAlign w:val="subscript"/>
          <w:lang w:eastAsia="fr-FR"/>
        </w:rPr>
        <w:t>3</w:t>
      </w:r>
      <w:r w:rsidRPr="00657E03">
        <w:rPr>
          <w:lang w:eastAsia="fr-FR"/>
        </w:rPr>
        <w:t xml:space="preserve">OH/MC molar ratio in the reaction step (R2) is ensured by the control loop (SPEC) which regulates the supply of pure methanol. Stream 5 from the bottom of the distillation column </w:t>
      </w:r>
      <w:r w:rsidR="00B723AB">
        <w:rPr>
          <w:lang w:eastAsia="fr-FR"/>
        </w:rPr>
        <w:t xml:space="preserve">is </w:t>
      </w:r>
      <w:r w:rsidRPr="00657E03">
        <w:rPr>
          <w:lang w:eastAsia="fr-FR"/>
        </w:rPr>
        <w:t>returned to the reactor (scenario I) or the reactive distillation column (scenarios II and III). The simulation of each scenario was carried out with the ProsimPlus® software.</w:t>
      </w:r>
    </w:p>
    <w:p w14:paraId="5331D63C" w14:textId="11CE4AA6" w:rsidR="00AE46F8" w:rsidRPr="00AE46F8" w:rsidRDefault="00AE46F8" w:rsidP="00281FAA">
      <w:pPr>
        <w:pStyle w:val="CETheadingx"/>
        <w:rPr>
          <w:lang w:val="fr-FR" w:eastAsia="fr-FR"/>
        </w:rPr>
      </w:pPr>
      <w:r w:rsidRPr="00AE46F8">
        <w:rPr>
          <w:lang w:eastAsia="fr-FR"/>
        </w:rPr>
        <w:t>Results of the simu</w:t>
      </w:r>
      <w:r w:rsidR="00281FAA">
        <w:rPr>
          <w:lang w:eastAsia="fr-FR"/>
        </w:rPr>
        <w:t>lation</w:t>
      </w:r>
    </w:p>
    <w:p w14:paraId="5CDB52F4" w14:textId="374BA19D" w:rsidR="00AE46F8" w:rsidRPr="00AE46F8" w:rsidRDefault="00AE46F8" w:rsidP="00AE46F8">
      <w:pPr>
        <w:pStyle w:val="CETBodytext"/>
        <w:rPr>
          <w:lang w:val="fr-FR" w:eastAsia="fr-FR"/>
        </w:rPr>
      </w:pPr>
      <w:r w:rsidRPr="00AE46F8">
        <w:rPr>
          <w:lang w:eastAsia="fr-FR"/>
        </w:rPr>
        <w:t xml:space="preserve">Table 2 shows the optimal operating conditions calculated by the genetic algorithm method available in ProsimPlus® to maximize the production of DMC to 99.5%. The feed mass flow rates for each component (kg/h) and for each unit operation, as well as the output </w:t>
      </w:r>
      <w:r>
        <w:rPr>
          <w:lang w:eastAsia="fr-FR"/>
        </w:rPr>
        <w:t>streams</w:t>
      </w:r>
      <w:r w:rsidRPr="00AE46F8">
        <w:rPr>
          <w:lang w:eastAsia="fr-FR"/>
        </w:rPr>
        <w:t xml:space="preserve"> (see legend figure 1), are shown in the table with the energy consumption for the cold utilities</w:t>
      </w:r>
      <w:r w:rsidR="00302311">
        <w:rPr>
          <w:lang w:eastAsia="fr-FR"/>
        </w:rPr>
        <w:t xml:space="preserve"> (water at 15°C) and hot utilities</w:t>
      </w:r>
      <w:r w:rsidRPr="00AE46F8">
        <w:rPr>
          <w:lang w:eastAsia="fr-FR"/>
        </w:rPr>
        <w:t xml:space="preserve"> (steam at 60 bar). For reaction (R1), the equilibrium model gives the lowest urea conversion rate of 98.5% for a pressure of 10 bar at the bubble temperature of the reactive mixture. Then, the column (CDCP1) makes it possible to recover almost 100% of NH</w:t>
      </w:r>
      <w:r w:rsidRPr="00AE46F8">
        <w:rPr>
          <w:vertAlign w:val="subscript"/>
          <w:lang w:eastAsia="fr-FR"/>
        </w:rPr>
        <w:t>3</w:t>
      </w:r>
      <w:r w:rsidRPr="00AE46F8">
        <w:rPr>
          <w:lang w:eastAsia="fr-FR"/>
        </w:rPr>
        <w:t xml:space="preserve"> with a purity greater than 99.9% in order to send this molecule back to the urea production process and avoid this waste. The same solution is applicable for the column distillate (CDCP2) containing CO</w:t>
      </w:r>
      <w:r w:rsidRPr="00AE46F8">
        <w:rPr>
          <w:vertAlign w:val="subscript"/>
          <w:lang w:eastAsia="fr-FR"/>
        </w:rPr>
        <w:t>2</w:t>
      </w:r>
      <w:r w:rsidRPr="00AE46F8">
        <w:rPr>
          <w:lang w:eastAsia="fr-FR"/>
        </w:rPr>
        <w:t xml:space="preserve">, a reagent also essential to produce urea. Scenario I requires 1.8 times more methanol due to a lower MC conversion rate (49.55%). The use of a reactive distillation column (RD) for scenarios II and III makes it possible to increase the conversion rate of MC to 93.2%. A slightly lower MC conversion rate (88.5%) is obtained in scenario III due to the significant effect of the liquid volume in the reaction trays. It should be noted that an instantaneous equilibrium was considered for scenario II. As a result, the energy consumption is higher in Scenario III, because the reflux ratio of the reactive distillation column is 4 times higher. However, Scenario III is more representative of the actual performance of reaction step 2 (R2+R3) in </w:t>
      </w:r>
      <w:r w:rsidR="001903CF">
        <w:rPr>
          <w:lang w:eastAsia="fr-FR"/>
        </w:rPr>
        <w:t>a reactive distillation column.</w:t>
      </w:r>
      <w:r w:rsidRPr="00AE46F8">
        <w:rPr>
          <w:lang w:eastAsia="fr-FR"/>
        </w:rPr>
        <w:t xml:space="preserve"> Stream 5 (Figure 1) is the only process waste to be treated. Scenario I without a reactive distillation column generates 6 times more waste.</w:t>
      </w:r>
    </w:p>
    <w:p w14:paraId="5ED4B5F3" w14:textId="05750972" w:rsidR="00AE46F8" w:rsidRDefault="00AE46F8" w:rsidP="00AE46F8">
      <w:pPr>
        <w:pStyle w:val="CETTabletitle"/>
        <w:rPr>
          <w:lang w:val="en" w:eastAsia="fr-FR"/>
        </w:rPr>
      </w:pPr>
      <w:r w:rsidRPr="00AE46F8">
        <w:rPr>
          <w:lang w:val="en" w:eastAsia="fr-FR"/>
        </w:rPr>
        <w:t>Table 2. Simulation results with ProsimPlus® software of each scenario</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862"/>
        <w:gridCol w:w="682"/>
        <w:gridCol w:w="682"/>
        <w:gridCol w:w="682"/>
        <w:gridCol w:w="682"/>
        <w:gridCol w:w="607"/>
        <w:gridCol w:w="607"/>
        <w:gridCol w:w="607"/>
        <w:gridCol w:w="607"/>
        <w:gridCol w:w="607"/>
        <w:gridCol w:w="607"/>
      </w:tblGrid>
      <w:tr w:rsidR="00A70235" w:rsidRPr="00E25673" w14:paraId="6FA4E320" w14:textId="77777777" w:rsidTr="00A70235">
        <w:tc>
          <w:tcPr>
            <w:tcW w:w="1043" w:type="dxa"/>
            <w:tcBorders>
              <w:top w:val="single" w:sz="12" w:space="0" w:color="008000"/>
              <w:bottom w:val="single" w:sz="4" w:space="0" w:color="008000"/>
            </w:tcBorders>
          </w:tcPr>
          <w:p w14:paraId="46E3A4E4" w14:textId="0B36E894" w:rsidR="00A70235" w:rsidRPr="00E25673" w:rsidRDefault="00A70235" w:rsidP="00A70235">
            <w:pPr>
              <w:pStyle w:val="NormalWeb"/>
              <w:spacing w:line="216" w:lineRule="auto"/>
              <w:rPr>
                <w:rFonts w:asciiTheme="minorHAnsi" w:hAnsiTheme="minorHAnsi" w:cstheme="minorHAnsi"/>
                <w:b/>
                <w:sz w:val="14"/>
                <w:szCs w:val="14"/>
              </w:rPr>
            </w:pPr>
            <w:r w:rsidRPr="00E25673">
              <w:rPr>
                <w:rFonts w:asciiTheme="minorHAnsi" w:hAnsiTheme="minorHAnsi" w:cstheme="minorHAnsi"/>
                <w:b/>
                <w:sz w:val="14"/>
                <w:szCs w:val="14"/>
              </w:rPr>
              <w:t>Scenario I</w:t>
            </w:r>
          </w:p>
        </w:tc>
        <w:tc>
          <w:tcPr>
            <w:tcW w:w="766" w:type="dxa"/>
            <w:tcBorders>
              <w:top w:val="single" w:sz="12" w:space="0" w:color="008000"/>
              <w:bottom w:val="single" w:sz="4" w:space="0" w:color="008000"/>
            </w:tcBorders>
          </w:tcPr>
          <w:p w14:paraId="26398FF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RI</w:t>
            </w:r>
          </w:p>
        </w:tc>
        <w:tc>
          <w:tcPr>
            <w:tcW w:w="0" w:type="auto"/>
            <w:tcBorders>
              <w:top w:val="single" w:sz="12" w:space="0" w:color="008000"/>
              <w:bottom w:val="single" w:sz="4" w:space="0" w:color="008000"/>
            </w:tcBorders>
          </w:tcPr>
          <w:p w14:paraId="095538C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CDCP1</w:t>
            </w:r>
          </w:p>
        </w:tc>
        <w:tc>
          <w:tcPr>
            <w:tcW w:w="0" w:type="auto"/>
            <w:tcBorders>
              <w:top w:val="single" w:sz="12" w:space="0" w:color="008000"/>
              <w:bottom w:val="single" w:sz="4" w:space="0" w:color="008000"/>
            </w:tcBorders>
          </w:tcPr>
          <w:p w14:paraId="2570AED2"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w:t>
            </w:r>
          </w:p>
        </w:tc>
        <w:tc>
          <w:tcPr>
            <w:tcW w:w="0" w:type="auto"/>
            <w:tcBorders>
              <w:top w:val="single" w:sz="12" w:space="0" w:color="008000"/>
              <w:bottom w:val="single" w:sz="4" w:space="0" w:color="008000"/>
            </w:tcBorders>
          </w:tcPr>
          <w:p w14:paraId="6EEF776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w:t>
            </w:r>
          </w:p>
        </w:tc>
        <w:tc>
          <w:tcPr>
            <w:tcW w:w="0" w:type="auto"/>
            <w:tcBorders>
              <w:top w:val="single" w:sz="12" w:space="0" w:color="008000"/>
              <w:bottom w:val="single" w:sz="4" w:space="0" w:color="008000"/>
            </w:tcBorders>
          </w:tcPr>
          <w:p w14:paraId="73C5287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RI</w:t>
            </w:r>
          </w:p>
        </w:tc>
        <w:tc>
          <w:tcPr>
            <w:tcW w:w="0" w:type="auto"/>
            <w:tcBorders>
              <w:top w:val="single" w:sz="12" w:space="0" w:color="008000"/>
              <w:bottom w:val="single" w:sz="4" w:space="0" w:color="008000"/>
            </w:tcBorders>
          </w:tcPr>
          <w:p w14:paraId="6DAF8E3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D</w:t>
            </w:r>
          </w:p>
        </w:tc>
        <w:tc>
          <w:tcPr>
            <w:tcW w:w="0" w:type="auto"/>
            <w:tcBorders>
              <w:top w:val="single" w:sz="12" w:space="0" w:color="008000"/>
              <w:bottom w:val="single" w:sz="4" w:space="0" w:color="008000"/>
            </w:tcBorders>
          </w:tcPr>
          <w:p w14:paraId="02F0AEF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CDCP2</w:t>
            </w:r>
          </w:p>
        </w:tc>
        <w:tc>
          <w:tcPr>
            <w:tcW w:w="0" w:type="auto"/>
            <w:tcBorders>
              <w:top w:val="single" w:sz="12" w:space="0" w:color="008000"/>
              <w:bottom w:val="single" w:sz="4" w:space="0" w:color="008000"/>
            </w:tcBorders>
          </w:tcPr>
          <w:p w14:paraId="6675673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w:t>
            </w:r>
          </w:p>
        </w:tc>
        <w:tc>
          <w:tcPr>
            <w:tcW w:w="0" w:type="auto"/>
            <w:tcBorders>
              <w:top w:val="single" w:sz="12" w:space="0" w:color="008000"/>
              <w:bottom w:val="single" w:sz="4" w:space="0" w:color="008000"/>
            </w:tcBorders>
          </w:tcPr>
          <w:p w14:paraId="4104896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CDCT</w:t>
            </w:r>
          </w:p>
        </w:tc>
        <w:tc>
          <w:tcPr>
            <w:tcW w:w="0" w:type="auto"/>
            <w:tcBorders>
              <w:top w:val="single" w:sz="12" w:space="0" w:color="008000"/>
              <w:bottom w:val="single" w:sz="4" w:space="0" w:color="008000"/>
            </w:tcBorders>
          </w:tcPr>
          <w:p w14:paraId="6617697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w:t>
            </w:r>
          </w:p>
        </w:tc>
        <w:tc>
          <w:tcPr>
            <w:tcW w:w="0" w:type="auto"/>
            <w:tcBorders>
              <w:top w:val="single" w:sz="12" w:space="0" w:color="008000"/>
              <w:bottom w:val="single" w:sz="4" w:space="0" w:color="008000"/>
            </w:tcBorders>
          </w:tcPr>
          <w:p w14:paraId="2B36C80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w:t>
            </w:r>
          </w:p>
        </w:tc>
      </w:tr>
      <w:tr w:rsidR="00A70235" w:rsidRPr="00E25673" w14:paraId="69779ADB" w14:textId="77777777" w:rsidTr="00A70235">
        <w:tc>
          <w:tcPr>
            <w:tcW w:w="1043" w:type="dxa"/>
            <w:tcBorders>
              <w:top w:val="single" w:sz="4" w:space="0" w:color="008000"/>
            </w:tcBorders>
          </w:tcPr>
          <w:p w14:paraId="23AA2502"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P(bar)</w:t>
            </w:r>
          </w:p>
        </w:tc>
        <w:tc>
          <w:tcPr>
            <w:tcW w:w="766" w:type="dxa"/>
            <w:tcBorders>
              <w:top w:val="single" w:sz="4" w:space="0" w:color="008000"/>
            </w:tcBorders>
          </w:tcPr>
          <w:p w14:paraId="515A843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10</w:t>
            </w:r>
          </w:p>
        </w:tc>
        <w:tc>
          <w:tcPr>
            <w:tcW w:w="0" w:type="auto"/>
            <w:tcBorders>
              <w:top w:val="single" w:sz="4" w:space="0" w:color="008000"/>
            </w:tcBorders>
          </w:tcPr>
          <w:p w14:paraId="188FC8B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5F13E2E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18F5A51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22CC55E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14075462"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783CFD8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56D8152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3AAFD6E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w:t>
            </w:r>
          </w:p>
        </w:tc>
        <w:tc>
          <w:tcPr>
            <w:tcW w:w="0" w:type="auto"/>
            <w:tcBorders>
              <w:top w:val="single" w:sz="4" w:space="0" w:color="008000"/>
            </w:tcBorders>
          </w:tcPr>
          <w:p w14:paraId="06D51B9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w:t>
            </w:r>
          </w:p>
        </w:tc>
        <w:tc>
          <w:tcPr>
            <w:tcW w:w="0" w:type="auto"/>
            <w:tcBorders>
              <w:top w:val="single" w:sz="4" w:space="0" w:color="008000"/>
            </w:tcBorders>
          </w:tcPr>
          <w:p w14:paraId="388F3882"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w:t>
            </w:r>
          </w:p>
        </w:tc>
      </w:tr>
      <w:tr w:rsidR="00A70235" w:rsidRPr="00E25673" w14:paraId="22C3231C" w14:textId="77777777" w:rsidTr="00A70235">
        <w:tc>
          <w:tcPr>
            <w:tcW w:w="1043" w:type="dxa"/>
          </w:tcPr>
          <w:p w14:paraId="2C7CB646"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T(K)</w:t>
            </w:r>
          </w:p>
        </w:tc>
        <w:tc>
          <w:tcPr>
            <w:tcW w:w="766" w:type="dxa"/>
          </w:tcPr>
          <w:p w14:paraId="476978C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388.15</w:t>
            </w:r>
          </w:p>
        </w:tc>
        <w:tc>
          <w:tcPr>
            <w:tcW w:w="0" w:type="auto"/>
          </w:tcPr>
          <w:p w14:paraId="344BC3A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372.15</w:t>
            </w:r>
          </w:p>
        </w:tc>
        <w:tc>
          <w:tcPr>
            <w:tcW w:w="0" w:type="auto"/>
          </w:tcPr>
          <w:p w14:paraId="599E01E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282.15</w:t>
            </w:r>
          </w:p>
        </w:tc>
        <w:tc>
          <w:tcPr>
            <w:tcW w:w="0" w:type="auto"/>
          </w:tcPr>
          <w:p w14:paraId="1DBC277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437.15</w:t>
            </w:r>
          </w:p>
        </w:tc>
        <w:tc>
          <w:tcPr>
            <w:tcW w:w="0" w:type="auto"/>
          </w:tcPr>
          <w:p w14:paraId="5643595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394.15</w:t>
            </w:r>
          </w:p>
        </w:tc>
        <w:tc>
          <w:tcPr>
            <w:tcW w:w="0" w:type="auto"/>
          </w:tcPr>
          <w:p w14:paraId="70C87A7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423.15</w:t>
            </w:r>
          </w:p>
        </w:tc>
        <w:tc>
          <w:tcPr>
            <w:tcW w:w="0" w:type="auto"/>
          </w:tcPr>
          <w:p w14:paraId="560FD33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384.15</w:t>
            </w:r>
          </w:p>
        </w:tc>
        <w:tc>
          <w:tcPr>
            <w:tcW w:w="0" w:type="auto"/>
          </w:tcPr>
          <w:p w14:paraId="3827D674"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283.15</w:t>
            </w:r>
          </w:p>
        </w:tc>
        <w:tc>
          <w:tcPr>
            <w:tcW w:w="0" w:type="auto"/>
          </w:tcPr>
          <w:p w14:paraId="6B5AED5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385.15</w:t>
            </w:r>
          </w:p>
        </w:tc>
        <w:tc>
          <w:tcPr>
            <w:tcW w:w="0" w:type="auto"/>
          </w:tcPr>
          <w:p w14:paraId="1A4F19B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428.15</w:t>
            </w:r>
          </w:p>
        </w:tc>
        <w:tc>
          <w:tcPr>
            <w:tcW w:w="0" w:type="auto"/>
          </w:tcPr>
          <w:p w14:paraId="679A3A8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363.15</w:t>
            </w:r>
          </w:p>
        </w:tc>
      </w:tr>
      <w:tr w:rsidR="00A70235" w:rsidRPr="00E25673" w14:paraId="4CA24E56" w14:textId="77777777" w:rsidTr="00A70235">
        <w:tc>
          <w:tcPr>
            <w:tcW w:w="1043" w:type="dxa"/>
          </w:tcPr>
          <w:p w14:paraId="33269E26" w14:textId="027474F2"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Methanol</w:t>
            </w:r>
          </w:p>
        </w:tc>
        <w:tc>
          <w:tcPr>
            <w:tcW w:w="766" w:type="dxa"/>
          </w:tcPr>
          <w:p w14:paraId="6B8DDB63" w14:textId="7AAC7C30"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4,165</w:t>
            </w:r>
          </w:p>
        </w:tc>
        <w:tc>
          <w:tcPr>
            <w:tcW w:w="0" w:type="auto"/>
          </w:tcPr>
          <w:p w14:paraId="3C265F0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961</w:t>
            </w:r>
          </w:p>
        </w:tc>
        <w:tc>
          <w:tcPr>
            <w:tcW w:w="0" w:type="auto"/>
          </w:tcPr>
          <w:p w14:paraId="27183EF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834AF7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961</w:t>
            </w:r>
          </w:p>
        </w:tc>
        <w:tc>
          <w:tcPr>
            <w:tcW w:w="0" w:type="auto"/>
          </w:tcPr>
          <w:p w14:paraId="483C86B4" w14:textId="126E311F"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18,334</w:t>
            </w:r>
          </w:p>
        </w:tc>
        <w:tc>
          <w:tcPr>
            <w:tcW w:w="0" w:type="auto"/>
          </w:tcPr>
          <w:p w14:paraId="550887BF" w14:textId="489A3925"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15,306</w:t>
            </w:r>
          </w:p>
        </w:tc>
        <w:tc>
          <w:tcPr>
            <w:tcW w:w="0" w:type="auto"/>
          </w:tcPr>
          <w:p w14:paraId="434C9ADB" w14:textId="5F8F2AEA"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15,306</w:t>
            </w:r>
          </w:p>
        </w:tc>
        <w:tc>
          <w:tcPr>
            <w:tcW w:w="0" w:type="auto"/>
          </w:tcPr>
          <w:p w14:paraId="6CDD8FA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w:t>
            </w:r>
          </w:p>
        </w:tc>
        <w:tc>
          <w:tcPr>
            <w:tcW w:w="0" w:type="auto"/>
          </w:tcPr>
          <w:p w14:paraId="0ADE1B66" w14:textId="574090DF"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15,304</w:t>
            </w:r>
          </w:p>
        </w:tc>
        <w:tc>
          <w:tcPr>
            <w:tcW w:w="0" w:type="auto"/>
          </w:tcPr>
          <w:p w14:paraId="05CDBE0C" w14:textId="611E0206"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15,289</w:t>
            </w:r>
          </w:p>
        </w:tc>
        <w:tc>
          <w:tcPr>
            <w:tcW w:w="0" w:type="auto"/>
          </w:tcPr>
          <w:p w14:paraId="4100895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15</w:t>
            </w:r>
          </w:p>
        </w:tc>
      </w:tr>
      <w:tr w:rsidR="00A70235" w:rsidRPr="00E25673" w14:paraId="01210065" w14:textId="77777777" w:rsidTr="00A70235">
        <w:tc>
          <w:tcPr>
            <w:tcW w:w="1043" w:type="dxa"/>
          </w:tcPr>
          <w:p w14:paraId="09A410C3" w14:textId="68DCFC0D"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Urea</w:t>
            </w:r>
          </w:p>
        </w:tc>
        <w:tc>
          <w:tcPr>
            <w:tcW w:w="766" w:type="dxa"/>
          </w:tcPr>
          <w:p w14:paraId="7623C24F" w14:textId="462534F3"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6,006</w:t>
            </w:r>
          </w:p>
        </w:tc>
        <w:tc>
          <w:tcPr>
            <w:tcW w:w="0" w:type="auto"/>
          </w:tcPr>
          <w:p w14:paraId="54E236C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55B4CE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1AA1012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DB5C52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15850E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424F74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92E2EB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BC2DB8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D6BA01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4EA0725"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35DB8391" w14:textId="77777777" w:rsidTr="00A70235">
        <w:tc>
          <w:tcPr>
            <w:tcW w:w="1043" w:type="dxa"/>
          </w:tcPr>
          <w:p w14:paraId="6A18D005"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MC</w:t>
            </w:r>
          </w:p>
        </w:tc>
        <w:tc>
          <w:tcPr>
            <w:tcW w:w="766" w:type="dxa"/>
          </w:tcPr>
          <w:p w14:paraId="54F14BE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47F99411" w14:textId="27B2C888"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7,507</w:t>
            </w:r>
          </w:p>
        </w:tc>
        <w:tc>
          <w:tcPr>
            <w:tcW w:w="0" w:type="auto"/>
          </w:tcPr>
          <w:p w14:paraId="4CB21E0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836C1D1" w14:textId="24367F66"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7,505</w:t>
            </w:r>
          </w:p>
        </w:tc>
        <w:tc>
          <w:tcPr>
            <w:tcW w:w="0" w:type="auto"/>
          </w:tcPr>
          <w:p w14:paraId="17B64F83" w14:textId="285F2B22"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14,317</w:t>
            </w:r>
          </w:p>
        </w:tc>
        <w:tc>
          <w:tcPr>
            <w:tcW w:w="0" w:type="auto"/>
          </w:tcPr>
          <w:p w14:paraId="48150D3C" w14:textId="285B10A4"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7,095</w:t>
            </w:r>
          </w:p>
        </w:tc>
        <w:tc>
          <w:tcPr>
            <w:tcW w:w="0" w:type="auto"/>
          </w:tcPr>
          <w:p w14:paraId="6AA99CE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7F5F9A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27849E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5BB8C80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5ADEF14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62487BDB" w14:textId="77777777" w:rsidTr="00A70235">
        <w:tc>
          <w:tcPr>
            <w:tcW w:w="1043" w:type="dxa"/>
          </w:tcPr>
          <w:p w14:paraId="415329CB"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DMC</w:t>
            </w:r>
          </w:p>
        </w:tc>
        <w:tc>
          <w:tcPr>
            <w:tcW w:w="766" w:type="dxa"/>
          </w:tcPr>
          <w:p w14:paraId="2E771B9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A6AA808" w14:textId="77777777" w:rsidR="00A70235" w:rsidRPr="00E25673" w:rsidRDefault="00A70235" w:rsidP="00A70235">
            <w:pPr>
              <w:pStyle w:val="NormalWeb"/>
              <w:spacing w:line="216" w:lineRule="auto"/>
              <w:jc w:val="center"/>
              <w:rPr>
                <w:rFonts w:asciiTheme="minorHAnsi" w:hAnsiTheme="minorHAnsi" w:cstheme="minorHAnsi"/>
                <w:sz w:val="14"/>
                <w:szCs w:val="14"/>
              </w:rPr>
            </w:pPr>
          </w:p>
        </w:tc>
        <w:tc>
          <w:tcPr>
            <w:tcW w:w="0" w:type="auto"/>
          </w:tcPr>
          <w:p w14:paraId="58BD008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5C997F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1D82B5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770</w:t>
            </w:r>
          </w:p>
        </w:tc>
        <w:tc>
          <w:tcPr>
            <w:tcW w:w="0" w:type="auto"/>
          </w:tcPr>
          <w:p w14:paraId="5D044495" w14:textId="06DB5BBD"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9,283</w:t>
            </w:r>
          </w:p>
        </w:tc>
        <w:tc>
          <w:tcPr>
            <w:tcW w:w="0" w:type="auto"/>
          </w:tcPr>
          <w:p w14:paraId="07C7F202"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8949</w:t>
            </w:r>
          </w:p>
        </w:tc>
        <w:tc>
          <w:tcPr>
            <w:tcW w:w="0" w:type="auto"/>
          </w:tcPr>
          <w:p w14:paraId="1C9BF41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5F00D7E" w14:textId="63029C0B"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8,949</w:t>
            </w:r>
          </w:p>
        </w:tc>
        <w:tc>
          <w:tcPr>
            <w:tcW w:w="0" w:type="auto"/>
          </w:tcPr>
          <w:p w14:paraId="05426D4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454</w:t>
            </w:r>
          </w:p>
        </w:tc>
        <w:tc>
          <w:tcPr>
            <w:tcW w:w="0" w:type="auto"/>
          </w:tcPr>
          <w:p w14:paraId="6066C961" w14:textId="4A3EAA74"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8,495</w:t>
            </w:r>
          </w:p>
        </w:tc>
      </w:tr>
      <w:tr w:rsidR="00A70235" w:rsidRPr="00E25673" w14:paraId="59638B23" w14:textId="77777777" w:rsidTr="00A70235">
        <w:tc>
          <w:tcPr>
            <w:tcW w:w="1043" w:type="dxa"/>
          </w:tcPr>
          <w:p w14:paraId="11C476CC"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NMMC</w:t>
            </w:r>
          </w:p>
        </w:tc>
        <w:tc>
          <w:tcPr>
            <w:tcW w:w="766" w:type="dxa"/>
          </w:tcPr>
          <w:p w14:paraId="390E3BB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72159985" w14:textId="77777777" w:rsidR="00A70235" w:rsidRPr="00E25673" w:rsidRDefault="00A70235" w:rsidP="00A70235">
            <w:pPr>
              <w:pStyle w:val="NormalWeb"/>
              <w:spacing w:line="216" w:lineRule="auto"/>
              <w:jc w:val="center"/>
              <w:rPr>
                <w:rFonts w:asciiTheme="minorHAnsi" w:hAnsiTheme="minorHAnsi" w:cstheme="minorHAnsi"/>
                <w:sz w:val="14"/>
                <w:szCs w:val="14"/>
              </w:rPr>
            </w:pPr>
          </w:p>
        </w:tc>
        <w:tc>
          <w:tcPr>
            <w:tcW w:w="0" w:type="auto"/>
          </w:tcPr>
          <w:p w14:paraId="41AF6C7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1DFFEE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9427ADA" w14:textId="66068C05"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1,830</w:t>
            </w:r>
          </w:p>
        </w:tc>
        <w:tc>
          <w:tcPr>
            <w:tcW w:w="0" w:type="auto"/>
          </w:tcPr>
          <w:p w14:paraId="566FA0A3" w14:textId="73E72DF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1,906</w:t>
            </w:r>
          </w:p>
        </w:tc>
        <w:tc>
          <w:tcPr>
            <w:tcW w:w="0" w:type="auto"/>
          </w:tcPr>
          <w:p w14:paraId="13727AD4"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9DED79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5021ED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1D64F2A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44BE738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2E589D63" w14:textId="77777777" w:rsidTr="00A70235">
        <w:tc>
          <w:tcPr>
            <w:tcW w:w="1043" w:type="dxa"/>
          </w:tcPr>
          <w:p w14:paraId="5ADDB047"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NH</w:t>
            </w:r>
            <w:r w:rsidRPr="00E25673">
              <w:rPr>
                <w:rFonts w:asciiTheme="minorHAnsi" w:hAnsiTheme="minorHAnsi" w:cstheme="minorHAnsi"/>
                <w:sz w:val="14"/>
                <w:szCs w:val="14"/>
                <w:vertAlign w:val="subscript"/>
              </w:rPr>
              <w:t>3</w:t>
            </w:r>
          </w:p>
        </w:tc>
        <w:tc>
          <w:tcPr>
            <w:tcW w:w="766" w:type="dxa"/>
          </w:tcPr>
          <w:p w14:paraId="05C0899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466AE149" w14:textId="10C3D2B0"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1,703</w:t>
            </w:r>
          </w:p>
        </w:tc>
        <w:tc>
          <w:tcPr>
            <w:tcW w:w="0" w:type="auto"/>
          </w:tcPr>
          <w:p w14:paraId="0D51844A" w14:textId="43767624"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1,703</w:t>
            </w:r>
          </w:p>
        </w:tc>
        <w:tc>
          <w:tcPr>
            <w:tcW w:w="0" w:type="auto"/>
          </w:tcPr>
          <w:p w14:paraId="0B4CCB6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1C23CA9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78</w:t>
            </w:r>
          </w:p>
        </w:tc>
        <w:tc>
          <w:tcPr>
            <w:tcW w:w="0" w:type="auto"/>
          </w:tcPr>
          <w:p w14:paraId="241FE816" w14:textId="6DD08765"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1,702</w:t>
            </w:r>
          </w:p>
        </w:tc>
        <w:tc>
          <w:tcPr>
            <w:tcW w:w="0" w:type="auto"/>
          </w:tcPr>
          <w:p w14:paraId="771756AD" w14:textId="25CE138B"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1,702</w:t>
            </w:r>
          </w:p>
        </w:tc>
        <w:tc>
          <w:tcPr>
            <w:tcW w:w="0" w:type="auto"/>
          </w:tcPr>
          <w:p w14:paraId="55651E03" w14:textId="76293473"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1,624</w:t>
            </w:r>
          </w:p>
        </w:tc>
        <w:tc>
          <w:tcPr>
            <w:tcW w:w="0" w:type="auto"/>
          </w:tcPr>
          <w:p w14:paraId="233D39F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78</w:t>
            </w:r>
          </w:p>
        </w:tc>
        <w:tc>
          <w:tcPr>
            <w:tcW w:w="0" w:type="auto"/>
          </w:tcPr>
          <w:p w14:paraId="7EE5D9F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78</w:t>
            </w:r>
          </w:p>
        </w:tc>
        <w:tc>
          <w:tcPr>
            <w:tcW w:w="0" w:type="auto"/>
          </w:tcPr>
          <w:p w14:paraId="52E8217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31E957AE" w14:textId="77777777" w:rsidTr="00A70235">
        <w:tc>
          <w:tcPr>
            <w:tcW w:w="1043" w:type="dxa"/>
          </w:tcPr>
          <w:p w14:paraId="189A9990"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CO</w:t>
            </w:r>
            <w:r w:rsidRPr="00E25673">
              <w:rPr>
                <w:rFonts w:asciiTheme="minorHAnsi" w:hAnsiTheme="minorHAnsi" w:cstheme="minorHAnsi"/>
                <w:sz w:val="14"/>
                <w:szCs w:val="14"/>
                <w:vertAlign w:val="subscript"/>
              </w:rPr>
              <w:t>2</w:t>
            </w:r>
          </w:p>
        </w:tc>
        <w:tc>
          <w:tcPr>
            <w:tcW w:w="766" w:type="dxa"/>
          </w:tcPr>
          <w:p w14:paraId="7E01DE6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8BF4036" w14:textId="77777777" w:rsidR="00A70235" w:rsidRPr="00E25673" w:rsidRDefault="00A70235" w:rsidP="00A70235">
            <w:pPr>
              <w:pStyle w:val="NormalWeb"/>
              <w:spacing w:line="216" w:lineRule="auto"/>
              <w:jc w:val="center"/>
              <w:rPr>
                <w:rFonts w:asciiTheme="minorHAnsi" w:hAnsiTheme="minorHAnsi" w:cstheme="minorHAnsi"/>
                <w:sz w:val="14"/>
                <w:szCs w:val="14"/>
              </w:rPr>
            </w:pPr>
          </w:p>
        </w:tc>
        <w:tc>
          <w:tcPr>
            <w:tcW w:w="0" w:type="auto"/>
          </w:tcPr>
          <w:p w14:paraId="4C0F2312"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7BC1400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FC157B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774F740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38</w:t>
            </w:r>
          </w:p>
        </w:tc>
        <w:tc>
          <w:tcPr>
            <w:tcW w:w="0" w:type="auto"/>
          </w:tcPr>
          <w:p w14:paraId="3E231B3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38</w:t>
            </w:r>
          </w:p>
        </w:tc>
        <w:tc>
          <w:tcPr>
            <w:tcW w:w="0" w:type="auto"/>
          </w:tcPr>
          <w:p w14:paraId="63D8E62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38</w:t>
            </w:r>
          </w:p>
        </w:tc>
        <w:tc>
          <w:tcPr>
            <w:tcW w:w="0" w:type="auto"/>
          </w:tcPr>
          <w:p w14:paraId="13031F3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79D17D22"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74BA80B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68959DB2" w14:textId="77777777" w:rsidTr="00A70235">
        <w:tc>
          <w:tcPr>
            <w:tcW w:w="1043" w:type="dxa"/>
            <w:tcBorders>
              <w:bottom w:val="single" w:sz="4" w:space="0" w:color="008000"/>
            </w:tcBorders>
          </w:tcPr>
          <w:p w14:paraId="5FD58EA4" w14:textId="3CA75B7D"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Energy</w:t>
            </w:r>
          </w:p>
        </w:tc>
        <w:tc>
          <w:tcPr>
            <w:tcW w:w="3590" w:type="dxa"/>
            <w:gridSpan w:val="5"/>
            <w:tcBorders>
              <w:bottom w:val="single" w:sz="4" w:space="0" w:color="008000"/>
            </w:tcBorders>
          </w:tcPr>
          <w:p w14:paraId="1ECE2104" w14:textId="12716A56"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Hot utility : 27,677 kW</w:t>
            </w:r>
          </w:p>
        </w:tc>
        <w:tc>
          <w:tcPr>
            <w:tcW w:w="0" w:type="auto"/>
            <w:gridSpan w:val="6"/>
            <w:tcBorders>
              <w:bottom w:val="single" w:sz="4" w:space="0" w:color="008000"/>
            </w:tcBorders>
          </w:tcPr>
          <w:p w14:paraId="64D55E75" w14:textId="1E9AC2D3"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Cold utility : 27,058 kW</w:t>
            </w:r>
          </w:p>
        </w:tc>
      </w:tr>
      <w:tr w:rsidR="00A70235" w:rsidRPr="00E25673" w14:paraId="05A84A1A" w14:textId="77777777" w:rsidTr="00A70235">
        <w:tc>
          <w:tcPr>
            <w:tcW w:w="1043" w:type="dxa"/>
            <w:tcBorders>
              <w:top w:val="single" w:sz="4" w:space="0" w:color="008000"/>
              <w:bottom w:val="single" w:sz="4" w:space="0" w:color="008000"/>
            </w:tcBorders>
          </w:tcPr>
          <w:p w14:paraId="4ECFA4C8" w14:textId="458699BC"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b/>
                <w:sz w:val="14"/>
                <w:szCs w:val="14"/>
              </w:rPr>
              <w:t>Scenario II</w:t>
            </w:r>
          </w:p>
        </w:tc>
        <w:tc>
          <w:tcPr>
            <w:tcW w:w="766" w:type="dxa"/>
            <w:tcBorders>
              <w:top w:val="single" w:sz="4" w:space="0" w:color="008000"/>
              <w:bottom w:val="single" w:sz="4" w:space="0" w:color="008000"/>
            </w:tcBorders>
          </w:tcPr>
          <w:p w14:paraId="0EF174C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RI</w:t>
            </w:r>
          </w:p>
        </w:tc>
        <w:tc>
          <w:tcPr>
            <w:tcW w:w="0" w:type="auto"/>
            <w:tcBorders>
              <w:top w:val="single" w:sz="4" w:space="0" w:color="008000"/>
              <w:bottom w:val="single" w:sz="4" w:space="0" w:color="008000"/>
            </w:tcBorders>
          </w:tcPr>
          <w:p w14:paraId="601AEF1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CDCP1</w:t>
            </w:r>
          </w:p>
        </w:tc>
        <w:tc>
          <w:tcPr>
            <w:tcW w:w="0" w:type="auto"/>
            <w:tcBorders>
              <w:top w:val="single" w:sz="4" w:space="0" w:color="008000"/>
              <w:bottom w:val="single" w:sz="4" w:space="0" w:color="008000"/>
            </w:tcBorders>
          </w:tcPr>
          <w:p w14:paraId="0453CAB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w:t>
            </w:r>
          </w:p>
        </w:tc>
        <w:tc>
          <w:tcPr>
            <w:tcW w:w="0" w:type="auto"/>
            <w:tcBorders>
              <w:top w:val="single" w:sz="4" w:space="0" w:color="008000"/>
              <w:bottom w:val="single" w:sz="4" w:space="0" w:color="008000"/>
            </w:tcBorders>
          </w:tcPr>
          <w:p w14:paraId="1D944AD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w:t>
            </w:r>
          </w:p>
        </w:tc>
        <w:tc>
          <w:tcPr>
            <w:tcW w:w="0" w:type="auto"/>
            <w:gridSpan w:val="2"/>
            <w:tcBorders>
              <w:top w:val="single" w:sz="4" w:space="0" w:color="008000"/>
              <w:bottom w:val="single" w:sz="4" w:space="0" w:color="008000"/>
            </w:tcBorders>
          </w:tcPr>
          <w:p w14:paraId="5D06C4D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DR</w:t>
            </w:r>
          </w:p>
        </w:tc>
        <w:tc>
          <w:tcPr>
            <w:tcW w:w="0" w:type="auto"/>
            <w:tcBorders>
              <w:top w:val="single" w:sz="4" w:space="0" w:color="008000"/>
              <w:bottom w:val="single" w:sz="4" w:space="0" w:color="008000"/>
            </w:tcBorders>
          </w:tcPr>
          <w:p w14:paraId="67BB07B5"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CDCP2</w:t>
            </w:r>
          </w:p>
        </w:tc>
        <w:tc>
          <w:tcPr>
            <w:tcW w:w="0" w:type="auto"/>
            <w:tcBorders>
              <w:top w:val="single" w:sz="4" w:space="0" w:color="008000"/>
              <w:bottom w:val="single" w:sz="4" w:space="0" w:color="008000"/>
            </w:tcBorders>
          </w:tcPr>
          <w:p w14:paraId="0D23982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w:t>
            </w:r>
          </w:p>
        </w:tc>
        <w:tc>
          <w:tcPr>
            <w:tcW w:w="0" w:type="auto"/>
            <w:tcBorders>
              <w:top w:val="single" w:sz="4" w:space="0" w:color="008000"/>
              <w:bottom w:val="single" w:sz="4" w:space="0" w:color="008000"/>
            </w:tcBorders>
          </w:tcPr>
          <w:p w14:paraId="2990CB2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CDCT</w:t>
            </w:r>
          </w:p>
        </w:tc>
        <w:tc>
          <w:tcPr>
            <w:tcW w:w="0" w:type="auto"/>
            <w:tcBorders>
              <w:top w:val="single" w:sz="4" w:space="0" w:color="008000"/>
              <w:bottom w:val="single" w:sz="4" w:space="0" w:color="008000"/>
            </w:tcBorders>
          </w:tcPr>
          <w:p w14:paraId="32CDD5A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w:t>
            </w:r>
          </w:p>
        </w:tc>
        <w:tc>
          <w:tcPr>
            <w:tcW w:w="0" w:type="auto"/>
            <w:tcBorders>
              <w:top w:val="single" w:sz="4" w:space="0" w:color="008000"/>
              <w:bottom w:val="single" w:sz="4" w:space="0" w:color="008000"/>
            </w:tcBorders>
          </w:tcPr>
          <w:p w14:paraId="1D8B577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w:t>
            </w:r>
          </w:p>
        </w:tc>
      </w:tr>
      <w:tr w:rsidR="00A70235" w:rsidRPr="00E25673" w14:paraId="36CA09C1" w14:textId="77777777" w:rsidTr="00A70235">
        <w:tc>
          <w:tcPr>
            <w:tcW w:w="1043" w:type="dxa"/>
            <w:tcBorders>
              <w:top w:val="single" w:sz="4" w:space="0" w:color="008000"/>
            </w:tcBorders>
          </w:tcPr>
          <w:p w14:paraId="242F8C4E"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P(bar)</w:t>
            </w:r>
          </w:p>
        </w:tc>
        <w:tc>
          <w:tcPr>
            <w:tcW w:w="766" w:type="dxa"/>
            <w:tcBorders>
              <w:top w:val="single" w:sz="4" w:space="0" w:color="008000"/>
            </w:tcBorders>
          </w:tcPr>
          <w:p w14:paraId="4F26636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10</w:t>
            </w:r>
          </w:p>
        </w:tc>
        <w:tc>
          <w:tcPr>
            <w:tcW w:w="0" w:type="auto"/>
            <w:tcBorders>
              <w:top w:val="single" w:sz="4" w:space="0" w:color="008000"/>
            </w:tcBorders>
          </w:tcPr>
          <w:p w14:paraId="0EC042C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00CFB14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3ACFCAF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gridSpan w:val="2"/>
            <w:tcBorders>
              <w:top w:val="single" w:sz="4" w:space="0" w:color="008000"/>
            </w:tcBorders>
          </w:tcPr>
          <w:p w14:paraId="50AAB3C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3FBFF89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42B0992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0BEFBD3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w:t>
            </w:r>
          </w:p>
        </w:tc>
        <w:tc>
          <w:tcPr>
            <w:tcW w:w="0" w:type="auto"/>
            <w:tcBorders>
              <w:top w:val="single" w:sz="4" w:space="0" w:color="008000"/>
            </w:tcBorders>
          </w:tcPr>
          <w:p w14:paraId="073AB73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w:t>
            </w:r>
          </w:p>
        </w:tc>
        <w:tc>
          <w:tcPr>
            <w:tcW w:w="0" w:type="auto"/>
            <w:tcBorders>
              <w:top w:val="single" w:sz="4" w:space="0" w:color="008000"/>
            </w:tcBorders>
          </w:tcPr>
          <w:p w14:paraId="72941A8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w:t>
            </w:r>
          </w:p>
        </w:tc>
      </w:tr>
      <w:tr w:rsidR="00A70235" w:rsidRPr="00E25673" w14:paraId="344C3126" w14:textId="77777777" w:rsidTr="00A70235">
        <w:tc>
          <w:tcPr>
            <w:tcW w:w="1043" w:type="dxa"/>
          </w:tcPr>
          <w:p w14:paraId="7FE4F5D2"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T(K)</w:t>
            </w:r>
          </w:p>
        </w:tc>
        <w:tc>
          <w:tcPr>
            <w:tcW w:w="766" w:type="dxa"/>
          </w:tcPr>
          <w:p w14:paraId="0DB768C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388.15</w:t>
            </w:r>
          </w:p>
        </w:tc>
        <w:tc>
          <w:tcPr>
            <w:tcW w:w="0" w:type="auto"/>
          </w:tcPr>
          <w:p w14:paraId="503BA54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363.15</w:t>
            </w:r>
          </w:p>
        </w:tc>
        <w:tc>
          <w:tcPr>
            <w:tcW w:w="0" w:type="auto"/>
          </w:tcPr>
          <w:p w14:paraId="1B40B93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279.15</w:t>
            </w:r>
          </w:p>
        </w:tc>
        <w:tc>
          <w:tcPr>
            <w:tcW w:w="0" w:type="auto"/>
          </w:tcPr>
          <w:p w14:paraId="1D0D2DD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435.15</w:t>
            </w:r>
          </w:p>
        </w:tc>
        <w:tc>
          <w:tcPr>
            <w:tcW w:w="0" w:type="auto"/>
            <w:gridSpan w:val="2"/>
          </w:tcPr>
          <w:p w14:paraId="1DA4954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382.15</w:t>
            </w:r>
          </w:p>
        </w:tc>
        <w:tc>
          <w:tcPr>
            <w:tcW w:w="0" w:type="auto"/>
          </w:tcPr>
          <w:p w14:paraId="4DFFAE84"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351.15</w:t>
            </w:r>
          </w:p>
        </w:tc>
        <w:tc>
          <w:tcPr>
            <w:tcW w:w="0" w:type="auto"/>
          </w:tcPr>
          <w:p w14:paraId="64D6E31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284.15</w:t>
            </w:r>
          </w:p>
        </w:tc>
        <w:tc>
          <w:tcPr>
            <w:tcW w:w="0" w:type="auto"/>
          </w:tcPr>
          <w:p w14:paraId="22D364E4"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383.15</w:t>
            </w:r>
          </w:p>
        </w:tc>
        <w:tc>
          <w:tcPr>
            <w:tcW w:w="0" w:type="auto"/>
          </w:tcPr>
          <w:p w14:paraId="22D24FC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423.15</w:t>
            </w:r>
          </w:p>
        </w:tc>
        <w:tc>
          <w:tcPr>
            <w:tcW w:w="0" w:type="auto"/>
          </w:tcPr>
          <w:p w14:paraId="794A592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363.15</w:t>
            </w:r>
          </w:p>
        </w:tc>
      </w:tr>
      <w:tr w:rsidR="00A70235" w:rsidRPr="00E25673" w14:paraId="0115DA47" w14:textId="77777777" w:rsidTr="00A70235">
        <w:tc>
          <w:tcPr>
            <w:tcW w:w="1043" w:type="dxa"/>
          </w:tcPr>
          <w:p w14:paraId="6A0646F5" w14:textId="5FBDFF2A"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Methanol</w:t>
            </w:r>
          </w:p>
        </w:tc>
        <w:tc>
          <w:tcPr>
            <w:tcW w:w="766" w:type="dxa"/>
          </w:tcPr>
          <w:p w14:paraId="0DDD2223" w14:textId="11127E94"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4,165</w:t>
            </w:r>
          </w:p>
        </w:tc>
        <w:tc>
          <w:tcPr>
            <w:tcW w:w="0" w:type="auto"/>
          </w:tcPr>
          <w:p w14:paraId="7773593A" w14:textId="351762AB"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1,007</w:t>
            </w:r>
          </w:p>
        </w:tc>
        <w:tc>
          <w:tcPr>
            <w:tcW w:w="0" w:type="auto"/>
          </w:tcPr>
          <w:p w14:paraId="1F32EEF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0068553" w14:textId="5D311CBA"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1,006</w:t>
            </w:r>
          </w:p>
        </w:tc>
        <w:tc>
          <w:tcPr>
            <w:tcW w:w="0" w:type="auto"/>
            <w:gridSpan w:val="2"/>
          </w:tcPr>
          <w:p w14:paraId="153583D7" w14:textId="55D23C3B"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1,1535</w:t>
            </w:r>
          </w:p>
        </w:tc>
        <w:tc>
          <w:tcPr>
            <w:tcW w:w="0" w:type="auto"/>
          </w:tcPr>
          <w:p w14:paraId="410F9BE9" w14:textId="05B002B6"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9,125</w:t>
            </w:r>
          </w:p>
        </w:tc>
        <w:tc>
          <w:tcPr>
            <w:tcW w:w="0" w:type="auto"/>
          </w:tcPr>
          <w:p w14:paraId="0EDD01B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w:t>
            </w:r>
          </w:p>
        </w:tc>
        <w:tc>
          <w:tcPr>
            <w:tcW w:w="0" w:type="auto"/>
          </w:tcPr>
          <w:p w14:paraId="4F98C451" w14:textId="4D1FAD5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9,124</w:t>
            </w:r>
          </w:p>
        </w:tc>
        <w:tc>
          <w:tcPr>
            <w:tcW w:w="0" w:type="auto"/>
          </w:tcPr>
          <w:p w14:paraId="32B03FA7" w14:textId="4FBAE87B"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9,109</w:t>
            </w:r>
          </w:p>
        </w:tc>
        <w:tc>
          <w:tcPr>
            <w:tcW w:w="0" w:type="auto"/>
          </w:tcPr>
          <w:p w14:paraId="2E86B68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w:t>
            </w:r>
          </w:p>
        </w:tc>
      </w:tr>
      <w:tr w:rsidR="00A70235" w:rsidRPr="00E25673" w14:paraId="098EA758" w14:textId="77777777" w:rsidTr="00A70235">
        <w:tc>
          <w:tcPr>
            <w:tcW w:w="1043" w:type="dxa"/>
          </w:tcPr>
          <w:p w14:paraId="3E6378DC" w14:textId="7EC4BB66"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Urea</w:t>
            </w:r>
          </w:p>
        </w:tc>
        <w:tc>
          <w:tcPr>
            <w:tcW w:w="766" w:type="dxa"/>
          </w:tcPr>
          <w:p w14:paraId="09206A11" w14:textId="57707A59"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6,006</w:t>
            </w:r>
          </w:p>
        </w:tc>
        <w:tc>
          <w:tcPr>
            <w:tcW w:w="0" w:type="auto"/>
          </w:tcPr>
          <w:p w14:paraId="3B91BA7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85</w:t>
            </w:r>
          </w:p>
        </w:tc>
        <w:tc>
          <w:tcPr>
            <w:tcW w:w="0" w:type="auto"/>
          </w:tcPr>
          <w:p w14:paraId="60AB01C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1B6F2E7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85</w:t>
            </w:r>
          </w:p>
        </w:tc>
        <w:tc>
          <w:tcPr>
            <w:tcW w:w="0" w:type="auto"/>
            <w:gridSpan w:val="2"/>
          </w:tcPr>
          <w:p w14:paraId="1357686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85</w:t>
            </w:r>
          </w:p>
        </w:tc>
        <w:tc>
          <w:tcPr>
            <w:tcW w:w="0" w:type="auto"/>
          </w:tcPr>
          <w:p w14:paraId="1B4CD59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DABC99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726192B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446C09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495629C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15BC535D" w14:textId="77777777" w:rsidTr="00A70235">
        <w:tc>
          <w:tcPr>
            <w:tcW w:w="1043" w:type="dxa"/>
          </w:tcPr>
          <w:p w14:paraId="40B696D6"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MC</w:t>
            </w:r>
          </w:p>
        </w:tc>
        <w:tc>
          <w:tcPr>
            <w:tcW w:w="766" w:type="dxa"/>
          </w:tcPr>
          <w:p w14:paraId="37C56E9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C30E223" w14:textId="0D8EA9DE"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7,400</w:t>
            </w:r>
          </w:p>
        </w:tc>
        <w:tc>
          <w:tcPr>
            <w:tcW w:w="0" w:type="auto"/>
          </w:tcPr>
          <w:p w14:paraId="6A602A8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64CB119" w14:textId="4027E6E9"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7,400</w:t>
            </w:r>
          </w:p>
        </w:tc>
        <w:tc>
          <w:tcPr>
            <w:tcW w:w="0" w:type="auto"/>
            <w:gridSpan w:val="2"/>
          </w:tcPr>
          <w:p w14:paraId="4732D211" w14:textId="7D5D7720"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7,605</w:t>
            </w:r>
          </w:p>
        </w:tc>
        <w:tc>
          <w:tcPr>
            <w:tcW w:w="0" w:type="auto"/>
          </w:tcPr>
          <w:p w14:paraId="03B1A2A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50BAB225"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551137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265079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8E0DE4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05AA62BD" w14:textId="77777777" w:rsidTr="00A70235">
        <w:tc>
          <w:tcPr>
            <w:tcW w:w="1043" w:type="dxa"/>
          </w:tcPr>
          <w:p w14:paraId="74D6DD24"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DMC</w:t>
            </w:r>
          </w:p>
        </w:tc>
        <w:tc>
          <w:tcPr>
            <w:tcW w:w="766" w:type="dxa"/>
          </w:tcPr>
          <w:p w14:paraId="71EE9D6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A1A0F1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4C139D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3D4190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gridSpan w:val="2"/>
          </w:tcPr>
          <w:p w14:paraId="7AD14FB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331</w:t>
            </w:r>
          </w:p>
        </w:tc>
        <w:tc>
          <w:tcPr>
            <w:tcW w:w="0" w:type="auto"/>
          </w:tcPr>
          <w:p w14:paraId="4AED5EA7" w14:textId="4C64ABCD"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9,073</w:t>
            </w:r>
          </w:p>
        </w:tc>
        <w:tc>
          <w:tcPr>
            <w:tcW w:w="0" w:type="auto"/>
          </w:tcPr>
          <w:p w14:paraId="0F5507B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4C1578D4" w14:textId="5349C296"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9,073</w:t>
            </w:r>
          </w:p>
        </w:tc>
        <w:tc>
          <w:tcPr>
            <w:tcW w:w="0" w:type="auto"/>
          </w:tcPr>
          <w:p w14:paraId="6EC9413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234</w:t>
            </w:r>
          </w:p>
        </w:tc>
        <w:tc>
          <w:tcPr>
            <w:tcW w:w="0" w:type="auto"/>
          </w:tcPr>
          <w:p w14:paraId="39D6EF62" w14:textId="5075976A"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8,838</w:t>
            </w:r>
          </w:p>
        </w:tc>
      </w:tr>
      <w:tr w:rsidR="00A70235" w:rsidRPr="00E25673" w14:paraId="509164E3" w14:textId="77777777" w:rsidTr="00A70235">
        <w:tc>
          <w:tcPr>
            <w:tcW w:w="1043" w:type="dxa"/>
          </w:tcPr>
          <w:p w14:paraId="749AA1DB"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NMMC</w:t>
            </w:r>
          </w:p>
        </w:tc>
        <w:tc>
          <w:tcPr>
            <w:tcW w:w="766" w:type="dxa"/>
          </w:tcPr>
          <w:p w14:paraId="6B404D6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1CE6A2E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5704C8E4"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D9BC385"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gridSpan w:val="2"/>
          </w:tcPr>
          <w:p w14:paraId="0BA8A65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288</w:t>
            </w:r>
          </w:p>
        </w:tc>
        <w:tc>
          <w:tcPr>
            <w:tcW w:w="0" w:type="auto"/>
          </w:tcPr>
          <w:p w14:paraId="600286D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5BFCA0A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5AC14B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5A469F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7F829B6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4962C6C0" w14:textId="77777777" w:rsidTr="00A70235">
        <w:tc>
          <w:tcPr>
            <w:tcW w:w="1043" w:type="dxa"/>
          </w:tcPr>
          <w:p w14:paraId="74D82C9B"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NH</w:t>
            </w:r>
            <w:r w:rsidRPr="00E25673">
              <w:rPr>
                <w:rFonts w:asciiTheme="minorHAnsi" w:hAnsiTheme="minorHAnsi" w:cstheme="minorHAnsi"/>
                <w:sz w:val="14"/>
                <w:szCs w:val="14"/>
                <w:vertAlign w:val="subscript"/>
              </w:rPr>
              <w:t>3</w:t>
            </w:r>
          </w:p>
        </w:tc>
        <w:tc>
          <w:tcPr>
            <w:tcW w:w="766" w:type="dxa"/>
          </w:tcPr>
          <w:p w14:paraId="243435D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2023294" w14:textId="2C9DA17E"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1,679</w:t>
            </w:r>
          </w:p>
        </w:tc>
        <w:tc>
          <w:tcPr>
            <w:tcW w:w="0" w:type="auto"/>
          </w:tcPr>
          <w:p w14:paraId="295B1775" w14:textId="36491AB8"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1,679</w:t>
            </w:r>
          </w:p>
        </w:tc>
        <w:tc>
          <w:tcPr>
            <w:tcW w:w="0" w:type="auto"/>
          </w:tcPr>
          <w:p w14:paraId="269FA61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gridSpan w:val="2"/>
          </w:tcPr>
          <w:p w14:paraId="55B4A9B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242</w:t>
            </w:r>
          </w:p>
        </w:tc>
        <w:tc>
          <w:tcPr>
            <w:tcW w:w="0" w:type="auto"/>
          </w:tcPr>
          <w:p w14:paraId="0EE06D2A" w14:textId="2D92C44F"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1,916</w:t>
            </w:r>
          </w:p>
        </w:tc>
        <w:tc>
          <w:tcPr>
            <w:tcW w:w="0" w:type="auto"/>
          </w:tcPr>
          <w:p w14:paraId="52C88BE5" w14:textId="7281DEC4"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1,672</w:t>
            </w:r>
          </w:p>
        </w:tc>
        <w:tc>
          <w:tcPr>
            <w:tcW w:w="0" w:type="auto"/>
          </w:tcPr>
          <w:p w14:paraId="72ABAD6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244</w:t>
            </w:r>
          </w:p>
        </w:tc>
        <w:tc>
          <w:tcPr>
            <w:tcW w:w="0" w:type="auto"/>
          </w:tcPr>
          <w:p w14:paraId="3F2820C2"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244</w:t>
            </w:r>
          </w:p>
        </w:tc>
        <w:tc>
          <w:tcPr>
            <w:tcW w:w="0" w:type="auto"/>
          </w:tcPr>
          <w:p w14:paraId="017D925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2CFE9D7A" w14:textId="77777777" w:rsidTr="00A70235">
        <w:tc>
          <w:tcPr>
            <w:tcW w:w="1043" w:type="dxa"/>
          </w:tcPr>
          <w:p w14:paraId="6D6F9CB9"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CO</w:t>
            </w:r>
            <w:r w:rsidRPr="00E25673">
              <w:rPr>
                <w:rFonts w:asciiTheme="minorHAnsi" w:hAnsiTheme="minorHAnsi" w:cstheme="minorHAnsi"/>
                <w:sz w:val="14"/>
                <w:szCs w:val="14"/>
                <w:vertAlign w:val="subscript"/>
              </w:rPr>
              <w:t>2</w:t>
            </w:r>
          </w:p>
        </w:tc>
        <w:tc>
          <w:tcPr>
            <w:tcW w:w="766" w:type="dxa"/>
          </w:tcPr>
          <w:p w14:paraId="6DDC5CD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9E38DA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9BD69B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28DD14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gridSpan w:val="2"/>
          </w:tcPr>
          <w:p w14:paraId="35A32A7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4FA04F7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6</w:t>
            </w:r>
          </w:p>
        </w:tc>
        <w:tc>
          <w:tcPr>
            <w:tcW w:w="0" w:type="auto"/>
          </w:tcPr>
          <w:p w14:paraId="5414C82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6</w:t>
            </w:r>
          </w:p>
        </w:tc>
        <w:tc>
          <w:tcPr>
            <w:tcW w:w="0" w:type="auto"/>
          </w:tcPr>
          <w:p w14:paraId="3C4FE7D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07E3B95"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5C0B57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2722DD02" w14:textId="77777777" w:rsidTr="00A70235">
        <w:tc>
          <w:tcPr>
            <w:tcW w:w="1043" w:type="dxa"/>
            <w:tcBorders>
              <w:bottom w:val="single" w:sz="4" w:space="0" w:color="008000"/>
            </w:tcBorders>
          </w:tcPr>
          <w:p w14:paraId="3EEC25D7" w14:textId="560A9E2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Energy</w:t>
            </w:r>
          </w:p>
        </w:tc>
        <w:tc>
          <w:tcPr>
            <w:tcW w:w="3590" w:type="dxa"/>
            <w:gridSpan w:val="5"/>
            <w:tcBorders>
              <w:bottom w:val="single" w:sz="4" w:space="0" w:color="008000"/>
            </w:tcBorders>
          </w:tcPr>
          <w:p w14:paraId="04747EC1" w14:textId="560C7DB9"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Hot utility : 35,364 kW</w:t>
            </w:r>
          </w:p>
        </w:tc>
        <w:tc>
          <w:tcPr>
            <w:tcW w:w="0" w:type="auto"/>
            <w:gridSpan w:val="6"/>
            <w:tcBorders>
              <w:bottom w:val="single" w:sz="4" w:space="0" w:color="008000"/>
            </w:tcBorders>
          </w:tcPr>
          <w:p w14:paraId="042F56D5" w14:textId="3F0C7444"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Cold utility : 33,139 kW</w:t>
            </w:r>
          </w:p>
        </w:tc>
      </w:tr>
      <w:tr w:rsidR="00A70235" w:rsidRPr="00E25673" w14:paraId="34DB262E" w14:textId="77777777" w:rsidTr="00A70235">
        <w:tc>
          <w:tcPr>
            <w:tcW w:w="1043" w:type="dxa"/>
            <w:tcBorders>
              <w:top w:val="single" w:sz="4" w:space="0" w:color="008000"/>
              <w:bottom w:val="single" w:sz="4" w:space="0" w:color="008000"/>
            </w:tcBorders>
          </w:tcPr>
          <w:p w14:paraId="7F854EF8" w14:textId="1C93D56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b/>
                <w:sz w:val="14"/>
                <w:szCs w:val="14"/>
              </w:rPr>
              <w:t>Scenario III</w:t>
            </w:r>
          </w:p>
        </w:tc>
        <w:tc>
          <w:tcPr>
            <w:tcW w:w="766" w:type="dxa"/>
            <w:tcBorders>
              <w:top w:val="single" w:sz="4" w:space="0" w:color="008000"/>
              <w:bottom w:val="single" w:sz="4" w:space="0" w:color="008000"/>
            </w:tcBorders>
          </w:tcPr>
          <w:p w14:paraId="3833779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RI</w:t>
            </w:r>
          </w:p>
        </w:tc>
        <w:tc>
          <w:tcPr>
            <w:tcW w:w="0" w:type="auto"/>
            <w:tcBorders>
              <w:top w:val="single" w:sz="4" w:space="0" w:color="008000"/>
              <w:bottom w:val="single" w:sz="4" w:space="0" w:color="008000"/>
            </w:tcBorders>
          </w:tcPr>
          <w:p w14:paraId="2980445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CDCP1</w:t>
            </w:r>
          </w:p>
        </w:tc>
        <w:tc>
          <w:tcPr>
            <w:tcW w:w="0" w:type="auto"/>
            <w:tcBorders>
              <w:top w:val="single" w:sz="4" w:space="0" w:color="008000"/>
              <w:bottom w:val="single" w:sz="4" w:space="0" w:color="008000"/>
            </w:tcBorders>
          </w:tcPr>
          <w:p w14:paraId="38CB491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w:t>
            </w:r>
          </w:p>
        </w:tc>
        <w:tc>
          <w:tcPr>
            <w:tcW w:w="0" w:type="auto"/>
            <w:tcBorders>
              <w:top w:val="single" w:sz="4" w:space="0" w:color="008000"/>
              <w:bottom w:val="single" w:sz="4" w:space="0" w:color="008000"/>
            </w:tcBorders>
          </w:tcPr>
          <w:p w14:paraId="69C02F74"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w:t>
            </w:r>
          </w:p>
        </w:tc>
        <w:tc>
          <w:tcPr>
            <w:tcW w:w="0" w:type="auto"/>
            <w:gridSpan w:val="2"/>
            <w:tcBorders>
              <w:top w:val="single" w:sz="4" w:space="0" w:color="008000"/>
              <w:bottom w:val="single" w:sz="4" w:space="0" w:color="008000"/>
            </w:tcBorders>
          </w:tcPr>
          <w:p w14:paraId="0CE95A2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DR</w:t>
            </w:r>
          </w:p>
        </w:tc>
        <w:tc>
          <w:tcPr>
            <w:tcW w:w="0" w:type="auto"/>
            <w:tcBorders>
              <w:top w:val="single" w:sz="4" w:space="0" w:color="008000"/>
              <w:bottom w:val="single" w:sz="4" w:space="0" w:color="008000"/>
            </w:tcBorders>
          </w:tcPr>
          <w:p w14:paraId="6F341195"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CDCP2</w:t>
            </w:r>
          </w:p>
        </w:tc>
        <w:tc>
          <w:tcPr>
            <w:tcW w:w="0" w:type="auto"/>
            <w:tcBorders>
              <w:top w:val="single" w:sz="4" w:space="0" w:color="008000"/>
              <w:bottom w:val="single" w:sz="4" w:space="0" w:color="008000"/>
            </w:tcBorders>
          </w:tcPr>
          <w:p w14:paraId="3B9380A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w:t>
            </w:r>
          </w:p>
        </w:tc>
        <w:tc>
          <w:tcPr>
            <w:tcW w:w="0" w:type="auto"/>
            <w:tcBorders>
              <w:top w:val="single" w:sz="4" w:space="0" w:color="008000"/>
              <w:bottom w:val="single" w:sz="4" w:space="0" w:color="008000"/>
            </w:tcBorders>
          </w:tcPr>
          <w:p w14:paraId="24BB8CD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CDCT</w:t>
            </w:r>
          </w:p>
        </w:tc>
        <w:tc>
          <w:tcPr>
            <w:tcW w:w="0" w:type="auto"/>
            <w:tcBorders>
              <w:top w:val="single" w:sz="4" w:space="0" w:color="008000"/>
              <w:bottom w:val="single" w:sz="4" w:space="0" w:color="008000"/>
            </w:tcBorders>
          </w:tcPr>
          <w:p w14:paraId="4A17E05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w:t>
            </w:r>
          </w:p>
        </w:tc>
        <w:tc>
          <w:tcPr>
            <w:tcW w:w="0" w:type="auto"/>
            <w:tcBorders>
              <w:top w:val="single" w:sz="4" w:space="0" w:color="008000"/>
              <w:bottom w:val="single" w:sz="4" w:space="0" w:color="008000"/>
            </w:tcBorders>
          </w:tcPr>
          <w:p w14:paraId="11062C3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w:t>
            </w:r>
          </w:p>
        </w:tc>
      </w:tr>
      <w:tr w:rsidR="00A70235" w:rsidRPr="00E25673" w14:paraId="30B6847B" w14:textId="77777777" w:rsidTr="00A70235">
        <w:tc>
          <w:tcPr>
            <w:tcW w:w="1043" w:type="dxa"/>
            <w:tcBorders>
              <w:top w:val="single" w:sz="4" w:space="0" w:color="008000"/>
            </w:tcBorders>
          </w:tcPr>
          <w:p w14:paraId="56547146"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P(bar)</w:t>
            </w:r>
          </w:p>
        </w:tc>
        <w:tc>
          <w:tcPr>
            <w:tcW w:w="766" w:type="dxa"/>
            <w:tcBorders>
              <w:top w:val="single" w:sz="4" w:space="0" w:color="008000"/>
            </w:tcBorders>
          </w:tcPr>
          <w:p w14:paraId="008A7DF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10</w:t>
            </w:r>
          </w:p>
        </w:tc>
        <w:tc>
          <w:tcPr>
            <w:tcW w:w="0" w:type="auto"/>
            <w:tcBorders>
              <w:top w:val="single" w:sz="4" w:space="0" w:color="008000"/>
            </w:tcBorders>
          </w:tcPr>
          <w:p w14:paraId="5C0F706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5757188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435599F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gridSpan w:val="2"/>
            <w:tcBorders>
              <w:top w:val="single" w:sz="4" w:space="0" w:color="008000"/>
            </w:tcBorders>
          </w:tcPr>
          <w:p w14:paraId="460049C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141C631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201146F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w:t>
            </w:r>
          </w:p>
        </w:tc>
        <w:tc>
          <w:tcPr>
            <w:tcW w:w="0" w:type="auto"/>
            <w:tcBorders>
              <w:top w:val="single" w:sz="4" w:space="0" w:color="008000"/>
            </w:tcBorders>
          </w:tcPr>
          <w:p w14:paraId="51DD1A25"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w:t>
            </w:r>
          </w:p>
        </w:tc>
        <w:tc>
          <w:tcPr>
            <w:tcW w:w="0" w:type="auto"/>
            <w:tcBorders>
              <w:top w:val="single" w:sz="4" w:space="0" w:color="008000"/>
            </w:tcBorders>
          </w:tcPr>
          <w:p w14:paraId="2A40ED2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w:t>
            </w:r>
          </w:p>
        </w:tc>
        <w:tc>
          <w:tcPr>
            <w:tcW w:w="0" w:type="auto"/>
            <w:tcBorders>
              <w:top w:val="single" w:sz="4" w:space="0" w:color="008000"/>
            </w:tcBorders>
          </w:tcPr>
          <w:p w14:paraId="17D7111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w:t>
            </w:r>
          </w:p>
        </w:tc>
      </w:tr>
      <w:tr w:rsidR="00A70235" w:rsidRPr="00E25673" w14:paraId="597C54A1" w14:textId="77777777" w:rsidTr="00A70235">
        <w:tc>
          <w:tcPr>
            <w:tcW w:w="1043" w:type="dxa"/>
          </w:tcPr>
          <w:p w14:paraId="65052B36"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T(K)</w:t>
            </w:r>
          </w:p>
        </w:tc>
        <w:tc>
          <w:tcPr>
            <w:tcW w:w="766" w:type="dxa"/>
          </w:tcPr>
          <w:p w14:paraId="1257B03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388.15</w:t>
            </w:r>
          </w:p>
        </w:tc>
        <w:tc>
          <w:tcPr>
            <w:tcW w:w="0" w:type="auto"/>
          </w:tcPr>
          <w:p w14:paraId="4910735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366.15</w:t>
            </w:r>
          </w:p>
        </w:tc>
        <w:tc>
          <w:tcPr>
            <w:tcW w:w="0" w:type="auto"/>
          </w:tcPr>
          <w:p w14:paraId="1725BB62"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302.15</w:t>
            </w:r>
          </w:p>
        </w:tc>
        <w:tc>
          <w:tcPr>
            <w:tcW w:w="0" w:type="auto"/>
          </w:tcPr>
          <w:p w14:paraId="1D924BD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518.15</w:t>
            </w:r>
          </w:p>
        </w:tc>
        <w:tc>
          <w:tcPr>
            <w:tcW w:w="0" w:type="auto"/>
            <w:gridSpan w:val="2"/>
          </w:tcPr>
          <w:p w14:paraId="107505A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384.15</w:t>
            </w:r>
          </w:p>
        </w:tc>
        <w:tc>
          <w:tcPr>
            <w:tcW w:w="0" w:type="auto"/>
          </w:tcPr>
          <w:p w14:paraId="74676DA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344.15</w:t>
            </w:r>
          </w:p>
        </w:tc>
        <w:tc>
          <w:tcPr>
            <w:tcW w:w="0" w:type="auto"/>
          </w:tcPr>
          <w:p w14:paraId="3EE6752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293.15</w:t>
            </w:r>
          </w:p>
        </w:tc>
        <w:tc>
          <w:tcPr>
            <w:tcW w:w="0" w:type="auto"/>
          </w:tcPr>
          <w:p w14:paraId="2A29897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430.15</w:t>
            </w:r>
          </w:p>
        </w:tc>
        <w:tc>
          <w:tcPr>
            <w:tcW w:w="0" w:type="auto"/>
          </w:tcPr>
          <w:p w14:paraId="168BD029"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429.15</w:t>
            </w:r>
          </w:p>
        </w:tc>
        <w:tc>
          <w:tcPr>
            <w:tcW w:w="0" w:type="auto"/>
          </w:tcPr>
          <w:p w14:paraId="0CBD694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363.15</w:t>
            </w:r>
          </w:p>
        </w:tc>
      </w:tr>
      <w:tr w:rsidR="00A70235" w:rsidRPr="00E25673" w14:paraId="66B9D44F" w14:textId="77777777" w:rsidTr="00A70235">
        <w:tc>
          <w:tcPr>
            <w:tcW w:w="1043" w:type="dxa"/>
          </w:tcPr>
          <w:p w14:paraId="11C79928" w14:textId="2413D3D8"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Methanol</w:t>
            </w:r>
          </w:p>
        </w:tc>
        <w:tc>
          <w:tcPr>
            <w:tcW w:w="766" w:type="dxa"/>
          </w:tcPr>
          <w:p w14:paraId="314B3FE4" w14:textId="28CF4D58"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4,165</w:t>
            </w:r>
          </w:p>
        </w:tc>
        <w:tc>
          <w:tcPr>
            <w:tcW w:w="0" w:type="auto"/>
          </w:tcPr>
          <w:p w14:paraId="2EDED5B0" w14:textId="56D93BCE"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3,209</w:t>
            </w:r>
          </w:p>
        </w:tc>
        <w:tc>
          <w:tcPr>
            <w:tcW w:w="0" w:type="auto"/>
          </w:tcPr>
          <w:p w14:paraId="35B87BD5"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w:t>
            </w:r>
          </w:p>
        </w:tc>
        <w:tc>
          <w:tcPr>
            <w:tcW w:w="0" w:type="auto"/>
          </w:tcPr>
          <w:p w14:paraId="01736B61" w14:textId="38BC4B2E"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3,177</w:t>
            </w:r>
          </w:p>
        </w:tc>
        <w:tc>
          <w:tcPr>
            <w:tcW w:w="0" w:type="auto"/>
            <w:gridSpan w:val="2"/>
          </w:tcPr>
          <w:p w14:paraId="43EB2947" w14:textId="77DD6DE9"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9,792</w:t>
            </w:r>
          </w:p>
        </w:tc>
        <w:tc>
          <w:tcPr>
            <w:tcW w:w="0" w:type="auto"/>
          </w:tcPr>
          <w:p w14:paraId="2F9B55BF" w14:textId="651F2BBA"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9,740</w:t>
            </w:r>
          </w:p>
        </w:tc>
        <w:tc>
          <w:tcPr>
            <w:tcW w:w="0" w:type="auto"/>
          </w:tcPr>
          <w:p w14:paraId="7535543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10</w:t>
            </w:r>
          </w:p>
        </w:tc>
        <w:tc>
          <w:tcPr>
            <w:tcW w:w="0" w:type="auto"/>
          </w:tcPr>
          <w:p w14:paraId="19ED3F17" w14:textId="17ADC7B8"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9,730</w:t>
            </w:r>
          </w:p>
        </w:tc>
        <w:tc>
          <w:tcPr>
            <w:tcW w:w="0" w:type="auto"/>
          </w:tcPr>
          <w:p w14:paraId="3D9A1F4F"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9717</w:t>
            </w:r>
          </w:p>
        </w:tc>
        <w:tc>
          <w:tcPr>
            <w:tcW w:w="0" w:type="auto"/>
          </w:tcPr>
          <w:p w14:paraId="5CAFFE4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14</w:t>
            </w:r>
          </w:p>
        </w:tc>
      </w:tr>
      <w:tr w:rsidR="00A70235" w:rsidRPr="00E25673" w14:paraId="4247D9E3" w14:textId="77777777" w:rsidTr="00A70235">
        <w:tc>
          <w:tcPr>
            <w:tcW w:w="1043" w:type="dxa"/>
          </w:tcPr>
          <w:p w14:paraId="0212CC98" w14:textId="75B0AC7F"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Urea</w:t>
            </w:r>
          </w:p>
        </w:tc>
        <w:tc>
          <w:tcPr>
            <w:tcW w:w="766" w:type="dxa"/>
          </w:tcPr>
          <w:p w14:paraId="263F9A4B" w14:textId="33D6E9EF"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6,006</w:t>
            </w:r>
          </w:p>
        </w:tc>
        <w:tc>
          <w:tcPr>
            <w:tcW w:w="0" w:type="auto"/>
          </w:tcPr>
          <w:p w14:paraId="710EF62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w:t>
            </w:r>
          </w:p>
        </w:tc>
        <w:tc>
          <w:tcPr>
            <w:tcW w:w="0" w:type="auto"/>
          </w:tcPr>
          <w:p w14:paraId="66053A62"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719DBF1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w:t>
            </w:r>
          </w:p>
        </w:tc>
        <w:tc>
          <w:tcPr>
            <w:tcW w:w="0" w:type="auto"/>
            <w:gridSpan w:val="2"/>
          </w:tcPr>
          <w:p w14:paraId="4BB9522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w:t>
            </w:r>
          </w:p>
        </w:tc>
        <w:tc>
          <w:tcPr>
            <w:tcW w:w="0" w:type="auto"/>
          </w:tcPr>
          <w:p w14:paraId="1F91E9B4"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BBF6D1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9C7F46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46F6E07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80EFE8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1BA76928" w14:textId="77777777" w:rsidTr="00A70235">
        <w:tc>
          <w:tcPr>
            <w:tcW w:w="1043" w:type="dxa"/>
          </w:tcPr>
          <w:p w14:paraId="597EA691"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MC</w:t>
            </w:r>
          </w:p>
        </w:tc>
        <w:tc>
          <w:tcPr>
            <w:tcW w:w="766" w:type="dxa"/>
          </w:tcPr>
          <w:p w14:paraId="6AC8DEF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71F99B4" w14:textId="66D840B3"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7,495</w:t>
            </w:r>
          </w:p>
        </w:tc>
        <w:tc>
          <w:tcPr>
            <w:tcW w:w="0" w:type="auto"/>
          </w:tcPr>
          <w:p w14:paraId="525869B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4DCEE85" w14:textId="548CCDB4"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7,495</w:t>
            </w:r>
          </w:p>
        </w:tc>
        <w:tc>
          <w:tcPr>
            <w:tcW w:w="0" w:type="auto"/>
            <w:gridSpan w:val="2"/>
          </w:tcPr>
          <w:p w14:paraId="4AB73803" w14:textId="2A9D06EB"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8,468</w:t>
            </w:r>
          </w:p>
        </w:tc>
        <w:tc>
          <w:tcPr>
            <w:tcW w:w="0" w:type="auto"/>
          </w:tcPr>
          <w:p w14:paraId="71ECA0C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1DE1F74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00D701D5"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536E08F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F5ADB9A"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7CEF98C0" w14:textId="77777777" w:rsidTr="00A70235">
        <w:tc>
          <w:tcPr>
            <w:tcW w:w="1043" w:type="dxa"/>
          </w:tcPr>
          <w:p w14:paraId="0079DE94"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DMC</w:t>
            </w:r>
          </w:p>
        </w:tc>
        <w:tc>
          <w:tcPr>
            <w:tcW w:w="766" w:type="dxa"/>
          </w:tcPr>
          <w:p w14:paraId="5E5C8C5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1F809E6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449AE9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9BB69D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gridSpan w:val="2"/>
          </w:tcPr>
          <w:p w14:paraId="65D728A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929</w:t>
            </w:r>
          </w:p>
        </w:tc>
        <w:tc>
          <w:tcPr>
            <w:tcW w:w="0" w:type="auto"/>
          </w:tcPr>
          <w:p w14:paraId="0A406611" w14:textId="04CE80B4"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8,507</w:t>
            </w:r>
          </w:p>
        </w:tc>
        <w:tc>
          <w:tcPr>
            <w:tcW w:w="0" w:type="auto"/>
          </w:tcPr>
          <w:p w14:paraId="63985F42"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3</w:t>
            </w:r>
          </w:p>
        </w:tc>
        <w:tc>
          <w:tcPr>
            <w:tcW w:w="0" w:type="auto"/>
          </w:tcPr>
          <w:p w14:paraId="678B52F2" w14:textId="00D39838"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8,504</w:t>
            </w:r>
          </w:p>
        </w:tc>
        <w:tc>
          <w:tcPr>
            <w:tcW w:w="0" w:type="auto"/>
          </w:tcPr>
          <w:p w14:paraId="66FA044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929</w:t>
            </w:r>
          </w:p>
        </w:tc>
        <w:tc>
          <w:tcPr>
            <w:tcW w:w="0" w:type="auto"/>
          </w:tcPr>
          <w:p w14:paraId="2083D784" w14:textId="50834810"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7,575</w:t>
            </w:r>
          </w:p>
        </w:tc>
      </w:tr>
      <w:tr w:rsidR="00A70235" w:rsidRPr="00E25673" w14:paraId="2294C6D1" w14:textId="77777777" w:rsidTr="00A70235">
        <w:tc>
          <w:tcPr>
            <w:tcW w:w="1043" w:type="dxa"/>
          </w:tcPr>
          <w:p w14:paraId="0EC3E7A1"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NMMC</w:t>
            </w:r>
          </w:p>
        </w:tc>
        <w:tc>
          <w:tcPr>
            <w:tcW w:w="766" w:type="dxa"/>
          </w:tcPr>
          <w:p w14:paraId="0C99B1E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7F4BB1E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15F4DED6"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E156B37"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gridSpan w:val="2"/>
          </w:tcPr>
          <w:p w14:paraId="46BF1504"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428</w:t>
            </w:r>
          </w:p>
        </w:tc>
        <w:tc>
          <w:tcPr>
            <w:tcW w:w="0" w:type="auto"/>
          </w:tcPr>
          <w:p w14:paraId="2B9613F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789D37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D81333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095F842"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461AF74"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444BCE69" w14:textId="77777777" w:rsidTr="00A70235">
        <w:tc>
          <w:tcPr>
            <w:tcW w:w="1043" w:type="dxa"/>
          </w:tcPr>
          <w:p w14:paraId="409BF2F4"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NH</w:t>
            </w:r>
            <w:r w:rsidRPr="00E25673">
              <w:rPr>
                <w:rFonts w:asciiTheme="minorHAnsi" w:hAnsiTheme="minorHAnsi" w:cstheme="minorHAnsi"/>
                <w:sz w:val="14"/>
                <w:szCs w:val="14"/>
                <w:vertAlign w:val="subscript"/>
              </w:rPr>
              <w:t>3</w:t>
            </w:r>
          </w:p>
        </w:tc>
        <w:tc>
          <w:tcPr>
            <w:tcW w:w="766" w:type="dxa"/>
          </w:tcPr>
          <w:p w14:paraId="39C448D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A2C3867" w14:textId="1136FE54"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1,700</w:t>
            </w:r>
          </w:p>
        </w:tc>
        <w:tc>
          <w:tcPr>
            <w:tcW w:w="0" w:type="auto"/>
          </w:tcPr>
          <w:p w14:paraId="4D7C9365" w14:textId="05C79431"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1,699</w:t>
            </w:r>
          </w:p>
        </w:tc>
        <w:tc>
          <w:tcPr>
            <w:tcW w:w="0" w:type="auto"/>
          </w:tcPr>
          <w:p w14:paraId="3F2F6A9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w:t>
            </w:r>
          </w:p>
        </w:tc>
        <w:tc>
          <w:tcPr>
            <w:tcW w:w="0" w:type="auto"/>
            <w:gridSpan w:val="2"/>
          </w:tcPr>
          <w:p w14:paraId="19185DE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6</w:t>
            </w:r>
          </w:p>
        </w:tc>
        <w:tc>
          <w:tcPr>
            <w:tcW w:w="0" w:type="auto"/>
          </w:tcPr>
          <w:p w14:paraId="56D7FC60" w14:textId="012C3304"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1,539</w:t>
            </w:r>
          </w:p>
        </w:tc>
        <w:tc>
          <w:tcPr>
            <w:tcW w:w="0" w:type="auto"/>
          </w:tcPr>
          <w:p w14:paraId="36F9E05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1533</w:t>
            </w:r>
          </w:p>
        </w:tc>
        <w:tc>
          <w:tcPr>
            <w:tcW w:w="0" w:type="auto"/>
          </w:tcPr>
          <w:p w14:paraId="2B1F5D6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6D4F8B1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1F98CF0C"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26E3D23B" w14:textId="77777777" w:rsidTr="00A70235">
        <w:tc>
          <w:tcPr>
            <w:tcW w:w="1043" w:type="dxa"/>
          </w:tcPr>
          <w:p w14:paraId="2B3A5DD3" w14:textId="77777777"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CO</w:t>
            </w:r>
            <w:r w:rsidRPr="00E25673">
              <w:rPr>
                <w:rFonts w:asciiTheme="minorHAnsi" w:hAnsiTheme="minorHAnsi" w:cstheme="minorHAnsi"/>
                <w:sz w:val="14"/>
                <w:szCs w:val="14"/>
                <w:vertAlign w:val="subscript"/>
              </w:rPr>
              <w:t>2</w:t>
            </w:r>
          </w:p>
        </w:tc>
        <w:tc>
          <w:tcPr>
            <w:tcW w:w="766" w:type="dxa"/>
          </w:tcPr>
          <w:p w14:paraId="792E2CA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7B743465"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340B0133"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2539DAC5"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gridSpan w:val="2"/>
          </w:tcPr>
          <w:p w14:paraId="378A77DB"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c>
          <w:tcPr>
            <w:tcW w:w="0" w:type="auto"/>
          </w:tcPr>
          <w:p w14:paraId="5624E08D"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211</w:t>
            </w:r>
          </w:p>
        </w:tc>
        <w:tc>
          <w:tcPr>
            <w:tcW w:w="0" w:type="auto"/>
          </w:tcPr>
          <w:p w14:paraId="5FC772D0"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211</w:t>
            </w:r>
          </w:p>
        </w:tc>
        <w:tc>
          <w:tcPr>
            <w:tcW w:w="0" w:type="auto"/>
          </w:tcPr>
          <w:p w14:paraId="018C7D7E"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w:t>
            </w:r>
          </w:p>
        </w:tc>
        <w:tc>
          <w:tcPr>
            <w:tcW w:w="0" w:type="auto"/>
          </w:tcPr>
          <w:p w14:paraId="05B6FBC8"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7</w:t>
            </w:r>
          </w:p>
        </w:tc>
        <w:tc>
          <w:tcPr>
            <w:tcW w:w="0" w:type="auto"/>
          </w:tcPr>
          <w:p w14:paraId="57E5D331" w14:textId="77777777"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0</w:t>
            </w:r>
          </w:p>
        </w:tc>
      </w:tr>
      <w:tr w:rsidR="00A70235" w:rsidRPr="00E25673" w14:paraId="74E80624" w14:textId="77777777" w:rsidTr="00A70235">
        <w:tc>
          <w:tcPr>
            <w:tcW w:w="1043" w:type="dxa"/>
            <w:tcBorders>
              <w:bottom w:val="single" w:sz="12" w:space="0" w:color="008000"/>
            </w:tcBorders>
          </w:tcPr>
          <w:p w14:paraId="0D04EA58" w14:textId="7853256A" w:rsidR="00A70235" w:rsidRPr="00E25673" w:rsidRDefault="00A70235" w:rsidP="00A70235">
            <w:pPr>
              <w:pStyle w:val="NormalWeb"/>
              <w:spacing w:line="216" w:lineRule="auto"/>
              <w:rPr>
                <w:rFonts w:asciiTheme="minorHAnsi" w:hAnsiTheme="minorHAnsi" w:cstheme="minorHAnsi"/>
                <w:sz w:val="14"/>
                <w:szCs w:val="14"/>
              </w:rPr>
            </w:pPr>
            <w:r w:rsidRPr="00E25673">
              <w:rPr>
                <w:rFonts w:asciiTheme="minorHAnsi" w:hAnsiTheme="minorHAnsi" w:cstheme="minorHAnsi"/>
                <w:sz w:val="14"/>
                <w:szCs w:val="14"/>
              </w:rPr>
              <w:t>Energy</w:t>
            </w:r>
          </w:p>
        </w:tc>
        <w:tc>
          <w:tcPr>
            <w:tcW w:w="3590" w:type="dxa"/>
            <w:gridSpan w:val="5"/>
            <w:tcBorders>
              <w:bottom w:val="single" w:sz="12" w:space="0" w:color="008000"/>
            </w:tcBorders>
          </w:tcPr>
          <w:p w14:paraId="109EDB55" w14:textId="0BD47198"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Hot utility : 53,457 kW</w:t>
            </w:r>
          </w:p>
        </w:tc>
        <w:tc>
          <w:tcPr>
            <w:tcW w:w="0" w:type="auto"/>
            <w:gridSpan w:val="6"/>
            <w:tcBorders>
              <w:bottom w:val="single" w:sz="12" w:space="0" w:color="008000"/>
            </w:tcBorders>
          </w:tcPr>
          <w:p w14:paraId="3951098C" w14:textId="448FBAD9" w:rsidR="00A70235" w:rsidRPr="00E25673" w:rsidRDefault="00A70235" w:rsidP="00A70235">
            <w:pPr>
              <w:pStyle w:val="NormalWeb"/>
              <w:spacing w:line="216" w:lineRule="auto"/>
              <w:jc w:val="center"/>
              <w:rPr>
                <w:rFonts w:asciiTheme="minorHAnsi" w:hAnsiTheme="minorHAnsi" w:cstheme="minorHAnsi"/>
                <w:sz w:val="14"/>
                <w:szCs w:val="14"/>
              </w:rPr>
            </w:pPr>
            <w:r w:rsidRPr="00E25673">
              <w:rPr>
                <w:rFonts w:asciiTheme="minorHAnsi" w:hAnsiTheme="minorHAnsi" w:cstheme="minorHAnsi"/>
                <w:sz w:val="14"/>
                <w:szCs w:val="14"/>
              </w:rPr>
              <w:t>Cold utility : 52,139 kW</w:t>
            </w:r>
          </w:p>
        </w:tc>
      </w:tr>
    </w:tbl>
    <w:p w14:paraId="64314035" w14:textId="30B8E231" w:rsidR="00A70235" w:rsidRDefault="00A70235" w:rsidP="00A70235">
      <w:pPr>
        <w:pStyle w:val="CETHeading1"/>
        <w:rPr>
          <w:lang w:eastAsia="fr-FR"/>
        </w:rPr>
      </w:pPr>
      <w:r w:rsidRPr="00A70235">
        <w:rPr>
          <w:lang w:eastAsia="fr-FR"/>
        </w:rPr>
        <w:t>Environmental assessment of the chemical process at an early stage of development</w:t>
      </w:r>
    </w:p>
    <w:p w14:paraId="3FCA3F5A" w14:textId="75331304" w:rsidR="00281FAA" w:rsidRPr="00281FAA" w:rsidRDefault="00281FAA" w:rsidP="00281FAA">
      <w:pPr>
        <w:pStyle w:val="CETheadingx"/>
        <w:rPr>
          <w:lang w:eastAsia="fr-FR"/>
        </w:rPr>
      </w:pPr>
      <w:r>
        <w:rPr>
          <w:lang w:eastAsia="fr-FR"/>
        </w:rPr>
        <w:t>Material and methods</w:t>
      </w:r>
    </w:p>
    <w:p w14:paraId="4A1770DA" w14:textId="5EB1217B" w:rsidR="00E25673" w:rsidRDefault="00A70235" w:rsidP="00A70235">
      <w:pPr>
        <w:pStyle w:val="CETBodytext"/>
        <w:rPr>
          <w:lang w:eastAsia="fr-FR"/>
        </w:rPr>
        <w:sectPr w:rsidR="00E25673" w:rsidSect="00EF06D9">
          <w:type w:val="continuous"/>
          <w:pgSz w:w="11906" w:h="16838" w:code="9"/>
          <w:pgMar w:top="1701" w:right="1418" w:bottom="1701" w:left="1701" w:header="1701" w:footer="0" w:gutter="0"/>
          <w:cols w:space="708"/>
          <w:formProt w:val="0"/>
          <w:titlePg/>
          <w:docGrid w:linePitch="360"/>
        </w:sectPr>
      </w:pPr>
      <w:r w:rsidRPr="00A70235">
        <w:rPr>
          <w:lang w:eastAsia="fr-FR"/>
        </w:rPr>
        <w:t>This work is based o</w:t>
      </w:r>
      <w:r w:rsidR="001505AA">
        <w:rPr>
          <w:lang w:eastAsia="fr-FR"/>
        </w:rPr>
        <w:t>n the coupling of process model</w:t>
      </w:r>
      <w:r w:rsidRPr="00A70235">
        <w:rPr>
          <w:lang w:eastAsia="fr-FR"/>
        </w:rPr>
        <w:t xml:space="preserve">ing-simulation and life cycle analysis (LCA). LCA is a standardized method, the framework of which is defined by the international standards ISO 14040 (ISO, 2006a) and ISO </w:t>
      </w:r>
      <w:r w:rsidR="001505AA">
        <w:rPr>
          <w:lang w:eastAsia="fr-FR"/>
        </w:rPr>
        <w:t xml:space="preserve">14044 (ISO, 2006b). The four </w:t>
      </w:r>
      <w:r w:rsidRPr="00A70235">
        <w:rPr>
          <w:lang w:eastAsia="fr-FR"/>
        </w:rPr>
        <w:t xml:space="preserve">interrelated parts that compose it are at the center of the methodology used (in the green frame in Figure 2). The first phase of data collection allows to </w:t>
      </w:r>
      <w:r w:rsidR="00302311">
        <w:rPr>
          <w:lang w:eastAsia="fr-FR"/>
        </w:rPr>
        <w:t>collect</w:t>
      </w:r>
      <w:r w:rsidRPr="00A70235">
        <w:rPr>
          <w:lang w:eastAsia="fr-FR"/>
        </w:rPr>
        <w:t xml:space="preserve"> data from laboratory experiments and literature review. The definition of objectives and the study framework correspond to the establishment of geographical and temporal perimeters. The functional unit must also be established. The simulation results provide the flow of mass and energy and feed the life cycle inventory. These streams are reported to the functional unit of the system to provide foreground data. Background data comes from dedicated databases. The inventory data is then converted into environmental impacts in the environmental assessment phase. The interpretation of each impact category is carried out according to the quantitative results as well as the quality of the data collection, in accordance with the objective of the study. The identification of environmental hotspots makes it possible to identify which process of the production scheme must be optimized using advanced techniques: energy integration, recycling of flows, among others. Then, the last step of the method is decision making. Comparison with LCA results from other industrial processes or alternative chemical routes is strongly recommended.</w:t>
      </w:r>
    </w:p>
    <w:p w14:paraId="01CF068A" w14:textId="7FD71020" w:rsidR="00E25673" w:rsidRPr="00281FAA" w:rsidRDefault="00E25673" w:rsidP="00E25673">
      <w:pPr>
        <w:pStyle w:val="CETCaption"/>
        <w:rPr>
          <w:lang w:val="fr-FR" w:eastAsia="fr-FR"/>
        </w:rPr>
      </w:pPr>
      <w:r>
        <w:rPr>
          <w:noProof/>
          <w:lang w:val="fr-FR" w:eastAsia="fr-FR"/>
        </w:rPr>
        <w:drawing>
          <wp:inline distT="0" distB="0" distL="0" distR="0" wp14:anchorId="78929468" wp14:editId="69641879">
            <wp:extent cx="2700655" cy="1478011"/>
            <wp:effectExtent l="0" t="0" r="444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655" cy="1478011"/>
                    </a:xfrm>
                    <a:prstGeom prst="rect">
                      <a:avLst/>
                    </a:prstGeom>
                    <a:noFill/>
                  </pic:spPr>
                </pic:pic>
              </a:graphicData>
            </a:graphic>
          </wp:inline>
        </w:drawing>
      </w:r>
      <w:r w:rsidRPr="00281FAA">
        <w:rPr>
          <w:lang w:val="en" w:eastAsia="fr-FR"/>
        </w:rPr>
        <w:t>Figure 2. Coupling process modelling/simulation and LCA</w:t>
      </w:r>
    </w:p>
    <w:p w14:paraId="56A98F91" w14:textId="09277746" w:rsidR="00A70235" w:rsidRPr="00A70235" w:rsidRDefault="00A70235" w:rsidP="00A70235">
      <w:pPr>
        <w:pStyle w:val="CETBodytext"/>
        <w:rPr>
          <w:lang w:val="fr-FR" w:eastAsia="fr-FR"/>
        </w:rPr>
      </w:pPr>
    </w:p>
    <w:p w14:paraId="75F804F8" w14:textId="1B114028" w:rsidR="00A70235" w:rsidRPr="003B39C2" w:rsidRDefault="00A70235" w:rsidP="00A70235">
      <w:pPr>
        <w:pStyle w:val="CETBodytext"/>
        <w:rPr>
          <w:sz w:val="14"/>
          <w:szCs w:val="14"/>
          <w:lang w:eastAsia="fr-FR"/>
        </w:rPr>
      </w:pPr>
    </w:p>
    <w:p w14:paraId="7D6BD2A6" w14:textId="379C8408" w:rsidR="00B269DF" w:rsidRDefault="003B39C2" w:rsidP="00E25673">
      <w:pPr>
        <w:pStyle w:val="CETCaption"/>
        <w:ind w:left="-224"/>
        <w:rPr>
          <w:lang w:val="en" w:eastAsia="fr-FR"/>
        </w:rPr>
      </w:pPr>
      <w:r w:rsidRPr="003B39C2">
        <w:rPr>
          <w:noProof/>
          <w:lang w:val="fr-FR" w:eastAsia="fr-FR"/>
        </w:rPr>
        <w:drawing>
          <wp:inline distT="0" distB="0" distL="0" distR="0" wp14:anchorId="16F4C3FA" wp14:editId="4E62679E">
            <wp:extent cx="2912110" cy="1087374"/>
            <wp:effectExtent l="0" t="0" r="2540"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rotWithShape="1">
                    <a:blip r:embed="rId12"/>
                    <a:srcRect t="6477" r="5881" b="10347"/>
                    <a:stretch/>
                  </pic:blipFill>
                  <pic:spPr bwMode="auto">
                    <a:xfrm>
                      <a:off x="0" y="0"/>
                      <a:ext cx="2927414" cy="1093088"/>
                    </a:xfrm>
                    <a:prstGeom prst="rect">
                      <a:avLst/>
                    </a:prstGeom>
                    <a:ln>
                      <a:noFill/>
                    </a:ln>
                    <a:extLst>
                      <a:ext uri="{53640926-AAD7-44D8-BBD7-CCE9431645EC}">
                        <a14:shadowObscured xmlns:a14="http://schemas.microsoft.com/office/drawing/2010/main"/>
                      </a:ext>
                    </a:extLst>
                  </pic:spPr>
                </pic:pic>
              </a:graphicData>
            </a:graphic>
          </wp:inline>
        </w:drawing>
      </w:r>
    </w:p>
    <w:p w14:paraId="573D89AC" w14:textId="56643AE0" w:rsidR="00E25673" w:rsidRPr="00E25673" w:rsidRDefault="00E25673" w:rsidP="00E25673">
      <w:pPr>
        <w:pStyle w:val="CETCaption"/>
        <w:rPr>
          <w:lang w:val="fr-FR" w:eastAsia="fr-FR"/>
        </w:rPr>
      </w:pPr>
      <w:r>
        <w:rPr>
          <w:lang w:eastAsia="fr-FR"/>
        </w:rPr>
        <w:t xml:space="preserve">Figure 3. </w:t>
      </w:r>
      <w:r w:rsidRPr="00E25673">
        <w:rPr>
          <w:lang w:eastAsia="fr-FR"/>
        </w:rPr>
        <w:t>Process tree of the DMC production process</w:t>
      </w:r>
    </w:p>
    <w:p w14:paraId="69D1F997" w14:textId="601D1863" w:rsidR="00E25673" w:rsidRDefault="00E25673" w:rsidP="00281FAA">
      <w:pPr>
        <w:pStyle w:val="CETCaption"/>
        <w:rPr>
          <w:lang w:val="en" w:eastAsia="fr-FR"/>
        </w:rPr>
        <w:sectPr w:rsidR="00E25673" w:rsidSect="00E25673">
          <w:type w:val="continuous"/>
          <w:pgSz w:w="11906" w:h="16838" w:code="9"/>
          <w:pgMar w:top="1701" w:right="1418" w:bottom="1701" w:left="1701" w:header="1701" w:footer="0" w:gutter="0"/>
          <w:cols w:num="2" w:space="281"/>
          <w:formProt w:val="0"/>
          <w:titlePg/>
          <w:docGrid w:linePitch="360"/>
        </w:sectPr>
      </w:pPr>
    </w:p>
    <w:p w14:paraId="6BC30804" w14:textId="56D07107" w:rsidR="00281FAA" w:rsidRDefault="00281FAA" w:rsidP="00281FAA">
      <w:pPr>
        <w:pStyle w:val="CETBodytext"/>
        <w:rPr>
          <w:lang w:eastAsia="fr-FR"/>
        </w:rPr>
      </w:pPr>
      <w:r w:rsidRPr="00281FAA">
        <w:rPr>
          <w:lang w:eastAsia="fr-FR"/>
        </w:rPr>
        <w:t>The main function of this process is the production of DMC. The functional unit is to produce 1 kg of DMC with a purity greater than 99.5%. The boundaries of the study system are illustrated in figure 3. The study is carried out from the cradle to the gate. The process is divided into 6 sub-parts: the supply of raw materials, the production of MC (reaction 1), the separation of MC from ammonia (separation 1), the production of DMC and NMMC (reaction 2), the purification of DMC and co-products (separation 2) and infrastructures. Background data, consisting of chemical production, utility and waste treatment data, is provided by the ecoinvent v3.7, Cut-Off database. The impact assessment method used is EF 3.0 which includes 16 impact categories of different levels of robustness (PEFCR Guidance v6.3, 2017): Level I: recommended and satisfactory / Level II: recommended but requiring improvement / Level III: recommended but to be applied with caution. The model for considering multifunctionality is system expansion.</w:t>
      </w:r>
    </w:p>
    <w:p w14:paraId="5A9742A8" w14:textId="5CBB184B" w:rsidR="00281FAA" w:rsidRPr="00281FAA" w:rsidRDefault="00494A8D" w:rsidP="00281FAA">
      <w:pPr>
        <w:pStyle w:val="CETheadingx"/>
        <w:rPr>
          <w:lang w:val="fr-FR" w:eastAsia="fr-FR"/>
        </w:rPr>
      </w:pPr>
      <w:r>
        <w:rPr>
          <w:lang w:eastAsia="fr-FR"/>
        </w:rPr>
        <w:t>Environmental assessment results</w:t>
      </w:r>
    </w:p>
    <w:p w14:paraId="7BB56F36" w14:textId="579B177B" w:rsidR="00B723AB" w:rsidRDefault="00494A8D" w:rsidP="00B723AB">
      <w:pPr>
        <w:pStyle w:val="CETBodytext"/>
      </w:pPr>
      <w:r w:rsidRPr="00494A8D">
        <w:rPr>
          <w:lang w:eastAsia="fr-FR"/>
        </w:rPr>
        <w:t>The three scenarios differ in the models used for the design of the chemical reactions. The scenarios evolve with the knowledge of the process, from scenario I to scenario III. The results for Scenario I are presented in Figure 4. Several conclusions are equivalent for the three scenarios. The raw materials stage appears as the majority contributor for all categorie</w:t>
      </w:r>
      <w:r w:rsidR="001505AA">
        <w:rPr>
          <w:lang w:eastAsia="fr-FR"/>
        </w:rPr>
        <w:t>s except eutrophication – fresh</w:t>
      </w:r>
      <w:r w:rsidRPr="00494A8D">
        <w:rPr>
          <w:lang w:eastAsia="fr-FR"/>
        </w:rPr>
        <w:t xml:space="preserve">water and climate change. </w:t>
      </w:r>
      <w:r w:rsidR="00775588">
        <w:rPr>
          <w:lang w:eastAsia="fr-FR"/>
        </w:rPr>
        <w:t>For</w:t>
      </w:r>
      <w:r w:rsidR="00C4335E">
        <w:rPr>
          <w:lang w:eastAsia="fr-FR"/>
        </w:rPr>
        <w:t xml:space="preserve"> S</w:t>
      </w:r>
      <w:r w:rsidRPr="00494A8D">
        <w:rPr>
          <w:lang w:eastAsia="fr-FR"/>
        </w:rPr>
        <w:t xml:space="preserve">cenario II the impacts of the raw materials stage is the greatest, while for scenario III it is comparatively lower. The reaction 2 and separation 2 stages have significant impacts on a majority of categories, which is essentially due to the </w:t>
      </w:r>
      <w:r w:rsidR="00775588">
        <w:rPr>
          <w:lang w:eastAsia="fr-FR"/>
        </w:rPr>
        <w:t xml:space="preserve">heat </w:t>
      </w:r>
      <w:r w:rsidRPr="00494A8D">
        <w:rPr>
          <w:lang w:eastAsia="fr-FR"/>
        </w:rPr>
        <w:t xml:space="preserve">consumption. For scenario III, step reaction 2 and separation 2 present more impact than the raw material in two </w:t>
      </w:r>
      <w:r w:rsidR="00775588" w:rsidRPr="00494A8D">
        <w:rPr>
          <w:lang w:eastAsia="fr-FR"/>
        </w:rPr>
        <w:t xml:space="preserve">high robustness </w:t>
      </w:r>
      <w:r w:rsidRPr="00494A8D">
        <w:rPr>
          <w:lang w:eastAsia="fr-FR"/>
        </w:rPr>
        <w:t>categories, which is not the case for scenarios II and III.</w:t>
      </w:r>
      <w:r w:rsidRPr="00494A8D">
        <w:rPr>
          <w:rStyle w:val="CETAuthorsCarattere"/>
          <w:lang w:val="en"/>
        </w:rPr>
        <w:t xml:space="preserve"> </w:t>
      </w:r>
      <w:r w:rsidRPr="00494A8D">
        <w:t xml:space="preserve">The reaction 1 and separation 1 stages correspond to negligible stages in the life cycle analysis. Infrastructure is a weak contributor </w:t>
      </w:r>
      <w:r w:rsidR="00775588">
        <w:t>on a majority of categories, but</w:t>
      </w:r>
      <w:r w:rsidRPr="00494A8D">
        <w:t xml:space="preserve"> is important for the resource depletion category – minerals and metals.</w:t>
      </w:r>
      <w:r w:rsidR="00B723AB">
        <w:t xml:space="preserve"> </w:t>
      </w:r>
    </w:p>
    <w:p w14:paraId="12F5A28F" w14:textId="77777777" w:rsidR="00C4335E" w:rsidRDefault="00775588" w:rsidP="00C4335E">
      <w:pPr>
        <w:pStyle w:val="CETBodytext"/>
        <w:rPr>
          <w:lang w:eastAsia="fr-FR"/>
        </w:rPr>
      </w:pPr>
      <w:r>
        <w:rPr>
          <w:lang w:eastAsia="fr-FR"/>
        </w:rPr>
        <w:t xml:space="preserve">The comparison of </w:t>
      </w:r>
      <w:r w:rsidR="00B723AB" w:rsidRPr="00494A8D">
        <w:rPr>
          <w:lang w:eastAsia="fr-FR"/>
        </w:rPr>
        <w:t>the environmental results obtained for the three cradle-to-gate scenario</w:t>
      </w:r>
      <w:r>
        <w:rPr>
          <w:lang w:eastAsia="fr-FR"/>
        </w:rPr>
        <w:t>s is presented on Figure 5.</w:t>
      </w:r>
      <w:r w:rsidR="00B723AB" w:rsidRPr="00494A8D">
        <w:rPr>
          <w:lang w:eastAsia="fr-FR"/>
        </w:rPr>
        <w:t xml:space="preserve"> Scenario III presents the most impacts and Scenario II presents the least. The impacts of Scenario I lie between the other two scenarios. A sensitivity analysis was carried out using the ReCiPe 2016 method showing that the results are generally not very sensitive to the impact evaluation method used.</w:t>
      </w:r>
      <w:r w:rsidR="00C4335E">
        <w:rPr>
          <w:lang w:eastAsia="fr-FR"/>
        </w:rPr>
        <w:t xml:space="preserve"> </w:t>
      </w:r>
    </w:p>
    <w:p w14:paraId="2AC77F74" w14:textId="265CDEAE" w:rsidR="00C4335E" w:rsidRPr="00494A8D" w:rsidRDefault="00C4335E" w:rsidP="00C4335E">
      <w:pPr>
        <w:pStyle w:val="CETBodytext"/>
        <w:rPr>
          <w:lang w:val="fr-FR" w:eastAsia="fr-FR"/>
        </w:rPr>
      </w:pPr>
      <w:r w:rsidRPr="00494A8D">
        <w:rPr>
          <w:lang w:eastAsia="fr-FR"/>
        </w:rPr>
        <w:t>Scenario III is the one that delivers the most robust results, and it can be identified as the closest to industrial reality. Scenario I provides information that may be useful for designing a new process with less modeling difficulty. For the three scenarios, the analysis of h</w:t>
      </w:r>
      <w:r w:rsidR="001505AA">
        <w:rPr>
          <w:lang w:eastAsia="fr-FR"/>
        </w:rPr>
        <w:t>ot spots reveals that heating has</w:t>
      </w:r>
      <w:r w:rsidRPr="00494A8D">
        <w:rPr>
          <w:lang w:eastAsia="fr-FR"/>
        </w:rPr>
        <w:t xml:space="preserve"> a preponderant impact on a large number of categories. For the climate change category, the contributions are different according to the scenarios, but this represents more than 45% of the impacts. This is why it seems important to model the process as finely as possible from an energy point of view. The calculation of the energy flows involved in the process proposed for this synthesis route is only possible by applying a tool allowing the rigorous simulation of the processes. This information is impossible to obtain on a laboratory scale. Only the simulation/LCA coupling makes it possible to carry out an assessment of the environmental impacts on a sure basis which will also allow comparison with other production alternatives.</w:t>
      </w:r>
    </w:p>
    <w:p w14:paraId="3B459A6B" w14:textId="3E30EC53" w:rsidR="001903CF" w:rsidRDefault="001903CF" w:rsidP="00494A8D">
      <w:pPr>
        <w:pStyle w:val="CETBodytext"/>
      </w:pPr>
      <w:r>
        <w:rPr>
          <w:noProof/>
          <w:lang w:val="fr-FR" w:eastAsia="fr-FR"/>
        </w:rPr>
        <w:drawing>
          <wp:inline distT="0" distB="0" distL="0" distR="0" wp14:anchorId="7FB00919" wp14:editId="14BBD4E1">
            <wp:extent cx="5568950" cy="3616201"/>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539" t="943" r="972" b="2047"/>
                    <a:stretch/>
                  </pic:blipFill>
                  <pic:spPr bwMode="auto">
                    <a:xfrm>
                      <a:off x="0" y="0"/>
                      <a:ext cx="5589838" cy="3629765"/>
                    </a:xfrm>
                    <a:prstGeom prst="rect">
                      <a:avLst/>
                    </a:prstGeom>
                    <a:noFill/>
                    <a:ln>
                      <a:noFill/>
                    </a:ln>
                    <a:extLst>
                      <a:ext uri="{53640926-AAD7-44D8-BBD7-CCE9431645EC}">
                        <a14:shadowObscured xmlns:a14="http://schemas.microsoft.com/office/drawing/2010/main"/>
                      </a:ext>
                    </a:extLst>
                  </pic:spPr>
                </pic:pic>
              </a:graphicData>
            </a:graphic>
          </wp:inline>
        </w:drawing>
      </w:r>
    </w:p>
    <w:p w14:paraId="4C59AD04" w14:textId="77777777" w:rsidR="00494A8D" w:rsidRPr="00494A8D" w:rsidRDefault="00494A8D" w:rsidP="00494A8D">
      <w:pPr>
        <w:pStyle w:val="CETCaption"/>
        <w:rPr>
          <w:lang w:val="fr-FR" w:eastAsia="fr-FR"/>
        </w:rPr>
      </w:pPr>
      <w:r w:rsidRPr="00494A8D">
        <w:rPr>
          <w:lang w:val="en" w:eastAsia="fr-FR"/>
        </w:rPr>
        <w:t>Figure 4. Analysis of hot spots for the different impact categories using the EF 3.0 method for scenario I "conversion" (*robustness I, **robustness II, ***robustness III)</w:t>
      </w:r>
    </w:p>
    <w:p w14:paraId="7FB166E4" w14:textId="485A80CC" w:rsidR="001903CF" w:rsidRDefault="001903CF" w:rsidP="001903CF">
      <w:pPr>
        <w:pStyle w:val="CETBodytext"/>
        <w:rPr>
          <w:lang w:eastAsia="fr-FR"/>
        </w:rPr>
      </w:pPr>
      <w:r>
        <w:rPr>
          <w:noProof/>
          <w:lang w:val="fr-FR" w:eastAsia="fr-FR"/>
        </w:rPr>
        <w:drawing>
          <wp:inline distT="0" distB="0" distL="0" distR="0" wp14:anchorId="278C0E22" wp14:editId="6AA970EE">
            <wp:extent cx="5543550" cy="367934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764" t="720" r="2110" b="1784"/>
                    <a:stretch/>
                  </pic:blipFill>
                  <pic:spPr bwMode="auto">
                    <a:xfrm>
                      <a:off x="0" y="0"/>
                      <a:ext cx="5555670" cy="3687391"/>
                    </a:xfrm>
                    <a:prstGeom prst="rect">
                      <a:avLst/>
                    </a:prstGeom>
                    <a:noFill/>
                    <a:ln>
                      <a:noFill/>
                    </a:ln>
                    <a:extLst>
                      <a:ext uri="{53640926-AAD7-44D8-BBD7-CCE9431645EC}">
                        <a14:shadowObscured xmlns:a14="http://schemas.microsoft.com/office/drawing/2010/main"/>
                      </a:ext>
                    </a:extLst>
                  </pic:spPr>
                </pic:pic>
              </a:graphicData>
            </a:graphic>
          </wp:inline>
        </w:drawing>
      </w:r>
    </w:p>
    <w:p w14:paraId="27117B6C" w14:textId="77777777" w:rsidR="00494A8D" w:rsidRPr="00494A8D" w:rsidRDefault="00494A8D" w:rsidP="00494A8D">
      <w:pPr>
        <w:pStyle w:val="CETCaption"/>
        <w:rPr>
          <w:lang w:val="fr-FR" w:eastAsia="fr-FR"/>
        </w:rPr>
      </w:pPr>
      <w:r w:rsidRPr="00494A8D">
        <w:rPr>
          <w:lang w:val="en" w:eastAsia="fr-FR"/>
        </w:rPr>
        <w:t>Figure 5. Comparison of the three scenarios with the EF 3.0 method (The robustnesses of the categories are identified by stars, * for robustness I, ** for robustness II and *** for robustness III)</w:t>
      </w:r>
    </w:p>
    <w:p w14:paraId="7E4391C0" w14:textId="77777777" w:rsidR="00494A8D" w:rsidRPr="00494A8D" w:rsidRDefault="00494A8D" w:rsidP="00494A8D">
      <w:pPr>
        <w:pStyle w:val="CETHeading1"/>
        <w:rPr>
          <w:lang w:eastAsia="fr-FR"/>
        </w:rPr>
      </w:pPr>
      <w:r w:rsidRPr="00494A8D">
        <w:rPr>
          <w:lang w:eastAsia="fr-FR"/>
        </w:rPr>
        <w:t>Discussion on the degree of modeling of the reaction necessary to support a user in his choice of synthetic route</w:t>
      </w:r>
    </w:p>
    <w:p w14:paraId="1E7DE547" w14:textId="2F75A2FD" w:rsidR="00980963" w:rsidRDefault="00494A8D" w:rsidP="00980963">
      <w:pPr>
        <w:pStyle w:val="CETBodytext"/>
      </w:pPr>
      <w:r w:rsidRPr="00494A8D">
        <w:t>The simplest process simulation corresponds to scenario I with a modeling of the reaction pathway based on the conversion rate, while the most complete modeling corresponds to scenario III based on the kinetics.</w:t>
      </w:r>
      <w:r w:rsidR="00980963">
        <w:t xml:space="preserve"> </w:t>
      </w:r>
      <w:r w:rsidRPr="00494A8D">
        <w:t xml:space="preserve">Scenario I allows the identification of problematic steps from an environmental point of view at an early stage of the design. It </w:t>
      </w:r>
      <w:r w:rsidR="00980963">
        <w:t>is sufficient</w:t>
      </w:r>
      <w:r w:rsidRPr="00494A8D">
        <w:t xml:space="preserve"> in our case study to identify the importance of the impact linked to the raw materials and to the purification step of the DMC by the presence of heating in the boiler in the distillation column and in the column dedicated</w:t>
      </w:r>
      <w:r w:rsidRPr="00494A8D">
        <w:rPr>
          <w:lang w:val="en" w:eastAsia="fr-FR"/>
        </w:rPr>
        <w:t xml:space="preserve"> to the separation of the methanol – DMC azeotrope in order to obtain the DMC with the desired purity.</w:t>
      </w:r>
      <w:r w:rsidR="00980963">
        <w:rPr>
          <w:lang w:val="en" w:eastAsia="fr-FR"/>
        </w:rPr>
        <w:t xml:space="preserve"> </w:t>
      </w:r>
      <w:r w:rsidRPr="00494A8D">
        <w:rPr>
          <w:lang w:val="en" w:eastAsia="fr-FR"/>
        </w:rPr>
        <w:t xml:space="preserve">The scenario based on an instantaneous equilibrium model demonstrated the feasibility of using a reactive distillation column to carry out reactions (R2) and (R3) as well as the separation of reactants and products, allowing the production yield </w:t>
      </w:r>
      <w:r w:rsidR="00980963">
        <w:rPr>
          <w:lang w:val="en" w:eastAsia="fr-FR"/>
        </w:rPr>
        <w:t>of</w:t>
      </w:r>
      <w:r w:rsidR="00980963" w:rsidRPr="00494A8D">
        <w:rPr>
          <w:lang w:val="en" w:eastAsia="fr-FR"/>
        </w:rPr>
        <w:t xml:space="preserve"> DMC </w:t>
      </w:r>
      <w:r w:rsidRPr="00494A8D">
        <w:rPr>
          <w:lang w:val="en" w:eastAsia="fr-FR"/>
        </w:rPr>
        <w:t xml:space="preserve">to be doubled. Nevertheless, the fact that the main reaction is actually controlled by the kinetics distorts the design of the reactive distillation column with an instantaneous equilibrium which leads to a drop in the energy consumption of the column. Moreover, in the absence of equilibrium data to model the secondary reaction, this scenario uses the same conversion rate as that considered for scenario I to produce the NMMC. Consequently, scenario II underestimates the </w:t>
      </w:r>
      <w:r w:rsidRPr="00494A8D">
        <w:t>environmental</w:t>
      </w:r>
      <w:r w:rsidRPr="00494A8D">
        <w:rPr>
          <w:lang w:val="en" w:eastAsia="fr-FR"/>
        </w:rPr>
        <w:t xml:space="preserve"> impacts. Scenario II, however, made it possible to obtain initial values of the parameters for the design of the reactive distillation column used in scenario III.</w:t>
      </w:r>
      <w:r w:rsidR="00980963">
        <w:rPr>
          <w:lang w:val="en" w:eastAsia="fr-FR"/>
        </w:rPr>
        <w:t xml:space="preserve"> </w:t>
      </w:r>
      <w:r w:rsidRPr="00494A8D">
        <w:t>In general, the results obtained with the three scenarios give quite similar material balances, but the results of the energy balance diverge. Also in the literature, the results of energy consumption are varied, with from 5 MJ/kg (Monteiro et al., 2009) to 72 MJ/kg (Kongpanna et al., 2015) for similar production capacities. Our simulations show a lesser variation in consumption with 11 MJ/kg (Scenario II "balance") to 25 MJ/kg (Scenario</w:t>
      </w:r>
      <w:r w:rsidR="00980963">
        <w:t xml:space="preserve"> III "kinetic"). This result can be </w:t>
      </w:r>
      <w:r w:rsidRPr="00494A8D">
        <w:t>explained by the influence of liquid retention in the trays of the reactive section of the reactive distillation column on the conversion rate of MC and the selectivity to produce DMC. In conclusion, al</w:t>
      </w:r>
      <w:r w:rsidR="00980963">
        <w:t>though it allows to id</w:t>
      </w:r>
      <w:r>
        <w:t>en</w:t>
      </w:r>
      <w:r w:rsidRPr="00494A8D">
        <w:t>tify the hot spots, the simulation based on the conversion rate is not enough for the choice of the synthesis route. The environmental results indeed appear quite far from the results of the most rigorous scenario based on a kinetic model.</w:t>
      </w:r>
    </w:p>
    <w:p w14:paraId="4FB98CA1" w14:textId="0A2A9409" w:rsidR="00494A8D" w:rsidRPr="00494A8D" w:rsidRDefault="00494A8D" w:rsidP="00980963">
      <w:pPr>
        <w:pStyle w:val="CETHeading1"/>
        <w:rPr>
          <w:lang w:eastAsia="fr-FR"/>
        </w:rPr>
      </w:pPr>
      <w:r>
        <w:rPr>
          <w:lang w:eastAsia="fr-FR"/>
        </w:rPr>
        <w:t>Conclusions</w:t>
      </w:r>
    </w:p>
    <w:p w14:paraId="338E9188" w14:textId="42ED8E68" w:rsidR="00494A8D" w:rsidRPr="00494A8D" w:rsidRDefault="00494A8D" w:rsidP="00494A8D">
      <w:pPr>
        <w:pStyle w:val="CETBodytext"/>
        <w:rPr>
          <w:rFonts w:ascii="Courier New" w:hAnsi="Courier New" w:cs="Courier New"/>
          <w:sz w:val="20"/>
          <w:lang w:val="fr-FR" w:eastAsia="fr-FR"/>
        </w:rPr>
      </w:pPr>
      <w:r w:rsidRPr="00494A8D">
        <w:rPr>
          <w:rStyle w:val="CETBodytextCarattere"/>
          <w:lang w:val="en" w:eastAsia="fr-FR"/>
        </w:rPr>
        <w:t>In this article an environmental assessment of a new DMC production process was carried out by the cradle-to-gate LCA method. Inventory data was obtained from process simulation with ProsimPlus® software. Three scenarios with different increasing degrees of complexity for modeling reactions were studied. Scenario I is based on a conversion rate model, scenario II on an equilibrium model and scenario III on a kinetic model. The raw materials step appears to be the major contributor and the reaction/separation steps for the production and purification of DMC have significant impacts, linked to energy needs. The environmental results show that scenario I makes it possible to identify the impact linked to the raw materials and the heating for the distillation columns. The use of a reactive distillation column for scenarios II and III considerably reduces the production of waste. Scenario III is the most contributory in all the categories because the impact of heating is greater due to the influence of liquid retention in the reactive column requiring a reflux rate 20 times higher than that of scenario II with an instantaneous equilibrium model. The study of another technology for the purification of DMC (two distillation columns operating at different pressures, extractive distillation) as well as the energy integration seem to be essential studies to be carried out in order to reduce the environmental footprint of the proposed process.</w:t>
      </w:r>
    </w:p>
    <w:p w14:paraId="4F1327F8" w14:textId="02933D9B" w:rsidR="00600535" w:rsidRDefault="00600535" w:rsidP="00600535">
      <w:pPr>
        <w:pStyle w:val="CETReference"/>
      </w:pPr>
      <w:r w:rsidRPr="00B57B36">
        <w:t>References</w:t>
      </w:r>
    </w:p>
    <w:p w14:paraId="099F67F9" w14:textId="77777777" w:rsidR="00494A8D" w:rsidRPr="00494A8D" w:rsidRDefault="00494A8D" w:rsidP="00494A8D">
      <w:pPr>
        <w:pStyle w:val="CETReferencetext"/>
        <w:rPr>
          <w:rFonts w:eastAsia="CIDFont+F1"/>
          <w:lang w:val="en-US"/>
        </w:rPr>
      </w:pPr>
      <w:r w:rsidRPr="00494A8D">
        <w:rPr>
          <w:rFonts w:eastAsia="CIDFont+F1"/>
        </w:rPr>
        <w:t xml:space="preserve">Bale, C.W., Bélisle, E., Chartrand, P., Decterov, S.A., Eriksson, G., Gheribi, A.E., Hack, K., Jung, I.H., Kang, Y.B., Melançon, J., Pelton, A.D., Petersen, S., Robelin, C., Sangster, J., Spencer, P., Van Ende, M.A., Reprint of FactSage thermochemical software and databases, 2010–2016. </w:t>
      </w:r>
      <w:r w:rsidRPr="00494A8D">
        <w:rPr>
          <w:rFonts w:eastAsia="CIDFont+F1"/>
          <w:lang w:val="en-US"/>
        </w:rPr>
        <w:t xml:space="preserve">Calphad 55, 1–19. </w:t>
      </w:r>
    </w:p>
    <w:p w14:paraId="43646F02" w14:textId="35D945DC" w:rsidR="00494A8D" w:rsidRPr="00494A8D" w:rsidRDefault="00494A8D" w:rsidP="00494A8D">
      <w:pPr>
        <w:pStyle w:val="CETReferencetext"/>
        <w:rPr>
          <w:rFonts w:eastAsia="CIDFont+F1"/>
          <w:lang w:val="en-US"/>
        </w:rPr>
      </w:pPr>
      <w:r w:rsidRPr="00494A8D">
        <w:rPr>
          <w:rFonts w:eastAsia="CIDFont+F1"/>
          <w:lang w:val="en-US"/>
        </w:rPr>
        <w:t>Huang, H., Samsun, R.C., Peters, R., Stolten, D., Greener production of dimethyl carbonate by the Power-to-Fuel concept: a comparative techno-economic analysis</w:t>
      </w:r>
      <w:r>
        <w:rPr>
          <w:rFonts w:eastAsia="CIDFont+F1"/>
          <w:lang w:val="en-US"/>
        </w:rPr>
        <w:t xml:space="preserve">, </w:t>
      </w:r>
      <w:r w:rsidRPr="00494A8D">
        <w:rPr>
          <w:rFonts w:eastAsia="CIDFont+F1"/>
          <w:lang w:val="en-US"/>
        </w:rPr>
        <w:t>2021</w:t>
      </w:r>
      <w:r>
        <w:rPr>
          <w:rFonts w:eastAsia="CIDFont+F1"/>
          <w:lang w:val="en-US"/>
        </w:rPr>
        <w:t>,</w:t>
      </w:r>
      <w:r w:rsidRPr="00494A8D">
        <w:rPr>
          <w:rFonts w:eastAsia="CIDFont+F1"/>
          <w:lang w:val="en-US"/>
        </w:rPr>
        <w:t xml:space="preserve"> Green Chemistry, 23, 1734–1747.</w:t>
      </w:r>
    </w:p>
    <w:p w14:paraId="7F03785D" w14:textId="3256D03C" w:rsidR="00494A8D" w:rsidRPr="00494A8D" w:rsidRDefault="00494A8D" w:rsidP="00494A8D">
      <w:pPr>
        <w:pStyle w:val="CETReferencetext"/>
        <w:rPr>
          <w:rFonts w:eastAsia="CIDFont+F1"/>
          <w:lang w:val="en-US"/>
        </w:rPr>
      </w:pPr>
      <w:r w:rsidRPr="00494A8D">
        <w:rPr>
          <w:rFonts w:eastAsia="CIDFont+F1"/>
          <w:lang w:val="en-US"/>
        </w:rPr>
        <w:t>Kongpanna, P., Pavarajarn, V., Gani, R., Assabumrungrat, S., Techno-economic evaluation of different CO</w:t>
      </w:r>
      <w:r w:rsidRPr="00494A8D">
        <w:rPr>
          <w:rFonts w:eastAsia="CIDFont+F1"/>
          <w:vertAlign w:val="subscript"/>
          <w:lang w:val="en-US"/>
        </w:rPr>
        <w:t>2</w:t>
      </w:r>
      <w:r w:rsidRPr="00494A8D">
        <w:rPr>
          <w:rFonts w:eastAsia="CIDFont+F1"/>
          <w:lang w:val="en-US"/>
        </w:rPr>
        <w:t>-based processes for dimethyl carbonate production</w:t>
      </w:r>
      <w:r>
        <w:rPr>
          <w:rFonts w:eastAsia="CIDFont+F1"/>
          <w:lang w:val="en-US"/>
        </w:rPr>
        <w:t>, 2015,</w:t>
      </w:r>
      <w:r w:rsidRPr="00494A8D">
        <w:rPr>
          <w:rFonts w:eastAsia="CIDFont+F1"/>
          <w:lang w:val="en-US"/>
        </w:rPr>
        <w:t xml:space="preserve"> Chemical Engineering Research and Design</w:t>
      </w:r>
      <w:r>
        <w:rPr>
          <w:rFonts w:eastAsia="CIDFont+F1"/>
          <w:lang w:val="en-US"/>
        </w:rPr>
        <w:t>,</w:t>
      </w:r>
      <w:r w:rsidRPr="00494A8D">
        <w:rPr>
          <w:rFonts w:eastAsia="CIDFont+F1"/>
          <w:lang w:val="en-US"/>
        </w:rPr>
        <w:t xml:space="preserve"> 93, 496–510. </w:t>
      </w:r>
    </w:p>
    <w:p w14:paraId="432D836B" w14:textId="77777777" w:rsidR="00494A8D" w:rsidRPr="00494A8D" w:rsidRDefault="00494A8D" w:rsidP="00494A8D">
      <w:pPr>
        <w:pStyle w:val="CETReferencetext"/>
        <w:rPr>
          <w:rFonts w:eastAsia="CIDFont+F1"/>
          <w:color w:val="000000"/>
          <w:lang w:val="en-US"/>
        </w:rPr>
      </w:pPr>
      <w:r w:rsidRPr="00494A8D">
        <w:rPr>
          <w:rFonts w:eastAsia="CIDFont+F1"/>
          <w:color w:val="000000"/>
          <w:lang w:val="en-US"/>
        </w:rPr>
        <w:t>ISO, 2006a. ISO 14040: Environmental Management – Life Cycle Assessment –Principles and framework. International Organization for Standardization . Geneve, Switzerland</w:t>
      </w:r>
    </w:p>
    <w:p w14:paraId="44176E9F" w14:textId="77777777" w:rsidR="00494A8D" w:rsidRPr="00494A8D" w:rsidRDefault="00494A8D" w:rsidP="00494A8D">
      <w:pPr>
        <w:pStyle w:val="CETReferencetext"/>
        <w:rPr>
          <w:lang w:val="en-US"/>
        </w:rPr>
      </w:pPr>
      <w:r w:rsidRPr="00494A8D">
        <w:rPr>
          <w:rFonts w:eastAsia="CIDFont+F1"/>
          <w:color w:val="000000"/>
          <w:lang w:val="en-US"/>
        </w:rPr>
        <w:t>ISO, 2006b. ISO 14044: Environmental Management – Life Cycle Assessment – Requirements and Guidelines. International Organization for Standardization. Geneve, Switzerland</w:t>
      </w:r>
    </w:p>
    <w:p w14:paraId="51FB9FEE" w14:textId="1ED775B6" w:rsidR="00494A8D" w:rsidRPr="00494A8D" w:rsidRDefault="00494A8D" w:rsidP="00494A8D">
      <w:pPr>
        <w:pStyle w:val="CETReferencetext"/>
        <w:rPr>
          <w:rFonts w:eastAsia="CIDFont+F1"/>
          <w:lang w:val="en-US"/>
        </w:rPr>
      </w:pPr>
      <w:r w:rsidRPr="00494A8D">
        <w:rPr>
          <w:rFonts w:eastAsia="CIDFont+F1"/>
          <w:lang w:val="en-US"/>
        </w:rPr>
        <w:t>Matsuda, H., Negishi, M., Inaba, Iino, S., Constantinescu, D., Kurihara, K., Katsumi, T., Ochi, K., Gmehling, J., Isothermal vapor–liquid equilibria at 383.15–413.15 K for the binary system methanol + dimethyl carbonate and the pressure dependency of the azeotropic point</w:t>
      </w:r>
      <w:r>
        <w:rPr>
          <w:rFonts w:eastAsia="CIDFont+F1"/>
          <w:lang w:val="en-US"/>
        </w:rPr>
        <w:t>, 2019,</w:t>
      </w:r>
      <w:r w:rsidRPr="00494A8D">
        <w:rPr>
          <w:rFonts w:eastAsia="CIDFont+F1"/>
          <w:lang w:val="en-US"/>
        </w:rPr>
        <w:t xml:space="preserve"> Fluid Phase Equlibria, 492, 101-109.</w:t>
      </w:r>
    </w:p>
    <w:p w14:paraId="3D3342F4" w14:textId="61699AD1" w:rsidR="00494A8D" w:rsidRPr="00494A8D" w:rsidRDefault="00494A8D" w:rsidP="00494A8D">
      <w:pPr>
        <w:pStyle w:val="CETReferencetext"/>
        <w:rPr>
          <w:rFonts w:eastAsia="CIDFont+F1"/>
          <w:lang w:val="en-US"/>
        </w:rPr>
      </w:pPr>
      <w:r w:rsidRPr="00494A8D">
        <w:rPr>
          <w:rFonts w:eastAsia="CIDFont+F1"/>
          <w:lang w:val="en-US"/>
        </w:rPr>
        <w:t>Monteiro, J.G.M.-S., de Queiroz Fernandes Araújo, O., de Medeiros, J.L., Sustainability metrics for eco-technologies assessment, Part II. Life cycle analysis</w:t>
      </w:r>
      <w:r>
        <w:rPr>
          <w:rFonts w:eastAsia="CIDFont+F1"/>
          <w:lang w:val="en-US"/>
        </w:rPr>
        <w:t>, 2009,</w:t>
      </w:r>
      <w:r w:rsidRPr="00494A8D">
        <w:rPr>
          <w:rFonts w:eastAsia="CIDFont+F1"/>
          <w:lang w:val="en-US"/>
        </w:rPr>
        <w:t xml:space="preserve"> Clean Technologies and Environmental Policy</w:t>
      </w:r>
      <w:r>
        <w:rPr>
          <w:rFonts w:eastAsia="CIDFont+F1"/>
          <w:lang w:val="en-US"/>
        </w:rPr>
        <w:t>,</w:t>
      </w:r>
      <w:r w:rsidRPr="00494A8D">
        <w:rPr>
          <w:rFonts w:eastAsia="CIDFont+F1"/>
          <w:lang w:val="en-US"/>
        </w:rPr>
        <w:t xml:space="preserve"> 11, 459–472. </w:t>
      </w:r>
    </w:p>
    <w:p w14:paraId="729C6E25" w14:textId="69B59B0C" w:rsidR="00494A8D" w:rsidRPr="00494A8D" w:rsidRDefault="00494A8D" w:rsidP="00494A8D">
      <w:pPr>
        <w:pStyle w:val="CETReferencetext"/>
        <w:rPr>
          <w:rFonts w:eastAsia="CIDFont+F1"/>
          <w:lang w:val="en-US"/>
        </w:rPr>
      </w:pPr>
      <w:r w:rsidRPr="00494A8D">
        <w:rPr>
          <w:rFonts w:eastAsia="CIDFont+F1"/>
          <w:lang w:val="en-US"/>
        </w:rPr>
        <w:t>Sánchez, A., Gil, L.M., Martín, M., Sustainable DMC production from CO</w:t>
      </w:r>
      <w:r w:rsidRPr="00494A8D">
        <w:rPr>
          <w:rFonts w:eastAsia="CIDFont+F1"/>
          <w:vertAlign w:val="subscript"/>
          <w:lang w:val="en-US"/>
        </w:rPr>
        <w:t>2</w:t>
      </w:r>
      <w:r w:rsidRPr="00494A8D">
        <w:rPr>
          <w:rFonts w:eastAsia="CIDFont+F1"/>
          <w:lang w:val="en-US"/>
        </w:rPr>
        <w:t xml:space="preserve"> and renewable ammonia and methanol</w:t>
      </w:r>
      <w:r>
        <w:rPr>
          <w:rFonts w:eastAsia="CIDFont+F1"/>
          <w:lang w:val="en-US"/>
        </w:rPr>
        <w:t>, 2019,</w:t>
      </w:r>
      <w:r w:rsidRPr="00494A8D">
        <w:rPr>
          <w:rFonts w:eastAsia="CIDFont+F1"/>
          <w:lang w:val="en-US"/>
        </w:rPr>
        <w:t xml:space="preserve"> Journal of CO</w:t>
      </w:r>
      <w:r w:rsidRPr="00494A8D">
        <w:rPr>
          <w:rFonts w:eastAsia="CIDFont+F1"/>
          <w:vertAlign w:val="subscript"/>
          <w:lang w:val="en-US"/>
        </w:rPr>
        <w:t>2</w:t>
      </w:r>
      <w:r w:rsidRPr="00494A8D">
        <w:rPr>
          <w:rFonts w:eastAsia="CIDFont+F1"/>
          <w:lang w:val="en-US"/>
        </w:rPr>
        <w:t xml:space="preserve"> Utilization, 33, 521–531.</w:t>
      </w:r>
    </w:p>
    <w:p w14:paraId="763A63AB" w14:textId="1B5CB946" w:rsidR="00494A8D" w:rsidRPr="00494A8D" w:rsidRDefault="00494A8D" w:rsidP="00494A8D">
      <w:pPr>
        <w:pStyle w:val="CETReferencetext"/>
        <w:rPr>
          <w:rFonts w:eastAsia="CIDFont+F1"/>
          <w:lang w:val="en-US"/>
        </w:rPr>
      </w:pPr>
      <w:r w:rsidRPr="00494A8D">
        <w:rPr>
          <w:rFonts w:eastAsia="CIDFont+F1"/>
          <w:lang w:val="en-US"/>
        </w:rPr>
        <w:t>Shukla, K., Srivastava, V.C.. Synthesis of organic carbonates from alcoholysis of urea: A review</w:t>
      </w:r>
      <w:r>
        <w:rPr>
          <w:rFonts w:eastAsia="CIDFont+F1"/>
          <w:lang w:val="en-US"/>
        </w:rPr>
        <w:t>, 2017,</w:t>
      </w:r>
      <w:r w:rsidRPr="00494A8D">
        <w:rPr>
          <w:rFonts w:eastAsia="CIDFont+F1"/>
          <w:lang w:val="en-US"/>
        </w:rPr>
        <w:t xml:space="preserve"> Catalysis Reviews, 59, 1–43. </w:t>
      </w:r>
    </w:p>
    <w:p w14:paraId="390E9C6B" w14:textId="0B07FA00" w:rsidR="00494A8D" w:rsidRPr="00494A8D" w:rsidRDefault="00494A8D" w:rsidP="00494A8D">
      <w:pPr>
        <w:pStyle w:val="CETReferencetext"/>
        <w:rPr>
          <w:rFonts w:eastAsia="CIDFont+F1"/>
          <w:lang w:val="en-US"/>
        </w:rPr>
      </w:pPr>
      <w:r w:rsidRPr="00494A8D">
        <w:rPr>
          <w:rFonts w:eastAsia="CIDFont+F1"/>
          <w:lang w:val="en-US"/>
        </w:rPr>
        <w:t>Sun, J., Yang, B., Lin, H., A Semi-continuous Process for the Synthesis of Methyl Carbamate from Urea and Methanol, 2004. Chemical Engineering &amp; Technology</w:t>
      </w:r>
      <w:r>
        <w:rPr>
          <w:rFonts w:eastAsia="CIDFont+F1"/>
          <w:lang w:val="en-US"/>
        </w:rPr>
        <w:t>,</w:t>
      </w:r>
      <w:r w:rsidRPr="00494A8D">
        <w:rPr>
          <w:rFonts w:eastAsia="CIDFont+F1"/>
          <w:lang w:val="en-US"/>
        </w:rPr>
        <w:t xml:space="preserve"> 27, 435–439.</w:t>
      </w:r>
    </w:p>
    <w:p w14:paraId="0093941C" w14:textId="6BAA13F2" w:rsidR="00494A8D" w:rsidRPr="00494A8D" w:rsidRDefault="00494A8D" w:rsidP="00494A8D">
      <w:pPr>
        <w:pStyle w:val="CETReferencetext"/>
        <w:rPr>
          <w:rFonts w:eastAsia="CIDFont+F1"/>
          <w:lang w:val="en-US"/>
        </w:rPr>
      </w:pPr>
      <w:r w:rsidRPr="00494A8D">
        <w:rPr>
          <w:rFonts w:eastAsia="CIDFont+F1"/>
          <w:lang w:val="en-US"/>
        </w:rPr>
        <w:t>Vázquez, D., Javaloyes-Antón, J., Medrano-García, J.D., Ruiz-Femenia, R., Caballero, J.A., Dimethyl Carbonate Production Process from Urea and Methanol,</w:t>
      </w:r>
      <w:r w:rsidR="00302311">
        <w:rPr>
          <w:rFonts w:eastAsia="CIDFont+F1"/>
          <w:lang w:val="en-US"/>
        </w:rPr>
        <w:t xml:space="preserve"> </w:t>
      </w:r>
      <w:r>
        <w:rPr>
          <w:rFonts w:eastAsia="CIDFont+F1"/>
          <w:lang w:val="en-US"/>
        </w:rPr>
        <w:t>2018,</w:t>
      </w:r>
      <w:r w:rsidRPr="00494A8D">
        <w:rPr>
          <w:rFonts w:eastAsia="CIDFont+F1"/>
          <w:lang w:val="en-US"/>
        </w:rPr>
        <w:t xml:space="preserve"> Computer Aided Chemical Engineering, 731–736.</w:t>
      </w:r>
    </w:p>
    <w:p w14:paraId="38A5A47A" w14:textId="7FF25C30" w:rsidR="00494A8D" w:rsidRPr="00494A8D" w:rsidRDefault="00494A8D" w:rsidP="00494A8D">
      <w:pPr>
        <w:pStyle w:val="CETReferencetext"/>
        <w:rPr>
          <w:rFonts w:eastAsia="CIDFont+F1"/>
          <w:lang w:val="en-US"/>
        </w:rPr>
      </w:pPr>
      <w:r w:rsidRPr="00494A8D">
        <w:rPr>
          <w:rFonts w:eastAsia="CIDFont+F1"/>
          <w:lang w:val="en-US"/>
        </w:rPr>
        <w:t>Wang, F., Li, J., Zhao, W., Xiao, F., Wei, Sun, Y. Modeling of the Catalytic Distillation Process for the Synthesis of Dimethyl Carbonate by Urea Methanolysis M</w:t>
      </w:r>
      <w:r>
        <w:rPr>
          <w:rFonts w:eastAsia="CIDFont+F1"/>
          <w:lang w:val="en-US"/>
        </w:rPr>
        <w:t>ethod, 2007,</w:t>
      </w:r>
      <w:r w:rsidRPr="00494A8D">
        <w:rPr>
          <w:rFonts w:eastAsia="CIDFont+F1"/>
          <w:lang w:val="en-US"/>
        </w:rPr>
        <w:t xml:space="preserve"> Industrial &amp; Engineering Chemistry Research, 46, 8972–8979.</w:t>
      </w:r>
    </w:p>
    <w:p w14:paraId="45A3BFE7" w14:textId="779C168C" w:rsidR="00494A8D" w:rsidRPr="00494A8D" w:rsidRDefault="00494A8D" w:rsidP="00494A8D">
      <w:pPr>
        <w:pStyle w:val="CETReferencetext"/>
        <w:rPr>
          <w:rFonts w:eastAsia="CIDFont+F1"/>
          <w:lang w:val="en-US"/>
        </w:rPr>
      </w:pPr>
      <w:r w:rsidRPr="00494A8D">
        <w:rPr>
          <w:rFonts w:eastAsia="CIDFont+F1"/>
          <w:lang w:val="en-US"/>
        </w:rPr>
        <w:t xml:space="preserve">Zeng, Z.-X., Li, X.-N., Xue, W.-L., Zhang, C.-S., Bian, S.-C., Heat Capacity, Enthalpy of Formation, </w:t>
      </w:r>
      <w:r w:rsidR="00302311">
        <w:rPr>
          <w:rFonts w:eastAsia="CIDFont+F1"/>
          <w:lang w:val="en-US"/>
        </w:rPr>
        <w:t>and Entropy of Methyl Carbamate, 2010,</w:t>
      </w:r>
      <w:r w:rsidRPr="00494A8D">
        <w:rPr>
          <w:rFonts w:eastAsia="CIDFont+F1"/>
          <w:lang w:val="en-US"/>
        </w:rPr>
        <w:t xml:space="preserve"> Industrial &amp; Engineering Chemistry Research, 49, 5543–5548.</w:t>
      </w:r>
    </w:p>
    <w:p w14:paraId="3605CF38" w14:textId="476E406B" w:rsidR="00494A8D" w:rsidRPr="00494A8D" w:rsidRDefault="00494A8D" w:rsidP="00494A8D">
      <w:pPr>
        <w:pStyle w:val="CETReferencetext"/>
        <w:rPr>
          <w:rFonts w:eastAsia="CIDFont+F1"/>
          <w:lang w:val="en-US"/>
        </w:rPr>
      </w:pPr>
      <w:r w:rsidRPr="00494A8D">
        <w:rPr>
          <w:rFonts w:eastAsia="CIDFont+F1"/>
          <w:lang w:val="en-US"/>
        </w:rPr>
        <w:t>Zhao, W., Han, B., Zhao, N., Xiao, F., Wei, W., Macro kinetics for synthesis of dimethyl carbonate from urea and methanol on Zn-containing catalyst</w:t>
      </w:r>
      <w:r w:rsidR="00302311">
        <w:rPr>
          <w:rFonts w:eastAsia="CIDFont+F1"/>
          <w:lang w:val="en-US"/>
        </w:rPr>
        <w:t>, 2012,</w:t>
      </w:r>
      <w:r w:rsidRPr="00494A8D">
        <w:rPr>
          <w:rFonts w:eastAsia="CIDFont+F1"/>
          <w:lang w:val="en-US"/>
        </w:rPr>
        <w:t xml:space="preserve"> Journal of Central South University of Technology, 19, 85–92.</w:t>
      </w:r>
    </w:p>
    <w:sectPr w:rsidR="00494A8D" w:rsidRPr="00494A8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28F5" w14:textId="77777777" w:rsidR="001505AA" w:rsidRDefault="001505AA" w:rsidP="004F5E36">
      <w:r>
        <w:separator/>
      </w:r>
    </w:p>
  </w:endnote>
  <w:endnote w:type="continuationSeparator" w:id="0">
    <w:p w14:paraId="5F799B69" w14:textId="77777777" w:rsidR="001505AA" w:rsidRDefault="001505A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DC375" w14:textId="77777777" w:rsidR="001505AA" w:rsidRDefault="001505AA" w:rsidP="004F5E36">
      <w:r>
        <w:separator/>
      </w:r>
    </w:p>
  </w:footnote>
  <w:footnote w:type="continuationSeparator" w:id="0">
    <w:p w14:paraId="7FBD81C2" w14:textId="77777777" w:rsidR="001505AA" w:rsidRDefault="001505A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95B2389"/>
    <w:multiLevelType w:val="multilevel"/>
    <w:tmpl w:val="CDEC849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38217E"/>
    <w:multiLevelType w:val="multilevel"/>
    <w:tmpl w:val="DE0E6AE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4288"/>
    <w:rsid w:val="000562A9"/>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5AA"/>
    <w:rsid w:val="00150E59"/>
    <w:rsid w:val="00152DE3"/>
    <w:rsid w:val="001568EA"/>
    <w:rsid w:val="00164CF9"/>
    <w:rsid w:val="001667A6"/>
    <w:rsid w:val="00184AD6"/>
    <w:rsid w:val="001903CF"/>
    <w:rsid w:val="001A4AF7"/>
    <w:rsid w:val="001B0349"/>
    <w:rsid w:val="001B1E93"/>
    <w:rsid w:val="001B65C1"/>
    <w:rsid w:val="001C684B"/>
    <w:rsid w:val="001D0CFB"/>
    <w:rsid w:val="001D21AF"/>
    <w:rsid w:val="001D53FC"/>
    <w:rsid w:val="001F42A5"/>
    <w:rsid w:val="001F7B9D"/>
    <w:rsid w:val="00201C93"/>
    <w:rsid w:val="002224B4"/>
    <w:rsid w:val="00237B67"/>
    <w:rsid w:val="002447EF"/>
    <w:rsid w:val="00251550"/>
    <w:rsid w:val="00263B05"/>
    <w:rsid w:val="0027221A"/>
    <w:rsid w:val="00275B61"/>
    <w:rsid w:val="00280FAF"/>
    <w:rsid w:val="00281FAA"/>
    <w:rsid w:val="00282656"/>
    <w:rsid w:val="00296B83"/>
    <w:rsid w:val="002B4015"/>
    <w:rsid w:val="002B78CE"/>
    <w:rsid w:val="002C2FB6"/>
    <w:rsid w:val="002E5FA7"/>
    <w:rsid w:val="002F3309"/>
    <w:rsid w:val="003008CE"/>
    <w:rsid w:val="003009B7"/>
    <w:rsid w:val="00300E56"/>
    <w:rsid w:val="0030152C"/>
    <w:rsid w:val="00302311"/>
    <w:rsid w:val="0030469C"/>
    <w:rsid w:val="00321CA6"/>
    <w:rsid w:val="00323763"/>
    <w:rsid w:val="00323C5F"/>
    <w:rsid w:val="00334C09"/>
    <w:rsid w:val="003723D4"/>
    <w:rsid w:val="0037302E"/>
    <w:rsid w:val="00381905"/>
    <w:rsid w:val="00384CC8"/>
    <w:rsid w:val="003871FD"/>
    <w:rsid w:val="003A1E30"/>
    <w:rsid w:val="003A2829"/>
    <w:rsid w:val="003A4703"/>
    <w:rsid w:val="003A7D1C"/>
    <w:rsid w:val="003B304B"/>
    <w:rsid w:val="003B3146"/>
    <w:rsid w:val="003B39C2"/>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556E"/>
    <w:rsid w:val="004760DE"/>
    <w:rsid w:val="004763D7"/>
    <w:rsid w:val="00494A8D"/>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57E00"/>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57E03"/>
    <w:rsid w:val="00660E3E"/>
    <w:rsid w:val="00662E74"/>
    <w:rsid w:val="00680C23"/>
    <w:rsid w:val="00693766"/>
    <w:rsid w:val="006A3281"/>
    <w:rsid w:val="006B4888"/>
    <w:rsid w:val="006C2E45"/>
    <w:rsid w:val="006C359C"/>
    <w:rsid w:val="006C5579"/>
    <w:rsid w:val="006D5EC1"/>
    <w:rsid w:val="006D6E8B"/>
    <w:rsid w:val="006E737D"/>
    <w:rsid w:val="00707DD1"/>
    <w:rsid w:val="00713973"/>
    <w:rsid w:val="00720A24"/>
    <w:rsid w:val="00732386"/>
    <w:rsid w:val="0073514D"/>
    <w:rsid w:val="007447F3"/>
    <w:rsid w:val="0075499F"/>
    <w:rsid w:val="007661C8"/>
    <w:rsid w:val="0077098D"/>
    <w:rsid w:val="00775588"/>
    <w:rsid w:val="007931FA"/>
    <w:rsid w:val="007A4861"/>
    <w:rsid w:val="007A7BBA"/>
    <w:rsid w:val="007B0C50"/>
    <w:rsid w:val="007B48F9"/>
    <w:rsid w:val="007C1A43"/>
    <w:rsid w:val="007D0951"/>
    <w:rsid w:val="007D1DA3"/>
    <w:rsid w:val="0080013E"/>
    <w:rsid w:val="00813288"/>
    <w:rsid w:val="008168FC"/>
    <w:rsid w:val="00823B62"/>
    <w:rsid w:val="00830996"/>
    <w:rsid w:val="008345F1"/>
    <w:rsid w:val="008651ED"/>
    <w:rsid w:val="00865B07"/>
    <w:rsid w:val="008667EA"/>
    <w:rsid w:val="0087637F"/>
    <w:rsid w:val="00892AD5"/>
    <w:rsid w:val="008A1512"/>
    <w:rsid w:val="008D32B9"/>
    <w:rsid w:val="008D433B"/>
    <w:rsid w:val="008D4A16"/>
    <w:rsid w:val="008E566E"/>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80963"/>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0235"/>
    <w:rsid w:val="00A7223D"/>
    <w:rsid w:val="00A72745"/>
    <w:rsid w:val="00A76EFC"/>
    <w:rsid w:val="00A87D50"/>
    <w:rsid w:val="00A91010"/>
    <w:rsid w:val="00A97F29"/>
    <w:rsid w:val="00AA702E"/>
    <w:rsid w:val="00AA7D26"/>
    <w:rsid w:val="00AB0964"/>
    <w:rsid w:val="00AB5011"/>
    <w:rsid w:val="00AC7368"/>
    <w:rsid w:val="00AD16B9"/>
    <w:rsid w:val="00AE377D"/>
    <w:rsid w:val="00AE46F8"/>
    <w:rsid w:val="00AF0EBA"/>
    <w:rsid w:val="00B02C8A"/>
    <w:rsid w:val="00B17FBD"/>
    <w:rsid w:val="00B269DF"/>
    <w:rsid w:val="00B315A6"/>
    <w:rsid w:val="00B31813"/>
    <w:rsid w:val="00B33365"/>
    <w:rsid w:val="00B57B36"/>
    <w:rsid w:val="00B57E6F"/>
    <w:rsid w:val="00B723AB"/>
    <w:rsid w:val="00B8686D"/>
    <w:rsid w:val="00B93F69"/>
    <w:rsid w:val="00BB1DDC"/>
    <w:rsid w:val="00BC30C9"/>
    <w:rsid w:val="00BD077D"/>
    <w:rsid w:val="00BE3E58"/>
    <w:rsid w:val="00C01616"/>
    <w:rsid w:val="00C0162B"/>
    <w:rsid w:val="00C068ED"/>
    <w:rsid w:val="00C22E0C"/>
    <w:rsid w:val="00C33952"/>
    <w:rsid w:val="00C345B1"/>
    <w:rsid w:val="00C373A2"/>
    <w:rsid w:val="00C40142"/>
    <w:rsid w:val="00C4335E"/>
    <w:rsid w:val="00C52C3C"/>
    <w:rsid w:val="00C57182"/>
    <w:rsid w:val="00C57863"/>
    <w:rsid w:val="00C640AF"/>
    <w:rsid w:val="00C655FD"/>
    <w:rsid w:val="00C75407"/>
    <w:rsid w:val="00C841C6"/>
    <w:rsid w:val="00C870A8"/>
    <w:rsid w:val="00C94434"/>
    <w:rsid w:val="00CA0D75"/>
    <w:rsid w:val="00CA1C95"/>
    <w:rsid w:val="00CA5A9C"/>
    <w:rsid w:val="00CC4C20"/>
    <w:rsid w:val="00CC7425"/>
    <w:rsid w:val="00CD3517"/>
    <w:rsid w:val="00CD5FE2"/>
    <w:rsid w:val="00CE7C68"/>
    <w:rsid w:val="00D02B4C"/>
    <w:rsid w:val="00D040C4"/>
    <w:rsid w:val="00D20AD1"/>
    <w:rsid w:val="00D2582C"/>
    <w:rsid w:val="00D46B7E"/>
    <w:rsid w:val="00D57C84"/>
    <w:rsid w:val="00D6057D"/>
    <w:rsid w:val="00D60D3A"/>
    <w:rsid w:val="00D71640"/>
    <w:rsid w:val="00D836C5"/>
    <w:rsid w:val="00D84576"/>
    <w:rsid w:val="00DA1399"/>
    <w:rsid w:val="00DA24C6"/>
    <w:rsid w:val="00DA4D7B"/>
    <w:rsid w:val="00DD271C"/>
    <w:rsid w:val="00DE264A"/>
    <w:rsid w:val="00DF5072"/>
    <w:rsid w:val="00E02D18"/>
    <w:rsid w:val="00E041E7"/>
    <w:rsid w:val="00E23CA1"/>
    <w:rsid w:val="00E25673"/>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C641C"/>
    <w:rsid w:val="00EE0131"/>
    <w:rsid w:val="00EE17B0"/>
    <w:rsid w:val="00EF06D9"/>
    <w:rsid w:val="00F3049E"/>
    <w:rsid w:val="00F30C64"/>
    <w:rsid w:val="00F32BA2"/>
    <w:rsid w:val="00F32CDB"/>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1903CF"/>
    <w:pPr>
      <w:spacing w:before="12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1903CF"/>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3A4703"/>
    <w:pPr>
      <w:keepNext/>
      <w:spacing w:before="12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style>
  <w:style w:type="character" w:customStyle="1" w:styleId="y2iqfc">
    <w:name w:val="y2iqfc"/>
    <w:basedOn w:val="Policepardfaut"/>
    <w:rsid w:val="00EC6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179">
      <w:bodyDiv w:val="1"/>
      <w:marLeft w:val="0"/>
      <w:marRight w:val="0"/>
      <w:marTop w:val="0"/>
      <w:marBottom w:val="0"/>
      <w:divBdr>
        <w:top w:val="none" w:sz="0" w:space="0" w:color="auto"/>
        <w:left w:val="none" w:sz="0" w:space="0" w:color="auto"/>
        <w:bottom w:val="none" w:sz="0" w:space="0" w:color="auto"/>
        <w:right w:val="none" w:sz="0" w:space="0" w:color="auto"/>
      </w:divBdr>
      <w:divsChild>
        <w:div w:id="409425316">
          <w:marLeft w:val="0"/>
          <w:marRight w:val="0"/>
          <w:marTop w:val="0"/>
          <w:marBottom w:val="0"/>
          <w:divBdr>
            <w:top w:val="none" w:sz="0" w:space="0" w:color="auto"/>
            <w:left w:val="none" w:sz="0" w:space="0" w:color="auto"/>
            <w:bottom w:val="none" w:sz="0" w:space="0" w:color="auto"/>
            <w:right w:val="none" w:sz="0" w:space="0" w:color="auto"/>
          </w:divBdr>
        </w:div>
      </w:divsChild>
    </w:div>
    <w:div w:id="181601407">
      <w:bodyDiv w:val="1"/>
      <w:marLeft w:val="0"/>
      <w:marRight w:val="0"/>
      <w:marTop w:val="0"/>
      <w:marBottom w:val="0"/>
      <w:divBdr>
        <w:top w:val="none" w:sz="0" w:space="0" w:color="auto"/>
        <w:left w:val="none" w:sz="0" w:space="0" w:color="auto"/>
        <w:bottom w:val="none" w:sz="0" w:space="0" w:color="auto"/>
        <w:right w:val="none" w:sz="0" w:space="0" w:color="auto"/>
      </w:divBdr>
      <w:divsChild>
        <w:div w:id="146553457">
          <w:marLeft w:val="0"/>
          <w:marRight w:val="0"/>
          <w:marTop w:val="0"/>
          <w:marBottom w:val="0"/>
          <w:divBdr>
            <w:top w:val="none" w:sz="0" w:space="0" w:color="auto"/>
            <w:left w:val="none" w:sz="0" w:space="0" w:color="auto"/>
            <w:bottom w:val="none" w:sz="0" w:space="0" w:color="auto"/>
            <w:right w:val="none" w:sz="0" w:space="0" w:color="auto"/>
          </w:divBdr>
        </w:div>
      </w:divsChild>
    </w:div>
    <w:div w:id="184948538">
      <w:bodyDiv w:val="1"/>
      <w:marLeft w:val="0"/>
      <w:marRight w:val="0"/>
      <w:marTop w:val="0"/>
      <w:marBottom w:val="0"/>
      <w:divBdr>
        <w:top w:val="none" w:sz="0" w:space="0" w:color="auto"/>
        <w:left w:val="none" w:sz="0" w:space="0" w:color="auto"/>
        <w:bottom w:val="none" w:sz="0" w:space="0" w:color="auto"/>
        <w:right w:val="none" w:sz="0" w:space="0" w:color="auto"/>
      </w:divBdr>
      <w:divsChild>
        <w:div w:id="1905216354">
          <w:marLeft w:val="0"/>
          <w:marRight w:val="0"/>
          <w:marTop w:val="0"/>
          <w:marBottom w:val="0"/>
          <w:divBdr>
            <w:top w:val="none" w:sz="0" w:space="0" w:color="auto"/>
            <w:left w:val="none" w:sz="0" w:space="0" w:color="auto"/>
            <w:bottom w:val="none" w:sz="0" w:space="0" w:color="auto"/>
            <w:right w:val="none" w:sz="0" w:space="0" w:color="auto"/>
          </w:divBdr>
        </w:div>
      </w:divsChild>
    </w:div>
    <w:div w:id="256789528">
      <w:bodyDiv w:val="1"/>
      <w:marLeft w:val="0"/>
      <w:marRight w:val="0"/>
      <w:marTop w:val="0"/>
      <w:marBottom w:val="0"/>
      <w:divBdr>
        <w:top w:val="none" w:sz="0" w:space="0" w:color="auto"/>
        <w:left w:val="none" w:sz="0" w:space="0" w:color="auto"/>
        <w:bottom w:val="none" w:sz="0" w:space="0" w:color="auto"/>
        <w:right w:val="none" w:sz="0" w:space="0" w:color="auto"/>
      </w:divBdr>
      <w:divsChild>
        <w:div w:id="1834568760">
          <w:marLeft w:val="0"/>
          <w:marRight w:val="0"/>
          <w:marTop w:val="0"/>
          <w:marBottom w:val="0"/>
          <w:divBdr>
            <w:top w:val="none" w:sz="0" w:space="0" w:color="auto"/>
            <w:left w:val="none" w:sz="0" w:space="0" w:color="auto"/>
            <w:bottom w:val="none" w:sz="0" w:space="0" w:color="auto"/>
            <w:right w:val="none" w:sz="0" w:space="0" w:color="auto"/>
          </w:divBdr>
        </w:div>
      </w:divsChild>
    </w:div>
    <w:div w:id="360322892">
      <w:bodyDiv w:val="1"/>
      <w:marLeft w:val="0"/>
      <w:marRight w:val="0"/>
      <w:marTop w:val="0"/>
      <w:marBottom w:val="0"/>
      <w:divBdr>
        <w:top w:val="none" w:sz="0" w:space="0" w:color="auto"/>
        <w:left w:val="none" w:sz="0" w:space="0" w:color="auto"/>
        <w:bottom w:val="none" w:sz="0" w:space="0" w:color="auto"/>
        <w:right w:val="none" w:sz="0" w:space="0" w:color="auto"/>
      </w:divBdr>
    </w:div>
    <w:div w:id="378090198">
      <w:bodyDiv w:val="1"/>
      <w:marLeft w:val="0"/>
      <w:marRight w:val="0"/>
      <w:marTop w:val="0"/>
      <w:marBottom w:val="0"/>
      <w:divBdr>
        <w:top w:val="none" w:sz="0" w:space="0" w:color="auto"/>
        <w:left w:val="none" w:sz="0" w:space="0" w:color="auto"/>
        <w:bottom w:val="none" w:sz="0" w:space="0" w:color="auto"/>
        <w:right w:val="none" w:sz="0" w:space="0" w:color="auto"/>
      </w:divBdr>
      <w:divsChild>
        <w:div w:id="1518692440">
          <w:marLeft w:val="0"/>
          <w:marRight w:val="0"/>
          <w:marTop w:val="0"/>
          <w:marBottom w:val="0"/>
          <w:divBdr>
            <w:top w:val="none" w:sz="0" w:space="0" w:color="auto"/>
            <w:left w:val="none" w:sz="0" w:space="0" w:color="auto"/>
            <w:bottom w:val="none" w:sz="0" w:space="0" w:color="auto"/>
            <w:right w:val="none" w:sz="0" w:space="0" w:color="auto"/>
          </w:divBdr>
        </w:div>
      </w:divsChild>
    </w:div>
    <w:div w:id="389184509">
      <w:bodyDiv w:val="1"/>
      <w:marLeft w:val="0"/>
      <w:marRight w:val="0"/>
      <w:marTop w:val="0"/>
      <w:marBottom w:val="0"/>
      <w:divBdr>
        <w:top w:val="none" w:sz="0" w:space="0" w:color="auto"/>
        <w:left w:val="none" w:sz="0" w:space="0" w:color="auto"/>
        <w:bottom w:val="none" w:sz="0" w:space="0" w:color="auto"/>
        <w:right w:val="none" w:sz="0" w:space="0" w:color="auto"/>
      </w:divBdr>
      <w:divsChild>
        <w:div w:id="162013714">
          <w:marLeft w:val="0"/>
          <w:marRight w:val="0"/>
          <w:marTop w:val="0"/>
          <w:marBottom w:val="0"/>
          <w:divBdr>
            <w:top w:val="none" w:sz="0" w:space="0" w:color="auto"/>
            <w:left w:val="none" w:sz="0" w:space="0" w:color="auto"/>
            <w:bottom w:val="none" w:sz="0" w:space="0" w:color="auto"/>
            <w:right w:val="none" w:sz="0" w:space="0" w:color="auto"/>
          </w:divBdr>
        </w:div>
      </w:divsChild>
    </w:div>
    <w:div w:id="546524811">
      <w:bodyDiv w:val="1"/>
      <w:marLeft w:val="0"/>
      <w:marRight w:val="0"/>
      <w:marTop w:val="0"/>
      <w:marBottom w:val="0"/>
      <w:divBdr>
        <w:top w:val="none" w:sz="0" w:space="0" w:color="auto"/>
        <w:left w:val="none" w:sz="0" w:space="0" w:color="auto"/>
        <w:bottom w:val="none" w:sz="0" w:space="0" w:color="auto"/>
        <w:right w:val="none" w:sz="0" w:space="0" w:color="auto"/>
      </w:divBdr>
      <w:divsChild>
        <w:div w:id="339820429">
          <w:marLeft w:val="0"/>
          <w:marRight w:val="0"/>
          <w:marTop w:val="0"/>
          <w:marBottom w:val="0"/>
          <w:divBdr>
            <w:top w:val="none" w:sz="0" w:space="0" w:color="auto"/>
            <w:left w:val="none" w:sz="0" w:space="0" w:color="auto"/>
            <w:bottom w:val="none" w:sz="0" w:space="0" w:color="auto"/>
            <w:right w:val="none" w:sz="0" w:space="0" w:color="auto"/>
          </w:divBdr>
        </w:div>
      </w:divsChild>
    </w:div>
    <w:div w:id="654797257">
      <w:bodyDiv w:val="1"/>
      <w:marLeft w:val="0"/>
      <w:marRight w:val="0"/>
      <w:marTop w:val="0"/>
      <w:marBottom w:val="0"/>
      <w:divBdr>
        <w:top w:val="none" w:sz="0" w:space="0" w:color="auto"/>
        <w:left w:val="none" w:sz="0" w:space="0" w:color="auto"/>
        <w:bottom w:val="none" w:sz="0" w:space="0" w:color="auto"/>
        <w:right w:val="none" w:sz="0" w:space="0" w:color="auto"/>
      </w:divBdr>
      <w:divsChild>
        <w:div w:id="1514346222">
          <w:marLeft w:val="0"/>
          <w:marRight w:val="0"/>
          <w:marTop w:val="0"/>
          <w:marBottom w:val="0"/>
          <w:divBdr>
            <w:top w:val="none" w:sz="0" w:space="0" w:color="auto"/>
            <w:left w:val="none" w:sz="0" w:space="0" w:color="auto"/>
            <w:bottom w:val="none" w:sz="0" w:space="0" w:color="auto"/>
            <w:right w:val="none" w:sz="0" w:space="0" w:color="auto"/>
          </w:divBdr>
        </w:div>
      </w:divsChild>
    </w:div>
    <w:div w:id="688945902">
      <w:bodyDiv w:val="1"/>
      <w:marLeft w:val="0"/>
      <w:marRight w:val="0"/>
      <w:marTop w:val="0"/>
      <w:marBottom w:val="0"/>
      <w:divBdr>
        <w:top w:val="none" w:sz="0" w:space="0" w:color="auto"/>
        <w:left w:val="none" w:sz="0" w:space="0" w:color="auto"/>
        <w:bottom w:val="none" w:sz="0" w:space="0" w:color="auto"/>
        <w:right w:val="none" w:sz="0" w:space="0" w:color="auto"/>
      </w:divBdr>
      <w:divsChild>
        <w:div w:id="1538854053">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78084">
      <w:bodyDiv w:val="1"/>
      <w:marLeft w:val="0"/>
      <w:marRight w:val="0"/>
      <w:marTop w:val="0"/>
      <w:marBottom w:val="0"/>
      <w:divBdr>
        <w:top w:val="none" w:sz="0" w:space="0" w:color="auto"/>
        <w:left w:val="none" w:sz="0" w:space="0" w:color="auto"/>
        <w:bottom w:val="none" w:sz="0" w:space="0" w:color="auto"/>
        <w:right w:val="none" w:sz="0" w:space="0" w:color="auto"/>
      </w:divBdr>
      <w:divsChild>
        <w:div w:id="1659066822">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086630">
      <w:bodyDiv w:val="1"/>
      <w:marLeft w:val="0"/>
      <w:marRight w:val="0"/>
      <w:marTop w:val="0"/>
      <w:marBottom w:val="0"/>
      <w:divBdr>
        <w:top w:val="none" w:sz="0" w:space="0" w:color="auto"/>
        <w:left w:val="none" w:sz="0" w:space="0" w:color="auto"/>
        <w:bottom w:val="none" w:sz="0" w:space="0" w:color="auto"/>
        <w:right w:val="none" w:sz="0" w:space="0" w:color="auto"/>
      </w:divBdr>
    </w:div>
    <w:div w:id="916402792">
      <w:bodyDiv w:val="1"/>
      <w:marLeft w:val="0"/>
      <w:marRight w:val="0"/>
      <w:marTop w:val="0"/>
      <w:marBottom w:val="0"/>
      <w:divBdr>
        <w:top w:val="none" w:sz="0" w:space="0" w:color="auto"/>
        <w:left w:val="none" w:sz="0" w:space="0" w:color="auto"/>
        <w:bottom w:val="none" w:sz="0" w:space="0" w:color="auto"/>
        <w:right w:val="none" w:sz="0" w:space="0" w:color="auto"/>
      </w:divBdr>
      <w:divsChild>
        <w:div w:id="1154956210">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2833">
      <w:bodyDiv w:val="1"/>
      <w:marLeft w:val="0"/>
      <w:marRight w:val="0"/>
      <w:marTop w:val="0"/>
      <w:marBottom w:val="0"/>
      <w:divBdr>
        <w:top w:val="none" w:sz="0" w:space="0" w:color="auto"/>
        <w:left w:val="none" w:sz="0" w:space="0" w:color="auto"/>
        <w:bottom w:val="none" w:sz="0" w:space="0" w:color="auto"/>
        <w:right w:val="none" w:sz="0" w:space="0" w:color="auto"/>
      </w:divBdr>
    </w:div>
    <w:div w:id="961571152">
      <w:bodyDiv w:val="1"/>
      <w:marLeft w:val="0"/>
      <w:marRight w:val="0"/>
      <w:marTop w:val="0"/>
      <w:marBottom w:val="0"/>
      <w:divBdr>
        <w:top w:val="none" w:sz="0" w:space="0" w:color="auto"/>
        <w:left w:val="none" w:sz="0" w:space="0" w:color="auto"/>
        <w:bottom w:val="none" w:sz="0" w:space="0" w:color="auto"/>
        <w:right w:val="none" w:sz="0" w:space="0" w:color="auto"/>
      </w:divBdr>
    </w:div>
    <w:div w:id="1088388401">
      <w:bodyDiv w:val="1"/>
      <w:marLeft w:val="0"/>
      <w:marRight w:val="0"/>
      <w:marTop w:val="0"/>
      <w:marBottom w:val="0"/>
      <w:divBdr>
        <w:top w:val="none" w:sz="0" w:space="0" w:color="auto"/>
        <w:left w:val="none" w:sz="0" w:space="0" w:color="auto"/>
        <w:bottom w:val="none" w:sz="0" w:space="0" w:color="auto"/>
        <w:right w:val="none" w:sz="0" w:space="0" w:color="auto"/>
      </w:divBdr>
      <w:divsChild>
        <w:div w:id="403793542">
          <w:marLeft w:val="0"/>
          <w:marRight w:val="0"/>
          <w:marTop w:val="0"/>
          <w:marBottom w:val="0"/>
          <w:divBdr>
            <w:top w:val="none" w:sz="0" w:space="0" w:color="auto"/>
            <w:left w:val="none" w:sz="0" w:space="0" w:color="auto"/>
            <w:bottom w:val="none" w:sz="0" w:space="0" w:color="auto"/>
            <w:right w:val="none" w:sz="0" w:space="0" w:color="auto"/>
          </w:divBdr>
        </w:div>
      </w:divsChild>
    </w:div>
    <w:div w:id="1109858389">
      <w:bodyDiv w:val="1"/>
      <w:marLeft w:val="0"/>
      <w:marRight w:val="0"/>
      <w:marTop w:val="0"/>
      <w:marBottom w:val="0"/>
      <w:divBdr>
        <w:top w:val="none" w:sz="0" w:space="0" w:color="auto"/>
        <w:left w:val="none" w:sz="0" w:space="0" w:color="auto"/>
        <w:bottom w:val="none" w:sz="0" w:space="0" w:color="auto"/>
        <w:right w:val="none" w:sz="0" w:space="0" w:color="auto"/>
      </w:divBdr>
      <w:divsChild>
        <w:div w:id="347757473">
          <w:marLeft w:val="0"/>
          <w:marRight w:val="0"/>
          <w:marTop w:val="0"/>
          <w:marBottom w:val="0"/>
          <w:divBdr>
            <w:top w:val="none" w:sz="0" w:space="0" w:color="auto"/>
            <w:left w:val="none" w:sz="0" w:space="0" w:color="auto"/>
            <w:bottom w:val="none" w:sz="0" w:space="0" w:color="auto"/>
            <w:right w:val="none" w:sz="0" w:space="0" w:color="auto"/>
          </w:divBdr>
        </w:div>
      </w:divsChild>
    </w:div>
    <w:div w:id="1179854026">
      <w:bodyDiv w:val="1"/>
      <w:marLeft w:val="0"/>
      <w:marRight w:val="0"/>
      <w:marTop w:val="0"/>
      <w:marBottom w:val="0"/>
      <w:divBdr>
        <w:top w:val="none" w:sz="0" w:space="0" w:color="auto"/>
        <w:left w:val="none" w:sz="0" w:space="0" w:color="auto"/>
        <w:bottom w:val="none" w:sz="0" w:space="0" w:color="auto"/>
        <w:right w:val="none" w:sz="0" w:space="0" w:color="auto"/>
      </w:divBdr>
      <w:divsChild>
        <w:div w:id="742213886">
          <w:marLeft w:val="0"/>
          <w:marRight w:val="0"/>
          <w:marTop w:val="0"/>
          <w:marBottom w:val="0"/>
          <w:divBdr>
            <w:top w:val="none" w:sz="0" w:space="0" w:color="auto"/>
            <w:left w:val="none" w:sz="0" w:space="0" w:color="auto"/>
            <w:bottom w:val="none" w:sz="0" w:space="0" w:color="auto"/>
            <w:right w:val="none" w:sz="0" w:space="0" w:color="auto"/>
          </w:divBdr>
        </w:div>
      </w:divsChild>
    </w:div>
    <w:div w:id="1210919209">
      <w:bodyDiv w:val="1"/>
      <w:marLeft w:val="0"/>
      <w:marRight w:val="0"/>
      <w:marTop w:val="0"/>
      <w:marBottom w:val="0"/>
      <w:divBdr>
        <w:top w:val="none" w:sz="0" w:space="0" w:color="auto"/>
        <w:left w:val="none" w:sz="0" w:space="0" w:color="auto"/>
        <w:bottom w:val="none" w:sz="0" w:space="0" w:color="auto"/>
        <w:right w:val="none" w:sz="0" w:space="0" w:color="auto"/>
      </w:divBdr>
      <w:divsChild>
        <w:div w:id="1884830779">
          <w:marLeft w:val="0"/>
          <w:marRight w:val="0"/>
          <w:marTop w:val="0"/>
          <w:marBottom w:val="0"/>
          <w:divBdr>
            <w:top w:val="none" w:sz="0" w:space="0" w:color="auto"/>
            <w:left w:val="none" w:sz="0" w:space="0" w:color="auto"/>
            <w:bottom w:val="none" w:sz="0" w:space="0" w:color="auto"/>
            <w:right w:val="none" w:sz="0" w:space="0" w:color="auto"/>
          </w:divBdr>
        </w:div>
      </w:divsChild>
    </w:div>
    <w:div w:id="1245841078">
      <w:bodyDiv w:val="1"/>
      <w:marLeft w:val="0"/>
      <w:marRight w:val="0"/>
      <w:marTop w:val="0"/>
      <w:marBottom w:val="0"/>
      <w:divBdr>
        <w:top w:val="none" w:sz="0" w:space="0" w:color="auto"/>
        <w:left w:val="none" w:sz="0" w:space="0" w:color="auto"/>
        <w:bottom w:val="none" w:sz="0" w:space="0" w:color="auto"/>
        <w:right w:val="none" w:sz="0" w:space="0" w:color="auto"/>
      </w:divBdr>
    </w:div>
    <w:div w:id="1256941349">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sChild>
        <w:div w:id="633561737">
          <w:marLeft w:val="0"/>
          <w:marRight w:val="0"/>
          <w:marTop w:val="0"/>
          <w:marBottom w:val="0"/>
          <w:divBdr>
            <w:top w:val="none" w:sz="0" w:space="0" w:color="auto"/>
            <w:left w:val="none" w:sz="0" w:space="0" w:color="auto"/>
            <w:bottom w:val="none" w:sz="0" w:space="0" w:color="auto"/>
            <w:right w:val="none" w:sz="0" w:space="0" w:color="auto"/>
          </w:divBdr>
        </w:div>
      </w:divsChild>
    </w:div>
    <w:div w:id="1337610475">
      <w:bodyDiv w:val="1"/>
      <w:marLeft w:val="0"/>
      <w:marRight w:val="0"/>
      <w:marTop w:val="0"/>
      <w:marBottom w:val="0"/>
      <w:divBdr>
        <w:top w:val="none" w:sz="0" w:space="0" w:color="auto"/>
        <w:left w:val="none" w:sz="0" w:space="0" w:color="auto"/>
        <w:bottom w:val="none" w:sz="0" w:space="0" w:color="auto"/>
        <w:right w:val="none" w:sz="0" w:space="0" w:color="auto"/>
      </w:divBdr>
      <w:divsChild>
        <w:div w:id="2068913937">
          <w:marLeft w:val="0"/>
          <w:marRight w:val="0"/>
          <w:marTop w:val="0"/>
          <w:marBottom w:val="0"/>
          <w:divBdr>
            <w:top w:val="none" w:sz="0" w:space="0" w:color="auto"/>
            <w:left w:val="none" w:sz="0" w:space="0" w:color="auto"/>
            <w:bottom w:val="none" w:sz="0" w:space="0" w:color="auto"/>
            <w:right w:val="none" w:sz="0" w:space="0" w:color="auto"/>
          </w:divBdr>
        </w:div>
      </w:divsChild>
    </w:div>
    <w:div w:id="1392536726">
      <w:bodyDiv w:val="1"/>
      <w:marLeft w:val="0"/>
      <w:marRight w:val="0"/>
      <w:marTop w:val="0"/>
      <w:marBottom w:val="0"/>
      <w:divBdr>
        <w:top w:val="none" w:sz="0" w:space="0" w:color="auto"/>
        <w:left w:val="none" w:sz="0" w:space="0" w:color="auto"/>
        <w:bottom w:val="none" w:sz="0" w:space="0" w:color="auto"/>
        <w:right w:val="none" w:sz="0" w:space="0" w:color="auto"/>
      </w:divBdr>
      <w:divsChild>
        <w:div w:id="1339773336">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1506">
      <w:bodyDiv w:val="1"/>
      <w:marLeft w:val="0"/>
      <w:marRight w:val="0"/>
      <w:marTop w:val="0"/>
      <w:marBottom w:val="0"/>
      <w:divBdr>
        <w:top w:val="none" w:sz="0" w:space="0" w:color="auto"/>
        <w:left w:val="none" w:sz="0" w:space="0" w:color="auto"/>
        <w:bottom w:val="none" w:sz="0" w:space="0" w:color="auto"/>
        <w:right w:val="none" w:sz="0" w:space="0" w:color="auto"/>
      </w:divBdr>
      <w:divsChild>
        <w:div w:id="1571186331">
          <w:marLeft w:val="0"/>
          <w:marRight w:val="0"/>
          <w:marTop w:val="0"/>
          <w:marBottom w:val="0"/>
          <w:divBdr>
            <w:top w:val="none" w:sz="0" w:space="0" w:color="auto"/>
            <w:left w:val="none" w:sz="0" w:space="0" w:color="auto"/>
            <w:bottom w:val="none" w:sz="0" w:space="0" w:color="auto"/>
            <w:right w:val="none" w:sz="0" w:space="0" w:color="auto"/>
          </w:divBdr>
        </w:div>
      </w:divsChild>
    </w:div>
    <w:div w:id="1866862158">
      <w:bodyDiv w:val="1"/>
      <w:marLeft w:val="0"/>
      <w:marRight w:val="0"/>
      <w:marTop w:val="0"/>
      <w:marBottom w:val="0"/>
      <w:divBdr>
        <w:top w:val="none" w:sz="0" w:space="0" w:color="auto"/>
        <w:left w:val="none" w:sz="0" w:space="0" w:color="auto"/>
        <w:bottom w:val="none" w:sz="0" w:space="0" w:color="auto"/>
        <w:right w:val="none" w:sz="0" w:space="0" w:color="auto"/>
      </w:divBdr>
      <w:divsChild>
        <w:div w:id="748380189">
          <w:marLeft w:val="0"/>
          <w:marRight w:val="0"/>
          <w:marTop w:val="0"/>
          <w:marBottom w:val="0"/>
          <w:divBdr>
            <w:top w:val="none" w:sz="0" w:space="0" w:color="auto"/>
            <w:left w:val="none" w:sz="0" w:space="0" w:color="auto"/>
            <w:bottom w:val="none" w:sz="0" w:space="0" w:color="auto"/>
            <w:right w:val="none" w:sz="0" w:space="0" w:color="auto"/>
          </w:divBdr>
        </w:div>
      </w:divsChild>
    </w:div>
    <w:div w:id="2031255405">
      <w:bodyDiv w:val="1"/>
      <w:marLeft w:val="0"/>
      <w:marRight w:val="0"/>
      <w:marTop w:val="0"/>
      <w:marBottom w:val="0"/>
      <w:divBdr>
        <w:top w:val="none" w:sz="0" w:space="0" w:color="auto"/>
        <w:left w:val="none" w:sz="0" w:space="0" w:color="auto"/>
        <w:bottom w:val="none" w:sz="0" w:space="0" w:color="auto"/>
        <w:right w:val="none" w:sz="0" w:space="0" w:color="auto"/>
      </w:divBdr>
      <w:divsChild>
        <w:div w:id="892808682">
          <w:marLeft w:val="0"/>
          <w:marRight w:val="0"/>
          <w:marTop w:val="0"/>
          <w:marBottom w:val="0"/>
          <w:divBdr>
            <w:top w:val="none" w:sz="0" w:space="0" w:color="auto"/>
            <w:left w:val="none" w:sz="0" w:space="0" w:color="auto"/>
            <w:bottom w:val="none" w:sz="0" w:space="0" w:color="auto"/>
            <w:right w:val="none" w:sz="0" w:space="0" w:color="auto"/>
          </w:divBdr>
        </w:div>
      </w:divsChild>
    </w:div>
    <w:div w:id="2107530655">
      <w:bodyDiv w:val="1"/>
      <w:marLeft w:val="0"/>
      <w:marRight w:val="0"/>
      <w:marTop w:val="0"/>
      <w:marBottom w:val="0"/>
      <w:divBdr>
        <w:top w:val="none" w:sz="0" w:space="0" w:color="auto"/>
        <w:left w:val="none" w:sz="0" w:space="0" w:color="auto"/>
        <w:bottom w:val="none" w:sz="0" w:space="0" w:color="auto"/>
        <w:right w:val="none" w:sz="0" w:space="0" w:color="auto"/>
      </w:divBdr>
      <w:divsChild>
        <w:div w:id="538589108">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3C1F-16AA-4088-A100-A2B2DB9C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3890</Words>
  <Characters>21395</Characters>
  <Application>Microsoft Office Word</Application>
  <DocSecurity>0</DocSecurity>
  <Lines>178</Lines>
  <Paragraphs>50</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Claire VIALLE</cp:lastModifiedBy>
  <cp:revision>2</cp:revision>
  <cp:lastPrinted>2015-05-12T18:31:00Z</cp:lastPrinted>
  <dcterms:created xsi:type="dcterms:W3CDTF">2023-04-15T14:44:00Z</dcterms:created>
  <dcterms:modified xsi:type="dcterms:W3CDTF">2023-04-15T14:44:00Z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