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9609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29638928"/>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9609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96090">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8897016" w:rsidR="00E978D0" w:rsidRPr="00B57B36" w:rsidRDefault="00196090" w:rsidP="00E978D0">
      <w:pPr>
        <w:pStyle w:val="CETTitle"/>
      </w:pPr>
      <w:r w:rsidRPr="00196090">
        <w:t>Techno-Economic Analysis of the Syngas Conditioning from Biogas using PSA and PSWA: case study of methanol synthesis</w:t>
      </w:r>
    </w:p>
    <w:p w14:paraId="0488FED2" w14:textId="528D6EAD" w:rsidR="00B57E6F" w:rsidRPr="00AC603F" w:rsidRDefault="00196090" w:rsidP="00B57E6F">
      <w:pPr>
        <w:pStyle w:val="CETAuthors"/>
        <w:rPr>
          <w:lang w:val="pt-BR"/>
        </w:rPr>
      </w:pPr>
      <w:r w:rsidRPr="00AC603F">
        <w:rPr>
          <w:lang w:val="pt-BR"/>
        </w:rPr>
        <w:t>Rafael Santos</w:t>
      </w:r>
      <w:r w:rsidRPr="00AC603F">
        <w:rPr>
          <w:vertAlign w:val="superscript"/>
          <w:lang w:val="pt-BR"/>
        </w:rPr>
        <w:t>a</w:t>
      </w:r>
      <w:r w:rsidRPr="00AC603F">
        <w:rPr>
          <w:lang w:val="pt-BR"/>
        </w:rPr>
        <w:t>, Kristiano Prifti</w:t>
      </w:r>
      <w:r w:rsidRPr="00AC603F">
        <w:rPr>
          <w:vertAlign w:val="superscript"/>
          <w:lang w:val="pt-BR"/>
        </w:rPr>
        <w:t>b</w:t>
      </w:r>
      <w:r w:rsidRPr="00AC603F">
        <w:rPr>
          <w:lang w:val="pt-BR"/>
        </w:rPr>
        <w:t>, Diego Prata</w:t>
      </w:r>
      <w:r w:rsidRPr="00AC603F">
        <w:rPr>
          <w:vertAlign w:val="superscript"/>
          <w:lang w:val="pt-BR"/>
        </w:rPr>
        <w:t>c</w:t>
      </w:r>
      <w:r w:rsidRPr="00AC603F">
        <w:rPr>
          <w:lang w:val="pt-BR"/>
        </w:rPr>
        <w:t>, Argimiro Secchi</w:t>
      </w:r>
      <w:r w:rsidRPr="00AC603F">
        <w:rPr>
          <w:vertAlign w:val="superscript"/>
          <w:lang w:val="pt-BR"/>
        </w:rPr>
        <w:t>a</w:t>
      </w:r>
      <w:r w:rsidRPr="00AC603F">
        <w:rPr>
          <w:lang w:val="pt-BR"/>
        </w:rPr>
        <w:t>, Flavio Manenti</w:t>
      </w:r>
      <w:r w:rsidRPr="00AC603F">
        <w:rPr>
          <w:vertAlign w:val="superscript"/>
          <w:lang w:val="pt-BR"/>
        </w:rPr>
        <w:t>b</w:t>
      </w:r>
      <w:r w:rsidR="00B57E6F" w:rsidRPr="00AC603F">
        <w:rPr>
          <w:vertAlign w:val="superscript"/>
          <w:lang w:val="pt-BR"/>
        </w:rPr>
        <w:t>,</w:t>
      </w:r>
      <w:r w:rsidR="00B57E6F" w:rsidRPr="00AC603F">
        <w:rPr>
          <w:lang w:val="pt-BR"/>
        </w:rPr>
        <w:t xml:space="preserve">* </w:t>
      </w:r>
    </w:p>
    <w:p w14:paraId="7AFA365E" w14:textId="7A3F4468" w:rsidR="00196090" w:rsidRPr="00196090" w:rsidRDefault="00B57E6F" w:rsidP="00196090">
      <w:pPr>
        <w:pStyle w:val="CETAddress"/>
        <w:rPr>
          <w:lang w:val="pt-BR"/>
        </w:rPr>
      </w:pPr>
      <w:r w:rsidRPr="00196090">
        <w:rPr>
          <w:vertAlign w:val="superscript"/>
          <w:lang w:val="pt-BR"/>
        </w:rPr>
        <w:t>a</w:t>
      </w:r>
      <w:r w:rsidR="00196090" w:rsidRPr="00196090">
        <w:rPr>
          <w:lang w:val="pt-BR"/>
        </w:rPr>
        <w:t>Universidade Federal do Rio de Janeiro, Rua Moniz Aragão 360, Rio de Janeiro, Brazil</w:t>
      </w:r>
    </w:p>
    <w:p w14:paraId="6C04ABF5" w14:textId="77777777" w:rsidR="00196090" w:rsidRPr="00196090" w:rsidRDefault="00196090" w:rsidP="00196090">
      <w:pPr>
        <w:pStyle w:val="CETAddress"/>
        <w:rPr>
          <w:lang w:val="it-IT"/>
        </w:rPr>
      </w:pPr>
      <w:r w:rsidRPr="00196090">
        <w:rPr>
          <w:vertAlign w:val="superscript"/>
          <w:lang w:val="it-IT"/>
        </w:rPr>
        <w:t>b</w:t>
      </w:r>
      <w:r w:rsidRPr="00196090">
        <w:rPr>
          <w:lang w:val="it-IT"/>
        </w:rPr>
        <w:t>Politecnico di Milano, Piazza Leonardo da Vinci 32, 20133 Milano</w:t>
      </w:r>
    </w:p>
    <w:p w14:paraId="0A45C0EE" w14:textId="77777777" w:rsidR="00196090" w:rsidRPr="00196090" w:rsidRDefault="00196090" w:rsidP="00196090">
      <w:pPr>
        <w:pStyle w:val="CETAddress"/>
        <w:rPr>
          <w:lang w:val="pt-BR"/>
        </w:rPr>
      </w:pPr>
      <w:r w:rsidRPr="00196090">
        <w:rPr>
          <w:vertAlign w:val="superscript"/>
          <w:lang w:val="pt-BR"/>
        </w:rPr>
        <w:t>c</w:t>
      </w:r>
      <w:r w:rsidRPr="00196090">
        <w:rPr>
          <w:lang w:val="pt-BR"/>
        </w:rPr>
        <w:t>Universidade Federal Fluminense, Rua Passo da Pátria 156, Niterói, Brazil</w:t>
      </w:r>
    </w:p>
    <w:p w14:paraId="73F1267A" w14:textId="11742B31" w:rsidR="00B57E6F" w:rsidRPr="00B57B36" w:rsidRDefault="00196090" w:rsidP="00B57E6F">
      <w:pPr>
        <w:pStyle w:val="CETemail"/>
      </w:pPr>
      <w:r w:rsidRPr="00196090">
        <w:t>flavio.manenti@polimi.it</w:t>
      </w:r>
    </w:p>
    <w:p w14:paraId="63582060" w14:textId="5ADDFDB7" w:rsidR="001017C8" w:rsidRPr="00B57B36" w:rsidRDefault="00196090" w:rsidP="001017C8">
      <w:pPr>
        <w:pStyle w:val="CETBodytext"/>
        <w:rPr>
          <w:lang w:val="en-GB"/>
        </w:rPr>
      </w:pPr>
      <w:r w:rsidRPr="00196090">
        <w:rPr>
          <w:lang w:val="en-GB"/>
        </w:rPr>
        <w:t xml:space="preserve">The use of biogas as renewable source for syngas production has been gaining attention in recent years, representing an alternative clean and sustainable path from fossil fuels. Syngas is used as feedstock for a large number of chemicals and the required composition will be defined based on the desired product. Thus, a syngas conditioning step is essential to ensure the necessary stoichiometric ratio. This work </w:t>
      </w:r>
      <w:r w:rsidR="00AC603F" w:rsidRPr="00196090">
        <w:rPr>
          <w:lang w:val="en-GB"/>
        </w:rPr>
        <w:t>analyses</w:t>
      </w:r>
      <w:r w:rsidRPr="00196090">
        <w:rPr>
          <w:lang w:val="en-GB"/>
        </w:rPr>
        <w:t xml:space="preserve"> the use of pressure swing adsorption (PSA) and pressure swing water absorption (PSWA) units for the conditioning of the syngas to evaluate the impact of the use of cleaner carbon capture technologies. A 100 </w:t>
      </w:r>
      <w:proofErr w:type="spellStart"/>
      <w:r w:rsidRPr="00196090">
        <w:rPr>
          <w:lang w:val="en-GB"/>
        </w:rPr>
        <w:t>kmol</w:t>
      </w:r>
      <w:proofErr w:type="spellEnd"/>
      <w:r w:rsidRPr="00196090">
        <w:rPr>
          <w:lang w:val="en-GB"/>
        </w:rPr>
        <w:t>/h biogas plant was simulated to evaluate the technical and economic aspects of the syngas synthesis process. Aspen HYSYS V11 was used to simulate the reform</w:t>
      </w:r>
      <w:r w:rsidR="001017C8">
        <w:rPr>
          <w:lang w:val="en-GB"/>
        </w:rPr>
        <w:t>ing</w:t>
      </w:r>
      <w:r w:rsidRPr="00196090">
        <w:rPr>
          <w:lang w:val="en-GB"/>
        </w:rPr>
        <w:t xml:space="preserve"> and condition</w:t>
      </w:r>
      <w:r w:rsidR="001017C8">
        <w:rPr>
          <w:lang w:val="en-GB"/>
        </w:rPr>
        <w:t>ing</w:t>
      </w:r>
      <w:r w:rsidRPr="00196090">
        <w:rPr>
          <w:lang w:val="en-GB"/>
        </w:rPr>
        <w:t xml:space="preserve"> s</w:t>
      </w:r>
      <w:r w:rsidR="001017C8">
        <w:rPr>
          <w:lang w:val="en-GB"/>
        </w:rPr>
        <w:t>ection</w:t>
      </w:r>
      <w:r w:rsidRPr="00196090">
        <w:rPr>
          <w:lang w:val="en-GB"/>
        </w:rPr>
        <w:t xml:space="preserve">s. As a case study, syngas for methanol synthesis was chosen. </w:t>
      </w:r>
      <w:r w:rsidR="001017C8">
        <w:rPr>
          <w:lang w:val="en-GB"/>
        </w:rPr>
        <w:t>A</w:t>
      </w:r>
      <w:r w:rsidRPr="00196090">
        <w:rPr>
          <w:lang w:val="en-GB"/>
        </w:rPr>
        <w:t xml:space="preserve"> sensitivity analysis on the most biogas composition </w:t>
      </w:r>
      <w:r w:rsidR="001017C8">
        <w:rPr>
          <w:lang w:val="en-GB"/>
        </w:rPr>
        <w:t>was performed</w:t>
      </w:r>
      <w:r w:rsidRPr="00196090">
        <w:rPr>
          <w:lang w:val="en-GB"/>
        </w:rPr>
        <w:t xml:space="preserve"> to study the impact on process costs and technical parameters.</w:t>
      </w:r>
      <w:r w:rsidR="001017C8" w:rsidRPr="001017C8">
        <w:rPr>
          <w:lang w:val="en-GB"/>
        </w:rPr>
        <w:t xml:space="preserve"> </w:t>
      </w:r>
      <w:r w:rsidR="001017C8" w:rsidRPr="00196090">
        <w:rPr>
          <w:lang w:val="en-GB"/>
        </w:rPr>
        <w:t xml:space="preserve">The </w:t>
      </w:r>
      <w:r w:rsidR="001017C8">
        <w:rPr>
          <w:lang w:val="en-GB"/>
        </w:rPr>
        <w:t xml:space="preserve">results shows that the PSA is slightly less expensive, but the difference of overall costs </w:t>
      </w:r>
      <w:r w:rsidR="009809B0">
        <w:rPr>
          <w:lang w:val="en-GB"/>
        </w:rPr>
        <w:t>is</w:t>
      </w:r>
      <w:r w:rsidR="001017C8">
        <w:rPr>
          <w:lang w:val="en-GB"/>
        </w:rPr>
        <w:t xml:space="preserve"> less than 2% between both technologies. In addition, the PSWA </w:t>
      </w:r>
      <w:r w:rsidR="007D0B4F">
        <w:rPr>
          <w:lang w:val="en-GB"/>
        </w:rPr>
        <w:t>pathway</w:t>
      </w:r>
      <w:r w:rsidR="001017C8">
        <w:rPr>
          <w:lang w:val="en-GB"/>
        </w:rPr>
        <w:t xml:space="preserve"> showed </w:t>
      </w:r>
      <w:r w:rsidR="007D0B4F">
        <w:rPr>
          <w:lang w:val="en-GB"/>
        </w:rPr>
        <w:t>a</w:t>
      </w:r>
      <w:r w:rsidR="001017C8">
        <w:rPr>
          <w:lang w:val="en-GB"/>
        </w:rPr>
        <w:t xml:space="preserve"> </w:t>
      </w:r>
      <w:r w:rsidR="009809B0">
        <w:rPr>
          <w:lang w:val="en-GB"/>
        </w:rPr>
        <w:t>de</w:t>
      </w:r>
      <w:r w:rsidR="001017C8">
        <w:rPr>
          <w:lang w:val="en-GB"/>
        </w:rPr>
        <w:t xml:space="preserve">crease in energy </w:t>
      </w:r>
      <w:r w:rsidR="009809B0">
        <w:rPr>
          <w:lang w:val="en-GB"/>
        </w:rPr>
        <w:t>consumption</w:t>
      </w:r>
      <w:r w:rsidR="001017C8">
        <w:rPr>
          <w:lang w:val="en-GB"/>
        </w:rPr>
        <w:t xml:space="preserve"> with a biogas with higher methane content</w:t>
      </w:r>
      <w:r w:rsidR="007D0B4F">
        <w:rPr>
          <w:lang w:val="en-GB"/>
        </w:rPr>
        <w:t>, while the PSA pathway maintained around the same energy consumption level</w:t>
      </w:r>
      <w:r w:rsidR="001017C8">
        <w:rPr>
          <w:lang w:val="en-GB"/>
        </w:rPr>
        <w:t>.</w:t>
      </w:r>
    </w:p>
    <w:p w14:paraId="45B9925E" w14:textId="46DEFF2E" w:rsidR="00196090" w:rsidRPr="00B57B36" w:rsidRDefault="00196090" w:rsidP="00600535">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2AE0DBF4" w14:textId="6B83BE8C" w:rsidR="00196090" w:rsidRDefault="00D82EB0" w:rsidP="00196090">
      <w:pPr>
        <w:pStyle w:val="CETBodytext"/>
        <w:rPr>
          <w:lang w:val="en-GB"/>
        </w:rPr>
      </w:pPr>
      <w:r w:rsidRPr="00D82EB0">
        <w:rPr>
          <w:lang w:val="en-GB"/>
        </w:rPr>
        <w:t>Bi</w:t>
      </w:r>
      <w:r>
        <w:rPr>
          <w:lang w:val="en-GB"/>
        </w:rPr>
        <w:t>ogas</w:t>
      </w:r>
      <w:r w:rsidR="003C3CB7">
        <w:rPr>
          <w:lang w:val="en-GB"/>
        </w:rPr>
        <w:t xml:space="preserve">, a gaseous mixture obtained by the anaerobic digestion of biomass, is an important </w:t>
      </w:r>
      <w:r w:rsidR="003C3CB7" w:rsidRPr="00D82EB0">
        <w:rPr>
          <w:lang w:val="en-GB"/>
        </w:rPr>
        <w:t xml:space="preserve">renewable source </w:t>
      </w:r>
      <w:r w:rsidR="003C3CB7">
        <w:rPr>
          <w:lang w:val="en-GB"/>
        </w:rPr>
        <w:t>for s</w:t>
      </w:r>
      <w:r w:rsidR="00196090" w:rsidRPr="00196090">
        <w:rPr>
          <w:lang w:val="en-GB"/>
        </w:rPr>
        <w:t xml:space="preserve">yngas </w:t>
      </w:r>
      <w:r w:rsidR="003C3CB7">
        <w:rPr>
          <w:lang w:val="en-GB"/>
        </w:rPr>
        <w:t>generation. Syngas, a mixture of hydrogen and carbon oxides, can be used to produce a diverse range of</w:t>
      </w:r>
      <w:r w:rsidR="00196090" w:rsidRPr="00196090">
        <w:rPr>
          <w:lang w:val="en-GB"/>
        </w:rPr>
        <w:t xml:space="preserve"> chemicals such as methanol, DME and olefins (Santos et a</w:t>
      </w:r>
      <w:r w:rsidR="00807DBB">
        <w:rPr>
          <w:lang w:val="en-GB"/>
        </w:rPr>
        <w:t>l</w:t>
      </w:r>
      <w:r w:rsidR="00196090" w:rsidRPr="00196090">
        <w:rPr>
          <w:lang w:val="en-GB"/>
        </w:rPr>
        <w:t xml:space="preserve">., 2018). </w:t>
      </w:r>
      <w:r w:rsidR="003C3CB7">
        <w:rPr>
          <w:lang w:val="en-GB"/>
        </w:rPr>
        <w:t xml:space="preserve"> Since each technology needs a different syngas composition, most syngas synthesis processes have a c</w:t>
      </w:r>
      <w:r w:rsidR="00196090" w:rsidRPr="00196090">
        <w:rPr>
          <w:lang w:val="en-GB"/>
        </w:rPr>
        <w:t xml:space="preserve">onditioning step </w:t>
      </w:r>
      <w:r w:rsidR="003C3CB7">
        <w:rPr>
          <w:lang w:val="en-GB"/>
        </w:rPr>
        <w:t>in which the stoichiometric ratio between components is adjusted to the required value</w:t>
      </w:r>
      <w:r w:rsidR="00196090" w:rsidRPr="00196090">
        <w:rPr>
          <w:lang w:val="en-GB"/>
        </w:rPr>
        <w:t>.</w:t>
      </w:r>
      <w:r w:rsidR="00AB24E3">
        <w:rPr>
          <w:lang w:val="en-GB"/>
        </w:rPr>
        <w:t xml:space="preserve"> The </w:t>
      </w:r>
      <w:r w:rsidR="005D1A45">
        <w:rPr>
          <w:lang w:val="en-GB"/>
        </w:rPr>
        <w:t>stoichiometric</w:t>
      </w:r>
      <w:r w:rsidR="00AB24E3">
        <w:rPr>
          <w:lang w:val="en-GB"/>
        </w:rPr>
        <w:t xml:space="preserve"> number (SN) can be calculated by </w:t>
      </w:r>
      <w:proofErr w:type="spellStart"/>
      <w:proofErr w:type="gramStart"/>
      <w:r w:rsidR="00AB24E3">
        <w:rPr>
          <w:lang w:val="en-GB"/>
        </w:rPr>
        <w:t>Eq</w:t>
      </w:r>
      <w:proofErr w:type="spellEnd"/>
      <w:r w:rsidR="00AB24E3">
        <w:rPr>
          <w:lang w:val="en-GB"/>
        </w:rPr>
        <w:t>(</w:t>
      </w:r>
      <w:proofErr w:type="gramEnd"/>
      <w:r w:rsidR="00AB24E3">
        <w:rPr>
          <w:lang w:val="en-GB"/>
        </w:rPr>
        <w:t>1)</w:t>
      </w:r>
      <w:r w:rsidR="009B0616">
        <w:rPr>
          <w:lang w:val="en-GB"/>
        </w:rPr>
        <w:t>.</w:t>
      </w:r>
    </w:p>
    <w:tbl>
      <w:tblPr>
        <w:tblW w:w="5000" w:type="pct"/>
        <w:tblLook w:val="04A0" w:firstRow="1" w:lastRow="0" w:firstColumn="1" w:lastColumn="0" w:noHBand="0" w:noVBand="1"/>
      </w:tblPr>
      <w:tblGrid>
        <w:gridCol w:w="7983"/>
        <w:gridCol w:w="804"/>
      </w:tblGrid>
      <w:tr w:rsidR="00AB24E3" w:rsidRPr="00B57B36" w14:paraId="22A99C36" w14:textId="77777777" w:rsidTr="008059F6">
        <w:tc>
          <w:tcPr>
            <w:tcW w:w="8188" w:type="dxa"/>
            <w:shd w:val="clear" w:color="auto" w:fill="auto"/>
            <w:vAlign w:val="center"/>
          </w:tcPr>
          <w:p w14:paraId="22BE8228" w14:textId="1968921E" w:rsidR="00AB24E3" w:rsidRPr="00AB24E3" w:rsidRDefault="00AB24E3" w:rsidP="008059F6">
            <w:pPr>
              <w:pStyle w:val="CETEquation"/>
            </w:pPr>
            <m:oMathPara>
              <m:oMathParaPr>
                <m:jc m:val="left"/>
              </m:oMathParaPr>
              <m:oMath>
                <m:r>
                  <w:rPr>
                    <w:rFonts w:ascii="Cambria Math" w:eastAsiaTheme="minorEastAsia" w:hAnsi="Cambria Math" w:cs="Arial"/>
                    <w:szCs w:val="18"/>
                  </w:rPr>
                  <m:t>SN =</m:t>
                </m:r>
                <m:r>
                  <m:rPr>
                    <m:nor/>
                  </m:rPr>
                  <w:rPr>
                    <w:rFonts w:eastAsiaTheme="minorEastAsia" w:cs="Arial"/>
                    <w:szCs w:val="18"/>
                  </w:rPr>
                  <m:t xml:space="preserve"> </m:t>
                </m:r>
                <m:f>
                  <m:fPr>
                    <m:ctrlPr>
                      <w:rPr>
                        <w:rFonts w:ascii="Cambria Math" w:hAnsi="Cambria Math" w:cs="Arial"/>
                        <w:szCs w:val="18"/>
                      </w:rPr>
                    </m:ctrlPr>
                  </m:fPr>
                  <m:num>
                    <m:sSub>
                      <m:sSubPr>
                        <m:ctrlPr>
                          <w:rPr>
                            <w:rFonts w:ascii="Cambria Math" w:eastAsiaTheme="minorEastAsia" w:hAnsi="Cambria Math" w:cs="Arial"/>
                            <w:szCs w:val="18"/>
                          </w:rPr>
                        </m:ctrlPr>
                      </m:sSubPr>
                      <m:e>
                        <m:r>
                          <w:rPr>
                            <w:rFonts w:ascii="Cambria Math" w:eastAsiaTheme="minorEastAsia" w:hAnsi="Cambria Math" w:cs="Arial"/>
                            <w:szCs w:val="18"/>
                          </w:rPr>
                          <m:t>H</m:t>
                        </m:r>
                      </m:e>
                      <m:sub>
                        <m:r>
                          <w:rPr>
                            <w:rFonts w:ascii="Cambria Math" w:eastAsiaTheme="minorEastAsia" w:hAnsi="Cambria Math" w:cs="Arial"/>
                            <w:szCs w:val="18"/>
                          </w:rPr>
                          <m:t>2</m:t>
                        </m:r>
                      </m:sub>
                    </m:sSub>
                    <m:r>
                      <w:rPr>
                        <w:rFonts w:ascii="Cambria Math" w:eastAsiaTheme="minorEastAsia" w:hAnsi="Cambria Math" w:cs="Arial"/>
                        <w:szCs w:val="18"/>
                      </w:rPr>
                      <m:t>-</m:t>
                    </m:r>
                    <m:sSub>
                      <m:sSubPr>
                        <m:ctrlPr>
                          <w:rPr>
                            <w:rFonts w:ascii="Cambria Math" w:eastAsiaTheme="minorEastAsia" w:hAnsi="Cambria Math" w:cs="Arial"/>
                            <w:szCs w:val="18"/>
                          </w:rPr>
                        </m:ctrlPr>
                      </m:sSubPr>
                      <m:e>
                        <m:r>
                          <w:rPr>
                            <w:rFonts w:ascii="Cambria Math" w:eastAsiaTheme="minorEastAsia" w:hAnsi="Cambria Math" w:cs="Arial"/>
                            <w:szCs w:val="18"/>
                          </w:rPr>
                          <m:t>CO</m:t>
                        </m:r>
                      </m:e>
                      <m:sub>
                        <m:r>
                          <w:rPr>
                            <w:rFonts w:ascii="Cambria Math" w:eastAsiaTheme="minorEastAsia" w:hAnsi="Cambria Math" w:cs="Arial"/>
                            <w:szCs w:val="18"/>
                          </w:rPr>
                          <m:t>2</m:t>
                        </m:r>
                      </m:sub>
                    </m:sSub>
                  </m:num>
                  <m:den>
                    <m:r>
                      <w:rPr>
                        <w:rFonts w:ascii="Cambria Math" w:eastAsiaTheme="minorEastAsia" w:hAnsi="Cambria Math" w:cs="Arial"/>
                        <w:szCs w:val="18"/>
                      </w:rPr>
                      <m:t>CO +</m:t>
                    </m:r>
                    <m:r>
                      <m:rPr>
                        <m:nor/>
                      </m:rPr>
                      <w:rPr>
                        <w:rFonts w:ascii="Cambria Math" w:eastAsiaTheme="minorEastAsia" w:hAnsi="Cambria Math" w:cs="Arial"/>
                        <w:szCs w:val="18"/>
                      </w:rPr>
                      <m:t xml:space="preserve"> </m:t>
                    </m:r>
                    <m:sSub>
                      <m:sSubPr>
                        <m:ctrlPr>
                          <w:rPr>
                            <w:rFonts w:ascii="Cambria Math" w:eastAsiaTheme="minorEastAsia" w:hAnsi="Cambria Math" w:cs="Arial"/>
                            <w:szCs w:val="18"/>
                          </w:rPr>
                        </m:ctrlPr>
                      </m:sSubPr>
                      <m:e>
                        <m:r>
                          <w:rPr>
                            <w:rFonts w:ascii="Cambria Math" w:eastAsiaTheme="minorEastAsia" w:hAnsi="Cambria Math" w:cs="Arial"/>
                            <w:szCs w:val="18"/>
                          </w:rPr>
                          <m:t>CO</m:t>
                        </m:r>
                      </m:e>
                      <m:sub>
                        <m:r>
                          <w:rPr>
                            <w:rFonts w:ascii="Cambria Math" w:eastAsiaTheme="minorEastAsia" w:hAnsi="Cambria Math" w:cs="Arial"/>
                            <w:szCs w:val="18"/>
                          </w:rPr>
                          <m:t>2</m:t>
                        </m:r>
                      </m:sub>
                    </m:sSub>
                  </m:den>
                </m:f>
              </m:oMath>
            </m:oMathPara>
          </w:p>
        </w:tc>
        <w:tc>
          <w:tcPr>
            <w:tcW w:w="815" w:type="dxa"/>
            <w:shd w:val="clear" w:color="auto" w:fill="auto"/>
            <w:vAlign w:val="center"/>
          </w:tcPr>
          <w:p w14:paraId="0193EAF6" w14:textId="77777777" w:rsidR="00AB24E3" w:rsidRPr="00B57B36" w:rsidRDefault="00AB24E3" w:rsidP="008059F6">
            <w:pPr>
              <w:pStyle w:val="CETEquation"/>
              <w:jc w:val="right"/>
            </w:pPr>
            <w:r w:rsidRPr="00B57B36">
              <w:t>(1)</w:t>
            </w:r>
          </w:p>
        </w:tc>
      </w:tr>
    </w:tbl>
    <w:p w14:paraId="7FB2A6F1" w14:textId="77777777" w:rsidR="003C3CB7" w:rsidRDefault="00196090" w:rsidP="00196090">
      <w:pPr>
        <w:pStyle w:val="CETBodytext"/>
        <w:rPr>
          <w:lang w:val="en-GB"/>
        </w:rPr>
      </w:pPr>
      <w:r w:rsidRPr="00196090">
        <w:rPr>
          <w:lang w:val="en-GB"/>
        </w:rPr>
        <w:t>Current conventional carbon capture technologies are mostly based on chemical absorption, adsorption or membrane-based separation (Munoz et al., 2015). Chemical absorption involves the dissolution of CO</w:t>
      </w:r>
      <w:r w:rsidRPr="005D1A45">
        <w:rPr>
          <w:vertAlign w:val="subscript"/>
          <w:lang w:val="en-GB"/>
        </w:rPr>
        <w:t>2</w:t>
      </w:r>
      <w:r w:rsidRPr="00196090">
        <w:rPr>
          <w:lang w:val="en-GB"/>
        </w:rPr>
        <w:t xml:space="preserve"> in solvents, commonly amine solutions. These processes have a high energetic demand and the use of chemical solvents means also the need to account for toxicity and refined control during plant operation.  In this context, pressure swing adsorption (PSA) and pressure swing water absorption (PSWA) are clean alternatives, as their operation is less complex and there is no presence of toxic chemicals, making it more advantageous for small scale plants.</w:t>
      </w:r>
    </w:p>
    <w:p w14:paraId="4A1E65E5" w14:textId="77777777" w:rsidR="003C3CB7" w:rsidRDefault="003C3CB7" w:rsidP="00196090">
      <w:pPr>
        <w:pStyle w:val="CETBodytext"/>
        <w:rPr>
          <w:lang w:val="en-GB"/>
        </w:rPr>
      </w:pPr>
    </w:p>
    <w:p w14:paraId="329E1675" w14:textId="10A2D71D" w:rsidR="00237317" w:rsidRDefault="003C3CB7" w:rsidP="00196090">
      <w:pPr>
        <w:pStyle w:val="CETBodytext"/>
        <w:rPr>
          <w:lang w:val="en-GB"/>
        </w:rPr>
      </w:pPr>
      <w:r>
        <w:rPr>
          <w:lang w:val="en-GB"/>
        </w:rPr>
        <w:t xml:space="preserve">In this work, a syngas generation plant from biogas is investigated, using PSA and PSWA units as possible configuration for the syngas conditioning step. </w:t>
      </w:r>
      <w:r w:rsidR="00237317">
        <w:rPr>
          <w:lang w:val="en-GB"/>
        </w:rPr>
        <w:t xml:space="preserve">Syngas with </w:t>
      </w:r>
      <w:r>
        <w:rPr>
          <w:lang w:val="en-GB"/>
        </w:rPr>
        <w:t xml:space="preserve">properties </w:t>
      </w:r>
      <w:r w:rsidR="00237317">
        <w:rPr>
          <w:lang w:val="en-GB"/>
        </w:rPr>
        <w:t xml:space="preserve">needed for </w:t>
      </w:r>
      <w:r>
        <w:rPr>
          <w:lang w:val="en-GB"/>
        </w:rPr>
        <w:t>m</w:t>
      </w:r>
      <w:r w:rsidR="00196090" w:rsidRPr="00196090">
        <w:rPr>
          <w:lang w:val="en-GB"/>
        </w:rPr>
        <w:t>ethanol</w:t>
      </w:r>
      <w:r w:rsidR="00237317">
        <w:rPr>
          <w:lang w:val="en-GB"/>
        </w:rPr>
        <w:t xml:space="preserve"> production was </w:t>
      </w:r>
      <w:r w:rsidR="00237317">
        <w:rPr>
          <w:lang w:val="en-GB"/>
        </w:rPr>
        <w:lastRenderedPageBreak/>
        <w:t>chosen as a case study. Methanol is</w:t>
      </w:r>
      <w:r>
        <w:rPr>
          <w:lang w:val="en-GB"/>
        </w:rPr>
        <w:t xml:space="preserve"> </w:t>
      </w:r>
      <w:r w:rsidR="00196090" w:rsidRPr="00196090">
        <w:rPr>
          <w:lang w:val="en-GB"/>
        </w:rPr>
        <w:t>an important chemical that can be used as solvent, fuel and as a feedstock for a distinct range of industrial sector such as plastics, coatings and explosives.</w:t>
      </w:r>
      <w:r>
        <w:rPr>
          <w:lang w:val="en-GB"/>
        </w:rPr>
        <w:t xml:space="preserve"> </w:t>
      </w:r>
      <w:r w:rsidR="00196090" w:rsidRPr="00196090">
        <w:rPr>
          <w:lang w:val="en-GB"/>
        </w:rPr>
        <w:t xml:space="preserve">The optimal reaction conditions require the </w:t>
      </w:r>
      <w:r w:rsidR="00237317">
        <w:rPr>
          <w:lang w:val="en-GB"/>
        </w:rPr>
        <w:t xml:space="preserve">syngas </w:t>
      </w:r>
      <w:r w:rsidR="00196090" w:rsidRPr="00196090">
        <w:rPr>
          <w:lang w:val="en-GB"/>
        </w:rPr>
        <w:t xml:space="preserve">stochiometric number to have a value </w:t>
      </w:r>
      <w:r w:rsidR="00845167">
        <w:rPr>
          <w:lang w:val="en-GB"/>
        </w:rPr>
        <w:t>around</w:t>
      </w:r>
      <w:r w:rsidR="00196090" w:rsidRPr="00196090">
        <w:rPr>
          <w:lang w:val="en-GB"/>
        </w:rPr>
        <w:t xml:space="preserve"> 2 (</w:t>
      </w:r>
      <w:proofErr w:type="spellStart"/>
      <w:r w:rsidR="00196090" w:rsidRPr="00196090">
        <w:rPr>
          <w:lang w:val="en-GB"/>
        </w:rPr>
        <w:t>Bozzano</w:t>
      </w:r>
      <w:proofErr w:type="spellEnd"/>
      <w:r w:rsidR="00196090" w:rsidRPr="00196090">
        <w:rPr>
          <w:lang w:val="en-GB"/>
        </w:rPr>
        <w:t xml:space="preserve"> and </w:t>
      </w:r>
      <w:proofErr w:type="spellStart"/>
      <w:r w:rsidR="00196090" w:rsidRPr="00196090">
        <w:rPr>
          <w:lang w:val="en-GB"/>
        </w:rPr>
        <w:t>Manenti</w:t>
      </w:r>
      <w:proofErr w:type="spellEnd"/>
      <w:r w:rsidR="00196090" w:rsidRPr="00196090">
        <w:rPr>
          <w:lang w:val="en-GB"/>
        </w:rPr>
        <w:t>, 2016).</w:t>
      </w:r>
      <w:r w:rsidR="00237317">
        <w:rPr>
          <w:lang w:val="en-GB"/>
        </w:rPr>
        <w:t xml:space="preserve"> </w:t>
      </w:r>
    </w:p>
    <w:p w14:paraId="62FEDD25" w14:textId="77777777" w:rsidR="00237317" w:rsidRDefault="00237317" w:rsidP="00237317">
      <w:pPr>
        <w:pStyle w:val="CETHeading1"/>
      </w:pPr>
      <w:r w:rsidRPr="00711B02">
        <w:t>Methods</w:t>
      </w:r>
    </w:p>
    <w:p w14:paraId="490015C6" w14:textId="60448A85" w:rsidR="008C2033" w:rsidRDefault="008C2033" w:rsidP="00237317">
      <w:pPr>
        <w:pStyle w:val="CETBodytext"/>
        <w:rPr>
          <w:lang w:val="en-GB"/>
        </w:rPr>
      </w:pPr>
      <w:r w:rsidRPr="008C2033">
        <w:rPr>
          <w:lang w:val="en-GB"/>
        </w:rPr>
        <w:t xml:space="preserve">The </w:t>
      </w:r>
      <w:r>
        <w:rPr>
          <w:lang w:val="en-GB"/>
        </w:rPr>
        <w:t>syngas</w:t>
      </w:r>
      <w:r w:rsidRPr="008C2033">
        <w:rPr>
          <w:lang w:val="en-GB"/>
        </w:rPr>
        <w:t xml:space="preserve"> synthesis process can be divided into t</w:t>
      </w:r>
      <w:r>
        <w:rPr>
          <w:lang w:val="en-GB"/>
        </w:rPr>
        <w:t>wo</w:t>
      </w:r>
      <w:r w:rsidRPr="008C2033">
        <w:rPr>
          <w:lang w:val="en-GB"/>
        </w:rPr>
        <w:t xml:space="preserve"> main steps: the syngas generation from the biogas reforming</w:t>
      </w:r>
      <w:r>
        <w:rPr>
          <w:lang w:val="en-GB"/>
        </w:rPr>
        <w:t xml:space="preserve"> and</w:t>
      </w:r>
      <w:r w:rsidRPr="008C2033">
        <w:rPr>
          <w:lang w:val="en-GB"/>
        </w:rPr>
        <w:t xml:space="preserve"> the </w:t>
      </w:r>
      <w:r>
        <w:rPr>
          <w:lang w:val="en-GB"/>
        </w:rPr>
        <w:t>syngas conditioning</w:t>
      </w:r>
      <w:r w:rsidRPr="008C2033">
        <w:rPr>
          <w:lang w:val="en-GB"/>
        </w:rPr>
        <w:t xml:space="preserve">. The process </w:t>
      </w:r>
      <w:r>
        <w:rPr>
          <w:lang w:val="en-GB"/>
        </w:rPr>
        <w:t>super</w:t>
      </w:r>
      <w:r w:rsidRPr="008C2033">
        <w:rPr>
          <w:lang w:val="en-GB"/>
        </w:rPr>
        <w:t>structure</w:t>
      </w:r>
      <w:r>
        <w:rPr>
          <w:lang w:val="en-GB"/>
        </w:rPr>
        <w:t xml:space="preserve"> is shown in</w:t>
      </w:r>
      <w:r w:rsidRPr="008C2033">
        <w:rPr>
          <w:lang w:val="en-GB"/>
        </w:rPr>
        <w:t xml:space="preserve"> Fig</w:t>
      </w:r>
      <w:r>
        <w:rPr>
          <w:lang w:val="en-GB"/>
        </w:rPr>
        <w:t>ure</w:t>
      </w:r>
      <w:r w:rsidRPr="008C2033">
        <w:rPr>
          <w:lang w:val="en-GB"/>
        </w:rPr>
        <w:t xml:space="preserve"> 1.</w:t>
      </w:r>
      <w:r w:rsidR="00807DBB" w:rsidRPr="00807DBB">
        <w:rPr>
          <w:lang w:val="en-GB"/>
        </w:rPr>
        <w:t xml:space="preserve"> In this work, a biogas with a CH</w:t>
      </w:r>
      <w:r w:rsidR="00807DBB" w:rsidRPr="00807DBB">
        <w:rPr>
          <w:vertAlign w:val="subscript"/>
          <w:lang w:val="en-GB"/>
        </w:rPr>
        <w:t>4</w:t>
      </w:r>
      <w:r w:rsidR="00807DBB" w:rsidRPr="00807DBB">
        <w:rPr>
          <w:lang w:val="en-GB"/>
        </w:rPr>
        <w:t>/CO</w:t>
      </w:r>
      <w:r w:rsidR="00807DBB" w:rsidRPr="00807DBB">
        <w:rPr>
          <w:vertAlign w:val="subscript"/>
          <w:lang w:val="en-GB"/>
        </w:rPr>
        <w:t>2</w:t>
      </w:r>
      <w:r w:rsidR="00807DBB" w:rsidRPr="00807DBB">
        <w:rPr>
          <w:lang w:val="en-GB"/>
        </w:rPr>
        <w:t xml:space="preserve"> ratio of 1.5 is utilized</w:t>
      </w:r>
      <w:r w:rsidR="00AB24E3">
        <w:rPr>
          <w:lang w:val="en-GB"/>
        </w:rPr>
        <w:t xml:space="preserve"> for the base case</w:t>
      </w:r>
      <w:r w:rsidR="00807DBB" w:rsidRPr="00807DBB">
        <w:rPr>
          <w:lang w:val="en-GB"/>
        </w:rPr>
        <w:t xml:space="preserve">, based on the average composition of biogas from different sources </w:t>
      </w:r>
      <w:r w:rsidR="00807DBB" w:rsidRPr="00196090">
        <w:rPr>
          <w:lang w:val="en-GB"/>
        </w:rPr>
        <w:t>(Santos et a</w:t>
      </w:r>
      <w:r w:rsidR="00807DBB">
        <w:rPr>
          <w:lang w:val="en-GB"/>
        </w:rPr>
        <w:t>l</w:t>
      </w:r>
      <w:r w:rsidR="00807DBB" w:rsidRPr="00196090">
        <w:rPr>
          <w:lang w:val="en-GB"/>
        </w:rPr>
        <w:t xml:space="preserve">., 2018). </w:t>
      </w:r>
      <w:r w:rsidR="00807DBB">
        <w:rPr>
          <w:lang w:val="en-GB"/>
        </w:rPr>
        <w:t xml:space="preserve"> </w:t>
      </w:r>
    </w:p>
    <w:p w14:paraId="2F91494E" w14:textId="21775FA0" w:rsidR="008C2033" w:rsidRPr="00B57B36" w:rsidRDefault="009A32EA" w:rsidP="008C2033">
      <w:pPr>
        <w:pStyle w:val="CETCaption"/>
      </w:pPr>
      <w:r>
        <w:rPr>
          <w:noProof/>
        </w:rPr>
        <w:drawing>
          <wp:inline distT="0" distB="0" distL="0" distR="0" wp14:anchorId="7110F051" wp14:editId="3A0308DA">
            <wp:extent cx="557212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1304925"/>
                    </a:xfrm>
                    <a:prstGeom prst="rect">
                      <a:avLst/>
                    </a:prstGeom>
                    <a:noFill/>
                    <a:ln>
                      <a:noFill/>
                    </a:ln>
                  </pic:spPr>
                </pic:pic>
              </a:graphicData>
            </a:graphic>
          </wp:inline>
        </w:drawing>
      </w:r>
    </w:p>
    <w:p w14:paraId="6E472F9A" w14:textId="7538731F" w:rsidR="008C2033" w:rsidRDefault="008C2033" w:rsidP="0083055E">
      <w:pPr>
        <w:pStyle w:val="CETCaption"/>
      </w:pPr>
      <w:r w:rsidRPr="00BD077D">
        <w:rPr>
          <w:rStyle w:val="CETCaptionCarattere"/>
          <w:i/>
        </w:rPr>
        <w:t xml:space="preserve">Figure 1: </w:t>
      </w:r>
      <w:r>
        <w:rPr>
          <w:rStyle w:val="CETCaptionCarattere"/>
          <w:i/>
        </w:rPr>
        <w:t>Syngas generation process superstructure</w:t>
      </w:r>
    </w:p>
    <w:p w14:paraId="4BB693A0" w14:textId="71D7A179" w:rsidR="002D5FF5" w:rsidRDefault="00AB24E3" w:rsidP="002D5FF5">
      <w:pPr>
        <w:tabs>
          <w:tab w:val="clear" w:pos="7100"/>
        </w:tabs>
        <w:spacing w:after="200" w:line="276" w:lineRule="auto"/>
      </w:pPr>
      <w:r w:rsidRPr="00AB24E3">
        <w:t>The biogas feedstock</w:t>
      </w:r>
      <w:r w:rsidR="007B2028">
        <w:t>, with a flowrate of 100 t/h</w:t>
      </w:r>
      <w:r w:rsidRPr="00AB24E3">
        <w:t xml:space="preserve"> </w:t>
      </w:r>
      <w:r>
        <w:t xml:space="preserve">is </w:t>
      </w:r>
      <w:r w:rsidRPr="00AB24E3">
        <w:t>sent to the reformer</w:t>
      </w:r>
      <w:r>
        <w:t>, in addition to steam</w:t>
      </w:r>
      <w:r w:rsidRPr="00AB24E3">
        <w:t>.</w:t>
      </w:r>
      <w:r>
        <w:t xml:space="preserve"> The steam flow rate is obtained from the specification of the ratio between steam and methane</w:t>
      </w:r>
      <w:r w:rsidRPr="00AB24E3">
        <w:t xml:space="preserve"> </w:t>
      </w:r>
      <w:r>
        <w:t xml:space="preserve">at the reformer inlet. </w:t>
      </w:r>
      <w:r w:rsidRPr="00AB24E3">
        <w:t xml:space="preserve">The crude syngas from the reforming is then sent to the </w:t>
      </w:r>
      <w:r>
        <w:t>conditioning</w:t>
      </w:r>
      <w:r w:rsidRPr="00AB24E3">
        <w:t xml:space="preserve"> section to adjust the </w:t>
      </w:r>
      <w:r w:rsidR="00A47439">
        <w:t>stoichiometric</w:t>
      </w:r>
      <w:r>
        <w:t xml:space="preserve"> </w:t>
      </w:r>
      <w:r w:rsidR="00B938A1">
        <w:t>number</w:t>
      </w:r>
      <w:r w:rsidRPr="00AB24E3">
        <w:t>.</w:t>
      </w:r>
      <w:r w:rsidR="00B938A1">
        <w:t xml:space="preserve"> </w:t>
      </w:r>
      <w:r w:rsidR="00A47439">
        <w:t>The main difference in the structure is that the syngas needs to be compressed before the PSWA unit whereas for the PSA unit, the compression step can be performed using the conditioned syngas.</w:t>
      </w:r>
    </w:p>
    <w:p w14:paraId="17678A99" w14:textId="5F0A6AE1" w:rsidR="00AC603F" w:rsidRDefault="002D5FF5" w:rsidP="002D5FF5">
      <w:pPr>
        <w:tabs>
          <w:tab w:val="clear" w:pos="7100"/>
        </w:tabs>
        <w:spacing w:after="200" w:line="276" w:lineRule="auto"/>
      </w:pPr>
      <w:r>
        <w:t>The CO</w:t>
      </w:r>
      <w:r w:rsidRPr="005D1A45">
        <w:rPr>
          <w:vertAlign w:val="subscript"/>
        </w:rPr>
        <w:t>2</w:t>
      </w:r>
      <w:r>
        <w:t xml:space="preserve"> removal can be performed by the PSA or the PSWA unit</w:t>
      </w:r>
      <w:r w:rsidR="00CA4CA4">
        <w:t xml:space="preserve">. </w:t>
      </w:r>
      <w:r w:rsidR="00B938A1">
        <w:t>The PSA unit is composed of four fixed beds</w:t>
      </w:r>
      <w:r>
        <w:t xml:space="preserve"> vessels filled with activate carbon as adsorbent.</w:t>
      </w:r>
      <w:r w:rsidRPr="002D5FF5">
        <w:t xml:space="preserve"> </w:t>
      </w:r>
      <w:r>
        <w:t xml:space="preserve">It works with </w:t>
      </w:r>
      <w:r w:rsidRPr="002D5FF5">
        <w:t>an adsorption capacity of</w:t>
      </w:r>
      <w:r>
        <w:t xml:space="preserve"> 4.17 mols of CO</w:t>
      </w:r>
      <w:r w:rsidRPr="005D1A45">
        <w:rPr>
          <w:vertAlign w:val="subscript"/>
        </w:rPr>
        <w:t>2</w:t>
      </w:r>
      <w:r>
        <w:t xml:space="preserve"> per kg of adsorbent, that allows the removal of 90% of the CO</w:t>
      </w:r>
      <w:r w:rsidRPr="005D1A45">
        <w:rPr>
          <w:vertAlign w:val="subscript"/>
        </w:rPr>
        <w:t>2</w:t>
      </w:r>
      <w:r>
        <w:t xml:space="preserve"> in the syngas stream (Ribeiro et al., 2012). The energy consumption of the PSA Unit comes from the power needed by the vacuum pumps and it can be assumed that the energy expenditure is on average 600 kJ/kgCO</w:t>
      </w:r>
      <w:r w:rsidRPr="005D1A45">
        <w:rPr>
          <w:vertAlign w:val="subscript"/>
        </w:rPr>
        <w:t>2</w:t>
      </w:r>
      <w:r>
        <w:t xml:space="preserve"> for a 4-bed unit (</w:t>
      </w:r>
      <w:proofErr w:type="spellStart"/>
      <w:r>
        <w:t>Riboldi</w:t>
      </w:r>
      <w:proofErr w:type="spellEnd"/>
      <w:r>
        <w:t xml:space="preserve"> </w:t>
      </w:r>
      <w:r w:rsidR="007B2028">
        <w:t xml:space="preserve">&amp; </w:t>
      </w:r>
      <w:proofErr w:type="spellStart"/>
      <w:r w:rsidR="007B2028">
        <w:t>Bolland</w:t>
      </w:r>
      <w:proofErr w:type="spellEnd"/>
      <w:r>
        <w:t>, 2017).</w:t>
      </w:r>
      <w:r w:rsidR="00CA4CA4">
        <w:t xml:space="preserve"> A part of the syngas stream can be bypassed from the PSA unit to adjust the SN to the desired number.</w:t>
      </w:r>
      <w:r w:rsidR="00AC603F">
        <w:t xml:space="preserve"> The PSA unit flowsheet is shown in Figure 2</w:t>
      </w:r>
      <w:r w:rsidR="0083055E">
        <w:t>a</w:t>
      </w:r>
      <w:r w:rsidR="00AC603F">
        <w:t>.</w:t>
      </w:r>
    </w:p>
    <w:p w14:paraId="090DFCE0" w14:textId="7C3DE018" w:rsidR="00AC603F" w:rsidRDefault="009A32EA" w:rsidP="009A32EA">
      <w:pPr>
        <w:tabs>
          <w:tab w:val="clear" w:pos="7100"/>
        </w:tabs>
        <w:spacing w:after="200" w:line="276" w:lineRule="auto"/>
        <w:jc w:val="left"/>
      </w:pPr>
      <w:r>
        <w:rPr>
          <w:noProof/>
        </w:rPr>
        <w:drawing>
          <wp:inline distT="0" distB="0" distL="0" distR="0" wp14:anchorId="3FBAB1B5" wp14:editId="653C8847">
            <wp:extent cx="2507063" cy="18453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852" cy="1857667"/>
                    </a:xfrm>
                    <a:prstGeom prst="rect">
                      <a:avLst/>
                    </a:prstGeom>
                    <a:noFill/>
                    <a:ln>
                      <a:noFill/>
                    </a:ln>
                  </pic:spPr>
                </pic:pic>
              </a:graphicData>
            </a:graphic>
          </wp:inline>
        </w:drawing>
      </w:r>
      <w:r w:rsidR="0083055E">
        <w:tab/>
      </w:r>
      <w:r>
        <w:rPr>
          <w:noProof/>
        </w:rPr>
        <w:drawing>
          <wp:inline distT="0" distB="0" distL="0" distR="0" wp14:anchorId="59B3B146" wp14:editId="5B60D0CB">
            <wp:extent cx="2714625" cy="20666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5527" cy="2082610"/>
                    </a:xfrm>
                    <a:prstGeom prst="rect">
                      <a:avLst/>
                    </a:prstGeom>
                    <a:noFill/>
                    <a:ln>
                      <a:noFill/>
                    </a:ln>
                  </pic:spPr>
                </pic:pic>
              </a:graphicData>
            </a:graphic>
          </wp:inline>
        </w:drawing>
      </w:r>
    </w:p>
    <w:p w14:paraId="75FD87E2" w14:textId="7E66D48A" w:rsidR="00AC603F" w:rsidRPr="00807DBB" w:rsidRDefault="00AC603F" w:rsidP="00AC603F">
      <w:pPr>
        <w:pStyle w:val="CETCaption"/>
      </w:pPr>
      <w:r w:rsidRPr="00BD077D">
        <w:rPr>
          <w:rStyle w:val="CETCaptionCarattere"/>
          <w:i/>
        </w:rPr>
        <w:t xml:space="preserve">Figure </w:t>
      </w:r>
      <w:r>
        <w:rPr>
          <w:rStyle w:val="CETCaptionCarattere"/>
          <w:i/>
        </w:rPr>
        <w:t>2</w:t>
      </w:r>
      <w:r w:rsidR="0083055E">
        <w:rPr>
          <w:rStyle w:val="CETCaptionCarattere"/>
          <w:i/>
        </w:rPr>
        <w:t xml:space="preserve">a: </w:t>
      </w:r>
      <w:r>
        <w:rPr>
          <w:rStyle w:val="CETCaptionCarattere"/>
          <w:i/>
        </w:rPr>
        <w:t xml:space="preserve">Pressure Swing Adsorption </w:t>
      </w:r>
      <w:r w:rsidR="0083055E">
        <w:rPr>
          <w:rStyle w:val="CETCaptionCarattere"/>
          <w:i/>
        </w:rPr>
        <w:t>Flowsheet</w:t>
      </w:r>
      <w:r w:rsidR="0083055E">
        <w:rPr>
          <w:rStyle w:val="CETCaptionCarattere"/>
          <w:i/>
        </w:rPr>
        <w:tab/>
      </w:r>
      <w:r w:rsidR="0083055E" w:rsidRPr="00BD077D">
        <w:rPr>
          <w:rStyle w:val="CETCaptionCarattere"/>
          <w:i/>
        </w:rPr>
        <w:t xml:space="preserve">Figure </w:t>
      </w:r>
      <w:r w:rsidR="0083055E">
        <w:rPr>
          <w:rStyle w:val="CETCaptionCarattere"/>
          <w:i/>
        </w:rPr>
        <w:t xml:space="preserve">2b: Pressure Swing Water Absorption </w:t>
      </w:r>
      <w:r>
        <w:rPr>
          <w:rStyle w:val="CETCaptionCarattere"/>
          <w:i/>
        </w:rPr>
        <w:t>Flowsheet</w:t>
      </w:r>
    </w:p>
    <w:p w14:paraId="22549FD6" w14:textId="1232D66F" w:rsidR="00AC603F" w:rsidRDefault="00AC603F" w:rsidP="00AC603F">
      <w:pPr>
        <w:tabs>
          <w:tab w:val="clear" w:pos="7100"/>
        </w:tabs>
        <w:spacing w:after="200" w:line="276" w:lineRule="auto"/>
      </w:pPr>
      <w:r>
        <w:t>In the PSWA unit, the syngas passes through the water inside a packed tower in a counter-current configuration. The adjusted syngas leaves the system at the top of the column. The acid water is expanded in a hydraulic turbine to atmospheric pressure, and then sent to a gas-liquid separator, in which high purity CO</w:t>
      </w:r>
      <w:r w:rsidRPr="005D1A45">
        <w:rPr>
          <w:vertAlign w:val="subscript"/>
        </w:rPr>
        <w:t>2</w:t>
      </w:r>
      <w:r>
        <w:t xml:space="preserve"> is obtained. Water is pressurized in two steps: the first pumps share its shaft with the hydraulic turbine while the second </w:t>
      </w:r>
      <w:r>
        <w:lastRenderedPageBreak/>
        <w:t>pump covers the remaining pressure gap for the adsorption pressure.</w:t>
      </w:r>
      <w:r w:rsidRPr="00AC603F">
        <w:t xml:space="preserve"> </w:t>
      </w:r>
      <w:r>
        <w:t xml:space="preserve">The PSWA unit flowsheet is shown in Figure </w:t>
      </w:r>
      <w:r w:rsidR="0083055E">
        <w:t>2b</w:t>
      </w:r>
      <w:r>
        <w:t>.</w:t>
      </w:r>
    </w:p>
    <w:p w14:paraId="210BF4C3" w14:textId="60B7BA9A" w:rsidR="00845167" w:rsidRDefault="007B2028" w:rsidP="007B2028">
      <w:pPr>
        <w:pStyle w:val="CETBodytext"/>
      </w:pPr>
      <w:r>
        <w:rPr>
          <w:lang w:val="en-GB"/>
        </w:rPr>
        <w:t>The biogas plant</w:t>
      </w:r>
      <w:r>
        <w:t xml:space="preserve"> was simulated</w:t>
      </w:r>
      <w:r w:rsidR="00A47439">
        <w:t xml:space="preserve"> in </w:t>
      </w:r>
      <w:r>
        <w:t>Aspen HYSYS</w:t>
      </w:r>
      <w:r w:rsidR="00A47439">
        <w:t>, using the Sour Peng-Robinson thermodynamic package</w:t>
      </w:r>
      <w:r>
        <w:t>.</w:t>
      </w:r>
      <w:r w:rsidR="00845167">
        <w:t xml:space="preserve"> The layout of the simulation flowsheet is described in Figure 3.</w:t>
      </w:r>
      <w:r w:rsidR="00A47439">
        <w:t xml:space="preserve"> </w:t>
      </w:r>
      <w:r>
        <w:t>The steam/methane ratio for the base case was defined as 3</w:t>
      </w:r>
      <w:r w:rsidR="00A47439">
        <w:t xml:space="preserve"> for the reformer feed</w:t>
      </w:r>
      <w:r>
        <w:t>. The reformer was modeled as a Gibbs Reactor, operating at 900°C and 10 bar.</w:t>
      </w:r>
      <w:r w:rsidR="00A47439">
        <w:t xml:space="preserve"> </w:t>
      </w:r>
      <w:r w:rsidR="006B08B2">
        <w:t>The post-reformer flash vessel operates at 40 °C</w:t>
      </w:r>
      <w:r w:rsidR="00845167">
        <w:t xml:space="preserve">. The compressors pressurize the syngas stream to 60 </w:t>
      </w:r>
      <w:proofErr w:type="gramStart"/>
      <w:r w:rsidR="00845167">
        <w:t>bar</w:t>
      </w:r>
      <w:proofErr w:type="gramEnd"/>
      <w:r w:rsidR="00845167">
        <w:t>. The PSWA and the PSA unit are designed so that the Conditioned Syngas has a SN equal to 2.0. The pressure drop inside the coolers is assumed to be negligible.</w:t>
      </w:r>
    </w:p>
    <w:p w14:paraId="65674FC0" w14:textId="1E93B0B6" w:rsidR="00845167" w:rsidRDefault="009A32EA" w:rsidP="00845167">
      <w:pPr>
        <w:pStyle w:val="CETCaption"/>
        <w:rPr>
          <w:rStyle w:val="CETCaptionCarattere"/>
          <w:i/>
        </w:rPr>
      </w:pPr>
      <w:r>
        <w:rPr>
          <w:noProof/>
        </w:rPr>
        <w:drawing>
          <wp:inline distT="0" distB="0" distL="0" distR="0" wp14:anchorId="48C8716E" wp14:editId="3F039F6D">
            <wp:extent cx="5575300" cy="185102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5300" cy="1851025"/>
                    </a:xfrm>
                    <a:prstGeom prst="rect">
                      <a:avLst/>
                    </a:prstGeom>
                    <a:noFill/>
                    <a:ln>
                      <a:noFill/>
                    </a:ln>
                  </pic:spPr>
                </pic:pic>
              </a:graphicData>
            </a:graphic>
          </wp:inline>
        </w:drawing>
      </w:r>
      <w:r w:rsidR="00845167" w:rsidRPr="00BD077D">
        <w:rPr>
          <w:rStyle w:val="CETCaptionCarattere"/>
          <w:i/>
        </w:rPr>
        <w:t xml:space="preserve">Figure </w:t>
      </w:r>
      <w:r w:rsidR="00845167">
        <w:rPr>
          <w:rStyle w:val="CETCaptionCarattere"/>
          <w:i/>
        </w:rPr>
        <w:t>3</w:t>
      </w:r>
      <w:r w:rsidR="00845167" w:rsidRPr="00BD077D">
        <w:rPr>
          <w:rStyle w:val="CETCaptionCarattere"/>
          <w:i/>
        </w:rPr>
        <w:t xml:space="preserve">: </w:t>
      </w:r>
      <w:r w:rsidR="00845167">
        <w:rPr>
          <w:rStyle w:val="CETCaptionCarattere"/>
          <w:i/>
        </w:rPr>
        <w:t>Syngas generation process layout</w:t>
      </w:r>
    </w:p>
    <w:p w14:paraId="56FD35BE" w14:textId="29100E5E" w:rsidR="00845167" w:rsidRDefault="00845167" w:rsidP="00845167">
      <w:pPr>
        <w:pStyle w:val="CETCaption"/>
        <w:rPr>
          <w:rStyle w:val="CETCaptionCarattere"/>
          <w:iCs/>
        </w:rPr>
      </w:pPr>
      <w:r>
        <w:rPr>
          <w:rStyle w:val="CETCaptionCarattere"/>
          <w:iCs/>
        </w:rPr>
        <w:t xml:space="preserve">For the economic analysis, the capital </w:t>
      </w:r>
      <w:r w:rsidR="00023741">
        <w:rPr>
          <w:rStyle w:val="CETCaptionCarattere"/>
          <w:iCs/>
        </w:rPr>
        <w:t>costs (</w:t>
      </w:r>
      <w:r w:rsidR="009B0616">
        <w:rPr>
          <w:rStyle w:val="CETCaptionCarattere"/>
          <w:iCs/>
        </w:rPr>
        <w:t xml:space="preserve">CAPEX) </w:t>
      </w:r>
      <w:r>
        <w:rPr>
          <w:rStyle w:val="CETCaptionCarattere"/>
          <w:iCs/>
        </w:rPr>
        <w:t xml:space="preserve">were calculated based on the total module costs of each equipment, following the method proposed by Turton et al. (2018). The equipment cost was calculated using correlations obtained from Turton et al. (2018) and adjusted to the recent year using the </w:t>
      </w:r>
      <w:r w:rsidRPr="00845167">
        <w:rPr>
          <w:rStyle w:val="CETCaptionCarattere"/>
          <w:iCs/>
        </w:rPr>
        <w:t>Chemical Engineering Plant Cost Index</w:t>
      </w:r>
      <w:r>
        <w:rPr>
          <w:rStyle w:val="CETCaptionCarattere"/>
          <w:iCs/>
        </w:rPr>
        <w:t xml:space="preserve"> (CEPCI). The operating costs were obtained by the sum of the fixed costs (</w:t>
      </w:r>
      <w:r w:rsidR="00023741">
        <w:rPr>
          <w:rStyle w:val="CETCaptionCarattere"/>
          <w:iCs/>
        </w:rPr>
        <w:t>labour</w:t>
      </w:r>
      <w:r>
        <w:rPr>
          <w:rStyle w:val="CETCaptionCarattere"/>
          <w:iCs/>
        </w:rPr>
        <w:t xml:space="preserve">, </w:t>
      </w:r>
      <w:r w:rsidR="00023741">
        <w:rPr>
          <w:rStyle w:val="CETCaptionCarattere"/>
          <w:iCs/>
        </w:rPr>
        <w:t>maintenance,</w:t>
      </w:r>
      <w:r>
        <w:rPr>
          <w:rStyle w:val="CETCaptionCarattere"/>
          <w:iCs/>
        </w:rPr>
        <w:t xml:space="preserve">) and the variable costs (raw material and utilities). </w:t>
      </w:r>
      <w:r w:rsidR="00E82C05">
        <w:rPr>
          <w:rStyle w:val="CETCaptionCarattere"/>
          <w:iCs/>
        </w:rPr>
        <w:t xml:space="preserve">Fixed costs were calculated following the methodology proposed by Turton et al. (2018). An annual operating time of 8000h is assumed. </w:t>
      </w:r>
      <w:r>
        <w:rPr>
          <w:rStyle w:val="CETCaptionCarattere"/>
          <w:iCs/>
        </w:rPr>
        <w:t>Table 1 describes the prices used in the economic calculation.</w:t>
      </w:r>
    </w:p>
    <w:p w14:paraId="77FB9A73" w14:textId="11095726" w:rsidR="00845167" w:rsidRPr="00B57B36" w:rsidRDefault="00845167" w:rsidP="00845167">
      <w:pPr>
        <w:pStyle w:val="CETTabletitle"/>
      </w:pPr>
      <w:r w:rsidRPr="00B57B36">
        <w:t xml:space="preserve">Table 1: </w:t>
      </w:r>
      <w:r>
        <w:t>Economic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6"/>
        <w:gridCol w:w="1313"/>
        <w:gridCol w:w="2551"/>
      </w:tblGrid>
      <w:tr w:rsidR="00845167" w:rsidRPr="00B57B36" w14:paraId="5BB2B771" w14:textId="77777777" w:rsidTr="00845167">
        <w:tc>
          <w:tcPr>
            <w:tcW w:w="1806" w:type="dxa"/>
            <w:tcBorders>
              <w:top w:val="single" w:sz="12" w:space="0" w:color="008000"/>
              <w:bottom w:val="single" w:sz="6" w:space="0" w:color="008000"/>
            </w:tcBorders>
            <w:shd w:val="clear" w:color="auto" w:fill="FFFFFF"/>
          </w:tcPr>
          <w:p w14:paraId="0A61316E" w14:textId="36FFDF75" w:rsidR="00845167" w:rsidRPr="00B57B36" w:rsidRDefault="00845167" w:rsidP="00A94A0F">
            <w:pPr>
              <w:pStyle w:val="CETBodytext"/>
              <w:rPr>
                <w:lang w:val="en-GB"/>
              </w:rPr>
            </w:pPr>
            <w:r>
              <w:rPr>
                <w:lang w:val="en-GB"/>
              </w:rPr>
              <w:t>Parameter</w:t>
            </w:r>
          </w:p>
        </w:tc>
        <w:tc>
          <w:tcPr>
            <w:tcW w:w="1313" w:type="dxa"/>
            <w:tcBorders>
              <w:top w:val="single" w:sz="12" w:space="0" w:color="008000"/>
              <w:bottom w:val="single" w:sz="6" w:space="0" w:color="008000"/>
            </w:tcBorders>
            <w:shd w:val="clear" w:color="auto" w:fill="FFFFFF"/>
          </w:tcPr>
          <w:p w14:paraId="4DB201FB" w14:textId="14B03728" w:rsidR="00845167" w:rsidRPr="00B57B36" w:rsidRDefault="00845167" w:rsidP="00A94A0F">
            <w:pPr>
              <w:pStyle w:val="CETBodytext"/>
              <w:rPr>
                <w:lang w:val="en-GB"/>
              </w:rPr>
            </w:pPr>
            <w:r>
              <w:rPr>
                <w:lang w:val="en-GB"/>
              </w:rPr>
              <w:t>Value</w:t>
            </w:r>
          </w:p>
        </w:tc>
        <w:tc>
          <w:tcPr>
            <w:tcW w:w="2551" w:type="dxa"/>
            <w:tcBorders>
              <w:top w:val="single" w:sz="12" w:space="0" w:color="008000"/>
              <w:bottom w:val="single" w:sz="6" w:space="0" w:color="008000"/>
            </w:tcBorders>
            <w:shd w:val="clear" w:color="auto" w:fill="FFFFFF"/>
          </w:tcPr>
          <w:p w14:paraId="4102DCCA" w14:textId="3C9C7E5B" w:rsidR="00845167" w:rsidRPr="00B57B36" w:rsidRDefault="00845167" w:rsidP="00A94A0F">
            <w:pPr>
              <w:pStyle w:val="CETBodytext"/>
              <w:rPr>
                <w:lang w:val="en-GB"/>
              </w:rPr>
            </w:pPr>
            <w:r>
              <w:rPr>
                <w:lang w:val="en-GB"/>
              </w:rPr>
              <w:t>Reference</w:t>
            </w:r>
          </w:p>
        </w:tc>
      </w:tr>
      <w:tr w:rsidR="00845167" w:rsidRPr="00B57B36" w14:paraId="77E63AE4" w14:textId="77777777" w:rsidTr="00845167">
        <w:trPr>
          <w:trHeight w:val="58"/>
        </w:trPr>
        <w:tc>
          <w:tcPr>
            <w:tcW w:w="1806" w:type="dxa"/>
            <w:shd w:val="clear" w:color="auto" w:fill="FFFFFF"/>
          </w:tcPr>
          <w:p w14:paraId="72343FC4" w14:textId="31396FD6" w:rsidR="00845167" w:rsidRPr="00B57B36" w:rsidRDefault="00845167" w:rsidP="00A94A0F">
            <w:pPr>
              <w:pStyle w:val="CETBodytext"/>
              <w:rPr>
                <w:lang w:val="en-GB"/>
              </w:rPr>
            </w:pPr>
            <w:r>
              <w:rPr>
                <w:lang w:val="en-GB"/>
              </w:rPr>
              <w:t xml:space="preserve">Electricity </w:t>
            </w:r>
            <w:r w:rsidR="004D311D">
              <w:rPr>
                <w:lang w:val="en-GB"/>
              </w:rPr>
              <w:t>Cost</w:t>
            </w:r>
          </w:p>
        </w:tc>
        <w:tc>
          <w:tcPr>
            <w:tcW w:w="1313" w:type="dxa"/>
            <w:shd w:val="clear" w:color="auto" w:fill="FFFFFF"/>
          </w:tcPr>
          <w:p w14:paraId="597F3A9D" w14:textId="7CA7FCD9" w:rsidR="00845167" w:rsidRPr="00056977" w:rsidRDefault="0038444E" w:rsidP="00A94A0F">
            <w:pPr>
              <w:pStyle w:val="CETBodytext"/>
              <w:rPr>
                <w:lang w:val="en-GB"/>
              </w:rPr>
            </w:pPr>
            <w:r>
              <w:rPr>
                <w:lang w:val="en-GB"/>
              </w:rPr>
              <w:t>46</w:t>
            </w:r>
            <w:r w:rsidR="007E41DA" w:rsidRPr="00056977">
              <w:rPr>
                <w:lang w:val="en-GB"/>
              </w:rPr>
              <w:t xml:space="preserve"> €/</w:t>
            </w:r>
            <w:r>
              <w:rPr>
                <w:lang w:val="en-GB"/>
              </w:rPr>
              <w:t>GJ</w:t>
            </w:r>
          </w:p>
        </w:tc>
        <w:tc>
          <w:tcPr>
            <w:tcW w:w="2551" w:type="dxa"/>
            <w:shd w:val="clear" w:color="auto" w:fill="FFFFFF"/>
          </w:tcPr>
          <w:p w14:paraId="00F86EFB" w14:textId="601E5374" w:rsidR="00845167" w:rsidRPr="00056977" w:rsidRDefault="007E41DA" w:rsidP="00A94A0F">
            <w:pPr>
              <w:pStyle w:val="CETBodytext"/>
              <w:rPr>
                <w:lang w:val="en-GB"/>
              </w:rPr>
            </w:pPr>
            <w:r w:rsidRPr="00056977">
              <w:rPr>
                <w:lang w:val="en-GB"/>
              </w:rPr>
              <w:t>ARERA (2022)</w:t>
            </w:r>
          </w:p>
        </w:tc>
      </w:tr>
      <w:tr w:rsidR="007E41DA" w:rsidRPr="00B57B36" w14:paraId="6A04BAF6" w14:textId="77777777" w:rsidTr="00845167">
        <w:tc>
          <w:tcPr>
            <w:tcW w:w="1806" w:type="dxa"/>
            <w:shd w:val="clear" w:color="auto" w:fill="FFFFFF"/>
          </w:tcPr>
          <w:p w14:paraId="566E4499" w14:textId="5816857D" w:rsidR="007E41DA" w:rsidRPr="00B57B36" w:rsidRDefault="007E41DA" w:rsidP="007E41DA">
            <w:pPr>
              <w:pStyle w:val="CETBodytext"/>
              <w:ind w:right="-1"/>
              <w:rPr>
                <w:rFonts w:cs="Arial"/>
                <w:szCs w:val="18"/>
                <w:lang w:val="en-GB"/>
              </w:rPr>
            </w:pPr>
            <w:r>
              <w:rPr>
                <w:rFonts w:cs="Arial"/>
                <w:szCs w:val="18"/>
                <w:lang w:val="en-GB"/>
              </w:rPr>
              <w:t>Biogas Cost</w:t>
            </w:r>
          </w:p>
        </w:tc>
        <w:tc>
          <w:tcPr>
            <w:tcW w:w="1313" w:type="dxa"/>
            <w:shd w:val="clear" w:color="auto" w:fill="FFFFFF"/>
          </w:tcPr>
          <w:p w14:paraId="5F4A8084" w14:textId="0E669D7B" w:rsidR="007E41DA" w:rsidRPr="00056977" w:rsidRDefault="00056977" w:rsidP="007E41DA">
            <w:pPr>
              <w:pStyle w:val="CETBodytext"/>
              <w:ind w:right="-1"/>
              <w:rPr>
                <w:rFonts w:cs="Arial"/>
                <w:szCs w:val="18"/>
                <w:lang w:val="en-GB"/>
              </w:rPr>
            </w:pPr>
            <w:r w:rsidRPr="00056977">
              <w:rPr>
                <w:lang w:val="en-GB"/>
              </w:rPr>
              <w:t>6</w:t>
            </w:r>
            <w:r w:rsidR="007E41DA" w:rsidRPr="00056977">
              <w:rPr>
                <w:lang w:val="en-GB"/>
              </w:rPr>
              <w:t xml:space="preserve"> €/GJ</w:t>
            </w:r>
          </w:p>
        </w:tc>
        <w:tc>
          <w:tcPr>
            <w:tcW w:w="2551" w:type="dxa"/>
            <w:shd w:val="clear" w:color="auto" w:fill="FFFFFF"/>
          </w:tcPr>
          <w:p w14:paraId="4831271D" w14:textId="595C983D" w:rsidR="007E41DA" w:rsidRPr="00056977" w:rsidRDefault="00056977" w:rsidP="007E41DA">
            <w:pPr>
              <w:pStyle w:val="CETBodytext"/>
              <w:ind w:right="-1"/>
              <w:rPr>
                <w:rFonts w:cs="Arial"/>
                <w:szCs w:val="18"/>
                <w:lang w:val="en-GB"/>
              </w:rPr>
            </w:pPr>
            <w:r w:rsidRPr="00056977">
              <w:rPr>
                <w:rFonts w:cs="Arial"/>
                <w:szCs w:val="18"/>
                <w:lang w:val="en-GB"/>
              </w:rPr>
              <w:t>IRENA (2021)</w:t>
            </w:r>
          </w:p>
        </w:tc>
      </w:tr>
      <w:tr w:rsidR="007E41DA" w:rsidRPr="00B57B36" w14:paraId="4ECE7C0E" w14:textId="77777777" w:rsidTr="00845167">
        <w:tc>
          <w:tcPr>
            <w:tcW w:w="1806" w:type="dxa"/>
            <w:shd w:val="clear" w:color="auto" w:fill="FFFFFF"/>
          </w:tcPr>
          <w:p w14:paraId="6478960A" w14:textId="6660B3FF" w:rsidR="007E41DA" w:rsidRDefault="007E41DA" w:rsidP="007E41DA">
            <w:pPr>
              <w:pStyle w:val="CETBodytext"/>
              <w:ind w:right="-1"/>
              <w:rPr>
                <w:rFonts w:cs="Arial"/>
                <w:szCs w:val="18"/>
                <w:lang w:val="en-GB"/>
              </w:rPr>
            </w:pPr>
            <w:r>
              <w:rPr>
                <w:rFonts w:cs="Arial"/>
                <w:szCs w:val="18"/>
                <w:lang w:val="en-GB"/>
              </w:rPr>
              <w:t>Cooling Water Cost</w:t>
            </w:r>
          </w:p>
        </w:tc>
        <w:tc>
          <w:tcPr>
            <w:tcW w:w="1313" w:type="dxa"/>
            <w:shd w:val="clear" w:color="auto" w:fill="FFFFFF"/>
          </w:tcPr>
          <w:p w14:paraId="0120E3B0" w14:textId="381CB5B2" w:rsidR="007E41DA" w:rsidRPr="00056977" w:rsidRDefault="007E41DA" w:rsidP="007E41DA">
            <w:pPr>
              <w:pStyle w:val="CETBodytext"/>
              <w:ind w:right="-1"/>
              <w:rPr>
                <w:rFonts w:cs="Arial"/>
                <w:szCs w:val="18"/>
                <w:lang w:val="en-GB"/>
              </w:rPr>
            </w:pPr>
            <w:r w:rsidRPr="00056977">
              <w:rPr>
                <w:rFonts w:cs="Arial"/>
                <w:szCs w:val="18"/>
                <w:lang w:val="en-GB"/>
              </w:rPr>
              <w:t>0.359 €/GJ</w:t>
            </w:r>
          </w:p>
        </w:tc>
        <w:tc>
          <w:tcPr>
            <w:tcW w:w="2551" w:type="dxa"/>
            <w:shd w:val="clear" w:color="auto" w:fill="FFFFFF"/>
          </w:tcPr>
          <w:p w14:paraId="65CB998C" w14:textId="6EFAF760" w:rsidR="007E41DA" w:rsidRPr="00056977" w:rsidRDefault="007E41DA" w:rsidP="007E41DA">
            <w:pPr>
              <w:pStyle w:val="CETBodytext"/>
              <w:ind w:right="-1"/>
              <w:rPr>
                <w:rFonts w:cs="Arial"/>
                <w:szCs w:val="18"/>
                <w:lang w:val="en-GB"/>
              </w:rPr>
            </w:pPr>
            <w:r w:rsidRPr="00056977">
              <w:rPr>
                <w:rStyle w:val="CETCaptionCarattere"/>
                <w:i w:val="0"/>
              </w:rPr>
              <w:t>Turton et al. (2018)</w:t>
            </w:r>
          </w:p>
        </w:tc>
      </w:tr>
      <w:tr w:rsidR="007E41DA" w:rsidRPr="00B57B36" w14:paraId="083B21CF" w14:textId="77777777" w:rsidTr="00845167">
        <w:tc>
          <w:tcPr>
            <w:tcW w:w="1806" w:type="dxa"/>
            <w:shd w:val="clear" w:color="auto" w:fill="FFFFFF"/>
          </w:tcPr>
          <w:p w14:paraId="50979E38" w14:textId="50020A77" w:rsidR="007E41DA" w:rsidRDefault="00BB4A36" w:rsidP="007E41DA">
            <w:pPr>
              <w:pStyle w:val="CETBodytext"/>
              <w:ind w:right="-1"/>
              <w:rPr>
                <w:rFonts w:cs="Arial"/>
                <w:szCs w:val="18"/>
                <w:lang w:val="en-GB"/>
              </w:rPr>
            </w:pPr>
            <w:r>
              <w:rPr>
                <w:rFonts w:cs="Arial"/>
                <w:szCs w:val="18"/>
                <w:lang w:val="en-GB"/>
              </w:rPr>
              <w:t>Steam</w:t>
            </w:r>
            <w:r w:rsidR="007E41DA">
              <w:rPr>
                <w:rFonts w:cs="Arial"/>
                <w:szCs w:val="18"/>
                <w:lang w:val="en-GB"/>
              </w:rPr>
              <w:t xml:space="preserve"> Cost</w:t>
            </w:r>
          </w:p>
        </w:tc>
        <w:tc>
          <w:tcPr>
            <w:tcW w:w="1313" w:type="dxa"/>
            <w:shd w:val="clear" w:color="auto" w:fill="FFFFFF"/>
          </w:tcPr>
          <w:p w14:paraId="639DA0BC" w14:textId="3333D2FE" w:rsidR="007E41DA" w:rsidRPr="00056977" w:rsidRDefault="00BB4A36" w:rsidP="007E41DA">
            <w:pPr>
              <w:pStyle w:val="CETBodytext"/>
              <w:ind w:right="-1"/>
              <w:rPr>
                <w:rFonts w:cs="Arial"/>
                <w:szCs w:val="18"/>
                <w:lang w:val="en-GB"/>
              </w:rPr>
            </w:pPr>
            <w:r w:rsidRPr="00056977">
              <w:rPr>
                <w:rFonts w:cs="Arial"/>
                <w:szCs w:val="18"/>
                <w:lang w:val="en-GB"/>
              </w:rPr>
              <w:t>4</w:t>
            </w:r>
            <w:r w:rsidR="007E41DA" w:rsidRPr="00056977">
              <w:rPr>
                <w:rFonts w:cs="Arial"/>
                <w:szCs w:val="18"/>
                <w:lang w:val="en-GB"/>
              </w:rPr>
              <w:t>.</w:t>
            </w:r>
            <w:r w:rsidRPr="00056977">
              <w:rPr>
                <w:rFonts w:cs="Arial"/>
                <w:szCs w:val="18"/>
                <w:lang w:val="en-GB"/>
              </w:rPr>
              <w:t>53</w:t>
            </w:r>
            <w:r w:rsidR="007E41DA" w:rsidRPr="00056977">
              <w:rPr>
                <w:rFonts w:cs="Arial"/>
                <w:szCs w:val="18"/>
                <w:lang w:val="en-GB"/>
              </w:rPr>
              <w:t xml:space="preserve"> €/</w:t>
            </w:r>
            <w:r w:rsidRPr="00056977">
              <w:rPr>
                <w:rFonts w:cs="Arial"/>
                <w:szCs w:val="18"/>
                <w:lang w:val="en-GB"/>
              </w:rPr>
              <w:t>GJ</w:t>
            </w:r>
          </w:p>
        </w:tc>
        <w:tc>
          <w:tcPr>
            <w:tcW w:w="2551" w:type="dxa"/>
            <w:shd w:val="clear" w:color="auto" w:fill="FFFFFF"/>
          </w:tcPr>
          <w:p w14:paraId="312C36B2" w14:textId="343BA378" w:rsidR="007E41DA" w:rsidRPr="00056977" w:rsidRDefault="007E41DA" w:rsidP="007E41DA">
            <w:pPr>
              <w:pStyle w:val="CETBodytext"/>
              <w:ind w:right="-1"/>
              <w:rPr>
                <w:rFonts w:cs="Arial"/>
                <w:szCs w:val="18"/>
                <w:lang w:val="en-GB"/>
              </w:rPr>
            </w:pPr>
            <w:r w:rsidRPr="00056977">
              <w:rPr>
                <w:rStyle w:val="CETCaptionCarattere"/>
                <w:i w:val="0"/>
              </w:rPr>
              <w:t>Turton et al. (2018)</w:t>
            </w:r>
          </w:p>
        </w:tc>
      </w:tr>
    </w:tbl>
    <w:p w14:paraId="01B5C739" w14:textId="70625DE8" w:rsidR="00845167" w:rsidRDefault="00056977" w:rsidP="00845167">
      <w:pPr>
        <w:pStyle w:val="CETCaption"/>
        <w:rPr>
          <w:rStyle w:val="CETCaptionCarattere"/>
          <w:iCs/>
        </w:rPr>
      </w:pPr>
      <w:r>
        <w:rPr>
          <w:rStyle w:val="CETCaptionCarattere"/>
          <w:iCs/>
        </w:rPr>
        <w:t xml:space="preserve">The total annualized cost </w:t>
      </w:r>
      <w:r w:rsidR="009B0616">
        <w:rPr>
          <w:rStyle w:val="CETCaptionCarattere"/>
          <w:iCs/>
        </w:rPr>
        <w:t xml:space="preserve">(TAC) </w:t>
      </w:r>
      <w:r>
        <w:rPr>
          <w:rStyle w:val="CETCaptionCarattere"/>
          <w:iCs/>
        </w:rPr>
        <w:t xml:space="preserve">can be obtained </w:t>
      </w:r>
      <w:r w:rsidR="009B0616">
        <w:rPr>
          <w:rStyle w:val="CETCaptionCarattere"/>
          <w:iCs/>
        </w:rPr>
        <w:t xml:space="preserve">by the sum of the annual operating costs (OPEX) and the annual investment costs. The annual investment costs are obtained by dividing the CAPEX by the payback period, which is assumed to be 5 years. The TAC calculation is described by </w:t>
      </w:r>
      <w:proofErr w:type="spellStart"/>
      <w:proofErr w:type="gramStart"/>
      <w:r w:rsidR="009B0616">
        <w:rPr>
          <w:rStyle w:val="CETCaptionCarattere"/>
          <w:iCs/>
        </w:rPr>
        <w:t>Eq</w:t>
      </w:r>
      <w:proofErr w:type="spellEnd"/>
      <w:r w:rsidR="009B0616">
        <w:rPr>
          <w:rStyle w:val="CETCaptionCarattere"/>
          <w:iCs/>
        </w:rPr>
        <w:t>(</w:t>
      </w:r>
      <w:proofErr w:type="gramEnd"/>
      <w:r w:rsidR="009B0616">
        <w:rPr>
          <w:rStyle w:val="CETCaptionCarattere"/>
          <w:iCs/>
        </w:rPr>
        <w:t>2).</w:t>
      </w:r>
    </w:p>
    <w:tbl>
      <w:tblPr>
        <w:tblW w:w="5000" w:type="pct"/>
        <w:tblLook w:val="04A0" w:firstRow="1" w:lastRow="0" w:firstColumn="1" w:lastColumn="0" w:noHBand="0" w:noVBand="1"/>
      </w:tblPr>
      <w:tblGrid>
        <w:gridCol w:w="7984"/>
        <w:gridCol w:w="803"/>
      </w:tblGrid>
      <w:tr w:rsidR="009B0616" w:rsidRPr="00B57B36" w14:paraId="2CEA383E" w14:textId="77777777" w:rsidTr="00D84EF8">
        <w:tc>
          <w:tcPr>
            <w:tcW w:w="8188" w:type="dxa"/>
            <w:shd w:val="clear" w:color="auto" w:fill="auto"/>
            <w:vAlign w:val="center"/>
          </w:tcPr>
          <w:p w14:paraId="651A4A51" w14:textId="769A507D" w:rsidR="009B0616" w:rsidRPr="00AB24E3" w:rsidRDefault="009B0616" w:rsidP="00D84EF8">
            <w:pPr>
              <w:pStyle w:val="CETEquation"/>
            </w:pPr>
            <m:oMathPara>
              <m:oMathParaPr>
                <m:jc m:val="left"/>
              </m:oMathParaPr>
              <m:oMath>
                <m:r>
                  <w:rPr>
                    <w:rFonts w:ascii="Cambria Math" w:eastAsiaTheme="minorEastAsia" w:hAnsi="Cambria Math" w:cs="Arial"/>
                    <w:szCs w:val="18"/>
                  </w:rPr>
                  <m:t>TAC [$/yr] =</m:t>
                </m:r>
                <m:r>
                  <m:rPr>
                    <m:nor/>
                  </m:rPr>
                  <w:rPr>
                    <w:rFonts w:eastAsiaTheme="minorEastAsia" w:cs="Arial"/>
                    <w:szCs w:val="18"/>
                  </w:rPr>
                  <m:t xml:space="preserve"> </m:t>
                </m:r>
                <m:f>
                  <m:fPr>
                    <m:ctrlPr>
                      <w:rPr>
                        <w:rFonts w:ascii="Cambria Math" w:hAnsi="Cambria Math" w:cs="Arial"/>
                        <w:szCs w:val="18"/>
                      </w:rPr>
                    </m:ctrlPr>
                  </m:fPr>
                  <m:num>
                    <m:r>
                      <m:rPr>
                        <m:sty m:val="p"/>
                      </m:rPr>
                      <w:rPr>
                        <w:rFonts w:ascii="Cambria Math" w:eastAsiaTheme="minorEastAsia" w:hAnsi="Cambria Math" w:cs="Arial"/>
                        <w:szCs w:val="18"/>
                      </w:rPr>
                      <m:t>CAPEX</m:t>
                    </m:r>
                  </m:num>
                  <m:den>
                    <m:r>
                      <w:rPr>
                        <w:rFonts w:ascii="Cambria Math" w:eastAsiaTheme="minorEastAsia" w:hAnsi="Cambria Math" w:cs="Arial"/>
                        <w:szCs w:val="18"/>
                      </w:rPr>
                      <m:t>payback period</m:t>
                    </m:r>
                  </m:den>
                </m:f>
                <m:r>
                  <w:rPr>
                    <w:rFonts w:ascii="Cambria Math" w:hAnsi="Cambria Math"/>
                    <w:szCs w:val="18"/>
                  </w:rPr>
                  <m:t>+OPEX</m:t>
                </m:r>
              </m:oMath>
            </m:oMathPara>
          </w:p>
        </w:tc>
        <w:tc>
          <w:tcPr>
            <w:tcW w:w="815" w:type="dxa"/>
            <w:shd w:val="clear" w:color="auto" w:fill="auto"/>
            <w:vAlign w:val="center"/>
          </w:tcPr>
          <w:p w14:paraId="3CA1F96A" w14:textId="4EBF59C3" w:rsidR="009B0616" w:rsidRPr="00B57B36" w:rsidRDefault="009B0616" w:rsidP="00D84EF8">
            <w:pPr>
              <w:pStyle w:val="CETEquation"/>
              <w:jc w:val="right"/>
            </w:pPr>
            <w:r w:rsidRPr="00B57B36">
              <w:t>(</w:t>
            </w:r>
            <w:r>
              <w:t>2</w:t>
            </w:r>
            <w:r w:rsidRPr="00B57B36">
              <w:t>)</w:t>
            </w:r>
          </w:p>
        </w:tc>
      </w:tr>
    </w:tbl>
    <w:p w14:paraId="1C2DF290" w14:textId="6CF5E775" w:rsidR="00845167" w:rsidRDefault="009B0616" w:rsidP="00845167">
      <w:pPr>
        <w:pStyle w:val="CETCaption"/>
        <w:rPr>
          <w:rStyle w:val="CETCaptionCarattere"/>
          <w:iCs/>
        </w:rPr>
      </w:pPr>
      <w:r>
        <w:rPr>
          <w:rStyle w:val="CETCaptionCarattere"/>
          <w:iCs/>
        </w:rPr>
        <w:t>The production cost of the syngas from biogas can be calculated by the ratio between the TAC and the annual syngas production</w:t>
      </w:r>
      <w:r w:rsidR="00E82C05">
        <w:rPr>
          <w:rStyle w:val="CETCaptionCarattere"/>
          <w:iCs/>
        </w:rPr>
        <w:t xml:space="preserve"> from the biogas plant, as expressed by </w:t>
      </w:r>
      <w:proofErr w:type="spellStart"/>
      <w:proofErr w:type="gramStart"/>
      <w:r w:rsidR="00E82C05">
        <w:rPr>
          <w:rStyle w:val="CETCaptionCarattere"/>
          <w:iCs/>
        </w:rPr>
        <w:t>Eq</w:t>
      </w:r>
      <w:proofErr w:type="spellEnd"/>
      <w:r w:rsidR="00E82C05">
        <w:rPr>
          <w:rStyle w:val="CETCaptionCarattere"/>
          <w:iCs/>
        </w:rPr>
        <w:t>(</w:t>
      </w:r>
      <w:proofErr w:type="gramEnd"/>
      <w:r w:rsidR="00E82C05">
        <w:rPr>
          <w:rStyle w:val="CETCaptionCarattere"/>
          <w:iCs/>
        </w:rPr>
        <w:t>3). The annual production is obtained by the mass flow rate of conditioned syngas from the outlet of the biogas plant.</w:t>
      </w:r>
    </w:p>
    <w:tbl>
      <w:tblPr>
        <w:tblW w:w="5000" w:type="pct"/>
        <w:tblLook w:val="04A0" w:firstRow="1" w:lastRow="0" w:firstColumn="1" w:lastColumn="0" w:noHBand="0" w:noVBand="1"/>
      </w:tblPr>
      <w:tblGrid>
        <w:gridCol w:w="7985"/>
        <w:gridCol w:w="802"/>
      </w:tblGrid>
      <w:tr w:rsidR="00E82C05" w:rsidRPr="00B57B36" w14:paraId="18E95CE5" w14:textId="77777777" w:rsidTr="00D84EF8">
        <w:tc>
          <w:tcPr>
            <w:tcW w:w="8188" w:type="dxa"/>
            <w:shd w:val="clear" w:color="auto" w:fill="auto"/>
            <w:vAlign w:val="center"/>
          </w:tcPr>
          <w:p w14:paraId="47017906" w14:textId="00F92756" w:rsidR="00E82C05" w:rsidRPr="00AB24E3" w:rsidRDefault="00E82C05" w:rsidP="00D84EF8">
            <w:pPr>
              <w:pStyle w:val="CETEquation"/>
            </w:pPr>
            <m:oMathPara>
              <m:oMathParaPr>
                <m:jc m:val="left"/>
              </m:oMathParaPr>
              <m:oMath>
                <m:r>
                  <w:rPr>
                    <w:rFonts w:ascii="Cambria Math" w:eastAsiaTheme="minorEastAsia" w:hAnsi="Cambria Math" w:cs="Arial"/>
                    <w:szCs w:val="18"/>
                  </w:rPr>
                  <m:t xml:space="preserve">Syngas Cost </m:t>
                </m:r>
                <m:d>
                  <m:dPr>
                    <m:begChr m:val="["/>
                    <m:endChr m:val="]"/>
                    <m:ctrlPr>
                      <w:rPr>
                        <w:rFonts w:ascii="Cambria Math" w:eastAsiaTheme="minorEastAsia" w:hAnsi="Cambria Math" w:cs="Arial"/>
                        <w:i/>
                        <w:szCs w:val="18"/>
                      </w:rPr>
                    </m:ctrlPr>
                  </m:dPr>
                  <m:e>
                    <m:r>
                      <w:rPr>
                        <w:rFonts w:ascii="Cambria Math" w:eastAsiaTheme="minorEastAsia" w:hAnsi="Cambria Math" w:cs="Arial"/>
                        <w:szCs w:val="18"/>
                      </w:rPr>
                      <m:t>$/kg</m:t>
                    </m:r>
                  </m:e>
                </m:d>
                <m:r>
                  <w:rPr>
                    <w:rFonts w:ascii="Cambria Math" w:eastAsiaTheme="minorEastAsia" w:hAnsi="Cambria Math" w:cs="Arial"/>
                    <w:szCs w:val="18"/>
                  </w:rPr>
                  <m:t xml:space="preserve"> =</m:t>
                </m:r>
                <m:r>
                  <m:rPr>
                    <m:nor/>
                  </m:rPr>
                  <w:rPr>
                    <w:rFonts w:eastAsiaTheme="minorEastAsia" w:cs="Arial"/>
                    <w:szCs w:val="18"/>
                  </w:rPr>
                  <m:t xml:space="preserve"> </m:t>
                </m:r>
                <m:f>
                  <m:fPr>
                    <m:ctrlPr>
                      <w:rPr>
                        <w:rFonts w:ascii="Cambria Math" w:hAnsi="Cambria Math" w:cs="Arial"/>
                        <w:szCs w:val="18"/>
                      </w:rPr>
                    </m:ctrlPr>
                  </m:fPr>
                  <m:num>
                    <m:r>
                      <m:rPr>
                        <m:sty m:val="p"/>
                      </m:rPr>
                      <w:rPr>
                        <w:rFonts w:ascii="Cambria Math" w:eastAsiaTheme="minorEastAsia" w:hAnsi="Cambria Math" w:cs="Arial"/>
                        <w:szCs w:val="18"/>
                      </w:rPr>
                      <m:t>TAC</m:t>
                    </m:r>
                  </m:num>
                  <m:den>
                    <m:r>
                      <w:rPr>
                        <w:rFonts w:ascii="Cambria Math" w:eastAsiaTheme="minorEastAsia" w:hAnsi="Cambria Math" w:cs="Arial"/>
                        <w:szCs w:val="18"/>
                      </w:rPr>
                      <m:t>Syngas Production</m:t>
                    </m:r>
                  </m:den>
                </m:f>
              </m:oMath>
            </m:oMathPara>
          </w:p>
        </w:tc>
        <w:tc>
          <w:tcPr>
            <w:tcW w:w="815" w:type="dxa"/>
            <w:shd w:val="clear" w:color="auto" w:fill="auto"/>
            <w:vAlign w:val="center"/>
          </w:tcPr>
          <w:p w14:paraId="1E8CC189" w14:textId="77777777" w:rsidR="00E82C05" w:rsidRPr="00B57B36" w:rsidRDefault="00E82C05" w:rsidP="00D84EF8">
            <w:pPr>
              <w:pStyle w:val="CETEquation"/>
              <w:jc w:val="right"/>
            </w:pPr>
            <w:r w:rsidRPr="00B57B36">
              <w:t>(</w:t>
            </w:r>
            <w:r>
              <w:t>2</w:t>
            </w:r>
            <w:r w:rsidRPr="00B57B36">
              <w:t>)</w:t>
            </w:r>
          </w:p>
        </w:tc>
      </w:tr>
    </w:tbl>
    <w:p w14:paraId="04FC3833" w14:textId="77777777" w:rsidR="00E82C05" w:rsidRDefault="00E82C05" w:rsidP="00237317">
      <w:pPr>
        <w:pStyle w:val="CETBodytext"/>
        <w:rPr>
          <w:lang w:val="en-GB"/>
        </w:rPr>
      </w:pPr>
    </w:p>
    <w:p w14:paraId="5741900F" w14:textId="264B79AB" w:rsidR="00453E24" w:rsidRDefault="00E82C05" w:rsidP="00453E24">
      <w:pPr>
        <w:pStyle w:val="CETHeading1"/>
      </w:pPr>
      <w:r>
        <w:lastRenderedPageBreak/>
        <w:t>Results</w:t>
      </w:r>
    </w:p>
    <w:p w14:paraId="7C31141D" w14:textId="00AE69A6" w:rsidR="00C70D47" w:rsidRDefault="00453E24" w:rsidP="00453E24">
      <w:pPr>
        <w:pStyle w:val="CETBodytext"/>
      </w:pPr>
      <w:r>
        <w:t>The</w:t>
      </w:r>
      <w:r w:rsidR="004F764F">
        <w:t xml:space="preserve"> </w:t>
      </w:r>
      <w:r w:rsidR="00C70D47">
        <w:t>performance summaries of the base case of the biogas plant considering both paths with PSA and PSWA units in the syngas conditioning step are given in Table 2</w:t>
      </w:r>
      <w:r w:rsidR="00EC2344">
        <w:t>.</w:t>
      </w:r>
    </w:p>
    <w:p w14:paraId="6799D4BB" w14:textId="78FF7621" w:rsidR="00C70D47" w:rsidRPr="00B57B36" w:rsidRDefault="00C70D47" w:rsidP="00C70D47">
      <w:pPr>
        <w:pStyle w:val="CETTabletitle"/>
      </w:pPr>
      <w:r w:rsidRPr="00B57B36">
        <w:t xml:space="preserve">Table </w:t>
      </w:r>
      <w:r>
        <w:t>2</w:t>
      </w:r>
      <w:r w:rsidRPr="00B57B36">
        <w:t xml:space="preserve">: </w:t>
      </w:r>
      <w:r>
        <w:t>Performance Summary of the Base Case with the Pathway for the PSA and PSWA unit.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12"/>
        <w:gridCol w:w="1701"/>
        <w:gridCol w:w="1701"/>
      </w:tblGrid>
      <w:tr w:rsidR="00EB15A0" w:rsidRPr="00B57B36" w14:paraId="2DED6908" w14:textId="5E606B52" w:rsidTr="00411B70">
        <w:tc>
          <w:tcPr>
            <w:tcW w:w="3912" w:type="dxa"/>
            <w:tcBorders>
              <w:top w:val="single" w:sz="12" w:space="0" w:color="008000"/>
              <w:bottom w:val="single" w:sz="6" w:space="0" w:color="008000"/>
            </w:tcBorders>
            <w:shd w:val="clear" w:color="auto" w:fill="FFFFFF"/>
          </w:tcPr>
          <w:p w14:paraId="1382ED97" w14:textId="77777777" w:rsidR="00EB15A0" w:rsidRPr="00B57B36" w:rsidRDefault="00EB15A0" w:rsidP="00D84EF8">
            <w:pPr>
              <w:pStyle w:val="CETBodytext"/>
              <w:rPr>
                <w:lang w:val="en-GB"/>
              </w:rPr>
            </w:pPr>
            <w:r>
              <w:rPr>
                <w:lang w:val="en-GB"/>
              </w:rPr>
              <w:t>Parameter</w:t>
            </w:r>
          </w:p>
        </w:tc>
        <w:tc>
          <w:tcPr>
            <w:tcW w:w="1701" w:type="dxa"/>
            <w:tcBorders>
              <w:top w:val="single" w:sz="12" w:space="0" w:color="008000"/>
              <w:bottom w:val="single" w:sz="6" w:space="0" w:color="008000"/>
            </w:tcBorders>
            <w:shd w:val="clear" w:color="auto" w:fill="FFFFFF"/>
          </w:tcPr>
          <w:p w14:paraId="20E183A9" w14:textId="63503F79" w:rsidR="00EB15A0" w:rsidRPr="00B57B36" w:rsidRDefault="00EB15A0" w:rsidP="00D84EF8">
            <w:pPr>
              <w:pStyle w:val="CETBodytext"/>
              <w:rPr>
                <w:lang w:val="en-GB"/>
              </w:rPr>
            </w:pPr>
            <w:r>
              <w:rPr>
                <w:lang w:val="en-GB"/>
              </w:rPr>
              <w:t>PSA Pathway</w:t>
            </w:r>
          </w:p>
        </w:tc>
        <w:tc>
          <w:tcPr>
            <w:tcW w:w="1701" w:type="dxa"/>
            <w:tcBorders>
              <w:top w:val="single" w:sz="12" w:space="0" w:color="008000"/>
              <w:bottom w:val="single" w:sz="6" w:space="0" w:color="008000"/>
            </w:tcBorders>
            <w:shd w:val="clear" w:color="auto" w:fill="FFFFFF"/>
          </w:tcPr>
          <w:p w14:paraId="34021609" w14:textId="38510920" w:rsidR="00EB15A0" w:rsidRDefault="00EB15A0" w:rsidP="00D84EF8">
            <w:pPr>
              <w:pStyle w:val="CETBodytext"/>
              <w:rPr>
                <w:lang w:val="en-GB"/>
              </w:rPr>
            </w:pPr>
            <w:r>
              <w:rPr>
                <w:lang w:val="en-GB"/>
              </w:rPr>
              <w:t>PSWA Pathway</w:t>
            </w:r>
          </w:p>
        </w:tc>
      </w:tr>
      <w:tr w:rsidR="00EB15A0" w:rsidRPr="00B57B36" w14:paraId="59FC7393" w14:textId="4F142AAA" w:rsidTr="00265E91">
        <w:trPr>
          <w:trHeight w:val="58"/>
        </w:trPr>
        <w:tc>
          <w:tcPr>
            <w:tcW w:w="3912" w:type="dxa"/>
            <w:tcBorders>
              <w:bottom w:val="nil"/>
            </w:tcBorders>
            <w:shd w:val="clear" w:color="auto" w:fill="FFFFFF"/>
          </w:tcPr>
          <w:p w14:paraId="07E322B0" w14:textId="5C69C369" w:rsidR="00EB15A0" w:rsidRPr="00B57B36" w:rsidRDefault="00EB15A0" w:rsidP="00EB15A0">
            <w:pPr>
              <w:pStyle w:val="CETBodytext"/>
              <w:rPr>
                <w:lang w:val="en-GB"/>
              </w:rPr>
            </w:pPr>
            <w:r>
              <w:rPr>
                <w:lang w:val="en-GB"/>
              </w:rPr>
              <w:t>Syngas Production</w:t>
            </w:r>
            <w:r w:rsidR="00265E91">
              <w:rPr>
                <w:lang w:val="en-GB"/>
              </w:rPr>
              <w:t xml:space="preserve"> [t/h]</w:t>
            </w:r>
          </w:p>
        </w:tc>
        <w:tc>
          <w:tcPr>
            <w:tcW w:w="1701" w:type="dxa"/>
            <w:tcBorders>
              <w:bottom w:val="nil"/>
            </w:tcBorders>
            <w:shd w:val="clear" w:color="auto" w:fill="FFFFFF"/>
          </w:tcPr>
          <w:p w14:paraId="2FB6780E" w14:textId="457B37B2" w:rsidR="00EB15A0" w:rsidRPr="00056977" w:rsidRDefault="00EB15A0" w:rsidP="00EB15A0">
            <w:pPr>
              <w:pStyle w:val="CETBodytext"/>
              <w:rPr>
                <w:lang w:val="en-GB"/>
              </w:rPr>
            </w:pPr>
            <w:r>
              <w:rPr>
                <w:lang w:val="en-GB"/>
              </w:rPr>
              <w:t>2.82</w:t>
            </w:r>
          </w:p>
        </w:tc>
        <w:tc>
          <w:tcPr>
            <w:tcW w:w="1701" w:type="dxa"/>
            <w:tcBorders>
              <w:bottom w:val="nil"/>
            </w:tcBorders>
            <w:shd w:val="clear" w:color="auto" w:fill="FFFFFF"/>
          </w:tcPr>
          <w:p w14:paraId="53B59BF7" w14:textId="0F518580" w:rsidR="00EB15A0" w:rsidRDefault="00EB15A0" w:rsidP="00EB15A0">
            <w:pPr>
              <w:pStyle w:val="CETBodytext"/>
              <w:rPr>
                <w:lang w:val="en-GB"/>
              </w:rPr>
            </w:pPr>
            <w:r>
              <w:rPr>
                <w:lang w:val="en-GB"/>
              </w:rPr>
              <w:t>2.82</w:t>
            </w:r>
          </w:p>
        </w:tc>
      </w:tr>
      <w:tr w:rsidR="00265E91" w:rsidRPr="00B57B36" w14:paraId="3E9E8C41" w14:textId="77777777" w:rsidTr="00265E91">
        <w:trPr>
          <w:trHeight w:val="58"/>
        </w:trPr>
        <w:tc>
          <w:tcPr>
            <w:tcW w:w="3912" w:type="dxa"/>
            <w:tcBorders>
              <w:top w:val="nil"/>
              <w:bottom w:val="nil"/>
            </w:tcBorders>
            <w:shd w:val="clear" w:color="auto" w:fill="FFFFFF"/>
          </w:tcPr>
          <w:p w14:paraId="39ECB4B1" w14:textId="79797AFD" w:rsidR="00265E91" w:rsidRDefault="00265E91" w:rsidP="00265E91">
            <w:pPr>
              <w:pStyle w:val="CETBodytext"/>
              <w:rPr>
                <w:lang w:val="en-GB"/>
              </w:rPr>
            </w:pPr>
            <w:r>
              <w:rPr>
                <w:lang w:val="en-GB"/>
              </w:rPr>
              <w:t>Equipment Cost – Reforming [€]</w:t>
            </w:r>
          </w:p>
        </w:tc>
        <w:tc>
          <w:tcPr>
            <w:tcW w:w="1701" w:type="dxa"/>
            <w:tcBorders>
              <w:top w:val="nil"/>
              <w:bottom w:val="nil"/>
            </w:tcBorders>
            <w:shd w:val="clear" w:color="auto" w:fill="FFFFFF"/>
          </w:tcPr>
          <w:p w14:paraId="48DCB18F" w14:textId="57D8817F" w:rsidR="00265E91" w:rsidRPr="001B32FD" w:rsidRDefault="00265E91" w:rsidP="00265E91">
            <w:pPr>
              <w:tabs>
                <w:tab w:val="clear" w:pos="7100"/>
              </w:tabs>
              <w:spacing w:line="240" w:lineRule="auto"/>
              <w:rPr>
                <w:rFonts w:cs="Arial"/>
                <w:color w:val="000000"/>
                <w:szCs w:val="18"/>
              </w:rPr>
            </w:pPr>
            <w:r>
              <w:rPr>
                <w:rFonts w:cs="Arial"/>
                <w:color w:val="000000"/>
                <w:szCs w:val="18"/>
              </w:rPr>
              <w:t>4,014,651.00</w:t>
            </w:r>
          </w:p>
        </w:tc>
        <w:tc>
          <w:tcPr>
            <w:tcW w:w="1701" w:type="dxa"/>
            <w:tcBorders>
              <w:top w:val="nil"/>
              <w:bottom w:val="nil"/>
            </w:tcBorders>
            <w:shd w:val="clear" w:color="auto" w:fill="FFFFFF"/>
          </w:tcPr>
          <w:p w14:paraId="55948AD2" w14:textId="04BE3059" w:rsidR="00265E91" w:rsidRPr="001B32FD" w:rsidRDefault="00265E91" w:rsidP="00265E91">
            <w:pPr>
              <w:tabs>
                <w:tab w:val="clear" w:pos="7100"/>
              </w:tabs>
              <w:spacing w:line="240" w:lineRule="auto"/>
              <w:rPr>
                <w:rFonts w:cs="Arial"/>
                <w:color w:val="000000"/>
                <w:szCs w:val="18"/>
              </w:rPr>
            </w:pPr>
            <w:r>
              <w:rPr>
                <w:rFonts w:cs="Arial"/>
                <w:color w:val="000000"/>
                <w:szCs w:val="18"/>
              </w:rPr>
              <w:t>4,014,651.00</w:t>
            </w:r>
          </w:p>
        </w:tc>
      </w:tr>
      <w:tr w:rsidR="00265E91" w:rsidRPr="00B57B36" w14:paraId="2C9604C2" w14:textId="77777777" w:rsidTr="00265E91">
        <w:trPr>
          <w:trHeight w:val="58"/>
        </w:trPr>
        <w:tc>
          <w:tcPr>
            <w:tcW w:w="3912" w:type="dxa"/>
            <w:tcBorders>
              <w:top w:val="nil"/>
              <w:bottom w:val="nil"/>
            </w:tcBorders>
            <w:shd w:val="clear" w:color="auto" w:fill="FFFFFF"/>
          </w:tcPr>
          <w:p w14:paraId="0359499C" w14:textId="21F28885" w:rsidR="00265E91" w:rsidRDefault="00265E91" w:rsidP="00265E91">
            <w:pPr>
              <w:pStyle w:val="CETBodytext"/>
              <w:rPr>
                <w:lang w:val="en-GB"/>
              </w:rPr>
            </w:pPr>
            <w:r>
              <w:rPr>
                <w:lang w:val="en-GB"/>
              </w:rPr>
              <w:t>Equipment Cost – Syngas Conditioning [€]</w:t>
            </w:r>
          </w:p>
        </w:tc>
        <w:tc>
          <w:tcPr>
            <w:tcW w:w="1701" w:type="dxa"/>
            <w:tcBorders>
              <w:top w:val="nil"/>
              <w:bottom w:val="nil"/>
            </w:tcBorders>
            <w:shd w:val="clear" w:color="auto" w:fill="FFFFFF"/>
          </w:tcPr>
          <w:p w14:paraId="13699B2C" w14:textId="37450391" w:rsidR="00265E91" w:rsidRPr="001B32FD" w:rsidRDefault="00265E91" w:rsidP="00265E91">
            <w:pPr>
              <w:tabs>
                <w:tab w:val="clear" w:pos="7100"/>
              </w:tabs>
              <w:spacing w:line="240" w:lineRule="auto"/>
              <w:rPr>
                <w:rFonts w:cs="Arial"/>
                <w:color w:val="000000"/>
                <w:szCs w:val="18"/>
              </w:rPr>
            </w:pPr>
            <w:r>
              <w:rPr>
                <w:rFonts w:cs="Arial"/>
                <w:color w:val="000000"/>
                <w:szCs w:val="18"/>
              </w:rPr>
              <w:t>1,800,420.43</w:t>
            </w:r>
          </w:p>
        </w:tc>
        <w:tc>
          <w:tcPr>
            <w:tcW w:w="1701" w:type="dxa"/>
            <w:tcBorders>
              <w:top w:val="nil"/>
              <w:bottom w:val="nil"/>
            </w:tcBorders>
            <w:shd w:val="clear" w:color="auto" w:fill="FFFFFF"/>
          </w:tcPr>
          <w:p w14:paraId="5572B4FC" w14:textId="368FE0A5" w:rsidR="00265E91" w:rsidRPr="001B32FD" w:rsidRDefault="00265E91" w:rsidP="00265E91">
            <w:pPr>
              <w:tabs>
                <w:tab w:val="clear" w:pos="7100"/>
              </w:tabs>
              <w:spacing w:line="240" w:lineRule="auto"/>
              <w:rPr>
                <w:rFonts w:cs="Arial"/>
                <w:color w:val="000000"/>
                <w:szCs w:val="18"/>
              </w:rPr>
            </w:pPr>
            <w:r>
              <w:rPr>
                <w:rFonts w:cs="Arial"/>
                <w:color w:val="000000"/>
                <w:szCs w:val="18"/>
              </w:rPr>
              <w:t>1,939,713.43</w:t>
            </w:r>
          </w:p>
        </w:tc>
      </w:tr>
      <w:tr w:rsidR="00265E91" w:rsidRPr="00B57B36" w14:paraId="67B7BAAB" w14:textId="792D3542" w:rsidTr="00265E91">
        <w:trPr>
          <w:trHeight w:val="58"/>
        </w:trPr>
        <w:tc>
          <w:tcPr>
            <w:tcW w:w="3912" w:type="dxa"/>
            <w:tcBorders>
              <w:top w:val="nil"/>
              <w:left w:val="nil"/>
              <w:bottom w:val="nil"/>
              <w:right w:val="nil"/>
            </w:tcBorders>
            <w:shd w:val="clear" w:color="000000" w:fill="FFFFFF"/>
            <w:vAlign w:val="center"/>
          </w:tcPr>
          <w:p w14:paraId="305070FD" w14:textId="1902F247" w:rsidR="00265E91" w:rsidRDefault="00265E91" w:rsidP="00265E91">
            <w:pPr>
              <w:pStyle w:val="CETBodytext"/>
              <w:rPr>
                <w:lang w:val="en-GB"/>
              </w:rPr>
            </w:pPr>
            <w:r>
              <w:rPr>
                <w:lang w:val="en-GB"/>
              </w:rPr>
              <w:t>CAPEX [€]</w:t>
            </w:r>
          </w:p>
        </w:tc>
        <w:tc>
          <w:tcPr>
            <w:tcW w:w="1701" w:type="dxa"/>
            <w:tcBorders>
              <w:top w:val="nil"/>
              <w:bottom w:val="nil"/>
            </w:tcBorders>
            <w:shd w:val="clear" w:color="auto" w:fill="FFFFFF"/>
          </w:tcPr>
          <w:p w14:paraId="190B75ED" w14:textId="2C0C2FC7" w:rsidR="00265E91" w:rsidRPr="00056977" w:rsidRDefault="00265E91" w:rsidP="00265E91">
            <w:pPr>
              <w:pStyle w:val="CETBodytext"/>
              <w:rPr>
                <w:lang w:val="en-GB"/>
              </w:rPr>
            </w:pPr>
            <w:r w:rsidRPr="00D350CF">
              <w:rPr>
                <w:lang w:val="en-GB"/>
              </w:rPr>
              <w:t>7</w:t>
            </w:r>
            <w:r>
              <w:rPr>
                <w:lang w:val="en-GB"/>
              </w:rPr>
              <w:t>,</w:t>
            </w:r>
            <w:r w:rsidRPr="00D350CF">
              <w:rPr>
                <w:lang w:val="en-GB"/>
              </w:rPr>
              <w:t>537</w:t>
            </w:r>
            <w:r>
              <w:rPr>
                <w:lang w:val="en-GB"/>
              </w:rPr>
              <w:t>,</w:t>
            </w:r>
            <w:r w:rsidRPr="00D350CF">
              <w:rPr>
                <w:lang w:val="en-GB"/>
              </w:rPr>
              <w:t>9</w:t>
            </w:r>
            <w:r>
              <w:rPr>
                <w:lang w:val="en-GB"/>
              </w:rPr>
              <w:t>60</w:t>
            </w:r>
            <w:r w:rsidRPr="00D350CF">
              <w:rPr>
                <w:lang w:val="en-GB"/>
              </w:rPr>
              <w:t>.</w:t>
            </w:r>
            <w:r>
              <w:rPr>
                <w:lang w:val="en-GB"/>
              </w:rPr>
              <w:t>00</w:t>
            </w:r>
          </w:p>
        </w:tc>
        <w:tc>
          <w:tcPr>
            <w:tcW w:w="1701" w:type="dxa"/>
            <w:tcBorders>
              <w:top w:val="nil"/>
              <w:bottom w:val="nil"/>
            </w:tcBorders>
            <w:shd w:val="clear" w:color="auto" w:fill="FFFFFF"/>
          </w:tcPr>
          <w:p w14:paraId="56611FB5" w14:textId="589B474B" w:rsidR="00265E91" w:rsidRDefault="00265E91" w:rsidP="00265E91">
            <w:pPr>
              <w:pStyle w:val="CETBodytext"/>
              <w:rPr>
                <w:lang w:val="en-GB"/>
              </w:rPr>
            </w:pPr>
            <w:r w:rsidRPr="00EB15A0">
              <w:rPr>
                <w:lang w:val="en-GB"/>
              </w:rPr>
              <w:t>7</w:t>
            </w:r>
            <w:r>
              <w:rPr>
                <w:lang w:val="en-GB"/>
              </w:rPr>
              <w:t>,</w:t>
            </w:r>
            <w:r w:rsidRPr="00EB15A0">
              <w:rPr>
                <w:lang w:val="en-GB"/>
              </w:rPr>
              <w:t>699</w:t>
            </w:r>
            <w:r>
              <w:rPr>
                <w:lang w:val="en-GB"/>
              </w:rPr>
              <w:t>,</w:t>
            </w:r>
            <w:r w:rsidRPr="00EB15A0">
              <w:rPr>
                <w:lang w:val="en-GB"/>
              </w:rPr>
              <w:t>46</w:t>
            </w:r>
            <w:r>
              <w:rPr>
                <w:lang w:val="en-GB"/>
              </w:rPr>
              <w:t>1</w:t>
            </w:r>
            <w:r w:rsidRPr="00EB15A0">
              <w:rPr>
                <w:lang w:val="en-GB"/>
              </w:rPr>
              <w:t>.</w:t>
            </w:r>
            <w:r>
              <w:rPr>
                <w:lang w:val="en-GB"/>
              </w:rPr>
              <w:t>00</w:t>
            </w:r>
          </w:p>
        </w:tc>
      </w:tr>
      <w:tr w:rsidR="008E4F55" w:rsidRPr="00B57B36" w14:paraId="1DEC9010" w14:textId="670A50F9" w:rsidTr="006A4263">
        <w:trPr>
          <w:trHeight w:val="58"/>
        </w:trPr>
        <w:tc>
          <w:tcPr>
            <w:tcW w:w="3912" w:type="dxa"/>
            <w:tcBorders>
              <w:top w:val="nil"/>
              <w:left w:val="nil"/>
              <w:bottom w:val="nil"/>
              <w:right w:val="nil"/>
            </w:tcBorders>
            <w:shd w:val="clear" w:color="000000" w:fill="FFFFFF"/>
            <w:vAlign w:val="center"/>
          </w:tcPr>
          <w:p w14:paraId="5C391DCB" w14:textId="574491EE" w:rsidR="008E4F55" w:rsidRDefault="008E4F55" w:rsidP="008E4F55">
            <w:pPr>
              <w:pStyle w:val="CETBodytext"/>
              <w:rPr>
                <w:lang w:val="en-GB"/>
              </w:rPr>
            </w:pPr>
            <w:r>
              <w:rPr>
                <w:lang w:val="en-GB"/>
              </w:rPr>
              <w:t>OPEX [€/</w:t>
            </w:r>
            <w:proofErr w:type="spellStart"/>
            <w:r>
              <w:rPr>
                <w:lang w:val="en-GB"/>
              </w:rPr>
              <w:t>yr</w:t>
            </w:r>
            <w:proofErr w:type="spellEnd"/>
            <w:r>
              <w:rPr>
                <w:lang w:val="en-GB"/>
              </w:rPr>
              <w:t>]</w:t>
            </w:r>
          </w:p>
        </w:tc>
        <w:tc>
          <w:tcPr>
            <w:tcW w:w="1701" w:type="dxa"/>
            <w:tcBorders>
              <w:top w:val="nil"/>
              <w:bottom w:val="nil"/>
            </w:tcBorders>
            <w:shd w:val="clear" w:color="auto" w:fill="FFFFFF"/>
            <w:vAlign w:val="center"/>
          </w:tcPr>
          <w:p w14:paraId="1638D914" w14:textId="65AA207B" w:rsidR="008E4F55" w:rsidRPr="00056977" w:rsidRDefault="008E4F55" w:rsidP="008E4F55">
            <w:pPr>
              <w:pStyle w:val="CETBodytext"/>
              <w:rPr>
                <w:lang w:val="en-GB"/>
              </w:rPr>
            </w:pPr>
            <w:r>
              <w:rPr>
                <w:rFonts w:cs="Arial"/>
                <w:color w:val="000000"/>
                <w:szCs w:val="18"/>
              </w:rPr>
              <w:t>5,860,726.00</w:t>
            </w:r>
          </w:p>
        </w:tc>
        <w:tc>
          <w:tcPr>
            <w:tcW w:w="1701" w:type="dxa"/>
            <w:tcBorders>
              <w:top w:val="nil"/>
              <w:bottom w:val="nil"/>
            </w:tcBorders>
            <w:shd w:val="clear" w:color="auto" w:fill="FFFFFF"/>
            <w:vAlign w:val="center"/>
          </w:tcPr>
          <w:p w14:paraId="11D141B8" w14:textId="16347C48" w:rsidR="008E4F55" w:rsidRDefault="008E4F55" w:rsidP="008E4F55">
            <w:pPr>
              <w:pStyle w:val="CETBodytext"/>
              <w:rPr>
                <w:lang w:val="en-GB"/>
              </w:rPr>
            </w:pPr>
            <w:r>
              <w:rPr>
                <w:rFonts w:cs="Arial"/>
                <w:color w:val="000000"/>
                <w:szCs w:val="18"/>
              </w:rPr>
              <w:t>5,961,595.00</w:t>
            </w:r>
          </w:p>
        </w:tc>
      </w:tr>
      <w:tr w:rsidR="008E4F55" w:rsidRPr="00B57B36" w14:paraId="39C92698" w14:textId="23D2DA7B" w:rsidTr="006A4263">
        <w:trPr>
          <w:trHeight w:val="58"/>
        </w:trPr>
        <w:tc>
          <w:tcPr>
            <w:tcW w:w="3912" w:type="dxa"/>
            <w:tcBorders>
              <w:top w:val="nil"/>
              <w:bottom w:val="nil"/>
            </w:tcBorders>
            <w:shd w:val="clear" w:color="auto" w:fill="FFFFFF"/>
          </w:tcPr>
          <w:p w14:paraId="55BAD415" w14:textId="4277D3ED" w:rsidR="008E4F55" w:rsidRDefault="008E4F55" w:rsidP="008E4F55">
            <w:pPr>
              <w:pStyle w:val="CETBodytext"/>
              <w:rPr>
                <w:lang w:val="en-GB"/>
              </w:rPr>
            </w:pPr>
            <w:r>
              <w:rPr>
                <w:lang w:val="en-GB"/>
              </w:rPr>
              <w:t>TAC [€/</w:t>
            </w:r>
            <w:proofErr w:type="spellStart"/>
            <w:r>
              <w:rPr>
                <w:lang w:val="en-GB"/>
              </w:rPr>
              <w:t>yr</w:t>
            </w:r>
            <w:proofErr w:type="spellEnd"/>
            <w:r>
              <w:rPr>
                <w:lang w:val="en-GB"/>
              </w:rPr>
              <w:t>]</w:t>
            </w:r>
          </w:p>
        </w:tc>
        <w:tc>
          <w:tcPr>
            <w:tcW w:w="1701" w:type="dxa"/>
            <w:tcBorders>
              <w:top w:val="nil"/>
              <w:bottom w:val="nil"/>
            </w:tcBorders>
            <w:shd w:val="clear" w:color="auto" w:fill="FFFFFF"/>
            <w:vAlign w:val="center"/>
          </w:tcPr>
          <w:p w14:paraId="7B67021E" w14:textId="69AE4854" w:rsidR="008E4F55" w:rsidRPr="00056977" w:rsidRDefault="008E4F55" w:rsidP="008E4F55">
            <w:pPr>
              <w:pStyle w:val="CETBodytext"/>
              <w:rPr>
                <w:lang w:val="en-GB"/>
              </w:rPr>
            </w:pPr>
            <w:r>
              <w:rPr>
                <w:rFonts w:cs="Arial"/>
                <w:color w:val="000000"/>
                <w:szCs w:val="18"/>
              </w:rPr>
              <w:t>7,368,318.00</w:t>
            </w:r>
          </w:p>
        </w:tc>
        <w:tc>
          <w:tcPr>
            <w:tcW w:w="1701" w:type="dxa"/>
            <w:tcBorders>
              <w:top w:val="nil"/>
              <w:bottom w:val="nil"/>
            </w:tcBorders>
            <w:shd w:val="clear" w:color="auto" w:fill="FFFFFF"/>
            <w:vAlign w:val="center"/>
          </w:tcPr>
          <w:p w14:paraId="6B1461B8" w14:textId="215EC4A3" w:rsidR="008E4F55" w:rsidRPr="00056977" w:rsidRDefault="008E4F55" w:rsidP="008E4F55">
            <w:pPr>
              <w:pStyle w:val="CETBodytext"/>
              <w:rPr>
                <w:lang w:val="en-GB"/>
              </w:rPr>
            </w:pPr>
            <w:r>
              <w:rPr>
                <w:rFonts w:cs="Arial"/>
                <w:color w:val="000000"/>
                <w:szCs w:val="18"/>
              </w:rPr>
              <w:t>7,501,487.00</w:t>
            </w:r>
          </w:p>
        </w:tc>
      </w:tr>
      <w:tr w:rsidR="00B214FF" w:rsidRPr="00B57B36" w14:paraId="48C0F3E1" w14:textId="07F5C32A" w:rsidTr="00411B70">
        <w:tc>
          <w:tcPr>
            <w:tcW w:w="3912" w:type="dxa"/>
            <w:shd w:val="clear" w:color="auto" w:fill="FFFFFF"/>
          </w:tcPr>
          <w:p w14:paraId="615C5417" w14:textId="39E88D22" w:rsidR="00B214FF" w:rsidRDefault="00B214FF" w:rsidP="00B214FF">
            <w:pPr>
              <w:pStyle w:val="CETBodytext"/>
              <w:ind w:right="-1"/>
              <w:rPr>
                <w:rFonts w:cs="Arial"/>
                <w:szCs w:val="18"/>
                <w:lang w:val="en-GB"/>
              </w:rPr>
            </w:pPr>
            <w:r>
              <w:rPr>
                <w:lang w:val="en-GB"/>
              </w:rPr>
              <w:t>Syngas Cost [</w:t>
            </w:r>
            <w:r>
              <w:rPr>
                <w:rFonts w:cs="Arial"/>
                <w:szCs w:val="18"/>
                <w:lang w:val="en-GB"/>
              </w:rPr>
              <w:t>€/kg]</w:t>
            </w:r>
          </w:p>
        </w:tc>
        <w:tc>
          <w:tcPr>
            <w:tcW w:w="1701" w:type="dxa"/>
            <w:shd w:val="clear" w:color="auto" w:fill="FFFFFF"/>
          </w:tcPr>
          <w:p w14:paraId="2E12E64D" w14:textId="7B6A6F2D" w:rsidR="00B214FF" w:rsidRPr="00056977" w:rsidRDefault="00B214FF" w:rsidP="00B214FF">
            <w:pPr>
              <w:pStyle w:val="CETBodytext"/>
              <w:ind w:right="-1"/>
              <w:rPr>
                <w:rFonts w:cs="Arial"/>
                <w:szCs w:val="18"/>
                <w:lang w:val="en-GB"/>
              </w:rPr>
            </w:pPr>
            <w:r w:rsidRPr="000D3BAA">
              <w:rPr>
                <w:rFonts w:cs="Arial"/>
                <w:szCs w:val="18"/>
                <w:lang w:val="en-GB"/>
              </w:rPr>
              <w:t>0.3</w:t>
            </w:r>
            <w:r w:rsidR="008E4F55">
              <w:rPr>
                <w:rFonts w:cs="Arial"/>
                <w:szCs w:val="18"/>
                <w:lang w:val="en-GB"/>
              </w:rPr>
              <w:t>27</w:t>
            </w:r>
          </w:p>
        </w:tc>
        <w:tc>
          <w:tcPr>
            <w:tcW w:w="1701" w:type="dxa"/>
            <w:shd w:val="clear" w:color="auto" w:fill="FFFFFF"/>
          </w:tcPr>
          <w:p w14:paraId="7A4CC459" w14:textId="5CFC8E7F" w:rsidR="00B214FF" w:rsidRPr="00056977" w:rsidRDefault="00B214FF" w:rsidP="00B214FF">
            <w:pPr>
              <w:pStyle w:val="CETBodytext"/>
              <w:ind w:right="-1"/>
              <w:rPr>
                <w:rFonts w:cs="Arial"/>
                <w:szCs w:val="18"/>
                <w:lang w:val="en-GB"/>
              </w:rPr>
            </w:pPr>
            <w:r w:rsidRPr="00F52BFE">
              <w:t>0.3</w:t>
            </w:r>
            <w:r w:rsidR="008E4F55">
              <w:t>33</w:t>
            </w:r>
          </w:p>
        </w:tc>
      </w:tr>
    </w:tbl>
    <w:p w14:paraId="5C4C2CB1" w14:textId="3E17B256" w:rsidR="00C70D47" w:rsidRDefault="00C70D47" w:rsidP="00453E24">
      <w:pPr>
        <w:pStyle w:val="CETBodytext"/>
      </w:pPr>
    </w:p>
    <w:p w14:paraId="59E87E58" w14:textId="77777777" w:rsidR="00A63E98" w:rsidRDefault="00411B70" w:rsidP="00A63E98">
      <w:pPr>
        <w:tabs>
          <w:tab w:val="clear" w:pos="7100"/>
        </w:tabs>
        <w:spacing w:after="200" w:line="276" w:lineRule="auto"/>
      </w:pPr>
      <w:r>
        <w:t xml:space="preserve">The results shows that the difference between the overall costs considering the different paths is </w:t>
      </w:r>
      <w:r w:rsidR="00B214FF">
        <w:t>approximately</w:t>
      </w:r>
      <w:r>
        <w:t xml:space="preserve"> 2%. </w:t>
      </w:r>
      <w:r w:rsidR="001D4446">
        <w:t xml:space="preserve">Considering the equipment cost profiles, </w:t>
      </w:r>
      <w:r w:rsidR="001B32FD">
        <w:t>the reforming section corresponds to near 70% of the total module costs of the entire process.</w:t>
      </w:r>
      <w:r w:rsidR="00B214FF">
        <w:t xml:space="preserve"> For these reasons, while capital and operating costs are higher for the PSWA configuration, the syngas production cost are </w:t>
      </w:r>
      <w:r w:rsidR="00A63E98">
        <w:t>only 2% different</w:t>
      </w:r>
      <w:r w:rsidR="00B214FF">
        <w:t xml:space="preserve">. </w:t>
      </w:r>
    </w:p>
    <w:p w14:paraId="7895ADE4" w14:textId="2D817168" w:rsidR="001B32FD" w:rsidRDefault="004523D6" w:rsidP="00A63E98">
      <w:pPr>
        <w:tabs>
          <w:tab w:val="clear" w:pos="7100"/>
        </w:tabs>
        <w:spacing w:after="200" w:line="276" w:lineRule="auto"/>
      </w:pPr>
      <w:r>
        <w:t>To better understand the cost profile of the syngas conditioning step,</w:t>
      </w:r>
      <w:r w:rsidR="001B32FD">
        <w:t xml:space="preserve"> Figure 4 shows the breakdown of the equipment costs for the syngas conditioning step of both configurations.</w:t>
      </w:r>
    </w:p>
    <w:p w14:paraId="5A87DD87" w14:textId="77777777" w:rsidR="004523D6" w:rsidRDefault="004523D6" w:rsidP="001B32FD">
      <w:pPr>
        <w:pStyle w:val="CETCaption"/>
        <w:rPr>
          <w:rStyle w:val="CETCaptionCarattere"/>
          <w:i/>
        </w:rPr>
      </w:pPr>
      <w:r>
        <w:rPr>
          <w:rStyle w:val="CETCaptionCarattere"/>
          <w:i/>
          <w:noProof/>
        </w:rPr>
        <w:drawing>
          <wp:inline distT="0" distB="0" distL="0" distR="0" wp14:anchorId="1C9AAB70" wp14:editId="28BBE9A3">
            <wp:extent cx="4717181" cy="276298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stretch>
                      <a:fillRect/>
                    </a:stretch>
                  </pic:blipFill>
                  <pic:spPr bwMode="auto">
                    <a:xfrm>
                      <a:off x="0" y="0"/>
                      <a:ext cx="4717181" cy="2762987"/>
                    </a:xfrm>
                    <a:prstGeom prst="rect">
                      <a:avLst/>
                    </a:prstGeom>
                    <a:noFill/>
                    <a:ln>
                      <a:noFill/>
                    </a:ln>
                  </pic:spPr>
                </pic:pic>
              </a:graphicData>
            </a:graphic>
          </wp:inline>
        </w:drawing>
      </w:r>
    </w:p>
    <w:p w14:paraId="14069326" w14:textId="14C1668D" w:rsidR="001B32FD" w:rsidRDefault="001B32FD" w:rsidP="001B32FD">
      <w:pPr>
        <w:pStyle w:val="CETCaption"/>
        <w:rPr>
          <w:rStyle w:val="CETCaptionCarattere"/>
          <w:i/>
        </w:rPr>
      </w:pPr>
      <w:r w:rsidRPr="00BD077D">
        <w:rPr>
          <w:rStyle w:val="CETCaptionCarattere"/>
          <w:i/>
        </w:rPr>
        <w:t xml:space="preserve">Figure </w:t>
      </w:r>
      <w:r>
        <w:rPr>
          <w:rStyle w:val="CETCaptionCarattere"/>
          <w:i/>
        </w:rPr>
        <w:t>4</w:t>
      </w:r>
      <w:r w:rsidRPr="00BD077D">
        <w:rPr>
          <w:rStyle w:val="CETCaptionCarattere"/>
          <w:i/>
        </w:rPr>
        <w:t xml:space="preserve">: </w:t>
      </w:r>
      <w:r>
        <w:rPr>
          <w:rStyle w:val="CETCaptionCarattere"/>
          <w:i/>
        </w:rPr>
        <w:t>Breakdown of equipment cost</w:t>
      </w:r>
    </w:p>
    <w:p w14:paraId="274DD8C7" w14:textId="4CCAC49A" w:rsidR="00D74B37" w:rsidRDefault="004523D6" w:rsidP="005D1A45">
      <w:pPr>
        <w:tabs>
          <w:tab w:val="clear" w:pos="7100"/>
        </w:tabs>
        <w:spacing w:after="200" w:line="276" w:lineRule="auto"/>
      </w:pPr>
      <w:r>
        <w:t xml:space="preserve">The syngas compressors </w:t>
      </w:r>
      <w:r w:rsidR="009837F4">
        <w:t>are the second</w:t>
      </w:r>
      <w:r>
        <w:t xml:space="preserve"> most expensive equipment of the biogas plant</w:t>
      </w:r>
      <w:r w:rsidR="009837F4">
        <w:t xml:space="preserve"> after the reformer</w:t>
      </w:r>
      <w:r>
        <w:t>.</w:t>
      </w:r>
      <w:r w:rsidR="00265E91">
        <w:t xml:space="preserve"> </w:t>
      </w:r>
      <w:r w:rsidR="009837F4">
        <w:t xml:space="preserve">Accounting for only the </w:t>
      </w:r>
      <w:r>
        <w:t>cost of the CO</w:t>
      </w:r>
      <w:r w:rsidRPr="005D1A45">
        <w:rPr>
          <w:vertAlign w:val="subscript"/>
        </w:rPr>
        <w:t>2</w:t>
      </w:r>
      <w:r>
        <w:t xml:space="preserve"> removal </w:t>
      </w:r>
      <w:r w:rsidR="005D1A45">
        <w:t>technologies</w:t>
      </w:r>
      <w:r w:rsidR="009837F4">
        <w:t xml:space="preserve">, </w:t>
      </w:r>
      <w:r w:rsidR="00265E91">
        <w:t xml:space="preserve">the vessels </w:t>
      </w:r>
      <w:r w:rsidR="00DE62F4">
        <w:t>costs are higher</w:t>
      </w:r>
      <w:r w:rsidR="00265E91">
        <w:t xml:space="preserve"> for the PSA, since th</w:t>
      </w:r>
      <w:r w:rsidR="00DE62F4">
        <w:t>ese costs</w:t>
      </w:r>
      <w:r w:rsidR="00265E91">
        <w:t xml:space="preserve"> account for the multiple adsorbent beds </w:t>
      </w:r>
      <w:r w:rsidR="00DE62F4">
        <w:t xml:space="preserve">which are the main components of the PSA unit. The pumps costs are higher in the PSWA because of the higher energy power and the turbine-pump system utilized for energy recovery. </w:t>
      </w:r>
      <w:r w:rsidR="00E66C9A">
        <w:t xml:space="preserve">The overall equipment cost for the PSWA is 8% higher than the PSA. </w:t>
      </w:r>
      <w:r w:rsidR="00DE62F4">
        <w:t xml:space="preserve">However, it is important to remark that </w:t>
      </w:r>
      <w:r w:rsidR="009837F4">
        <w:t xml:space="preserve">both PSA and PSWA units </w:t>
      </w:r>
      <w:r>
        <w:t xml:space="preserve">account for </w:t>
      </w:r>
      <w:r w:rsidR="00155E7A">
        <w:t xml:space="preserve">around 12% of </w:t>
      </w:r>
      <w:r w:rsidR="00265E91">
        <w:t>the entire biogas plant equipment cost</w:t>
      </w:r>
      <w:r w:rsidR="00155E7A">
        <w:t>, thus these units have a minor influence on the process’ CAPEX.</w:t>
      </w:r>
    </w:p>
    <w:p w14:paraId="09406386" w14:textId="0154C036" w:rsidR="00453E24" w:rsidRDefault="00086D12" w:rsidP="005D1A45">
      <w:pPr>
        <w:tabs>
          <w:tab w:val="clear" w:pos="7100"/>
        </w:tabs>
        <w:spacing w:after="200" w:line="276" w:lineRule="auto"/>
      </w:pPr>
      <w:r>
        <w:t>V</w:t>
      </w:r>
      <w:r w:rsidR="00D74B37">
        <w:t>ariable production costs</w:t>
      </w:r>
      <w:r>
        <w:t xml:space="preserve"> makeup more than 67% </w:t>
      </w:r>
      <w:r w:rsidR="00155E7A">
        <w:t xml:space="preserve">of the </w:t>
      </w:r>
      <w:r>
        <w:t>process’ OPEX. For further investigation of the impact of the configuration on these costs, the variable costs</w:t>
      </w:r>
      <w:r w:rsidR="00A63E98">
        <w:t xml:space="preserve"> profiles</w:t>
      </w:r>
      <w:r>
        <w:t xml:space="preserve"> for both</w:t>
      </w:r>
      <w:r w:rsidR="00155E7A">
        <w:t xml:space="preserve"> pathways are</w:t>
      </w:r>
      <w:r w:rsidR="00D74B37">
        <w:t xml:space="preserve"> described in Table 3.</w:t>
      </w:r>
      <w:r w:rsidR="00155E7A">
        <w:t xml:space="preserve"> </w:t>
      </w:r>
    </w:p>
    <w:p w14:paraId="0F544C34" w14:textId="77777777" w:rsidR="00A63E98" w:rsidRDefault="00A63E98" w:rsidP="00453E24">
      <w:pPr>
        <w:pStyle w:val="CETBodytext"/>
      </w:pPr>
    </w:p>
    <w:p w14:paraId="39B68931" w14:textId="784B901D" w:rsidR="00155E7A" w:rsidRPr="00B57B36" w:rsidRDefault="00155E7A" w:rsidP="00155E7A">
      <w:pPr>
        <w:pStyle w:val="CETTabletitle"/>
      </w:pPr>
      <w:r w:rsidRPr="00B57B36">
        <w:lastRenderedPageBreak/>
        <w:t xml:space="preserve">Table </w:t>
      </w:r>
      <w:r w:rsidR="00086D12">
        <w:t>3</w:t>
      </w:r>
      <w:r w:rsidRPr="00B57B36">
        <w:t xml:space="preserve">: </w:t>
      </w:r>
      <w:r w:rsidR="00086D12">
        <w:t>Variable production costs</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12"/>
        <w:gridCol w:w="1701"/>
        <w:gridCol w:w="1701"/>
      </w:tblGrid>
      <w:tr w:rsidR="00155E7A" w:rsidRPr="00B57B36" w14:paraId="7CE84DFF" w14:textId="77777777" w:rsidTr="00570A25">
        <w:tc>
          <w:tcPr>
            <w:tcW w:w="3912" w:type="dxa"/>
            <w:tcBorders>
              <w:top w:val="single" w:sz="12" w:space="0" w:color="008000"/>
              <w:bottom w:val="single" w:sz="6" w:space="0" w:color="008000"/>
            </w:tcBorders>
            <w:shd w:val="clear" w:color="auto" w:fill="FFFFFF"/>
          </w:tcPr>
          <w:p w14:paraId="2AB9F12C" w14:textId="77777777" w:rsidR="00155E7A" w:rsidRPr="00B57B36" w:rsidRDefault="00155E7A" w:rsidP="00570A25">
            <w:pPr>
              <w:pStyle w:val="CETBodytext"/>
              <w:rPr>
                <w:lang w:val="en-GB"/>
              </w:rPr>
            </w:pPr>
            <w:r>
              <w:rPr>
                <w:lang w:val="en-GB"/>
              </w:rPr>
              <w:t>Parameter</w:t>
            </w:r>
          </w:p>
        </w:tc>
        <w:tc>
          <w:tcPr>
            <w:tcW w:w="1701" w:type="dxa"/>
            <w:tcBorders>
              <w:top w:val="single" w:sz="12" w:space="0" w:color="008000"/>
              <w:bottom w:val="single" w:sz="6" w:space="0" w:color="008000"/>
            </w:tcBorders>
            <w:shd w:val="clear" w:color="auto" w:fill="FFFFFF"/>
          </w:tcPr>
          <w:p w14:paraId="3A65ECB1" w14:textId="77777777" w:rsidR="00155E7A" w:rsidRPr="00B57B36" w:rsidRDefault="00155E7A" w:rsidP="00570A25">
            <w:pPr>
              <w:pStyle w:val="CETBodytext"/>
              <w:rPr>
                <w:lang w:val="en-GB"/>
              </w:rPr>
            </w:pPr>
            <w:r>
              <w:rPr>
                <w:lang w:val="en-GB"/>
              </w:rPr>
              <w:t>PSA Pathway</w:t>
            </w:r>
          </w:p>
        </w:tc>
        <w:tc>
          <w:tcPr>
            <w:tcW w:w="1701" w:type="dxa"/>
            <w:tcBorders>
              <w:top w:val="single" w:sz="12" w:space="0" w:color="008000"/>
              <w:bottom w:val="single" w:sz="6" w:space="0" w:color="008000"/>
            </w:tcBorders>
            <w:shd w:val="clear" w:color="auto" w:fill="FFFFFF"/>
          </w:tcPr>
          <w:p w14:paraId="7336159E" w14:textId="77777777" w:rsidR="00155E7A" w:rsidRDefault="00155E7A" w:rsidP="00570A25">
            <w:pPr>
              <w:pStyle w:val="CETBodytext"/>
              <w:rPr>
                <w:lang w:val="en-GB"/>
              </w:rPr>
            </w:pPr>
            <w:r>
              <w:rPr>
                <w:lang w:val="en-GB"/>
              </w:rPr>
              <w:t>PSWA Pathway</w:t>
            </w:r>
          </w:p>
        </w:tc>
      </w:tr>
      <w:tr w:rsidR="008E4F55" w:rsidRPr="00B57B36" w14:paraId="5E6B4F6F" w14:textId="77777777" w:rsidTr="005E7AF8">
        <w:trPr>
          <w:trHeight w:val="58"/>
        </w:trPr>
        <w:tc>
          <w:tcPr>
            <w:tcW w:w="3912" w:type="dxa"/>
            <w:tcBorders>
              <w:bottom w:val="nil"/>
            </w:tcBorders>
            <w:shd w:val="clear" w:color="auto" w:fill="FFFFFF"/>
          </w:tcPr>
          <w:p w14:paraId="77053CB9" w14:textId="1FECCB84" w:rsidR="008E4F55" w:rsidRPr="00B57B36" w:rsidRDefault="008E4F55" w:rsidP="008E4F55">
            <w:pPr>
              <w:pStyle w:val="CETBodytext"/>
              <w:rPr>
                <w:lang w:val="en-GB"/>
              </w:rPr>
            </w:pPr>
            <w:r>
              <w:rPr>
                <w:lang w:val="en-GB"/>
              </w:rPr>
              <w:t>Biogas Costs – Raw Material [€/</w:t>
            </w:r>
            <w:proofErr w:type="spellStart"/>
            <w:r>
              <w:rPr>
                <w:lang w:val="en-GB"/>
              </w:rPr>
              <w:t>yr</w:t>
            </w:r>
            <w:proofErr w:type="spellEnd"/>
            <w:r>
              <w:rPr>
                <w:lang w:val="en-GB"/>
              </w:rPr>
              <w:t>]</w:t>
            </w:r>
          </w:p>
        </w:tc>
        <w:tc>
          <w:tcPr>
            <w:tcW w:w="1701" w:type="dxa"/>
            <w:tcBorders>
              <w:bottom w:val="nil"/>
            </w:tcBorders>
            <w:shd w:val="clear" w:color="auto" w:fill="FFFFFF"/>
            <w:vAlign w:val="center"/>
          </w:tcPr>
          <w:p w14:paraId="1EF7869C" w14:textId="709FF966" w:rsidR="008E4F55" w:rsidRPr="00056977" w:rsidRDefault="008E4F55" w:rsidP="008E4F55">
            <w:pPr>
              <w:pStyle w:val="CETBodytext"/>
              <w:rPr>
                <w:lang w:val="en-GB"/>
              </w:rPr>
            </w:pPr>
            <w:r>
              <w:rPr>
                <w:rFonts w:cs="Arial"/>
                <w:color w:val="000000"/>
                <w:szCs w:val="18"/>
              </w:rPr>
              <w:t>2,069,451.15</w:t>
            </w:r>
          </w:p>
        </w:tc>
        <w:tc>
          <w:tcPr>
            <w:tcW w:w="1701" w:type="dxa"/>
            <w:tcBorders>
              <w:bottom w:val="nil"/>
            </w:tcBorders>
            <w:shd w:val="clear" w:color="auto" w:fill="FFFFFF"/>
            <w:vAlign w:val="center"/>
          </w:tcPr>
          <w:p w14:paraId="18F3DCD3" w14:textId="6A797378" w:rsidR="008E4F55" w:rsidRDefault="008E4F55" w:rsidP="008E4F55">
            <w:pPr>
              <w:pStyle w:val="CETBodytext"/>
              <w:rPr>
                <w:lang w:val="en-GB"/>
              </w:rPr>
            </w:pPr>
            <w:r>
              <w:rPr>
                <w:rFonts w:cs="Arial"/>
                <w:color w:val="000000"/>
                <w:szCs w:val="18"/>
              </w:rPr>
              <w:t>2,069,451.15</w:t>
            </w:r>
          </w:p>
        </w:tc>
      </w:tr>
      <w:tr w:rsidR="008E4F55" w:rsidRPr="00B57B36" w14:paraId="43A3A4E1" w14:textId="77777777" w:rsidTr="005E7AF8">
        <w:trPr>
          <w:trHeight w:val="58"/>
        </w:trPr>
        <w:tc>
          <w:tcPr>
            <w:tcW w:w="3912" w:type="dxa"/>
            <w:tcBorders>
              <w:top w:val="nil"/>
              <w:bottom w:val="nil"/>
            </w:tcBorders>
            <w:shd w:val="clear" w:color="auto" w:fill="FFFFFF"/>
          </w:tcPr>
          <w:p w14:paraId="55D34BC9" w14:textId="1CD272AF" w:rsidR="008E4F55" w:rsidRDefault="008E4F55" w:rsidP="008E4F55">
            <w:pPr>
              <w:pStyle w:val="CETBodytext"/>
              <w:rPr>
                <w:lang w:val="en-GB"/>
              </w:rPr>
            </w:pPr>
            <w:r>
              <w:rPr>
                <w:lang w:val="en-GB"/>
              </w:rPr>
              <w:t>Fuel Costs [€/</w:t>
            </w:r>
            <w:proofErr w:type="spellStart"/>
            <w:r>
              <w:rPr>
                <w:lang w:val="en-GB"/>
              </w:rPr>
              <w:t>yr</w:t>
            </w:r>
            <w:proofErr w:type="spellEnd"/>
            <w:r>
              <w:rPr>
                <w:lang w:val="en-GB"/>
              </w:rPr>
              <w:t>]</w:t>
            </w:r>
          </w:p>
        </w:tc>
        <w:tc>
          <w:tcPr>
            <w:tcW w:w="1701" w:type="dxa"/>
            <w:tcBorders>
              <w:top w:val="nil"/>
              <w:bottom w:val="nil"/>
            </w:tcBorders>
            <w:shd w:val="clear" w:color="auto" w:fill="FFFFFF"/>
            <w:vAlign w:val="center"/>
          </w:tcPr>
          <w:p w14:paraId="260F3E87" w14:textId="10199844" w:rsidR="008E4F55" w:rsidRPr="001B32FD" w:rsidRDefault="008E4F55" w:rsidP="008E4F55">
            <w:pPr>
              <w:tabs>
                <w:tab w:val="clear" w:pos="7100"/>
              </w:tabs>
              <w:spacing w:line="240" w:lineRule="auto"/>
              <w:rPr>
                <w:rFonts w:cs="Arial"/>
                <w:color w:val="000000"/>
                <w:szCs w:val="18"/>
              </w:rPr>
            </w:pPr>
            <w:r>
              <w:rPr>
                <w:rFonts w:cs="Arial"/>
                <w:color w:val="000000"/>
                <w:szCs w:val="18"/>
              </w:rPr>
              <w:t>886,311.32</w:t>
            </w:r>
          </w:p>
        </w:tc>
        <w:tc>
          <w:tcPr>
            <w:tcW w:w="1701" w:type="dxa"/>
            <w:tcBorders>
              <w:top w:val="nil"/>
              <w:bottom w:val="nil"/>
            </w:tcBorders>
            <w:shd w:val="clear" w:color="auto" w:fill="FFFFFF"/>
            <w:vAlign w:val="center"/>
          </w:tcPr>
          <w:p w14:paraId="31DE9916" w14:textId="2D01E900" w:rsidR="008E4F55" w:rsidRPr="001B32FD" w:rsidRDefault="008E4F55" w:rsidP="008E4F55">
            <w:pPr>
              <w:tabs>
                <w:tab w:val="clear" w:pos="7100"/>
              </w:tabs>
              <w:spacing w:line="240" w:lineRule="auto"/>
              <w:rPr>
                <w:rFonts w:cs="Arial"/>
                <w:color w:val="000000"/>
                <w:szCs w:val="18"/>
              </w:rPr>
            </w:pPr>
            <w:r>
              <w:rPr>
                <w:rFonts w:cs="Arial"/>
                <w:color w:val="000000"/>
                <w:szCs w:val="18"/>
              </w:rPr>
              <w:t>886,311.32</w:t>
            </w:r>
          </w:p>
        </w:tc>
      </w:tr>
      <w:tr w:rsidR="008E4F55" w:rsidRPr="00B57B36" w14:paraId="60350A7A" w14:textId="77777777" w:rsidTr="005E7AF8">
        <w:trPr>
          <w:trHeight w:val="58"/>
        </w:trPr>
        <w:tc>
          <w:tcPr>
            <w:tcW w:w="3912" w:type="dxa"/>
            <w:tcBorders>
              <w:top w:val="nil"/>
              <w:bottom w:val="nil"/>
            </w:tcBorders>
            <w:shd w:val="clear" w:color="auto" w:fill="FFFFFF"/>
          </w:tcPr>
          <w:p w14:paraId="77F914F1" w14:textId="4D4A9972" w:rsidR="008E4F55" w:rsidRDefault="008E4F55" w:rsidP="008E4F55">
            <w:pPr>
              <w:pStyle w:val="CETBodytext"/>
              <w:rPr>
                <w:lang w:val="en-GB"/>
              </w:rPr>
            </w:pPr>
            <w:r>
              <w:rPr>
                <w:lang w:val="en-GB"/>
              </w:rPr>
              <w:t>Process Water Costs [€/</w:t>
            </w:r>
            <w:proofErr w:type="spellStart"/>
            <w:r>
              <w:rPr>
                <w:lang w:val="en-GB"/>
              </w:rPr>
              <w:t>yr</w:t>
            </w:r>
            <w:proofErr w:type="spellEnd"/>
            <w:r>
              <w:rPr>
                <w:lang w:val="en-GB"/>
              </w:rPr>
              <w:t>]</w:t>
            </w:r>
          </w:p>
        </w:tc>
        <w:tc>
          <w:tcPr>
            <w:tcW w:w="1701" w:type="dxa"/>
            <w:tcBorders>
              <w:top w:val="nil"/>
              <w:bottom w:val="nil"/>
            </w:tcBorders>
            <w:shd w:val="clear" w:color="auto" w:fill="FFFFFF"/>
            <w:vAlign w:val="center"/>
          </w:tcPr>
          <w:p w14:paraId="29A54D26" w14:textId="4AE0131F" w:rsidR="008E4F55" w:rsidRPr="001B32FD" w:rsidRDefault="008E4F55" w:rsidP="008E4F55">
            <w:pPr>
              <w:tabs>
                <w:tab w:val="clear" w:pos="7100"/>
              </w:tabs>
              <w:spacing w:line="240" w:lineRule="auto"/>
              <w:rPr>
                <w:rFonts w:cs="Arial"/>
                <w:color w:val="000000"/>
                <w:szCs w:val="18"/>
              </w:rPr>
            </w:pPr>
            <w:r>
              <w:rPr>
                <w:rFonts w:cs="Arial"/>
                <w:color w:val="000000"/>
                <w:szCs w:val="18"/>
              </w:rPr>
              <w:t>235,110.03</w:t>
            </w:r>
          </w:p>
        </w:tc>
        <w:tc>
          <w:tcPr>
            <w:tcW w:w="1701" w:type="dxa"/>
            <w:tcBorders>
              <w:top w:val="nil"/>
              <w:bottom w:val="nil"/>
            </w:tcBorders>
            <w:shd w:val="clear" w:color="auto" w:fill="FFFFFF"/>
            <w:vAlign w:val="center"/>
          </w:tcPr>
          <w:p w14:paraId="458D7E5A" w14:textId="39902E3D" w:rsidR="008E4F55" w:rsidRPr="001B32FD" w:rsidRDefault="008E4F55" w:rsidP="008E4F55">
            <w:pPr>
              <w:tabs>
                <w:tab w:val="clear" w:pos="7100"/>
              </w:tabs>
              <w:spacing w:line="240" w:lineRule="auto"/>
              <w:rPr>
                <w:rFonts w:cs="Arial"/>
                <w:color w:val="000000"/>
                <w:szCs w:val="18"/>
              </w:rPr>
            </w:pPr>
            <w:r>
              <w:rPr>
                <w:rFonts w:cs="Arial"/>
                <w:color w:val="000000"/>
                <w:szCs w:val="18"/>
              </w:rPr>
              <w:t>235,110.03</w:t>
            </w:r>
          </w:p>
        </w:tc>
      </w:tr>
      <w:tr w:rsidR="008E4F55" w:rsidRPr="00B57B36" w14:paraId="2B4D2A3F" w14:textId="77777777" w:rsidTr="005E7AF8">
        <w:trPr>
          <w:trHeight w:val="58"/>
        </w:trPr>
        <w:tc>
          <w:tcPr>
            <w:tcW w:w="3912" w:type="dxa"/>
            <w:tcBorders>
              <w:top w:val="nil"/>
              <w:bottom w:val="nil"/>
            </w:tcBorders>
            <w:shd w:val="clear" w:color="auto" w:fill="FFFFFF"/>
            <w:vAlign w:val="center"/>
          </w:tcPr>
          <w:p w14:paraId="0248D718" w14:textId="1B999303" w:rsidR="008E4F55" w:rsidRDefault="008E4F55" w:rsidP="008E4F55">
            <w:pPr>
              <w:pStyle w:val="CETBodytext"/>
              <w:rPr>
                <w:lang w:val="en-GB"/>
              </w:rPr>
            </w:pPr>
            <w:r>
              <w:rPr>
                <w:lang w:val="en-GB"/>
              </w:rPr>
              <w:t>Electricity Costs [€/</w:t>
            </w:r>
            <w:proofErr w:type="spellStart"/>
            <w:r>
              <w:rPr>
                <w:lang w:val="en-GB"/>
              </w:rPr>
              <w:t>yr</w:t>
            </w:r>
            <w:proofErr w:type="spellEnd"/>
            <w:r>
              <w:rPr>
                <w:lang w:val="en-GB"/>
              </w:rPr>
              <w:t>]</w:t>
            </w:r>
          </w:p>
        </w:tc>
        <w:tc>
          <w:tcPr>
            <w:tcW w:w="1701" w:type="dxa"/>
            <w:tcBorders>
              <w:top w:val="nil"/>
              <w:bottom w:val="nil"/>
            </w:tcBorders>
            <w:shd w:val="clear" w:color="auto" w:fill="FFFFFF"/>
            <w:vAlign w:val="center"/>
          </w:tcPr>
          <w:p w14:paraId="3F70671F" w14:textId="7007B06C" w:rsidR="008E4F55" w:rsidRPr="00056977" w:rsidRDefault="008E4F55" w:rsidP="008E4F55">
            <w:pPr>
              <w:pStyle w:val="CETBodytext"/>
              <w:rPr>
                <w:lang w:val="en-GB"/>
              </w:rPr>
            </w:pPr>
            <w:r>
              <w:rPr>
                <w:rFonts w:cs="Arial"/>
                <w:color w:val="000000"/>
                <w:szCs w:val="18"/>
              </w:rPr>
              <w:t>800,855.35</w:t>
            </w:r>
          </w:p>
        </w:tc>
        <w:tc>
          <w:tcPr>
            <w:tcW w:w="1701" w:type="dxa"/>
            <w:tcBorders>
              <w:top w:val="nil"/>
              <w:bottom w:val="nil"/>
            </w:tcBorders>
            <w:shd w:val="clear" w:color="auto" w:fill="FFFFFF"/>
            <w:vAlign w:val="center"/>
          </w:tcPr>
          <w:p w14:paraId="5630DAF7" w14:textId="6545CECE" w:rsidR="008E4F55" w:rsidRPr="00056977" w:rsidRDefault="008E4F55" w:rsidP="008E4F55">
            <w:pPr>
              <w:pStyle w:val="CETBodytext"/>
              <w:rPr>
                <w:lang w:val="en-GB"/>
              </w:rPr>
            </w:pPr>
            <w:r>
              <w:rPr>
                <w:rFonts w:cs="Arial"/>
                <w:color w:val="000000"/>
                <w:szCs w:val="18"/>
              </w:rPr>
              <w:t>880,318.38</w:t>
            </w:r>
          </w:p>
        </w:tc>
      </w:tr>
      <w:tr w:rsidR="008E4F55" w:rsidRPr="00B57B36" w14:paraId="1E6D4242" w14:textId="77777777" w:rsidTr="005E7AF8">
        <w:tc>
          <w:tcPr>
            <w:tcW w:w="3912" w:type="dxa"/>
            <w:shd w:val="clear" w:color="auto" w:fill="FFFFFF"/>
            <w:vAlign w:val="center"/>
          </w:tcPr>
          <w:p w14:paraId="4A5A77AC" w14:textId="5FCC522B" w:rsidR="008E4F55" w:rsidRDefault="008E4F55" w:rsidP="008E4F55">
            <w:pPr>
              <w:pStyle w:val="CETBodytext"/>
              <w:ind w:right="-1"/>
              <w:rPr>
                <w:rFonts w:cs="Arial"/>
                <w:szCs w:val="18"/>
                <w:lang w:val="en-GB"/>
              </w:rPr>
            </w:pPr>
            <w:r>
              <w:rPr>
                <w:lang w:val="en-GB"/>
              </w:rPr>
              <w:t>Cooling Water Costs [€/</w:t>
            </w:r>
            <w:proofErr w:type="spellStart"/>
            <w:r>
              <w:rPr>
                <w:lang w:val="en-GB"/>
              </w:rPr>
              <w:t>yr</w:t>
            </w:r>
            <w:proofErr w:type="spellEnd"/>
            <w:r>
              <w:rPr>
                <w:lang w:val="en-GB"/>
              </w:rPr>
              <w:t>]</w:t>
            </w:r>
          </w:p>
        </w:tc>
        <w:tc>
          <w:tcPr>
            <w:tcW w:w="1701" w:type="dxa"/>
            <w:shd w:val="clear" w:color="auto" w:fill="FFFFFF"/>
            <w:vAlign w:val="center"/>
          </w:tcPr>
          <w:p w14:paraId="0BADD196" w14:textId="3B85AAA0" w:rsidR="008E4F55" w:rsidRPr="00056977" w:rsidRDefault="008E4F55" w:rsidP="008E4F55">
            <w:pPr>
              <w:pStyle w:val="CETBodytext"/>
              <w:ind w:right="-1"/>
              <w:rPr>
                <w:rFonts w:cs="Arial"/>
                <w:szCs w:val="18"/>
                <w:lang w:val="en-GB"/>
              </w:rPr>
            </w:pPr>
            <w:r>
              <w:rPr>
                <w:rFonts w:cs="Arial"/>
                <w:color w:val="000000"/>
                <w:szCs w:val="18"/>
              </w:rPr>
              <w:t>27,990.64</w:t>
            </w:r>
          </w:p>
        </w:tc>
        <w:tc>
          <w:tcPr>
            <w:tcW w:w="1701" w:type="dxa"/>
            <w:shd w:val="clear" w:color="auto" w:fill="FFFFFF"/>
            <w:vAlign w:val="center"/>
          </w:tcPr>
          <w:p w14:paraId="264E21A3" w14:textId="3016ADDE" w:rsidR="008E4F55" w:rsidRPr="00056977" w:rsidRDefault="008E4F55" w:rsidP="008E4F55">
            <w:pPr>
              <w:pStyle w:val="CETBodytext"/>
              <w:ind w:right="-1"/>
              <w:rPr>
                <w:rFonts w:cs="Arial"/>
                <w:szCs w:val="18"/>
                <w:lang w:val="en-GB"/>
              </w:rPr>
            </w:pPr>
            <w:r>
              <w:rPr>
                <w:rFonts w:cs="Arial"/>
                <w:color w:val="000000"/>
                <w:szCs w:val="18"/>
              </w:rPr>
              <w:t>33,115.14</w:t>
            </w:r>
          </w:p>
        </w:tc>
      </w:tr>
    </w:tbl>
    <w:p w14:paraId="086E836A" w14:textId="77777777" w:rsidR="00D74B37" w:rsidRDefault="00D74B37" w:rsidP="00453E24">
      <w:pPr>
        <w:pStyle w:val="CETBodytext"/>
      </w:pPr>
    </w:p>
    <w:p w14:paraId="6E7FF67B" w14:textId="2DF27696" w:rsidR="00AC2BB8" w:rsidRDefault="00A63E98" w:rsidP="005D1A45">
      <w:pPr>
        <w:tabs>
          <w:tab w:val="clear" w:pos="7100"/>
        </w:tabs>
        <w:spacing w:after="200" w:line="276" w:lineRule="auto"/>
      </w:pPr>
      <w:r>
        <w:t xml:space="preserve">The biogas costs, counting the use as raw material and fuel, are the main contributors of the operating costs, which highlights the importance of the biogas price in the economic viability of the process. </w:t>
      </w:r>
      <w:r w:rsidR="00AC2BB8">
        <w:t>The PSWA unit consumes more electricity overall than the PSA unit, because the compressors need to work with the larger flowrate of the crude syngas, consuming more power. However, the difference of less than 10% between the values shows the high energy efficiency of the turbine-pump system of the PSWA unit.</w:t>
      </w:r>
    </w:p>
    <w:p w14:paraId="637FE398" w14:textId="74625FDF" w:rsidR="00AC2BB8" w:rsidRDefault="00101CF0" w:rsidP="005D1A45">
      <w:pPr>
        <w:tabs>
          <w:tab w:val="clear" w:pos="7100"/>
        </w:tabs>
        <w:spacing w:after="200" w:line="276" w:lineRule="auto"/>
      </w:pPr>
      <w:r>
        <w:t>A sensitivity analysis was performed to investigate the influence of the biogas composition on the economic performance of the plant. Figure 5 shows the influence of the methane content in biogas in the equipment cost of each section</w:t>
      </w:r>
      <w:r w:rsidR="00247DB2">
        <w:t xml:space="preserve"> while Figure 6 shows the influence in the variable product costs.</w:t>
      </w:r>
    </w:p>
    <w:p w14:paraId="4203F87F" w14:textId="095D57BE" w:rsidR="00101CF0" w:rsidRDefault="00101CF0" w:rsidP="00101CF0">
      <w:pPr>
        <w:pStyle w:val="CETCaption"/>
        <w:rPr>
          <w:rStyle w:val="CETCaptionCarattere"/>
          <w:i/>
        </w:rPr>
      </w:pPr>
      <w:r>
        <w:rPr>
          <w:rStyle w:val="CETCaptionCarattere"/>
          <w:i/>
          <w:noProof/>
        </w:rPr>
        <w:drawing>
          <wp:inline distT="0" distB="0" distL="0" distR="0" wp14:anchorId="7982DE99" wp14:editId="17DC1996">
            <wp:extent cx="3210348" cy="19907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5"/>
                    <a:srcRect l="589" r="996" b="2357"/>
                    <a:stretch/>
                  </pic:blipFill>
                  <pic:spPr bwMode="auto">
                    <a:xfrm>
                      <a:off x="0" y="0"/>
                      <a:ext cx="3213139" cy="1992456"/>
                    </a:xfrm>
                    <a:prstGeom prst="rect">
                      <a:avLst/>
                    </a:prstGeom>
                    <a:noFill/>
                    <a:ln>
                      <a:noFill/>
                    </a:ln>
                    <a:extLst>
                      <a:ext uri="{53640926-AAD7-44D8-BBD7-CCE9431645EC}">
                        <a14:shadowObscured xmlns:a14="http://schemas.microsoft.com/office/drawing/2010/main"/>
                      </a:ext>
                    </a:extLst>
                  </pic:spPr>
                </pic:pic>
              </a:graphicData>
            </a:graphic>
          </wp:inline>
        </w:drawing>
      </w:r>
    </w:p>
    <w:p w14:paraId="2D60E6CC" w14:textId="4658E317" w:rsidR="00101CF0" w:rsidRDefault="00101CF0" w:rsidP="00101CF0">
      <w:pPr>
        <w:pStyle w:val="CETCaption"/>
        <w:rPr>
          <w:rStyle w:val="CETCaptionCarattere"/>
          <w:i/>
        </w:rPr>
      </w:pPr>
      <w:r w:rsidRPr="00BD077D">
        <w:rPr>
          <w:rStyle w:val="CETCaptionCarattere"/>
          <w:i/>
        </w:rPr>
        <w:t xml:space="preserve">Figure </w:t>
      </w:r>
      <w:r>
        <w:rPr>
          <w:rStyle w:val="CETCaptionCarattere"/>
          <w:i/>
        </w:rPr>
        <w:t>5</w:t>
      </w:r>
      <w:r w:rsidRPr="00BD077D">
        <w:rPr>
          <w:rStyle w:val="CETCaptionCarattere"/>
          <w:i/>
        </w:rPr>
        <w:t xml:space="preserve">: </w:t>
      </w:r>
      <w:r>
        <w:rPr>
          <w:rStyle w:val="CETCaptionCarattere"/>
          <w:i/>
        </w:rPr>
        <w:t>Influence of the biogas composition on the equipment cost</w:t>
      </w:r>
    </w:p>
    <w:p w14:paraId="297FAD1A" w14:textId="08E98587" w:rsidR="00247DB2" w:rsidRDefault="005D1A45" w:rsidP="00247DB2">
      <w:pPr>
        <w:pStyle w:val="CETCaption"/>
        <w:rPr>
          <w:rStyle w:val="CETCaptionCarattere"/>
          <w:i/>
        </w:rPr>
      </w:pPr>
      <w:r>
        <w:rPr>
          <w:rStyle w:val="CETCaptionCarattere"/>
          <w:i/>
          <w:noProof/>
        </w:rPr>
        <w:drawing>
          <wp:inline distT="0" distB="0" distL="0" distR="0" wp14:anchorId="01B44405" wp14:editId="1B6B176F">
            <wp:extent cx="3206199" cy="20050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16"/>
                    <a:srcRect l="1268" r="1377" b="2591"/>
                    <a:stretch/>
                  </pic:blipFill>
                  <pic:spPr bwMode="auto">
                    <a:xfrm>
                      <a:off x="0" y="0"/>
                      <a:ext cx="3211499" cy="2008328"/>
                    </a:xfrm>
                    <a:prstGeom prst="rect">
                      <a:avLst/>
                    </a:prstGeom>
                    <a:noFill/>
                    <a:ln>
                      <a:noFill/>
                    </a:ln>
                    <a:extLst>
                      <a:ext uri="{53640926-AAD7-44D8-BBD7-CCE9431645EC}">
                        <a14:shadowObscured xmlns:a14="http://schemas.microsoft.com/office/drawing/2010/main"/>
                      </a:ext>
                    </a:extLst>
                  </pic:spPr>
                </pic:pic>
              </a:graphicData>
            </a:graphic>
          </wp:inline>
        </w:drawing>
      </w:r>
    </w:p>
    <w:p w14:paraId="18FC7E22" w14:textId="1469BE2D" w:rsidR="00247DB2" w:rsidRDefault="00247DB2" w:rsidP="00101CF0">
      <w:pPr>
        <w:pStyle w:val="CETCaption"/>
        <w:rPr>
          <w:rStyle w:val="CETCaptionCarattere"/>
          <w:i/>
        </w:rPr>
      </w:pPr>
      <w:r w:rsidRPr="00BD077D">
        <w:rPr>
          <w:rStyle w:val="CETCaptionCarattere"/>
          <w:i/>
        </w:rPr>
        <w:t xml:space="preserve">Figure </w:t>
      </w:r>
      <w:r>
        <w:rPr>
          <w:rStyle w:val="CETCaptionCarattere"/>
          <w:i/>
        </w:rPr>
        <w:t>6</w:t>
      </w:r>
      <w:r w:rsidRPr="00BD077D">
        <w:rPr>
          <w:rStyle w:val="CETCaptionCarattere"/>
          <w:i/>
        </w:rPr>
        <w:t xml:space="preserve">: </w:t>
      </w:r>
      <w:r>
        <w:rPr>
          <w:rStyle w:val="CETCaptionCarattere"/>
          <w:i/>
        </w:rPr>
        <w:t>Influence of the biogas composition on the variable product costs</w:t>
      </w:r>
    </w:p>
    <w:p w14:paraId="10B915D8" w14:textId="15AE4B40" w:rsidR="00247DB2" w:rsidRDefault="009628C8" w:rsidP="005D1A45">
      <w:pPr>
        <w:tabs>
          <w:tab w:val="clear" w:pos="7100"/>
        </w:tabs>
        <w:spacing w:after="200" w:line="276" w:lineRule="auto"/>
      </w:pPr>
      <w:r>
        <w:t xml:space="preserve">The reformer </w:t>
      </w:r>
      <w:r w:rsidR="00247DB2">
        <w:t xml:space="preserve">and fuel </w:t>
      </w:r>
      <w:r>
        <w:t xml:space="preserve">costs </w:t>
      </w:r>
      <w:r w:rsidR="00183BE3">
        <w:t>increase</w:t>
      </w:r>
      <w:r>
        <w:t xml:space="preserve"> with the higher methane content because the energy demand of the reformer increases, since the </w:t>
      </w:r>
      <w:r w:rsidR="00247DB2">
        <w:t xml:space="preserve">reactor yield is higher and the methane </w:t>
      </w:r>
      <w:r>
        <w:t>reforming reaction is e</w:t>
      </w:r>
      <w:r w:rsidR="00E66C9A">
        <w:t>nd</w:t>
      </w:r>
      <w:r>
        <w:t xml:space="preserve">othermic. The syngas conditioning steps </w:t>
      </w:r>
      <w:r w:rsidR="00247DB2">
        <w:t xml:space="preserve">equipment and operating costs </w:t>
      </w:r>
      <w:r>
        <w:t>decreases, since less CO</w:t>
      </w:r>
      <w:r w:rsidRPr="005D1A45">
        <w:rPr>
          <w:vertAlign w:val="subscript"/>
        </w:rPr>
        <w:t>2</w:t>
      </w:r>
      <w:r>
        <w:t xml:space="preserve"> needs to be removed, allowing for smaller units</w:t>
      </w:r>
      <w:r w:rsidR="00247DB2">
        <w:t xml:space="preserve"> and less energy to be consumed. As expected, the steam costs also </w:t>
      </w:r>
      <w:r w:rsidR="005D1A45">
        <w:t>rise</w:t>
      </w:r>
      <w:r w:rsidR="00247DB2" w:rsidRPr="00183BE3">
        <w:t xml:space="preserve"> </w:t>
      </w:r>
      <w:r w:rsidR="00247DB2">
        <w:t xml:space="preserve">with the </w:t>
      </w:r>
      <w:r w:rsidR="00247DB2">
        <w:lastRenderedPageBreak/>
        <w:t>higher methane content, since the steam/methane ratio was fixed, higher methane at the reformer feed consumes a higher amount of steam.</w:t>
      </w:r>
    </w:p>
    <w:p w14:paraId="025A5C6D" w14:textId="7105568B" w:rsidR="00247DB2" w:rsidRDefault="00247DB2" w:rsidP="005D1A45">
      <w:pPr>
        <w:tabs>
          <w:tab w:val="clear" w:pos="7100"/>
        </w:tabs>
        <w:spacing w:after="200" w:line="276" w:lineRule="auto"/>
      </w:pPr>
      <w:r>
        <w:t>For the equipment costs, the varia</w:t>
      </w:r>
      <w:r w:rsidR="00E66C9A">
        <w:t>tion</w:t>
      </w:r>
      <w:r>
        <w:t xml:space="preserve"> of reforming section costs is more significant than the syngas conditioning expenses (an increase of 10% of reformer costs, compared to a decrease of around 1% for the syngas condition equipment cost). Comparing the carbon capture technologies, </w:t>
      </w:r>
      <w:r w:rsidR="007D58D2">
        <w:t xml:space="preserve">the conditioning with the PSWA </w:t>
      </w:r>
      <w:r w:rsidR="0008637C">
        <w:t>consumes less energy</w:t>
      </w:r>
      <w:r w:rsidR="007D58D2">
        <w:t xml:space="preserve"> with higher quality biogas</w:t>
      </w:r>
      <w:r w:rsidR="0008637C">
        <w:t xml:space="preserve"> (from 705 kW at 60% CH</w:t>
      </w:r>
      <w:r w:rsidR="0008637C" w:rsidRPr="0008637C">
        <w:rPr>
          <w:vertAlign w:val="subscript"/>
        </w:rPr>
        <w:t>4</w:t>
      </w:r>
      <w:r w:rsidR="0008637C">
        <w:t xml:space="preserve"> to 685 kW at 70% CH</w:t>
      </w:r>
      <w:r w:rsidR="0008637C" w:rsidRPr="0008637C">
        <w:rPr>
          <w:vertAlign w:val="subscript"/>
        </w:rPr>
        <w:t>4</w:t>
      </w:r>
      <w:r w:rsidR="0008637C">
        <w:t xml:space="preserve">) while the PSA stays relatively </w:t>
      </w:r>
      <w:r w:rsidR="009809B0">
        <w:t>the same</w:t>
      </w:r>
      <w:r w:rsidR="0008637C">
        <w:t xml:space="preserve"> (around 640 kW)</w:t>
      </w:r>
      <w:r w:rsidR="007D58D2">
        <w:t xml:space="preserve">, as </w:t>
      </w:r>
      <w:r w:rsidR="00744A50">
        <w:t>can be seen in Figure 6, where</w:t>
      </w:r>
      <w:r w:rsidR="007D58D2">
        <w:t xml:space="preserve"> </w:t>
      </w:r>
      <w:r>
        <w:t xml:space="preserve">the reduction of the PSWA costs </w:t>
      </w:r>
      <w:r w:rsidR="00744A50">
        <w:t xml:space="preserve">are </w:t>
      </w:r>
      <w:r>
        <w:t xml:space="preserve">larger than the </w:t>
      </w:r>
      <w:r w:rsidR="007D58D2">
        <w:t xml:space="preserve">reduction for the </w:t>
      </w:r>
      <w:r>
        <w:t xml:space="preserve">PSA </w:t>
      </w:r>
      <w:r w:rsidR="007D58D2">
        <w:t>pathway</w:t>
      </w:r>
      <w:r w:rsidR="00744A50">
        <w:t xml:space="preserve"> with a higher methane content</w:t>
      </w:r>
      <w:r w:rsidR="00E66C9A">
        <w:t>.</w:t>
      </w:r>
    </w:p>
    <w:p w14:paraId="68D26B83" w14:textId="77777777" w:rsidR="00600535" w:rsidRPr="00B57B36" w:rsidRDefault="00600535" w:rsidP="00600535">
      <w:pPr>
        <w:pStyle w:val="CETHeading1"/>
        <w:rPr>
          <w:lang w:val="en-GB"/>
        </w:rPr>
      </w:pPr>
      <w:r w:rsidRPr="00B57B36">
        <w:rPr>
          <w:lang w:val="en-GB"/>
        </w:rPr>
        <w:t>Conclusions</w:t>
      </w:r>
    </w:p>
    <w:p w14:paraId="3DA2191C" w14:textId="3E971464" w:rsidR="005D1A45" w:rsidRDefault="00875373" w:rsidP="005D1A45">
      <w:pPr>
        <w:tabs>
          <w:tab w:val="clear" w:pos="7100"/>
        </w:tabs>
        <w:spacing w:after="200" w:line="276" w:lineRule="auto"/>
      </w:pPr>
      <w:r>
        <w:t xml:space="preserve">This study provided </w:t>
      </w:r>
      <w:r w:rsidR="00F32895">
        <w:t>an investigation of the economic performance</w:t>
      </w:r>
      <w:r>
        <w:t xml:space="preserve"> of </w:t>
      </w:r>
      <w:r w:rsidR="00F32895">
        <w:t xml:space="preserve">a biogas reforming process with </w:t>
      </w:r>
      <w:r>
        <w:t>two distinct configurations for the syngas conditionin</w:t>
      </w:r>
      <w:r w:rsidR="00F32895">
        <w:t>g</w:t>
      </w:r>
      <w:r>
        <w:t>, utilizing clean CO</w:t>
      </w:r>
      <w:r w:rsidRPr="005D1A45">
        <w:rPr>
          <w:vertAlign w:val="subscript"/>
        </w:rPr>
        <w:t>2</w:t>
      </w:r>
      <w:r>
        <w:t xml:space="preserve"> removal technologies. T</w:t>
      </w:r>
      <w:r w:rsidR="00F32895">
        <w:t xml:space="preserve">he PSA pathway showed a lower syngas production cost, but the overall </w:t>
      </w:r>
      <w:r w:rsidR="00F32895" w:rsidRPr="00F32895">
        <w:t>cost disparity was insufficient to rule out the viability of the PSWA</w:t>
      </w:r>
      <w:r w:rsidR="00F32895">
        <w:t xml:space="preserve">, since other factors such as complexity of process control were not considered in the present work. </w:t>
      </w:r>
    </w:p>
    <w:p w14:paraId="5933E018" w14:textId="72DFA6B3" w:rsidR="00875373" w:rsidRDefault="00247DB2" w:rsidP="005D1A45">
      <w:pPr>
        <w:tabs>
          <w:tab w:val="clear" w:pos="7100"/>
        </w:tabs>
        <w:spacing w:after="200" w:line="276" w:lineRule="auto"/>
      </w:pPr>
      <w:r>
        <w:t xml:space="preserve">The </w:t>
      </w:r>
      <w:r w:rsidR="005D1A45">
        <w:t xml:space="preserve">biogas composition </w:t>
      </w:r>
      <w:r>
        <w:t>sensitivity analysis showed that the</w:t>
      </w:r>
      <w:r w:rsidR="005D1A45">
        <w:t xml:space="preserve"> change in the reforming section capital expenses is much more significant than the syngas adjusting section. The results from the PSWA also showed </w:t>
      </w:r>
      <w:r w:rsidR="007D0B4F">
        <w:t>a</w:t>
      </w:r>
      <w:r w:rsidR="005D1A45">
        <w:t xml:space="preserve"> </w:t>
      </w:r>
      <w:r w:rsidR="009809B0">
        <w:t>decreasing energy consumption</w:t>
      </w:r>
      <w:r w:rsidR="005D1A45">
        <w:t xml:space="preserve"> with higher methane content</w:t>
      </w:r>
      <w:r w:rsidR="009809B0">
        <w:t xml:space="preserve"> when compared to the PSA</w:t>
      </w:r>
      <w:r w:rsidR="005D1A45">
        <w:t xml:space="preserve">, which can indicate favourable scenarios for the application of this particular technology. </w:t>
      </w:r>
      <w:r w:rsidR="00F32895">
        <w:t xml:space="preserve">Further works, such as an optimization of the process variables conditioned to each configuration can be performed to </w:t>
      </w:r>
      <w:r w:rsidR="00023741">
        <w:t>try and obtain higher efficiency and increase economic viability.</w:t>
      </w:r>
    </w:p>
    <w:p w14:paraId="07A6D20F" w14:textId="0ECF229E"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7DFFBF41" w14:textId="3217808E" w:rsidR="00280FAF" w:rsidRPr="00280FAF" w:rsidRDefault="00023741"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r>
        <w:rPr>
          <w:rFonts w:eastAsia="SimSun"/>
        </w:rPr>
        <w:t xml:space="preserve">CAPEX </w:t>
      </w:r>
      <w:r w:rsidR="00280FAF" w:rsidRPr="00280FAF">
        <w:rPr>
          <w:rFonts w:eastAsia="SimSun"/>
        </w:rPr>
        <w:t xml:space="preserve">– </w:t>
      </w:r>
      <w:r>
        <w:rPr>
          <w:rFonts w:eastAsia="SimSun"/>
        </w:rPr>
        <w:t>Capital Expenditure, €</w:t>
      </w:r>
    </w:p>
    <w:p w14:paraId="57590CE2" w14:textId="5F9FF1A1" w:rsidR="00280FAF" w:rsidRPr="00280FAF" w:rsidRDefault="00023741" w:rsidP="00280FAF">
      <w:pPr>
        <w:pStyle w:val="CETBodytext"/>
        <w:jc w:val="left"/>
        <w:rPr>
          <w:rFonts w:eastAsia="SimSun"/>
        </w:rPr>
      </w:pPr>
      <w:r>
        <w:rPr>
          <w:rFonts w:eastAsia="SimSun"/>
        </w:rPr>
        <w:t>OPEX</w:t>
      </w:r>
      <w:r w:rsidR="00280FAF" w:rsidRPr="00280FAF">
        <w:rPr>
          <w:rFonts w:eastAsia="SimSun"/>
        </w:rPr>
        <w:t xml:space="preserve"> – </w:t>
      </w:r>
      <w:r>
        <w:rPr>
          <w:rFonts w:eastAsia="SimSun"/>
        </w:rPr>
        <w:t>Operational Expenditure, €/</w:t>
      </w:r>
      <w:proofErr w:type="spellStart"/>
      <w:r>
        <w:rPr>
          <w:rFonts w:eastAsia="SimSun"/>
        </w:rPr>
        <w:t>yr</w:t>
      </w:r>
      <w:proofErr w:type="spellEnd"/>
    </w:p>
    <w:p w14:paraId="0718B861" w14:textId="722B9D0D" w:rsidR="00280FAF" w:rsidRDefault="00280FAF" w:rsidP="00280FAF">
      <w:pPr>
        <w:pStyle w:val="CETBodytext"/>
        <w:jc w:val="left"/>
        <w:rPr>
          <w:rFonts w:eastAsia="SimSun"/>
        </w:rPr>
      </w:pPr>
      <w:r w:rsidRPr="00280FAF">
        <w:rPr>
          <w:rFonts w:eastAsia="SimSun"/>
        </w:rPr>
        <w:t>P</w:t>
      </w:r>
      <w:r w:rsidR="00023741">
        <w:rPr>
          <w:rFonts w:eastAsia="SimSun"/>
        </w:rPr>
        <w:t>SA</w:t>
      </w:r>
      <w:r w:rsidRPr="00280FAF">
        <w:rPr>
          <w:rFonts w:eastAsia="SimSun"/>
        </w:rPr>
        <w:t xml:space="preserve"> – </w:t>
      </w:r>
      <w:r w:rsidR="00023741">
        <w:rPr>
          <w:rFonts w:eastAsia="SimSun"/>
        </w:rPr>
        <w:t>pressure swing adsorption</w:t>
      </w:r>
    </w:p>
    <w:p w14:paraId="1DD79121" w14:textId="16059D36" w:rsidR="00023741" w:rsidRDefault="00023741" w:rsidP="00023741">
      <w:pPr>
        <w:pStyle w:val="CETBodytext"/>
        <w:jc w:val="left"/>
        <w:rPr>
          <w:rFonts w:eastAsia="SimSun"/>
        </w:rPr>
      </w:pPr>
      <w:r w:rsidRPr="00280FAF">
        <w:rPr>
          <w:rFonts w:eastAsia="SimSun"/>
        </w:rPr>
        <w:t>P</w:t>
      </w:r>
      <w:r>
        <w:rPr>
          <w:rFonts w:eastAsia="SimSun"/>
        </w:rPr>
        <w:t>SWA</w:t>
      </w:r>
      <w:r w:rsidRPr="00280FAF">
        <w:rPr>
          <w:rFonts w:eastAsia="SimSun"/>
        </w:rPr>
        <w:t xml:space="preserve"> – </w:t>
      </w:r>
      <w:r>
        <w:rPr>
          <w:rFonts w:eastAsia="SimSun"/>
        </w:rPr>
        <w:t>pressure swing water absorption</w:t>
      </w:r>
    </w:p>
    <w:p w14:paraId="706CCD6C" w14:textId="4BAFDDC5" w:rsidR="00023741" w:rsidRDefault="00023741" w:rsidP="00023741">
      <w:pPr>
        <w:pStyle w:val="CETBodytext"/>
        <w:jc w:val="left"/>
        <w:rPr>
          <w:rFonts w:eastAsia="SimSun"/>
        </w:rPr>
      </w:pPr>
      <w:r>
        <w:rPr>
          <w:rFonts w:eastAsia="SimSun"/>
        </w:rPr>
        <w:t>SN – Stoichiometric Number, -</w:t>
      </w:r>
    </w:p>
    <w:p w14:paraId="6AC424D9" w14:textId="5FBC168F" w:rsidR="00023741" w:rsidRPr="00280FAF" w:rsidRDefault="00023741" w:rsidP="00023741">
      <w:pPr>
        <w:pStyle w:val="CETBodytext"/>
        <w:jc w:val="left"/>
        <w:rPr>
          <w:rFonts w:eastAsia="SimSun"/>
        </w:rPr>
      </w:pPr>
      <w:r>
        <w:rPr>
          <w:rFonts w:eastAsia="SimSun"/>
        </w:rPr>
        <w:t>TAC</w:t>
      </w:r>
      <w:r w:rsidRPr="00280FAF">
        <w:rPr>
          <w:rFonts w:eastAsia="SimSun"/>
        </w:rPr>
        <w:t xml:space="preserve"> – </w:t>
      </w:r>
      <w:r>
        <w:rPr>
          <w:rFonts w:eastAsia="SimSun"/>
        </w:rPr>
        <w:t>Total Annualized Cost, €/</w:t>
      </w:r>
      <w:proofErr w:type="spellStart"/>
      <w:r>
        <w:rPr>
          <w:rFonts w:eastAsia="SimSun"/>
        </w:rPr>
        <w:t>yr</w:t>
      </w:r>
      <w:proofErr w:type="spellEnd"/>
    </w:p>
    <w:p w14:paraId="459D05E6" w14:textId="615E6A25" w:rsidR="00600535" w:rsidRPr="00B57B36" w:rsidRDefault="00F744E7" w:rsidP="00600535">
      <w:pPr>
        <w:pStyle w:val="CETAcknowledgementstitle"/>
      </w:pPr>
      <w:r>
        <w:t>A</w:t>
      </w:r>
      <w:r w:rsidR="00600535" w:rsidRPr="00B57B36">
        <w:t>cknowledgments</w:t>
      </w:r>
    </w:p>
    <w:p w14:paraId="33F8138F" w14:textId="2725DE10" w:rsidR="00600535" w:rsidRPr="00B57B36" w:rsidRDefault="00130795" w:rsidP="00600535">
      <w:pPr>
        <w:pStyle w:val="CETBodytext"/>
        <w:rPr>
          <w:lang w:val="en-GB"/>
        </w:rPr>
      </w:pPr>
      <w:r w:rsidRPr="00130795">
        <w:rPr>
          <w:lang w:val="en-GB"/>
        </w:rPr>
        <w:t>Th</w:t>
      </w:r>
      <w:r>
        <w:rPr>
          <w:lang w:val="en-GB"/>
        </w:rPr>
        <w:t xml:space="preserve">e authors </w:t>
      </w:r>
      <w:r w:rsidRPr="00130795">
        <w:rPr>
          <w:lang w:val="en-GB"/>
        </w:rPr>
        <w:t>would like to thank the Coordination for the Improvement of Higher Education Personnel (CAPES)</w:t>
      </w:r>
      <w:r w:rsidR="0038444E">
        <w:rPr>
          <w:lang w:val="en-GB"/>
        </w:rPr>
        <w:t xml:space="preserve"> and </w:t>
      </w:r>
      <w:r w:rsidR="0038444E">
        <w:t xml:space="preserve">the </w:t>
      </w:r>
      <w:proofErr w:type="spellStart"/>
      <w:r w:rsidR="0038444E">
        <w:t>Conselho</w:t>
      </w:r>
      <w:proofErr w:type="spellEnd"/>
      <w:r w:rsidR="0038444E">
        <w:t xml:space="preserve"> Nacional de </w:t>
      </w:r>
      <w:proofErr w:type="spellStart"/>
      <w:r w:rsidR="0038444E">
        <w:t>Desenvolvimento</w:t>
      </w:r>
      <w:proofErr w:type="spellEnd"/>
      <w:r w:rsidR="0038444E">
        <w:t xml:space="preserve"> </w:t>
      </w:r>
      <w:proofErr w:type="spellStart"/>
      <w:r w:rsidR="0038444E">
        <w:t>Científico</w:t>
      </w:r>
      <w:proofErr w:type="spellEnd"/>
      <w:r w:rsidR="0038444E">
        <w:t xml:space="preserve"> e </w:t>
      </w:r>
      <w:proofErr w:type="spellStart"/>
      <w:r w:rsidR="0038444E">
        <w:t>Tecnológico</w:t>
      </w:r>
      <w:proofErr w:type="spellEnd"/>
      <w:r w:rsidR="0038444E">
        <w:t xml:space="preserve"> Brazil (</w:t>
      </w:r>
      <w:proofErr w:type="spellStart"/>
      <w:r w:rsidR="0038444E">
        <w:t>CNPq</w:t>
      </w:r>
      <w:proofErr w:type="spellEnd"/>
      <w:r w:rsidR="0038444E">
        <w:t xml:space="preserve"> - 316842/2021-4)</w:t>
      </w:r>
      <w:r w:rsidRPr="00130795">
        <w:rPr>
          <w:lang w:val="en-GB"/>
        </w:rPr>
        <w:t>, which financed in part this research.</w:t>
      </w:r>
    </w:p>
    <w:p w14:paraId="03507984" w14:textId="737153BE" w:rsidR="00600535" w:rsidRPr="00B57B36" w:rsidRDefault="00600535" w:rsidP="007E41DA">
      <w:pPr>
        <w:pStyle w:val="CETReference"/>
      </w:pPr>
      <w:r w:rsidRPr="00B57B36">
        <w:t>References</w:t>
      </w:r>
    </w:p>
    <w:p w14:paraId="428B022A" w14:textId="558F3F04" w:rsidR="00E65B91" w:rsidRPr="007E41DA" w:rsidRDefault="004D311D" w:rsidP="007E41DA">
      <w:pPr>
        <w:pStyle w:val="Bibliography"/>
        <w:rPr>
          <w:rFonts w:cs="Arial"/>
        </w:rPr>
      </w:pPr>
      <w:r w:rsidRPr="007E41DA">
        <w:rPr>
          <w:rFonts w:cs="Arial"/>
        </w:rPr>
        <w:t xml:space="preserve">ARERA, 2022, </w:t>
      </w:r>
      <w:r w:rsidR="007E41DA" w:rsidRPr="007E41DA">
        <w:rPr>
          <w:rFonts w:cs="Arial"/>
        </w:rPr>
        <w:t>Fares for measurement services – Electricity (in Italian),</w:t>
      </w:r>
      <w:r w:rsidRPr="007E41DA">
        <w:rPr>
          <w:rFonts w:cs="Arial"/>
        </w:rPr>
        <w:t xml:space="preserve"> 2022. </w:t>
      </w:r>
      <w:r w:rsidR="007E41DA" w:rsidRPr="007E41DA">
        <w:rPr>
          <w:rFonts w:cs="Arial"/>
        </w:rPr>
        <w:t>&lt;</w:t>
      </w:r>
      <w:r w:rsidRPr="007E41DA">
        <w:rPr>
          <w:rFonts w:cs="Arial"/>
        </w:rPr>
        <w:t>www.arera.it/it/elettricita/mis.htm</w:t>
      </w:r>
      <w:r w:rsidR="007E41DA" w:rsidRPr="007E41DA">
        <w:rPr>
          <w:rFonts w:cs="Arial"/>
        </w:rPr>
        <w:t>&gt; a</w:t>
      </w:r>
      <w:r w:rsidRPr="007E41DA">
        <w:rPr>
          <w:rFonts w:cs="Arial"/>
        </w:rPr>
        <w:t xml:space="preserve">ccessed </w:t>
      </w:r>
      <w:r w:rsidR="007E41DA" w:rsidRPr="007E41DA">
        <w:rPr>
          <w:rFonts w:cs="Arial"/>
        </w:rPr>
        <w:t>20</w:t>
      </w:r>
      <w:r w:rsidRPr="007E41DA">
        <w:rPr>
          <w:rFonts w:cs="Arial"/>
        </w:rPr>
        <w:t>.</w:t>
      </w:r>
      <w:r w:rsidR="007E41DA" w:rsidRPr="007E41DA">
        <w:rPr>
          <w:rFonts w:cs="Arial"/>
        </w:rPr>
        <w:t>12</w:t>
      </w:r>
      <w:r w:rsidRPr="007E41DA">
        <w:rPr>
          <w:rFonts w:cs="Arial"/>
        </w:rPr>
        <w:t>.22.</w:t>
      </w:r>
    </w:p>
    <w:p w14:paraId="190990E8" w14:textId="77777777" w:rsidR="00056977" w:rsidRDefault="007B2028" w:rsidP="007B2028">
      <w:pPr>
        <w:pStyle w:val="CETReferencetext"/>
      </w:pPr>
      <w:proofErr w:type="spellStart"/>
      <w:r w:rsidRPr="007E41DA">
        <w:rPr>
          <w:rFonts w:cs="Arial"/>
        </w:rPr>
        <w:t>Bozzano</w:t>
      </w:r>
      <w:proofErr w:type="spellEnd"/>
      <w:r w:rsidRPr="007E41DA">
        <w:rPr>
          <w:rFonts w:cs="Arial"/>
        </w:rPr>
        <w:t>, G., Manenti, F., 2016, Efficient methanol synthesis: Perspectives, technologies and optimization strategies. Progress in Energy and Combustion Science, 56, 71–105.</w:t>
      </w:r>
      <w:r w:rsidR="00056977" w:rsidRPr="00056977">
        <w:t xml:space="preserve"> </w:t>
      </w:r>
    </w:p>
    <w:p w14:paraId="08DC3745" w14:textId="2B8806BE" w:rsidR="007B2028" w:rsidRPr="007E41DA" w:rsidRDefault="00056977" w:rsidP="007B2028">
      <w:pPr>
        <w:pStyle w:val="CETReferencetext"/>
        <w:rPr>
          <w:rFonts w:cs="Arial"/>
        </w:rPr>
      </w:pPr>
      <w:r w:rsidRPr="00056977">
        <w:rPr>
          <w:rFonts w:cs="Arial"/>
        </w:rPr>
        <w:t>International Renewable Energy Agency</w:t>
      </w:r>
      <w:r>
        <w:rPr>
          <w:rFonts w:cs="Arial"/>
        </w:rPr>
        <w:t xml:space="preserve"> (IRENA)</w:t>
      </w:r>
      <w:r w:rsidRPr="00056977">
        <w:rPr>
          <w:rFonts w:cs="Arial"/>
        </w:rPr>
        <w:t>, Methanol Institute</w:t>
      </w:r>
      <w:r>
        <w:rPr>
          <w:rFonts w:cs="Arial"/>
        </w:rPr>
        <w:t>, 2021,</w:t>
      </w:r>
      <w:r w:rsidRPr="00056977">
        <w:rPr>
          <w:rFonts w:cs="Arial"/>
        </w:rPr>
        <w:t xml:space="preserve"> Innovation Outlook: Renewable Methano</w:t>
      </w:r>
      <w:r>
        <w:rPr>
          <w:rFonts w:cs="Arial"/>
        </w:rPr>
        <w:t>l</w:t>
      </w:r>
      <w:r w:rsidRPr="00056977">
        <w:rPr>
          <w:rFonts w:cs="Arial"/>
        </w:rPr>
        <w:t>.</w:t>
      </w:r>
    </w:p>
    <w:p w14:paraId="2F045E02" w14:textId="50494E6D" w:rsidR="00807DBB" w:rsidRDefault="00807DBB" w:rsidP="00807DBB">
      <w:pPr>
        <w:pStyle w:val="CETReferencetext"/>
      </w:pPr>
      <w:r w:rsidRPr="007E41DA">
        <w:rPr>
          <w:rFonts w:cs="Arial"/>
        </w:rPr>
        <w:t>Muñoz R., Meier L., Diaz I., Jeison D., 2015, A review on the state-of-the-art of physical/chemical and biological technologies for biogas upgrading</w:t>
      </w:r>
      <w:r>
        <w:t>, Reviews in Environmental Science and Bio/Technology, 14, 727-759.</w:t>
      </w:r>
    </w:p>
    <w:p w14:paraId="0BDDDB3C" w14:textId="677B9DFC" w:rsidR="007B2028" w:rsidRDefault="007B2028" w:rsidP="007B2028">
      <w:pPr>
        <w:pStyle w:val="CETReferencetext"/>
      </w:pPr>
      <w:r w:rsidRPr="007B2028">
        <w:t xml:space="preserve">Ribeiro, A. M., Santos, J. C., Rodrigues, A. E., </w:t>
      </w:r>
      <w:proofErr w:type="spellStart"/>
      <w:r w:rsidRPr="007B2028">
        <w:t>Rifflart</w:t>
      </w:r>
      <w:proofErr w:type="spellEnd"/>
      <w:r w:rsidRPr="007B2028">
        <w:t xml:space="preserve">, S., </w:t>
      </w:r>
      <w:r>
        <w:t>2012, Syngas Stoichiometric Adjustment for Methanol Production and Co-Capture of Carbon Dioxide by Pressure Swing Adsorption, Separation Science and Technology, 47, 6, 850-866.</w:t>
      </w:r>
    </w:p>
    <w:p w14:paraId="5E00A24D" w14:textId="43375C64" w:rsidR="00807DBB" w:rsidRDefault="007B2028" w:rsidP="007B2028">
      <w:pPr>
        <w:pStyle w:val="CETReferencetext"/>
      </w:pPr>
      <w:proofErr w:type="spellStart"/>
      <w:r>
        <w:t>Riboldi</w:t>
      </w:r>
      <w:proofErr w:type="spellEnd"/>
      <w:r>
        <w:t xml:space="preserve">, L., </w:t>
      </w:r>
      <w:proofErr w:type="spellStart"/>
      <w:r>
        <w:t>Bolland</w:t>
      </w:r>
      <w:proofErr w:type="spellEnd"/>
      <w:r>
        <w:t>, O., 2017, Overview on Pressure Swing Adsorption (PSA) as CO2 Capture Technology: State-of-the-Art, Limits and Potentials, Energy Procedia, 114, 2390-2400.</w:t>
      </w:r>
    </w:p>
    <w:p w14:paraId="3DE04D68" w14:textId="4E194B3C" w:rsidR="007B2028" w:rsidRDefault="007B2028" w:rsidP="007B2028">
      <w:pPr>
        <w:pStyle w:val="CETReferencetext"/>
      </w:pPr>
      <w:r w:rsidRPr="00196090">
        <w:t>Santos</w:t>
      </w:r>
      <w:r>
        <w:t xml:space="preserve"> R.</w:t>
      </w:r>
      <w:r w:rsidRPr="00196090">
        <w:t>, Santos</w:t>
      </w:r>
      <w:r>
        <w:t xml:space="preserve"> L.</w:t>
      </w:r>
      <w:r w:rsidRPr="00196090">
        <w:t>, Prata</w:t>
      </w:r>
      <w:r>
        <w:t xml:space="preserve"> D.</w:t>
      </w:r>
      <w:r w:rsidRPr="00196090">
        <w:t xml:space="preserve">, </w:t>
      </w:r>
      <w:r>
        <w:t>2018, Simulation and optimization of a methanol synthesis process from different biogas sources, Journal of Cleaner Production, 186, 821–830.</w:t>
      </w:r>
    </w:p>
    <w:p w14:paraId="5A13856B" w14:textId="5C3D7FE8" w:rsidR="006B4888" w:rsidRPr="000D56D6" w:rsidRDefault="007B2028" w:rsidP="005D1A45">
      <w:pPr>
        <w:pStyle w:val="CETReferencetext"/>
      </w:pPr>
      <w:r>
        <w:t xml:space="preserve">Turton, R., </w:t>
      </w:r>
      <w:proofErr w:type="spellStart"/>
      <w:r>
        <w:t>Shaeiwitz</w:t>
      </w:r>
      <w:proofErr w:type="spellEnd"/>
      <w:r>
        <w:t>, J. A., Bhattacharyya, D., 2018. Analysis, synthesis and design of chemical processes, 5th Edition. Prentice Hall.</w:t>
      </w:r>
    </w:p>
    <w:sectPr w:rsidR="006B4888"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7327" w14:textId="77777777" w:rsidR="00217E92" w:rsidRDefault="00217E92" w:rsidP="004F5E36">
      <w:r>
        <w:separator/>
      </w:r>
    </w:p>
  </w:endnote>
  <w:endnote w:type="continuationSeparator" w:id="0">
    <w:p w14:paraId="73C92D43" w14:textId="77777777" w:rsidR="00217E92" w:rsidRDefault="00217E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939C" w14:textId="77777777" w:rsidR="00217E92" w:rsidRDefault="00217E92" w:rsidP="004F5E36">
      <w:r>
        <w:separator/>
      </w:r>
    </w:p>
  </w:footnote>
  <w:footnote w:type="continuationSeparator" w:id="0">
    <w:p w14:paraId="690B52D9" w14:textId="77777777" w:rsidR="00217E92" w:rsidRDefault="00217E9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770A4"/>
    <w:multiLevelType w:val="hybridMultilevel"/>
    <w:tmpl w:val="1C6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01C62"/>
    <w:multiLevelType w:val="hybridMultilevel"/>
    <w:tmpl w:val="0C8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992"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FA5"/>
    <w:rsid w:val="000052FB"/>
    <w:rsid w:val="000117CB"/>
    <w:rsid w:val="00023741"/>
    <w:rsid w:val="0003148D"/>
    <w:rsid w:val="00031EEC"/>
    <w:rsid w:val="00051566"/>
    <w:rsid w:val="000562A9"/>
    <w:rsid w:val="00056977"/>
    <w:rsid w:val="00062A9A"/>
    <w:rsid w:val="00065058"/>
    <w:rsid w:val="0008637C"/>
    <w:rsid w:val="00086C39"/>
    <w:rsid w:val="00086D12"/>
    <w:rsid w:val="000A03B2"/>
    <w:rsid w:val="000D0268"/>
    <w:rsid w:val="000D34BE"/>
    <w:rsid w:val="000D3BAA"/>
    <w:rsid w:val="000E102F"/>
    <w:rsid w:val="000E36F1"/>
    <w:rsid w:val="000E3A73"/>
    <w:rsid w:val="000E414A"/>
    <w:rsid w:val="000F093C"/>
    <w:rsid w:val="000F787B"/>
    <w:rsid w:val="001017C8"/>
    <w:rsid w:val="00101CF0"/>
    <w:rsid w:val="0012091F"/>
    <w:rsid w:val="00126BC2"/>
    <w:rsid w:val="00130795"/>
    <w:rsid w:val="001308B6"/>
    <w:rsid w:val="0013121F"/>
    <w:rsid w:val="00131FE6"/>
    <w:rsid w:val="0013263F"/>
    <w:rsid w:val="001331DF"/>
    <w:rsid w:val="00134DE4"/>
    <w:rsid w:val="00135003"/>
    <w:rsid w:val="0014034D"/>
    <w:rsid w:val="00144D16"/>
    <w:rsid w:val="00150E59"/>
    <w:rsid w:val="00152DE3"/>
    <w:rsid w:val="00155E7A"/>
    <w:rsid w:val="00164CF9"/>
    <w:rsid w:val="00165242"/>
    <w:rsid w:val="001667A6"/>
    <w:rsid w:val="00183BE3"/>
    <w:rsid w:val="00184AD6"/>
    <w:rsid w:val="00196090"/>
    <w:rsid w:val="001A4AF7"/>
    <w:rsid w:val="001B0349"/>
    <w:rsid w:val="001B1E93"/>
    <w:rsid w:val="001B32FD"/>
    <w:rsid w:val="001B65C1"/>
    <w:rsid w:val="001C684B"/>
    <w:rsid w:val="001D0CFB"/>
    <w:rsid w:val="001D21AF"/>
    <w:rsid w:val="001D4446"/>
    <w:rsid w:val="001D53FC"/>
    <w:rsid w:val="001F42A5"/>
    <w:rsid w:val="001F7B9D"/>
    <w:rsid w:val="00201C93"/>
    <w:rsid w:val="00217E92"/>
    <w:rsid w:val="002224B4"/>
    <w:rsid w:val="00237317"/>
    <w:rsid w:val="002447EF"/>
    <w:rsid w:val="00247DB2"/>
    <w:rsid w:val="00251550"/>
    <w:rsid w:val="00263B05"/>
    <w:rsid w:val="00265E91"/>
    <w:rsid w:val="0027221A"/>
    <w:rsid w:val="00275B61"/>
    <w:rsid w:val="00280FAF"/>
    <w:rsid w:val="00282656"/>
    <w:rsid w:val="00296B83"/>
    <w:rsid w:val="0029737B"/>
    <w:rsid w:val="002B4015"/>
    <w:rsid w:val="002B78CE"/>
    <w:rsid w:val="002C2FB6"/>
    <w:rsid w:val="002D5FF5"/>
    <w:rsid w:val="002E5FA7"/>
    <w:rsid w:val="002F3309"/>
    <w:rsid w:val="003008CE"/>
    <w:rsid w:val="003009B7"/>
    <w:rsid w:val="00300E56"/>
    <w:rsid w:val="0030152C"/>
    <w:rsid w:val="0030469C"/>
    <w:rsid w:val="00321CA6"/>
    <w:rsid w:val="00323763"/>
    <w:rsid w:val="00323C5F"/>
    <w:rsid w:val="00334BDC"/>
    <w:rsid w:val="00334C09"/>
    <w:rsid w:val="003723D4"/>
    <w:rsid w:val="00381905"/>
    <w:rsid w:val="0038444E"/>
    <w:rsid w:val="00384CC8"/>
    <w:rsid w:val="003871FD"/>
    <w:rsid w:val="003A1E30"/>
    <w:rsid w:val="003A2829"/>
    <w:rsid w:val="003A7D1C"/>
    <w:rsid w:val="003B304B"/>
    <w:rsid w:val="003B3146"/>
    <w:rsid w:val="003C3CB7"/>
    <w:rsid w:val="003D2F59"/>
    <w:rsid w:val="003F015E"/>
    <w:rsid w:val="00400414"/>
    <w:rsid w:val="00411B70"/>
    <w:rsid w:val="0041446B"/>
    <w:rsid w:val="0044071E"/>
    <w:rsid w:val="0044329C"/>
    <w:rsid w:val="004523D6"/>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D311D"/>
    <w:rsid w:val="004E4DD6"/>
    <w:rsid w:val="004F5E36"/>
    <w:rsid w:val="004F764F"/>
    <w:rsid w:val="00507B47"/>
    <w:rsid w:val="00507BEF"/>
    <w:rsid w:val="00507CC9"/>
    <w:rsid w:val="005119A5"/>
    <w:rsid w:val="005278B7"/>
    <w:rsid w:val="00532016"/>
    <w:rsid w:val="005346C8"/>
    <w:rsid w:val="00543E7D"/>
    <w:rsid w:val="00547A68"/>
    <w:rsid w:val="005531C9"/>
    <w:rsid w:val="00570C43"/>
    <w:rsid w:val="005B2110"/>
    <w:rsid w:val="005B61E6"/>
    <w:rsid w:val="005C5E80"/>
    <w:rsid w:val="005C77E1"/>
    <w:rsid w:val="005D1A45"/>
    <w:rsid w:val="005D668A"/>
    <w:rsid w:val="005D6A2F"/>
    <w:rsid w:val="005E1A82"/>
    <w:rsid w:val="005E794C"/>
    <w:rsid w:val="005F0A28"/>
    <w:rsid w:val="005F0E5E"/>
    <w:rsid w:val="00600535"/>
    <w:rsid w:val="006016A7"/>
    <w:rsid w:val="00610CD6"/>
    <w:rsid w:val="00620DEE"/>
    <w:rsid w:val="00621F92"/>
    <w:rsid w:val="0062280A"/>
    <w:rsid w:val="00625639"/>
    <w:rsid w:val="0062792F"/>
    <w:rsid w:val="00631B33"/>
    <w:rsid w:val="0064184D"/>
    <w:rsid w:val="006422CC"/>
    <w:rsid w:val="00660E3E"/>
    <w:rsid w:val="00662E74"/>
    <w:rsid w:val="00680C23"/>
    <w:rsid w:val="00693766"/>
    <w:rsid w:val="006A3281"/>
    <w:rsid w:val="006B08B2"/>
    <w:rsid w:val="006B4888"/>
    <w:rsid w:val="006C2E45"/>
    <w:rsid w:val="006C359C"/>
    <w:rsid w:val="006C5579"/>
    <w:rsid w:val="006D6E8B"/>
    <w:rsid w:val="006E737D"/>
    <w:rsid w:val="00713973"/>
    <w:rsid w:val="00720A24"/>
    <w:rsid w:val="00732386"/>
    <w:rsid w:val="0073514D"/>
    <w:rsid w:val="007447F3"/>
    <w:rsid w:val="00744A50"/>
    <w:rsid w:val="0075499F"/>
    <w:rsid w:val="007661C8"/>
    <w:rsid w:val="0077098D"/>
    <w:rsid w:val="007931FA"/>
    <w:rsid w:val="007A4861"/>
    <w:rsid w:val="007A7BBA"/>
    <w:rsid w:val="007B0C50"/>
    <w:rsid w:val="007B2028"/>
    <w:rsid w:val="007B48F9"/>
    <w:rsid w:val="007C1A43"/>
    <w:rsid w:val="007D0951"/>
    <w:rsid w:val="007D0B4F"/>
    <w:rsid w:val="007D58D2"/>
    <w:rsid w:val="007E41DA"/>
    <w:rsid w:val="0080013E"/>
    <w:rsid w:val="00807DBB"/>
    <w:rsid w:val="00813288"/>
    <w:rsid w:val="008168FC"/>
    <w:rsid w:val="0083055E"/>
    <w:rsid w:val="00830996"/>
    <w:rsid w:val="008345F1"/>
    <w:rsid w:val="00845167"/>
    <w:rsid w:val="0085688F"/>
    <w:rsid w:val="00865B07"/>
    <w:rsid w:val="008667EA"/>
    <w:rsid w:val="00875373"/>
    <w:rsid w:val="0087637F"/>
    <w:rsid w:val="00892AD5"/>
    <w:rsid w:val="008A1512"/>
    <w:rsid w:val="008C2033"/>
    <w:rsid w:val="008D32B9"/>
    <w:rsid w:val="008D433B"/>
    <w:rsid w:val="008D4A16"/>
    <w:rsid w:val="008E4F55"/>
    <w:rsid w:val="008E566E"/>
    <w:rsid w:val="0090161A"/>
    <w:rsid w:val="00901EB6"/>
    <w:rsid w:val="00904C62"/>
    <w:rsid w:val="00922BA8"/>
    <w:rsid w:val="00923A70"/>
    <w:rsid w:val="00924DAC"/>
    <w:rsid w:val="00927058"/>
    <w:rsid w:val="00942750"/>
    <w:rsid w:val="009450CE"/>
    <w:rsid w:val="009459BB"/>
    <w:rsid w:val="00947179"/>
    <w:rsid w:val="0095164B"/>
    <w:rsid w:val="00954090"/>
    <w:rsid w:val="009573E7"/>
    <w:rsid w:val="009628C8"/>
    <w:rsid w:val="00963E05"/>
    <w:rsid w:val="00964A45"/>
    <w:rsid w:val="00967843"/>
    <w:rsid w:val="00967D54"/>
    <w:rsid w:val="00971028"/>
    <w:rsid w:val="009809B0"/>
    <w:rsid w:val="009837F4"/>
    <w:rsid w:val="00993B84"/>
    <w:rsid w:val="00996483"/>
    <w:rsid w:val="00996F5A"/>
    <w:rsid w:val="009A32EA"/>
    <w:rsid w:val="009B041A"/>
    <w:rsid w:val="009B0616"/>
    <w:rsid w:val="009C37C3"/>
    <w:rsid w:val="009C7C86"/>
    <w:rsid w:val="009D2FF7"/>
    <w:rsid w:val="009E7884"/>
    <w:rsid w:val="009E788A"/>
    <w:rsid w:val="009F0E08"/>
    <w:rsid w:val="009F1339"/>
    <w:rsid w:val="00A1763D"/>
    <w:rsid w:val="00A17CEC"/>
    <w:rsid w:val="00A27EF0"/>
    <w:rsid w:val="00A42361"/>
    <w:rsid w:val="00A47439"/>
    <w:rsid w:val="00A50B20"/>
    <w:rsid w:val="00A51390"/>
    <w:rsid w:val="00A60D13"/>
    <w:rsid w:val="00A6118E"/>
    <w:rsid w:val="00A63E98"/>
    <w:rsid w:val="00A7223D"/>
    <w:rsid w:val="00A72745"/>
    <w:rsid w:val="00A76EFC"/>
    <w:rsid w:val="00A87D50"/>
    <w:rsid w:val="00A91010"/>
    <w:rsid w:val="00A97F29"/>
    <w:rsid w:val="00AA702E"/>
    <w:rsid w:val="00AA7D26"/>
    <w:rsid w:val="00AB0964"/>
    <w:rsid w:val="00AB24E3"/>
    <w:rsid w:val="00AB5011"/>
    <w:rsid w:val="00AC2BB8"/>
    <w:rsid w:val="00AC603F"/>
    <w:rsid w:val="00AC7368"/>
    <w:rsid w:val="00AD16B9"/>
    <w:rsid w:val="00AE377D"/>
    <w:rsid w:val="00AF0EBA"/>
    <w:rsid w:val="00B02C8A"/>
    <w:rsid w:val="00B12824"/>
    <w:rsid w:val="00B17FBD"/>
    <w:rsid w:val="00B214FF"/>
    <w:rsid w:val="00B315A6"/>
    <w:rsid w:val="00B31813"/>
    <w:rsid w:val="00B33365"/>
    <w:rsid w:val="00B3376E"/>
    <w:rsid w:val="00B51B75"/>
    <w:rsid w:val="00B57B36"/>
    <w:rsid w:val="00B57E6F"/>
    <w:rsid w:val="00B8686D"/>
    <w:rsid w:val="00B938A1"/>
    <w:rsid w:val="00B93F69"/>
    <w:rsid w:val="00BB1DDC"/>
    <w:rsid w:val="00BB4A36"/>
    <w:rsid w:val="00BC30C9"/>
    <w:rsid w:val="00BD077D"/>
    <w:rsid w:val="00BE3E58"/>
    <w:rsid w:val="00C01616"/>
    <w:rsid w:val="00C0162B"/>
    <w:rsid w:val="00C068ED"/>
    <w:rsid w:val="00C22E0C"/>
    <w:rsid w:val="00C345B1"/>
    <w:rsid w:val="00C40142"/>
    <w:rsid w:val="00C42B73"/>
    <w:rsid w:val="00C52C3C"/>
    <w:rsid w:val="00C56C67"/>
    <w:rsid w:val="00C57182"/>
    <w:rsid w:val="00C57863"/>
    <w:rsid w:val="00C640AF"/>
    <w:rsid w:val="00C655FD"/>
    <w:rsid w:val="00C70D47"/>
    <w:rsid w:val="00C75407"/>
    <w:rsid w:val="00C870A8"/>
    <w:rsid w:val="00C94434"/>
    <w:rsid w:val="00CA0D0F"/>
    <w:rsid w:val="00CA0D75"/>
    <w:rsid w:val="00CA1C95"/>
    <w:rsid w:val="00CA4CA4"/>
    <w:rsid w:val="00CA5A9C"/>
    <w:rsid w:val="00CA7190"/>
    <w:rsid w:val="00CB74AA"/>
    <w:rsid w:val="00CC4C20"/>
    <w:rsid w:val="00CD3517"/>
    <w:rsid w:val="00CD5FE2"/>
    <w:rsid w:val="00CE7C68"/>
    <w:rsid w:val="00D02B4C"/>
    <w:rsid w:val="00D040C4"/>
    <w:rsid w:val="00D20AD1"/>
    <w:rsid w:val="00D24F38"/>
    <w:rsid w:val="00D350CF"/>
    <w:rsid w:val="00D46B7E"/>
    <w:rsid w:val="00D57C84"/>
    <w:rsid w:val="00D6057D"/>
    <w:rsid w:val="00D71640"/>
    <w:rsid w:val="00D74B37"/>
    <w:rsid w:val="00D82EB0"/>
    <w:rsid w:val="00D836C5"/>
    <w:rsid w:val="00D84576"/>
    <w:rsid w:val="00DA1399"/>
    <w:rsid w:val="00DA24C6"/>
    <w:rsid w:val="00DA4D7B"/>
    <w:rsid w:val="00DD271C"/>
    <w:rsid w:val="00DE264A"/>
    <w:rsid w:val="00DE62F4"/>
    <w:rsid w:val="00DF5072"/>
    <w:rsid w:val="00E02D18"/>
    <w:rsid w:val="00E041E7"/>
    <w:rsid w:val="00E23CA1"/>
    <w:rsid w:val="00E409A8"/>
    <w:rsid w:val="00E50C12"/>
    <w:rsid w:val="00E61F3B"/>
    <w:rsid w:val="00E65B91"/>
    <w:rsid w:val="00E66C9A"/>
    <w:rsid w:val="00E7209D"/>
    <w:rsid w:val="00E72EAD"/>
    <w:rsid w:val="00E77223"/>
    <w:rsid w:val="00E82C05"/>
    <w:rsid w:val="00E8528B"/>
    <w:rsid w:val="00E85B94"/>
    <w:rsid w:val="00E978D0"/>
    <w:rsid w:val="00EA4613"/>
    <w:rsid w:val="00EA7F91"/>
    <w:rsid w:val="00EB1523"/>
    <w:rsid w:val="00EB15A0"/>
    <w:rsid w:val="00EC0E49"/>
    <w:rsid w:val="00EC101F"/>
    <w:rsid w:val="00EC1D9F"/>
    <w:rsid w:val="00EC2344"/>
    <w:rsid w:val="00ED67FC"/>
    <w:rsid w:val="00EE0131"/>
    <w:rsid w:val="00EE17B0"/>
    <w:rsid w:val="00EF06D9"/>
    <w:rsid w:val="00F3049E"/>
    <w:rsid w:val="00F30C64"/>
    <w:rsid w:val="00F32895"/>
    <w:rsid w:val="00F32BA2"/>
    <w:rsid w:val="00F32CDB"/>
    <w:rsid w:val="00F565FE"/>
    <w:rsid w:val="00F63A70"/>
    <w:rsid w:val="00F63D8C"/>
    <w:rsid w:val="00F744E7"/>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7E41DA"/>
    <w:rPr>
      <w:color w:val="605E5C"/>
      <w:shd w:val="clear" w:color="auto" w:fill="E1DFDD"/>
    </w:rPr>
  </w:style>
  <w:style w:type="character" w:customStyle="1" w:styleId="nlmcontrib-group">
    <w:name w:val="nlm_contrib-group"/>
    <w:basedOn w:val="DefaultParagraphFont"/>
    <w:rsid w:val="00056977"/>
  </w:style>
  <w:style w:type="character" w:customStyle="1" w:styleId="nlmpublisher-loc">
    <w:name w:val="nlm_publisher-loc"/>
    <w:basedOn w:val="DefaultParagraphFont"/>
    <w:rsid w:val="00056977"/>
  </w:style>
  <w:style w:type="character" w:customStyle="1" w:styleId="nlmyear">
    <w:name w:val="nlm_year"/>
    <w:basedOn w:val="DefaultParagraphFont"/>
    <w:rsid w:val="0005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5601">
      <w:bodyDiv w:val="1"/>
      <w:marLeft w:val="0"/>
      <w:marRight w:val="0"/>
      <w:marTop w:val="0"/>
      <w:marBottom w:val="0"/>
      <w:divBdr>
        <w:top w:val="none" w:sz="0" w:space="0" w:color="auto"/>
        <w:left w:val="none" w:sz="0" w:space="0" w:color="auto"/>
        <w:bottom w:val="none" w:sz="0" w:space="0" w:color="auto"/>
        <w:right w:val="none" w:sz="0" w:space="0" w:color="auto"/>
      </w:divBdr>
    </w:div>
    <w:div w:id="181675169">
      <w:bodyDiv w:val="1"/>
      <w:marLeft w:val="0"/>
      <w:marRight w:val="0"/>
      <w:marTop w:val="0"/>
      <w:marBottom w:val="0"/>
      <w:divBdr>
        <w:top w:val="none" w:sz="0" w:space="0" w:color="auto"/>
        <w:left w:val="none" w:sz="0" w:space="0" w:color="auto"/>
        <w:bottom w:val="none" w:sz="0" w:space="0" w:color="auto"/>
        <w:right w:val="none" w:sz="0" w:space="0" w:color="auto"/>
      </w:divBdr>
    </w:div>
    <w:div w:id="382948823">
      <w:bodyDiv w:val="1"/>
      <w:marLeft w:val="0"/>
      <w:marRight w:val="0"/>
      <w:marTop w:val="0"/>
      <w:marBottom w:val="0"/>
      <w:divBdr>
        <w:top w:val="none" w:sz="0" w:space="0" w:color="auto"/>
        <w:left w:val="none" w:sz="0" w:space="0" w:color="auto"/>
        <w:bottom w:val="none" w:sz="0" w:space="0" w:color="auto"/>
        <w:right w:val="none" w:sz="0" w:space="0" w:color="auto"/>
      </w:divBdr>
    </w:div>
    <w:div w:id="691106062">
      <w:bodyDiv w:val="1"/>
      <w:marLeft w:val="0"/>
      <w:marRight w:val="0"/>
      <w:marTop w:val="0"/>
      <w:marBottom w:val="0"/>
      <w:divBdr>
        <w:top w:val="none" w:sz="0" w:space="0" w:color="auto"/>
        <w:left w:val="none" w:sz="0" w:space="0" w:color="auto"/>
        <w:bottom w:val="none" w:sz="0" w:space="0" w:color="auto"/>
        <w:right w:val="none" w:sz="0" w:space="0" w:color="auto"/>
      </w:divBdr>
    </w:div>
    <w:div w:id="774447559">
      <w:bodyDiv w:val="1"/>
      <w:marLeft w:val="0"/>
      <w:marRight w:val="0"/>
      <w:marTop w:val="0"/>
      <w:marBottom w:val="0"/>
      <w:divBdr>
        <w:top w:val="none" w:sz="0" w:space="0" w:color="auto"/>
        <w:left w:val="none" w:sz="0" w:space="0" w:color="auto"/>
        <w:bottom w:val="none" w:sz="0" w:space="0" w:color="auto"/>
        <w:right w:val="none" w:sz="0" w:space="0" w:color="auto"/>
      </w:divBdr>
    </w:div>
    <w:div w:id="7759506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477423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5086">
      <w:bodyDiv w:val="1"/>
      <w:marLeft w:val="0"/>
      <w:marRight w:val="0"/>
      <w:marTop w:val="0"/>
      <w:marBottom w:val="0"/>
      <w:divBdr>
        <w:top w:val="none" w:sz="0" w:space="0" w:color="auto"/>
        <w:left w:val="none" w:sz="0" w:space="0" w:color="auto"/>
        <w:bottom w:val="none" w:sz="0" w:space="0" w:color="auto"/>
        <w:right w:val="none" w:sz="0" w:space="0" w:color="auto"/>
      </w:divBdr>
    </w:div>
    <w:div w:id="1769884524">
      <w:bodyDiv w:val="1"/>
      <w:marLeft w:val="0"/>
      <w:marRight w:val="0"/>
      <w:marTop w:val="0"/>
      <w:marBottom w:val="0"/>
      <w:divBdr>
        <w:top w:val="none" w:sz="0" w:space="0" w:color="auto"/>
        <w:left w:val="none" w:sz="0" w:space="0" w:color="auto"/>
        <w:bottom w:val="none" w:sz="0" w:space="0" w:color="auto"/>
        <w:right w:val="none" w:sz="0" w:space="0" w:color="auto"/>
      </w:divBdr>
    </w:div>
    <w:div w:id="1795557086">
      <w:bodyDiv w:val="1"/>
      <w:marLeft w:val="0"/>
      <w:marRight w:val="0"/>
      <w:marTop w:val="0"/>
      <w:marBottom w:val="0"/>
      <w:divBdr>
        <w:top w:val="none" w:sz="0" w:space="0" w:color="auto"/>
        <w:left w:val="none" w:sz="0" w:space="0" w:color="auto"/>
        <w:bottom w:val="none" w:sz="0" w:space="0" w:color="auto"/>
        <w:right w:val="none" w:sz="0" w:space="0" w:color="auto"/>
      </w:divBdr>
    </w:div>
    <w:div w:id="182767287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6</Pages>
  <Words>2371</Words>
  <Characters>13516</Characters>
  <Application>Microsoft Office Word</Application>
  <DocSecurity>0</DocSecurity>
  <Lines>112</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Rafael Oliveira dos Santos</cp:lastModifiedBy>
  <cp:revision>18</cp:revision>
  <cp:lastPrinted>2023-03-14T03:22:00Z</cp:lastPrinted>
  <dcterms:created xsi:type="dcterms:W3CDTF">2023-03-10T11:41:00Z</dcterms:created>
  <dcterms:modified xsi:type="dcterms:W3CDTF">2023-03-17T15:07:00Z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