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7C6CDE" w14:paraId="4CEDFA5D" w14:textId="77777777" w:rsidTr="00DE264A">
        <w:trPr>
          <w:trHeight w:val="852"/>
          <w:jc w:val="center"/>
        </w:trPr>
        <w:tc>
          <w:tcPr>
            <w:tcW w:w="6946" w:type="dxa"/>
            <w:vMerge w:val="restart"/>
            <w:tcBorders>
              <w:right w:val="single" w:sz="4" w:space="0" w:color="auto"/>
            </w:tcBorders>
          </w:tcPr>
          <w:p w14:paraId="5AF95AA2" w14:textId="77777777" w:rsidR="000A03B2" w:rsidRPr="00B57B36" w:rsidRDefault="00E2350D"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5116EE5E" wp14:editId="77C37D5D">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3" descr="cetlogo"/>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p>
          <w:p w14:paraId="2B16DA09" w14:textId="77777777" w:rsidR="000A03B2" w:rsidRPr="00B57B36" w:rsidRDefault="000A03B2" w:rsidP="00DE264A">
            <w:pPr>
              <w:tabs>
                <w:tab w:val="left" w:pos="-108"/>
              </w:tabs>
              <w:ind w:left="-108"/>
              <w:jc w:val="left"/>
              <w:rPr>
                <w:rFonts w:cs="Arial"/>
                <w:b/>
                <w:bCs/>
                <w:i/>
                <w:iCs/>
                <w:color w:val="000066"/>
                <w:sz w:val="12"/>
                <w:szCs w:val="12"/>
                <w:lang w:eastAsia="it-IT"/>
              </w:rPr>
            </w:pPr>
          </w:p>
          <w:p w14:paraId="26B7554D" w14:textId="77777777" w:rsidR="000A03B2" w:rsidRPr="00B57B36" w:rsidRDefault="00E2350D"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30152C">
              <w:rPr>
                <w:rFonts w:cs="Arial"/>
                <w:b/>
                <w:bCs/>
                <w:i/>
                <w:iCs/>
                <w:color w:val="000066"/>
                <w:sz w:val="22"/>
                <w:szCs w:val="22"/>
                <w:lang w:eastAsia="it-IT"/>
              </w:rPr>
              <w:t xml:space="preserve">   </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2023</w:t>
            </w:r>
          </w:p>
        </w:tc>
        <w:tc>
          <w:tcPr>
            <w:tcW w:w="1843" w:type="dxa"/>
            <w:tcBorders>
              <w:left w:val="single" w:sz="4" w:space="0" w:color="auto"/>
              <w:bottom w:val="nil"/>
              <w:right w:val="single" w:sz="4" w:space="0" w:color="auto"/>
            </w:tcBorders>
          </w:tcPr>
          <w:p w14:paraId="62503021" w14:textId="77777777" w:rsidR="000A03B2" w:rsidRPr="00B57B36" w:rsidRDefault="00E2350D" w:rsidP="00CD5FE2">
            <w:pPr>
              <w:spacing w:line="140" w:lineRule="atLeast"/>
              <w:jc w:val="right"/>
              <w:rPr>
                <w:rFonts w:cs="Arial"/>
                <w:sz w:val="14"/>
                <w:szCs w:val="14"/>
              </w:rPr>
            </w:pPr>
            <w:r w:rsidRPr="00B57B36">
              <w:rPr>
                <w:rFonts w:cs="Arial"/>
                <w:sz w:val="14"/>
                <w:szCs w:val="14"/>
              </w:rPr>
              <w:t>A publication of</w:t>
            </w:r>
          </w:p>
          <w:p w14:paraId="395354EE" w14:textId="77777777" w:rsidR="000A03B2" w:rsidRPr="00B57B36" w:rsidRDefault="00E2350D" w:rsidP="00CD5FE2">
            <w:pPr>
              <w:jc w:val="right"/>
            </w:pPr>
            <w:r w:rsidRPr="00B57B36">
              <w:rPr>
                <w:noProof/>
                <w:lang w:val="it-IT" w:eastAsia="it-IT"/>
              </w:rPr>
              <w:drawing>
                <wp:inline distT="0" distB="0" distL="0" distR="0" wp14:anchorId="21AD443C" wp14:editId="0F1F778F">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4" descr="aidiclogo_grand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70560" cy="358140"/>
                          </a:xfrm>
                          <a:prstGeom prst="rect">
                            <a:avLst/>
                          </a:prstGeom>
                          <a:noFill/>
                          <a:ln>
                            <a:noFill/>
                          </a:ln>
                        </pic:spPr>
                      </pic:pic>
                    </a:graphicData>
                  </a:graphic>
                </wp:inline>
              </w:drawing>
            </w:r>
          </w:p>
        </w:tc>
      </w:tr>
      <w:tr w:rsidR="007C6CDE" w14:paraId="7ADB93B0" w14:textId="77777777" w:rsidTr="00DE264A">
        <w:trPr>
          <w:trHeight w:val="567"/>
          <w:jc w:val="center"/>
        </w:trPr>
        <w:tc>
          <w:tcPr>
            <w:tcW w:w="6946" w:type="dxa"/>
            <w:vMerge/>
            <w:tcBorders>
              <w:right w:val="single" w:sz="4" w:space="0" w:color="auto"/>
            </w:tcBorders>
          </w:tcPr>
          <w:p w14:paraId="60AA9BB3"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0C23FAAC" w14:textId="77777777" w:rsidR="000A03B2" w:rsidRPr="00B57B36" w:rsidRDefault="00E2350D" w:rsidP="00CD5FE2">
            <w:pPr>
              <w:spacing w:line="140" w:lineRule="atLeast"/>
              <w:jc w:val="right"/>
              <w:rPr>
                <w:rFonts w:cs="Arial"/>
                <w:sz w:val="14"/>
                <w:szCs w:val="14"/>
              </w:rPr>
            </w:pPr>
            <w:r w:rsidRPr="00B57B36">
              <w:rPr>
                <w:rFonts w:cs="Arial"/>
                <w:sz w:val="14"/>
                <w:szCs w:val="14"/>
              </w:rPr>
              <w:t>The Italian Association</w:t>
            </w:r>
          </w:p>
          <w:p w14:paraId="5B544763" w14:textId="77777777" w:rsidR="000A03B2" w:rsidRPr="00B57B36" w:rsidRDefault="00E2350D" w:rsidP="00CD5FE2">
            <w:pPr>
              <w:spacing w:line="140" w:lineRule="atLeast"/>
              <w:jc w:val="right"/>
              <w:rPr>
                <w:rFonts w:cs="Arial"/>
                <w:sz w:val="14"/>
                <w:szCs w:val="14"/>
              </w:rPr>
            </w:pPr>
            <w:r w:rsidRPr="00B57B36">
              <w:rPr>
                <w:rFonts w:cs="Arial"/>
                <w:sz w:val="14"/>
                <w:szCs w:val="14"/>
              </w:rPr>
              <w:t>of Chemical Engineering</w:t>
            </w:r>
          </w:p>
          <w:p w14:paraId="4B4395ED" w14:textId="77777777" w:rsidR="000A03B2" w:rsidRPr="000D0268" w:rsidRDefault="00E2350D" w:rsidP="00CD5FE2">
            <w:pPr>
              <w:spacing w:line="140" w:lineRule="atLeast"/>
              <w:jc w:val="right"/>
              <w:rPr>
                <w:rFonts w:cs="Arial"/>
                <w:sz w:val="13"/>
                <w:szCs w:val="13"/>
              </w:rPr>
            </w:pPr>
            <w:r w:rsidRPr="000D0268">
              <w:rPr>
                <w:rFonts w:cs="Arial"/>
                <w:sz w:val="13"/>
                <w:szCs w:val="13"/>
              </w:rPr>
              <w:t>Online at www.cetjournal.it</w:t>
            </w:r>
          </w:p>
        </w:tc>
      </w:tr>
      <w:tr w:rsidR="007C6CDE" w14:paraId="2DE8F3BD" w14:textId="77777777" w:rsidTr="00DE264A">
        <w:trPr>
          <w:trHeight w:val="68"/>
          <w:jc w:val="center"/>
        </w:trPr>
        <w:tc>
          <w:tcPr>
            <w:tcW w:w="8789" w:type="dxa"/>
            <w:gridSpan w:val="2"/>
          </w:tcPr>
          <w:p w14:paraId="54BDCB09" w14:textId="77777777" w:rsidR="00AA7D26" w:rsidRPr="00F93EDF" w:rsidRDefault="00E2350D" w:rsidP="00AA7D26">
            <w:pPr>
              <w:ind w:left="-107"/>
              <w:outlineLvl w:val="2"/>
              <w:rPr>
                <w:rFonts w:ascii="Tahoma" w:hAnsi="Tahoma" w:cs="Tahoma"/>
                <w:bCs/>
                <w:color w:val="000000"/>
                <w:sz w:val="14"/>
                <w:szCs w:val="14"/>
                <w:lang w:eastAsia="it-IT"/>
              </w:rPr>
            </w:pPr>
            <w:r w:rsidRPr="00F93EDF">
              <w:rPr>
                <w:rFonts w:ascii="Tahoma" w:hAnsi="Tahoma" w:cs="Tahoma"/>
                <w:iCs/>
                <w:color w:val="333333"/>
                <w:sz w:val="14"/>
                <w:szCs w:val="14"/>
                <w:lang w:eastAsia="it-IT"/>
              </w:rPr>
              <w:t>Guest Editor:</w:t>
            </w:r>
            <w:r w:rsidRPr="00F93EDF">
              <w:rPr>
                <w:rFonts w:ascii="Tahoma" w:hAnsi="Tahoma" w:cs="Tahoma"/>
                <w:color w:val="000000"/>
                <w:sz w:val="14"/>
                <w:szCs w:val="14"/>
                <w:shd w:val="clear" w:color="auto" w:fill="FFFFFF"/>
              </w:rPr>
              <w:t xml:space="preserve"> </w:t>
            </w:r>
            <w:r w:rsidRPr="00293D18">
              <w:rPr>
                <w:rFonts w:ascii="Tahoma" w:hAnsi="Tahoma" w:cs="Tahoma"/>
                <w:sz w:val="14"/>
                <w:szCs w:val="14"/>
              </w:rPr>
              <w:t>Sauro Pierucci</w:t>
            </w:r>
          </w:p>
          <w:p w14:paraId="1022FB1A" w14:textId="77777777" w:rsidR="000A03B2" w:rsidRPr="00B57B36" w:rsidRDefault="00E2350D" w:rsidP="00AA7D26">
            <w:pPr>
              <w:tabs>
                <w:tab w:val="left" w:pos="-108"/>
              </w:tabs>
              <w:spacing w:line="140" w:lineRule="atLeast"/>
              <w:ind w:left="-107"/>
              <w:jc w:val="left"/>
            </w:pPr>
            <w:r>
              <w:rPr>
                <w:rFonts w:ascii="Tahoma" w:hAnsi="Tahoma" w:cs="Tahoma"/>
                <w:iCs/>
                <w:color w:val="333333"/>
                <w:sz w:val="14"/>
                <w:szCs w:val="14"/>
                <w:lang w:eastAsia="it-IT"/>
              </w:rPr>
              <w:t>Copyright © 2023</w:t>
            </w:r>
            <w:r w:rsidRPr="00B57B36">
              <w:rPr>
                <w:rFonts w:ascii="Tahoma" w:hAnsi="Tahoma" w:cs="Tahoma"/>
                <w:iCs/>
                <w:color w:val="333333"/>
                <w:sz w:val="14"/>
                <w:szCs w:val="14"/>
                <w:lang w:eastAsia="it-IT"/>
              </w:rPr>
              <w:t>, AIDIC Servizi S.r.l.</w:t>
            </w:r>
          </w:p>
          <w:p w14:paraId="2907DE54" w14:textId="77777777" w:rsidR="000A03B2" w:rsidRPr="00B57B36" w:rsidRDefault="00E2350D" w:rsidP="00AA7D26">
            <w:pPr>
              <w:tabs>
                <w:tab w:val="left" w:pos="-108"/>
              </w:tabs>
              <w:spacing w:line="140" w:lineRule="atLeast"/>
              <w:ind w:left="-107"/>
              <w:jc w:val="left"/>
            </w:pP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Pr="000562A9">
              <w:rPr>
                <w:rFonts w:ascii="Tahoma" w:hAnsi="Tahoma" w:cs="Tahoma"/>
                <w:sz w:val="14"/>
                <w:szCs w:val="14"/>
              </w:rPr>
              <w:t>97</w:t>
            </w:r>
            <w:r>
              <w:rPr>
                <w:rFonts w:ascii="Tahoma" w:hAnsi="Tahoma" w:cs="Tahoma"/>
                <w:sz w:val="14"/>
                <w:szCs w:val="14"/>
              </w:rPr>
              <w:t>8</w:t>
            </w:r>
            <w:r w:rsidRPr="000562A9">
              <w:rPr>
                <w:rFonts w:ascii="Tahoma" w:hAnsi="Tahoma" w:cs="Tahoma"/>
                <w:sz w:val="14"/>
                <w:szCs w:val="14"/>
              </w:rPr>
              <w:t>-</w:t>
            </w:r>
            <w:r>
              <w:rPr>
                <w:rFonts w:ascii="Tahoma" w:hAnsi="Tahoma" w:cs="Tahoma"/>
                <w:sz w:val="14"/>
                <w:szCs w:val="14"/>
              </w:rPr>
              <w:t>88</w:t>
            </w:r>
            <w:r w:rsidRPr="000562A9">
              <w:rPr>
                <w:rFonts w:ascii="Tahoma" w:hAnsi="Tahoma" w:cs="Tahoma"/>
                <w:sz w:val="14"/>
                <w:szCs w:val="14"/>
              </w:rPr>
              <w:t>-</w:t>
            </w:r>
            <w:r>
              <w:rPr>
                <w:rFonts w:ascii="Tahoma" w:hAnsi="Tahoma" w:cs="Tahoma"/>
                <w:sz w:val="14"/>
                <w:szCs w:val="14"/>
              </w:rPr>
              <w:t>95608-98-3</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5CDB6E7A" w14:textId="77777777" w:rsidR="00E978D0" w:rsidRPr="00E2350D" w:rsidRDefault="00E2350D" w:rsidP="00E978D0">
      <w:pPr>
        <w:pStyle w:val="CETTitle"/>
      </w:pPr>
      <w:r w:rsidRPr="00E2350D">
        <w:t xml:space="preserve">A </w:t>
      </w:r>
      <w:r w:rsidR="00665021" w:rsidRPr="00E2350D">
        <w:t>Conceptual</w:t>
      </w:r>
      <w:r w:rsidRPr="00E2350D">
        <w:t xml:space="preserve"> Framework to defining </w:t>
      </w:r>
      <w:r w:rsidR="005629D4" w:rsidRPr="00E2350D">
        <w:t>Leading</w:t>
      </w:r>
      <w:r w:rsidRPr="00E2350D">
        <w:t xml:space="preserve"> Indicators to measure </w:t>
      </w:r>
      <w:r w:rsidR="00033965" w:rsidRPr="00E2350D">
        <w:t>Safety Management System</w:t>
      </w:r>
      <w:r w:rsidRPr="00E2350D">
        <w:t xml:space="preserve"> Performance</w:t>
      </w:r>
      <w:r w:rsidR="00033965" w:rsidRPr="00E2350D">
        <w:t xml:space="preserve"> </w:t>
      </w:r>
    </w:p>
    <w:p w14:paraId="692A2FD6" w14:textId="77777777" w:rsidR="00B57E6F" w:rsidRPr="00E2350D" w:rsidRDefault="00E2350D" w:rsidP="00B57E6F">
      <w:pPr>
        <w:pStyle w:val="CETAuthors"/>
        <w:rPr>
          <w:lang w:val="it-IT"/>
        </w:rPr>
      </w:pPr>
      <w:r w:rsidRPr="00E2350D">
        <w:rPr>
          <w:lang w:val="it-IT"/>
        </w:rPr>
        <w:t>Fabio Pera</w:t>
      </w:r>
      <w:r w:rsidRPr="00E2350D">
        <w:rPr>
          <w:vertAlign w:val="superscript"/>
          <w:lang w:val="it-IT"/>
        </w:rPr>
        <w:t>a</w:t>
      </w:r>
      <w:r w:rsidRPr="00E2350D">
        <w:rPr>
          <w:lang w:val="it-IT"/>
        </w:rPr>
        <w:t>, Teresa Murino</w:t>
      </w:r>
      <w:r w:rsidRPr="00E2350D">
        <w:rPr>
          <w:vertAlign w:val="superscript"/>
          <w:lang w:val="it-IT"/>
        </w:rPr>
        <w:t>b</w:t>
      </w:r>
      <w:r w:rsidRPr="00E2350D">
        <w:rPr>
          <w:lang w:val="it-IT"/>
        </w:rPr>
        <w:t>, Marianna Madonna</w:t>
      </w:r>
      <w:r w:rsidRPr="00E2350D">
        <w:rPr>
          <w:vertAlign w:val="superscript"/>
          <w:lang w:val="it-IT"/>
        </w:rPr>
        <w:t>a</w:t>
      </w:r>
      <w:r w:rsidRPr="00E2350D">
        <w:rPr>
          <w:lang w:val="it-IT"/>
        </w:rPr>
        <w:t>*, Mario Di Nardo</w:t>
      </w:r>
      <w:r w:rsidRPr="00E2350D">
        <w:rPr>
          <w:vertAlign w:val="superscript"/>
          <w:lang w:val="it-IT"/>
        </w:rPr>
        <w:t>b</w:t>
      </w:r>
      <w:r w:rsidRPr="00E2350D">
        <w:rPr>
          <w:lang w:val="it-IT"/>
        </w:rPr>
        <w:t>, Roberta Bizzarro</w:t>
      </w:r>
      <w:r w:rsidR="00C37B32" w:rsidRPr="00E2350D">
        <w:rPr>
          <w:vertAlign w:val="superscript"/>
          <w:lang w:val="it-IT"/>
        </w:rPr>
        <w:t xml:space="preserve">b </w:t>
      </w:r>
    </w:p>
    <w:p w14:paraId="127A05B4" w14:textId="77777777" w:rsidR="00B57E6F" w:rsidRPr="00E2350D" w:rsidRDefault="00E2350D" w:rsidP="000E2DEF">
      <w:pPr>
        <w:pStyle w:val="CETAddress"/>
        <w:jc w:val="both"/>
        <w:rPr>
          <w:lang w:val="it-IT"/>
        </w:rPr>
      </w:pPr>
      <w:r w:rsidRPr="00E2350D">
        <w:rPr>
          <w:vertAlign w:val="superscript"/>
          <w:lang w:val="it-IT"/>
        </w:rPr>
        <w:t>a</w:t>
      </w:r>
      <w:r w:rsidR="00D03618" w:rsidRPr="00E2350D">
        <w:rPr>
          <w:lang w:val="it-IT"/>
        </w:rPr>
        <w:t>INAIL, Dipartimento Innovazione Tecnologica e Sicurezza degli Impianti, Prodotti e Insediamenti Antropici, Via Roberto Ferruzzi, 38, 00143 Roma, Italy.</w:t>
      </w:r>
    </w:p>
    <w:p w14:paraId="6E397F83" w14:textId="77777777" w:rsidR="00D03618" w:rsidRPr="00E2350D" w:rsidRDefault="00E2350D" w:rsidP="000E2DEF">
      <w:pPr>
        <w:pStyle w:val="CETAddress"/>
        <w:jc w:val="both"/>
        <w:rPr>
          <w:lang w:val="it-IT"/>
        </w:rPr>
      </w:pPr>
      <w:r w:rsidRPr="00E2350D">
        <w:rPr>
          <w:vertAlign w:val="superscript"/>
          <w:lang w:val="it-IT"/>
        </w:rPr>
        <w:t>a</w:t>
      </w:r>
      <w:r w:rsidRPr="00E2350D">
        <w:rPr>
          <w:lang w:val="it-IT"/>
        </w:rPr>
        <w:t>*INAIL, Unità Operativa Territoriale di Certificazione Verifica e Ricerca di Napoli, Via Nuova Poggioreale, 80143 Napoli, Italy.</w:t>
      </w:r>
    </w:p>
    <w:p w14:paraId="2EDDBC7A" w14:textId="77777777" w:rsidR="0088459C" w:rsidRPr="00E2350D" w:rsidRDefault="00E2350D" w:rsidP="000E2DEF">
      <w:pPr>
        <w:pStyle w:val="CETAddress"/>
        <w:jc w:val="both"/>
        <w:rPr>
          <w:lang w:val="it-IT"/>
        </w:rPr>
      </w:pPr>
      <w:r w:rsidRPr="00E2350D">
        <w:rPr>
          <w:vertAlign w:val="superscript"/>
          <w:lang w:val="it-IT"/>
        </w:rPr>
        <w:t>b</w:t>
      </w:r>
      <w:r w:rsidR="00D03618" w:rsidRPr="00E2350D">
        <w:rPr>
          <w:lang w:val="it-IT"/>
        </w:rPr>
        <w:t xml:space="preserve"> Università degli Studi di Napoli Federico II - Dipartimento di Ingegneria de</w:t>
      </w:r>
      <w:r w:rsidRPr="00E2350D">
        <w:rPr>
          <w:lang w:val="it-IT"/>
        </w:rPr>
        <w:t>i Materiali e della Produzione, Piazzale Tecchio, 80, 80125, Napoli, Italy.</w:t>
      </w:r>
    </w:p>
    <w:p w14:paraId="0B945FC7" w14:textId="77777777" w:rsidR="000E2DEF" w:rsidRPr="00E2350D" w:rsidRDefault="00E2350D" w:rsidP="000E2DEF">
      <w:pPr>
        <w:pStyle w:val="CETAddress"/>
        <w:jc w:val="both"/>
        <w:rPr>
          <w:lang w:val="en-US"/>
        </w:rPr>
      </w:pPr>
      <w:r w:rsidRPr="00E2350D">
        <w:rPr>
          <w:lang w:val="en-US"/>
        </w:rPr>
        <w:t>m.madonna</w:t>
      </w:r>
      <w:r w:rsidR="00B57E6F" w:rsidRPr="00E2350D">
        <w:rPr>
          <w:lang w:val="en-US"/>
        </w:rPr>
        <w:t>@</w:t>
      </w:r>
      <w:r w:rsidRPr="00E2350D">
        <w:rPr>
          <w:lang w:val="en-US"/>
        </w:rPr>
        <w:t>inail.it</w:t>
      </w:r>
      <w:r w:rsidR="00B57E6F" w:rsidRPr="00E2350D">
        <w:rPr>
          <w:lang w:val="en-US"/>
        </w:rPr>
        <w:t xml:space="preserve"> </w:t>
      </w:r>
    </w:p>
    <w:p w14:paraId="562B0565" w14:textId="77777777" w:rsidR="002F34C2" w:rsidRPr="00E2350D" w:rsidRDefault="002F34C2" w:rsidP="000E2DEF">
      <w:pPr>
        <w:pStyle w:val="CETAddress"/>
        <w:jc w:val="both"/>
        <w:rPr>
          <w:lang w:val="en-US"/>
        </w:rPr>
      </w:pPr>
    </w:p>
    <w:p w14:paraId="4B7AE50F" w14:textId="77777777" w:rsidR="009E182A" w:rsidRPr="00E2350D" w:rsidRDefault="00E2350D" w:rsidP="009E182A">
      <w:pPr>
        <w:pStyle w:val="CETListbullets"/>
        <w:ind w:left="0" w:firstLine="0"/>
      </w:pPr>
      <w:r w:rsidRPr="00E2350D">
        <w:t>The measurement of health and safety management performance in organisations is a key step, as well as in any management process, as it provides information to identify the critical areas that require actions to achieve continuous improvement. Within the safety management system</w:t>
      </w:r>
      <w:r w:rsidR="00495517" w:rsidRPr="00E2350D">
        <w:t xml:space="preserve"> (SMS)</w:t>
      </w:r>
      <w:r w:rsidRPr="00E2350D">
        <w:t xml:space="preserve">, the performance measurement is therefore associated with the check step in the plan-do-check-act (PDCA) cycle. However, it is also in the planning phase that we need to think about what we will have to measure in order to be able to make decisions in key areas. Unfortunately, based on existing literature and standardisation, there is no unique checklist for measuring the performance of safety management systems. </w:t>
      </w:r>
      <w:r w:rsidR="00495517" w:rsidRPr="00E2350D">
        <w:t xml:space="preserve">Although theorists and researchers have not yet found standard indicators for measuring the SMS performance, they seem to agree in classifying performance indicators into </w:t>
      </w:r>
      <w:r w:rsidR="00495517" w:rsidRPr="00E2350D">
        <w:rPr>
          <w:i/>
        </w:rPr>
        <w:t xml:space="preserve">lagging </w:t>
      </w:r>
      <w:r w:rsidR="00495517" w:rsidRPr="00E2350D">
        <w:t>and</w:t>
      </w:r>
      <w:r w:rsidR="00495517" w:rsidRPr="00E2350D">
        <w:rPr>
          <w:i/>
        </w:rPr>
        <w:t xml:space="preserve"> leading</w:t>
      </w:r>
      <w:r w:rsidR="00495517" w:rsidRPr="00E2350D">
        <w:t xml:space="preserve"> indicators. While lagging indicators measure the frequency of injuries, illnesses and fatalities that occurred in the past, leading indicators provide information about safety and health activities by enabling organisations to implement preventive measures.</w:t>
      </w:r>
    </w:p>
    <w:p w14:paraId="44B24378" w14:textId="77777777" w:rsidR="00B436CB" w:rsidRPr="00E2350D" w:rsidRDefault="00E2350D" w:rsidP="00B91986">
      <w:pPr>
        <w:pStyle w:val="CETListbullets"/>
        <w:ind w:left="0" w:firstLine="0"/>
        <w:rPr>
          <w:b/>
        </w:rPr>
      </w:pPr>
      <w:r w:rsidRPr="00E2350D">
        <w:t xml:space="preserve">In this paper, the authors have proposed a </w:t>
      </w:r>
      <w:r w:rsidR="004B024A" w:rsidRPr="00E2350D">
        <w:t xml:space="preserve">conceptual </w:t>
      </w:r>
      <w:r w:rsidRPr="00E2350D">
        <w:t xml:space="preserve">framework for </w:t>
      </w:r>
      <w:r w:rsidR="004B024A" w:rsidRPr="00E2350D">
        <w:t xml:space="preserve">defining key indicators </w:t>
      </w:r>
      <w:r w:rsidR="0029550D" w:rsidRPr="00E2350D">
        <w:t>to measure safety performance</w:t>
      </w:r>
      <w:r w:rsidRPr="00E2350D">
        <w:t xml:space="preserve">. </w:t>
      </w:r>
      <w:r w:rsidR="00495517" w:rsidRPr="00E2350D">
        <w:t>The objective is to design a structured path to identify indicators, among those existing in the literature and those widely used by experts, for each element of the SMS. The steps for using these indicators are also traced.</w:t>
      </w:r>
    </w:p>
    <w:p w14:paraId="05D33654" w14:textId="77777777" w:rsidR="00600535" w:rsidRPr="00E2350D" w:rsidRDefault="00E2350D" w:rsidP="00600535">
      <w:pPr>
        <w:pStyle w:val="CETHeading1"/>
        <w:rPr>
          <w:lang w:val="en-GB"/>
        </w:rPr>
      </w:pPr>
      <w:r w:rsidRPr="00E2350D">
        <w:rPr>
          <w:lang w:val="en-GB"/>
        </w:rPr>
        <w:t>Introduction</w:t>
      </w:r>
    </w:p>
    <w:p w14:paraId="4B0328D1" w14:textId="4A96780A" w:rsidR="000F60B0" w:rsidRDefault="00E2350D" w:rsidP="008F5BFD">
      <w:pPr>
        <w:pStyle w:val="CETListbullets"/>
        <w:ind w:left="0" w:firstLine="0"/>
      </w:pPr>
      <w:r w:rsidRPr="00E2350D">
        <w:t>The Safety Management S</w:t>
      </w:r>
      <w:r w:rsidR="0034750E" w:rsidRPr="00E2350D">
        <w:t xml:space="preserve">ystem </w:t>
      </w:r>
      <w:r w:rsidRPr="00E2350D">
        <w:t xml:space="preserve">(SMS) </w:t>
      </w:r>
      <w:r w:rsidR="0034750E" w:rsidRPr="00E2350D">
        <w:t>is an integral part of the wider management system of an organisation and has been implemented since the mid-1980s according to international standards such as the ILO-OSH guidelines (2001), OHSAS 18001 (2007) and the recent ISO 45001 (2018).</w:t>
      </w:r>
      <w:r w:rsidR="002C2C10" w:rsidRPr="00E2350D">
        <w:t xml:space="preserve"> </w:t>
      </w:r>
      <w:r w:rsidR="009D2BFC" w:rsidRPr="00E2350D">
        <w:t>Safety management models, even if they are non-mandatory, aim at the reduction of accidents at work. However, although occupational health and safety management systems</w:t>
      </w:r>
      <w:r w:rsidR="002940D8" w:rsidRPr="00E2350D">
        <w:t xml:space="preserve"> (OHS MSs)</w:t>
      </w:r>
      <w:r w:rsidR="009D2BFC" w:rsidRPr="00E2350D">
        <w:t xml:space="preserve"> have been widely adopted over the years, the number of occupational accidents and diseases is still high. </w:t>
      </w:r>
      <w:r w:rsidR="00922752" w:rsidRPr="00E2350D">
        <w:rPr>
          <w:lang w:val="en-US"/>
        </w:rPr>
        <w:t xml:space="preserve">The performance of any management system is measured </w:t>
      </w:r>
      <w:r w:rsidR="00554913" w:rsidRPr="00E2350D">
        <w:rPr>
          <w:lang w:val="en-US"/>
        </w:rPr>
        <w:t>using</w:t>
      </w:r>
      <w:r w:rsidR="003B56B5" w:rsidRPr="00E2350D">
        <w:rPr>
          <w:lang w:val="en-US"/>
        </w:rPr>
        <w:t xml:space="preserve"> indicators. A</w:t>
      </w:r>
      <w:r w:rsidR="00922752" w:rsidRPr="00E2350D">
        <w:rPr>
          <w:lang w:val="en-US"/>
        </w:rPr>
        <w:t xml:space="preserve">lthough the standards on the implementation of management systems refer to the use of indicators to measure performance objectives, there is no exhaustive and </w:t>
      </w:r>
      <w:r w:rsidRPr="00E2350D">
        <w:rPr>
          <w:lang w:val="en-US"/>
        </w:rPr>
        <w:t>standardized</w:t>
      </w:r>
      <w:r w:rsidR="00922752" w:rsidRPr="00E2350D">
        <w:rPr>
          <w:lang w:val="en-US"/>
        </w:rPr>
        <w:t xml:space="preserve"> list of these indicators to date.</w:t>
      </w:r>
      <w:r w:rsidR="00C73813">
        <w:t xml:space="preserve"> </w:t>
      </w:r>
      <w:r w:rsidR="00922752" w:rsidRPr="00E2350D">
        <w:rPr>
          <w:lang w:val="en-US"/>
        </w:rPr>
        <w:t>For this reason, in recent years</w:t>
      </w:r>
      <w:r w:rsidR="00554913" w:rsidRPr="00E2350D">
        <w:rPr>
          <w:lang w:val="en-US"/>
        </w:rPr>
        <w:t>,</w:t>
      </w:r>
      <w:r w:rsidR="00922752" w:rsidRPr="00E2350D">
        <w:rPr>
          <w:lang w:val="en-US"/>
        </w:rPr>
        <w:t xml:space="preserve"> researchers and management systems experts have conducted several studies on how to structure an effective system performance measurement.</w:t>
      </w:r>
      <w:r w:rsidR="00464DD4" w:rsidRPr="00E2350D">
        <w:t xml:space="preserve"> </w:t>
      </w:r>
      <w:r w:rsidR="003B56B5" w:rsidRPr="00E2350D">
        <w:rPr>
          <w:lang w:val="en-US"/>
        </w:rPr>
        <w:t>Even if</w:t>
      </w:r>
      <w:r w:rsidR="00464DD4" w:rsidRPr="00E2350D">
        <w:rPr>
          <w:lang w:val="en-US"/>
        </w:rPr>
        <w:t xml:space="preserve"> a framework for measuring the performance of safety man</w:t>
      </w:r>
      <w:r w:rsidR="003B56B5" w:rsidRPr="00E2350D">
        <w:rPr>
          <w:lang w:val="en-US"/>
        </w:rPr>
        <w:t xml:space="preserve">agement systems has not yet been found, </w:t>
      </w:r>
      <w:r w:rsidR="00464DD4" w:rsidRPr="00E2350D">
        <w:rPr>
          <w:lang w:val="en-US"/>
        </w:rPr>
        <w:t>the theorists and the researchers seem to agree on classifying perf</w:t>
      </w:r>
      <w:r w:rsidR="00F16F0D" w:rsidRPr="00E2350D">
        <w:rPr>
          <w:lang w:val="en-US"/>
        </w:rPr>
        <w:t xml:space="preserve">ormance indicators into leading and </w:t>
      </w:r>
      <w:r w:rsidR="00464DD4" w:rsidRPr="00E2350D">
        <w:rPr>
          <w:lang w:val="en-US"/>
        </w:rPr>
        <w:t xml:space="preserve">lagging indicators. While lagging indicators measure the frequency of injuries, illnesses and fatalities that occurred in the past, leading indicators provide information about safety and health activities by enabling </w:t>
      </w:r>
      <w:r w:rsidRPr="00E2350D">
        <w:rPr>
          <w:lang w:val="en-US"/>
        </w:rPr>
        <w:t>organizations</w:t>
      </w:r>
      <w:r w:rsidR="00464DD4" w:rsidRPr="00E2350D">
        <w:rPr>
          <w:lang w:val="en-US"/>
        </w:rPr>
        <w:t xml:space="preserve"> to implement preventive measures.</w:t>
      </w:r>
      <w:r w:rsidR="006405CE" w:rsidRPr="00E2350D">
        <w:t xml:space="preserve"> </w:t>
      </w:r>
      <w:r w:rsidR="006405CE" w:rsidRPr="00E2350D">
        <w:rPr>
          <w:lang w:val="en-US"/>
        </w:rPr>
        <w:t xml:space="preserve">According </w:t>
      </w:r>
      <w:r w:rsidR="003B56B5" w:rsidRPr="00E2350D">
        <w:rPr>
          <w:lang w:val="en-US"/>
        </w:rPr>
        <w:t xml:space="preserve">to many authors, as </w:t>
      </w:r>
      <w:r w:rsidR="006405CE" w:rsidRPr="00E2350D">
        <w:rPr>
          <w:lang w:val="en-US"/>
        </w:rPr>
        <w:t>the lagging indicators are based on accidental events that have already occurred, they do not make preventive interventions possible, but they allow to intervene only with corrective actions.</w:t>
      </w:r>
      <w:r w:rsidRPr="00E2350D">
        <w:t xml:space="preserve"> </w:t>
      </w:r>
      <w:r w:rsidRPr="00E2350D">
        <w:lastRenderedPageBreak/>
        <w:t xml:space="preserve">Furthermore, it is widely acknowledged that, due to their retrospective nature, lagging indicators are insufficient to indicate the current level of performance and, as a result, cannot predict or enhance future performance. </w:t>
      </w:r>
    </w:p>
    <w:p w14:paraId="7E8FFC97" w14:textId="6CBA7BD3" w:rsidR="008F5BFD" w:rsidRPr="00E2350D" w:rsidRDefault="00481F99" w:rsidP="008F5BFD">
      <w:pPr>
        <w:pStyle w:val="CETListbullets"/>
        <w:ind w:left="0" w:firstLine="0"/>
      </w:pPr>
      <w:r>
        <w:t xml:space="preserve">In addition, if it is also considered that the </w:t>
      </w:r>
      <w:r>
        <w:t>high impact accidents are rare and difficult to predict</w:t>
      </w:r>
      <w:r>
        <w:t>, the number of accidents occurred</w:t>
      </w:r>
      <w:r>
        <w:t xml:space="preserve"> cannot be taken as unique</w:t>
      </w:r>
      <w:r>
        <w:t xml:space="preserve"> </w:t>
      </w:r>
      <w:r>
        <w:t>indi</w:t>
      </w:r>
      <w:r>
        <w:t xml:space="preserve">cators of the effectiveness of </w:t>
      </w:r>
      <w:r>
        <w:t>a safety program of an organization or its overall level of safety.</w:t>
      </w:r>
      <w:r>
        <w:t xml:space="preserve"> </w:t>
      </w:r>
      <w:r w:rsidR="000F60B0">
        <w:t>(Carra et al, 2022)</w:t>
      </w:r>
      <w:r w:rsidR="000F60B0">
        <w:t>.</w:t>
      </w:r>
      <w:r>
        <w:t xml:space="preserve"> </w:t>
      </w:r>
      <w:r w:rsidR="000256A6" w:rsidRPr="000256A6">
        <w:t>Especially for t</w:t>
      </w:r>
      <w:r w:rsidR="0038360F">
        <w:t>hose organizations approaching “zero harm”</w:t>
      </w:r>
      <w:r w:rsidR="000256A6" w:rsidRPr="000256A6">
        <w:t>, it becomes difficult to ensure safety by monitoring lagging indicators as no precursors of circumstances are detected</w:t>
      </w:r>
      <w:r w:rsidR="0038360F">
        <w:t xml:space="preserve"> (ICMM, 2012)</w:t>
      </w:r>
      <w:r w:rsidR="000256A6" w:rsidRPr="000256A6">
        <w:t>.</w:t>
      </w:r>
      <w:r w:rsidR="006067FF">
        <w:t xml:space="preserve"> </w:t>
      </w:r>
      <w:r w:rsidR="00452053" w:rsidRPr="00E2350D">
        <w:rPr>
          <w:lang w:val="en-US"/>
        </w:rPr>
        <w:t xml:space="preserve">On the other hand, the leading </w:t>
      </w:r>
      <w:r w:rsidR="006067FF" w:rsidRPr="006067FF">
        <w:rPr>
          <w:lang w:val="en-US"/>
        </w:rPr>
        <w:t>measure the direct and indirect precursors to harm, and give early warning before an undesired</w:t>
      </w:r>
      <w:r w:rsidR="006067FF">
        <w:rPr>
          <w:lang w:val="en-US"/>
        </w:rPr>
        <w:t xml:space="preserve"> outcome occurs</w:t>
      </w:r>
      <w:r w:rsidR="006067FF" w:rsidRPr="006067FF">
        <w:rPr>
          <w:lang w:val="en-US"/>
        </w:rPr>
        <w:t xml:space="preserve">. </w:t>
      </w:r>
      <w:r w:rsidR="006067FF">
        <w:rPr>
          <w:lang w:val="en-US"/>
        </w:rPr>
        <w:t xml:space="preserve">Leading </w:t>
      </w:r>
      <w:r w:rsidR="00452053" w:rsidRPr="00E2350D">
        <w:rPr>
          <w:lang w:val="en-US"/>
        </w:rPr>
        <w:t>indicators allow timely and effective intervention in the event of possible non-compliance with the management system even before the negative consequences of such situations, such as a</w:t>
      </w:r>
      <w:r w:rsidR="00710156" w:rsidRPr="00E2350D">
        <w:rPr>
          <w:lang w:val="en-US"/>
        </w:rPr>
        <w:t xml:space="preserve">ccidents at work, occur </w:t>
      </w:r>
      <w:r w:rsidR="00BE58A4" w:rsidRPr="00E2350D">
        <w:rPr>
          <w:lang w:val="en-US"/>
        </w:rPr>
        <w:t>(Podgorski, 2015).</w:t>
      </w:r>
      <w:r w:rsidR="006E4828" w:rsidRPr="00E2350D">
        <w:rPr>
          <w:lang w:val="en-US"/>
        </w:rPr>
        <w:t xml:space="preserve"> </w:t>
      </w:r>
    </w:p>
    <w:p w14:paraId="74DA2C88" w14:textId="30E98BA4" w:rsidR="004A6826" w:rsidRPr="001D3E40" w:rsidRDefault="001D3E40" w:rsidP="004A6826">
      <w:pPr>
        <w:pStyle w:val="CETListbullets"/>
        <w:ind w:left="0" w:firstLine="0"/>
        <w:rPr>
          <w:lang w:val="en-US"/>
        </w:rPr>
      </w:pPr>
      <w:r w:rsidRPr="001D3E40">
        <w:rPr>
          <w:lang w:val="en-US"/>
        </w:rPr>
        <w:t>With this in mind, leading indicators appear more useful for driving change by providing early warning signs of potential failures that might turn into accidents and injuries</w:t>
      </w:r>
      <w:r w:rsidR="005B0B1F">
        <w:rPr>
          <w:lang w:val="en-US"/>
        </w:rPr>
        <w:t>.</w:t>
      </w:r>
    </w:p>
    <w:p w14:paraId="35D86F0E" w14:textId="77777777" w:rsidR="001D3E40" w:rsidRPr="00E2350D" w:rsidRDefault="001D3E40" w:rsidP="004A6826">
      <w:pPr>
        <w:pStyle w:val="CETListbullets"/>
        <w:ind w:left="0" w:firstLine="0"/>
        <w:rPr>
          <w:lang w:val="en-US"/>
        </w:rPr>
      </w:pPr>
    </w:p>
    <w:p w14:paraId="70EB4B06" w14:textId="77777777" w:rsidR="00453E24" w:rsidRPr="00E2350D" w:rsidRDefault="00E2350D" w:rsidP="004A6826">
      <w:pPr>
        <w:pStyle w:val="CETHeading1"/>
        <w:spacing w:before="0" w:after="0" w:line="264" w:lineRule="auto"/>
      </w:pPr>
      <w:r w:rsidRPr="00E2350D">
        <w:t>Materials and method</w:t>
      </w:r>
    </w:p>
    <w:p w14:paraId="0DAA1B7F" w14:textId="77777777" w:rsidR="00646CD2" w:rsidRPr="00E2350D" w:rsidRDefault="00646CD2" w:rsidP="00646CD2">
      <w:pPr>
        <w:pStyle w:val="CETBodytext"/>
      </w:pPr>
    </w:p>
    <w:p w14:paraId="51ED836B" w14:textId="77777777" w:rsidR="001304A9" w:rsidRPr="00E2350D" w:rsidRDefault="00E2350D" w:rsidP="00A768D9">
      <w:pPr>
        <w:pStyle w:val="CETHeading1"/>
        <w:numPr>
          <w:ilvl w:val="0"/>
          <w:numId w:val="0"/>
        </w:numPr>
        <w:spacing w:before="0" w:after="0" w:line="264" w:lineRule="auto"/>
        <w:jc w:val="both"/>
        <w:rPr>
          <w:b w:val="0"/>
          <w:sz w:val="18"/>
        </w:rPr>
      </w:pPr>
      <w:r w:rsidRPr="00E2350D">
        <w:rPr>
          <w:b w:val="0"/>
          <w:sz w:val="18"/>
        </w:rPr>
        <w:t xml:space="preserve">In the </w:t>
      </w:r>
      <w:r w:rsidR="006303BC" w:rsidRPr="00E2350D">
        <w:rPr>
          <w:b w:val="0"/>
          <w:sz w:val="18"/>
        </w:rPr>
        <w:t xml:space="preserve">literature on </w:t>
      </w:r>
      <w:r w:rsidRPr="00E2350D">
        <w:rPr>
          <w:b w:val="0"/>
          <w:sz w:val="18"/>
        </w:rPr>
        <w:t>the safety management performance,</w:t>
      </w:r>
      <w:r w:rsidR="006303BC" w:rsidRPr="00E2350D">
        <w:rPr>
          <w:b w:val="0"/>
          <w:sz w:val="18"/>
        </w:rPr>
        <w:t xml:space="preserve"> </w:t>
      </w:r>
      <w:r w:rsidRPr="00E2350D">
        <w:rPr>
          <w:b w:val="0"/>
          <w:sz w:val="18"/>
        </w:rPr>
        <w:t xml:space="preserve">many authors have developed indicators to measure performance and its impact on incident rate or other safety outcomes. Most of these indicators referred to specific sectors, such as </w:t>
      </w:r>
      <w:r w:rsidR="00BB64CD" w:rsidRPr="00E2350D">
        <w:rPr>
          <w:b w:val="0"/>
          <w:sz w:val="18"/>
        </w:rPr>
        <w:t>systems</w:t>
      </w:r>
      <w:r w:rsidRPr="00E2350D">
        <w:rPr>
          <w:b w:val="0"/>
          <w:sz w:val="18"/>
        </w:rPr>
        <w:t xml:space="preserve"> for preventing major industrial accidents in processing industries, road and air transport safety management systems, etc. </w:t>
      </w:r>
    </w:p>
    <w:p w14:paraId="1FD78720" w14:textId="77777777" w:rsidR="006E4828" w:rsidRPr="00E2350D" w:rsidRDefault="00E2350D" w:rsidP="008931AD">
      <w:pPr>
        <w:pStyle w:val="CETBodytext"/>
      </w:pPr>
      <w:r w:rsidRPr="00E2350D">
        <w:t>In this paper, the authors have proposed a conceptual framework for tracing the path to identify indicators for each safety m</w:t>
      </w:r>
      <w:r w:rsidR="004477D3" w:rsidRPr="00E2350D">
        <w:t>anagement system element. F</w:t>
      </w:r>
      <w:r w:rsidRPr="00E2350D">
        <w:t>igure 1</w:t>
      </w:r>
      <w:r w:rsidR="004477D3" w:rsidRPr="00E2350D">
        <w:t xml:space="preserve"> shows</w:t>
      </w:r>
      <w:r w:rsidRPr="00E2350D">
        <w:t xml:space="preserve"> the steps that all types of organizations could use as a tool to build an effective system performance measurement</w:t>
      </w:r>
      <w:r w:rsidR="00A77BEA" w:rsidRPr="00E2350D">
        <w:t xml:space="preserve">, even if its implementation </w:t>
      </w:r>
      <w:r w:rsidR="007E1C76" w:rsidRPr="00E2350D">
        <w:t>requires expert</w:t>
      </w:r>
      <w:r w:rsidR="00A77BEA" w:rsidRPr="00E2350D">
        <w:t xml:space="preserve"> people in management systems</w:t>
      </w:r>
      <w:r w:rsidR="004477D3" w:rsidRPr="00E2350D">
        <w:t xml:space="preserve"> and an exhaustive state of the art</w:t>
      </w:r>
      <w:r w:rsidR="00A77BEA" w:rsidRPr="00E2350D">
        <w:t>.</w:t>
      </w:r>
    </w:p>
    <w:p w14:paraId="2A6795A4" w14:textId="77777777" w:rsidR="00A768D9" w:rsidRPr="00E2350D" w:rsidRDefault="00E2350D" w:rsidP="008931AD">
      <w:pPr>
        <w:pStyle w:val="CETBodytext"/>
      </w:pPr>
      <w:r w:rsidRPr="00E2350D">
        <w:t>The</w:t>
      </w:r>
      <w:r w:rsidR="00CC27C9" w:rsidRPr="00E2350D">
        <w:t xml:space="preserve"> </w:t>
      </w:r>
      <w:r w:rsidRPr="00E2350D">
        <w:t xml:space="preserve">proposed </w:t>
      </w:r>
      <w:r w:rsidR="00DF5EC6" w:rsidRPr="00E2350D">
        <w:t xml:space="preserve">framework </w:t>
      </w:r>
      <w:r w:rsidRPr="00E2350D">
        <w:t>consists</w:t>
      </w:r>
      <w:r w:rsidR="00DF5EC6" w:rsidRPr="00E2350D">
        <w:t xml:space="preserve"> of </w:t>
      </w:r>
      <w:r w:rsidRPr="00E2350D">
        <w:t xml:space="preserve">three </w:t>
      </w:r>
      <w:r w:rsidR="00DF5EC6" w:rsidRPr="00E2350D">
        <w:t xml:space="preserve">phases structured in </w:t>
      </w:r>
      <w:r w:rsidR="009A0A2E" w:rsidRPr="00E2350D">
        <w:t>steps that</w:t>
      </w:r>
      <w:r w:rsidR="00DF5EC6" w:rsidRPr="00E2350D">
        <w:t xml:space="preserve"> lead to the definition of </w:t>
      </w:r>
      <w:r w:rsidRPr="00E2350D">
        <w:rPr>
          <w:i/>
        </w:rPr>
        <w:t>i</w:t>
      </w:r>
      <w:r w:rsidRPr="00E2350D">
        <w:t>-</w:t>
      </w:r>
      <w:r w:rsidR="00DF5EC6" w:rsidRPr="00E2350D">
        <w:t>indicators for each</w:t>
      </w:r>
      <w:r w:rsidR="00DF5EC6" w:rsidRPr="00E2350D">
        <w:rPr>
          <w:i/>
        </w:rPr>
        <w:t xml:space="preserve"> </w:t>
      </w:r>
      <w:r w:rsidRPr="00E2350D">
        <w:rPr>
          <w:i/>
        </w:rPr>
        <w:t>j</w:t>
      </w:r>
      <w:r w:rsidRPr="00E2350D">
        <w:t>-</w:t>
      </w:r>
      <w:r w:rsidR="00DF5EC6" w:rsidRPr="00E2350D">
        <w:t>element of the management system. The challenge in the existing literatur</w:t>
      </w:r>
      <w:r w:rsidRPr="00E2350D">
        <w:t>e is to find an</w:t>
      </w:r>
      <w:r w:rsidR="00DF5EC6" w:rsidRPr="00E2350D">
        <w:t xml:space="preserve"> </w:t>
      </w:r>
      <w:r w:rsidR="00054AD6" w:rsidRPr="00E2350D">
        <w:t>appropriate</w:t>
      </w:r>
      <w:r w:rsidR="00DF5EC6" w:rsidRPr="00E2350D">
        <w:t xml:space="preserve"> number of indicators. On the one hand, a high number of indicators would lead to redundancy due to the interrelationships between indicators and an excessive expenditure of economic resources for their management (data collection, analysis and decision-making). On the other hand, a small number of indicators could lead to not considering the early warnings that would derive from the omitted indicators.</w:t>
      </w:r>
      <w:r w:rsidR="00CC27C9" w:rsidRPr="00E2350D">
        <w:t xml:space="preserve"> In this preliminary study, the aim is not to identify all the indicators but to build a structured path to consider all the main elements of a management system, which should be monitored in order to allow management to implement preventive measures.</w:t>
      </w:r>
    </w:p>
    <w:p w14:paraId="006FC2A0" w14:textId="780DDCCE" w:rsidR="00481F99" w:rsidRPr="00E2350D" w:rsidRDefault="00481F99" w:rsidP="001C35BB">
      <w:pPr>
        <w:pStyle w:val="CETBodytext"/>
      </w:pPr>
    </w:p>
    <w:p w14:paraId="73D6E072" w14:textId="015BF8E0" w:rsidR="00BC16C7" w:rsidRDefault="00E2350D" w:rsidP="00665021">
      <w:pPr>
        <w:pStyle w:val="CETBodytext"/>
        <w:jc w:val="center"/>
      </w:pPr>
      <w:r w:rsidRPr="00E2350D">
        <w:rPr>
          <w:noProof/>
          <w:lang w:val="it-IT" w:eastAsia="it-IT"/>
        </w:rPr>
        <w:drawing>
          <wp:inline distT="0" distB="0" distL="0" distR="0" wp14:anchorId="2250D092" wp14:editId="25AF0701">
            <wp:extent cx="4776245" cy="3052673"/>
            <wp:effectExtent l="0" t="0" r="571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rcRect l="20195" t="26941" r="27809" b="21403"/>
                    <a:stretch>
                      <a:fillRect/>
                    </a:stretch>
                  </pic:blipFill>
                  <pic:spPr bwMode="auto">
                    <a:xfrm>
                      <a:off x="0" y="0"/>
                      <a:ext cx="4873607" cy="3114901"/>
                    </a:xfrm>
                    <a:prstGeom prst="rect">
                      <a:avLst/>
                    </a:prstGeom>
                    <a:ln>
                      <a:noFill/>
                    </a:ln>
                    <a:extLst>
                      <a:ext uri="{53640926-AAD7-44D8-BBD7-CCE9431645EC}">
                        <a14:shadowObscured xmlns:a14="http://schemas.microsoft.com/office/drawing/2010/main"/>
                      </a:ext>
                    </a:extLst>
                  </pic:spPr>
                </pic:pic>
              </a:graphicData>
            </a:graphic>
          </wp:inline>
        </w:drawing>
      </w:r>
    </w:p>
    <w:p w14:paraId="1334F3CC" w14:textId="77777777" w:rsidR="004825B7" w:rsidRPr="00E2350D" w:rsidRDefault="004825B7" w:rsidP="00665021">
      <w:pPr>
        <w:pStyle w:val="CETBodytext"/>
        <w:jc w:val="center"/>
      </w:pPr>
    </w:p>
    <w:p w14:paraId="156D7D56" w14:textId="77777777" w:rsidR="009A0A2E" w:rsidRPr="00E2350D" w:rsidRDefault="00E2350D" w:rsidP="00943032">
      <w:pPr>
        <w:pStyle w:val="CETheadingx"/>
      </w:pPr>
      <w:r w:rsidRPr="00E2350D">
        <w:t>Figure 1</w:t>
      </w:r>
      <w:r w:rsidR="002643D6" w:rsidRPr="00E2350D">
        <w:t xml:space="preserve">: Framework for defining </w:t>
      </w:r>
      <w:r w:rsidR="005629D4" w:rsidRPr="00E2350D">
        <w:t>leading indicators</w:t>
      </w:r>
    </w:p>
    <w:p w14:paraId="4E28D253" w14:textId="0A7F239B" w:rsidR="004825B7" w:rsidRDefault="004825B7" w:rsidP="00943032">
      <w:pPr>
        <w:pStyle w:val="CETBodytext"/>
      </w:pPr>
    </w:p>
    <w:p w14:paraId="4A85A3F6" w14:textId="77777777" w:rsidR="005B0B1F" w:rsidRPr="00E2350D" w:rsidRDefault="005B0B1F" w:rsidP="00943032">
      <w:pPr>
        <w:pStyle w:val="CETBodytext"/>
      </w:pPr>
      <w:bookmarkStart w:id="0" w:name="_GoBack"/>
      <w:bookmarkEnd w:id="0"/>
    </w:p>
    <w:p w14:paraId="2DD7E669" w14:textId="77777777" w:rsidR="009A0A2E" w:rsidRPr="00E2350D" w:rsidRDefault="00E2350D" w:rsidP="005B2A5A">
      <w:pPr>
        <w:pStyle w:val="CETBodytext"/>
        <w:numPr>
          <w:ilvl w:val="2"/>
          <w:numId w:val="1"/>
        </w:numPr>
        <w:rPr>
          <w:b/>
        </w:rPr>
      </w:pPr>
      <w:r w:rsidRPr="00E2350D">
        <w:rPr>
          <w:b/>
        </w:rPr>
        <w:lastRenderedPageBreak/>
        <w:t>Pha</w:t>
      </w:r>
      <w:r w:rsidR="00AC2894" w:rsidRPr="00E2350D">
        <w:rPr>
          <w:b/>
        </w:rPr>
        <w:t xml:space="preserve">se I - </w:t>
      </w:r>
      <w:r w:rsidR="00090E58" w:rsidRPr="00E2350D">
        <w:rPr>
          <w:b/>
        </w:rPr>
        <w:t>Identification of SMS areas and elements</w:t>
      </w:r>
    </w:p>
    <w:p w14:paraId="4EAF105A" w14:textId="77777777" w:rsidR="005B2A5A" w:rsidRPr="00E2350D" w:rsidRDefault="005B2A5A" w:rsidP="005B2A5A">
      <w:pPr>
        <w:pStyle w:val="CETBodytext"/>
        <w:rPr>
          <w:b/>
        </w:rPr>
      </w:pPr>
    </w:p>
    <w:p w14:paraId="2D132E1B" w14:textId="77777777" w:rsidR="00FA47A6" w:rsidRPr="00E2350D" w:rsidRDefault="00E2350D" w:rsidP="00FA47A6">
      <w:pPr>
        <w:pStyle w:val="CETBodytext"/>
      </w:pPr>
      <w:r w:rsidRPr="00E2350D">
        <w:t xml:space="preserve">To date, there is no unique </w:t>
      </w:r>
      <w:r w:rsidR="009C5C1A" w:rsidRPr="00E2350D">
        <w:t xml:space="preserve">model or </w:t>
      </w:r>
      <w:r w:rsidRPr="00E2350D">
        <w:t>standard for the implementation of a</w:t>
      </w:r>
      <w:r w:rsidR="006D0C08" w:rsidRPr="00E2350D">
        <w:t>n occupational</w:t>
      </w:r>
      <w:r w:rsidRPr="00E2350D">
        <w:t xml:space="preserve"> health and safety management system</w:t>
      </w:r>
      <w:r w:rsidR="009C5C1A" w:rsidRPr="00E2350D">
        <w:t>,</w:t>
      </w:r>
      <w:r w:rsidRPr="00E2350D">
        <w:t xml:space="preserve"> but the existing ones are all based on the Deming cycle in order to achieve continuous improvement, which is based on the phases of the plan, do, chec</w:t>
      </w:r>
      <w:r w:rsidR="001E6B42" w:rsidRPr="00E2350D">
        <w:t>k and act (</w:t>
      </w:r>
      <w:r w:rsidRPr="00E2350D">
        <w:t>PDCA cycle)</w:t>
      </w:r>
      <w:r w:rsidR="006D0C08" w:rsidRPr="00E2350D">
        <w:t>. To underline the importance and integration of the tool, it is possible to highlight how much the certification standards of the latest generation management systems are broken down by it into:</w:t>
      </w:r>
    </w:p>
    <w:p w14:paraId="53DC7A61" w14:textId="77777777" w:rsidR="001E6B42" w:rsidRPr="00E2350D" w:rsidRDefault="00E2350D" w:rsidP="001E6B42">
      <w:pPr>
        <w:pStyle w:val="CETBodytext"/>
        <w:numPr>
          <w:ilvl w:val="0"/>
          <w:numId w:val="28"/>
        </w:numPr>
        <w:tabs>
          <w:tab w:val="left" w:pos="284"/>
        </w:tabs>
        <w:ind w:left="284" w:hanging="284"/>
      </w:pPr>
      <w:r w:rsidRPr="00E2350D">
        <w:rPr>
          <w:i/>
        </w:rPr>
        <w:t>Plan</w:t>
      </w:r>
      <w:r w:rsidRPr="00E2350D">
        <w:t xml:space="preserve">: </w:t>
      </w:r>
      <w:r w:rsidR="00825127" w:rsidRPr="00E2350D">
        <w:t xml:space="preserve">establish the objectives and processes for occupational health and safety following the </w:t>
      </w:r>
      <w:r w:rsidRPr="00E2350D">
        <w:t>organization’s</w:t>
      </w:r>
      <w:r w:rsidR="00825127" w:rsidRPr="00E2350D">
        <w:t xml:space="preserve"> policy.</w:t>
      </w:r>
    </w:p>
    <w:p w14:paraId="4C4FBA66" w14:textId="77777777" w:rsidR="001E6B42" w:rsidRPr="00E2350D" w:rsidRDefault="00E2350D" w:rsidP="001E6B42">
      <w:pPr>
        <w:pStyle w:val="CETBodytext"/>
        <w:numPr>
          <w:ilvl w:val="0"/>
          <w:numId w:val="28"/>
        </w:numPr>
        <w:tabs>
          <w:tab w:val="left" w:pos="284"/>
        </w:tabs>
        <w:ind w:left="284" w:hanging="284"/>
      </w:pPr>
      <w:r w:rsidRPr="00E2350D">
        <w:rPr>
          <w:i/>
        </w:rPr>
        <w:t>Do</w:t>
      </w:r>
      <w:r w:rsidRPr="00E2350D">
        <w:t>:</w:t>
      </w:r>
      <w:r w:rsidR="00825127" w:rsidRPr="00E2350D">
        <w:t xml:space="preserve"> implement processes as planned.</w:t>
      </w:r>
    </w:p>
    <w:p w14:paraId="29AEA8C2" w14:textId="77777777" w:rsidR="001E6B42" w:rsidRPr="00E2350D" w:rsidRDefault="00E2350D" w:rsidP="001E6B42">
      <w:pPr>
        <w:pStyle w:val="CETBodytext"/>
        <w:numPr>
          <w:ilvl w:val="0"/>
          <w:numId w:val="28"/>
        </w:numPr>
        <w:tabs>
          <w:tab w:val="left" w:pos="284"/>
        </w:tabs>
        <w:ind w:left="284" w:hanging="284"/>
      </w:pPr>
      <w:r w:rsidRPr="00E2350D">
        <w:rPr>
          <w:i/>
        </w:rPr>
        <w:t>Check</w:t>
      </w:r>
      <w:r w:rsidRPr="00E2350D">
        <w:t>:</w:t>
      </w:r>
      <w:r w:rsidR="00825127" w:rsidRPr="00E2350D">
        <w:t xml:space="preserve"> monitor and measure activities and processes according to the occupational health and safety policy and objectives.</w:t>
      </w:r>
    </w:p>
    <w:p w14:paraId="2C8CDBD1" w14:textId="77777777" w:rsidR="00FA47A6" w:rsidRPr="00E2350D" w:rsidRDefault="00E2350D" w:rsidP="001E6B42">
      <w:pPr>
        <w:pStyle w:val="CETBodytext"/>
        <w:numPr>
          <w:ilvl w:val="0"/>
          <w:numId w:val="28"/>
        </w:numPr>
        <w:tabs>
          <w:tab w:val="left" w:pos="284"/>
        </w:tabs>
        <w:ind w:left="284" w:hanging="284"/>
      </w:pPr>
      <w:r w:rsidRPr="00E2350D">
        <w:rPr>
          <w:i/>
        </w:rPr>
        <w:t>Act</w:t>
      </w:r>
      <w:r w:rsidRPr="00E2350D">
        <w:t>:</w:t>
      </w:r>
      <w:r w:rsidR="00825127" w:rsidRPr="00E2350D">
        <w:t xml:space="preserve"> make improvement actions based on the results of the check phase</w:t>
      </w:r>
      <w:r w:rsidR="00EE3A98" w:rsidRPr="00E2350D">
        <w:t>.</w:t>
      </w:r>
    </w:p>
    <w:p w14:paraId="625DEB39" w14:textId="5911DDC3" w:rsidR="00710156" w:rsidRDefault="00E2350D" w:rsidP="00C73813">
      <w:pPr>
        <w:pStyle w:val="CETBodytext"/>
      </w:pPr>
      <w:r w:rsidRPr="00E2350D">
        <w:t xml:space="preserve">Therefore, as a first step, the authors decided to trace the main areas of a management system to the four phases of the Deming cycle. In particular, it was decided to refer to the ISO 45001 (2018) standard, as it represents the most recently developed state of the art and integrates well with the other ISO management systems because they are based on the same high-level structure (HLS). Furthermore, ISO 45001, like the other ISO management systems, also incorporates risk management principles </w:t>
      </w:r>
      <w:r w:rsidR="00B06A0E" w:rsidRPr="00E2350D">
        <w:t xml:space="preserve">(Pera et al., 2020) </w:t>
      </w:r>
      <w:r w:rsidRPr="00E2350D">
        <w:t>(Table 1).</w:t>
      </w:r>
    </w:p>
    <w:p w14:paraId="3306A66F" w14:textId="73805287" w:rsidR="00C73813" w:rsidRDefault="00C73813" w:rsidP="005741FE">
      <w:pPr>
        <w:pStyle w:val="CETBodytext"/>
        <w:jc w:val="center"/>
        <w:rPr>
          <w:noProof/>
          <w:lang w:eastAsia="it-IT"/>
        </w:rPr>
      </w:pPr>
    </w:p>
    <w:p w14:paraId="1CEAF5F6" w14:textId="77777777" w:rsidR="004825B7" w:rsidRPr="00E2350D" w:rsidRDefault="004825B7" w:rsidP="005741FE">
      <w:pPr>
        <w:pStyle w:val="CETBodytext"/>
        <w:jc w:val="center"/>
        <w:rPr>
          <w:noProof/>
          <w:lang w:eastAsia="it-IT"/>
        </w:rPr>
      </w:pPr>
    </w:p>
    <w:tbl>
      <w:tblPr>
        <w:tblW w:w="8789"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3119"/>
        <w:gridCol w:w="1134"/>
        <w:gridCol w:w="4536"/>
      </w:tblGrid>
      <w:tr w:rsidR="007C6CDE" w:rsidRPr="00E2350D" w14:paraId="4EAC41A6" w14:textId="77777777" w:rsidTr="00AA5F02">
        <w:tc>
          <w:tcPr>
            <w:tcW w:w="3119" w:type="dxa"/>
            <w:tcBorders>
              <w:top w:val="single" w:sz="12" w:space="0" w:color="008000"/>
              <w:bottom w:val="single" w:sz="6" w:space="0" w:color="008000"/>
            </w:tcBorders>
            <w:shd w:val="clear" w:color="auto" w:fill="FFFFFF"/>
          </w:tcPr>
          <w:p w14:paraId="4815D6E1" w14:textId="77777777" w:rsidR="00146A67" w:rsidRPr="00E2350D" w:rsidRDefault="00E2350D" w:rsidP="00146A67">
            <w:pPr>
              <w:rPr>
                <w:b/>
              </w:rPr>
            </w:pPr>
            <w:r w:rsidRPr="00E2350D">
              <w:rPr>
                <w:b/>
                <w:i/>
              </w:rPr>
              <w:t>phase</w:t>
            </w:r>
            <w:r w:rsidR="001670DC" w:rsidRPr="00E2350D">
              <w:rPr>
                <w:b/>
                <w:i/>
              </w:rPr>
              <w:t xml:space="preserve"> of the Deming cycle</w:t>
            </w:r>
          </w:p>
        </w:tc>
        <w:tc>
          <w:tcPr>
            <w:tcW w:w="1134" w:type="dxa"/>
            <w:tcBorders>
              <w:top w:val="single" w:sz="12" w:space="0" w:color="008000"/>
              <w:bottom w:val="single" w:sz="6" w:space="0" w:color="008000"/>
            </w:tcBorders>
            <w:shd w:val="clear" w:color="auto" w:fill="FFFFFF"/>
          </w:tcPr>
          <w:p w14:paraId="08E1422B" w14:textId="77777777" w:rsidR="00146A67" w:rsidRPr="00E2350D" w:rsidRDefault="00146A67" w:rsidP="00146A67"/>
        </w:tc>
        <w:tc>
          <w:tcPr>
            <w:tcW w:w="4536" w:type="dxa"/>
            <w:tcBorders>
              <w:top w:val="single" w:sz="12" w:space="0" w:color="008000"/>
              <w:bottom w:val="single" w:sz="6" w:space="0" w:color="008000"/>
            </w:tcBorders>
            <w:shd w:val="clear" w:color="auto" w:fill="FFFFFF"/>
          </w:tcPr>
          <w:p w14:paraId="44B42996" w14:textId="77777777" w:rsidR="00146A67" w:rsidRPr="00E2350D" w:rsidRDefault="00E2350D" w:rsidP="00CF45F0">
            <w:pPr>
              <w:rPr>
                <w:b/>
              </w:rPr>
            </w:pPr>
            <w:r w:rsidRPr="00E2350D">
              <w:rPr>
                <w:b/>
              </w:rPr>
              <w:t xml:space="preserve">corresponding </w:t>
            </w:r>
            <w:r w:rsidR="00CF45F0" w:rsidRPr="00E2350D">
              <w:rPr>
                <w:b/>
                <w:i/>
              </w:rPr>
              <w:t>k</w:t>
            </w:r>
            <w:r w:rsidRPr="00E2350D">
              <w:rPr>
                <w:b/>
              </w:rPr>
              <w:t xml:space="preserve">- SMS </w:t>
            </w:r>
            <w:r w:rsidR="00CF45F0" w:rsidRPr="00E2350D">
              <w:rPr>
                <w:b/>
              </w:rPr>
              <w:t>area</w:t>
            </w:r>
          </w:p>
        </w:tc>
      </w:tr>
      <w:tr w:rsidR="007C6CDE" w:rsidRPr="00E2350D" w14:paraId="4A921AFC" w14:textId="77777777" w:rsidTr="00AA5F02">
        <w:tc>
          <w:tcPr>
            <w:tcW w:w="3119" w:type="dxa"/>
            <w:shd w:val="clear" w:color="auto" w:fill="FFFFFF"/>
          </w:tcPr>
          <w:p w14:paraId="415F5532" w14:textId="77777777" w:rsidR="00146A67" w:rsidRPr="00E2350D" w:rsidRDefault="00E2350D" w:rsidP="00146A67">
            <w:pPr>
              <w:ind w:right="-1"/>
              <w:rPr>
                <w:rFonts w:cs="Arial"/>
                <w:szCs w:val="18"/>
              </w:rPr>
            </w:pPr>
            <w:r w:rsidRPr="00E2350D">
              <w:rPr>
                <w:rFonts w:cs="Arial"/>
                <w:szCs w:val="18"/>
              </w:rPr>
              <w:t>Plan</w:t>
            </w:r>
          </w:p>
          <w:p w14:paraId="01543B7B" w14:textId="77777777" w:rsidR="00146A67" w:rsidRPr="00E2350D" w:rsidRDefault="00146A67" w:rsidP="00146A67"/>
          <w:p w14:paraId="177A88C5" w14:textId="77777777" w:rsidR="00E80B5E" w:rsidRPr="00E2350D" w:rsidRDefault="00E80B5E" w:rsidP="00146A67"/>
          <w:p w14:paraId="52DDB20D" w14:textId="77777777" w:rsidR="00146A67" w:rsidRPr="00E2350D" w:rsidRDefault="00E2350D" w:rsidP="00146A67">
            <w:r w:rsidRPr="00E2350D">
              <w:t>Do</w:t>
            </w:r>
          </w:p>
          <w:p w14:paraId="1E0482D1" w14:textId="77777777" w:rsidR="00146A67" w:rsidRPr="00E2350D" w:rsidRDefault="00E2350D" w:rsidP="00146A67">
            <w:r w:rsidRPr="00E2350D">
              <w:t>Check</w:t>
            </w:r>
          </w:p>
          <w:p w14:paraId="2E1B3EE1" w14:textId="77777777" w:rsidR="00146A67" w:rsidRPr="00E2350D" w:rsidRDefault="00E2350D" w:rsidP="00146A67">
            <w:r w:rsidRPr="00E2350D">
              <w:t>Act</w:t>
            </w:r>
          </w:p>
        </w:tc>
        <w:tc>
          <w:tcPr>
            <w:tcW w:w="1134" w:type="dxa"/>
            <w:shd w:val="clear" w:color="auto" w:fill="FFFFFF"/>
          </w:tcPr>
          <w:p w14:paraId="664804FE" w14:textId="77777777" w:rsidR="00146A67" w:rsidRPr="00E2350D" w:rsidRDefault="00146A67" w:rsidP="00146A67">
            <w:pPr>
              <w:ind w:right="-1"/>
              <w:rPr>
                <w:rFonts w:cs="Arial"/>
                <w:szCs w:val="18"/>
              </w:rPr>
            </w:pPr>
          </w:p>
        </w:tc>
        <w:tc>
          <w:tcPr>
            <w:tcW w:w="4536" w:type="dxa"/>
            <w:shd w:val="clear" w:color="auto" w:fill="FFFFFF"/>
          </w:tcPr>
          <w:p w14:paraId="73F47A82" w14:textId="77777777" w:rsidR="00146A67" w:rsidRPr="00E2350D" w:rsidRDefault="00E2350D" w:rsidP="00146A67">
            <w:pPr>
              <w:ind w:right="-1"/>
              <w:rPr>
                <w:rFonts w:cs="Arial"/>
                <w:szCs w:val="18"/>
              </w:rPr>
            </w:pPr>
            <w:r w:rsidRPr="00E2350D">
              <w:rPr>
                <w:rFonts w:cs="Arial"/>
                <w:szCs w:val="18"/>
              </w:rPr>
              <w:t>Leadership and worker participation</w:t>
            </w:r>
          </w:p>
          <w:p w14:paraId="050CBF32" w14:textId="77777777" w:rsidR="00146A67" w:rsidRPr="00E2350D" w:rsidRDefault="00E2350D" w:rsidP="00146A67">
            <w:pPr>
              <w:ind w:right="-1"/>
              <w:rPr>
                <w:rFonts w:cs="Arial"/>
                <w:szCs w:val="18"/>
              </w:rPr>
            </w:pPr>
            <w:r w:rsidRPr="00E2350D">
              <w:rPr>
                <w:rFonts w:cs="Arial"/>
                <w:szCs w:val="18"/>
              </w:rPr>
              <w:t>Planning</w:t>
            </w:r>
          </w:p>
          <w:p w14:paraId="550F9F47" w14:textId="77777777" w:rsidR="00E80B5E" w:rsidRPr="00E2350D" w:rsidRDefault="00E2350D" w:rsidP="00146A67">
            <w:pPr>
              <w:ind w:right="-1"/>
              <w:rPr>
                <w:rFonts w:cs="Arial"/>
                <w:szCs w:val="18"/>
              </w:rPr>
            </w:pPr>
            <w:r w:rsidRPr="00E2350D">
              <w:rPr>
                <w:rFonts w:cs="Arial"/>
                <w:szCs w:val="18"/>
              </w:rPr>
              <w:t>Support</w:t>
            </w:r>
          </w:p>
          <w:p w14:paraId="535E56E3" w14:textId="77777777" w:rsidR="00146A67" w:rsidRPr="00E2350D" w:rsidRDefault="00E2350D" w:rsidP="00146A67">
            <w:pPr>
              <w:ind w:right="-1"/>
              <w:rPr>
                <w:rFonts w:cs="Arial"/>
                <w:szCs w:val="18"/>
              </w:rPr>
            </w:pPr>
            <w:r w:rsidRPr="00E2350D">
              <w:rPr>
                <w:rFonts w:cs="Arial"/>
                <w:szCs w:val="18"/>
              </w:rPr>
              <w:t>Operation</w:t>
            </w:r>
          </w:p>
          <w:p w14:paraId="6538121D" w14:textId="77777777" w:rsidR="00E80B5E" w:rsidRPr="00E2350D" w:rsidRDefault="00E2350D" w:rsidP="00146A67">
            <w:pPr>
              <w:ind w:right="-1"/>
              <w:rPr>
                <w:rFonts w:cs="Arial"/>
                <w:szCs w:val="18"/>
              </w:rPr>
            </w:pPr>
            <w:r w:rsidRPr="00E2350D">
              <w:rPr>
                <w:rFonts w:cs="Arial"/>
                <w:szCs w:val="18"/>
              </w:rPr>
              <w:t>Performance evaluation</w:t>
            </w:r>
          </w:p>
          <w:p w14:paraId="331BBF99" w14:textId="77777777" w:rsidR="00146A67" w:rsidRPr="00E2350D" w:rsidRDefault="00E2350D" w:rsidP="00CF45F0">
            <w:pPr>
              <w:ind w:right="-1"/>
              <w:rPr>
                <w:rFonts w:cs="Arial"/>
                <w:szCs w:val="18"/>
              </w:rPr>
            </w:pPr>
            <w:r w:rsidRPr="00E2350D">
              <w:rPr>
                <w:rFonts w:cs="Arial"/>
                <w:szCs w:val="18"/>
              </w:rPr>
              <w:t>I</w:t>
            </w:r>
            <w:r w:rsidR="00CF45F0" w:rsidRPr="00E2350D">
              <w:rPr>
                <w:rFonts w:cs="Arial"/>
                <w:szCs w:val="18"/>
              </w:rPr>
              <w:t>mprovement</w:t>
            </w:r>
          </w:p>
        </w:tc>
      </w:tr>
    </w:tbl>
    <w:p w14:paraId="62221D8C" w14:textId="77777777" w:rsidR="004E5AA9" w:rsidRPr="00E2350D" w:rsidRDefault="004E5AA9" w:rsidP="005741FE">
      <w:pPr>
        <w:pStyle w:val="CETBodytext"/>
        <w:jc w:val="center"/>
      </w:pPr>
    </w:p>
    <w:p w14:paraId="51D46231" w14:textId="77777777" w:rsidR="00E439E3" w:rsidRPr="00E2350D" w:rsidRDefault="00E2350D" w:rsidP="004E5AA9">
      <w:pPr>
        <w:pStyle w:val="CETBodytext"/>
        <w:tabs>
          <w:tab w:val="clear" w:pos="7100"/>
          <w:tab w:val="left" w:pos="3120"/>
        </w:tabs>
        <w:rPr>
          <w:i/>
        </w:rPr>
      </w:pPr>
      <w:r w:rsidRPr="00E2350D">
        <w:t xml:space="preserve">                                                      </w:t>
      </w:r>
      <w:r w:rsidR="00CF45F0" w:rsidRPr="00E2350D">
        <w:rPr>
          <w:i/>
        </w:rPr>
        <w:t>Table 1: k-SMS areas based on PDCA cycle</w:t>
      </w:r>
    </w:p>
    <w:p w14:paraId="5BC7E5F0" w14:textId="17410E82" w:rsidR="00CB008A" w:rsidRDefault="00CB008A" w:rsidP="004E5AA9">
      <w:pPr>
        <w:pStyle w:val="CETBodytext"/>
        <w:tabs>
          <w:tab w:val="clear" w:pos="7100"/>
          <w:tab w:val="left" w:pos="3120"/>
        </w:tabs>
      </w:pPr>
    </w:p>
    <w:p w14:paraId="35D660CD" w14:textId="77777777" w:rsidR="004825B7" w:rsidRPr="00E2350D" w:rsidRDefault="004825B7" w:rsidP="004E5AA9">
      <w:pPr>
        <w:pStyle w:val="CETBodytext"/>
        <w:tabs>
          <w:tab w:val="clear" w:pos="7100"/>
          <w:tab w:val="left" w:pos="3120"/>
        </w:tabs>
      </w:pPr>
    </w:p>
    <w:p w14:paraId="50024D06" w14:textId="324398EA" w:rsidR="004825B7" w:rsidRPr="00E2350D" w:rsidRDefault="00E2350D" w:rsidP="00C45A27">
      <w:pPr>
        <w:pStyle w:val="CETBodytext"/>
      </w:pPr>
      <w:r w:rsidRPr="00E2350D">
        <w:t>The second step of the first phase consists in identifying the main elements of the management systems for each k-SMS area. Again, ISO 45001 has continued to be used as a reference for the nomenclature used to identify the j-SMS elements, as shown in Table 2.</w:t>
      </w:r>
    </w:p>
    <w:p w14:paraId="348499D1" w14:textId="4A6991B4" w:rsidR="00C73813" w:rsidRPr="00E2350D" w:rsidRDefault="00C73813" w:rsidP="00C45A27">
      <w:pPr>
        <w:pStyle w:val="CETBodytext"/>
      </w:pPr>
    </w:p>
    <w:tbl>
      <w:tblPr>
        <w:tblW w:w="8789"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3119"/>
        <w:gridCol w:w="1134"/>
        <w:gridCol w:w="4536"/>
      </w:tblGrid>
      <w:tr w:rsidR="007C6CDE" w:rsidRPr="00E2350D" w14:paraId="3572A17A" w14:textId="77777777" w:rsidTr="00AA5F02">
        <w:tc>
          <w:tcPr>
            <w:tcW w:w="3119" w:type="dxa"/>
            <w:tcBorders>
              <w:top w:val="single" w:sz="12" w:space="0" w:color="008000"/>
              <w:bottom w:val="single" w:sz="6" w:space="0" w:color="008000"/>
            </w:tcBorders>
            <w:shd w:val="clear" w:color="auto" w:fill="FFFFFF"/>
          </w:tcPr>
          <w:p w14:paraId="45FA4CF9" w14:textId="77777777" w:rsidR="00865B37" w:rsidRPr="00E2350D" w:rsidRDefault="00E2350D" w:rsidP="00C45A27">
            <w:pPr>
              <w:rPr>
                <w:b/>
              </w:rPr>
            </w:pPr>
            <w:r w:rsidRPr="00E2350D">
              <w:rPr>
                <w:b/>
                <w:i/>
              </w:rPr>
              <w:t>k</w:t>
            </w:r>
            <w:r w:rsidRPr="00E2350D">
              <w:rPr>
                <w:b/>
              </w:rPr>
              <w:t xml:space="preserve"> - SMS area</w:t>
            </w:r>
          </w:p>
        </w:tc>
        <w:tc>
          <w:tcPr>
            <w:tcW w:w="1134" w:type="dxa"/>
            <w:tcBorders>
              <w:top w:val="single" w:sz="12" w:space="0" w:color="008000"/>
              <w:bottom w:val="single" w:sz="6" w:space="0" w:color="008000"/>
            </w:tcBorders>
            <w:shd w:val="clear" w:color="auto" w:fill="FFFFFF"/>
          </w:tcPr>
          <w:p w14:paraId="2E67D61B" w14:textId="77777777" w:rsidR="00865B37" w:rsidRPr="00E2350D" w:rsidRDefault="00865B37" w:rsidP="005067E3"/>
        </w:tc>
        <w:tc>
          <w:tcPr>
            <w:tcW w:w="4536" w:type="dxa"/>
            <w:tcBorders>
              <w:top w:val="single" w:sz="12" w:space="0" w:color="008000"/>
              <w:bottom w:val="single" w:sz="6" w:space="0" w:color="008000"/>
            </w:tcBorders>
            <w:shd w:val="clear" w:color="auto" w:fill="FFFFFF"/>
          </w:tcPr>
          <w:p w14:paraId="608DA7FE" w14:textId="77777777" w:rsidR="00865B37" w:rsidRPr="00E2350D" w:rsidRDefault="00E2350D" w:rsidP="005067E3">
            <w:pPr>
              <w:rPr>
                <w:b/>
              </w:rPr>
            </w:pPr>
            <w:r w:rsidRPr="00E2350D">
              <w:rPr>
                <w:b/>
              </w:rPr>
              <w:t xml:space="preserve">corresponding </w:t>
            </w:r>
            <w:r w:rsidR="00301047" w:rsidRPr="00E2350D">
              <w:rPr>
                <w:b/>
                <w:i/>
              </w:rPr>
              <w:t>j</w:t>
            </w:r>
            <w:r w:rsidRPr="00E2350D">
              <w:rPr>
                <w:b/>
              </w:rPr>
              <w:t xml:space="preserve"> - SMS element</w:t>
            </w:r>
          </w:p>
        </w:tc>
      </w:tr>
      <w:tr w:rsidR="007C6CDE" w:rsidRPr="00E2350D" w14:paraId="2CF4D019" w14:textId="77777777" w:rsidTr="00AA5F02">
        <w:tc>
          <w:tcPr>
            <w:tcW w:w="3119" w:type="dxa"/>
            <w:shd w:val="clear" w:color="auto" w:fill="FFFFFF"/>
          </w:tcPr>
          <w:p w14:paraId="09A995DF" w14:textId="77777777" w:rsidR="00865B37" w:rsidRPr="00E2350D" w:rsidRDefault="00E2350D" w:rsidP="00865B37">
            <w:pPr>
              <w:ind w:right="-1419"/>
            </w:pPr>
            <w:r w:rsidRPr="00E2350D">
              <w:t xml:space="preserve">Leadership and worker </w:t>
            </w:r>
            <w:r w:rsidR="002F47D6" w:rsidRPr="00E2350D">
              <w:t>participation</w:t>
            </w:r>
          </w:p>
        </w:tc>
        <w:tc>
          <w:tcPr>
            <w:tcW w:w="1134" w:type="dxa"/>
            <w:shd w:val="clear" w:color="auto" w:fill="FFFFFF"/>
          </w:tcPr>
          <w:p w14:paraId="49E7499A" w14:textId="77777777" w:rsidR="00865B37" w:rsidRPr="00E2350D" w:rsidRDefault="00865B37" w:rsidP="005067E3"/>
        </w:tc>
        <w:tc>
          <w:tcPr>
            <w:tcW w:w="4536" w:type="dxa"/>
            <w:shd w:val="clear" w:color="auto" w:fill="FFFFFF"/>
          </w:tcPr>
          <w:p w14:paraId="48FF7E9F" w14:textId="77777777" w:rsidR="00CE5983" w:rsidRPr="00E2350D" w:rsidRDefault="00E2350D" w:rsidP="005067E3">
            <w:r w:rsidRPr="00E2350D">
              <w:t>Leadership and commitment</w:t>
            </w:r>
          </w:p>
          <w:p w14:paraId="0CA98643" w14:textId="77777777" w:rsidR="00CE5983" w:rsidRPr="00E2350D" w:rsidRDefault="00E2350D" w:rsidP="005067E3">
            <w:r w:rsidRPr="00E2350D">
              <w:t>OH&amp;S policy</w:t>
            </w:r>
          </w:p>
          <w:p w14:paraId="5E906C6A" w14:textId="77777777" w:rsidR="00CE5983" w:rsidRPr="00E2350D" w:rsidRDefault="00E2350D" w:rsidP="005067E3">
            <w:r w:rsidRPr="00E2350D">
              <w:t>Organisational roles, responsibilities and authorities</w:t>
            </w:r>
          </w:p>
          <w:p w14:paraId="659C0190" w14:textId="77777777" w:rsidR="00865B37" w:rsidRPr="00E2350D" w:rsidRDefault="00E2350D" w:rsidP="005067E3">
            <w:r w:rsidRPr="00E2350D">
              <w:t>Consultation and participation of workers</w:t>
            </w:r>
          </w:p>
        </w:tc>
      </w:tr>
      <w:tr w:rsidR="007C6CDE" w:rsidRPr="00E2350D" w14:paraId="06ED8E01" w14:textId="77777777" w:rsidTr="00AA5F02">
        <w:tc>
          <w:tcPr>
            <w:tcW w:w="3119" w:type="dxa"/>
            <w:shd w:val="clear" w:color="auto" w:fill="FFFFFF"/>
          </w:tcPr>
          <w:p w14:paraId="46E0204E" w14:textId="77777777" w:rsidR="00E76B1C" w:rsidRPr="00E2350D" w:rsidRDefault="00E2350D" w:rsidP="005067E3">
            <w:pPr>
              <w:ind w:right="-1"/>
              <w:rPr>
                <w:rFonts w:cs="Arial"/>
                <w:szCs w:val="18"/>
              </w:rPr>
            </w:pPr>
            <w:r w:rsidRPr="00E2350D">
              <w:rPr>
                <w:rFonts w:cs="Arial"/>
                <w:szCs w:val="18"/>
              </w:rPr>
              <w:t>Planning</w:t>
            </w:r>
          </w:p>
          <w:p w14:paraId="1F442648" w14:textId="77777777" w:rsidR="00E76B1C" w:rsidRPr="00E2350D" w:rsidRDefault="00E76B1C" w:rsidP="00E76B1C">
            <w:pPr>
              <w:pStyle w:val="CETBodytext"/>
              <w:rPr>
                <w:lang w:val="en-GB"/>
              </w:rPr>
            </w:pPr>
          </w:p>
          <w:p w14:paraId="147D58BF" w14:textId="77777777" w:rsidR="00E76B1C" w:rsidRPr="00E2350D" w:rsidRDefault="00E2350D" w:rsidP="00E76B1C">
            <w:pPr>
              <w:pStyle w:val="CETBodytext"/>
              <w:rPr>
                <w:lang w:val="en-GB"/>
              </w:rPr>
            </w:pPr>
            <w:r w:rsidRPr="00E2350D">
              <w:rPr>
                <w:lang w:val="en-GB"/>
              </w:rPr>
              <w:t>Support</w:t>
            </w:r>
          </w:p>
          <w:p w14:paraId="27C260E5" w14:textId="77777777" w:rsidR="00E76B1C" w:rsidRPr="00E2350D" w:rsidRDefault="00E76B1C" w:rsidP="00E76B1C">
            <w:pPr>
              <w:pStyle w:val="CETBodytext"/>
              <w:rPr>
                <w:lang w:val="en-GB"/>
              </w:rPr>
            </w:pPr>
          </w:p>
          <w:p w14:paraId="670BEBEF" w14:textId="77777777" w:rsidR="00E76B1C" w:rsidRPr="00E2350D" w:rsidRDefault="00E76B1C" w:rsidP="00E76B1C">
            <w:pPr>
              <w:pStyle w:val="CETBodytext"/>
              <w:rPr>
                <w:lang w:val="en-GB"/>
              </w:rPr>
            </w:pPr>
          </w:p>
          <w:p w14:paraId="4F67193F" w14:textId="77777777" w:rsidR="00E76B1C" w:rsidRPr="00E2350D" w:rsidRDefault="00E76B1C" w:rsidP="00E76B1C">
            <w:pPr>
              <w:pStyle w:val="CETBodytext"/>
              <w:rPr>
                <w:lang w:val="en-GB"/>
              </w:rPr>
            </w:pPr>
          </w:p>
          <w:p w14:paraId="41407588" w14:textId="77777777" w:rsidR="00E76B1C" w:rsidRPr="00E2350D" w:rsidRDefault="00E76B1C" w:rsidP="00E76B1C">
            <w:pPr>
              <w:pStyle w:val="CETBodytext"/>
              <w:rPr>
                <w:lang w:val="en-GB"/>
              </w:rPr>
            </w:pPr>
          </w:p>
          <w:p w14:paraId="60E9AE9B" w14:textId="77777777" w:rsidR="00301047" w:rsidRPr="00E2350D" w:rsidRDefault="00E2350D" w:rsidP="00E76B1C">
            <w:pPr>
              <w:pStyle w:val="CETBodytext"/>
              <w:rPr>
                <w:lang w:val="en-GB"/>
              </w:rPr>
            </w:pPr>
            <w:r w:rsidRPr="00E2350D">
              <w:rPr>
                <w:lang w:val="en-GB"/>
              </w:rPr>
              <w:t>Operation</w:t>
            </w:r>
          </w:p>
          <w:p w14:paraId="7FDC6618" w14:textId="77777777" w:rsidR="00301047" w:rsidRPr="00E2350D" w:rsidRDefault="00301047" w:rsidP="00301047">
            <w:pPr>
              <w:pStyle w:val="CETBodytext"/>
              <w:rPr>
                <w:lang w:val="en-GB"/>
              </w:rPr>
            </w:pPr>
          </w:p>
          <w:p w14:paraId="4545953D" w14:textId="77777777" w:rsidR="00301047" w:rsidRPr="00E2350D" w:rsidRDefault="00E2350D" w:rsidP="00301047">
            <w:pPr>
              <w:pStyle w:val="CETBodytext"/>
              <w:rPr>
                <w:lang w:val="en-GB"/>
              </w:rPr>
            </w:pPr>
            <w:r w:rsidRPr="00E2350D">
              <w:rPr>
                <w:lang w:val="en-GB"/>
              </w:rPr>
              <w:t>Performance evaluation</w:t>
            </w:r>
          </w:p>
          <w:p w14:paraId="197B1C01" w14:textId="77777777" w:rsidR="00301047" w:rsidRPr="00E2350D" w:rsidRDefault="00301047" w:rsidP="00301047">
            <w:pPr>
              <w:pStyle w:val="CETBodytext"/>
              <w:rPr>
                <w:lang w:val="en-GB"/>
              </w:rPr>
            </w:pPr>
          </w:p>
          <w:p w14:paraId="22EE19D9" w14:textId="77777777" w:rsidR="00301047" w:rsidRPr="00E2350D" w:rsidRDefault="00301047" w:rsidP="00301047">
            <w:pPr>
              <w:pStyle w:val="CETBodytext"/>
              <w:rPr>
                <w:lang w:val="en-GB"/>
              </w:rPr>
            </w:pPr>
          </w:p>
          <w:p w14:paraId="23625840" w14:textId="77777777" w:rsidR="00301047" w:rsidRPr="00E2350D" w:rsidRDefault="00301047" w:rsidP="00301047">
            <w:pPr>
              <w:pStyle w:val="CETBodytext"/>
              <w:rPr>
                <w:lang w:val="en-GB"/>
              </w:rPr>
            </w:pPr>
          </w:p>
          <w:p w14:paraId="0EE04E7E" w14:textId="77777777" w:rsidR="00865B37" w:rsidRPr="00E2350D" w:rsidRDefault="00E2350D" w:rsidP="00301047">
            <w:pPr>
              <w:pStyle w:val="CETBodytext"/>
              <w:rPr>
                <w:lang w:val="en-GB"/>
              </w:rPr>
            </w:pPr>
            <w:r w:rsidRPr="00E2350D">
              <w:rPr>
                <w:lang w:val="en-GB"/>
              </w:rPr>
              <w:t>Improvement</w:t>
            </w:r>
          </w:p>
        </w:tc>
        <w:tc>
          <w:tcPr>
            <w:tcW w:w="1134" w:type="dxa"/>
            <w:shd w:val="clear" w:color="auto" w:fill="FFFFFF"/>
          </w:tcPr>
          <w:p w14:paraId="4E2FF6F0" w14:textId="77777777" w:rsidR="00865B37" w:rsidRPr="00E2350D" w:rsidRDefault="00865B37" w:rsidP="005067E3">
            <w:pPr>
              <w:ind w:right="-1"/>
              <w:rPr>
                <w:rFonts w:cs="Arial"/>
                <w:szCs w:val="18"/>
              </w:rPr>
            </w:pPr>
          </w:p>
        </w:tc>
        <w:tc>
          <w:tcPr>
            <w:tcW w:w="4536" w:type="dxa"/>
            <w:shd w:val="clear" w:color="auto" w:fill="FFFFFF"/>
          </w:tcPr>
          <w:p w14:paraId="212133C0" w14:textId="77777777" w:rsidR="00E76B1C" w:rsidRPr="00E2350D" w:rsidRDefault="00E2350D" w:rsidP="005067E3">
            <w:pPr>
              <w:ind w:right="-1"/>
              <w:rPr>
                <w:rFonts w:cs="Arial"/>
                <w:szCs w:val="18"/>
              </w:rPr>
            </w:pPr>
            <w:r w:rsidRPr="00E2350D">
              <w:rPr>
                <w:rFonts w:cs="Arial"/>
                <w:szCs w:val="18"/>
              </w:rPr>
              <w:t>Actions to address risks and opportunities</w:t>
            </w:r>
          </w:p>
          <w:p w14:paraId="11CB0912" w14:textId="77777777" w:rsidR="00E76B1C" w:rsidRPr="00E2350D" w:rsidRDefault="00E2350D" w:rsidP="005067E3">
            <w:pPr>
              <w:ind w:right="-1"/>
              <w:rPr>
                <w:rFonts w:cs="Arial"/>
                <w:szCs w:val="18"/>
              </w:rPr>
            </w:pPr>
            <w:r w:rsidRPr="00E2350D">
              <w:rPr>
                <w:rFonts w:cs="Arial"/>
                <w:szCs w:val="18"/>
              </w:rPr>
              <w:t>OH&amp;S objectives and planning to achieve them</w:t>
            </w:r>
          </w:p>
          <w:p w14:paraId="3527B37C" w14:textId="77777777" w:rsidR="00E76B1C" w:rsidRPr="00E2350D" w:rsidRDefault="00E2350D" w:rsidP="005067E3">
            <w:pPr>
              <w:ind w:right="-1"/>
              <w:rPr>
                <w:rFonts w:cs="Arial"/>
                <w:szCs w:val="18"/>
              </w:rPr>
            </w:pPr>
            <w:r w:rsidRPr="00E2350D">
              <w:rPr>
                <w:rFonts w:cs="Arial"/>
                <w:szCs w:val="18"/>
              </w:rPr>
              <w:t>Resources</w:t>
            </w:r>
          </w:p>
          <w:p w14:paraId="4F1D5B83" w14:textId="77777777" w:rsidR="00E76B1C" w:rsidRPr="00E2350D" w:rsidRDefault="00E2350D" w:rsidP="005067E3">
            <w:pPr>
              <w:ind w:right="-1"/>
              <w:rPr>
                <w:rFonts w:cs="Arial"/>
                <w:szCs w:val="18"/>
              </w:rPr>
            </w:pPr>
            <w:r w:rsidRPr="00E2350D">
              <w:rPr>
                <w:rFonts w:cs="Arial"/>
                <w:szCs w:val="18"/>
              </w:rPr>
              <w:t>Competence</w:t>
            </w:r>
          </w:p>
          <w:p w14:paraId="344C84A9" w14:textId="77777777" w:rsidR="00E76B1C" w:rsidRPr="00E2350D" w:rsidRDefault="00E2350D" w:rsidP="005067E3">
            <w:pPr>
              <w:ind w:right="-1"/>
              <w:rPr>
                <w:rFonts w:cs="Arial"/>
                <w:szCs w:val="18"/>
              </w:rPr>
            </w:pPr>
            <w:r w:rsidRPr="00E2350D">
              <w:rPr>
                <w:rFonts w:cs="Arial"/>
                <w:szCs w:val="18"/>
              </w:rPr>
              <w:t>Awareness</w:t>
            </w:r>
          </w:p>
          <w:p w14:paraId="768A1996" w14:textId="77777777" w:rsidR="00E76B1C" w:rsidRPr="00E2350D" w:rsidRDefault="00E2350D" w:rsidP="005067E3">
            <w:pPr>
              <w:ind w:right="-1"/>
              <w:rPr>
                <w:rFonts w:cs="Arial"/>
                <w:szCs w:val="18"/>
              </w:rPr>
            </w:pPr>
            <w:r w:rsidRPr="00E2350D">
              <w:rPr>
                <w:rFonts w:cs="Arial"/>
                <w:szCs w:val="18"/>
              </w:rPr>
              <w:t>Communication</w:t>
            </w:r>
          </w:p>
          <w:p w14:paraId="2B0499A9" w14:textId="77777777" w:rsidR="00E76B1C" w:rsidRPr="00E2350D" w:rsidRDefault="00E2350D" w:rsidP="005067E3">
            <w:pPr>
              <w:ind w:right="-1"/>
              <w:rPr>
                <w:rFonts w:cs="Arial"/>
                <w:szCs w:val="18"/>
              </w:rPr>
            </w:pPr>
            <w:r w:rsidRPr="00E2350D">
              <w:rPr>
                <w:rFonts w:cs="Arial"/>
                <w:szCs w:val="18"/>
              </w:rPr>
              <w:t>Documented information</w:t>
            </w:r>
          </w:p>
          <w:p w14:paraId="6A87C022" w14:textId="77777777" w:rsidR="00E76B1C" w:rsidRPr="00E2350D" w:rsidRDefault="00E2350D" w:rsidP="005067E3">
            <w:pPr>
              <w:ind w:right="-1"/>
              <w:rPr>
                <w:rFonts w:cs="Arial"/>
                <w:szCs w:val="18"/>
              </w:rPr>
            </w:pPr>
            <w:r w:rsidRPr="00E2350D">
              <w:rPr>
                <w:rFonts w:cs="Arial"/>
                <w:szCs w:val="18"/>
              </w:rPr>
              <w:t>Operational planning and control</w:t>
            </w:r>
          </w:p>
          <w:p w14:paraId="74E2CD16" w14:textId="77777777" w:rsidR="00301047" w:rsidRPr="00E2350D" w:rsidRDefault="00E2350D" w:rsidP="005067E3">
            <w:pPr>
              <w:ind w:right="-1"/>
              <w:rPr>
                <w:rFonts w:cs="Arial"/>
                <w:szCs w:val="18"/>
              </w:rPr>
            </w:pPr>
            <w:r w:rsidRPr="00E2350D">
              <w:rPr>
                <w:rFonts w:cs="Arial"/>
                <w:szCs w:val="18"/>
              </w:rPr>
              <w:t>Emergency preparedness and response</w:t>
            </w:r>
          </w:p>
          <w:p w14:paraId="3BE2C50C" w14:textId="77777777" w:rsidR="00301047" w:rsidRPr="00E2350D" w:rsidRDefault="00E2350D" w:rsidP="005067E3">
            <w:pPr>
              <w:ind w:right="-1"/>
              <w:rPr>
                <w:rFonts w:cs="Arial"/>
                <w:szCs w:val="18"/>
              </w:rPr>
            </w:pPr>
            <w:r w:rsidRPr="00E2350D">
              <w:rPr>
                <w:rFonts w:cs="Arial"/>
                <w:szCs w:val="18"/>
              </w:rPr>
              <w:t xml:space="preserve">Monitoring measurement, analysis and performance </w:t>
            </w:r>
            <w:r w:rsidR="005128D1" w:rsidRPr="00E2350D">
              <w:rPr>
                <w:rFonts w:cs="Arial"/>
                <w:szCs w:val="18"/>
              </w:rPr>
              <w:t>evaluation</w:t>
            </w:r>
          </w:p>
          <w:p w14:paraId="05AE212C" w14:textId="77777777" w:rsidR="00301047" w:rsidRPr="00E2350D" w:rsidRDefault="00E2350D" w:rsidP="005067E3">
            <w:pPr>
              <w:ind w:right="-1"/>
              <w:rPr>
                <w:rFonts w:cs="Arial"/>
                <w:szCs w:val="18"/>
              </w:rPr>
            </w:pPr>
            <w:r w:rsidRPr="00E2350D">
              <w:rPr>
                <w:rFonts w:cs="Arial"/>
                <w:szCs w:val="18"/>
              </w:rPr>
              <w:t>Internal audit</w:t>
            </w:r>
          </w:p>
          <w:p w14:paraId="043B573A" w14:textId="77777777" w:rsidR="00301047" w:rsidRPr="00E2350D" w:rsidRDefault="00E2350D" w:rsidP="005067E3">
            <w:pPr>
              <w:ind w:right="-1"/>
              <w:rPr>
                <w:rFonts w:cs="Arial"/>
                <w:szCs w:val="18"/>
              </w:rPr>
            </w:pPr>
            <w:r w:rsidRPr="00E2350D">
              <w:rPr>
                <w:rFonts w:cs="Arial"/>
                <w:szCs w:val="18"/>
              </w:rPr>
              <w:t>Management review</w:t>
            </w:r>
          </w:p>
          <w:p w14:paraId="738DEF0F" w14:textId="77777777" w:rsidR="00301047" w:rsidRPr="00E2350D" w:rsidRDefault="00E2350D" w:rsidP="005067E3">
            <w:pPr>
              <w:ind w:right="-1"/>
              <w:rPr>
                <w:rFonts w:cs="Arial"/>
                <w:szCs w:val="18"/>
              </w:rPr>
            </w:pPr>
            <w:r w:rsidRPr="00E2350D">
              <w:rPr>
                <w:rFonts w:cs="Arial"/>
                <w:szCs w:val="18"/>
              </w:rPr>
              <w:t>Incident, nonconformity and corrective action</w:t>
            </w:r>
          </w:p>
          <w:p w14:paraId="27190BFC" w14:textId="77777777" w:rsidR="00865B37" w:rsidRPr="00E2350D" w:rsidRDefault="00E2350D" w:rsidP="005067E3">
            <w:pPr>
              <w:ind w:right="-1"/>
              <w:rPr>
                <w:rFonts w:cs="Arial"/>
                <w:szCs w:val="18"/>
              </w:rPr>
            </w:pPr>
            <w:r w:rsidRPr="00E2350D">
              <w:rPr>
                <w:rFonts w:cs="Arial"/>
                <w:szCs w:val="18"/>
              </w:rPr>
              <w:t>Continual improvement</w:t>
            </w:r>
          </w:p>
        </w:tc>
      </w:tr>
    </w:tbl>
    <w:p w14:paraId="626D6C77" w14:textId="77777777" w:rsidR="00CF45F0" w:rsidRPr="00E2350D" w:rsidRDefault="00CF45F0" w:rsidP="00CF45F0">
      <w:pPr>
        <w:pStyle w:val="CETBodytext"/>
        <w:jc w:val="center"/>
      </w:pPr>
    </w:p>
    <w:p w14:paraId="2B5B7A9B" w14:textId="4F0839F9" w:rsidR="00E439E3" w:rsidRPr="004825B7" w:rsidRDefault="00E2350D" w:rsidP="004825B7">
      <w:pPr>
        <w:pStyle w:val="CETBodytext"/>
        <w:jc w:val="center"/>
        <w:rPr>
          <w:i/>
        </w:rPr>
      </w:pPr>
      <w:r w:rsidRPr="00E2350D">
        <w:rPr>
          <w:i/>
        </w:rPr>
        <w:t xml:space="preserve">Table </w:t>
      </w:r>
      <w:r w:rsidR="005629D4" w:rsidRPr="00E2350D">
        <w:rPr>
          <w:i/>
        </w:rPr>
        <w:t>2</w:t>
      </w:r>
      <w:r w:rsidRPr="00E2350D">
        <w:rPr>
          <w:i/>
        </w:rPr>
        <w:t>: j-SMS elements</w:t>
      </w:r>
      <w:r w:rsidR="00B8545D" w:rsidRPr="00E2350D">
        <w:rPr>
          <w:i/>
        </w:rPr>
        <w:t xml:space="preserve"> based on ISO 45001</w:t>
      </w:r>
    </w:p>
    <w:p w14:paraId="6F7B49AC" w14:textId="77777777" w:rsidR="006A1510" w:rsidRPr="00E2350D" w:rsidRDefault="00E2350D" w:rsidP="005B2A5A">
      <w:pPr>
        <w:pStyle w:val="CETHeading1"/>
        <w:numPr>
          <w:ilvl w:val="2"/>
          <w:numId w:val="1"/>
        </w:numPr>
        <w:spacing w:before="0" w:after="0" w:line="264" w:lineRule="auto"/>
        <w:rPr>
          <w:sz w:val="18"/>
        </w:rPr>
      </w:pPr>
      <w:r w:rsidRPr="00E2350D">
        <w:rPr>
          <w:sz w:val="18"/>
        </w:rPr>
        <w:lastRenderedPageBreak/>
        <w:t xml:space="preserve">Phase II - </w:t>
      </w:r>
      <w:r w:rsidR="00090E58" w:rsidRPr="00E2350D">
        <w:rPr>
          <w:sz w:val="18"/>
        </w:rPr>
        <w:t>Selecting leading indicators</w:t>
      </w:r>
    </w:p>
    <w:p w14:paraId="67C6429E" w14:textId="77777777" w:rsidR="005B2A5A" w:rsidRPr="00E2350D" w:rsidRDefault="005B2A5A" w:rsidP="005B2A5A">
      <w:pPr>
        <w:pStyle w:val="CETBodytext"/>
      </w:pPr>
    </w:p>
    <w:p w14:paraId="3BF6A068" w14:textId="77777777" w:rsidR="000F1E00" w:rsidRPr="00E2350D" w:rsidRDefault="00E2350D" w:rsidP="00FC1F0C">
      <w:pPr>
        <w:pStyle w:val="CETHeading1"/>
        <w:numPr>
          <w:ilvl w:val="0"/>
          <w:numId w:val="0"/>
        </w:numPr>
        <w:spacing w:before="0" w:after="0" w:line="264" w:lineRule="auto"/>
        <w:jc w:val="both"/>
        <w:rPr>
          <w:b w:val="0"/>
          <w:sz w:val="18"/>
        </w:rPr>
      </w:pPr>
      <w:r w:rsidRPr="00E2350D">
        <w:rPr>
          <w:b w:val="0"/>
          <w:sz w:val="18"/>
        </w:rPr>
        <w:t xml:space="preserve">In order to select </w:t>
      </w:r>
      <w:r w:rsidR="003912C2" w:rsidRPr="00E2350D">
        <w:rPr>
          <w:b w:val="0"/>
          <w:sz w:val="18"/>
        </w:rPr>
        <w:t>key performance indicators (KPI</w:t>
      </w:r>
      <w:r w:rsidRPr="00E2350D">
        <w:rPr>
          <w:b w:val="0"/>
          <w:sz w:val="18"/>
        </w:rPr>
        <w:t>s</w:t>
      </w:r>
      <w:r w:rsidR="003912C2" w:rsidRPr="00E2350D">
        <w:rPr>
          <w:b w:val="0"/>
          <w:sz w:val="18"/>
        </w:rPr>
        <w:t>)</w:t>
      </w:r>
      <w:r w:rsidRPr="00E2350D">
        <w:rPr>
          <w:b w:val="0"/>
          <w:sz w:val="18"/>
        </w:rPr>
        <w:t xml:space="preserve"> to </w:t>
      </w:r>
      <w:r w:rsidR="00E439E3" w:rsidRPr="00E2350D">
        <w:rPr>
          <w:b w:val="0"/>
          <w:sz w:val="18"/>
        </w:rPr>
        <w:t>measure</w:t>
      </w:r>
      <w:r w:rsidRPr="00E2350D">
        <w:rPr>
          <w:b w:val="0"/>
          <w:sz w:val="18"/>
        </w:rPr>
        <w:t xml:space="preserve"> individual elements of the </w:t>
      </w:r>
      <w:r w:rsidR="003912C2" w:rsidRPr="00E2350D">
        <w:rPr>
          <w:b w:val="0"/>
          <w:sz w:val="18"/>
        </w:rPr>
        <w:t>SMS</w:t>
      </w:r>
      <w:r w:rsidRPr="00E2350D">
        <w:rPr>
          <w:b w:val="0"/>
          <w:sz w:val="18"/>
        </w:rPr>
        <w:t xml:space="preserve">, a literature-based review of management system applications </w:t>
      </w:r>
      <w:r w:rsidR="003912C2" w:rsidRPr="00E2350D">
        <w:rPr>
          <w:b w:val="0"/>
          <w:sz w:val="18"/>
        </w:rPr>
        <w:t>should</w:t>
      </w:r>
      <w:r w:rsidRPr="00E2350D">
        <w:rPr>
          <w:b w:val="0"/>
          <w:sz w:val="18"/>
        </w:rPr>
        <w:t xml:space="preserve"> </w:t>
      </w:r>
      <w:r w:rsidR="003912C2" w:rsidRPr="00E2350D">
        <w:rPr>
          <w:b w:val="0"/>
          <w:sz w:val="18"/>
        </w:rPr>
        <w:t xml:space="preserve">be </w:t>
      </w:r>
      <w:r w:rsidRPr="00E2350D">
        <w:rPr>
          <w:b w:val="0"/>
          <w:sz w:val="18"/>
        </w:rPr>
        <w:t>conducted.</w:t>
      </w:r>
    </w:p>
    <w:p w14:paraId="7F749D07" w14:textId="4EAB69F9" w:rsidR="000F1E00" w:rsidRPr="00E2350D" w:rsidRDefault="00E2350D" w:rsidP="00FC1F0C">
      <w:pPr>
        <w:pStyle w:val="CETHeading1"/>
        <w:numPr>
          <w:ilvl w:val="0"/>
          <w:numId w:val="0"/>
        </w:numPr>
        <w:spacing w:before="0" w:after="0" w:line="264" w:lineRule="auto"/>
        <w:jc w:val="both"/>
        <w:rPr>
          <w:b w:val="0"/>
          <w:sz w:val="18"/>
        </w:rPr>
      </w:pPr>
      <w:r w:rsidRPr="00E2350D">
        <w:rPr>
          <w:b w:val="0"/>
          <w:sz w:val="18"/>
        </w:rPr>
        <w:t>There are numerous publications in the literature concerning the measurement of the performance of safety management systems. Many of these have come to define different indicators, both lagging and leading. In addition, many organizations have also developed, based on experience, their own set of indicators to measure the effectiveness of their system. For this reason, the authors suggest that experts or researchers carry out the bibliographic analysis necessary to provide a range of indicators to measure the main SMS elements.</w:t>
      </w:r>
      <w:r w:rsidR="000C4F63" w:rsidRPr="00E2350D">
        <w:t xml:space="preserve"> </w:t>
      </w:r>
      <w:r w:rsidR="000C4F63" w:rsidRPr="00E2350D">
        <w:rPr>
          <w:b w:val="0"/>
          <w:sz w:val="18"/>
        </w:rPr>
        <w:t xml:space="preserve">For only example, an extract of the bibliographic research conducted by the authors is reported, but not entirely presented in the present </w:t>
      </w:r>
      <w:r w:rsidR="00D91CD3">
        <w:rPr>
          <w:b w:val="0"/>
          <w:sz w:val="18"/>
        </w:rPr>
        <w:t xml:space="preserve">work </w:t>
      </w:r>
      <w:r w:rsidR="000C4F63" w:rsidRPr="00E2350D">
        <w:rPr>
          <w:b w:val="0"/>
          <w:sz w:val="18"/>
        </w:rPr>
        <w:t>as it is a research output to be published soon.</w:t>
      </w:r>
    </w:p>
    <w:p w14:paraId="37B92149" w14:textId="77777777" w:rsidR="00A649BF" w:rsidRPr="00E2350D" w:rsidRDefault="00E2350D" w:rsidP="00FC1F0C">
      <w:pPr>
        <w:pStyle w:val="CETHeading1"/>
        <w:numPr>
          <w:ilvl w:val="0"/>
          <w:numId w:val="0"/>
        </w:numPr>
        <w:spacing w:before="0" w:after="0" w:line="264" w:lineRule="auto"/>
        <w:jc w:val="both"/>
        <w:rPr>
          <w:b w:val="0"/>
          <w:sz w:val="18"/>
        </w:rPr>
      </w:pPr>
      <w:r w:rsidRPr="00E2350D">
        <w:rPr>
          <w:b w:val="0"/>
          <w:sz w:val="18"/>
        </w:rPr>
        <w:t xml:space="preserve">The literature review </w:t>
      </w:r>
      <w:r w:rsidR="000C4F63" w:rsidRPr="00E2350D">
        <w:rPr>
          <w:b w:val="0"/>
          <w:sz w:val="18"/>
        </w:rPr>
        <w:t xml:space="preserve">could carry </w:t>
      </w:r>
      <w:r w:rsidRPr="00E2350D">
        <w:rPr>
          <w:b w:val="0"/>
          <w:sz w:val="18"/>
        </w:rPr>
        <w:t>out the analysis of the S</w:t>
      </w:r>
      <w:r w:rsidR="000C4F63" w:rsidRPr="00E2350D">
        <w:rPr>
          <w:b w:val="0"/>
          <w:sz w:val="18"/>
        </w:rPr>
        <w:t xml:space="preserve">copus database </w:t>
      </w:r>
      <w:r w:rsidRPr="00E2350D">
        <w:rPr>
          <w:b w:val="0"/>
          <w:sz w:val="18"/>
        </w:rPr>
        <w:t>through sets of keywords that allo</w:t>
      </w:r>
      <w:r w:rsidR="000C4F63" w:rsidRPr="00E2350D">
        <w:rPr>
          <w:b w:val="0"/>
          <w:sz w:val="18"/>
        </w:rPr>
        <w:t>w</w:t>
      </w:r>
      <w:r w:rsidRPr="00E2350D">
        <w:rPr>
          <w:b w:val="0"/>
          <w:sz w:val="18"/>
        </w:rPr>
        <w:t xml:space="preserve"> identifying relevant documents for the study goal. A set of keywords </w:t>
      </w:r>
      <w:r w:rsidR="000C4F63" w:rsidRPr="00E2350D">
        <w:rPr>
          <w:b w:val="0"/>
          <w:sz w:val="18"/>
        </w:rPr>
        <w:t xml:space="preserve">that could be </w:t>
      </w:r>
      <w:r w:rsidRPr="00E2350D">
        <w:rPr>
          <w:b w:val="0"/>
          <w:sz w:val="18"/>
        </w:rPr>
        <w:t>used to acquire the literature related to safety management systems and their performance</w:t>
      </w:r>
      <w:r w:rsidR="000C4F63" w:rsidRPr="00E2350D">
        <w:rPr>
          <w:b w:val="0"/>
          <w:sz w:val="18"/>
        </w:rPr>
        <w:t>, are</w:t>
      </w:r>
      <w:r w:rsidRPr="00E2350D">
        <w:rPr>
          <w:b w:val="0"/>
          <w:sz w:val="18"/>
        </w:rPr>
        <w:t xml:space="preserve"> “Safety”, “Key Performance Indicators”, “Occupational Health and Safety” “Leading Indicators” </w:t>
      </w:r>
      <w:r w:rsidR="00FC3807" w:rsidRPr="00E2350D">
        <w:rPr>
          <w:b w:val="0"/>
          <w:sz w:val="18"/>
        </w:rPr>
        <w:t xml:space="preserve">and “Lagging Indicators”. </w:t>
      </w:r>
      <w:r w:rsidR="000C4F63" w:rsidRPr="00E2350D">
        <w:rPr>
          <w:b w:val="0"/>
          <w:sz w:val="18"/>
        </w:rPr>
        <w:t>A</w:t>
      </w:r>
      <w:r w:rsidR="00FC3807" w:rsidRPr="00E2350D">
        <w:rPr>
          <w:b w:val="0"/>
          <w:sz w:val="18"/>
        </w:rPr>
        <w:t>ll topic areas and</w:t>
      </w:r>
      <w:r w:rsidRPr="00E2350D">
        <w:rPr>
          <w:b w:val="0"/>
          <w:sz w:val="18"/>
        </w:rPr>
        <w:t xml:space="preserve"> documents</w:t>
      </w:r>
      <w:r w:rsidR="00E439E3" w:rsidRPr="00E2350D">
        <w:rPr>
          <w:b w:val="0"/>
          <w:sz w:val="18"/>
        </w:rPr>
        <w:t xml:space="preserve"> such as “article”, “c</w:t>
      </w:r>
      <w:r w:rsidR="000C4F63" w:rsidRPr="00E2350D">
        <w:rPr>
          <w:b w:val="0"/>
          <w:sz w:val="18"/>
        </w:rPr>
        <w:t>onference paper”,</w:t>
      </w:r>
      <w:r w:rsidR="00FC3807" w:rsidRPr="00E2350D">
        <w:rPr>
          <w:b w:val="0"/>
          <w:sz w:val="18"/>
        </w:rPr>
        <w:t xml:space="preserve"> “review”</w:t>
      </w:r>
      <w:r w:rsidR="000C4F63" w:rsidRPr="00E2350D">
        <w:rPr>
          <w:b w:val="0"/>
          <w:sz w:val="18"/>
        </w:rPr>
        <w:t>,</w:t>
      </w:r>
      <w:r w:rsidR="00FC3807" w:rsidRPr="00E2350D">
        <w:rPr>
          <w:b w:val="0"/>
          <w:sz w:val="18"/>
        </w:rPr>
        <w:t xml:space="preserve"> </w:t>
      </w:r>
      <w:r w:rsidR="00C37B32" w:rsidRPr="00E2350D">
        <w:rPr>
          <w:b w:val="0"/>
          <w:sz w:val="18"/>
        </w:rPr>
        <w:t>“</w:t>
      </w:r>
      <w:r w:rsidR="00FC3807" w:rsidRPr="00E2350D">
        <w:rPr>
          <w:b w:val="0"/>
          <w:sz w:val="18"/>
        </w:rPr>
        <w:t>book</w:t>
      </w:r>
      <w:r w:rsidR="00C37B32" w:rsidRPr="00E2350D">
        <w:rPr>
          <w:b w:val="0"/>
          <w:sz w:val="18"/>
        </w:rPr>
        <w:t>”</w:t>
      </w:r>
      <w:r w:rsidR="00FC3807" w:rsidRPr="00E2350D">
        <w:rPr>
          <w:b w:val="0"/>
          <w:sz w:val="18"/>
        </w:rPr>
        <w:t xml:space="preserve"> and </w:t>
      </w:r>
      <w:r w:rsidR="00C37B32" w:rsidRPr="00E2350D">
        <w:rPr>
          <w:b w:val="0"/>
          <w:sz w:val="18"/>
        </w:rPr>
        <w:t>“</w:t>
      </w:r>
      <w:r w:rsidR="00FC3807" w:rsidRPr="00E2350D">
        <w:rPr>
          <w:b w:val="0"/>
          <w:sz w:val="18"/>
        </w:rPr>
        <w:t>book chapter</w:t>
      </w:r>
      <w:r w:rsidR="00C37B32" w:rsidRPr="00E2350D">
        <w:rPr>
          <w:b w:val="0"/>
          <w:sz w:val="18"/>
        </w:rPr>
        <w:t>”</w:t>
      </w:r>
      <w:r w:rsidR="000C4F63" w:rsidRPr="00E2350D">
        <w:rPr>
          <w:b w:val="0"/>
          <w:sz w:val="18"/>
        </w:rPr>
        <w:t xml:space="preserve"> could be included</w:t>
      </w:r>
      <w:r w:rsidRPr="00E2350D">
        <w:rPr>
          <w:b w:val="0"/>
          <w:sz w:val="18"/>
        </w:rPr>
        <w:t xml:space="preserve">. </w:t>
      </w:r>
      <w:r w:rsidR="000C4F63" w:rsidRPr="00E2350D">
        <w:rPr>
          <w:b w:val="0"/>
          <w:sz w:val="18"/>
        </w:rPr>
        <w:t>The</w:t>
      </w:r>
      <w:r w:rsidRPr="00E2350D">
        <w:rPr>
          <w:b w:val="0"/>
          <w:sz w:val="18"/>
        </w:rPr>
        <w:t xml:space="preserve"> period of the last fifteen years (2007-2022) </w:t>
      </w:r>
      <w:r w:rsidR="000C4F63" w:rsidRPr="00E2350D">
        <w:rPr>
          <w:b w:val="0"/>
          <w:sz w:val="18"/>
        </w:rPr>
        <w:t>may be</w:t>
      </w:r>
      <w:r w:rsidRPr="00E2350D">
        <w:rPr>
          <w:b w:val="0"/>
          <w:sz w:val="18"/>
        </w:rPr>
        <w:t xml:space="preserve"> considered</w:t>
      </w:r>
      <w:r w:rsidR="000C4F63" w:rsidRPr="00E2350D">
        <w:rPr>
          <w:b w:val="0"/>
          <w:sz w:val="18"/>
        </w:rPr>
        <w:t>,</w:t>
      </w:r>
      <w:r w:rsidRPr="00E2350D">
        <w:rPr>
          <w:b w:val="0"/>
          <w:sz w:val="18"/>
        </w:rPr>
        <w:t xml:space="preserve"> as the interest in OSH began to grow significantly starting from 2007. According to these criteria,</w:t>
      </w:r>
      <w:r w:rsidR="000C4F63" w:rsidRPr="00E2350D">
        <w:rPr>
          <w:b w:val="0"/>
          <w:sz w:val="18"/>
        </w:rPr>
        <w:t xml:space="preserve"> the resulting documents were 97</w:t>
      </w:r>
      <w:r w:rsidRPr="00E2350D">
        <w:rPr>
          <w:b w:val="0"/>
          <w:sz w:val="18"/>
        </w:rPr>
        <w:t xml:space="preserve">, </w:t>
      </w:r>
      <w:r w:rsidR="00DA4001" w:rsidRPr="00E2350D">
        <w:rPr>
          <w:b w:val="0"/>
          <w:sz w:val="18"/>
        </w:rPr>
        <w:t xml:space="preserve">from which it </w:t>
      </w:r>
      <w:r w:rsidR="000C4F63" w:rsidRPr="00E2350D">
        <w:rPr>
          <w:b w:val="0"/>
          <w:sz w:val="18"/>
        </w:rPr>
        <w:t>is</w:t>
      </w:r>
      <w:r w:rsidR="00DA4001" w:rsidRPr="00E2350D">
        <w:rPr>
          <w:b w:val="0"/>
          <w:sz w:val="18"/>
        </w:rPr>
        <w:t xml:space="preserve"> possible to evaluate the state of the art</w:t>
      </w:r>
      <w:r w:rsidR="000C4F63" w:rsidRPr="00E2350D">
        <w:rPr>
          <w:b w:val="0"/>
          <w:sz w:val="18"/>
        </w:rPr>
        <w:t>.</w:t>
      </w:r>
      <w:r w:rsidR="00DA4001" w:rsidRPr="00E2350D">
        <w:rPr>
          <w:b w:val="0"/>
          <w:sz w:val="18"/>
        </w:rPr>
        <w:t xml:space="preserve"> </w:t>
      </w:r>
      <w:r w:rsidRPr="00E2350D">
        <w:rPr>
          <w:b w:val="0"/>
          <w:sz w:val="18"/>
        </w:rPr>
        <w:t xml:space="preserve">Furthermore, to ensure the alignment of the field of application, a further screening </w:t>
      </w:r>
      <w:r w:rsidR="0095008E" w:rsidRPr="00E2350D">
        <w:rPr>
          <w:b w:val="0"/>
          <w:sz w:val="18"/>
        </w:rPr>
        <w:t xml:space="preserve">could be </w:t>
      </w:r>
      <w:r w:rsidRPr="00E2350D">
        <w:rPr>
          <w:b w:val="0"/>
          <w:sz w:val="18"/>
        </w:rPr>
        <w:t xml:space="preserve">carried out </w:t>
      </w:r>
      <w:r w:rsidR="008931AD" w:rsidRPr="00E2350D">
        <w:rPr>
          <w:b w:val="0"/>
          <w:sz w:val="18"/>
        </w:rPr>
        <w:t xml:space="preserve">to eliminate any redundancies </w:t>
      </w:r>
      <w:r w:rsidRPr="00E2350D">
        <w:rPr>
          <w:b w:val="0"/>
          <w:sz w:val="18"/>
        </w:rPr>
        <w:t>by examining the title and the abstract, which led to a further selection of documents</w:t>
      </w:r>
      <w:r w:rsidR="00202099" w:rsidRPr="00E2350D">
        <w:rPr>
          <w:b w:val="0"/>
          <w:sz w:val="18"/>
        </w:rPr>
        <w:t xml:space="preserve"> based on </w:t>
      </w:r>
      <w:r w:rsidR="0095008E" w:rsidRPr="00E2350D">
        <w:rPr>
          <w:b w:val="0"/>
          <w:sz w:val="18"/>
        </w:rPr>
        <w:t>researchers’</w:t>
      </w:r>
      <w:r w:rsidR="00202099" w:rsidRPr="00E2350D">
        <w:rPr>
          <w:b w:val="0"/>
          <w:sz w:val="18"/>
        </w:rPr>
        <w:t xml:space="preserve"> experience. So,</w:t>
      </w:r>
      <w:r w:rsidR="00BB5FBF" w:rsidRPr="00E2350D">
        <w:rPr>
          <w:b w:val="0"/>
          <w:sz w:val="18"/>
        </w:rPr>
        <w:t xml:space="preserve"> </w:t>
      </w:r>
      <w:r w:rsidR="00202099" w:rsidRPr="00E2350D">
        <w:rPr>
          <w:b w:val="0"/>
          <w:sz w:val="18"/>
        </w:rPr>
        <w:t>t</w:t>
      </w:r>
      <w:r w:rsidRPr="00E2350D">
        <w:rPr>
          <w:b w:val="0"/>
          <w:sz w:val="18"/>
        </w:rPr>
        <w:t xml:space="preserve">he final documents </w:t>
      </w:r>
      <w:r w:rsidR="00EB5910" w:rsidRPr="00E2350D">
        <w:rPr>
          <w:b w:val="0"/>
          <w:sz w:val="18"/>
        </w:rPr>
        <w:t>might be</w:t>
      </w:r>
      <w:r w:rsidRPr="00E2350D">
        <w:rPr>
          <w:b w:val="0"/>
          <w:sz w:val="18"/>
        </w:rPr>
        <w:t xml:space="preserve"> selected by critically evaluating the full text to assess its relevance to the study's objective. </w:t>
      </w:r>
    </w:p>
    <w:p w14:paraId="543EBE37" w14:textId="77777777" w:rsidR="00661655" w:rsidRPr="00E2350D" w:rsidRDefault="00E2350D" w:rsidP="00661655">
      <w:pPr>
        <w:pStyle w:val="CETBodytext"/>
      </w:pPr>
      <w:r w:rsidRPr="00E2350D">
        <w:t>The effort is to select at least one indicator from the literature for each SMS element identified in table 2. The experience of the person conducting the analysis must be such as to eliminate redundant indicators or those which have relationships with others such as to be deducible from them.</w:t>
      </w:r>
    </w:p>
    <w:p w14:paraId="061435E0" w14:textId="3328597A" w:rsidR="00EB5910" w:rsidRPr="00E2350D" w:rsidRDefault="00E2350D" w:rsidP="00171152">
      <w:pPr>
        <w:pStyle w:val="CETBodytext"/>
      </w:pPr>
      <w:r w:rsidRPr="00E2350D">
        <w:t>The further selection</w:t>
      </w:r>
      <w:r w:rsidR="00D91CD3">
        <w:t>,</w:t>
      </w:r>
      <w:r w:rsidRPr="00E2350D">
        <w:t xml:space="preserve"> that is requested to be carried out in the second </w:t>
      </w:r>
      <w:r w:rsidR="00D91CD3" w:rsidRPr="00E2350D">
        <w:t>step</w:t>
      </w:r>
      <w:r w:rsidR="00D91CD3">
        <w:t>,</w:t>
      </w:r>
      <w:r w:rsidRPr="00E2350D">
        <w:t xml:space="preserve"> depends o</w:t>
      </w:r>
      <w:r w:rsidR="00D91CD3">
        <w:t xml:space="preserve">n the authors’ </w:t>
      </w:r>
      <w:r w:rsidRPr="00E2350D">
        <w:t>choice to identify only the leading indicators</w:t>
      </w:r>
      <w:r w:rsidR="002576F3" w:rsidRPr="00E2350D">
        <w:t>,</w:t>
      </w:r>
      <w:r w:rsidRPr="00E2350D">
        <w:t xml:space="preserve"> </w:t>
      </w:r>
      <w:r w:rsidR="002576F3" w:rsidRPr="00E2350D">
        <w:t>based on</w:t>
      </w:r>
      <w:r w:rsidRPr="00E2350D">
        <w:t xml:space="preserve"> considerations made in the introduction concerning the predictive nature of these indicators. This choice leads to the construction of a system of </w:t>
      </w:r>
      <w:r w:rsidR="002576F3" w:rsidRPr="00E2350D">
        <w:t>indicators that</w:t>
      </w:r>
      <w:r w:rsidRPr="00E2350D">
        <w:t xml:space="preserve"> becomes a prevention tool, as it can give early warming, allowing actions to be implemented before accidents occur.</w:t>
      </w:r>
      <w:r w:rsidR="002576F3" w:rsidRPr="00E2350D">
        <w:t xml:space="preserve"> In order to select indicators</w:t>
      </w:r>
      <w:r w:rsidRPr="00E2350D">
        <w:rPr>
          <w:b/>
        </w:rPr>
        <w:t xml:space="preserve"> </w:t>
      </w:r>
      <w:r w:rsidR="00550B77" w:rsidRPr="00E2350D">
        <w:t xml:space="preserve">that well suited to all types of </w:t>
      </w:r>
      <w:r w:rsidRPr="00E2350D">
        <w:t>organization</w:t>
      </w:r>
      <w:r w:rsidR="002576F3" w:rsidRPr="00E2350D">
        <w:t>,</w:t>
      </w:r>
      <w:r w:rsidR="00550B77" w:rsidRPr="00E2350D">
        <w:t xml:space="preserve"> </w:t>
      </w:r>
      <w:r w:rsidR="00AC2894" w:rsidRPr="00E2350D">
        <w:t xml:space="preserve">it is appropriate to identify those which, according to Combon et al. (2005) are called </w:t>
      </w:r>
      <w:r w:rsidR="00AC2894" w:rsidRPr="00E2350D">
        <w:rPr>
          <w:i/>
        </w:rPr>
        <w:t xml:space="preserve">structural </w:t>
      </w:r>
      <w:r w:rsidR="00AC2894" w:rsidRPr="00E2350D">
        <w:t xml:space="preserve">performance indicators </w:t>
      </w:r>
      <w:r w:rsidR="00040CE9" w:rsidRPr="00E2350D">
        <w:t>rather than operational performance</w:t>
      </w:r>
      <w:r w:rsidR="00AC2894" w:rsidRPr="00E2350D">
        <w:t xml:space="preserve"> ones</w:t>
      </w:r>
      <w:r w:rsidR="00040CE9" w:rsidRPr="00E2350D">
        <w:t>.</w:t>
      </w:r>
      <w:r w:rsidR="00AC114F" w:rsidRPr="00E2350D">
        <w:t xml:space="preserve"> </w:t>
      </w:r>
      <w:r w:rsidR="00C37B32" w:rsidRPr="00E2350D">
        <w:t>Structural performance</w:t>
      </w:r>
      <w:r w:rsidR="00690177" w:rsidRPr="00E2350D">
        <w:t xml:space="preserve"> indicators get a picture of what the system consists of rather than how a given system operates at the shop-floor level.</w:t>
      </w:r>
    </w:p>
    <w:p w14:paraId="50638972" w14:textId="084B09A3" w:rsidR="00FD7EB5" w:rsidRPr="00E2350D" w:rsidRDefault="00E2350D" w:rsidP="00171152">
      <w:pPr>
        <w:pStyle w:val="CETBodytext"/>
      </w:pPr>
      <w:r w:rsidRPr="00E2350D">
        <w:t xml:space="preserve">The </w:t>
      </w:r>
      <w:r w:rsidR="00EB5910" w:rsidRPr="00E2350D">
        <w:t>third</w:t>
      </w:r>
      <w:r w:rsidRPr="00E2350D">
        <w:t xml:space="preserve"> step of the second phase provides for a further selection of </w:t>
      </w:r>
      <w:r w:rsidR="00AC2894" w:rsidRPr="00E2350D">
        <w:t xml:space="preserve">leading </w:t>
      </w:r>
      <w:r w:rsidRPr="00E2350D">
        <w:t>indicators</w:t>
      </w:r>
      <w:r w:rsidR="00AC2894" w:rsidRPr="00E2350D">
        <w:t>,</w:t>
      </w:r>
      <w:r w:rsidRPr="00E2350D">
        <w:t xml:space="preserve"> </w:t>
      </w:r>
      <w:r w:rsidR="00AC2894" w:rsidRPr="00E2350D">
        <w:t>selected in the previous steps,</w:t>
      </w:r>
      <w:r w:rsidRPr="00E2350D">
        <w:t xml:space="preserve"> according to SMART criteria </w:t>
      </w:r>
      <w:r w:rsidR="00AC114F" w:rsidRPr="00E2350D">
        <w:t>proposed by Shahin et al. (2007)</w:t>
      </w:r>
      <w:r w:rsidRPr="00E2350D">
        <w:t xml:space="preserve">. </w:t>
      </w:r>
      <w:r w:rsidR="00886716" w:rsidRPr="00E2350D">
        <w:t>These criteria for evaluating and selecting KPIs are frequently recommended in the literature. The acronym SMART stands for: Specific, Measurable, Achievable, Re</w:t>
      </w:r>
      <w:r w:rsidR="002E2D13" w:rsidRPr="00E2350D">
        <w:t>alistic</w:t>
      </w:r>
      <w:r w:rsidR="00C37B32" w:rsidRPr="00E2350D">
        <w:t xml:space="preserve"> and Time-sensitive</w:t>
      </w:r>
      <w:r w:rsidR="00886716" w:rsidRPr="00E2350D">
        <w:t>.</w:t>
      </w:r>
      <w:r w:rsidR="007328FF" w:rsidRPr="00E2350D">
        <w:t xml:space="preserve"> The indicator should be </w:t>
      </w:r>
      <w:r w:rsidR="007328FF" w:rsidRPr="00E2350D">
        <w:rPr>
          <w:i/>
        </w:rPr>
        <w:t>specific</w:t>
      </w:r>
      <w:r w:rsidR="007328FF" w:rsidRPr="00E2350D">
        <w:t xml:space="preserve"> to precisely measure the achievement of specific goals and be understandable to all users.</w:t>
      </w:r>
      <w:r w:rsidR="00CE5EC0" w:rsidRPr="00E2350D">
        <w:t xml:space="preserve"> In order to </w:t>
      </w:r>
      <w:r w:rsidR="007717D6" w:rsidRPr="00E2350D">
        <w:t>achieve</w:t>
      </w:r>
      <w:r w:rsidR="00CE5EC0" w:rsidRPr="00E2350D">
        <w:t xml:space="preserve"> objectives, each goal </w:t>
      </w:r>
      <w:r w:rsidR="007717D6" w:rsidRPr="00E2350D">
        <w:t>should</w:t>
      </w:r>
      <w:r w:rsidR="00CE5EC0" w:rsidRPr="00E2350D">
        <w:t xml:space="preserve"> be </w:t>
      </w:r>
      <w:r w:rsidR="00CE5EC0" w:rsidRPr="00E2350D">
        <w:rPr>
          <w:i/>
        </w:rPr>
        <w:t>measurable</w:t>
      </w:r>
      <w:r w:rsidR="00CE5EC0" w:rsidRPr="00E2350D">
        <w:t xml:space="preserve">. </w:t>
      </w:r>
      <w:r w:rsidR="00C37B32" w:rsidRPr="00E2350D">
        <w:t>This</w:t>
      </w:r>
      <w:r w:rsidR="007717D6" w:rsidRPr="00E2350D">
        <w:t xml:space="preserve"> measurement should be accurate and repeatable</w:t>
      </w:r>
      <w:r w:rsidR="005620FF" w:rsidRPr="00E2350D">
        <w:t>.</w:t>
      </w:r>
      <w:r w:rsidR="000F07FB" w:rsidRPr="00E2350D">
        <w:t xml:space="preserve"> Setting goals should be reasonable and attainable, so </w:t>
      </w:r>
      <w:r w:rsidR="00171152" w:rsidRPr="00E2350D">
        <w:t>the values of the indicator should be</w:t>
      </w:r>
      <w:r w:rsidR="00171152" w:rsidRPr="00E2350D">
        <w:rPr>
          <w:i/>
        </w:rPr>
        <w:t xml:space="preserve"> achievable</w:t>
      </w:r>
      <w:r w:rsidR="00171152" w:rsidRPr="00E2350D">
        <w:t xml:space="preserve"> under given conditions and within the foreseeable </w:t>
      </w:r>
      <w:r w:rsidR="00B8545D" w:rsidRPr="00E2350D">
        <w:t>period</w:t>
      </w:r>
      <w:r w:rsidR="00171152" w:rsidRPr="00E2350D">
        <w:t>.</w:t>
      </w:r>
      <w:r w:rsidR="002E2D13" w:rsidRPr="00E2350D">
        <w:t xml:space="preserve"> A goal should be attainable but not realistic</w:t>
      </w:r>
      <w:r w:rsidR="00C70676" w:rsidRPr="00E2350D">
        <w:t>, so t</w:t>
      </w:r>
      <w:r w:rsidR="002E2D13" w:rsidRPr="00E2350D">
        <w:t xml:space="preserve">he indicator should be </w:t>
      </w:r>
      <w:r w:rsidR="002E2D13" w:rsidRPr="00E2350D">
        <w:rPr>
          <w:i/>
        </w:rPr>
        <w:t>realistic</w:t>
      </w:r>
      <w:r w:rsidR="002E2D13" w:rsidRPr="00E2350D">
        <w:t xml:space="preserve"> for the</w:t>
      </w:r>
      <w:r w:rsidR="00C70676" w:rsidRPr="00E2350D">
        <w:t xml:space="preserve"> functioning of an organisation. Finally, an indicator</w:t>
      </w:r>
      <w:r w:rsidR="00C37B32" w:rsidRPr="00E2350D">
        <w:t xml:space="preserve"> </w:t>
      </w:r>
      <w:r w:rsidR="00C70676" w:rsidRPr="00E2350D">
        <w:t xml:space="preserve">is </w:t>
      </w:r>
      <w:r w:rsidR="00C70676" w:rsidRPr="00E2350D">
        <w:rPr>
          <w:i/>
        </w:rPr>
        <w:t>time sensitive</w:t>
      </w:r>
      <w:r w:rsidR="00E439E3" w:rsidRPr="00E2350D">
        <w:t xml:space="preserve"> if it should be achieved in a given period</w:t>
      </w:r>
      <w:r w:rsidR="00D91CD3">
        <w:t>,</w:t>
      </w:r>
      <w:r w:rsidR="00E439E3" w:rsidRPr="00E2350D">
        <w:t xml:space="preserve"> </w:t>
      </w:r>
      <w:r w:rsidR="00C37B32" w:rsidRPr="00E2350D">
        <w:t xml:space="preserve">and </w:t>
      </w:r>
      <w:r w:rsidR="00C70676" w:rsidRPr="00E2350D">
        <w:t xml:space="preserve">allows </w:t>
      </w:r>
      <w:r w:rsidR="00C70676" w:rsidRPr="00E2350D">
        <w:rPr>
          <w:szCs w:val="18"/>
        </w:rPr>
        <w:t>the analyst to monitor progress along the path to reach the goal.</w:t>
      </w:r>
    </w:p>
    <w:p w14:paraId="159CC7AA" w14:textId="77777777" w:rsidR="003E4ACD" w:rsidRPr="00E2350D" w:rsidRDefault="003E4ACD" w:rsidP="00C84C47">
      <w:pPr>
        <w:pStyle w:val="CETBodytext"/>
        <w:rPr>
          <w:szCs w:val="18"/>
        </w:rPr>
      </w:pPr>
    </w:p>
    <w:p w14:paraId="3AA471CA" w14:textId="77777777" w:rsidR="005B2A5A" w:rsidRPr="00E2350D" w:rsidRDefault="00E2350D" w:rsidP="005B2A5A">
      <w:pPr>
        <w:pStyle w:val="CETHeading1"/>
        <w:numPr>
          <w:ilvl w:val="2"/>
          <w:numId w:val="1"/>
        </w:numPr>
        <w:spacing w:before="0" w:after="0" w:line="264" w:lineRule="auto"/>
        <w:rPr>
          <w:sz w:val="18"/>
          <w:szCs w:val="18"/>
        </w:rPr>
      </w:pPr>
      <w:r w:rsidRPr="00E2350D">
        <w:rPr>
          <w:sz w:val="18"/>
          <w:szCs w:val="18"/>
        </w:rPr>
        <w:t xml:space="preserve">Phase III - </w:t>
      </w:r>
      <w:r w:rsidR="006D0C08" w:rsidRPr="00E2350D">
        <w:rPr>
          <w:sz w:val="18"/>
          <w:szCs w:val="18"/>
        </w:rPr>
        <w:t>Using leading indicators</w:t>
      </w:r>
    </w:p>
    <w:p w14:paraId="51AE3297" w14:textId="77777777" w:rsidR="00021050" w:rsidRPr="00E2350D" w:rsidRDefault="00021050" w:rsidP="00021050">
      <w:pPr>
        <w:pStyle w:val="CETBodytext"/>
      </w:pPr>
    </w:p>
    <w:p w14:paraId="22D7AD63" w14:textId="77777777" w:rsidR="001E2799" w:rsidRPr="00E2350D" w:rsidRDefault="00E2350D" w:rsidP="00021050">
      <w:pPr>
        <w:pStyle w:val="CETBodytext"/>
      </w:pPr>
      <w:r w:rsidRPr="00E2350D">
        <w:t>Phase II concluded with the definition of a set of indicators for each j-SMS element, according to the criteria established in that phase. In phase III, however, the steps to be followed in order to effectively use the selected indicators are explained. For this purpose, the approach reported in an OSHA document (2019) based on the Deming cycle was followed (Figure 2). The cyclic nature of the steps allows for reassessing the chosen indicators if the target objective is not achieved.</w:t>
      </w:r>
    </w:p>
    <w:p w14:paraId="47238356" w14:textId="77777777" w:rsidR="00223781" w:rsidRPr="00E2350D" w:rsidRDefault="00223781" w:rsidP="001E2799">
      <w:pPr>
        <w:pStyle w:val="CETBodytext"/>
      </w:pPr>
    </w:p>
    <w:p w14:paraId="387241F3" w14:textId="5056EA9E" w:rsidR="00021050" w:rsidRPr="00E2350D" w:rsidRDefault="00E2350D" w:rsidP="00223781">
      <w:pPr>
        <w:pStyle w:val="CETBodytext"/>
        <w:jc w:val="center"/>
      </w:pPr>
      <w:r w:rsidRPr="00E2350D">
        <w:rPr>
          <w:noProof/>
          <w:lang w:val="it-IT" w:eastAsia="it-IT"/>
        </w:rPr>
        <w:lastRenderedPageBreak/>
        <w:drawing>
          <wp:inline distT="0" distB="0" distL="0" distR="0" wp14:anchorId="644F8640" wp14:editId="3271ADE7">
            <wp:extent cx="2118092" cy="2129245"/>
            <wp:effectExtent l="0" t="0" r="0" b="444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a:srcRect l="40191" t="30563" r="34258" b="30908"/>
                    <a:stretch>
                      <a:fillRect/>
                    </a:stretch>
                  </pic:blipFill>
                  <pic:spPr bwMode="auto">
                    <a:xfrm>
                      <a:off x="0" y="0"/>
                      <a:ext cx="2135221" cy="2146464"/>
                    </a:xfrm>
                    <a:prstGeom prst="rect">
                      <a:avLst/>
                    </a:prstGeom>
                    <a:ln>
                      <a:noFill/>
                    </a:ln>
                    <a:extLst>
                      <a:ext uri="{53640926-AAD7-44D8-BBD7-CCE9431645EC}">
                        <a14:shadowObscured xmlns:a14="http://schemas.microsoft.com/office/drawing/2010/main"/>
                      </a:ext>
                    </a:extLst>
                  </pic:spPr>
                </pic:pic>
              </a:graphicData>
            </a:graphic>
          </wp:inline>
        </w:drawing>
      </w:r>
    </w:p>
    <w:p w14:paraId="1258DA9A" w14:textId="77777777" w:rsidR="00223781" w:rsidRPr="00E2350D" w:rsidRDefault="00E2350D" w:rsidP="00223781">
      <w:pPr>
        <w:pStyle w:val="CETBodytext"/>
        <w:jc w:val="center"/>
        <w:rPr>
          <w:i/>
        </w:rPr>
      </w:pPr>
      <w:r w:rsidRPr="00E2350D">
        <w:rPr>
          <w:i/>
        </w:rPr>
        <w:t xml:space="preserve">Figure 2 </w:t>
      </w:r>
      <w:r w:rsidR="00245321" w:rsidRPr="00E2350D">
        <w:rPr>
          <w:i/>
        </w:rPr>
        <w:t>– Steps to effective use leading indicators</w:t>
      </w:r>
    </w:p>
    <w:p w14:paraId="75C6F8D2" w14:textId="77777777" w:rsidR="001E2799" w:rsidRPr="00E2350D" w:rsidRDefault="001E2799" w:rsidP="00223781">
      <w:pPr>
        <w:pStyle w:val="CETBodytext"/>
        <w:jc w:val="center"/>
        <w:rPr>
          <w:i/>
        </w:rPr>
      </w:pPr>
    </w:p>
    <w:p w14:paraId="6D4476F0" w14:textId="77777777" w:rsidR="0014074D" w:rsidRPr="00E2350D" w:rsidRDefault="00E2350D" w:rsidP="001E2799">
      <w:pPr>
        <w:pStyle w:val="CETBodytext"/>
      </w:pPr>
      <w:r w:rsidRPr="00E2350D">
        <w:t>I</w:t>
      </w:r>
      <w:r w:rsidR="00483938" w:rsidRPr="00E2350D">
        <w:t xml:space="preserve">n the first step, </w:t>
      </w:r>
      <w:r w:rsidRPr="00E2350D">
        <w:t xml:space="preserve">setting a goal for each leading </w:t>
      </w:r>
      <w:r w:rsidRPr="00E2350D">
        <w:rPr>
          <w:i/>
        </w:rPr>
        <w:t>i</w:t>
      </w:r>
      <w:r w:rsidRPr="00E2350D">
        <w:t>-indicator chosen to measure an SMS element</w:t>
      </w:r>
      <w:r w:rsidR="00483938" w:rsidRPr="00E2350D">
        <w:t xml:space="preserve"> is necessary. Next, it</w:t>
      </w:r>
      <w:r w:rsidRPr="00E2350D">
        <w:t xml:space="preserve"> is necessary to specify whether mandatory lower bounds exist for a given indicator or, alternatively, to provide an evaluation criterion for the single indicator to provide an evaluation scale, qualitative or quantitative, which will allow the performance to be measured.</w:t>
      </w:r>
    </w:p>
    <w:p w14:paraId="7693CFB1" w14:textId="77777777" w:rsidR="001E2799" w:rsidRPr="00E2350D" w:rsidRDefault="00E2350D" w:rsidP="001E2799">
      <w:pPr>
        <w:pStyle w:val="CETBodytext"/>
      </w:pPr>
      <w:r w:rsidRPr="00E2350D">
        <w:t>In the second step, the indicator begins to be used by collecting data</w:t>
      </w:r>
      <w:r w:rsidR="00B745BF" w:rsidRPr="00E2350D">
        <w:t xml:space="preserve"> and is </w:t>
      </w:r>
      <w:r w:rsidRPr="00E2350D">
        <w:t>periodically measured for comparison with the target objective over time.</w:t>
      </w:r>
      <w:r w:rsidR="00B745BF" w:rsidRPr="00E2350D">
        <w:t xml:space="preserve"> After monitoring </w:t>
      </w:r>
      <w:r w:rsidR="00B745BF" w:rsidRPr="00D91CD3">
        <w:t>the</w:t>
      </w:r>
      <w:r w:rsidR="00B745BF" w:rsidRPr="00E2350D">
        <w:rPr>
          <w:i/>
        </w:rPr>
        <w:t xml:space="preserve"> i-</w:t>
      </w:r>
      <w:r w:rsidR="00B745BF" w:rsidRPr="00E2350D">
        <w:t>indicator for a while, it could be possible to evaluate progress toward the target goal. However, many indicators need more time to assess their effectiveness.</w:t>
      </w:r>
      <w:r w:rsidR="0079263B" w:rsidRPr="00E2350D">
        <w:t xml:space="preserve"> </w:t>
      </w:r>
      <w:r w:rsidRPr="00E2350D">
        <w:t xml:space="preserve">It has been established that specific leading indicators tend to be more predictive of future performance when deployed over time and often assessed, as opposed to when applied just once </w:t>
      </w:r>
      <w:r w:rsidR="0079263B" w:rsidRPr="00E2350D">
        <w:t xml:space="preserve">(Alruqi and Hallowell, 2019). </w:t>
      </w:r>
      <w:r w:rsidR="009A08EF" w:rsidRPr="00E2350D">
        <w:t>In addition, the evaluation of the leading indicator allows learning what to improve in the system and, if necessary, changing the indicator.</w:t>
      </w:r>
    </w:p>
    <w:p w14:paraId="1F93B8E8" w14:textId="77777777" w:rsidR="00D03D16" w:rsidRPr="00E2350D" w:rsidRDefault="00D03D16" w:rsidP="001E2799">
      <w:pPr>
        <w:pStyle w:val="CETBodytext"/>
      </w:pPr>
    </w:p>
    <w:p w14:paraId="01295CA6" w14:textId="77777777" w:rsidR="0098692A" w:rsidRPr="00E2350D" w:rsidRDefault="00E2350D" w:rsidP="00021050">
      <w:pPr>
        <w:pStyle w:val="CETHeading1"/>
        <w:spacing w:before="0" w:after="0" w:line="264" w:lineRule="auto"/>
      </w:pPr>
      <w:r w:rsidRPr="00E2350D">
        <w:t>Discussion</w:t>
      </w:r>
    </w:p>
    <w:p w14:paraId="2AD400E8" w14:textId="77777777" w:rsidR="00F3022D" w:rsidRPr="00E2350D" w:rsidRDefault="00F3022D" w:rsidP="00F3022D">
      <w:pPr>
        <w:pStyle w:val="CETBodytext"/>
      </w:pPr>
    </w:p>
    <w:p w14:paraId="22338B64" w14:textId="77777777" w:rsidR="00BD00FB" w:rsidRPr="00E2350D" w:rsidRDefault="00E2350D" w:rsidP="00F3022D">
      <w:pPr>
        <w:pStyle w:val="CETBodytext"/>
      </w:pPr>
      <w:r w:rsidRPr="00E2350D">
        <w:t xml:space="preserve">The aim of developing a conceptual framework for defining leading indicators is to design a proactive safety management </w:t>
      </w:r>
      <w:r w:rsidR="00E65419" w:rsidRPr="00E2350D">
        <w:t>approach</w:t>
      </w:r>
      <w:r w:rsidRPr="00E2350D">
        <w:t xml:space="preserve">. </w:t>
      </w:r>
      <w:r w:rsidR="00F56BC0" w:rsidRPr="00E2350D">
        <w:t>T</w:t>
      </w:r>
      <w:r w:rsidR="00E65419" w:rsidRPr="00E2350D">
        <w:t>he advantage</w:t>
      </w:r>
      <w:r w:rsidR="00F3022D" w:rsidRPr="00E2350D">
        <w:t xml:space="preserve"> of the proposed framework </w:t>
      </w:r>
      <w:r w:rsidR="00765712" w:rsidRPr="00E2350D">
        <w:t>is</w:t>
      </w:r>
      <w:r w:rsidR="00E65419" w:rsidRPr="00E2350D">
        <w:t xml:space="preserve"> to provide a structured path to guide</w:t>
      </w:r>
      <w:r w:rsidR="00B75EA5" w:rsidRPr="00E2350D">
        <w:t xml:space="preserve"> </w:t>
      </w:r>
      <w:r w:rsidR="00E65419" w:rsidRPr="00E2350D">
        <w:t xml:space="preserve">step by step the management </w:t>
      </w:r>
      <w:r w:rsidR="00765712" w:rsidRPr="00E2350D">
        <w:t>in identifying leading indicators for each main SMS element and cyclical steps in the use of indicators based on continuous improvement leading to reassessing indicator and their target goal.</w:t>
      </w:r>
      <w:r w:rsidR="00897735" w:rsidRPr="00E2350D">
        <w:t xml:space="preserve"> Furthermore, the cyclical nature of the steps in using indicators also allows learn</w:t>
      </w:r>
      <w:r w:rsidRPr="00E2350D">
        <w:t>ing</w:t>
      </w:r>
      <w:r w:rsidR="00897735" w:rsidRPr="00E2350D">
        <w:t xml:space="preserve"> from the measurement</w:t>
      </w:r>
      <w:r w:rsidRPr="00E2350D">
        <w:t xml:space="preserve"> result. In this way, organizations can identify and correct critical issues before they turn into accidents.</w:t>
      </w:r>
    </w:p>
    <w:p w14:paraId="2E7748C5" w14:textId="77777777" w:rsidR="00494437" w:rsidRPr="00E2350D" w:rsidRDefault="00E2350D" w:rsidP="00494437">
      <w:pPr>
        <w:pStyle w:val="CETBodytext"/>
      </w:pPr>
      <w:r w:rsidRPr="00E2350D">
        <w:t>The framework seems easily usable in any type of organization regardless of its size and suitable for monitoring performance according to continuous improvement.</w:t>
      </w:r>
    </w:p>
    <w:p w14:paraId="312F69B3" w14:textId="77777777" w:rsidR="00494437" w:rsidRPr="00E2350D" w:rsidRDefault="00E2350D" w:rsidP="00494437">
      <w:pPr>
        <w:pStyle w:val="CETBodytext"/>
      </w:pPr>
      <w:r w:rsidRPr="00E2350D">
        <w:t>However, the framework is a qualitative approach and does not guarantee the identification of an adequate number of indicators to monitor the elements of the SMS. The identification step is delegated to the experience of management systems analysts and their ability to carry out a bibliographic analysis on the leading indicators developed in the research.</w:t>
      </w:r>
      <w:r w:rsidR="00CF6419" w:rsidRPr="00E2350D">
        <w:t xml:space="preserve"> This represents a strong weakness even if it is the same for all the models proposed for performance measurement. </w:t>
      </w:r>
      <w:r w:rsidRPr="00E2350D">
        <w:t>Standardization</w:t>
      </w:r>
      <w:r w:rsidR="00CF6419" w:rsidRPr="00E2350D">
        <w:t xml:space="preserve"> is also trying to overcome this issue by developing guidelines on performance evaluation.</w:t>
      </w:r>
    </w:p>
    <w:p w14:paraId="02F6B5BC" w14:textId="77777777" w:rsidR="005A6B13" w:rsidRPr="00E2350D" w:rsidRDefault="00E2350D" w:rsidP="00F3022D">
      <w:pPr>
        <w:pStyle w:val="CETBodytext"/>
      </w:pPr>
      <w:r w:rsidRPr="00E2350D">
        <w:t>Furthermore, despite having taken ISO 45001 as a management system reference, the main elements</w:t>
      </w:r>
      <w:r w:rsidR="00CF6419" w:rsidRPr="00E2350D">
        <w:t xml:space="preserve"> </w:t>
      </w:r>
      <w:r w:rsidRPr="00E2350D">
        <w:t>that constitute it were identified but not the sub-elements. Consequently, the analyst implementing the framework will be led to not defining indicators for the sub-elements. This choice is based on the authors’ decision to consider only the structural indicators instead of the operational performance indicators.</w:t>
      </w:r>
    </w:p>
    <w:p w14:paraId="4DA6A3E2" w14:textId="77777777" w:rsidR="003239DB" w:rsidRPr="00E2350D" w:rsidRDefault="003239DB" w:rsidP="00F3022D">
      <w:pPr>
        <w:pStyle w:val="CETBodytext"/>
        <w:rPr>
          <w:b/>
        </w:rPr>
      </w:pPr>
    </w:p>
    <w:p w14:paraId="0CE9E83E" w14:textId="77777777" w:rsidR="00CD3566" w:rsidRPr="00E2350D" w:rsidRDefault="00E2350D" w:rsidP="009138A4">
      <w:pPr>
        <w:pStyle w:val="CETHeading1"/>
        <w:spacing w:before="0" w:after="0" w:line="264" w:lineRule="auto"/>
      </w:pPr>
      <w:r w:rsidRPr="00E2350D">
        <w:t>Conclusions</w:t>
      </w:r>
    </w:p>
    <w:p w14:paraId="047F37C4" w14:textId="77777777" w:rsidR="00CD3566" w:rsidRPr="00E2350D" w:rsidRDefault="00CD3566" w:rsidP="009138A4">
      <w:pPr>
        <w:pStyle w:val="CETBodytext"/>
      </w:pPr>
    </w:p>
    <w:p w14:paraId="1F8B183F" w14:textId="77777777" w:rsidR="009F171F" w:rsidRPr="00E2350D" w:rsidRDefault="00E2350D" w:rsidP="009F171F">
      <w:pPr>
        <w:pStyle w:val="CETBodytext"/>
      </w:pPr>
      <w:r w:rsidRPr="00E2350D">
        <w:t>The growing interest in a proactive approach to safety by using leading indicators has led researchers to develop models for measuring the SMS performance.</w:t>
      </w:r>
      <w:r w:rsidR="00087A63" w:rsidRPr="00E2350D">
        <w:t xml:space="preserve"> However, in the literature, no proposed method provides an exhaustive list of indicators, both lagging and leading, that c</w:t>
      </w:r>
      <w:r w:rsidR="00647493" w:rsidRPr="00E2350D">
        <w:t>ould</w:t>
      </w:r>
      <w:r w:rsidR="00087A63" w:rsidRPr="00E2350D">
        <w:t xml:space="preserve"> be used by all types of </w:t>
      </w:r>
      <w:r w:rsidRPr="00E2350D">
        <w:t>organizations</w:t>
      </w:r>
      <w:r w:rsidR="00087A63" w:rsidRPr="00E2350D">
        <w:t xml:space="preserve"> and regardless of their size.</w:t>
      </w:r>
      <w:r w:rsidRPr="00E2350D">
        <w:t xml:space="preserve"> To date, there is no single system for measuring the performance of safety management systems, even though researchers have proposed various models to make them fully effective. Standardization is also moving in this direction, and the authors are also monitoring its developments.</w:t>
      </w:r>
    </w:p>
    <w:p w14:paraId="362DEBA6" w14:textId="2DFD77FC" w:rsidR="00897735" w:rsidRPr="00E2350D" w:rsidRDefault="00E2350D" w:rsidP="00897735">
      <w:pPr>
        <w:pStyle w:val="CETBodytext"/>
      </w:pPr>
      <w:r w:rsidRPr="00E2350D">
        <w:lastRenderedPageBreak/>
        <w:t xml:space="preserve">In this context, the proposed conceptual framework aims to drive management to define leading indicators for each main SMS element and </w:t>
      </w:r>
      <w:r w:rsidR="00207EFF" w:rsidRPr="00E2350D">
        <w:t>effectively us</w:t>
      </w:r>
      <w:r w:rsidR="00523896" w:rsidRPr="00E2350D">
        <w:t>e them. Furthermore, attention has been paid to leading indicators due to their predictive nature</w:t>
      </w:r>
      <w:r w:rsidR="009F171F" w:rsidRPr="00E2350D">
        <w:t>, which allows management to respond quickly to early warnings detected in all SMS elements.</w:t>
      </w:r>
      <w:r w:rsidRPr="00E2350D">
        <w:t xml:space="preserve"> Th</w:t>
      </w:r>
      <w:r w:rsidR="005716B3" w:rsidRPr="00E2350D">
        <w:t xml:space="preserve">is choice is </w:t>
      </w:r>
      <w:r w:rsidR="005B16AD" w:rsidRPr="00E2350D">
        <w:t xml:space="preserve">also </w:t>
      </w:r>
      <w:r w:rsidR="005716B3" w:rsidRPr="00E2350D">
        <w:t xml:space="preserve">preparatory to the research that the authors are developing on the ability to measure </w:t>
      </w:r>
      <w:r w:rsidRPr="00E2350D">
        <w:t>organizational</w:t>
      </w:r>
      <w:r w:rsidR="005716B3" w:rsidRPr="00E2350D">
        <w:t xml:space="preserve"> resilience through the SMS leading indicators</w:t>
      </w:r>
      <w:r w:rsidR="00770209" w:rsidRPr="00E2350D">
        <w:t xml:space="preserve"> (Pera et al.,</w:t>
      </w:r>
      <w:r w:rsidR="00D91CD3">
        <w:t xml:space="preserve"> </w:t>
      </w:r>
      <w:r w:rsidR="00770209" w:rsidRPr="00E2350D">
        <w:t>2020)</w:t>
      </w:r>
      <w:r w:rsidR="005716B3" w:rsidRPr="00E2350D">
        <w:t xml:space="preserve">. </w:t>
      </w:r>
      <w:r w:rsidRPr="00E2350D">
        <w:t>Based on the organizational resilience concept formulated by Hollnagel et al. (2006) define, it as "intrinsic ability of an organization (or system) to adjust its functioning prior to or following changes and disturbances to continue working in the face of continuous stresses or major mishaps”. For this purpose, the SMS leading indicators are suitable for detecting those early warning signals on possible malfunctions of safety systems. In fact, these indicators allow monitoring the normal operation of the system and detecting its changes.</w:t>
      </w:r>
    </w:p>
    <w:p w14:paraId="7A261B3E" w14:textId="02476827" w:rsidR="00C73813" w:rsidRDefault="00C73813" w:rsidP="00897735">
      <w:pPr>
        <w:pStyle w:val="CETBodytext"/>
        <w:rPr>
          <w:b/>
        </w:rPr>
      </w:pPr>
    </w:p>
    <w:p w14:paraId="56069C96" w14:textId="063E05CC" w:rsidR="008A5BFD" w:rsidRPr="00E2350D" w:rsidRDefault="00E2350D" w:rsidP="00897735">
      <w:pPr>
        <w:pStyle w:val="CETBodytext"/>
        <w:rPr>
          <w:b/>
        </w:rPr>
      </w:pPr>
      <w:r w:rsidRPr="00E2350D">
        <w:rPr>
          <w:b/>
        </w:rPr>
        <w:t>References</w:t>
      </w:r>
    </w:p>
    <w:p w14:paraId="56B21AC8" w14:textId="77777777" w:rsidR="008A5BFD" w:rsidRPr="00E2350D" w:rsidRDefault="008A5BFD" w:rsidP="008A5BFD">
      <w:pPr>
        <w:pStyle w:val="CETHeading1"/>
        <w:numPr>
          <w:ilvl w:val="0"/>
          <w:numId w:val="0"/>
        </w:numPr>
        <w:spacing w:before="0" w:after="0" w:line="264" w:lineRule="auto"/>
        <w:rPr>
          <w:sz w:val="18"/>
        </w:rPr>
      </w:pPr>
    </w:p>
    <w:p w14:paraId="09BA40E7" w14:textId="7A30AB26" w:rsidR="008A5BFD" w:rsidRPr="00E2350D" w:rsidRDefault="00E2350D" w:rsidP="008A5BFD">
      <w:pPr>
        <w:pStyle w:val="CETHeading1"/>
        <w:numPr>
          <w:ilvl w:val="0"/>
          <w:numId w:val="0"/>
        </w:numPr>
        <w:spacing w:before="0" w:after="0" w:line="264" w:lineRule="auto"/>
        <w:ind w:left="284" w:hanging="284"/>
        <w:rPr>
          <w:b w:val="0"/>
          <w:sz w:val="18"/>
        </w:rPr>
      </w:pPr>
      <w:r w:rsidRPr="00E2350D">
        <w:rPr>
          <w:b w:val="0"/>
          <w:sz w:val="18"/>
        </w:rPr>
        <w:t>Alru</w:t>
      </w:r>
      <w:r w:rsidR="0042069D">
        <w:rPr>
          <w:b w:val="0"/>
          <w:sz w:val="18"/>
        </w:rPr>
        <w:t>qi, W.M., Hallowell, M.R., 2019,</w:t>
      </w:r>
      <w:r w:rsidRPr="00E2350D">
        <w:rPr>
          <w:b w:val="0"/>
          <w:sz w:val="18"/>
        </w:rPr>
        <w:t xml:space="preserve"> Critical success factors for construction safety: review and meta-analys</w:t>
      </w:r>
      <w:r w:rsidR="0042069D">
        <w:rPr>
          <w:b w:val="0"/>
          <w:sz w:val="18"/>
        </w:rPr>
        <w:t>is of safety leading indicators,</w:t>
      </w:r>
      <w:r w:rsidRPr="00E2350D">
        <w:rPr>
          <w:b w:val="0"/>
          <w:sz w:val="18"/>
        </w:rPr>
        <w:t xml:space="preserve"> J. Constr. Eng. Manag. 145</w:t>
      </w:r>
      <w:r w:rsidR="0042069D">
        <w:rPr>
          <w:b w:val="0"/>
          <w:sz w:val="18"/>
        </w:rPr>
        <w:t>.</w:t>
      </w:r>
    </w:p>
    <w:p w14:paraId="49589404" w14:textId="1D706C30" w:rsidR="009030C9" w:rsidRPr="004825B7" w:rsidRDefault="0042069D" w:rsidP="009030C9">
      <w:pPr>
        <w:pStyle w:val="CETHeading1"/>
        <w:numPr>
          <w:ilvl w:val="0"/>
          <w:numId w:val="0"/>
        </w:numPr>
        <w:spacing w:before="0" w:after="0" w:line="264" w:lineRule="auto"/>
        <w:ind w:left="284" w:hanging="284"/>
        <w:jc w:val="both"/>
        <w:rPr>
          <w:b w:val="0"/>
          <w:sz w:val="18"/>
        </w:rPr>
      </w:pPr>
      <w:r>
        <w:rPr>
          <w:b w:val="0"/>
          <w:sz w:val="18"/>
        </w:rPr>
        <w:t>BSI (</w:t>
      </w:r>
      <w:r w:rsidR="00E2350D" w:rsidRPr="00E2350D">
        <w:rPr>
          <w:b w:val="0"/>
          <w:sz w:val="18"/>
        </w:rPr>
        <w:t>Briti</w:t>
      </w:r>
      <w:r>
        <w:rPr>
          <w:b w:val="0"/>
          <w:sz w:val="18"/>
        </w:rPr>
        <w:t>sh Standards Institution), 2007,</w:t>
      </w:r>
      <w:r w:rsidR="00E2350D" w:rsidRPr="00E2350D">
        <w:rPr>
          <w:b w:val="0"/>
          <w:sz w:val="18"/>
        </w:rPr>
        <w:t xml:space="preserve"> Occupational Health and Safety Management Systems – Speci</w:t>
      </w:r>
      <w:r>
        <w:rPr>
          <w:b w:val="0"/>
          <w:sz w:val="18"/>
        </w:rPr>
        <w:t xml:space="preserve">fication </w:t>
      </w:r>
      <w:r w:rsidRPr="004825B7">
        <w:rPr>
          <w:b w:val="0"/>
          <w:sz w:val="18"/>
        </w:rPr>
        <w:t xml:space="preserve">(BS OHSAS 18001:2007), </w:t>
      </w:r>
      <w:r w:rsidR="00E2350D" w:rsidRPr="004825B7">
        <w:rPr>
          <w:b w:val="0"/>
          <w:sz w:val="18"/>
        </w:rPr>
        <w:t>Occupational Health and Safety Assessment Series, BSI, London, UK.</w:t>
      </w:r>
    </w:p>
    <w:p w14:paraId="54D90CC2" w14:textId="5062CB97" w:rsidR="000F60B0" w:rsidRPr="004825B7" w:rsidRDefault="0042069D" w:rsidP="00C00A15">
      <w:pPr>
        <w:pStyle w:val="CETBodytext"/>
        <w:ind w:left="284" w:hanging="284"/>
      </w:pPr>
      <w:r w:rsidRPr="004825B7">
        <w:t xml:space="preserve">Carra, S., Monica, L., </w:t>
      </w:r>
      <w:r w:rsidR="000F60B0" w:rsidRPr="004825B7">
        <w:t xml:space="preserve">Di Girolamo, C., &amp; Salerno, A, 2022, </w:t>
      </w:r>
      <w:r w:rsidRPr="004825B7">
        <w:t xml:space="preserve">Accidents and Near-Misses in the History of a High-risk Chemical Installation: </w:t>
      </w:r>
      <w:r w:rsidR="000F60B0" w:rsidRPr="004825B7">
        <w:t>Analysis of the Human Component,</w:t>
      </w:r>
      <w:r w:rsidRPr="004825B7">
        <w:t xml:space="preserve"> Chemical Engineering Transactions, 91, 133-138. </w:t>
      </w:r>
    </w:p>
    <w:p w14:paraId="66333CD6" w14:textId="1254A8B6" w:rsidR="00C00A15" w:rsidRPr="00E2350D" w:rsidRDefault="0042069D" w:rsidP="00C00A15">
      <w:pPr>
        <w:pStyle w:val="CETBodytext"/>
        <w:ind w:left="284" w:hanging="284"/>
      </w:pPr>
      <w:r w:rsidRPr="004825B7">
        <w:t>Cambon, J., Guarnieri, F</w:t>
      </w:r>
      <w:r>
        <w:t>., &amp; Groeneweg, J., 2006,</w:t>
      </w:r>
      <w:r w:rsidRPr="0042069D">
        <w:t xml:space="preserve"> Towards a new tool for measuring Safety M</w:t>
      </w:r>
      <w:r>
        <w:t>anagement Systems performance, i</w:t>
      </w:r>
      <w:r w:rsidRPr="0042069D">
        <w:t>n Proceedings of the Second Resilience Engineering Symposium. Mines Paris, Less Presses, Antibes–Juan-les-Pins, France (pp. 53-62).</w:t>
      </w:r>
    </w:p>
    <w:p w14:paraId="56B1C059" w14:textId="0C886A30" w:rsidR="00770209" w:rsidRDefault="00E2350D" w:rsidP="00770209">
      <w:pPr>
        <w:pStyle w:val="CETBodytext"/>
        <w:ind w:left="284" w:hanging="284"/>
      </w:pPr>
      <w:r w:rsidRPr="00E2350D">
        <w:t xml:space="preserve">Hollnagel, E., </w:t>
      </w:r>
      <w:r w:rsidR="0042069D">
        <w:t xml:space="preserve">Woods, D.E., Leveson, N., 2006, </w:t>
      </w:r>
      <w:r w:rsidRPr="00E2350D">
        <w:t>Resilience Engi</w:t>
      </w:r>
      <w:r w:rsidR="0042069D">
        <w:t xml:space="preserve">neering: Concepts and precepts, </w:t>
      </w:r>
      <w:r w:rsidRPr="00E2350D">
        <w:t>Ashgate Publishing Limited, Hampshire, UK.</w:t>
      </w:r>
    </w:p>
    <w:p w14:paraId="685E5E38" w14:textId="243385B5" w:rsidR="0038360F" w:rsidRPr="00E2350D" w:rsidRDefault="0038360F" w:rsidP="00770209">
      <w:pPr>
        <w:pStyle w:val="CETBodytext"/>
        <w:ind w:left="284" w:hanging="284"/>
      </w:pPr>
      <w:r>
        <w:t>ICMM (International Council on Mining &amp; Metals), 2012,</w:t>
      </w:r>
      <w:r w:rsidRPr="0038360F">
        <w:t xml:space="preserve"> Overview of leading indicators for occupational health and safety in mining.</w:t>
      </w:r>
    </w:p>
    <w:p w14:paraId="7C2CF1AB" w14:textId="2AB6810A" w:rsidR="009030C9" w:rsidRPr="00E2350D" w:rsidRDefault="00E2350D" w:rsidP="009030C9">
      <w:pPr>
        <w:pStyle w:val="CETBodytext"/>
        <w:ind w:left="284" w:hanging="284"/>
      </w:pPr>
      <w:r w:rsidRPr="00E2350D">
        <w:t>ILO (Inte</w:t>
      </w:r>
      <w:r w:rsidR="0042069D">
        <w:t xml:space="preserve">rnational Labour Office), 2001, </w:t>
      </w:r>
      <w:r w:rsidRPr="00E2350D">
        <w:t>Guidelines on Occupational Safety and Health Manageme</w:t>
      </w:r>
      <w:r w:rsidR="0042069D">
        <w:t>nt Systems, (ILO-OSH, 2001)</w:t>
      </w:r>
      <w:r w:rsidRPr="00E2350D">
        <w:t xml:space="preserve">, Geneva, Switzerland. </w:t>
      </w:r>
    </w:p>
    <w:p w14:paraId="63401711" w14:textId="77777777" w:rsidR="009030C9" w:rsidRPr="00E2350D" w:rsidRDefault="00E2350D" w:rsidP="009030C9">
      <w:pPr>
        <w:pStyle w:val="CETBodytext"/>
        <w:ind w:left="284" w:hanging="284"/>
      </w:pPr>
      <w:r w:rsidRPr="00E2350D">
        <w:t>ISO 45001:2018 - Occupational health and safety management systems - Requirements with guidance for use.</w:t>
      </w:r>
    </w:p>
    <w:p w14:paraId="2CC1E163" w14:textId="717158EC" w:rsidR="001E2799" w:rsidRPr="00E2350D" w:rsidRDefault="00E2350D" w:rsidP="009030C9">
      <w:pPr>
        <w:pStyle w:val="CETBodytext"/>
        <w:ind w:left="284" w:hanging="284"/>
      </w:pPr>
      <w:r w:rsidRPr="00E2350D">
        <w:t>O</w:t>
      </w:r>
      <w:r w:rsidR="0042069D">
        <w:t xml:space="preserve">SHA. </w:t>
      </w:r>
      <w:r w:rsidR="0042069D" w:rsidRPr="00E2350D">
        <w:t>June 2019</w:t>
      </w:r>
      <w:r w:rsidR="0042069D">
        <w:t xml:space="preserve">. </w:t>
      </w:r>
      <w:r w:rsidRPr="00E2350D">
        <w:t xml:space="preserve">Using Leading Indicators to Improve Safety and Health Outcomes. </w:t>
      </w:r>
      <w:hyperlink r:id="rId13" w:history="1">
        <w:r w:rsidRPr="00E2350D">
          <w:rPr>
            <w:rStyle w:val="Collegamentoipertestuale"/>
          </w:rPr>
          <w:t>www.osha.gov/leadingindicators</w:t>
        </w:r>
      </w:hyperlink>
      <w:r w:rsidRPr="00E2350D">
        <w:t>.</w:t>
      </w:r>
    </w:p>
    <w:p w14:paraId="24F05042" w14:textId="6CA5C64D" w:rsidR="00B06A0E" w:rsidRPr="00E2350D" w:rsidRDefault="00E2350D" w:rsidP="00B06A0E">
      <w:pPr>
        <w:pStyle w:val="CETBodytext"/>
        <w:ind w:left="284" w:hanging="284"/>
      </w:pPr>
      <w:r w:rsidRPr="0042069D">
        <w:t xml:space="preserve">Pera, F., Madonna, M., </w:t>
      </w:r>
      <w:r w:rsidR="0042069D" w:rsidRPr="0042069D">
        <w:t>Del Prete, 2020,</w:t>
      </w:r>
      <w:r w:rsidRPr="0042069D">
        <w:t xml:space="preserve"> </w:t>
      </w:r>
      <w:r w:rsidRPr="00E2350D">
        <w:t>Enhancing the organisational resilience through the saf</w:t>
      </w:r>
      <w:r w:rsidR="0042069D">
        <w:t xml:space="preserve">ety management system, </w:t>
      </w:r>
      <w:r w:rsidRPr="00E2350D">
        <w:t>30th European Safety and Reliability Conference, ESREL 2020 and 15th Probabilistic Safety Assessment and Managem</w:t>
      </w:r>
      <w:r w:rsidR="0042069D">
        <w:t>ent Conference, PSAM 2020,</w:t>
      </w:r>
      <w:r w:rsidRPr="00E2350D">
        <w:t xml:space="preserve"> pp. 3806–3812.</w:t>
      </w:r>
    </w:p>
    <w:p w14:paraId="3243BDC8" w14:textId="1273FDDC" w:rsidR="00BE58A4" w:rsidRPr="00E2350D" w:rsidRDefault="00E2350D" w:rsidP="00BE58A4">
      <w:pPr>
        <w:pStyle w:val="CETBodytext"/>
        <w:ind w:left="284" w:hanging="284"/>
      </w:pPr>
      <w:r w:rsidRPr="00E2350D">
        <w:t>Podgórski, D., 2015</w:t>
      </w:r>
      <w:r w:rsidR="009030C9" w:rsidRPr="00E2350D">
        <w:t>,</w:t>
      </w:r>
      <w:r w:rsidRPr="00E2350D">
        <w:t xml:space="preserve"> Measuring operational performance of OSH management system</w:t>
      </w:r>
      <w:r w:rsidR="0042069D">
        <w:t xml:space="preserve"> </w:t>
      </w:r>
      <w:r w:rsidRPr="00E2350D">
        <w:t>–</w:t>
      </w:r>
      <w:r w:rsidR="0042069D">
        <w:t xml:space="preserve"> </w:t>
      </w:r>
      <w:r w:rsidRPr="00E2350D">
        <w:t>A demonstration of AHP-based selection of leading key performance indicators. Safety science, 73, 146-166.</w:t>
      </w:r>
    </w:p>
    <w:p w14:paraId="6BD47845" w14:textId="3770A42D" w:rsidR="004628D2" w:rsidRPr="00E2350D" w:rsidRDefault="00E2350D" w:rsidP="00D246D5">
      <w:pPr>
        <w:pStyle w:val="CETBodytext"/>
        <w:ind w:left="284" w:hanging="284"/>
      </w:pPr>
      <w:r w:rsidRPr="00E2350D">
        <w:t>Shah</w:t>
      </w:r>
      <w:r w:rsidR="0042069D">
        <w:t xml:space="preserve">in, A., Mahbod, M.A., 2007, </w:t>
      </w:r>
      <w:r w:rsidRPr="00E2350D">
        <w:t xml:space="preserve">Prioritisation of key performance indicators. An integration of analytical hierarchy process and goal </w:t>
      </w:r>
      <w:r w:rsidR="0042069D">
        <w:t xml:space="preserve">setting, J. Prod. Perform. Manage, </w:t>
      </w:r>
      <w:r w:rsidRPr="00E2350D">
        <w:t>56 (3), 226–240</w:t>
      </w:r>
      <w:r w:rsidR="00D246D5" w:rsidRPr="00E2350D">
        <w:t>.</w:t>
      </w:r>
    </w:p>
    <w:sectPr w:rsidR="004628D2" w:rsidRPr="00E2350D" w:rsidSect="00EF06D9">
      <w:type w:val="continuous"/>
      <w:pgSz w:w="11906" w:h="16838" w:code="9"/>
      <w:pgMar w:top="1701" w:right="1418" w:bottom="1701" w:left="1701" w:header="1701" w:footer="0"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460CA9BC">
      <w:start w:val="1"/>
      <w:numFmt w:val="bullet"/>
      <w:lvlText w:val=""/>
      <w:lvlJc w:val="left"/>
      <w:pPr>
        <w:ind w:left="720" w:hanging="360"/>
      </w:pPr>
      <w:rPr>
        <w:rFonts w:ascii="Symbol" w:hAnsi="Symbol" w:hint="default"/>
      </w:rPr>
    </w:lvl>
    <w:lvl w:ilvl="1" w:tplc="2ADEEB0C" w:tentative="1">
      <w:start w:val="1"/>
      <w:numFmt w:val="bullet"/>
      <w:lvlText w:val="o"/>
      <w:lvlJc w:val="left"/>
      <w:pPr>
        <w:ind w:left="1440" w:hanging="360"/>
      </w:pPr>
      <w:rPr>
        <w:rFonts w:ascii="Courier New" w:hAnsi="Courier New" w:cs="Courier New" w:hint="default"/>
      </w:rPr>
    </w:lvl>
    <w:lvl w:ilvl="2" w:tplc="C706CD4C" w:tentative="1">
      <w:start w:val="1"/>
      <w:numFmt w:val="bullet"/>
      <w:lvlText w:val=""/>
      <w:lvlJc w:val="left"/>
      <w:pPr>
        <w:ind w:left="2160" w:hanging="360"/>
      </w:pPr>
      <w:rPr>
        <w:rFonts w:ascii="Wingdings" w:hAnsi="Wingdings" w:hint="default"/>
      </w:rPr>
    </w:lvl>
    <w:lvl w:ilvl="3" w:tplc="72E43682" w:tentative="1">
      <w:start w:val="1"/>
      <w:numFmt w:val="bullet"/>
      <w:lvlText w:val=""/>
      <w:lvlJc w:val="left"/>
      <w:pPr>
        <w:ind w:left="2880" w:hanging="360"/>
      </w:pPr>
      <w:rPr>
        <w:rFonts w:ascii="Symbol" w:hAnsi="Symbol" w:hint="default"/>
      </w:rPr>
    </w:lvl>
    <w:lvl w:ilvl="4" w:tplc="A2E6FCD2" w:tentative="1">
      <w:start w:val="1"/>
      <w:numFmt w:val="bullet"/>
      <w:lvlText w:val="o"/>
      <w:lvlJc w:val="left"/>
      <w:pPr>
        <w:ind w:left="3600" w:hanging="360"/>
      </w:pPr>
      <w:rPr>
        <w:rFonts w:ascii="Courier New" w:hAnsi="Courier New" w:cs="Courier New" w:hint="default"/>
      </w:rPr>
    </w:lvl>
    <w:lvl w:ilvl="5" w:tplc="A44692A6" w:tentative="1">
      <w:start w:val="1"/>
      <w:numFmt w:val="bullet"/>
      <w:lvlText w:val=""/>
      <w:lvlJc w:val="left"/>
      <w:pPr>
        <w:ind w:left="4320" w:hanging="360"/>
      </w:pPr>
      <w:rPr>
        <w:rFonts w:ascii="Wingdings" w:hAnsi="Wingdings" w:hint="default"/>
      </w:rPr>
    </w:lvl>
    <w:lvl w:ilvl="6" w:tplc="510CC1D2" w:tentative="1">
      <w:start w:val="1"/>
      <w:numFmt w:val="bullet"/>
      <w:lvlText w:val=""/>
      <w:lvlJc w:val="left"/>
      <w:pPr>
        <w:ind w:left="5040" w:hanging="360"/>
      </w:pPr>
      <w:rPr>
        <w:rFonts w:ascii="Symbol" w:hAnsi="Symbol" w:hint="default"/>
      </w:rPr>
    </w:lvl>
    <w:lvl w:ilvl="7" w:tplc="320EA808" w:tentative="1">
      <w:start w:val="1"/>
      <w:numFmt w:val="bullet"/>
      <w:lvlText w:val="o"/>
      <w:lvlJc w:val="left"/>
      <w:pPr>
        <w:ind w:left="5760" w:hanging="360"/>
      </w:pPr>
      <w:rPr>
        <w:rFonts w:ascii="Courier New" w:hAnsi="Courier New" w:cs="Courier New" w:hint="default"/>
      </w:rPr>
    </w:lvl>
    <w:lvl w:ilvl="8" w:tplc="EE04A420"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B3C07B22">
      <w:start w:val="1"/>
      <w:numFmt w:val="bullet"/>
      <w:pStyle w:val="CETnumberingbullets"/>
      <w:lvlText w:val=""/>
      <w:lvlJc w:val="left"/>
      <w:pPr>
        <w:ind w:left="340" w:hanging="227"/>
      </w:pPr>
      <w:rPr>
        <w:rFonts w:ascii="Symbol" w:hAnsi="Symbol" w:hint="default"/>
      </w:rPr>
    </w:lvl>
    <w:lvl w:ilvl="1" w:tplc="537AC27A" w:tentative="1">
      <w:start w:val="1"/>
      <w:numFmt w:val="bullet"/>
      <w:lvlText w:val="o"/>
      <w:lvlJc w:val="left"/>
      <w:pPr>
        <w:ind w:left="1440" w:hanging="360"/>
      </w:pPr>
      <w:rPr>
        <w:rFonts w:ascii="Courier New" w:hAnsi="Courier New" w:cs="Courier New" w:hint="default"/>
      </w:rPr>
    </w:lvl>
    <w:lvl w:ilvl="2" w:tplc="5A366452" w:tentative="1">
      <w:start w:val="1"/>
      <w:numFmt w:val="bullet"/>
      <w:lvlText w:val=""/>
      <w:lvlJc w:val="left"/>
      <w:pPr>
        <w:ind w:left="2160" w:hanging="360"/>
      </w:pPr>
      <w:rPr>
        <w:rFonts w:ascii="Wingdings" w:hAnsi="Wingdings" w:hint="default"/>
      </w:rPr>
    </w:lvl>
    <w:lvl w:ilvl="3" w:tplc="25B28DC0" w:tentative="1">
      <w:start w:val="1"/>
      <w:numFmt w:val="bullet"/>
      <w:lvlText w:val=""/>
      <w:lvlJc w:val="left"/>
      <w:pPr>
        <w:ind w:left="2880" w:hanging="360"/>
      </w:pPr>
      <w:rPr>
        <w:rFonts w:ascii="Symbol" w:hAnsi="Symbol" w:hint="default"/>
      </w:rPr>
    </w:lvl>
    <w:lvl w:ilvl="4" w:tplc="8DF43150" w:tentative="1">
      <w:start w:val="1"/>
      <w:numFmt w:val="bullet"/>
      <w:lvlText w:val="o"/>
      <w:lvlJc w:val="left"/>
      <w:pPr>
        <w:ind w:left="3600" w:hanging="360"/>
      </w:pPr>
      <w:rPr>
        <w:rFonts w:ascii="Courier New" w:hAnsi="Courier New" w:cs="Courier New" w:hint="default"/>
      </w:rPr>
    </w:lvl>
    <w:lvl w:ilvl="5" w:tplc="4E80E3AA" w:tentative="1">
      <w:start w:val="1"/>
      <w:numFmt w:val="bullet"/>
      <w:lvlText w:val=""/>
      <w:lvlJc w:val="left"/>
      <w:pPr>
        <w:ind w:left="4320" w:hanging="360"/>
      </w:pPr>
      <w:rPr>
        <w:rFonts w:ascii="Wingdings" w:hAnsi="Wingdings" w:hint="default"/>
      </w:rPr>
    </w:lvl>
    <w:lvl w:ilvl="6" w:tplc="91087748" w:tentative="1">
      <w:start w:val="1"/>
      <w:numFmt w:val="bullet"/>
      <w:lvlText w:val=""/>
      <w:lvlJc w:val="left"/>
      <w:pPr>
        <w:ind w:left="5040" w:hanging="360"/>
      </w:pPr>
      <w:rPr>
        <w:rFonts w:ascii="Symbol" w:hAnsi="Symbol" w:hint="default"/>
      </w:rPr>
    </w:lvl>
    <w:lvl w:ilvl="7" w:tplc="935EEDC8" w:tentative="1">
      <w:start w:val="1"/>
      <w:numFmt w:val="bullet"/>
      <w:lvlText w:val="o"/>
      <w:lvlJc w:val="left"/>
      <w:pPr>
        <w:ind w:left="5760" w:hanging="360"/>
      </w:pPr>
      <w:rPr>
        <w:rFonts w:ascii="Courier New" w:hAnsi="Courier New" w:cs="Courier New" w:hint="default"/>
      </w:rPr>
    </w:lvl>
    <w:lvl w:ilvl="8" w:tplc="C6064CAE"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1F96203A">
      <w:start w:val="1"/>
      <w:numFmt w:val="bullet"/>
      <w:lvlText w:val=""/>
      <w:lvlJc w:val="left"/>
      <w:pPr>
        <w:ind w:left="720" w:hanging="360"/>
      </w:pPr>
      <w:rPr>
        <w:rFonts w:ascii="Symbol" w:hAnsi="Symbol" w:hint="default"/>
      </w:rPr>
    </w:lvl>
    <w:lvl w:ilvl="1" w:tplc="9618A642" w:tentative="1">
      <w:start w:val="1"/>
      <w:numFmt w:val="bullet"/>
      <w:lvlText w:val="o"/>
      <w:lvlJc w:val="left"/>
      <w:pPr>
        <w:ind w:left="1440" w:hanging="360"/>
      </w:pPr>
      <w:rPr>
        <w:rFonts w:ascii="Courier New" w:hAnsi="Courier New" w:cs="Courier New" w:hint="default"/>
      </w:rPr>
    </w:lvl>
    <w:lvl w:ilvl="2" w:tplc="BA8867EC" w:tentative="1">
      <w:start w:val="1"/>
      <w:numFmt w:val="bullet"/>
      <w:lvlText w:val=""/>
      <w:lvlJc w:val="left"/>
      <w:pPr>
        <w:ind w:left="2160" w:hanging="360"/>
      </w:pPr>
      <w:rPr>
        <w:rFonts w:ascii="Wingdings" w:hAnsi="Wingdings" w:hint="default"/>
      </w:rPr>
    </w:lvl>
    <w:lvl w:ilvl="3" w:tplc="461E723A" w:tentative="1">
      <w:start w:val="1"/>
      <w:numFmt w:val="bullet"/>
      <w:lvlText w:val=""/>
      <w:lvlJc w:val="left"/>
      <w:pPr>
        <w:ind w:left="2880" w:hanging="360"/>
      </w:pPr>
      <w:rPr>
        <w:rFonts w:ascii="Symbol" w:hAnsi="Symbol" w:hint="default"/>
      </w:rPr>
    </w:lvl>
    <w:lvl w:ilvl="4" w:tplc="758E5CBA" w:tentative="1">
      <w:start w:val="1"/>
      <w:numFmt w:val="bullet"/>
      <w:lvlText w:val="o"/>
      <w:lvlJc w:val="left"/>
      <w:pPr>
        <w:ind w:left="3600" w:hanging="360"/>
      </w:pPr>
      <w:rPr>
        <w:rFonts w:ascii="Courier New" w:hAnsi="Courier New" w:cs="Courier New" w:hint="default"/>
      </w:rPr>
    </w:lvl>
    <w:lvl w:ilvl="5" w:tplc="C7A499A4" w:tentative="1">
      <w:start w:val="1"/>
      <w:numFmt w:val="bullet"/>
      <w:lvlText w:val=""/>
      <w:lvlJc w:val="left"/>
      <w:pPr>
        <w:ind w:left="4320" w:hanging="360"/>
      </w:pPr>
      <w:rPr>
        <w:rFonts w:ascii="Wingdings" w:hAnsi="Wingdings" w:hint="default"/>
      </w:rPr>
    </w:lvl>
    <w:lvl w:ilvl="6" w:tplc="96E422C0" w:tentative="1">
      <w:start w:val="1"/>
      <w:numFmt w:val="bullet"/>
      <w:lvlText w:val=""/>
      <w:lvlJc w:val="left"/>
      <w:pPr>
        <w:ind w:left="5040" w:hanging="360"/>
      </w:pPr>
      <w:rPr>
        <w:rFonts w:ascii="Symbol" w:hAnsi="Symbol" w:hint="default"/>
      </w:rPr>
    </w:lvl>
    <w:lvl w:ilvl="7" w:tplc="76865018" w:tentative="1">
      <w:start w:val="1"/>
      <w:numFmt w:val="bullet"/>
      <w:lvlText w:val="o"/>
      <w:lvlJc w:val="left"/>
      <w:pPr>
        <w:ind w:left="5760" w:hanging="360"/>
      </w:pPr>
      <w:rPr>
        <w:rFonts w:ascii="Courier New" w:hAnsi="Courier New" w:cs="Courier New" w:hint="default"/>
      </w:rPr>
    </w:lvl>
    <w:lvl w:ilvl="8" w:tplc="3E06EFF8"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2FF67CE8">
      <w:start w:val="1"/>
      <w:numFmt w:val="decimal"/>
      <w:lvlText w:val="%1)"/>
      <w:lvlJc w:val="left"/>
      <w:pPr>
        <w:ind w:left="720" w:hanging="360"/>
      </w:pPr>
      <w:rPr>
        <w:rFonts w:hint="default"/>
      </w:rPr>
    </w:lvl>
    <w:lvl w:ilvl="1" w:tplc="5E4870EC" w:tentative="1">
      <w:start w:val="1"/>
      <w:numFmt w:val="lowerLetter"/>
      <w:lvlText w:val="%2."/>
      <w:lvlJc w:val="left"/>
      <w:pPr>
        <w:ind w:left="1440" w:hanging="360"/>
      </w:pPr>
    </w:lvl>
    <w:lvl w:ilvl="2" w:tplc="9AE6DE54" w:tentative="1">
      <w:start w:val="1"/>
      <w:numFmt w:val="lowerRoman"/>
      <w:lvlText w:val="%3."/>
      <w:lvlJc w:val="right"/>
      <w:pPr>
        <w:ind w:left="2160" w:hanging="180"/>
      </w:pPr>
    </w:lvl>
    <w:lvl w:ilvl="3" w:tplc="FF785BB4" w:tentative="1">
      <w:start w:val="1"/>
      <w:numFmt w:val="decimal"/>
      <w:lvlText w:val="%4."/>
      <w:lvlJc w:val="left"/>
      <w:pPr>
        <w:ind w:left="2880" w:hanging="360"/>
      </w:pPr>
    </w:lvl>
    <w:lvl w:ilvl="4" w:tplc="636804AE" w:tentative="1">
      <w:start w:val="1"/>
      <w:numFmt w:val="lowerLetter"/>
      <w:lvlText w:val="%5."/>
      <w:lvlJc w:val="left"/>
      <w:pPr>
        <w:ind w:left="3600" w:hanging="360"/>
      </w:pPr>
    </w:lvl>
    <w:lvl w:ilvl="5" w:tplc="D4B22A38" w:tentative="1">
      <w:start w:val="1"/>
      <w:numFmt w:val="lowerRoman"/>
      <w:lvlText w:val="%6."/>
      <w:lvlJc w:val="right"/>
      <w:pPr>
        <w:ind w:left="4320" w:hanging="180"/>
      </w:pPr>
    </w:lvl>
    <w:lvl w:ilvl="6" w:tplc="FE4EA510" w:tentative="1">
      <w:start w:val="1"/>
      <w:numFmt w:val="decimal"/>
      <w:lvlText w:val="%7."/>
      <w:lvlJc w:val="left"/>
      <w:pPr>
        <w:ind w:left="5040" w:hanging="360"/>
      </w:pPr>
    </w:lvl>
    <w:lvl w:ilvl="7" w:tplc="DE46B2EA" w:tentative="1">
      <w:start w:val="1"/>
      <w:numFmt w:val="lowerLetter"/>
      <w:lvlText w:val="%8."/>
      <w:lvlJc w:val="left"/>
      <w:pPr>
        <w:ind w:left="5760" w:hanging="360"/>
      </w:pPr>
    </w:lvl>
    <w:lvl w:ilvl="8" w:tplc="57AA9CD2" w:tentative="1">
      <w:start w:val="1"/>
      <w:numFmt w:val="lowerRoman"/>
      <w:lvlText w:val="%9."/>
      <w:lvlJc w:val="right"/>
      <w:pPr>
        <w:ind w:left="6480" w:hanging="180"/>
      </w:pPr>
    </w:lvl>
  </w:abstractNum>
  <w:abstractNum w:abstractNumId="15" w15:restartNumberingAfterBreak="0">
    <w:nsid w:val="437B0069"/>
    <w:multiLevelType w:val="hybridMultilevel"/>
    <w:tmpl w:val="BE5A1E30"/>
    <w:lvl w:ilvl="0" w:tplc="BA2E287A">
      <w:start w:val="1"/>
      <w:numFmt w:val="lowerLetter"/>
      <w:lvlText w:val="%1)"/>
      <w:lvlJc w:val="left"/>
      <w:pPr>
        <w:ind w:left="720" w:hanging="360"/>
      </w:pPr>
      <w:rPr>
        <w:rFonts w:hint="default"/>
      </w:rPr>
    </w:lvl>
    <w:lvl w:ilvl="1" w:tplc="1B5850DE" w:tentative="1">
      <w:start w:val="1"/>
      <w:numFmt w:val="lowerLetter"/>
      <w:lvlText w:val="%2."/>
      <w:lvlJc w:val="left"/>
      <w:pPr>
        <w:ind w:left="1440" w:hanging="360"/>
      </w:pPr>
    </w:lvl>
    <w:lvl w:ilvl="2" w:tplc="A934DFB0" w:tentative="1">
      <w:start w:val="1"/>
      <w:numFmt w:val="lowerRoman"/>
      <w:lvlText w:val="%3."/>
      <w:lvlJc w:val="right"/>
      <w:pPr>
        <w:ind w:left="2160" w:hanging="180"/>
      </w:pPr>
    </w:lvl>
    <w:lvl w:ilvl="3" w:tplc="FE56AC72" w:tentative="1">
      <w:start w:val="1"/>
      <w:numFmt w:val="decimal"/>
      <w:lvlText w:val="%4."/>
      <w:lvlJc w:val="left"/>
      <w:pPr>
        <w:ind w:left="2880" w:hanging="360"/>
      </w:pPr>
    </w:lvl>
    <w:lvl w:ilvl="4" w:tplc="00F4EB0A" w:tentative="1">
      <w:start w:val="1"/>
      <w:numFmt w:val="lowerLetter"/>
      <w:lvlText w:val="%5."/>
      <w:lvlJc w:val="left"/>
      <w:pPr>
        <w:ind w:left="3600" w:hanging="360"/>
      </w:pPr>
    </w:lvl>
    <w:lvl w:ilvl="5" w:tplc="9D30A5C6" w:tentative="1">
      <w:start w:val="1"/>
      <w:numFmt w:val="lowerRoman"/>
      <w:lvlText w:val="%6."/>
      <w:lvlJc w:val="right"/>
      <w:pPr>
        <w:ind w:left="4320" w:hanging="180"/>
      </w:pPr>
    </w:lvl>
    <w:lvl w:ilvl="6" w:tplc="444C7E40" w:tentative="1">
      <w:start w:val="1"/>
      <w:numFmt w:val="decimal"/>
      <w:lvlText w:val="%7."/>
      <w:lvlJc w:val="left"/>
      <w:pPr>
        <w:ind w:left="5040" w:hanging="360"/>
      </w:pPr>
    </w:lvl>
    <w:lvl w:ilvl="7" w:tplc="ECC84A0C" w:tentative="1">
      <w:start w:val="1"/>
      <w:numFmt w:val="lowerLetter"/>
      <w:lvlText w:val="%8."/>
      <w:lvlJc w:val="left"/>
      <w:pPr>
        <w:ind w:left="5760" w:hanging="360"/>
      </w:pPr>
    </w:lvl>
    <w:lvl w:ilvl="8" w:tplc="27A6989C" w:tentative="1">
      <w:start w:val="1"/>
      <w:numFmt w:val="lowerRoman"/>
      <w:lvlText w:val="%9."/>
      <w:lvlJc w:val="right"/>
      <w:pPr>
        <w:ind w:left="6480" w:hanging="180"/>
      </w:pPr>
    </w:lvl>
  </w:abstractNum>
  <w:abstractNum w:abstractNumId="16" w15:restartNumberingAfterBreak="0">
    <w:nsid w:val="44CB5212"/>
    <w:multiLevelType w:val="hybridMultilevel"/>
    <w:tmpl w:val="C0BC87C2"/>
    <w:lvl w:ilvl="0" w:tplc="220EBF30">
      <w:start w:val="1"/>
      <w:numFmt w:val="lowerLetter"/>
      <w:lvlText w:val="%1)"/>
      <w:lvlJc w:val="left"/>
      <w:pPr>
        <w:ind w:left="720" w:hanging="360"/>
      </w:pPr>
    </w:lvl>
    <w:lvl w:ilvl="1" w:tplc="2A8A5A0C" w:tentative="1">
      <w:start w:val="1"/>
      <w:numFmt w:val="lowerLetter"/>
      <w:lvlText w:val="%2."/>
      <w:lvlJc w:val="left"/>
      <w:pPr>
        <w:ind w:left="1440" w:hanging="360"/>
      </w:pPr>
    </w:lvl>
    <w:lvl w:ilvl="2" w:tplc="0DFA7334" w:tentative="1">
      <w:start w:val="1"/>
      <w:numFmt w:val="lowerRoman"/>
      <w:lvlText w:val="%3."/>
      <w:lvlJc w:val="right"/>
      <w:pPr>
        <w:ind w:left="2160" w:hanging="180"/>
      </w:pPr>
    </w:lvl>
    <w:lvl w:ilvl="3" w:tplc="304E65B8" w:tentative="1">
      <w:start w:val="1"/>
      <w:numFmt w:val="decimal"/>
      <w:lvlText w:val="%4."/>
      <w:lvlJc w:val="left"/>
      <w:pPr>
        <w:ind w:left="2880" w:hanging="360"/>
      </w:pPr>
    </w:lvl>
    <w:lvl w:ilvl="4" w:tplc="C8ECBB82" w:tentative="1">
      <w:start w:val="1"/>
      <w:numFmt w:val="lowerLetter"/>
      <w:lvlText w:val="%5."/>
      <w:lvlJc w:val="left"/>
      <w:pPr>
        <w:ind w:left="3600" w:hanging="360"/>
      </w:pPr>
    </w:lvl>
    <w:lvl w:ilvl="5" w:tplc="1F3A370A" w:tentative="1">
      <w:start w:val="1"/>
      <w:numFmt w:val="lowerRoman"/>
      <w:lvlText w:val="%6."/>
      <w:lvlJc w:val="right"/>
      <w:pPr>
        <w:ind w:left="4320" w:hanging="180"/>
      </w:pPr>
    </w:lvl>
    <w:lvl w:ilvl="6" w:tplc="E8D82A28" w:tentative="1">
      <w:start w:val="1"/>
      <w:numFmt w:val="decimal"/>
      <w:lvlText w:val="%7."/>
      <w:lvlJc w:val="left"/>
      <w:pPr>
        <w:ind w:left="5040" w:hanging="360"/>
      </w:pPr>
    </w:lvl>
    <w:lvl w:ilvl="7" w:tplc="8B469F0C" w:tentative="1">
      <w:start w:val="1"/>
      <w:numFmt w:val="lowerLetter"/>
      <w:lvlText w:val="%8."/>
      <w:lvlJc w:val="left"/>
      <w:pPr>
        <w:ind w:left="5760" w:hanging="360"/>
      </w:pPr>
    </w:lvl>
    <w:lvl w:ilvl="8" w:tplc="193EAAF6" w:tentative="1">
      <w:start w:val="1"/>
      <w:numFmt w:val="lowerRoman"/>
      <w:lvlText w:val="%9."/>
      <w:lvlJc w:val="right"/>
      <w:pPr>
        <w:ind w:left="6480" w:hanging="180"/>
      </w:pPr>
    </w:lvl>
  </w:abstractNum>
  <w:abstractNum w:abstractNumId="17" w15:restartNumberingAfterBreak="0">
    <w:nsid w:val="50A87BA7"/>
    <w:multiLevelType w:val="hybridMultilevel"/>
    <w:tmpl w:val="1F6A8AD4"/>
    <w:lvl w:ilvl="0" w:tplc="67463FB4">
      <w:start w:val="1"/>
      <w:numFmt w:val="bullet"/>
      <w:lvlText w:val=""/>
      <w:lvlJc w:val="left"/>
      <w:pPr>
        <w:ind w:left="340" w:hanging="227"/>
      </w:pPr>
      <w:rPr>
        <w:rFonts w:ascii="Symbol" w:hAnsi="Symbol" w:hint="default"/>
      </w:rPr>
    </w:lvl>
    <w:lvl w:ilvl="1" w:tplc="432430E2" w:tentative="1">
      <w:start w:val="1"/>
      <w:numFmt w:val="bullet"/>
      <w:lvlText w:val="o"/>
      <w:lvlJc w:val="left"/>
      <w:pPr>
        <w:ind w:left="1440" w:hanging="360"/>
      </w:pPr>
      <w:rPr>
        <w:rFonts w:ascii="Courier New" w:hAnsi="Courier New" w:cs="Courier New" w:hint="default"/>
      </w:rPr>
    </w:lvl>
    <w:lvl w:ilvl="2" w:tplc="A5260B68" w:tentative="1">
      <w:start w:val="1"/>
      <w:numFmt w:val="bullet"/>
      <w:lvlText w:val=""/>
      <w:lvlJc w:val="left"/>
      <w:pPr>
        <w:ind w:left="2160" w:hanging="360"/>
      </w:pPr>
      <w:rPr>
        <w:rFonts w:ascii="Wingdings" w:hAnsi="Wingdings" w:hint="default"/>
      </w:rPr>
    </w:lvl>
    <w:lvl w:ilvl="3" w:tplc="00EE288A" w:tentative="1">
      <w:start w:val="1"/>
      <w:numFmt w:val="bullet"/>
      <w:lvlText w:val=""/>
      <w:lvlJc w:val="left"/>
      <w:pPr>
        <w:ind w:left="2880" w:hanging="360"/>
      </w:pPr>
      <w:rPr>
        <w:rFonts w:ascii="Symbol" w:hAnsi="Symbol" w:hint="default"/>
      </w:rPr>
    </w:lvl>
    <w:lvl w:ilvl="4" w:tplc="BD668D32" w:tentative="1">
      <w:start w:val="1"/>
      <w:numFmt w:val="bullet"/>
      <w:lvlText w:val="o"/>
      <w:lvlJc w:val="left"/>
      <w:pPr>
        <w:ind w:left="3600" w:hanging="360"/>
      </w:pPr>
      <w:rPr>
        <w:rFonts w:ascii="Courier New" w:hAnsi="Courier New" w:cs="Courier New" w:hint="default"/>
      </w:rPr>
    </w:lvl>
    <w:lvl w:ilvl="5" w:tplc="4EA8D10E" w:tentative="1">
      <w:start w:val="1"/>
      <w:numFmt w:val="bullet"/>
      <w:lvlText w:val=""/>
      <w:lvlJc w:val="left"/>
      <w:pPr>
        <w:ind w:left="4320" w:hanging="360"/>
      </w:pPr>
      <w:rPr>
        <w:rFonts w:ascii="Wingdings" w:hAnsi="Wingdings" w:hint="default"/>
      </w:rPr>
    </w:lvl>
    <w:lvl w:ilvl="6" w:tplc="AAD066E8" w:tentative="1">
      <w:start w:val="1"/>
      <w:numFmt w:val="bullet"/>
      <w:lvlText w:val=""/>
      <w:lvlJc w:val="left"/>
      <w:pPr>
        <w:ind w:left="5040" w:hanging="360"/>
      </w:pPr>
      <w:rPr>
        <w:rFonts w:ascii="Symbol" w:hAnsi="Symbol" w:hint="default"/>
      </w:rPr>
    </w:lvl>
    <w:lvl w:ilvl="7" w:tplc="725CBCEA" w:tentative="1">
      <w:start w:val="1"/>
      <w:numFmt w:val="bullet"/>
      <w:lvlText w:val="o"/>
      <w:lvlJc w:val="left"/>
      <w:pPr>
        <w:ind w:left="5760" w:hanging="360"/>
      </w:pPr>
      <w:rPr>
        <w:rFonts w:ascii="Courier New" w:hAnsi="Courier New" w:cs="Courier New" w:hint="default"/>
      </w:rPr>
    </w:lvl>
    <w:lvl w:ilvl="8" w:tplc="183E6630"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8C90D9C0">
      <w:start w:val="1"/>
      <w:numFmt w:val="decimal"/>
      <w:lvlText w:val="%1)"/>
      <w:lvlJc w:val="left"/>
      <w:pPr>
        <w:ind w:left="340" w:hanging="227"/>
      </w:pPr>
      <w:rPr>
        <w:rFonts w:hint="default"/>
      </w:rPr>
    </w:lvl>
    <w:lvl w:ilvl="1" w:tplc="572EE1FC" w:tentative="1">
      <w:start w:val="1"/>
      <w:numFmt w:val="bullet"/>
      <w:lvlText w:val="o"/>
      <w:lvlJc w:val="left"/>
      <w:pPr>
        <w:ind w:left="1440" w:hanging="360"/>
      </w:pPr>
      <w:rPr>
        <w:rFonts w:ascii="Courier New" w:hAnsi="Courier New" w:cs="Courier New" w:hint="default"/>
      </w:rPr>
    </w:lvl>
    <w:lvl w:ilvl="2" w:tplc="01EE4872" w:tentative="1">
      <w:start w:val="1"/>
      <w:numFmt w:val="bullet"/>
      <w:lvlText w:val=""/>
      <w:lvlJc w:val="left"/>
      <w:pPr>
        <w:ind w:left="2160" w:hanging="360"/>
      </w:pPr>
      <w:rPr>
        <w:rFonts w:ascii="Wingdings" w:hAnsi="Wingdings" w:hint="default"/>
      </w:rPr>
    </w:lvl>
    <w:lvl w:ilvl="3" w:tplc="8ABCE684" w:tentative="1">
      <w:start w:val="1"/>
      <w:numFmt w:val="bullet"/>
      <w:lvlText w:val=""/>
      <w:lvlJc w:val="left"/>
      <w:pPr>
        <w:ind w:left="2880" w:hanging="360"/>
      </w:pPr>
      <w:rPr>
        <w:rFonts w:ascii="Symbol" w:hAnsi="Symbol" w:hint="default"/>
      </w:rPr>
    </w:lvl>
    <w:lvl w:ilvl="4" w:tplc="D26E8776" w:tentative="1">
      <w:start w:val="1"/>
      <w:numFmt w:val="bullet"/>
      <w:lvlText w:val="o"/>
      <w:lvlJc w:val="left"/>
      <w:pPr>
        <w:ind w:left="3600" w:hanging="360"/>
      </w:pPr>
      <w:rPr>
        <w:rFonts w:ascii="Courier New" w:hAnsi="Courier New" w:cs="Courier New" w:hint="default"/>
      </w:rPr>
    </w:lvl>
    <w:lvl w:ilvl="5" w:tplc="434C0806" w:tentative="1">
      <w:start w:val="1"/>
      <w:numFmt w:val="bullet"/>
      <w:lvlText w:val=""/>
      <w:lvlJc w:val="left"/>
      <w:pPr>
        <w:ind w:left="4320" w:hanging="360"/>
      </w:pPr>
      <w:rPr>
        <w:rFonts w:ascii="Wingdings" w:hAnsi="Wingdings" w:hint="default"/>
      </w:rPr>
    </w:lvl>
    <w:lvl w:ilvl="6" w:tplc="3D9C1C12" w:tentative="1">
      <w:start w:val="1"/>
      <w:numFmt w:val="bullet"/>
      <w:lvlText w:val=""/>
      <w:lvlJc w:val="left"/>
      <w:pPr>
        <w:ind w:left="5040" w:hanging="360"/>
      </w:pPr>
      <w:rPr>
        <w:rFonts w:ascii="Symbol" w:hAnsi="Symbol" w:hint="default"/>
      </w:rPr>
    </w:lvl>
    <w:lvl w:ilvl="7" w:tplc="65CCBC9A" w:tentative="1">
      <w:start w:val="1"/>
      <w:numFmt w:val="bullet"/>
      <w:lvlText w:val="o"/>
      <w:lvlJc w:val="left"/>
      <w:pPr>
        <w:ind w:left="5760" w:hanging="360"/>
      </w:pPr>
      <w:rPr>
        <w:rFonts w:ascii="Courier New" w:hAnsi="Courier New" w:cs="Courier New" w:hint="default"/>
      </w:rPr>
    </w:lvl>
    <w:lvl w:ilvl="8" w:tplc="E916785A" w:tentative="1">
      <w:start w:val="1"/>
      <w:numFmt w:val="bullet"/>
      <w:lvlText w:val=""/>
      <w:lvlJc w:val="left"/>
      <w:pPr>
        <w:ind w:left="6480" w:hanging="360"/>
      </w:pPr>
      <w:rPr>
        <w:rFonts w:ascii="Wingdings" w:hAnsi="Wingdings" w:hint="default"/>
      </w:rPr>
    </w:lvl>
  </w:abstractNum>
  <w:abstractNum w:abstractNumId="19" w15:restartNumberingAfterBreak="0">
    <w:nsid w:val="52CF16BF"/>
    <w:multiLevelType w:val="hybridMultilevel"/>
    <w:tmpl w:val="A0686714"/>
    <w:lvl w:ilvl="0" w:tplc="56461EA6">
      <w:start w:val="1"/>
      <w:numFmt w:val="bullet"/>
      <w:lvlText w:val=""/>
      <w:lvlJc w:val="left"/>
      <w:pPr>
        <w:ind w:left="720" w:hanging="360"/>
      </w:pPr>
      <w:rPr>
        <w:rFonts w:ascii="Symbol" w:hAnsi="Symbol" w:hint="default"/>
      </w:rPr>
    </w:lvl>
    <w:lvl w:ilvl="1" w:tplc="47109B7E" w:tentative="1">
      <w:start w:val="1"/>
      <w:numFmt w:val="bullet"/>
      <w:lvlText w:val="o"/>
      <w:lvlJc w:val="left"/>
      <w:pPr>
        <w:ind w:left="1440" w:hanging="360"/>
      </w:pPr>
      <w:rPr>
        <w:rFonts w:ascii="Courier New" w:hAnsi="Courier New" w:cs="Courier New" w:hint="default"/>
      </w:rPr>
    </w:lvl>
    <w:lvl w:ilvl="2" w:tplc="CC0A45DA" w:tentative="1">
      <w:start w:val="1"/>
      <w:numFmt w:val="bullet"/>
      <w:lvlText w:val=""/>
      <w:lvlJc w:val="left"/>
      <w:pPr>
        <w:ind w:left="2160" w:hanging="360"/>
      </w:pPr>
      <w:rPr>
        <w:rFonts w:ascii="Wingdings" w:hAnsi="Wingdings" w:hint="default"/>
      </w:rPr>
    </w:lvl>
    <w:lvl w:ilvl="3" w:tplc="0C2E985A" w:tentative="1">
      <w:start w:val="1"/>
      <w:numFmt w:val="bullet"/>
      <w:lvlText w:val=""/>
      <w:lvlJc w:val="left"/>
      <w:pPr>
        <w:ind w:left="2880" w:hanging="360"/>
      </w:pPr>
      <w:rPr>
        <w:rFonts w:ascii="Symbol" w:hAnsi="Symbol" w:hint="default"/>
      </w:rPr>
    </w:lvl>
    <w:lvl w:ilvl="4" w:tplc="1B9454D2" w:tentative="1">
      <w:start w:val="1"/>
      <w:numFmt w:val="bullet"/>
      <w:lvlText w:val="o"/>
      <w:lvlJc w:val="left"/>
      <w:pPr>
        <w:ind w:left="3600" w:hanging="360"/>
      </w:pPr>
      <w:rPr>
        <w:rFonts w:ascii="Courier New" w:hAnsi="Courier New" w:cs="Courier New" w:hint="default"/>
      </w:rPr>
    </w:lvl>
    <w:lvl w:ilvl="5" w:tplc="578ACA24" w:tentative="1">
      <w:start w:val="1"/>
      <w:numFmt w:val="bullet"/>
      <w:lvlText w:val=""/>
      <w:lvlJc w:val="left"/>
      <w:pPr>
        <w:ind w:left="4320" w:hanging="360"/>
      </w:pPr>
      <w:rPr>
        <w:rFonts w:ascii="Wingdings" w:hAnsi="Wingdings" w:hint="default"/>
      </w:rPr>
    </w:lvl>
    <w:lvl w:ilvl="6" w:tplc="627214D4" w:tentative="1">
      <w:start w:val="1"/>
      <w:numFmt w:val="bullet"/>
      <w:lvlText w:val=""/>
      <w:lvlJc w:val="left"/>
      <w:pPr>
        <w:ind w:left="5040" w:hanging="360"/>
      </w:pPr>
      <w:rPr>
        <w:rFonts w:ascii="Symbol" w:hAnsi="Symbol" w:hint="default"/>
      </w:rPr>
    </w:lvl>
    <w:lvl w:ilvl="7" w:tplc="616CF5D4" w:tentative="1">
      <w:start w:val="1"/>
      <w:numFmt w:val="bullet"/>
      <w:lvlText w:val="o"/>
      <w:lvlJc w:val="left"/>
      <w:pPr>
        <w:ind w:left="5760" w:hanging="360"/>
      </w:pPr>
      <w:rPr>
        <w:rFonts w:ascii="Courier New" w:hAnsi="Courier New" w:cs="Courier New" w:hint="default"/>
      </w:rPr>
    </w:lvl>
    <w:lvl w:ilvl="8" w:tplc="8D0A4FD6" w:tentative="1">
      <w:start w:val="1"/>
      <w:numFmt w:val="bullet"/>
      <w:lvlText w:val=""/>
      <w:lvlJc w:val="left"/>
      <w:pPr>
        <w:ind w:left="6480" w:hanging="360"/>
      </w:pPr>
      <w:rPr>
        <w:rFonts w:ascii="Wingdings" w:hAnsi="Wingdings" w:hint="default"/>
      </w:rPr>
    </w:lvl>
  </w:abstractNum>
  <w:abstractNum w:abstractNumId="20"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1" w15:restartNumberingAfterBreak="0">
    <w:nsid w:val="5AD311D0"/>
    <w:multiLevelType w:val="hybridMultilevel"/>
    <w:tmpl w:val="F198FF08"/>
    <w:lvl w:ilvl="0" w:tplc="DEB8EB76">
      <w:start w:val="1"/>
      <w:numFmt w:val="decimal"/>
      <w:pStyle w:val="CETnumbering1"/>
      <w:lvlText w:val="%1."/>
      <w:lvlJc w:val="left"/>
      <w:pPr>
        <w:ind w:left="720" w:hanging="360"/>
      </w:pPr>
    </w:lvl>
    <w:lvl w:ilvl="1" w:tplc="D73EDFA6" w:tentative="1">
      <w:start w:val="1"/>
      <w:numFmt w:val="lowerLetter"/>
      <w:lvlText w:val="%2."/>
      <w:lvlJc w:val="left"/>
      <w:pPr>
        <w:ind w:left="1440" w:hanging="360"/>
      </w:pPr>
    </w:lvl>
    <w:lvl w:ilvl="2" w:tplc="809AF446" w:tentative="1">
      <w:start w:val="1"/>
      <w:numFmt w:val="lowerRoman"/>
      <w:lvlText w:val="%3."/>
      <w:lvlJc w:val="right"/>
      <w:pPr>
        <w:ind w:left="2160" w:hanging="180"/>
      </w:pPr>
    </w:lvl>
    <w:lvl w:ilvl="3" w:tplc="A38E1FEE" w:tentative="1">
      <w:start w:val="1"/>
      <w:numFmt w:val="decimal"/>
      <w:lvlText w:val="%4."/>
      <w:lvlJc w:val="left"/>
      <w:pPr>
        <w:ind w:left="2880" w:hanging="360"/>
      </w:pPr>
    </w:lvl>
    <w:lvl w:ilvl="4" w:tplc="569E593E" w:tentative="1">
      <w:start w:val="1"/>
      <w:numFmt w:val="lowerLetter"/>
      <w:lvlText w:val="%5."/>
      <w:lvlJc w:val="left"/>
      <w:pPr>
        <w:ind w:left="3600" w:hanging="360"/>
      </w:pPr>
    </w:lvl>
    <w:lvl w:ilvl="5" w:tplc="0400C46A" w:tentative="1">
      <w:start w:val="1"/>
      <w:numFmt w:val="lowerRoman"/>
      <w:lvlText w:val="%6."/>
      <w:lvlJc w:val="right"/>
      <w:pPr>
        <w:ind w:left="4320" w:hanging="180"/>
      </w:pPr>
    </w:lvl>
    <w:lvl w:ilvl="6" w:tplc="90B4ED18" w:tentative="1">
      <w:start w:val="1"/>
      <w:numFmt w:val="decimal"/>
      <w:lvlText w:val="%7."/>
      <w:lvlJc w:val="left"/>
      <w:pPr>
        <w:ind w:left="5040" w:hanging="360"/>
      </w:pPr>
    </w:lvl>
    <w:lvl w:ilvl="7" w:tplc="619041C8" w:tentative="1">
      <w:start w:val="1"/>
      <w:numFmt w:val="lowerLetter"/>
      <w:lvlText w:val="%8."/>
      <w:lvlJc w:val="left"/>
      <w:pPr>
        <w:ind w:left="5760" w:hanging="360"/>
      </w:pPr>
    </w:lvl>
    <w:lvl w:ilvl="8" w:tplc="214EF8B6" w:tentative="1">
      <w:start w:val="1"/>
      <w:numFmt w:val="lowerRoman"/>
      <w:lvlText w:val="%9."/>
      <w:lvlJc w:val="right"/>
      <w:pPr>
        <w:ind w:left="6480" w:hanging="180"/>
      </w:pPr>
    </w:lvl>
  </w:abstractNum>
  <w:abstractNum w:abstractNumId="22" w15:restartNumberingAfterBreak="0">
    <w:nsid w:val="662015B5"/>
    <w:multiLevelType w:val="hybridMultilevel"/>
    <w:tmpl w:val="CCDE094E"/>
    <w:lvl w:ilvl="0" w:tplc="B08C66E2">
      <w:start w:val="1"/>
      <w:numFmt w:val="bullet"/>
      <w:lvlText w:val=""/>
      <w:lvlJc w:val="left"/>
      <w:pPr>
        <w:ind w:left="720" w:hanging="360"/>
      </w:pPr>
      <w:rPr>
        <w:rFonts w:ascii="Symbol" w:hAnsi="Symbol" w:hint="default"/>
      </w:rPr>
    </w:lvl>
    <w:lvl w:ilvl="1" w:tplc="86CA981A" w:tentative="1">
      <w:start w:val="1"/>
      <w:numFmt w:val="bullet"/>
      <w:lvlText w:val="o"/>
      <w:lvlJc w:val="left"/>
      <w:pPr>
        <w:ind w:left="1440" w:hanging="360"/>
      </w:pPr>
      <w:rPr>
        <w:rFonts w:ascii="Courier New" w:hAnsi="Courier New" w:cs="Courier New" w:hint="default"/>
      </w:rPr>
    </w:lvl>
    <w:lvl w:ilvl="2" w:tplc="B804197A" w:tentative="1">
      <w:start w:val="1"/>
      <w:numFmt w:val="bullet"/>
      <w:lvlText w:val=""/>
      <w:lvlJc w:val="left"/>
      <w:pPr>
        <w:ind w:left="2160" w:hanging="360"/>
      </w:pPr>
      <w:rPr>
        <w:rFonts w:ascii="Wingdings" w:hAnsi="Wingdings" w:hint="default"/>
      </w:rPr>
    </w:lvl>
    <w:lvl w:ilvl="3" w:tplc="D692194E" w:tentative="1">
      <w:start w:val="1"/>
      <w:numFmt w:val="bullet"/>
      <w:lvlText w:val=""/>
      <w:lvlJc w:val="left"/>
      <w:pPr>
        <w:ind w:left="2880" w:hanging="360"/>
      </w:pPr>
      <w:rPr>
        <w:rFonts w:ascii="Symbol" w:hAnsi="Symbol" w:hint="default"/>
      </w:rPr>
    </w:lvl>
    <w:lvl w:ilvl="4" w:tplc="4A0C0D8E" w:tentative="1">
      <w:start w:val="1"/>
      <w:numFmt w:val="bullet"/>
      <w:lvlText w:val="o"/>
      <w:lvlJc w:val="left"/>
      <w:pPr>
        <w:ind w:left="3600" w:hanging="360"/>
      </w:pPr>
      <w:rPr>
        <w:rFonts w:ascii="Courier New" w:hAnsi="Courier New" w:cs="Courier New" w:hint="default"/>
      </w:rPr>
    </w:lvl>
    <w:lvl w:ilvl="5" w:tplc="47D64226" w:tentative="1">
      <w:start w:val="1"/>
      <w:numFmt w:val="bullet"/>
      <w:lvlText w:val=""/>
      <w:lvlJc w:val="left"/>
      <w:pPr>
        <w:ind w:left="4320" w:hanging="360"/>
      </w:pPr>
      <w:rPr>
        <w:rFonts w:ascii="Wingdings" w:hAnsi="Wingdings" w:hint="default"/>
      </w:rPr>
    </w:lvl>
    <w:lvl w:ilvl="6" w:tplc="40F4291E" w:tentative="1">
      <w:start w:val="1"/>
      <w:numFmt w:val="bullet"/>
      <w:lvlText w:val=""/>
      <w:lvlJc w:val="left"/>
      <w:pPr>
        <w:ind w:left="5040" w:hanging="360"/>
      </w:pPr>
      <w:rPr>
        <w:rFonts w:ascii="Symbol" w:hAnsi="Symbol" w:hint="default"/>
      </w:rPr>
    </w:lvl>
    <w:lvl w:ilvl="7" w:tplc="B7303EBC" w:tentative="1">
      <w:start w:val="1"/>
      <w:numFmt w:val="bullet"/>
      <w:lvlText w:val="o"/>
      <w:lvlJc w:val="left"/>
      <w:pPr>
        <w:ind w:left="5760" w:hanging="360"/>
      </w:pPr>
      <w:rPr>
        <w:rFonts w:ascii="Courier New" w:hAnsi="Courier New" w:cs="Courier New" w:hint="default"/>
      </w:rPr>
    </w:lvl>
    <w:lvl w:ilvl="8" w:tplc="32D6B27A" w:tentative="1">
      <w:start w:val="1"/>
      <w:numFmt w:val="bullet"/>
      <w:lvlText w:val=""/>
      <w:lvlJc w:val="left"/>
      <w:pPr>
        <w:ind w:left="6480" w:hanging="360"/>
      </w:pPr>
      <w:rPr>
        <w:rFonts w:ascii="Wingdings" w:hAnsi="Wingdings" w:hint="default"/>
      </w:rPr>
    </w:lvl>
  </w:abstractNum>
  <w:abstractNum w:abstractNumId="23" w15:restartNumberingAfterBreak="0">
    <w:nsid w:val="6865266D"/>
    <w:multiLevelType w:val="hybridMultilevel"/>
    <w:tmpl w:val="F5BE3C4A"/>
    <w:lvl w:ilvl="0" w:tplc="D94E3B24">
      <w:start w:val="1"/>
      <w:numFmt w:val="lowerLetter"/>
      <w:pStyle w:val="CETnumberinga"/>
      <w:lvlText w:val="%1."/>
      <w:lvlJc w:val="left"/>
      <w:pPr>
        <w:ind w:left="340" w:hanging="227"/>
      </w:pPr>
      <w:rPr>
        <w:rFonts w:hint="default"/>
      </w:rPr>
    </w:lvl>
    <w:lvl w:ilvl="1" w:tplc="39CA80E0" w:tentative="1">
      <w:start w:val="1"/>
      <w:numFmt w:val="bullet"/>
      <w:lvlText w:val="o"/>
      <w:lvlJc w:val="left"/>
      <w:pPr>
        <w:ind w:left="1440" w:hanging="360"/>
      </w:pPr>
      <w:rPr>
        <w:rFonts w:ascii="Courier New" w:hAnsi="Courier New" w:cs="Courier New" w:hint="default"/>
      </w:rPr>
    </w:lvl>
    <w:lvl w:ilvl="2" w:tplc="9B023AB0" w:tentative="1">
      <w:start w:val="1"/>
      <w:numFmt w:val="bullet"/>
      <w:lvlText w:val=""/>
      <w:lvlJc w:val="left"/>
      <w:pPr>
        <w:ind w:left="2160" w:hanging="360"/>
      </w:pPr>
      <w:rPr>
        <w:rFonts w:ascii="Wingdings" w:hAnsi="Wingdings" w:hint="default"/>
      </w:rPr>
    </w:lvl>
    <w:lvl w:ilvl="3" w:tplc="0130D1D4" w:tentative="1">
      <w:start w:val="1"/>
      <w:numFmt w:val="bullet"/>
      <w:lvlText w:val=""/>
      <w:lvlJc w:val="left"/>
      <w:pPr>
        <w:ind w:left="2880" w:hanging="360"/>
      </w:pPr>
      <w:rPr>
        <w:rFonts w:ascii="Symbol" w:hAnsi="Symbol" w:hint="default"/>
      </w:rPr>
    </w:lvl>
    <w:lvl w:ilvl="4" w:tplc="33663634" w:tentative="1">
      <w:start w:val="1"/>
      <w:numFmt w:val="bullet"/>
      <w:lvlText w:val="o"/>
      <w:lvlJc w:val="left"/>
      <w:pPr>
        <w:ind w:left="3600" w:hanging="360"/>
      </w:pPr>
      <w:rPr>
        <w:rFonts w:ascii="Courier New" w:hAnsi="Courier New" w:cs="Courier New" w:hint="default"/>
      </w:rPr>
    </w:lvl>
    <w:lvl w:ilvl="5" w:tplc="CFC659A2" w:tentative="1">
      <w:start w:val="1"/>
      <w:numFmt w:val="bullet"/>
      <w:lvlText w:val=""/>
      <w:lvlJc w:val="left"/>
      <w:pPr>
        <w:ind w:left="4320" w:hanging="360"/>
      </w:pPr>
      <w:rPr>
        <w:rFonts w:ascii="Wingdings" w:hAnsi="Wingdings" w:hint="default"/>
      </w:rPr>
    </w:lvl>
    <w:lvl w:ilvl="6" w:tplc="119E210E" w:tentative="1">
      <w:start w:val="1"/>
      <w:numFmt w:val="bullet"/>
      <w:lvlText w:val=""/>
      <w:lvlJc w:val="left"/>
      <w:pPr>
        <w:ind w:left="5040" w:hanging="360"/>
      </w:pPr>
      <w:rPr>
        <w:rFonts w:ascii="Symbol" w:hAnsi="Symbol" w:hint="default"/>
      </w:rPr>
    </w:lvl>
    <w:lvl w:ilvl="7" w:tplc="84285FD8" w:tentative="1">
      <w:start w:val="1"/>
      <w:numFmt w:val="bullet"/>
      <w:lvlText w:val="o"/>
      <w:lvlJc w:val="left"/>
      <w:pPr>
        <w:ind w:left="5760" w:hanging="360"/>
      </w:pPr>
      <w:rPr>
        <w:rFonts w:ascii="Courier New" w:hAnsi="Courier New" w:cs="Courier New" w:hint="default"/>
      </w:rPr>
    </w:lvl>
    <w:lvl w:ilvl="8" w:tplc="4E7202E8" w:tentative="1">
      <w:start w:val="1"/>
      <w:numFmt w:val="bullet"/>
      <w:lvlText w:val=""/>
      <w:lvlJc w:val="left"/>
      <w:pPr>
        <w:ind w:left="6480" w:hanging="360"/>
      </w:pPr>
      <w:rPr>
        <w:rFonts w:ascii="Wingdings" w:hAnsi="Wingdings" w:hint="default"/>
      </w:rPr>
    </w:lvl>
  </w:abstractNum>
  <w:abstractNum w:abstractNumId="24" w15:restartNumberingAfterBreak="0">
    <w:nsid w:val="6EC82D69"/>
    <w:multiLevelType w:val="hybridMultilevel"/>
    <w:tmpl w:val="C83073BE"/>
    <w:lvl w:ilvl="0" w:tplc="3064C44A">
      <w:start w:val="1"/>
      <w:numFmt w:val="bullet"/>
      <w:lvlText w:val=""/>
      <w:lvlJc w:val="left"/>
      <w:pPr>
        <w:ind w:left="720" w:hanging="360"/>
      </w:pPr>
      <w:rPr>
        <w:rFonts w:ascii="Symbol" w:hAnsi="Symbol" w:hint="default"/>
      </w:rPr>
    </w:lvl>
    <w:lvl w:ilvl="1" w:tplc="F2821F4E" w:tentative="1">
      <w:start w:val="1"/>
      <w:numFmt w:val="bullet"/>
      <w:lvlText w:val="o"/>
      <w:lvlJc w:val="left"/>
      <w:pPr>
        <w:ind w:left="1440" w:hanging="360"/>
      </w:pPr>
      <w:rPr>
        <w:rFonts w:ascii="Courier New" w:hAnsi="Courier New" w:cs="Courier New" w:hint="default"/>
      </w:rPr>
    </w:lvl>
    <w:lvl w:ilvl="2" w:tplc="4C6C24C6" w:tentative="1">
      <w:start w:val="1"/>
      <w:numFmt w:val="bullet"/>
      <w:lvlText w:val=""/>
      <w:lvlJc w:val="left"/>
      <w:pPr>
        <w:ind w:left="2160" w:hanging="360"/>
      </w:pPr>
      <w:rPr>
        <w:rFonts w:ascii="Wingdings" w:hAnsi="Wingdings" w:hint="default"/>
      </w:rPr>
    </w:lvl>
    <w:lvl w:ilvl="3" w:tplc="3410B7BA" w:tentative="1">
      <w:start w:val="1"/>
      <w:numFmt w:val="bullet"/>
      <w:lvlText w:val=""/>
      <w:lvlJc w:val="left"/>
      <w:pPr>
        <w:ind w:left="2880" w:hanging="360"/>
      </w:pPr>
      <w:rPr>
        <w:rFonts w:ascii="Symbol" w:hAnsi="Symbol" w:hint="default"/>
      </w:rPr>
    </w:lvl>
    <w:lvl w:ilvl="4" w:tplc="136EC22A" w:tentative="1">
      <w:start w:val="1"/>
      <w:numFmt w:val="bullet"/>
      <w:lvlText w:val="o"/>
      <w:lvlJc w:val="left"/>
      <w:pPr>
        <w:ind w:left="3600" w:hanging="360"/>
      </w:pPr>
      <w:rPr>
        <w:rFonts w:ascii="Courier New" w:hAnsi="Courier New" w:cs="Courier New" w:hint="default"/>
      </w:rPr>
    </w:lvl>
    <w:lvl w:ilvl="5" w:tplc="57C48C30" w:tentative="1">
      <w:start w:val="1"/>
      <w:numFmt w:val="bullet"/>
      <w:lvlText w:val=""/>
      <w:lvlJc w:val="left"/>
      <w:pPr>
        <w:ind w:left="4320" w:hanging="360"/>
      </w:pPr>
      <w:rPr>
        <w:rFonts w:ascii="Wingdings" w:hAnsi="Wingdings" w:hint="default"/>
      </w:rPr>
    </w:lvl>
    <w:lvl w:ilvl="6" w:tplc="7B060954" w:tentative="1">
      <w:start w:val="1"/>
      <w:numFmt w:val="bullet"/>
      <w:lvlText w:val=""/>
      <w:lvlJc w:val="left"/>
      <w:pPr>
        <w:ind w:left="5040" w:hanging="360"/>
      </w:pPr>
      <w:rPr>
        <w:rFonts w:ascii="Symbol" w:hAnsi="Symbol" w:hint="default"/>
      </w:rPr>
    </w:lvl>
    <w:lvl w:ilvl="7" w:tplc="20D4EAF6" w:tentative="1">
      <w:start w:val="1"/>
      <w:numFmt w:val="bullet"/>
      <w:lvlText w:val="o"/>
      <w:lvlJc w:val="left"/>
      <w:pPr>
        <w:ind w:left="5760" w:hanging="360"/>
      </w:pPr>
      <w:rPr>
        <w:rFonts w:ascii="Courier New" w:hAnsi="Courier New" w:cs="Courier New" w:hint="default"/>
      </w:rPr>
    </w:lvl>
    <w:lvl w:ilvl="8" w:tplc="6650674C" w:tentative="1">
      <w:start w:val="1"/>
      <w:numFmt w:val="bullet"/>
      <w:lvlText w:val=""/>
      <w:lvlJc w:val="left"/>
      <w:pPr>
        <w:ind w:left="6480" w:hanging="360"/>
      </w:pPr>
      <w:rPr>
        <w:rFonts w:ascii="Wingdings" w:hAnsi="Wingdings" w:hint="default"/>
      </w:rPr>
    </w:lvl>
  </w:abstractNum>
  <w:abstractNum w:abstractNumId="25" w15:restartNumberingAfterBreak="0">
    <w:nsid w:val="722A096B"/>
    <w:multiLevelType w:val="hybridMultilevel"/>
    <w:tmpl w:val="A2EA92A6"/>
    <w:lvl w:ilvl="0" w:tplc="0B8EBA4A">
      <w:start w:val="1"/>
      <w:numFmt w:val="lowerLetter"/>
      <w:lvlText w:val="%1)"/>
      <w:lvlJc w:val="left"/>
      <w:pPr>
        <w:ind w:left="720" w:hanging="360"/>
      </w:pPr>
    </w:lvl>
    <w:lvl w:ilvl="1" w:tplc="56D48184" w:tentative="1">
      <w:start w:val="1"/>
      <w:numFmt w:val="lowerLetter"/>
      <w:lvlText w:val="%2."/>
      <w:lvlJc w:val="left"/>
      <w:pPr>
        <w:ind w:left="1440" w:hanging="360"/>
      </w:pPr>
    </w:lvl>
    <w:lvl w:ilvl="2" w:tplc="41EEB718" w:tentative="1">
      <w:start w:val="1"/>
      <w:numFmt w:val="lowerRoman"/>
      <w:lvlText w:val="%3."/>
      <w:lvlJc w:val="right"/>
      <w:pPr>
        <w:ind w:left="2160" w:hanging="180"/>
      </w:pPr>
    </w:lvl>
    <w:lvl w:ilvl="3" w:tplc="AC92EC44" w:tentative="1">
      <w:start w:val="1"/>
      <w:numFmt w:val="decimal"/>
      <w:lvlText w:val="%4."/>
      <w:lvlJc w:val="left"/>
      <w:pPr>
        <w:ind w:left="2880" w:hanging="360"/>
      </w:pPr>
    </w:lvl>
    <w:lvl w:ilvl="4" w:tplc="A18AC95A" w:tentative="1">
      <w:start w:val="1"/>
      <w:numFmt w:val="lowerLetter"/>
      <w:lvlText w:val="%5."/>
      <w:lvlJc w:val="left"/>
      <w:pPr>
        <w:ind w:left="3600" w:hanging="360"/>
      </w:pPr>
    </w:lvl>
    <w:lvl w:ilvl="5" w:tplc="2EAC06E8" w:tentative="1">
      <w:start w:val="1"/>
      <w:numFmt w:val="lowerRoman"/>
      <w:lvlText w:val="%6."/>
      <w:lvlJc w:val="right"/>
      <w:pPr>
        <w:ind w:left="4320" w:hanging="180"/>
      </w:pPr>
    </w:lvl>
    <w:lvl w:ilvl="6" w:tplc="2FC4F742" w:tentative="1">
      <w:start w:val="1"/>
      <w:numFmt w:val="decimal"/>
      <w:lvlText w:val="%7."/>
      <w:lvlJc w:val="left"/>
      <w:pPr>
        <w:ind w:left="5040" w:hanging="360"/>
      </w:pPr>
    </w:lvl>
    <w:lvl w:ilvl="7" w:tplc="535C68C2" w:tentative="1">
      <w:start w:val="1"/>
      <w:numFmt w:val="lowerLetter"/>
      <w:lvlText w:val="%8."/>
      <w:lvlJc w:val="left"/>
      <w:pPr>
        <w:ind w:left="5760" w:hanging="360"/>
      </w:pPr>
    </w:lvl>
    <w:lvl w:ilvl="8" w:tplc="4AE48148" w:tentative="1">
      <w:start w:val="1"/>
      <w:numFmt w:val="lowerRoman"/>
      <w:lvlText w:val="%9."/>
      <w:lvlJc w:val="right"/>
      <w:pPr>
        <w:ind w:left="6480" w:hanging="180"/>
      </w:pPr>
    </w:lvl>
  </w:abstractNum>
  <w:abstractNum w:abstractNumId="26" w15:restartNumberingAfterBreak="0">
    <w:nsid w:val="74C623BF"/>
    <w:multiLevelType w:val="hybridMultilevel"/>
    <w:tmpl w:val="117AE6EA"/>
    <w:lvl w:ilvl="0" w:tplc="D34A5842">
      <w:start w:val="1"/>
      <w:numFmt w:val="bullet"/>
      <w:lvlText w:val=""/>
      <w:lvlJc w:val="left"/>
      <w:pPr>
        <w:ind w:left="3338" w:hanging="360"/>
      </w:pPr>
      <w:rPr>
        <w:rFonts w:ascii="Symbol" w:hAnsi="Symbol" w:hint="default"/>
      </w:rPr>
    </w:lvl>
    <w:lvl w:ilvl="1" w:tplc="384C3CC0" w:tentative="1">
      <w:start w:val="1"/>
      <w:numFmt w:val="bullet"/>
      <w:lvlText w:val="o"/>
      <w:lvlJc w:val="left"/>
      <w:pPr>
        <w:ind w:left="4058" w:hanging="360"/>
      </w:pPr>
      <w:rPr>
        <w:rFonts w:ascii="Courier New" w:hAnsi="Courier New" w:cs="Courier New" w:hint="default"/>
      </w:rPr>
    </w:lvl>
    <w:lvl w:ilvl="2" w:tplc="0980AF6E" w:tentative="1">
      <w:start w:val="1"/>
      <w:numFmt w:val="bullet"/>
      <w:lvlText w:val=""/>
      <w:lvlJc w:val="left"/>
      <w:pPr>
        <w:ind w:left="4778" w:hanging="360"/>
      </w:pPr>
      <w:rPr>
        <w:rFonts w:ascii="Wingdings" w:hAnsi="Wingdings" w:hint="default"/>
      </w:rPr>
    </w:lvl>
    <w:lvl w:ilvl="3" w:tplc="A09610C4" w:tentative="1">
      <w:start w:val="1"/>
      <w:numFmt w:val="bullet"/>
      <w:lvlText w:val=""/>
      <w:lvlJc w:val="left"/>
      <w:pPr>
        <w:ind w:left="5498" w:hanging="360"/>
      </w:pPr>
      <w:rPr>
        <w:rFonts w:ascii="Symbol" w:hAnsi="Symbol" w:hint="default"/>
      </w:rPr>
    </w:lvl>
    <w:lvl w:ilvl="4" w:tplc="6F98848C" w:tentative="1">
      <w:start w:val="1"/>
      <w:numFmt w:val="bullet"/>
      <w:lvlText w:val="o"/>
      <w:lvlJc w:val="left"/>
      <w:pPr>
        <w:ind w:left="6218" w:hanging="360"/>
      </w:pPr>
      <w:rPr>
        <w:rFonts w:ascii="Courier New" w:hAnsi="Courier New" w:cs="Courier New" w:hint="default"/>
      </w:rPr>
    </w:lvl>
    <w:lvl w:ilvl="5" w:tplc="75ACC220" w:tentative="1">
      <w:start w:val="1"/>
      <w:numFmt w:val="bullet"/>
      <w:lvlText w:val=""/>
      <w:lvlJc w:val="left"/>
      <w:pPr>
        <w:ind w:left="6938" w:hanging="360"/>
      </w:pPr>
      <w:rPr>
        <w:rFonts w:ascii="Wingdings" w:hAnsi="Wingdings" w:hint="default"/>
      </w:rPr>
    </w:lvl>
    <w:lvl w:ilvl="6" w:tplc="E07A4342" w:tentative="1">
      <w:start w:val="1"/>
      <w:numFmt w:val="bullet"/>
      <w:lvlText w:val=""/>
      <w:lvlJc w:val="left"/>
      <w:pPr>
        <w:ind w:left="7658" w:hanging="360"/>
      </w:pPr>
      <w:rPr>
        <w:rFonts w:ascii="Symbol" w:hAnsi="Symbol" w:hint="default"/>
      </w:rPr>
    </w:lvl>
    <w:lvl w:ilvl="7" w:tplc="C9FA03BC" w:tentative="1">
      <w:start w:val="1"/>
      <w:numFmt w:val="bullet"/>
      <w:lvlText w:val="o"/>
      <w:lvlJc w:val="left"/>
      <w:pPr>
        <w:ind w:left="8378" w:hanging="360"/>
      </w:pPr>
      <w:rPr>
        <w:rFonts w:ascii="Courier New" w:hAnsi="Courier New" w:cs="Courier New" w:hint="default"/>
      </w:rPr>
    </w:lvl>
    <w:lvl w:ilvl="8" w:tplc="ACEC7F84" w:tentative="1">
      <w:start w:val="1"/>
      <w:numFmt w:val="bullet"/>
      <w:lvlText w:val=""/>
      <w:lvlJc w:val="left"/>
      <w:pPr>
        <w:ind w:left="9098"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0"/>
  </w:num>
  <w:num w:numId="13">
    <w:abstractNumId w:val="12"/>
  </w:num>
  <w:num w:numId="14">
    <w:abstractNumId w:val="21"/>
  </w:num>
  <w:num w:numId="15">
    <w:abstractNumId w:val="23"/>
  </w:num>
  <w:num w:numId="16">
    <w:abstractNumId w:val="22"/>
  </w:num>
  <w:num w:numId="17">
    <w:abstractNumId w:val="11"/>
  </w:num>
  <w:num w:numId="18">
    <w:abstractNumId w:val="12"/>
    <w:lvlOverride w:ilvl="0">
      <w:startOverride w:val="1"/>
    </w:lvlOverride>
  </w:num>
  <w:num w:numId="19">
    <w:abstractNumId w:val="18"/>
  </w:num>
  <w:num w:numId="20">
    <w:abstractNumId w:val="17"/>
  </w:num>
  <w:num w:numId="21">
    <w:abstractNumId w:val="14"/>
  </w:num>
  <w:num w:numId="22">
    <w:abstractNumId w:val="13"/>
  </w:num>
  <w:num w:numId="23">
    <w:abstractNumId w:val="19"/>
  </w:num>
  <w:num w:numId="24">
    <w:abstractNumId w:val="25"/>
  </w:num>
  <w:num w:numId="25">
    <w:abstractNumId w:val="16"/>
  </w:num>
  <w:num w:numId="26">
    <w:abstractNumId w:val="26"/>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117CB"/>
    <w:rsid w:val="00021050"/>
    <w:rsid w:val="000256A6"/>
    <w:rsid w:val="00027CF5"/>
    <w:rsid w:val="0003148D"/>
    <w:rsid w:val="00031EEC"/>
    <w:rsid w:val="00033965"/>
    <w:rsid w:val="00040CE9"/>
    <w:rsid w:val="00051566"/>
    <w:rsid w:val="00054AD6"/>
    <w:rsid w:val="000562A9"/>
    <w:rsid w:val="00062A9A"/>
    <w:rsid w:val="00065058"/>
    <w:rsid w:val="000760CB"/>
    <w:rsid w:val="00086C39"/>
    <w:rsid w:val="00087A63"/>
    <w:rsid w:val="00090E58"/>
    <w:rsid w:val="000A03B2"/>
    <w:rsid w:val="000B25E2"/>
    <w:rsid w:val="000B74B6"/>
    <w:rsid w:val="000C4F63"/>
    <w:rsid w:val="000D0268"/>
    <w:rsid w:val="000D34BE"/>
    <w:rsid w:val="000E102F"/>
    <w:rsid w:val="000E2DEF"/>
    <w:rsid w:val="000E36F1"/>
    <w:rsid w:val="000E3A73"/>
    <w:rsid w:val="000E414A"/>
    <w:rsid w:val="000F07FB"/>
    <w:rsid w:val="000F093C"/>
    <w:rsid w:val="000F1E00"/>
    <w:rsid w:val="000F60B0"/>
    <w:rsid w:val="000F787B"/>
    <w:rsid w:val="001118DF"/>
    <w:rsid w:val="001208E5"/>
    <w:rsid w:val="0012091F"/>
    <w:rsid w:val="00126BC2"/>
    <w:rsid w:val="001304A9"/>
    <w:rsid w:val="001308B6"/>
    <w:rsid w:val="0013121F"/>
    <w:rsid w:val="00131FE6"/>
    <w:rsid w:val="0013263F"/>
    <w:rsid w:val="001331DF"/>
    <w:rsid w:val="00134DE4"/>
    <w:rsid w:val="0014034D"/>
    <w:rsid w:val="0014074D"/>
    <w:rsid w:val="00144D16"/>
    <w:rsid w:val="00146A67"/>
    <w:rsid w:val="00150E59"/>
    <w:rsid w:val="00152DE3"/>
    <w:rsid w:val="001617E3"/>
    <w:rsid w:val="00164CF9"/>
    <w:rsid w:val="001667A6"/>
    <w:rsid w:val="001670DC"/>
    <w:rsid w:val="00171152"/>
    <w:rsid w:val="00184AD6"/>
    <w:rsid w:val="00185ED9"/>
    <w:rsid w:val="00197B10"/>
    <w:rsid w:val="001A1E7B"/>
    <w:rsid w:val="001A4AF7"/>
    <w:rsid w:val="001B0349"/>
    <w:rsid w:val="001B1E93"/>
    <w:rsid w:val="001B65C1"/>
    <w:rsid w:val="001C35BB"/>
    <w:rsid w:val="001C59F5"/>
    <w:rsid w:val="001C684B"/>
    <w:rsid w:val="001D0CFB"/>
    <w:rsid w:val="001D21AF"/>
    <w:rsid w:val="001D3E40"/>
    <w:rsid w:val="001D53FC"/>
    <w:rsid w:val="001E2799"/>
    <w:rsid w:val="001E6B42"/>
    <w:rsid w:val="001F42A5"/>
    <w:rsid w:val="001F7B9D"/>
    <w:rsid w:val="00201C93"/>
    <w:rsid w:val="00202099"/>
    <w:rsid w:val="0020555A"/>
    <w:rsid w:val="00207EFF"/>
    <w:rsid w:val="002105EF"/>
    <w:rsid w:val="0021310F"/>
    <w:rsid w:val="0021610F"/>
    <w:rsid w:val="002224B4"/>
    <w:rsid w:val="00223781"/>
    <w:rsid w:val="0023116C"/>
    <w:rsid w:val="002447EF"/>
    <w:rsid w:val="00245321"/>
    <w:rsid w:val="00251550"/>
    <w:rsid w:val="00251AE1"/>
    <w:rsid w:val="002576F3"/>
    <w:rsid w:val="00263643"/>
    <w:rsid w:val="00263B05"/>
    <w:rsid w:val="002643D6"/>
    <w:rsid w:val="0027221A"/>
    <w:rsid w:val="00275B61"/>
    <w:rsid w:val="00277CD7"/>
    <w:rsid w:val="00280FAF"/>
    <w:rsid w:val="00282656"/>
    <w:rsid w:val="00286196"/>
    <w:rsid w:val="00291BD3"/>
    <w:rsid w:val="00293D18"/>
    <w:rsid w:val="002940D8"/>
    <w:rsid w:val="0029550D"/>
    <w:rsid w:val="00296B83"/>
    <w:rsid w:val="002B4015"/>
    <w:rsid w:val="002B78CE"/>
    <w:rsid w:val="002C25E8"/>
    <w:rsid w:val="002C2C10"/>
    <w:rsid w:val="002C2FB6"/>
    <w:rsid w:val="002D5567"/>
    <w:rsid w:val="002E2D13"/>
    <w:rsid w:val="002E42B2"/>
    <w:rsid w:val="002E5FA7"/>
    <w:rsid w:val="002F3309"/>
    <w:rsid w:val="002F34C2"/>
    <w:rsid w:val="002F47D6"/>
    <w:rsid w:val="003008CE"/>
    <w:rsid w:val="003009B7"/>
    <w:rsid w:val="00300E56"/>
    <w:rsid w:val="00301047"/>
    <w:rsid w:val="0030152C"/>
    <w:rsid w:val="0030469C"/>
    <w:rsid w:val="00316A41"/>
    <w:rsid w:val="00317564"/>
    <w:rsid w:val="00321CA6"/>
    <w:rsid w:val="00323763"/>
    <w:rsid w:val="003239DB"/>
    <w:rsid w:val="00323C5F"/>
    <w:rsid w:val="00334C09"/>
    <w:rsid w:val="0034750E"/>
    <w:rsid w:val="0035448E"/>
    <w:rsid w:val="003650A3"/>
    <w:rsid w:val="003723D4"/>
    <w:rsid w:val="00381905"/>
    <w:rsid w:val="0038360F"/>
    <w:rsid w:val="00384CC8"/>
    <w:rsid w:val="003871FD"/>
    <w:rsid w:val="003912C2"/>
    <w:rsid w:val="003A1E30"/>
    <w:rsid w:val="003A2829"/>
    <w:rsid w:val="003A4746"/>
    <w:rsid w:val="003A7D1C"/>
    <w:rsid w:val="003B304B"/>
    <w:rsid w:val="003B3146"/>
    <w:rsid w:val="003B56B5"/>
    <w:rsid w:val="003B6971"/>
    <w:rsid w:val="003C1D54"/>
    <w:rsid w:val="003E4ACD"/>
    <w:rsid w:val="003F015E"/>
    <w:rsid w:val="00400414"/>
    <w:rsid w:val="0041446B"/>
    <w:rsid w:val="0042069D"/>
    <w:rsid w:val="0044071E"/>
    <w:rsid w:val="0044329C"/>
    <w:rsid w:val="004477D3"/>
    <w:rsid w:val="00452053"/>
    <w:rsid w:val="00453E24"/>
    <w:rsid w:val="00457362"/>
    <w:rsid w:val="00457456"/>
    <w:rsid w:val="004577FE"/>
    <w:rsid w:val="00457B9C"/>
    <w:rsid w:val="0046164A"/>
    <w:rsid w:val="004628D2"/>
    <w:rsid w:val="00462DCD"/>
    <w:rsid w:val="004648AD"/>
    <w:rsid w:val="00464DD4"/>
    <w:rsid w:val="004703A9"/>
    <w:rsid w:val="004760DE"/>
    <w:rsid w:val="004763D7"/>
    <w:rsid w:val="00481F99"/>
    <w:rsid w:val="004825B7"/>
    <w:rsid w:val="00483938"/>
    <w:rsid w:val="0048512B"/>
    <w:rsid w:val="00494437"/>
    <w:rsid w:val="00495517"/>
    <w:rsid w:val="004A004E"/>
    <w:rsid w:val="004A24CF"/>
    <w:rsid w:val="004A4039"/>
    <w:rsid w:val="004A6826"/>
    <w:rsid w:val="004B024A"/>
    <w:rsid w:val="004C3D1D"/>
    <w:rsid w:val="004C3D84"/>
    <w:rsid w:val="004C7913"/>
    <w:rsid w:val="004E4DD6"/>
    <w:rsid w:val="004E5AA9"/>
    <w:rsid w:val="004F5E36"/>
    <w:rsid w:val="00505CAE"/>
    <w:rsid w:val="005067E3"/>
    <w:rsid w:val="00507B47"/>
    <w:rsid w:val="00507BEF"/>
    <w:rsid w:val="00507CC9"/>
    <w:rsid w:val="00510631"/>
    <w:rsid w:val="005119A5"/>
    <w:rsid w:val="005128D1"/>
    <w:rsid w:val="00521913"/>
    <w:rsid w:val="00523896"/>
    <w:rsid w:val="005278B7"/>
    <w:rsid w:val="00532016"/>
    <w:rsid w:val="005346C8"/>
    <w:rsid w:val="00543E7D"/>
    <w:rsid w:val="005471A0"/>
    <w:rsid w:val="00547A68"/>
    <w:rsid w:val="00550B77"/>
    <w:rsid w:val="005531C9"/>
    <w:rsid w:val="00554913"/>
    <w:rsid w:val="005620FF"/>
    <w:rsid w:val="005629D4"/>
    <w:rsid w:val="00570C43"/>
    <w:rsid w:val="005716B3"/>
    <w:rsid w:val="00572DA1"/>
    <w:rsid w:val="005741FE"/>
    <w:rsid w:val="005A6B13"/>
    <w:rsid w:val="005B0B1F"/>
    <w:rsid w:val="005B16AD"/>
    <w:rsid w:val="005B2110"/>
    <w:rsid w:val="005B2A5A"/>
    <w:rsid w:val="005B61E6"/>
    <w:rsid w:val="005B6B8C"/>
    <w:rsid w:val="005C6C98"/>
    <w:rsid w:val="005C77E1"/>
    <w:rsid w:val="005D668A"/>
    <w:rsid w:val="005D6A2F"/>
    <w:rsid w:val="005E1A82"/>
    <w:rsid w:val="005E73F2"/>
    <w:rsid w:val="005E794C"/>
    <w:rsid w:val="005F0A28"/>
    <w:rsid w:val="005F0E5E"/>
    <w:rsid w:val="00600535"/>
    <w:rsid w:val="00600A8D"/>
    <w:rsid w:val="006067FF"/>
    <w:rsid w:val="00610CD6"/>
    <w:rsid w:val="00620DEE"/>
    <w:rsid w:val="00621F92"/>
    <w:rsid w:val="0062280A"/>
    <w:rsid w:val="00622E85"/>
    <w:rsid w:val="00625639"/>
    <w:rsid w:val="006303BC"/>
    <w:rsid w:val="00631B33"/>
    <w:rsid w:val="006405CE"/>
    <w:rsid w:val="0064184D"/>
    <w:rsid w:val="006422CC"/>
    <w:rsid w:val="00646CD2"/>
    <w:rsid w:val="00647493"/>
    <w:rsid w:val="0065389D"/>
    <w:rsid w:val="00660E3E"/>
    <w:rsid w:val="00661655"/>
    <w:rsid w:val="00662E74"/>
    <w:rsid w:val="00665021"/>
    <w:rsid w:val="006725CB"/>
    <w:rsid w:val="00680C23"/>
    <w:rsid w:val="00690177"/>
    <w:rsid w:val="00693766"/>
    <w:rsid w:val="006942A3"/>
    <w:rsid w:val="006A1510"/>
    <w:rsid w:val="006A3281"/>
    <w:rsid w:val="006A33ED"/>
    <w:rsid w:val="006A57E9"/>
    <w:rsid w:val="006B4888"/>
    <w:rsid w:val="006C2E45"/>
    <w:rsid w:val="006C359C"/>
    <w:rsid w:val="006C5579"/>
    <w:rsid w:val="006D0C08"/>
    <w:rsid w:val="006D6E8B"/>
    <w:rsid w:val="006E4496"/>
    <w:rsid w:val="006E4828"/>
    <w:rsid w:val="006E737D"/>
    <w:rsid w:val="006F0874"/>
    <w:rsid w:val="006F2B26"/>
    <w:rsid w:val="006F6B09"/>
    <w:rsid w:val="00710156"/>
    <w:rsid w:val="00713973"/>
    <w:rsid w:val="00720A24"/>
    <w:rsid w:val="007221EB"/>
    <w:rsid w:val="00731791"/>
    <w:rsid w:val="00732386"/>
    <w:rsid w:val="007328FF"/>
    <w:rsid w:val="0073514D"/>
    <w:rsid w:val="007447F3"/>
    <w:rsid w:val="00745EAA"/>
    <w:rsid w:val="0075499F"/>
    <w:rsid w:val="00763848"/>
    <w:rsid w:val="00764D02"/>
    <w:rsid w:val="00765712"/>
    <w:rsid w:val="007661C8"/>
    <w:rsid w:val="007665B2"/>
    <w:rsid w:val="00770209"/>
    <w:rsid w:val="0077098D"/>
    <w:rsid w:val="007717D6"/>
    <w:rsid w:val="0078373F"/>
    <w:rsid w:val="00783BEE"/>
    <w:rsid w:val="0079263B"/>
    <w:rsid w:val="007931FA"/>
    <w:rsid w:val="00794A1F"/>
    <w:rsid w:val="007A4861"/>
    <w:rsid w:val="007A7BBA"/>
    <w:rsid w:val="007B0C50"/>
    <w:rsid w:val="007B48F9"/>
    <w:rsid w:val="007B6D9E"/>
    <w:rsid w:val="007C1A43"/>
    <w:rsid w:val="007C3D3B"/>
    <w:rsid w:val="007C6CDE"/>
    <w:rsid w:val="007D0951"/>
    <w:rsid w:val="007D4EEF"/>
    <w:rsid w:val="007E1C76"/>
    <w:rsid w:val="007F3A78"/>
    <w:rsid w:val="0080013E"/>
    <w:rsid w:val="00800474"/>
    <w:rsid w:val="00806B54"/>
    <w:rsid w:val="008105A7"/>
    <w:rsid w:val="00813288"/>
    <w:rsid w:val="008168FC"/>
    <w:rsid w:val="00825127"/>
    <w:rsid w:val="00830996"/>
    <w:rsid w:val="008345F1"/>
    <w:rsid w:val="008352EC"/>
    <w:rsid w:val="00844EBA"/>
    <w:rsid w:val="00846FE9"/>
    <w:rsid w:val="0086451F"/>
    <w:rsid w:val="00865B07"/>
    <w:rsid w:val="00865B37"/>
    <w:rsid w:val="008667EA"/>
    <w:rsid w:val="0087637F"/>
    <w:rsid w:val="0088459C"/>
    <w:rsid w:val="00886716"/>
    <w:rsid w:val="008914A1"/>
    <w:rsid w:val="00892AD5"/>
    <w:rsid w:val="008931AD"/>
    <w:rsid w:val="00897735"/>
    <w:rsid w:val="008A1512"/>
    <w:rsid w:val="008A5BFD"/>
    <w:rsid w:val="008C0BE4"/>
    <w:rsid w:val="008D1D32"/>
    <w:rsid w:val="008D32B9"/>
    <w:rsid w:val="008D433B"/>
    <w:rsid w:val="008D4A16"/>
    <w:rsid w:val="008E1C83"/>
    <w:rsid w:val="008E566E"/>
    <w:rsid w:val="008F4819"/>
    <w:rsid w:val="008F5BFD"/>
    <w:rsid w:val="0090161A"/>
    <w:rsid w:val="00901EB6"/>
    <w:rsid w:val="009030C9"/>
    <w:rsid w:val="00904C62"/>
    <w:rsid w:val="009138A4"/>
    <w:rsid w:val="00914EF2"/>
    <w:rsid w:val="00922752"/>
    <w:rsid w:val="00922BA8"/>
    <w:rsid w:val="00924DAC"/>
    <w:rsid w:val="00927058"/>
    <w:rsid w:val="009334AF"/>
    <w:rsid w:val="00942750"/>
    <w:rsid w:val="00943032"/>
    <w:rsid w:val="009450CE"/>
    <w:rsid w:val="009459BB"/>
    <w:rsid w:val="00947179"/>
    <w:rsid w:val="0095008E"/>
    <w:rsid w:val="0095164B"/>
    <w:rsid w:val="00954090"/>
    <w:rsid w:val="009573E7"/>
    <w:rsid w:val="00963E05"/>
    <w:rsid w:val="00964A45"/>
    <w:rsid w:val="00967843"/>
    <w:rsid w:val="00967D54"/>
    <w:rsid w:val="00971028"/>
    <w:rsid w:val="0098692A"/>
    <w:rsid w:val="00993B84"/>
    <w:rsid w:val="00996483"/>
    <w:rsid w:val="00996F5A"/>
    <w:rsid w:val="009A08EF"/>
    <w:rsid w:val="009A0A2E"/>
    <w:rsid w:val="009A2CEE"/>
    <w:rsid w:val="009A4BA4"/>
    <w:rsid w:val="009B041A"/>
    <w:rsid w:val="009C37C3"/>
    <w:rsid w:val="009C5C1A"/>
    <w:rsid w:val="009C7C86"/>
    <w:rsid w:val="009D2BFC"/>
    <w:rsid w:val="009D2FF7"/>
    <w:rsid w:val="009D5E9F"/>
    <w:rsid w:val="009E182A"/>
    <w:rsid w:val="009E7884"/>
    <w:rsid w:val="009E788A"/>
    <w:rsid w:val="009F0E08"/>
    <w:rsid w:val="009F1339"/>
    <w:rsid w:val="009F171F"/>
    <w:rsid w:val="00A1308B"/>
    <w:rsid w:val="00A13F1D"/>
    <w:rsid w:val="00A1763D"/>
    <w:rsid w:val="00A17CEC"/>
    <w:rsid w:val="00A24873"/>
    <w:rsid w:val="00A24ED1"/>
    <w:rsid w:val="00A27EF0"/>
    <w:rsid w:val="00A409AC"/>
    <w:rsid w:val="00A42361"/>
    <w:rsid w:val="00A50B20"/>
    <w:rsid w:val="00A51390"/>
    <w:rsid w:val="00A60D13"/>
    <w:rsid w:val="00A649BF"/>
    <w:rsid w:val="00A7223D"/>
    <w:rsid w:val="00A72745"/>
    <w:rsid w:val="00A768D9"/>
    <w:rsid w:val="00A76AF5"/>
    <w:rsid w:val="00A76C04"/>
    <w:rsid w:val="00A76EFC"/>
    <w:rsid w:val="00A77BEA"/>
    <w:rsid w:val="00A87D50"/>
    <w:rsid w:val="00A91010"/>
    <w:rsid w:val="00A97678"/>
    <w:rsid w:val="00A97F29"/>
    <w:rsid w:val="00AA18F8"/>
    <w:rsid w:val="00AA5F02"/>
    <w:rsid w:val="00AA702E"/>
    <w:rsid w:val="00AA7D26"/>
    <w:rsid w:val="00AB0964"/>
    <w:rsid w:val="00AB5011"/>
    <w:rsid w:val="00AB6987"/>
    <w:rsid w:val="00AC114F"/>
    <w:rsid w:val="00AC2894"/>
    <w:rsid w:val="00AC7368"/>
    <w:rsid w:val="00AD16B9"/>
    <w:rsid w:val="00AD5163"/>
    <w:rsid w:val="00AE377D"/>
    <w:rsid w:val="00AF0EBA"/>
    <w:rsid w:val="00B01C30"/>
    <w:rsid w:val="00B02C8A"/>
    <w:rsid w:val="00B06A0E"/>
    <w:rsid w:val="00B17FBD"/>
    <w:rsid w:val="00B236CF"/>
    <w:rsid w:val="00B315A6"/>
    <w:rsid w:val="00B31813"/>
    <w:rsid w:val="00B33365"/>
    <w:rsid w:val="00B436CB"/>
    <w:rsid w:val="00B5513C"/>
    <w:rsid w:val="00B57B36"/>
    <w:rsid w:val="00B57E6F"/>
    <w:rsid w:val="00B745BF"/>
    <w:rsid w:val="00B75EA5"/>
    <w:rsid w:val="00B813C5"/>
    <w:rsid w:val="00B8545D"/>
    <w:rsid w:val="00B8686D"/>
    <w:rsid w:val="00B91986"/>
    <w:rsid w:val="00B93F69"/>
    <w:rsid w:val="00BB1DDC"/>
    <w:rsid w:val="00BB5FBF"/>
    <w:rsid w:val="00BB64CD"/>
    <w:rsid w:val="00BC0B1F"/>
    <w:rsid w:val="00BC16C7"/>
    <w:rsid w:val="00BC30C9"/>
    <w:rsid w:val="00BD00FB"/>
    <w:rsid w:val="00BD077D"/>
    <w:rsid w:val="00BE3E58"/>
    <w:rsid w:val="00BE58A4"/>
    <w:rsid w:val="00BF2EFE"/>
    <w:rsid w:val="00C00A15"/>
    <w:rsid w:val="00C01616"/>
    <w:rsid w:val="00C0162B"/>
    <w:rsid w:val="00C068ED"/>
    <w:rsid w:val="00C22E0C"/>
    <w:rsid w:val="00C2605A"/>
    <w:rsid w:val="00C345B1"/>
    <w:rsid w:val="00C37B32"/>
    <w:rsid w:val="00C40142"/>
    <w:rsid w:val="00C42B73"/>
    <w:rsid w:val="00C45A27"/>
    <w:rsid w:val="00C52C3C"/>
    <w:rsid w:val="00C52D09"/>
    <w:rsid w:val="00C57182"/>
    <w:rsid w:val="00C57863"/>
    <w:rsid w:val="00C611B3"/>
    <w:rsid w:val="00C640AF"/>
    <w:rsid w:val="00C655FD"/>
    <w:rsid w:val="00C70676"/>
    <w:rsid w:val="00C73813"/>
    <w:rsid w:val="00C75407"/>
    <w:rsid w:val="00C77C8A"/>
    <w:rsid w:val="00C8055E"/>
    <w:rsid w:val="00C84830"/>
    <w:rsid w:val="00C84C47"/>
    <w:rsid w:val="00C870A8"/>
    <w:rsid w:val="00C94434"/>
    <w:rsid w:val="00C97D1F"/>
    <w:rsid w:val="00CA0D75"/>
    <w:rsid w:val="00CA1C95"/>
    <w:rsid w:val="00CA5A9C"/>
    <w:rsid w:val="00CB008A"/>
    <w:rsid w:val="00CB0B91"/>
    <w:rsid w:val="00CC27C9"/>
    <w:rsid w:val="00CC4C20"/>
    <w:rsid w:val="00CC6FDE"/>
    <w:rsid w:val="00CD3517"/>
    <w:rsid w:val="00CD3566"/>
    <w:rsid w:val="00CD5FE2"/>
    <w:rsid w:val="00CE5983"/>
    <w:rsid w:val="00CE5EC0"/>
    <w:rsid w:val="00CE7C68"/>
    <w:rsid w:val="00CF0BE6"/>
    <w:rsid w:val="00CF45F0"/>
    <w:rsid w:val="00CF6419"/>
    <w:rsid w:val="00D02B4C"/>
    <w:rsid w:val="00D03618"/>
    <w:rsid w:val="00D03D16"/>
    <w:rsid w:val="00D040C4"/>
    <w:rsid w:val="00D20AD1"/>
    <w:rsid w:val="00D246D5"/>
    <w:rsid w:val="00D3395D"/>
    <w:rsid w:val="00D46B7E"/>
    <w:rsid w:val="00D50956"/>
    <w:rsid w:val="00D57C84"/>
    <w:rsid w:val="00D6057D"/>
    <w:rsid w:val="00D6558F"/>
    <w:rsid w:val="00D71640"/>
    <w:rsid w:val="00D836C5"/>
    <w:rsid w:val="00D84576"/>
    <w:rsid w:val="00D91CD3"/>
    <w:rsid w:val="00D93C8D"/>
    <w:rsid w:val="00DA1399"/>
    <w:rsid w:val="00DA15CF"/>
    <w:rsid w:val="00DA24C6"/>
    <w:rsid w:val="00DA4001"/>
    <w:rsid w:val="00DA4D7B"/>
    <w:rsid w:val="00DB7557"/>
    <w:rsid w:val="00DC1DF8"/>
    <w:rsid w:val="00DD271C"/>
    <w:rsid w:val="00DD421E"/>
    <w:rsid w:val="00DD78F2"/>
    <w:rsid w:val="00DE264A"/>
    <w:rsid w:val="00DF5072"/>
    <w:rsid w:val="00DF5EC6"/>
    <w:rsid w:val="00E00BCC"/>
    <w:rsid w:val="00E02A6F"/>
    <w:rsid w:val="00E02D18"/>
    <w:rsid w:val="00E041E7"/>
    <w:rsid w:val="00E2350D"/>
    <w:rsid w:val="00E23CA1"/>
    <w:rsid w:val="00E25DB2"/>
    <w:rsid w:val="00E26579"/>
    <w:rsid w:val="00E33B04"/>
    <w:rsid w:val="00E409A8"/>
    <w:rsid w:val="00E439E3"/>
    <w:rsid w:val="00E50C12"/>
    <w:rsid w:val="00E65419"/>
    <w:rsid w:val="00E65B91"/>
    <w:rsid w:val="00E7209D"/>
    <w:rsid w:val="00E72EAD"/>
    <w:rsid w:val="00E76B1C"/>
    <w:rsid w:val="00E77223"/>
    <w:rsid w:val="00E80B5E"/>
    <w:rsid w:val="00E8528B"/>
    <w:rsid w:val="00E85B94"/>
    <w:rsid w:val="00E978D0"/>
    <w:rsid w:val="00EA4613"/>
    <w:rsid w:val="00EA6443"/>
    <w:rsid w:val="00EA7500"/>
    <w:rsid w:val="00EA7F91"/>
    <w:rsid w:val="00EB1523"/>
    <w:rsid w:val="00EB5910"/>
    <w:rsid w:val="00EC0E49"/>
    <w:rsid w:val="00EC101F"/>
    <w:rsid w:val="00EC1D9F"/>
    <w:rsid w:val="00EE0131"/>
    <w:rsid w:val="00EE17B0"/>
    <w:rsid w:val="00EE2E06"/>
    <w:rsid w:val="00EE2F9E"/>
    <w:rsid w:val="00EE3A98"/>
    <w:rsid w:val="00EF06D9"/>
    <w:rsid w:val="00EF41BB"/>
    <w:rsid w:val="00F16F0D"/>
    <w:rsid w:val="00F3022D"/>
    <w:rsid w:val="00F3049E"/>
    <w:rsid w:val="00F30C64"/>
    <w:rsid w:val="00F32BA2"/>
    <w:rsid w:val="00F32CDB"/>
    <w:rsid w:val="00F32FC3"/>
    <w:rsid w:val="00F34D5F"/>
    <w:rsid w:val="00F40049"/>
    <w:rsid w:val="00F422E4"/>
    <w:rsid w:val="00F475C7"/>
    <w:rsid w:val="00F565FE"/>
    <w:rsid w:val="00F56BC0"/>
    <w:rsid w:val="00F63A70"/>
    <w:rsid w:val="00F63D8C"/>
    <w:rsid w:val="00F7534E"/>
    <w:rsid w:val="00F7658B"/>
    <w:rsid w:val="00F81815"/>
    <w:rsid w:val="00F83AE4"/>
    <w:rsid w:val="00F93EDF"/>
    <w:rsid w:val="00F94457"/>
    <w:rsid w:val="00FA1283"/>
    <w:rsid w:val="00FA1802"/>
    <w:rsid w:val="00FA21D0"/>
    <w:rsid w:val="00FA47A6"/>
    <w:rsid w:val="00FA5F5F"/>
    <w:rsid w:val="00FB1A46"/>
    <w:rsid w:val="00FB730C"/>
    <w:rsid w:val="00FC1F0C"/>
    <w:rsid w:val="00FC2695"/>
    <w:rsid w:val="00FC3807"/>
    <w:rsid w:val="00FC3E03"/>
    <w:rsid w:val="00FC3FC1"/>
    <w:rsid w:val="00FD7EB5"/>
    <w:rsid w:val="00FF04C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312E7F"/>
  <w14:defaultImageDpi w14:val="330"/>
  <w15:docId w15:val="{9DD3384F-51B8-4A99-8B25-D6772BC1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aliases w:val="CET Top_page"/>
    <w:rsid w:val="00146A67"/>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2643D6"/>
    <w:pPr>
      <w:keepNext/>
      <w:suppressAutoHyphens/>
      <w:spacing w:after="0" w:line="264" w:lineRule="auto"/>
      <w:jc w:val="center"/>
    </w:pPr>
    <w:rPr>
      <w:rFonts w:ascii="Arial" w:eastAsia="Times New Roman" w:hAnsi="Arial" w:cs="Times New Roman"/>
      <w:i/>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2643D6"/>
    <w:rPr>
      <w:rFonts w:ascii="Arial" w:eastAsia="Times New Roman" w:hAnsi="Arial" w:cs="Times New Roman"/>
      <w:i/>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style>
  <w:style w:type="character" w:customStyle="1" w:styleId="CETHeadingxxChar">
    <w:name w:val="CET Headingxx Char"/>
    <w:basedOn w:val="CETheadingxCarattere"/>
    <w:link w:val="CETHeadingxx"/>
    <w:rsid w:val="000F787B"/>
    <w:rPr>
      <w:rFonts w:ascii="Arial" w:eastAsia="Times New Roman" w:hAnsi="Arial" w:cs="Times New Roman"/>
      <w:b w:val="0"/>
      <w:i/>
      <w:sz w:val="18"/>
      <w:szCs w:val="20"/>
      <w:lang w:val="en-US"/>
    </w:rPr>
  </w:style>
  <w:style w:type="paragraph" w:styleId="Paragrafoelenco">
    <w:name w:val="List Paragraph"/>
    <w:basedOn w:val="Normale"/>
    <w:uiPriority w:val="34"/>
    <w:rsid w:val="00280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sha.gov/leadingindicato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E5D1B77D04E954699D7A9EBC6A466D0" ma:contentTypeVersion="14" ma:contentTypeDescription="Creare un nuovo documento." ma:contentTypeScope="" ma:versionID="bff64f90c345039d90310b08adfe7038">
  <xsd:schema xmlns:xsd="http://www.w3.org/2001/XMLSchema" xmlns:xs="http://www.w3.org/2001/XMLSchema" xmlns:p="http://schemas.microsoft.com/office/2006/metadata/properties" xmlns:ns3="c3022257-221d-4da8-9c5b-1aedf77ced6f" xmlns:ns4="21083649-46ea-402c-a5ab-e53a6d5948d4" targetNamespace="http://schemas.microsoft.com/office/2006/metadata/properties" ma:root="true" ma:fieldsID="b7c1fd386240774dc5997028a9bd0d58" ns3:_="" ns4:_="">
    <xsd:import namespace="c3022257-221d-4da8-9c5b-1aedf77ced6f"/>
    <xsd:import namespace="21083649-46ea-402c-a5ab-e53a6d5948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22257-221d-4da8-9c5b-1aedf77ced6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083649-46ea-402c-a5ab-e53a6d5948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E5557-5C6F-4B91-B1E0-E8A401A45835}">
  <ds:schemaRefs>
    <ds:schemaRef ds:uri="http://schemas.microsoft.com/sharepoint/v3/contenttype/forms"/>
  </ds:schemaRefs>
</ds:datastoreItem>
</file>

<file path=customXml/itemProps2.xml><?xml version="1.0" encoding="utf-8"?>
<ds:datastoreItem xmlns:ds="http://schemas.openxmlformats.org/officeDocument/2006/customXml" ds:itemID="{2D6F6F21-4342-48A9-9D05-D405044F4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22257-221d-4da8-9c5b-1aedf77ced6f"/>
    <ds:schemaRef ds:uri="21083649-46ea-402c-a5ab-e53a6d594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6A596-5646-4977-B3BD-5221D57A2B0A}">
  <ds:schemaRefs>
    <ds:schemaRef ds:uri="21083649-46ea-402c-a5ab-e53a6d5948d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c3022257-221d-4da8-9c5b-1aedf77ced6f"/>
    <ds:schemaRef ds:uri="http://www.w3.org/XML/1998/namespace"/>
  </ds:schemaRefs>
</ds:datastoreItem>
</file>

<file path=customXml/itemProps4.xml><?xml version="1.0" encoding="utf-8"?>
<ds:datastoreItem xmlns:ds="http://schemas.openxmlformats.org/officeDocument/2006/customXml" ds:itemID="{288EE374-7314-4D29-8AB0-3B9A188FD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3207</Words>
  <Characters>18280</Characters>
  <Application>Microsoft Office Word</Application>
  <DocSecurity>0</DocSecurity>
  <Lines>152</Lines>
  <Paragraphs>42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Madonna Marianna</cp:lastModifiedBy>
  <cp:revision>13</cp:revision>
  <cp:lastPrinted>2015-05-12T18:31:00Z</cp:lastPrinted>
  <dcterms:created xsi:type="dcterms:W3CDTF">2023-02-15T21:43:00Z</dcterms:created>
  <dcterms:modified xsi:type="dcterms:W3CDTF">2023-03-17T11:40:00Z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0x0101006E5D1B77D04E954699D7A9EBC6A466D0</vt:lpwstr>
  </property>
  <property fmtid="{D5CDD505-2E9C-101B-9397-08002B2CF9AE}" pid="3"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4" name="ZOTERO_PREF_2">
    <vt:lpwstr>me="storeReferences" value="true"/&gt;&lt;pref name="automaticJournalAbbreviations" value=""/&gt;&lt;pref name="noteType" value=""/&gt;&lt;/prefs&gt;&lt;/data&gt;</vt:lpwstr>
  </property>
</Properties>
</file>