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26339656"/>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DCB7DE0" w:rsidR="00E978D0" w:rsidRPr="00B57B36" w:rsidRDefault="00733B2E" w:rsidP="00E978D0">
      <w:pPr>
        <w:pStyle w:val="CETTitle"/>
      </w:pPr>
      <w:r>
        <w:t>H</w:t>
      </w:r>
      <w:r w:rsidR="001974AD">
        <w:t>ydrogen</w:t>
      </w:r>
      <w:r w:rsidR="00900912" w:rsidRPr="00900912">
        <w:t xml:space="preserve"> </w:t>
      </w:r>
      <w:r w:rsidR="00E23E2D">
        <w:t>L</w:t>
      </w:r>
      <w:r w:rsidRPr="00733B2E">
        <w:t xml:space="preserve">iquefaction: </w:t>
      </w:r>
      <w:proofErr w:type="gramStart"/>
      <w:r w:rsidRPr="00733B2E">
        <w:t>a</w:t>
      </w:r>
      <w:proofErr w:type="gramEnd"/>
      <w:r w:rsidRPr="00733B2E">
        <w:t xml:space="preserve"> </w:t>
      </w:r>
      <w:r w:rsidR="00E23E2D">
        <w:t>S</w:t>
      </w:r>
      <w:r w:rsidRPr="00733B2E">
        <w:t xml:space="preserve">ystematic </w:t>
      </w:r>
      <w:r w:rsidR="00E23E2D">
        <w:t>A</w:t>
      </w:r>
      <w:r w:rsidRPr="00733B2E">
        <w:t xml:space="preserve">pproach to its </w:t>
      </w:r>
      <w:r w:rsidR="00E23E2D">
        <w:t>T</w:t>
      </w:r>
      <w:r w:rsidRPr="00733B2E">
        <w:t xml:space="preserve">hermodynamic </w:t>
      </w:r>
      <w:proofErr w:type="spellStart"/>
      <w:r w:rsidR="00E23E2D">
        <w:t>M</w:t>
      </w:r>
      <w:r w:rsidRPr="00733B2E">
        <w:t>odeling</w:t>
      </w:r>
      <w:proofErr w:type="spellEnd"/>
    </w:p>
    <w:p w14:paraId="0488FED2" w14:textId="3D94CAE1" w:rsidR="00B57E6F" w:rsidRPr="00900912" w:rsidRDefault="00900912" w:rsidP="00B57E6F">
      <w:pPr>
        <w:pStyle w:val="CETAuthors"/>
        <w:rPr>
          <w:lang w:val="it-IT"/>
        </w:rPr>
      </w:pPr>
      <w:r w:rsidRPr="00900912">
        <w:rPr>
          <w:lang w:val="it-IT"/>
        </w:rPr>
        <w:t>Federica Restelli</w:t>
      </w:r>
      <w:r w:rsidR="00B57E6F" w:rsidRPr="00900912">
        <w:rPr>
          <w:lang w:val="it-IT"/>
        </w:rPr>
        <w:t xml:space="preserve">, </w:t>
      </w:r>
      <w:r w:rsidRPr="00900912">
        <w:rPr>
          <w:lang w:val="it-IT"/>
        </w:rPr>
        <w:t>Elvira Spatolisano, Laura A</w:t>
      </w:r>
      <w:r w:rsidR="00B57E6F" w:rsidRPr="00900912">
        <w:rPr>
          <w:lang w:val="it-IT"/>
        </w:rPr>
        <w:t xml:space="preserve">. </w:t>
      </w:r>
      <w:r w:rsidRPr="00900912">
        <w:rPr>
          <w:lang w:val="it-IT"/>
        </w:rPr>
        <w:t>Pellegrini</w:t>
      </w:r>
      <w:r w:rsidR="00B57E6F" w:rsidRPr="00900912">
        <w:rPr>
          <w:lang w:val="it-IT"/>
        </w:rPr>
        <w:t>*</w:t>
      </w:r>
    </w:p>
    <w:p w14:paraId="3D72B0B0" w14:textId="1037F228" w:rsidR="00B57E6F" w:rsidRPr="00900912" w:rsidRDefault="00900912" w:rsidP="00900912">
      <w:pPr>
        <w:pStyle w:val="CETAddress"/>
        <w:rPr>
          <w:lang w:val="it-IT"/>
        </w:rPr>
      </w:pPr>
      <w:r w:rsidRPr="00900912">
        <w:rPr>
          <w:lang w:val="it-IT"/>
        </w:rPr>
        <w:t>GASP - Group on Advanced Separation Processes &amp; GAS Processing, Dipartimento di Chimica, Materiali e Ingegneria Chimica “G. Natta”, Politecnico di Milano, Piazza Leonardo da Vinci 32, 20133 Milano, Italy</w:t>
      </w:r>
      <w:r w:rsidR="00B57E6F" w:rsidRPr="00900912">
        <w:rPr>
          <w:lang w:val="it-IT"/>
        </w:rPr>
        <w:t xml:space="preserve"> </w:t>
      </w:r>
    </w:p>
    <w:p w14:paraId="73F1267A" w14:textId="5CFF2ABC" w:rsidR="00B57E6F" w:rsidRPr="00B57B36" w:rsidRDefault="00B57E6F" w:rsidP="00B57E6F">
      <w:pPr>
        <w:pStyle w:val="CETemail"/>
      </w:pPr>
      <w:r w:rsidRPr="00900912">
        <w:rPr>
          <w:lang w:val="it-IT"/>
        </w:rPr>
        <w:t xml:space="preserve"> </w:t>
      </w:r>
      <w:r w:rsidR="00900912">
        <w:t>laura.pellegrini</w:t>
      </w:r>
      <w:r w:rsidRPr="00B57B36">
        <w:t>@</w:t>
      </w:r>
      <w:r w:rsidR="00900912">
        <w:t>polimi.it</w:t>
      </w:r>
    </w:p>
    <w:p w14:paraId="5334778A" w14:textId="15416500" w:rsidR="00900912" w:rsidRPr="00C00E82" w:rsidRDefault="00900912" w:rsidP="00900912">
      <w:pPr>
        <w:pStyle w:val="CETBodytext"/>
        <w:rPr>
          <w:lang w:val="en-GB"/>
        </w:rPr>
      </w:pPr>
      <w:r w:rsidRPr="00900912">
        <w:rPr>
          <w:lang w:val="en-GB"/>
        </w:rPr>
        <w:t xml:space="preserve">In the present work, a thermodynamic approach </w:t>
      </w:r>
      <w:r w:rsidR="0097380D">
        <w:rPr>
          <w:lang w:val="en-GB"/>
        </w:rPr>
        <w:t>capable of</w:t>
      </w:r>
      <w:r w:rsidR="0097380D" w:rsidRPr="00900912">
        <w:rPr>
          <w:lang w:val="en-GB"/>
        </w:rPr>
        <w:t xml:space="preserve"> describ</w:t>
      </w:r>
      <w:r w:rsidR="0097380D">
        <w:rPr>
          <w:lang w:val="en-GB"/>
        </w:rPr>
        <w:t>ing</w:t>
      </w:r>
      <w:r w:rsidR="0097380D" w:rsidRPr="00900912">
        <w:rPr>
          <w:lang w:val="en-GB"/>
        </w:rPr>
        <w:t xml:space="preserve"> </w:t>
      </w:r>
      <w:r w:rsidR="00F9606C">
        <w:rPr>
          <w:lang w:val="en-GB"/>
        </w:rPr>
        <w:t xml:space="preserve">the </w:t>
      </w:r>
      <w:r w:rsidRPr="00900912">
        <w:rPr>
          <w:lang w:val="en-GB"/>
        </w:rPr>
        <w:t xml:space="preserve">hydrogen </w:t>
      </w:r>
      <w:proofErr w:type="spellStart"/>
      <w:r w:rsidR="0097380D">
        <w:rPr>
          <w:lang w:val="en-GB"/>
        </w:rPr>
        <w:t>behavior</w:t>
      </w:r>
      <w:proofErr w:type="spellEnd"/>
      <w:r w:rsidR="0097380D">
        <w:rPr>
          <w:lang w:val="en-GB"/>
        </w:rPr>
        <w:t xml:space="preserve"> </w:t>
      </w:r>
      <w:r w:rsidRPr="00900912">
        <w:rPr>
          <w:lang w:val="en-GB"/>
        </w:rPr>
        <w:t xml:space="preserve">during its cooling and </w:t>
      </w:r>
      <w:r w:rsidRPr="00C00E82">
        <w:rPr>
          <w:lang w:val="en-GB"/>
        </w:rPr>
        <w:t xml:space="preserve">liquefaction is proposed both for the case of catalytic ortho to para conversion occurring inside dedicated reactors and for the case of continuous conversion inside heat exchangers where the catalyst is packed on the hydrogen side. </w:t>
      </w:r>
      <w:r w:rsidR="0035363C" w:rsidRPr="00C00E82">
        <w:rPr>
          <w:lang w:val="en-GB"/>
        </w:rPr>
        <w:t xml:space="preserve">The state-of-the-art </w:t>
      </w:r>
      <w:r w:rsidR="001C3344" w:rsidRPr="00C00E82">
        <w:rPr>
          <w:lang w:val="en-GB"/>
        </w:rPr>
        <w:t>E</w:t>
      </w:r>
      <w:r w:rsidR="00990B89" w:rsidRPr="00C00E82">
        <w:rPr>
          <w:lang w:val="en-GB"/>
        </w:rPr>
        <w:t>quation</w:t>
      </w:r>
      <w:r w:rsidR="001C3344" w:rsidRPr="00C00E82">
        <w:rPr>
          <w:lang w:val="en-GB"/>
        </w:rPr>
        <w:t xml:space="preserve"> of State to describe the properties of normal-, para- and ortho-hydrogen is</w:t>
      </w:r>
      <w:r w:rsidR="00623FF7" w:rsidRPr="00C00E82">
        <w:rPr>
          <w:lang w:val="en-GB"/>
        </w:rPr>
        <w:t xml:space="preserve"> </w:t>
      </w:r>
      <w:r w:rsidR="00870297" w:rsidRPr="00C00E82">
        <w:rPr>
          <w:lang w:val="en-GB"/>
        </w:rPr>
        <w:t xml:space="preserve">the </w:t>
      </w:r>
      <w:r w:rsidR="0035363C" w:rsidRPr="00C00E82">
        <w:rPr>
          <w:lang w:val="en-GB"/>
        </w:rPr>
        <w:t>Helm</w:t>
      </w:r>
      <w:r w:rsidR="004A4687" w:rsidRPr="00C00E82">
        <w:rPr>
          <w:lang w:val="en-GB"/>
        </w:rPr>
        <w:t>h</w:t>
      </w:r>
      <w:r w:rsidR="0035363C" w:rsidRPr="00C00E82">
        <w:rPr>
          <w:lang w:val="en-GB"/>
        </w:rPr>
        <w:t xml:space="preserve">oltz </w:t>
      </w:r>
      <w:r w:rsidR="004A4687" w:rsidRPr="00C00E82">
        <w:rPr>
          <w:lang w:val="en-GB"/>
        </w:rPr>
        <w:t>free energy</w:t>
      </w:r>
      <w:r w:rsidR="0035363C" w:rsidRPr="00C00E82">
        <w:rPr>
          <w:lang w:val="en-GB"/>
        </w:rPr>
        <w:t xml:space="preserve"> explicit equation</w:t>
      </w:r>
      <w:r w:rsidR="00623FF7" w:rsidRPr="00C00E82">
        <w:rPr>
          <w:lang w:val="en-GB"/>
        </w:rPr>
        <w:t>. However, it can only describe pure components and not mixtures.</w:t>
      </w:r>
      <w:r w:rsidR="00435C7A" w:rsidRPr="00C00E82">
        <w:rPr>
          <w:lang w:val="en-GB"/>
        </w:rPr>
        <w:t xml:space="preserve"> </w:t>
      </w:r>
      <w:r w:rsidR="008E113D" w:rsidRPr="00C00E82">
        <w:rPr>
          <w:lang w:val="en-GB"/>
        </w:rPr>
        <w:t>The novelty of th</w:t>
      </w:r>
      <w:r w:rsidR="00435C7A" w:rsidRPr="00C00E82">
        <w:rPr>
          <w:lang w:val="en-GB"/>
        </w:rPr>
        <w:t>e proposed</w:t>
      </w:r>
      <w:r w:rsidR="008E113D" w:rsidRPr="00C00E82">
        <w:rPr>
          <w:lang w:val="en-GB"/>
        </w:rPr>
        <w:t xml:space="preserve"> </w:t>
      </w:r>
      <w:r w:rsidR="00912861" w:rsidRPr="00C00E82">
        <w:rPr>
          <w:lang w:val="en-GB"/>
        </w:rPr>
        <w:t>approach</w:t>
      </w:r>
      <w:r w:rsidR="00435C7A" w:rsidRPr="00C00E82">
        <w:rPr>
          <w:lang w:val="en-GB"/>
        </w:rPr>
        <w:t xml:space="preserve"> is that it is based </w:t>
      </w:r>
      <w:r w:rsidR="007064C1" w:rsidRPr="00C00E82">
        <w:rPr>
          <w:lang w:val="en-GB"/>
        </w:rPr>
        <w:t xml:space="preserve">on </w:t>
      </w:r>
      <w:r w:rsidR="00B44E74" w:rsidRPr="00C00E82">
        <w:rPr>
          <w:lang w:val="en-GB"/>
        </w:rPr>
        <w:t>the</w:t>
      </w:r>
      <w:r w:rsidR="00623FF7" w:rsidRPr="00C00E82">
        <w:rPr>
          <w:lang w:val="en-GB"/>
        </w:rPr>
        <w:t xml:space="preserve"> </w:t>
      </w:r>
      <w:r w:rsidR="00C44993" w:rsidRPr="00C00E82">
        <w:rPr>
          <w:lang w:val="en-GB"/>
        </w:rPr>
        <w:t>wide</w:t>
      </w:r>
      <w:r w:rsidR="00B44E74" w:rsidRPr="00C00E82">
        <w:rPr>
          <w:lang w:val="en-GB"/>
        </w:rPr>
        <w:t>spread</w:t>
      </w:r>
      <w:r w:rsidR="00566415" w:rsidRPr="00C00E82">
        <w:rPr>
          <w:lang w:val="en-GB"/>
        </w:rPr>
        <w:t xml:space="preserve"> </w:t>
      </w:r>
      <w:r w:rsidR="00C44993" w:rsidRPr="00C00E82">
        <w:rPr>
          <w:lang w:val="en-GB"/>
        </w:rPr>
        <w:t>Peng Robinson</w:t>
      </w:r>
      <w:r w:rsidR="00566415" w:rsidRPr="00C00E82">
        <w:rPr>
          <w:lang w:val="en-GB"/>
        </w:rPr>
        <w:t xml:space="preserve"> </w:t>
      </w:r>
      <w:r w:rsidR="007823A2" w:rsidRPr="00C00E82">
        <w:rPr>
          <w:lang w:val="en-GB"/>
        </w:rPr>
        <w:t>Equation</w:t>
      </w:r>
      <w:r w:rsidR="00061BC9" w:rsidRPr="00C00E82">
        <w:rPr>
          <w:lang w:val="en-GB"/>
        </w:rPr>
        <w:t xml:space="preserve"> </w:t>
      </w:r>
      <w:r w:rsidR="007823A2" w:rsidRPr="00C00E82">
        <w:rPr>
          <w:lang w:val="en-GB"/>
        </w:rPr>
        <w:t xml:space="preserve">of State </w:t>
      </w:r>
      <w:r w:rsidR="003A5C32" w:rsidRPr="00C00E82">
        <w:rPr>
          <w:lang w:val="en-GB"/>
        </w:rPr>
        <w:t xml:space="preserve">and that it </w:t>
      </w:r>
      <w:r w:rsidR="004A1DA5" w:rsidRPr="00C00E82">
        <w:rPr>
          <w:lang w:val="en-GB"/>
        </w:rPr>
        <w:t>allows to accurately describe the calorimetric and volumetric properties of the different forms of hydrogen and thei</w:t>
      </w:r>
      <w:r w:rsidR="004C7AD9" w:rsidRPr="00C00E82">
        <w:rPr>
          <w:lang w:val="en-GB"/>
        </w:rPr>
        <w:t>r</w:t>
      </w:r>
      <w:r w:rsidR="004A1DA5" w:rsidRPr="00C00E82">
        <w:rPr>
          <w:lang w:val="en-GB"/>
        </w:rPr>
        <w:t xml:space="preserve"> mixtures</w:t>
      </w:r>
      <w:r w:rsidR="004C7AD9" w:rsidRPr="00C00E82">
        <w:rPr>
          <w:lang w:val="en-GB"/>
        </w:rPr>
        <w:t>.</w:t>
      </w:r>
      <w:r w:rsidR="004A1DA5" w:rsidRPr="00C00E82">
        <w:rPr>
          <w:lang w:val="en-GB"/>
        </w:rPr>
        <w:t xml:space="preserve"> </w:t>
      </w:r>
      <w:r w:rsidR="009B4BB9" w:rsidRPr="00C00E82">
        <w:rPr>
          <w:lang w:val="en-GB"/>
        </w:rPr>
        <w:t>Furthermore</w:t>
      </w:r>
      <w:r w:rsidR="004C7AD9" w:rsidRPr="00C00E82">
        <w:rPr>
          <w:lang w:val="en-GB"/>
        </w:rPr>
        <w:t xml:space="preserve">, it </w:t>
      </w:r>
      <w:r w:rsidR="003A5C32" w:rsidRPr="00C00E82">
        <w:rPr>
          <w:lang w:val="en-GB"/>
        </w:rPr>
        <w:t xml:space="preserve">can be easily </w:t>
      </w:r>
      <w:r w:rsidRPr="00C00E82">
        <w:rPr>
          <w:lang w:val="en-GB"/>
        </w:rPr>
        <w:t xml:space="preserve">implemented in </w:t>
      </w:r>
      <w:r w:rsidR="00615F54" w:rsidRPr="00C00E82">
        <w:rPr>
          <w:lang w:val="en-GB"/>
        </w:rPr>
        <w:t xml:space="preserve">the </w:t>
      </w:r>
      <w:r w:rsidRPr="00C00E82">
        <w:rPr>
          <w:lang w:val="en-GB"/>
        </w:rPr>
        <w:t>Aspen Plus</w:t>
      </w:r>
      <w:r w:rsidRPr="00C00E82">
        <w:rPr>
          <w:vertAlign w:val="superscript"/>
          <w:lang w:val="en-GB"/>
        </w:rPr>
        <w:t>®</w:t>
      </w:r>
      <w:r w:rsidRPr="00C00E82">
        <w:rPr>
          <w:lang w:val="en-GB"/>
        </w:rPr>
        <w:t xml:space="preserve"> process simulator</w:t>
      </w:r>
      <w:r w:rsidR="00EB3AB8" w:rsidRPr="00C00E82">
        <w:rPr>
          <w:lang w:val="en-GB"/>
        </w:rPr>
        <w:t>,</w:t>
      </w:r>
      <w:r w:rsidR="008E489E" w:rsidRPr="00C00E82">
        <w:rPr>
          <w:lang w:val="en-GB"/>
        </w:rPr>
        <w:t xml:space="preserve"> </w:t>
      </w:r>
      <w:r w:rsidR="00E75FE8" w:rsidRPr="00C00E82">
        <w:rPr>
          <w:lang w:val="en-GB"/>
        </w:rPr>
        <w:t>resulting to be</w:t>
      </w:r>
      <w:r w:rsidR="008E489E" w:rsidRPr="00C00E82">
        <w:rPr>
          <w:lang w:val="en-GB"/>
        </w:rPr>
        <w:t xml:space="preserve"> </w:t>
      </w:r>
      <w:r w:rsidR="00686E23" w:rsidRPr="00C00E82">
        <w:rPr>
          <w:lang w:val="en-GB"/>
        </w:rPr>
        <w:t xml:space="preserve">useful in view of </w:t>
      </w:r>
      <w:r w:rsidR="004B66A0" w:rsidRPr="00C00E82">
        <w:rPr>
          <w:lang w:val="en-GB"/>
        </w:rPr>
        <w:t>design and optimization of the</w:t>
      </w:r>
      <w:r w:rsidR="00FA098E" w:rsidRPr="00C00E82">
        <w:rPr>
          <w:lang w:val="en-GB"/>
        </w:rPr>
        <w:t xml:space="preserve"> hydrogen</w:t>
      </w:r>
      <w:r w:rsidR="004B66A0" w:rsidRPr="00C00E82">
        <w:rPr>
          <w:lang w:val="en-GB"/>
        </w:rPr>
        <w:t xml:space="preserve"> liquefaction process</w:t>
      </w:r>
      <w:r w:rsidRPr="00C00E82">
        <w:rPr>
          <w:lang w:val="en-GB"/>
        </w:rPr>
        <w:t>.</w:t>
      </w:r>
    </w:p>
    <w:p w14:paraId="476B2F2E" w14:textId="77777777" w:rsidR="00600535" w:rsidRPr="00C00E82" w:rsidRDefault="00600535" w:rsidP="00600535">
      <w:pPr>
        <w:pStyle w:val="CETHeading1"/>
        <w:rPr>
          <w:lang w:val="en-GB"/>
        </w:rPr>
      </w:pPr>
      <w:r w:rsidRPr="00C00E82">
        <w:rPr>
          <w:lang w:val="en-GB"/>
        </w:rPr>
        <w:t>Introduction</w:t>
      </w:r>
    </w:p>
    <w:p w14:paraId="23F86FEF" w14:textId="02C92B31" w:rsidR="00600535" w:rsidRDefault="00284303" w:rsidP="00284303">
      <w:pPr>
        <w:pStyle w:val="CETBodytext"/>
        <w:rPr>
          <w:lang w:val="en-GB"/>
        </w:rPr>
      </w:pPr>
      <w:r w:rsidRPr="00284303">
        <w:rPr>
          <w:lang w:val="en-GB"/>
        </w:rPr>
        <w:t>Hydrogen (H</w:t>
      </w:r>
      <w:r w:rsidRPr="00AF4EB1">
        <w:rPr>
          <w:vertAlign w:val="subscript"/>
          <w:lang w:val="en-GB"/>
        </w:rPr>
        <w:t>2</w:t>
      </w:r>
      <w:r w:rsidRPr="00284303">
        <w:rPr>
          <w:lang w:val="en-GB"/>
        </w:rPr>
        <w:t xml:space="preserve">) is </w:t>
      </w:r>
      <w:r w:rsidR="003E2033">
        <w:rPr>
          <w:lang w:val="en-GB"/>
        </w:rPr>
        <w:t>gett</w:t>
      </w:r>
      <w:r w:rsidR="00B0241A">
        <w:rPr>
          <w:lang w:val="en-GB"/>
        </w:rPr>
        <w:t>ing attention as energy carrier</w:t>
      </w:r>
      <w:r w:rsidRPr="00284303">
        <w:rPr>
          <w:lang w:val="en-GB"/>
        </w:rPr>
        <w:t xml:space="preserve"> </w:t>
      </w:r>
      <w:r w:rsidR="003E2033">
        <w:rPr>
          <w:lang w:val="en-GB"/>
        </w:rPr>
        <w:t xml:space="preserve">since its utilization does not produce greenhouse gas emissions and it can be used to store the </w:t>
      </w:r>
      <w:r w:rsidRPr="00284303">
        <w:rPr>
          <w:lang w:val="en-GB"/>
        </w:rPr>
        <w:t>renewable</w:t>
      </w:r>
      <w:r w:rsidR="003E2033">
        <w:rPr>
          <w:lang w:val="en-GB"/>
        </w:rPr>
        <w:t xml:space="preserve"> energy</w:t>
      </w:r>
      <w:r w:rsidRPr="00284303">
        <w:rPr>
          <w:lang w:val="en-GB"/>
        </w:rPr>
        <w:t>.</w:t>
      </w:r>
      <w:r w:rsidR="00AD4782">
        <w:rPr>
          <w:lang w:val="en-GB"/>
        </w:rPr>
        <w:t xml:space="preserve"> </w:t>
      </w:r>
      <w:r w:rsidRPr="00284303">
        <w:rPr>
          <w:lang w:val="en-GB"/>
        </w:rPr>
        <w:t xml:space="preserve">The most cost-competitive renewable electricity hubs, for example the wind farms of the North Sea or the solar parks of the Middle East, are </w:t>
      </w:r>
      <w:r w:rsidR="0059640F">
        <w:rPr>
          <w:lang w:val="en-GB"/>
        </w:rPr>
        <w:t>far</w:t>
      </w:r>
      <w:r w:rsidRPr="00284303">
        <w:rPr>
          <w:lang w:val="en-GB"/>
        </w:rPr>
        <w:t xml:space="preserve"> away from the large productive sites in Europe. Therefore, supply chain infrastructures need to be developed to move </w:t>
      </w:r>
      <w:r w:rsidR="0059640F" w:rsidRPr="00284303">
        <w:rPr>
          <w:lang w:val="en-GB"/>
        </w:rPr>
        <w:t>H</w:t>
      </w:r>
      <w:r w:rsidR="0059640F" w:rsidRPr="00AF4EB1">
        <w:rPr>
          <w:vertAlign w:val="subscript"/>
          <w:lang w:val="en-GB"/>
        </w:rPr>
        <w:t>2</w:t>
      </w:r>
      <w:r w:rsidRPr="00284303">
        <w:rPr>
          <w:lang w:val="en-GB"/>
        </w:rPr>
        <w:t xml:space="preserve"> through long distances.</w:t>
      </w:r>
      <w:r w:rsidR="00F771CF">
        <w:rPr>
          <w:lang w:val="en-GB"/>
        </w:rPr>
        <w:t xml:space="preserve"> </w:t>
      </w:r>
      <w:r w:rsidRPr="00284303">
        <w:rPr>
          <w:lang w:val="en-GB"/>
        </w:rPr>
        <w:t xml:space="preserve">The main obstacle to gaseous </w:t>
      </w:r>
      <w:r w:rsidR="00C02D85" w:rsidRPr="00284303">
        <w:rPr>
          <w:lang w:val="en-GB"/>
        </w:rPr>
        <w:t>H</w:t>
      </w:r>
      <w:r w:rsidR="00C02D85" w:rsidRPr="00AF4EB1">
        <w:rPr>
          <w:vertAlign w:val="subscript"/>
          <w:lang w:val="en-GB"/>
        </w:rPr>
        <w:t>2</w:t>
      </w:r>
      <w:r w:rsidRPr="00284303">
        <w:rPr>
          <w:lang w:val="en-GB"/>
        </w:rPr>
        <w:t xml:space="preserve"> delivery is its low volumetric density, which would lead to excessive dimensions of the storage and transport equipment. </w:t>
      </w:r>
      <w:r w:rsidR="0059640F">
        <w:rPr>
          <w:lang w:val="en-GB"/>
        </w:rPr>
        <w:t>To</w:t>
      </w:r>
      <w:r w:rsidRPr="00284303">
        <w:rPr>
          <w:lang w:val="en-GB"/>
        </w:rPr>
        <w:t xml:space="preserve"> increase the volumetric density, liquefaction is </w:t>
      </w:r>
      <w:r w:rsidR="00B1397C">
        <w:rPr>
          <w:lang w:val="en-GB"/>
        </w:rPr>
        <w:t>a promising option fo</w:t>
      </w:r>
      <w:r w:rsidRPr="00284303">
        <w:rPr>
          <w:lang w:val="en-GB"/>
        </w:rPr>
        <w:t>r large-scale deliver</w:t>
      </w:r>
      <w:r w:rsidR="008E5F72">
        <w:rPr>
          <w:lang w:val="en-GB"/>
        </w:rPr>
        <w:t>y</w:t>
      </w:r>
      <w:r w:rsidRPr="00284303">
        <w:rPr>
          <w:lang w:val="en-GB"/>
        </w:rPr>
        <w:t>.</w:t>
      </w:r>
      <w:r w:rsidR="00AD4782">
        <w:rPr>
          <w:lang w:val="en-GB"/>
        </w:rPr>
        <w:t xml:space="preserve"> </w:t>
      </w:r>
      <w:r w:rsidR="00C02D85" w:rsidRPr="00284303">
        <w:rPr>
          <w:lang w:val="en-GB"/>
        </w:rPr>
        <w:t>H</w:t>
      </w:r>
      <w:r w:rsidR="00C02D85" w:rsidRPr="00AF4EB1">
        <w:rPr>
          <w:vertAlign w:val="subscript"/>
          <w:lang w:val="en-GB"/>
        </w:rPr>
        <w:t>2</w:t>
      </w:r>
      <w:r w:rsidRPr="00284303">
        <w:rPr>
          <w:lang w:val="en-GB"/>
        </w:rPr>
        <w:t xml:space="preserve"> liquefaction</w:t>
      </w:r>
      <w:r w:rsidR="00C02D85">
        <w:rPr>
          <w:lang w:val="en-GB"/>
        </w:rPr>
        <w:t xml:space="preserve"> occurs at</w:t>
      </w:r>
      <w:r w:rsidRPr="00284303">
        <w:rPr>
          <w:lang w:val="en-GB"/>
        </w:rPr>
        <w:t xml:space="preserve"> about 20 K and </w:t>
      </w:r>
      <w:r w:rsidR="00FB61C1" w:rsidRPr="00284303">
        <w:rPr>
          <w:lang w:val="en-GB"/>
        </w:rPr>
        <w:t xml:space="preserve">atmospheric </w:t>
      </w:r>
      <w:r w:rsidRPr="00284303">
        <w:rPr>
          <w:lang w:val="en-GB"/>
        </w:rPr>
        <w:t>pressure</w:t>
      </w:r>
      <w:r w:rsidR="00C02D85">
        <w:rPr>
          <w:lang w:val="en-GB"/>
        </w:rPr>
        <w:t>. It is the most energy-intensive process of the supply chain and, hence,</w:t>
      </w:r>
      <w:r w:rsidRPr="00284303">
        <w:rPr>
          <w:lang w:val="en-GB"/>
        </w:rPr>
        <w:t xml:space="preserve"> special attention must be paid in its design.</w:t>
      </w:r>
    </w:p>
    <w:p w14:paraId="0262F160" w14:textId="7E67A33D" w:rsidR="005F5BEA" w:rsidRDefault="000E2F35" w:rsidP="005F5BEA">
      <w:pPr>
        <w:pStyle w:val="CETBodytext"/>
      </w:pPr>
      <w:r w:rsidRPr="00284303">
        <w:rPr>
          <w:lang w:val="en-GB"/>
        </w:rPr>
        <w:t>H</w:t>
      </w:r>
      <w:r w:rsidRPr="00AF4EB1">
        <w:rPr>
          <w:vertAlign w:val="subscript"/>
          <w:lang w:val="en-GB"/>
        </w:rPr>
        <w:t>2</w:t>
      </w:r>
      <w:r w:rsidR="00284303" w:rsidRPr="00284303">
        <w:rPr>
          <w:lang w:val="en-GB"/>
        </w:rPr>
        <w:t xml:space="preserve"> is a quantum gas and it exists in two </w:t>
      </w:r>
      <w:r>
        <w:rPr>
          <w:lang w:val="en-GB"/>
        </w:rPr>
        <w:t xml:space="preserve">isomeric </w:t>
      </w:r>
      <w:r w:rsidR="00284303" w:rsidRPr="00284303">
        <w:rPr>
          <w:lang w:val="en-GB"/>
        </w:rPr>
        <w:t>forms, named ortho-hydrogen and para-hydrogen</w:t>
      </w:r>
      <w:r>
        <w:rPr>
          <w:lang w:val="en-GB"/>
        </w:rPr>
        <w:t>, whose relative composition at equilibrium changes with temperature. T</w:t>
      </w:r>
      <w:r w:rsidR="00284303" w:rsidRPr="00284303">
        <w:rPr>
          <w:lang w:val="en-GB"/>
        </w:rPr>
        <w:t xml:space="preserve">he isomerization reaction is very slow and must be accelerated using a catalyst in order to achieve the equilibrium ortho-para composition before storage, otherwise </w:t>
      </w:r>
      <w:r>
        <w:rPr>
          <w:lang w:val="en-GB"/>
        </w:rPr>
        <w:t>the exothermicity of the</w:t>
      </w:r>
      <w:r w:rsidR="00284303" w:rsidRPr="00284303">
        <w:rPr>
          <w:lang w:val="en-GB"/>
        </w:rPr>
        <w:t xml:space="preserve"> reaction will lead to the evaporation of a great portion of the stored liquid. </w:t>
      </w:r>
      <w:r w:rsidR="006A1530">
        <w:rPr>
          <w:lang w:val="en-GB"/>
        </w:rPr>
        <w:t>Iron-</w:t>
      </w:r>
      <w:r w:rsidR="006A1530" w:rsidRPr="00284303">
        <w:rPr>
          <w:lang w:val="en-GB"/>
        </w:rPr>
        <w:t>based catalysts are the</w:t>
      </w:r>
      <w:r w:rsidR="006A1530">
        <w:rPr>
          <w:lang w:val="en-GB"/>
        </w:rPr>
        <w:t xml:space="preserve"> most used to this purpose</w:t>
      </w:r>
      <w:r w:rsidR="006A1530" w:rsidRPr="00284303">
        <w:rPr>
          <w:lang w:val="en-GB"/>
        </w:rPr>
        <w:t xml:space="preserve">. </w:t>
      </w:r>
      <w:r w:rsidR="00284303" w:rsidRPr="00284303">
        <w:rPr>
          <w:lang w:val="en-GB"/>
        </w:rPr>
        <w:t xml:space="preserve">This </w:t>
      </w:r>
      <w:r w:rsidR="0070348F">
        <w:rPr>
          <w:lang w:val="en-GB"/>
        </w:rPr>
        <w:t xml:space="preserve">ortho-para </w:t>
      </w:r>
      <w:r w:rsidR="00284303" w:rsidRPr="00284303">
        <w:rPr>
          <w:lang w:val="en-GB"/>
        </w:rPr>
        <w:t xml:space="preserve">conversion </w:t>
      </w:r>
      <w:r w:rsidR="0070348F">
        <w:rPr>
          <w:lang w:val="en-GB"/>
        </w:rPr>
        <w:t xml:space="preserve">(OPC) </w:t>
      </w:r>
      <w:r w:rsidR="00284303" w:rsidRPr="00284303">
        <w:rPr>
          <w:lang w:val="en-GB"/>
        </w:rPr>
        <w:t>can occur into dedicated catalytic reactors placed between two heat exchangers along the cooling train, or continuously by packing the catalyst on the hydrogen side of the heat exchangers.  Existing plants, like the ones constructed by Linde in Germany and by Praxair in the United States, are all based on a liquid nitrogen</w:t>
      </w:r>
      <w:r w:rsidR="0070348F">
        <w:rPr>
          <w:lang w:val="en-GB"/>
        </w:rPr>
        <w:t xml:space="preserve"> (LN</w:t>
      </w:r>
      <w:r w:rsidR="0070348F" w:rsidRPr="0070348F">
        <w:rPr>
          <w:vertAlign w:val="subscript"/>
          <w:lang w:val="en-GB"/>
        </w:rPr>
        <w:t>2</w:t>
      </w:r>
      <w:r w:rsidR="0070348F">
        <w:rPr>
          <w:lang w:val="en-GB"/>
        </w:rPr>
        <w:t>)</w:t>
      </w:r>
      <w:r w:rsidR="00284303" w:rsidRPr="00284303">
        <w:rPr>
          <w:lang w:val="en-GB"/>
        </w:rPr>
        <w:t xml:space="preserve">-precooled Claude cycle. The Linde liquefier in Ingolstadt, now decommissioned, included reactors for the </w:t>
      </w:r>
      <w:r w:rsidR="0070348F">
        <w:rPr>
          <w:lang w:val="en-GB"/>
        </w:rPr>
        <w:t>OPC</w:t>
      </w:r>
      <w:r w:rsidR="001738D6">
        <w:rPr>
          <w:lang w:val="en-GB"/>
        </w:rPr>
        <w:t xml:space="preserve">. </w:t>
      </w:r>
      <w:r w:rsidR="00284303" w:rsidRPr="00284303">
        <w:rPr>
          <w:lang w:val="en-GB"/>
        </w:rPr>
        <w:t xml:space="preserve">The most recent plants, like the Linde liquefier in </w:t>
      </w:r>
      <w:proofErr w:type="spellStart"/>
      <w:r w:rsidR="00284303" w:rsidRPr="00284303">
        <w:rPr>
          <w:lang w:val="en-GB"/>
        </w:rPr>
        <w:t>Leuna</w:t>
      </w:r>
      <w:proofErr w:type="spellEnd"/>
      <w:r w:rsidR="00284303" w:rsidRPr="00284303">
        <w:rPr>
          <w:lang w:val="en-GB"/>
        </w:rPr>
        <w:t xml:space="preserve">, use catalyst-packed heat exchangers </w:t>
      </w:r>
      <w:r w:rsidR="006619E6">
        <w:rPr>
          <w:lang w:val="en-GB"/>
        </w:rPr>
        <w:t xml:space="preserve">(Al </w:t>
      </w:r>
      <w:proofErr w:type="spellStart"/>
      <w:r w:rsidR="006619E6">
        <w:rPr>
          <w:lang w:val="en-GB"/>
        </w:rPr>
        <w:t>Ghafri</w:t>
      </w:r>
      <w:proofErr w:type="spellEnd"/>
      <w:r w:rsidR="006619E6">
        <w:rPr>
          <w:lang w:val="en-GB"/>
        </w:rPr>
        <w:t xml:space="preserve"> et al., 2022)</w:t>
      </w:r>
      <w:r w:rsidR="00284303" w:rsidRPr="00284303">
        <w:rPr>
          <w:lang w:val="en-GB"/>
        </w:rPr>
        <w:t>.</w:t>
      </w:r>
      <w:r w:rsidR="001738D6">
        <w:rPr>
          <w:lang w:val="en-GB"/>
        </w:rPr>
        <w:t xml:space="preserve"> </w:t>
      </w:r>
      <w:r w:rsidR="00284303" w:rsidRPr="00284303">
        <w:rPr>
          <w:lang w:val="en-GB"/>
        </w:rPr>
        <w:t xml:space="preserve">Various conceptual designs of liquefaction processes have been proposed in recent years and their performances are discussed by </w:t>
      </w:r>
      <w:proofErr w:type="spellStart"/>
      <w:r w:rsidR="00284303" w:rsidRPr="00284303">
        <w:rPr>
          <w:lang w:val="en-GB"/>
        </w:rPr>
        <w:t>analyzing</w:t>
      </w:r>
      <w:proofErr w:type="spellEnd"/>
      <w:r w:rsidR="00284303" w:rsidRPr="00284303">
        <w:rPr>
          <w:lang w:val="en-GB"/>
        </w:rPr>
        <w:t xml:space="preserve"> the results </w:t>
      </w:r>
      <w:r w:rsidR="000B3263">
        <w:rPr>
          <w:lang w:val="en-GB"/>
        </w:rPr>
        <w:t>from</w:t>
      </w:r>
      <w:r w:rsidR="000B3263" w:rsidRPr="00284303">
        <w:rPr>
          <w:lang w:val="en-GB"/>
        </w:rPr>
        <w:t xml:space="preserve"> </w:t>
      </w:r>
      <w:r w:rsidR="00284303" w:rsidRPr="00284303">
        <w:rPr>
          <w:lang w:val="en-GB"/>
        </w:rPr>
        <w:t xml:space="preserve">commercial simulators. </w:t>
      </w:r>
      <w:proofErr w:type="spellStart"/>
      <w:r w:rsidR="00284303" w:rsidRPr="00284303">
        <w:rPr>
          <w:lang w:val="en-GB"/>
        </w:rPr>
        <w:t>Valenti</w:t>
      </w:r>
      <w:proofErr w:type="spellEnd"/>
      <w:r w:rsidR="00284303" w:rsidRPr="00284303">
        <w:rPr>
          <w:lang w:val="en-GB"/>
        </w:rPr>
        <w:t xml:space="preserve"> and </w:t>
      </w:r>
      <w:proofErr w:type="spellStart"/>
      <w:r w:rsidR="00284303" w:rsidRPr="00284303">
        <w:rPr>
          <w:lang w:val="en-GB"/>
        </w:rPr>
        <w:t>Macchi</w:t>
      </w:r>
      <w:proofErr w:type="spellEnd"/>
      <w:r w:rsidR="00284303" w:rsidRPr="00284303">
        <w:rPr>
          <w:lang w:val="en-GB"/>
        </w:rPr>
        <w:t xml:space="preserve"> </w:t>
      </w:r>
      <w:r w:rsidR="006619E6">
        <w:rPr>
          <w:lang w:val="en-GB"/>
        </w:rPr>
        <w:t>(2008)</w:t>
      </w:r>
      <w:r w:rsidR="00284303" w:rsidRPr="00284303">
        <w:rPr>
          <w:lang w:val="en-GB"/>
        </w:rPr>
        <w:t xml:space="preserve"> proposed a liquefaction process in which refrigeration is provided via four helium recuperative Joule-Brayton cycles, with the assumption of continuous </w:t>
      </w:r>
      <w:r w:rsidR="0070348F">
        <w:rPr>
          <w:lang w:val="en-GB"/>
        </w:rPr>
        <w:t>OPC</w:t>
      </w:r>
      <w:r w:rsidR="00284303" w:rsidRPr="00284303">
        <w:rPr>
          <w:lang w:val="en-GB"/>
        </w:rPr>
        <w:t>. They adopted Aspen Plus</w:t>
      </w:r>
      <w:r w:rsidR="00284303" w:rsidRPr="00AF4EB1">
        <w:rPr>
          <w:vertAlign w:val="superscript"/>
          <w:lang w:val="en-GB"/>
        </w:rPr>
        <w:t>®</w:t>
      </w:r>
      <w:r w:rsidR="00284303" w:rsidRPr="00284303">
        <w:rPr>
          <w:lang w:val="en-GB"/>
        </w:rPr>
        <w:t xml:space="preserve"> as process simulator, with the Benedict-Webb-Rubin-Starling equation of state (</w:t>
      </w:r>
      <w:proofErr w:type="spellStart"/>
      <w:r w:rsidR="00284303" w:rsidRPr="00284303">
        <w:rPr>
          <w:lang w:val="en-GB"/>
        </w:rPr>
        <w:t>EoS</w:t>
      </w:r>
      <w:proofErr w:type="spellEnd"/>
      <w:r w:rsidR="00284303" w:rsidRPr="00284303">
        <w:rPr>
          <w:lang w:val="en-GB"/>
        </w:rPr>
        <w:t xml:space="preserve">). </w:t>
      </w:r>
      <w:proofErr w:type="spellStart"/>
      <w:r w:rsidR="00284303" w:rsidRPr="00284303">
        <w:rPr>
          <w:lang w:val="en-GB"/>
        </w:rPr>
        <w:t>Krasae</w:t>
      </w:r>
      <w:proofErr w:type="spellEnd"/>
      <w:r w:rsidR="00284303" w:rsidRPr="00284303">
        <w:rPr>
          <w:lang w:val="en-GB"/>
        </w:rPr>
        <w:t>-in</w:t>
      </w:r>
      <w:r w:rsidR="00B82744">
        <w:rPr>
          <w:lang w:val="en-GB"/>
        </w:rPr>
        <w:t xml:space="preserve"> et al. (2014)</w:t>
      </w:r>
      <w:r w:rsidR="00284303" w:rsidRPr="00284303">
        <w:rPr>
          <w:lang w:val="en-GB"/>
        </w:rPr>
        <w:t xml:space="preserve"> simulated a mixed refrigerant (MR) precooled liquefaction process, in which the cooling at low temperature is provided via four hydrogen recuperative Joule</w:t>
      </w:r>
      <w:r w:rsidR="00F40B55">
        <w:rPr>
          <w:lang w:val="en-GB"/>
        </w:rPr>
        <w:noBreakHyphen/>
      </w:r>
      <w:r w:rsidR="00284303" w:rsidRPr="00284303">
        <w:rPr>
          <w:lang w:val="en-GB"/>
        </w:rPr>
        <w:t xml:space="preserve">Brayton cycles. The </w:t>
      </w:r>
      <w:r w:rsidR="001A4E4C">
        <w:rPr>
          <w:lang w:val="en-GB"/>
        </w:rPr>
        <w:t>OPC</w:t>
      </w:r>
      <w:r w:rsidR="00284303" w:rsidRPr="00284303">
        <w:rPr>
          <w:lang w:val="en-GB"/>
        </w:rPr>
        <w:t xml:space="preserve"> to equilibrium is achieved in five reaction stages. The Soave-Redlich-Kwong </w:t>
      </w:r>
      <w:proofErr w:type="spellStart"/>
      <w:r w:rsidR="00284303" w:rsidRPr="00284303">
        <w:rPr>
          <w:lang w:val="en-GB"/>
        </w:rPr>
        <w:t>EoS</w:t>
      </w:r>
      <w:proofErr w:type="spellEnd"/>
      <w:r w:rsidR="00284303" w:rsidRPr="00284303">
        <w:rPr>
          <w:lang w:val="en-GB"/>
        </w:rPr>
        <w:t xml:space="preserve"> was selected in the simulation, carried out using PRO/II together with a C language program. </w:t>
      </w:r>
      <w:proofErr w:type="spellStart"/>
      <w:r w:rsidR="00284303" w:rsidRPr="00284303">
        <w:rPr>
          <w:lang w:val="en-GB"/>
        </w:rPr>
        <w:t>Sadaghiani</w:t>
      </w:r>
      <w:proofErr w:type="spellEnd"/>
      <w:r w:rsidR="00284303" w:rsidRPr="00284303">
        <w:rPr>
          <w:lang w:val="en-GB"/>
        </w:rPr>
        <w:t xml:space="preserve"> and </w:t>
      </w:r>
      <w:proofErr w:type="spellStart"/>
      <w:r w:rsidR="00284303" w:rsidRPr="00284303">
        <w:rPr>
          <w:lang w:val="en-GB"/>
        </w:rPr>
        <w:t>Mehrpooya</w:t>
      </w:r>
      <w:proofErr w:type="spellEnd"/>
      <w:r w:rsidR="00284303" w:rsidRPr="00284303">
        <w:rPr>
          <w:lang w:val="en-GB"/>
        </w:rPr>
        <w:t xml:space="preserve"> </w:t>
      </w:r>
      <w:r w:rsidR="00AF4EB1">
        <w:rPr>
          <w:lang w:val="en-GB"/>
        </w:rPr>
        <w:t>(2017)</w:t>
      </w:r>
      <w:r w:rsidR="00284303" w:rsidRPr="00284303">
        <w:rPr>
          <w:lang w:val="en-GB"/>
        </w:rPr>
        <w:t xml:space="preserve"> proposed a</w:t>
      </w:r>
      <w:r w:rsidR="004E76FA">
        <w:rPr>
          <w:lang w:val="en-GB"/>
        </w:rPr>
        <w:t xml:space="preserve"> MR cascade</w:t>
      </w:r>
      <w:r w:rsidR="00284303" w:rsidRPr="00284303">
        <w:rPr>
          <w:lang w:val="en-GB"/>
        </w:rPr>
        <w:t xml:space="preserve"> liquefaction process in which </w:t>
      </w:r>
      <w:r w:rsidR="0070348F">
        <w:rPr>
          <w:lang w:val="en-GB"/>
        </w:rPr>
        <w:t>OPC</w:t>
      </w:r>
      <w:r w:rsidR="00284303" w:rsidRPr="00284303">
        <w:rPr>
          <w:lang w:val="en-GB"/>
        </w:rPr>
        <w:t xml:space="preserve"> is performed in two </w:t>
      </w:r>
      <w:r w:rsidR="004E76FA">
        <w:rPr>
          <w:lang w:val="en-GB"/>
        </w:rPr>
        <w:t>reactors.</w:t>
      </w:r>
      <w:r w:rsidR="00284303" w:rsidRPr="00284303">
        <w:rPr>
          <w:lang w:val="en-GB"/>
        </w:rPr>
        <w:t xml:space="preserve"> </w:t>
      </w:r>
      <w:r w:rsidR="00284303" w:rsidRPr="00284303">
        <w:rPr>
          <w:lang w:val="en-GB"/>
        </w:rPr>
        <w:lastRenderedPageBreak/>
        <w:t>They adopted Aspen HYSYS</w:t>
      </w:r>
      <w:r w:rsidR="00284303" w:rsidRPr="00AF4EB1">
        <w:rPr>
          <w:vertAlign w:val="superscript"/>
          <w:lang w:val="en-GB"/>
        </w:rPr>
        <w:t>®</w:t>
      </w:r>
      <w:r w:rsidR="001974AD">
        <w:rPr>
          <w:lang w:val="en-GB"/>
        </w:rPr>
        <w:t xml:space="preserve">, </w:t>
      </w:r>
      <w:r w:rsidR="00284303" w:rsidRPr="00284303">
        <w:rPr>
          <w:lang w:val="en-GB"/>
        </w:rPr>
        <w:t xml:space="preserve">selecting the Peng-Robinson </w:t>
      </w:r>
      <w:proofErr w:type="spellStart"/>
      <w:r w:rsidR="00284303" w:rsidRPr="00284303">
        <w:rPr>
          <w:lang w:val="en-GB"/>
        </w:rPr>
        <w:t>EoS</w:t>
      </w:r>
      <w:proofErr w:type="spellEnd"/>
      <w:r w:rsidR="00284303" w:rsidRPr="00284303">
        <w:rPr>
          <w:lang w:val="en-GB"/>
        </w:rPr>
        <w:t xml:space="preserve">. A MR precooled dual-pressure Claude cycle and a MR cascade cycle were simulated by </w:t>
      </w:r>
      <w:proofErr w:type="spellStart"/>
      <w:r w:rsidR="00284303" w:rsidRPr="00284303">
        <w:rPr>
          <w:lang w:val="en-GB"/>
        </w:rPr>
        <w:t>Cardella</w:t>
      </w:r>
      <w:proofErr w:type="spellEnd"/>
      <w:r w:rsidR="00284303" w:rsidRPr="00284303">
        <w:rPr>
          <w:lang w:val="en-GB"/>
        </w:rPr>
        <w:t xml:space="preserve"> </w:t>
      </w:r>
      <w:r w:rsidR="002D0E4C">
        <w:rPr>
          <w:lang w:val="en-GB"/>
        </w:rPr>
        <w:t>et al. (2017)</w:t>
      </w:r>
      <w:r w:rsidR="00284303" w:rsidRPr="00284303">
        <w:rPr>
          <w:lang w:val="en-GB"/>
        </w:rPr>
        <w:t xml:space="preserve">, assuming continuous </w:t>
      </w:r>
      <w:r w:rsidR="0070348F">
        <w:rPr>
          <w:lang w:val="en-GB"/>
        </w:rPr>
        <w:t>OPC</w:t>
      </w:r>
      <w:r w:rsidR="00284303" w:rsidRPr="00284303">
        <w:rPr>
          <w:lang w:val="en-GB"/>
        </w:rPr>
        <w:t>. They carried out the simulations using UniSim</w:t>
      </w:r>
      <w:r w:rsidR="00284303" w:rsidRPr="00AF4EB1">
        <w:rPr>
          <w:vertAlign w:val="superscript"/>
          <w:lang w:val="en-GB"/>
        </w:rPr>
        <w:t>®</w:t>
      </w:r>
      <w:r w:rsidR="004A4687">
        <w:rPr>
          <w:lang w:val="en-GB"/>
        </w:rPr>
        <w:t xml:space="preserve"> </w:t>
      </w:r>
      <w:r w:rsidR="00284303" w:rsidRPr="00284303">
        <w:rPr>
          <w:lang w:val="en-GB"/>
        </w:rPr>
        <w:t>Design software and calculating the pure</w:t>
      </w:r>
      <w:r w:rsidR="004A4687">
        <w:rPr>
          <w:lang w:val="en-GB"/>
        </w:rPr>
        <w:t xml:space="preserve"> </w:t>
      </w:r>
      <w:r w:rsidR="004A4687" w:rsidRPr="00284303">
        <w:rPr>
          <w:lang w:val="en-GB"/>
        </w:rPr>
        <w:t>H</w:t>
      </w:r>
      <w:r w:rsidR="004A4687" w:rsidRPr="005F5BEA">
        <w:rPr>
          <w:vertAlign w:val="subscript"/>
          <w:lang w:val="en-GB"/>
        </w:rPr>
        <w:t>2</w:t>
      </w:r>
      <w:r w:rsidR="00284303" w:rsidRPr="00284303">
        <w:rPr>
          <w:lang w:val="en-GB"/>
        </w:rPr>
        <w:t xml:space="preserve"> properties with the Helm</w:t>
      </w:r>
      <w:r w:rsidR="004A4687">
        <w:rPr>
          <w:lang w:val="en-GB"/>
        </w:rPr>
        <w:t>h</w:t>
      </w:r>
      <w:r w:rsidR="00284303" w:rsidRPr="00284303">
        <w:rPr>
          <w:lang w:val="en-GB"/>
        </w:rPr>
        <w:t>oltz</w:t>
      </w:r>
      <w:r w:rsidR="004A4687">
        <w:rPr>
          <w:lang w:val="en-GB"/>
        </w:rPr>
        <w:t xml:space="preserve"> energy</w:t>
      </w:r>
      <w:r w:rsidR="00284303" w:rsidRPr="00284303">
        <w:rPr>
          <w:lang w:val="en-GB"/>
        </w:rPr>
        <w:t xml:space="preserve"> explicit </w:t>
      </w:r>
      <w:proofErr w:type="spellStart"/>
      <w:r w:rsidR="00284303" w:rsidRPr="00284303">
        <w:rPr>
          <w:lang w:val="en-GB"/>
        </w:rPr>
        <w:t>EoS</w:t>
      </w:r>
      <w:proofErr w:type="spellEnd"/>
      <w:r w:rsidR="00284303" w:rsidRPr="00284303">
        <w:rPr>
          <w:lang w:val="en-GB"/>
        </w:rPr>
        <w:t xml:space="preserve"> implemented in REFPROP. What emerges from the literature scouting is the lack of a systematic method to approach the simulation of</w:t>
      </w:r>
      <w:r w:rsidR="004A4687" w:rsidRPr="004A4687">
        <w:rPr>
          <w:lang w:val="en-GB"/>
        </w:rPr>
        <w:t xml:space="preserve"> </w:t>
      </w:r>
      <w:r w:rsidR="004A4687">
        <w:rPr>
          <w:lang w:val="en-GB"/>
        </w:rPr>
        <w:t>hydrogen</w:t>
      </w:r>
      <w:r w:rsidR="00284303" w:rsidRPr="00284303">
        <w:rPr>
          <w:lang w:val="en-GB"/>
        </w:rPr>
        <w:t xml:space="preserve"> liquefaction. This arises the need to define a method, to be easily implemented in commercial simulators, accurate in predicting the calorimetric and volumetric properties of </w:t>
      </w:r>
      <w:r w:rsidR="004A4687" w:rsidRPr="00284303">
        <w:rPr>
          <w:lang w:val="en-GB"/>
        </w:rPr>
        <w:t>H</w:t>
      </w:r>
      <w:r w:rsidR="004A4687" w:rsidRPr="005F5BEA">
        <w:rPr>
          <w:vertAlign w:val="subscript"/>
          <w:lang w:val="en-GB"/>
        </w:rPr>
        <w:t>2</w:t>
      </w:r>
      <w:r w:rsidR="004A4687" w:rsidRPr="00284303">
        <w:rPr>
          <w:lang w:val="en-GB"/>
        </w:rPr>
        <w:t xml:space="preserve"> </w:t>
      </w:r>
      <w:r w:rsidR="00284303" w:rsidRPr="00284303">
        <w:rPr>
          <w:lang w:val="en-GB"/>
        </w:rPr>
        <w:t>during liquefaction and versatile in being used for different processes at different operating conditions</w:t>
      </w:r>
      <w:r w:rsidR="00284303">
        <w:rPr>
          <w:lang w:val="en-GB"/>
        </w:rPr>
        <w:t>.</w:t>
      </w:r>
    </w:p>
    <w:p w14:paraId="28D291AB" w14:textId="2932C1F7" w:rsidR="005F5BEA" w:rsidRDefault="005F5BEA" w:rsidP="005F5BEA">
      <w:pPr>
        <w:pStyle w:val="CETHeading1"/>
      </w:pPr>
      <w:bookmarkStart w:id="1" w:name="_Ref126244848"/>
      <w:r>
        <w:t>Thermodynamic model definition</w:t>
      </w:r>
      <w:bookmarkEnd w:id="1"/>
    </w:p>
    <w:p w14:paraId="0F5B0462" w14:textId="1784A5F0" w:rsidR="0062680C" w:rsidRDefault="003D73EA" w:rsidP="0062680C">
      <w:pPr>
        <w:pStyle w:val="CETBodytext"/>
        <w:rPr>
          <w:lang w:val="en-GB"/>
        </w:rPr>
      </w:pPr>
      <w:r>
        <w:rPr>
          <w:lang w:val="en-GB"/>
        </w:rPr>
        <w:t xml:space="preserve">The </w:t>
      </w:r>
      <w:r w:rsidR="001673E8">
        <w:rPr>
          <w:lang w:val="en-GB"/>
        </w:rPr>
        <w:t>H</w:t>
      </w:r>
      <w:r w:rsidR="001673E8" w:rsidRPr="001673E8">
        <w:rPr>
          <w:vertAlign w:val="subscript"/>
          <w:lang w:val="en-GB"/>
        </w:rPr>
        <w:t>2</w:t>
      </w:r>
      <w:r w:rsidR="00284303" w:rsidRPr="00284303">
        <w:rPr>
          <w:lang w:val="en-GB"/>
        </w:rPr>
        <w:t xml:space="preserve"> </w:t>
      </w:r>
      <w:r>
        <w:rPr>
          <w:lang w:val="en-GB"/>
        </w:rPr>
        <w:t>isomers</w:t>
      </w:r>
      <w:r w:rsidR="00284303" w:rsidRPr="00284303">
        <w:rPr>
          <w:lang w:val="en-GB"/>
        </w:rPr>
        <w:t xml:space="preserve"> are distinguished by the orientation of the </w:t>
      </w:r>
      <w:r>
        <w:rPr>
          <w:lang w:val="en-GB"/>
        </w:rPr>
        <w:t>nuclei</w:t>
      </w:r>
      <w:r w:rsidR="00284303" w:rsidRPr="00284303">
        <w:rPr>
          <w:lang w:val="en-GB"/>
        </w:rPr>
        <w:t xml:space="preserve"> spins</w:t>
      </w:r>
      <w:r w:rsidR="00C476D5">
        <w:rPr>
          <w:lang w:val="en-GB"/>
        </w:rPr>
        <w:t>: the form</w:t>
      </w:r>
      <w:r w:rsidR="00284303" w:rsidRPr="00284303">
        <w:rPr>
          <w:lang w:val="en-GB"/>
        </w:rPr>
        <w:t xml:space="preserve"> in which the spins are in the same direction (antisymmetric) is called ortho</w:t>
      </w:r>
      <w:r w:rsidR="00C476D5">
        <w:rPr>
          <w:lang w:val="en-GB"/>
        </w:rPr>
        <w:t>-hydrogen</w:t>
      </w:r>
      <w:r w:rsidR="00284303" w:rsidRPr="00284303">
        <w:rPr>
          <w:lang w:val="en-GB"/>
        </w:rPr>
        <w:t xml:space="preserve"> (o-H</w:t>
      </w:r>
      <w:r w:rsidR="00284303" w:rsidRPr="005F5BEA">
        <w:rPr>
          <w:vertAlign w:val="subscript"/>
          <w:lang w:val="en-GB"/>
        </w:rPr>
        <w:t>2</w:t>
      </w:r>
      <w:r w:rsidR="00284303" w:rsidRPr="00284303">
        <w:rPr>
          <w:lang w:val="en-GB"/>
        </w:rPr>
        <w:t>), the one in which the spins are in the opposite direction (symmetric) is called para</w:t>
      </w:r>
      <w:r w:rsidR="00C476D5">
        <w:rPr>
          <w:lang w:val="en-GB"/>
        </w:rPr>
        <w:t>-hydrogen</w:t>
      </w:r>
      <w:r w:rsidR="00284303" w:rsidRPr="00284303">
        <w:rPr>
          <w:lang w:val="en-GB"/>
        </w:rPr>
        <w:t xml:space="preserve"> (p-H</w:t>
      </w:r>
      <w:r w:rsidR="00284303" w:rsidRPr="005F5BEA">
        <w:rPr>
          <w:vertAlign w:val="subscript"/>
          <w:lang w:val="en-GB"/>
        </w:rPr>
        <w:t>2</w:t>
      </w:r>
      <w:r w:rsidR="00284303" w:rsidRPr="00284303">
        <w:rPr>
          <w:lang w:val="en-GB"/>
        </w:rPr>
        <w:t xml:space="preserve">), as shown in </w:t>
      </w:r>
      <w:r w:rsidR="0003689E">
        <w:rPr>
          <w:highlight w:val="yellow"/>
          <w:lang w:val="en-GB"/>
        </w:rPr>
        <w:fldChar w:fldCharType="begin"/>
      </w:r>
      <w:r w:rsidR="0003689E">
        <w:rPr>
          <w:lang w:val="en-GB"/>
        </w:rPr>
        <w:instrText xml:space="preserve"> REF _Ref126244699 \h </w:instrText>
      </w:r>
      <w:r w:rsidR="0003689E">
        <w:rPr>
          <w:highlight w:val="yellow"/>
          <w:lang w:val="en-GB"/>
        </w:rPr>
      </w:r>
      <w:r w:rsidR="0003689E">
        <w:rPr>
          <w:highlight w:val="yellow"/>
          <w:lang w:val="en-GB"/>
        </w:rPr>
        <w:fldChar w:fldCharType="separate"/>
      </w:r>
      <w:r w:rsidR="008874A4" w:rsidRPr="00170675">
        <w:t xml:space="preserve">Figure </w:t>
      </w:r>
      <w:r w:rsidR="008874A4">
        <w:rPr>
          <w:noProof/>
        </w:rPr>
        <w:t>1</w:t>
      </w:r>
      <w:r w:rsidR="0003689E">
        <w:rPr>
          <w:highlight w:val="yellow"/>
          <w:lang w:val="en-GB"/>
        </w:rPr>
        <w:fldChar w:fldCharType="end"/>
      </w:r>
      <w:r w:rsidR="00AD4782">
        <w:rPr>
          <w:lang w:val="en-GB"/>
        </w:rPr>
        <w:t>a</w:t>
      </w:r>
      <w:r w:rsidR="00284303" w:rsidRPr="00284303">
        <w:rPr>
          <w:lang w:val="en-GB"/>
        </w:rPr>
        <w:t>.</w:t>
      </w:r>
      <w:r w:rsidR="00284303">
        <w:rPr>
          <w:lang w:val="en-GB"/>
        </w:rPr>
        <w:t xml:space="preserve"> </w:t>
      </w:r>
      <w:r w:rsidR="00F771CF" w:rsidRPr="00284303">
        <w:rPr>
          <w:lang w:val="en-GB"/>
        </w:rPr>
        <w:t>Beside these two forms, normal</w:t>
      </w:r>
      <w:r w:rsidR="00F40B55">
        <w:rPr>
          <w:lang w:val="en-GB"/>
        </w:rPr>
        <w:noBreakHyphen/>
      </w:r>
      <w:r w:rsidR="00C476D5">
        <w:rPr>
          <w:lang w:val="en-GB"/>
        </w:rPr>
        <w:t>hydrogen</w:t>
      </w:r>
      <w:r w:rsidR="00F771CF" w:rsidRPr="00284303">
        <w:rPr>
          <w:lang w:val="en-GB"/>
        </w:rPr>
        <w:t xml:space="preserve"> (n-H</w:t>
      </w:r>
      <w:r w:rsidR="00F771CF" w:rsidRPr="005F5BEA">
        <w:rPr>
          <w:vertAlign w:val="subscript"/>
          <w:lang w:val="en-GB"/>
        </w:rPr>
        <w:t>2</w:t>
      </w:r>
      <w:r w:rsidR="00F771CF" w:rsidRPr="00284303">
        <w:rPr>
          <w:lang w:val="en-GB"/>
        </w:rPr>
        <w:t>) and equilibrium</w:t>
      </w:r>
      <w:r w:rsidR="00C476D5">
        <w:rPr>
          <w:lang w:val="en-GB"/>
        </w:rPr>
        <w:t>-hydrogen</w:t>
      </w:r>
      <w:r w:rsidR="00F771CF" w:rsidRPr="00284303">
        <w:rPr>
          <w:lang w:val="en-GB"/>
        </w:rPr>
        <w:t xml:space="preserve"> (e-H</w:t>
      </w:r>
      <w:r w:rsidR="00F771CF" w:rsidRPr="005F5BEA">
        <w:rPr>
          <w:vertAlign w:val="subscript"/>
          <w:lang w:val="en-GB"/>
        </w:rPr>
        <w:t>2</w:t>
      </w:r>
      <w:r w:rsidR="00F771CF" w:rsidRPr="00284303">
        <w:rPr>
          <w:lang w:val="en-GB"/>
        </w:rPr>
        <w:t>) are commonly defined, representing mixtures of o-H</w:t>
      </w:r>
      <w:r w:rsidR="00F771CF" w:rsidRPr="005F5BEA">
        <w:rPr>
          <w:vertAlign w:val="subscript"/>
          <w:lang w:val="en-GB"/>
        </w:rPr>
        <w:t>2</w:t>
      </w:r>
      <w:r w:rsidR="00F771CF" w:rsidRPr="00284303">
        <w:rPr>
          <w:lang w:val="en-GB"/>
        </w:rPr>
        <w:t xml:space="preserve"> and p</w:t>
      </w:r>
      <w:r w:rsidR="00F40B55">
        <w:rPr>
          <w:lang w:val="en-GB"/>
        </w:rPr>
        <w:noBreakHyphen/>
      </w:r>
      <w:r w:rsidR="00F771CF" w:rsidRPr="00284303">
        <w:rPr>
          <w:lang w:val="en-GB"/>
        </w:rPr>
        <w:t>H</w:t>
      </w:r>
      <w:r w:rsidR="00F771CF" w:rsidRPr="005F5BEA">
        <w:rPr>
          <w:vertAlign w:val="subscript"/>
          <w:lang w:val="en-GB"/>
        </w:rPr>
        <w:t>2</w:t>
      </w:r>
      <w:r w:rsidR="00F771CF" w:rsidRPr="00284303">
        <w:rPr>
          <w:lang w:val="en-GB"/>
        </w:rPr>
        <w:t>. e-H</w:t>
      </w:r>
      <w:r w:rsidR="00F771CF" w:rsidRPr="005F5BEA">
        <w:rPr>
          <w:vertAlign w:val="subscript"/>
          <w:lang w:val="en-GB"/>
        </w:rPr>
        <w:t>2</w:t>
      </w:r>
      <w:r w:rsidR="00F771CF" w:rsidRPr="00284303">
        <w:rPr>
          <w:lang w:val="en-GB"/>
        </w:rPr>
        <w:t xml:space="preserve"> corresponds to the </w:t>
      </w:r>
      <w:r w:rsidR="000B3263">
        <w:rPr>
          <w:lang w:val="en-GB"/>
        </w:rPr>
        <w:t xml:space="preserve">equilibrium </w:t>
      </w:r>
      <w:r w:rsidR="00F771CF" w:rsidRPr="00284303">
        <w:rPr>
          <w:lang w:val="en-GB"/>
        </w:rPr>
        <w:t>mixture of o-H</w:t>
      </w:r>
      <w:r w:rsidR="00F771CF" w:rsidRPr="005F5BEA">
        <w:rPr>
          <w:vertAlign w:val="subscript"/>
          <w:lang w:val="en-GB"/>
        </w:rPr>
        <w:t>2</w:t>
      </w:r>
      <w:r w:rsidR="00F771CF" w:rsidRPr="00284303">
        <w:rPr>
          <w:lang w:val="en-GB"/>
        </w:rPr>
        <w:t xml:space="preserve"> and p-H</w:t>
      </w:r>
      <w:r w:rsidR="00F771CF" w:rsidRPr="005F5BEA">
        <w:rPr>
          <w:vertAlign w:val="subscript"/>
          <w:lang w:val="en-GB"/>
        </w:rPr>
        <w:t>2</w:t>
      </w:r>
      <w:r w:rsidR="00F771CF" w:rsidRPr="00284303">
        <w:rPr>
          <w:lang w:val="en-GB"/>
        </w:rPr>
        <w:t xml:space="preserve"> whose composition depends on temperature T, as shown in </w:t>
      </w:r>
      <w:r w:rsidR="00F771CF">
        <w:rPr>
          <w:highlight w:val="yellow"/>
          <w:lang w:val="en-GB"/>
        </w:rPr>
        <w:fldChar w:fldCharType="begin"/>
      </w:r>
      <w:r w:rsidR="00F771CF">
        <w:rPr>
          <w:lang w:val="en-GB"/>
        </w:rPr>
        <w:instrText xml:space="preserve"> REF _Ref126244699 \h </w:instrText>
      </w:r>
      <w:r w:rsidR="00F771CF">
        <w:rPr>
          <w:highlight w:val="yellow"/>
          <w:lang w:val="en-GB"/>
        </w:rPr>
      </w:r>
      <w:r w:rsidR="00F771CF">
        <w:rPr>
          <w:highlight w:val="yellow"/>
          <w:lang w:val="en-GB"/>
        </w:rPr>
        <w:fldChar w:fldCharType="separate"/>
      </w:r>
      <w:r w:rsidR="008874A4" w:rsidRPr="00170675">
        <w:t xml:space="preserve">Figure </w:t>
      </w:r>
      <w:r w:rsidR="008874A4">
        <w:rPr>
          <w:noProof/>
        </w:rPr>
        <w:t>1</w:t>
      </w:r>
      <w:r w:rsidR="00F771CF">
        <w:rPr>
          <w:highlight w:val="yellow"/>
          <w:lang w:val="en-GB"/>
        </w:rPr>
        <w:fldChar w:fldCharType="end"/>
      </w:r>
      <w:r w:rsidR="00F771CF">
        <w:rPr>
          <w:lang w:val="en-GB"/>
        </w:rPr>
        <w:t>b</w:t>
      </w:r>
      <w:r w:rsidR="00F771CF" w:rsidRPr="00284303">
        <w:rPr>
          <w:lang w:val="en-GB"/>
        </w:rPr>
        <w:t>.</w:t>
      </w:r>
      <w:r w:rsidR="00F771CF" w:rsidRPr="00F771CF">
        <w:rPr>
          <w:lang w:val="en-GB"/>
        </w:rPr>
        <w:t xml:space="preserve"> </w:t>
      </w:r>
      <w:r w:rsidR="00F771CF" w:rsidRPr="00284303">
        <w:rPr>
          <w:lang w:val="en-GB"/>
        </w:rPr>
        <w:t xml:space="preserve">Above the ambient </w:t>
      </w:r>
      <w:r w:rsidR="000B3263">
        <w:rPr>
          <w:lang w:val="en-GB"/>
        </w:rPr>
        <w:t>temperature</w:t>
      </w:r>
      <w:r w:rsidR="00F771CF" w:rsidRPr="00284303">
        <w:rPr>
          <w:lang w:val="en-GB"/>
        </w:rPr>
        <w:t>, the equilibrium composition remain</w:t>
      </w:r>
      <w:r w:rsidR="00F771CF">
        <w:rPr>
          <w:lang w:val="en-GB"/>
        </w:rPr>
        <w:t>s</w:t>
      </w:r>
      <w:r w:rsidR="00F771CF" w:rsidRPr="00284303">
        <w:rPr>
          <w:lang w:val="en-GB"/>
        </w:rPr>
        <w:t xml:space="preserve"> fixed at 75% o</w:t>
      </w:r>
      <w:r w:rsidR="00E25385">
        <w:rPr>
          <w:lang w:val="en-GB"/>
        </w:rPr>
        <w:noBreakHyphen/>
      </w:r>
      <w:r w:rsidR="00F771CF" w:rsidRPr="00284303">
        <w:rPr>
          <w:lang w:val="en-GB"/>
        </w:rPr>
        <w:t>H</w:t>
      </w:r>
      <w:r w:rsidR="00F771CF" w:rsidRPr="005F5BEA">
        <w:rPr>
          <w:vertAlign w:val="subscript"/>
          <w:lang w:val="en-GB"/>
        </w:rPr>
        <w:t>2</w:t>
      </w:r>
      <w:r w:rsidR="00F771CF" w:rsidRPr="00284303">
        <w:rPr>
          <w:lang w:val="en-GB"/>
        </w:rPr>
        <w:t xml:space="preserve"> and 25% p-H</w:t>
      </w:r>
      <w:r w:rsidR="00F771CF" w:rsidRPr="005F5BEA">
        <w:rPr>
          <w:vertAlign w:val="subscript"/>
          <w:lang w:val="en-GB"/>
        </w:rPr>
        <w:t>2</w:t>
      </w:r>
      <w:r w:rsidR="00F771CF" w:rsidRPr="00284303">
        <w:rPr>
          <w:lang w:val="en-GB"/>
        </w:rPr>
        <w:t xml:space="preserve">: this mixture is </w:t>
      </w:r>
      <w:r w:rsidR="00F771CF">
        <w:rPr>
          <w:lang w:val="en-GB"/>
        </w:rPr>
        <w:t>call</w:t>
      </w:r>
      <w:r w:rsidR="00F771CF" w:rsidRPr="00284303">
        <w:rPr>
          <w:lang w:val="en-GB"/>
        </w:rPr>
        <w:t>ed n-H</w:t>
      </w:r>
      <w:r w:rsidR="00F771CF" w:rsidRPr="005F5BEA">
        <w:rPr>
          <w:vertAlign w:val="subscript"/>
          <w:lang w:val="en-GB"/>
        </w:rPr>
        <w:t>2</w:t>
      </w:r>
      <w:r w:rsidR="00F771CF" w:rsidRPr="00284303">
        <w:rPr>
          <w:lang w:val="en-GB"/>
        </w:rPr>
        <w:t>.</w:t>
      </w:r>
      <w:r w:rsidR="0062680C" w:rsidRPr="0062680C">
        <w:rPr>
          <w:lang w:val="en-GB"/>
        </w:rPr>
        <w:t xml:space="preserve"> </w:t>
      </w:r>
      <w:r w:rsidR="0062680C" w:rsidRPr="00284303">
        <w:rPr>
          <w:lang w:val="en-GB"/>
        </w:rPr>
        <w:t>The equilibrium between the isomers is due to the lower energy state of p-H</w:t>
      </w:r>
      <w:r w:rsidR="0062680C" w:rsidRPr="005F5BEA">
        <w:rPr>
          <w:vertAlign w:val="subscript"/>
          <w:lang w:val="en-GB"/>
        </w:rPr>
        <w:t>2</w:t>
      </w:r>
      <w:r w:rsidR="0062680C" w:rsidRPr="00284303">
        <w:rPr>
          <w:lang w:val="en-GB"/>
        </w:rPr>
        <w:t xml:space="preserve"> compared to o-H</w:t>
      </w:r>
      <w:r w:rsidR="0062680C" w:rsidRPr="005F5BEA">
        <w:rPr>
          <w:vertAlign w:val="subscript"/>
          <w:lang w:val="en-GB"/>
        </w:rPr>
        <w:t>2</w:t>
      </w:r>
      <w:r w:rsidR="0062680C" w:rsidRPr="00284303">
        <w:rPr>
          <w:lang w:val="en-GB"/>
        </w:rPr>
        <w:t>. The</w:t>
      </w:r>
      <w:r w:rsidR="001673E8">
        <w:rPr>
          <w:lang w:val="en-GB"/>
        </w:rPr>
        <w:t>refore, the</w:t>
      </w:r>
      <w:r w:rsidR="0062680C" w:rsidRPr="00284303">
        <w:rPr>
          <w:lang w:val="en-GB"/>
        </w:rPr>
        <w:t xml:space="preserve"> conversion from the ortho to the para form</w:t>
      </w:r>
      <w:r w:rsidR="001673E8">
        <w:rPr>
          <w:lang w:val="en-GB"/>
        </w:rPr>
        <w:t xml:space="preserve"> </w:t>
      </w:r>
      <w:r w:rsidR="0062680C" w:rsidRPr="00284303">
        <w:rPr>
          <w:lang w:val="en-GB"/>
        </w:rPr>
        <w:t>is an exothermic reaction (</w:t>
      </w:r>
      <w:proofErr w:type="spellStart"/>
      <w:r w:rsidR="0062680C" w:rsidRPr="00284303">
        <w:rPr>
          <w:lang w:val="en-GB"/>
        </w:rPr>
        <w:t>ΔH</w:t>
      </w:r>
      <w:r w:rsidR="0062680C" w:rsidRPr="005F5BEA">
        <w:rPr>
          <w:vertAlign w:val="subscript"/>
          <w:lang w:val="en-GB"/>
        </w:rPr>
        <w:t>r</w:t>
      </w:r>
      <w:proofErr w:type="spellEnd"/>
      <w:r w:rsidR="0062680C" w:rsidRPr="00284303">
        <w:rPr>
          <w:lang w:val="en-GB"/>
        </w:rPr>
        <w:t xml:space="preserve"> &lt; 0) and the reaction enthalpy </w:t>
      </w:r>
      <w:proofErr w:type="spellStart"/>
      <w:r w:rsidR="0062680C" w:rsidRPr="00284303">
        <w:rPr>
          <w:lang w:val="en-GB"/>
        </w:rPr>
        <w:t>ΔH</w:t>
      </w:r>
      <w:r w:rsidR="0062680C" w:rsidRPr="005F5BEA">
        <w:rPr>
          <w:vertAlign w:val="subscript"/>
          <w:lang w:val="en-GB"/>
        </w:rPr>
        <w:t>r</w:t>
      </w:r>
      <w:proofErr w:type="spellEnd"/>
      <w:r w:rsidR="0062680C" w:rsidRPr="00284303">
        <w:rPr>
          <w:lang w:val="en-GB"/>
        </w:rPr>
        <w:t xml:space="preserve"> is a function of </w:t>
      </w:r>
      <w:r w:rsidR="001673E8">
        <w:rPr>
          <w:lang w:val="en-GB"/>
        </w:rPr>
        <w:t>T</w:t>
      </w:r>
      <w:r w:rsidR="0062680C" w:rsidRPr="00284303">
        <w:rPr>
          <w:lang w:val="en-GB"/>
        </w:rPr>
        <w:t xml:space="preserve">, as shown in </w:t>
      </w:r>
      <w:r w:rsidR="0062680C">
        <w:rPr>
          <w:lang w:val="en-GB"/>
        </w:rPr>
        <w:fldChar w:fldCharType="begin"/>
      </w:r>
      <w:r w:rsidR="0062680C">
        <w:rPr>
          <w:lang w:val="en-GB"/>
        </w:rPr>
        <w:instrText xml:space="preserve"> REF _Ref126244699 \h </w:instrText>
      </w:r>
      <w:r w:rsidR="0062680C">
        <w:rPr>
          <w:lang w:val="en-GB"/>
        </w:rPr>
      </w:r>
      <w:r w:rsidR="0062680C">
        <w:rPr>
          <w:lang w:val="en-GB"/>
        </w:rPr>
        <w:fldChar w:fldCharType="separate"/>
      </w:r>
      <w:r w:rsidR="008874A4" w:rsidRPr="00170675">
        <w:t xml:space="preserve">Figure </w:t>
      </w:r>
      <w:r w:rsidR="008874A4">
        <w:rPr>
          <w:noProof/>
        </w:rPr>
        <w:t>1</w:t>
      </w:r>
      <w:r w:rsidR="0062680C">
        <w:rPr>
          <w:lang w:val="en-GB"/>
        </w:rPr>
        <w:fldChar w:fldCharType="end"/>
      </w:r>
      <w:r w:rsidR="0062680C">
        <w:rPr>
          <w:lang w:val="en-GB"/>
        </w:rPr>
        <w:t>b</w:t>
      </w:r>
      <w:r w:rsidR="0062680C" w:rsidRPr="00284303">
        <w:rPr>
          <w:lang w:val="en-GB"/>
        </w:rPr>
        <w:t>.</w:t>
      </w:r>
    </w:p>
    <w:p w14:paraId="746E7116" w14:textId="1EBC8FC7" w:rsidR="002D0E4C" w:rsidRPr="00B57B36" w:rsidRDefault="00692BDE" w:rsidP="00673C2A">
      <w:pPr>
        <w:pStyle w:val="CETCaption"/>
        <w:spacing w:before="120" w:after="0"/>
      </w:pPr>
      <w:r>
        <w:t>a</w:t>
      </w:r>
      <w:r w:rsidR="00C476D5">
        <w:t>)</w:t>
      </w:r>
      <w:r w:rsidR="00C476D5" w:rsidRPr="00C476D5">
        <w:rPr>
          <w:noProof/>
          <w:lang w:val="it-IT" w:eastAsia="it-IT"/>
        </w:rPr>
        <w:drawing>
          <wp:inline distT="0" distB="0" distL="0" distR="0" wp14:anchorId="14C23552" wp14:editId="4BE145C3">
            <wp:extent cx="2158365" cy="10763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rotWithShape="1">
                    <a:blip r:embed="rId10">
                      <a:extLst>
                        <a:ext uri="{28A0092B-C50C-407E-A947-70E740481C1C}">
                          <a14:useLocalDpi xmlns:a14="http://schemas.microsoft.com/office/drawing/2010/main" val="0"/>
                        </a:ext>
                      </a:extLst>
                    </a:blip>
                    <a:srcRect t="2" b="-63931"/>
                    <a:stretch/>
                  </pic:blipFill>
                  <pic:spPr bwMode="auto">
                    <a:xfrm>
                      <a:off x="0" y="0"/>
                      <a:ext cx="2160000" cy="1077140"/>
                    </a:xfrm>
                    <a:prstGeom prst="rect">
                      <a:avLst/>
                    </a:prstGeom>
                    <a:noFill/>
                    <a:ln>
                      <a:noFill/>
                    </a:ln>
                    <a:extLst>
                      <a:ext uri="{53640926-AAD7-44D8-BBD7-CCE9431645EC}">
                        <a14:shadowObscured xmlns:a14="http://schemas.microsoft.com/office/drawing/2010/main"/>
                      </a:ext>
                    </a:extLst>
                  </pic:spPr>
                </pic:pic>
              </a:graphicData>
            </a:graphic>
          </wp:inline>
        </w:drawing>
      </w:r>
      <w:r w:rsidR="00C476D5" w:rsidRPr="00C476D5">
        <w:t xml:space="preserve"> </w:t>
      </w:r>
      <w:r>
        <w:t>b)</w:t>
      </w:r>
      <w:r w:rsidR="000A013F" w:rsidRPr="000A013F">
        <w:rPr>
          <w:noProof/>
          <w:lang w:val="it-IT" w:eastAsia="it-IT"/>
        </w:rPr>
        <w:drawing>
          <wp:inline distT="0" distB="0" distL="0" distR="0" wp14:anchorId="6557028D" wp14:editId="7B037D61">
            <wp:extent cx="2461633" cy="162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t="2568" b="1517"/>
                    <a:stretch/>
                  </pic:blipFill>
                  <pic:spPr bwMode="auto">
                    <a:xfrm>
                      <a:off x="0" y="0"/>
                      <a:ext cx="2461633"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4BF5524D" w14:textId="09B747A9" w:rsidR="002D0E4C" w:rsidRPr="00170675" w:rsidRDefault="0003689E" w:rsidP="00170675">
      <w:pPr>
        <w:pStyle w:val="CETCaption"/>
      </w:pPr>
      <w:bookmarkStart w:id="2" w:name="_Ref126244699"/>
      <w:r w:rsidRPr="00170675">
        <w:t xml:space="preserve">Figure </w:t>
      </w:r>
      <w:r w:rsidRPr="00170675">
        <w:fldChar w:fldCharType="begin"/>
      </w:r>
      <w:r w:rsidRPr="00170675">
        <w:instrText xml:space="preserve"> SEQ Figure \* ARABIC </w:instrText>
      </w:r>
      <w:r w:rsidRPr="00170675">
        <w:fldChar w:fldCharType="separate"/>
      </w:r>
      <w:r w:rsidR="008874A4">
        <w:rPr>
          <w:noProof/>
        </w:rPr>
        <w:t>1</w:t>
      </w:r>
      <w:r w:rsidRPr="00170675">
        <w:fldChar w:fldCharType="end"/>
      </w:r>
      <w:bookmarkEnd w:id="2"/>
      <w:r w:rsidR="002D0E4C" w:rsidRPr="00170675">
        <w:rPr>
          <w:rStyle w:val="CETCaptionCarattere"/>
          <w:i/>
        </w:rPr>
        <w:t xml:space="preserve">: </w:t>
      </w:r>
      <w:r w:rsidRPr="00170675">
        <w:rPr>
          <w:rStyle w:val="CETCaptionCarattere"/>
          <w:i/>
        </w:rPr>
        <w:t>a)</w:t>
      </w:r>
      <w:r w:rsidRPr="00170675">
        <w:t xml:space="preserve"> </w:t>
      </w:r>
      <w:r w:rsidRPr="00170675">
        <w:rPr>
          <w:rStyle w:val="CETCaptionCarattere"/>
          <w:i/>
        </w:rPr>
        <w:t xml:space="preserve">Orientation of </w:t>
      </w:r>
      <w:r w:rsidR="00C476D5" w:rsidRPr="00170675">
        <w:rPr>
          <w:rStyle w:val="CETCaptionCarattere"/>
          <w:i/>
        </w:rPr>
        <w:t>nuclei</w:t>
      </w:r>
      <w:r w:rsidRPr="00170675">
        <w:rPr>
          <w:rStyle w:val="CETCaptionCarattere"/>
          <w:i/>
        </w:rPr>
        <w:t xml:space="preserve"> spins in ortho</w:t>
      </w:r>
      <w:r w:rsidR="001673E8" w:rsidRPr="00170675">
        <w:rPr>
          <w:rStyle w:val="CETCaptionCarattere"/>
          <w:i/>
        </w:rPr>
        <w:t>-</w:t>
      </w:r>
      <w:r w:rsidRPr="00170675">
        <w:rPr>
          <w:rStyle w:val="CETCaptionCarattere"/>
          <w:i/>
        </w:rPr>
        <w:t xml:space="preserve"> and para</w:t>
      </w:r>
      <w:r w:rsidR="001673E8" w:rsidRPr="00170675">
        <w:rPr>
          <w:rStyle w:val="CETCaptionCarattere"/>
          <w:i/>
        </w:rPr>
        <w:t>-</w:t>
      </w:r>
      <w:r w:rsidRPr="00170675">
        <w:rPr>
          <w:rStyle w:val="CETCaptionCarattere"/>
          <w:i/>
        </w:rPr>
        <w:t>hydrogen; b)</w:t>
      </w:r>
      <w:r w:rsidRPr="00170675">
        <w:t xml:space="preserve"> </w:t>
      </w:r>
      <w:r w:rsidRPr="00170675">
        <w:rPr>
          <w:rStyle w:val="CETCaptionCarattere"/>
          <w:i/>
        </w:rPr>
        <w:t>Percentage content of p-H</w:t>
      </w:r>
      <w:r w:rsidRPr="00170675">
        <w:rPr>
          <w:rStyle w:val="CETCaptionCarattere"/>
          <w:i/>
          <w:vertAlign w:val="subscript"/>
        </w:rPr>
        <w:t>2</w:t>
      </w:r>
      <w:r w:rsidRPr="00170675">
        <w:rPr>
          <w:rStyle w:val="CETCaptionCarattere"/>
          <w:i/>
        </w:rPr>
        <w:t xml:space="preserve"> and enthalpy of the isomerization reaction -</w:t>
      </w:r>
      <w:proofErr w:type="spellStart"/>
      <w:r w:rsidRPr="00170675">
        <w:rPr>
          <w:rStyle w:val="CETCaptionCarattere"/>
          <w:i/>
        </w:rPr>
        <w:t>ΔH</w:t>
      </w:r>
      <w:r w:rsidRPr="00170675">
        <w:rPr>
          <w:rStyle w:val="CETCaptionCarattere"/>
          <w:i/>
          <w:vertAlign w:val="subscript"/>
        </w:rPr>
        <w:t>r</w:t>
      </w:r>
      <w:proofErr w:type="spellEnd"/>
      <w:r w:rsidRPr="00170675">
        <w:rPr>
          <w:rStyle w:val="CETCaptionCarattere"/>
          <w:i/>
        </w:rPr>
        <w:t xml:space="preserve"> [kJ/</w:t>
      </w:r>
      <w:proofErr w:type="spellStart"/>
      <w:r w:rsidRPr="00170675">
        <w:rPr>
          <w:rStyle w:val="CETCaptionCarattere"/>
          <w:i/>
        </w:rPr>
        <w:t>kmol</w:t>
      </w:r>
      <w:proofErr w:type="spellEnd"/>
      <w:r w:rsidRPr="00170675">
        <w:rPr>
          <w:rStyle w:val="CETCaptionCarattere"/>
          <w:i/>
        </w:rPr>
        <w:t>] at equilibrium as functions of temperature.</w:t>
      </w:r>
      <w:r w:rsidR="002D0E4C" w:rsidRPr="00170675">
        <w:t xml:space="preserve"> </w:t>
      </w:r>
    </w:p>
    <w:p w14:paraId="78E804C8" w14:textId="7184D86E" w:rsidR="00284303" w:rsidRDefault="00E038F5" w:rsidP="00284303">
      <w:pPr>
        <w:pStyle w:val="CETBodytext"/>
        <w:rPr>
          <w:lang w:val="en-GB"/>
        </w:rPr>
      </w:pPr>
      <w:r>
        <w:rPr>
          <w:lang w:val="en-GB"/>
        </w:rPr>
        <w:t>In this section, a</w:t>
      </w:r>
      <w:r w:rsidR="00284303" w:rsidRPr="00284303">
        <w:rPr>
          <w:lang w:val="en-GB"/>
        </w:rPr>
        <w:t xml:space="preserve"> </w:t>
      </w:r>
      <w:r w:rsidRPr="00284303">
        <w:rPr>
          <w:lang w:val="en-GB"/>
        </w:rPr>
        <w:t xml:space="preserve">method to approach </w:t>
      </w:r>
      <w:r w:rsidR="00FA2451">
        <w:rPr>
          <w:lang w:val="en-GB"/>
        </w:rPr>
        <w:t>H</w:t>
      </w:r>
      <w:r w:rsidR="00FA2451" w:rsidRPr="00FA2451">
        <w:rPr>
          <w:vertAlign w:val="subscript"/>
          <w:lang w:val="en-GB"/>
        </w:rPr>
        <w:t>2</w:t>
      </w:r>
      <w:r w:rsidR="00FA2451">
        <w:rPr>
          <w:lang w:val="en-GB"/>
        </w:rPr>
        <w:t xml:space="preserve"> </w:t>
      </w:r>
      <w:r>
        <w:rPr>
          <w:lang w:val="en-GB"/>
        </w:rPr>
        <w:t>thermodynamics during</w:t>
      </w:r>
      <w:r w:rsidRPr="00284303">
        <w:rPr>
          <w:lang w:val="en-GB"/>
        </w:rPr>
        <w:t xml:space="preserve"> liquefaction </w:t>
      </w:r>
      <w:r>
        <w:rPr>
          <w:lang w:val="en-GB"/>
        </w:rPr>
        <w:t xml:space="preserve">is </w:t>
      </w:r>
      <w:r w:rsidR="0054081B">
        <w:rPr>
          <w:lang w:val="en-GB"/>
        </w:rPr>
        <w:t>present</w:t>
      </w:r>
      <w:r>
        <w:rPr>
          <w:lang w:val="en-GB"/>
        </w:rPr>
        <w:t xml:space="preserve">ed, </w:t>
      </w:r>
      <w:r w:rsidR="000B16B5">
        <w:rPr>
          <w:lang w:val="en-GB"/>
        </w:rPr>
        <w:t xml:space="preserve">which </w:t>
      </w:r>
      <w:r>
        <w:rPr>
          <w:lang w:val="en-GB"/>
        </w:rPr>
        <w:t>is</w:t>
      </w:r>
      <w:r w:rsidR="00284303" w:rsidRPr="00284303">
        <w:rPr>
          <w:lang w:val="en-GB"/>
        </w:rPr>
        <w:t xml:space="preserve"> able to represent the effective </w:t>
      </w:r>
      <w:proofErr w:type="spellStart"/>
      <w:r w:rsidR="000B16B5">
        <w:rPr>
          <w:lang w:val="en-GB"/>
        </w:rPr>
        <w:t>behavior</w:t>
      </w:r>
      <w:proofErr w:type="spellEnd"/>
      <w:r w:rsidR="000B16B5">
        <w:rPr>
          <w:lang w:val="en-GB"/>
        </w:rPr>
        <w:t xml:space="preserve"> </w:t>
      </w:r>
      <w:r w:rsidR="00284303" w:rsidRPr="00284303">
        <w:rPr>
          <w:lang w:val="en-GB"/>
        </w:rPr>
        <w:t xml:space="preserve">of </w:t>
      </w:r>
      <w:r w:rsidR="00BD4196">
        <w:rPr>
          <w:lang w:val="en-GB"/>
        </w:rPr>
        <w:t>the</w:t>
      </w:r>
      <w:r w:rsidR="00BD4196" w:rsidRPr="00284303">
        <w:rPr>
          <w:lang w:val="en-GB"/>
        </w:rPr>
        <w:t xml:space="preserve"> </w:t>
      </w:r>
      <w:r w:rsidR="00284303" w:rsidRPr="00284303">
        <w:rPr>
          <w:lang w:val="en-GB"/>
        </w:rPr>
        <w:t>o-H</w:t>
      </w:r>
      <w:r w:rsidR="00284303" w:rsidRPr="005F5BEA">
        <w:rPr>
          <w:vertAlign w:val="subscript"/>
          <w:lang w:val="en-GB"/>
        </w:rPr>
        <w:t>2</w:t>
      </w:r>
      <w:r w:rsidR="00284303" w:rsidRPr="00284303">
        <w:rPr>
          <w:lang w:val="en-GB"/>
        </w:rPr>
        <w:t xml:space="preserve"> and p-H</w:t>
      </w:r>
      <w:r w:rsidR="00284303" w:rsidRPr="005F5BEA">
        <w:rPr>
          <w:vertAlign w:val="subscript"/>
          <w:lang w:val="en-GB"/>
        </w:rPr>
        <w:t>2</w:t>
      </w:r>
      <w:r w:rsidR="00284303" w:rsidRPr="00284303">
        <w:rPr>
          <w:lang w:val="en-GB"/>
        </w:rPr>
        <w:t xml:space="preserve"> </w:t>
      </w:r>
      <w:r w:rsidR="00BD4196" w:rsidRPr="00284303">
        <w:rPr>
          <w:lang w:val="en-GB"/>
        </w:rPr>
        <w:t xml:space="preserve">mixture </w:t>
      </w:r>
      <w:r w:rsidR="00284303" w:rsidRPr="00284303">
        <w:rPr>
          <w:lang w:val="en-GB"/>
        </w:rPr>
        <w:t xml:space="preserve">at any temperature level along the process, considering that in the case of continuous </w:t>
      </w:r>
      <w:r w:rsidR="0054081B">
        <w:rPr>
          <w:lang w:val="en-GB"/>
        </w:rPr>
        <w:t>OPC</w:t>
      </w:r>
      <w:r w:rsidR="00DA231B">
        <w:rPr>
          <w:lang w:val="en-GB"/>
        </w:rPr>
        <w:t>, obtained</w:t>
      </w:r>
      <w:r w:rsidR="0054081B">
        <w:rPr>
          <w:lang w:val="en-GB"/>
        </w:rPr>
        <w:t xml:space="preserve"> </w:t>
      </w:r>
      <w:r w:rsidR="00DA231B" w:rsidRPr="00284303">
        <w:rPr>
          <w:lang w:val="en-GB"/>
        </w:rPr>
        <w:t xml:space="preserve">by packing the catalyst on the </w:t>
      </w:r>
      <w:r w:rsidR="00FA2451">
        <w:rPr>
          <w:lang w:val="en-GB"/>
        </w:rPr>
        <w:t>H</w:t>
      </w:r>
      <w:r w:rsidR="00FA2451" w:rsidRPr="00FA2451">
        <w:rPr>
          <w:vertAlign w:val="subscript"/>
          <w:lang w:val="en-GB"/>
        </w:rPr>
        <w:t>2</w:t>
      </w:r>
      <w:r w:rsidR="00DA231B" w:rsidRPr="00284303">
        <w:rPr>
          <w:lang w:val="en-GB"/>
        </w:rPr>
        <w:t xml:space="preserve"> side of the heat exchangers</w:t>
      </w:r>
      <w:r w:rsidR="00DA231B">
        <w:rPr>
          <w:lang w:val="en-GB"/>
        </w:rPr>
        <w:t>,</w:t>
      </w:r>
      <w:r w:rsidR="00284303" w:rsidRPr="00284303">
        <w:rPr>
          <w:lang w:val="en-GB"/>
        </w:rPr>
        <w:t xml:space="preserve"> their relative content can be assumed to follow the one reported in </w:t>
      </w:r>
      <w:r w:rsidR="0003689E">
        <w:rPr>
          <w:lang w:val="en-GB"/>
        </w:rPr>
        <w:fldChar w:fldCharType="begin"/>
      </w:r>
      <w:r w:rsidR="0003689E">
        <w:rPr>
          <w:lang w:val="en-GB"/>
        </w:rPr>
        <w:instrText xml:space="preserve"> REF _Ref126244699 \h </w:instrText>
      </w:r>
      <w:r w:rsidR="0003689E">
        <w:rPr>
          <w:lang w:val="en-GB"/>
        </w:rPr>
      </w:r>
      <w:r w:rsidR="0003689E">
        <w:rPr>
          <w:lang w:val="en-GB"/>
        </w:rPr>
        <w:fldChar w:fldCharType="separate"/>
      </w:r>
      <w:r w:rsidR="008874A4" w:rsidRPr="00170675">
        <w:t xml:space="preserve">Figure </w:t>
      </w:r>
      <w:r w:rsidR="008874A4">
        <w:rPr>
          <w:noProof/>
        </w:rPr>
        <w:t>1</w:t>
      </w:r>
      <w:r w:rsidR="0003689E">
        <w:rPr>
          <w:lang w:val="en-GB"/>
        </w:rPr>
        <w:fldChar w:fldCharType="end"/>
      </w:r>
      <w:r w:rsidR="0003689E">
        <w:rPr>
          <w:lang w:val="en-GB"/>
        </w:rPr>
        <w:t>b</w:t>
      </w:r>
      <w:r w:rsidR="00DA231B">
        <w:rPr>
          <w:lang w:val="en-GB"/>
        </w:rPr>
        <w:t>. Instead</w:t>
      </w:r>
      <w:r w:rsidR="00284303" w:rsidRPr="00284303">
        <w:rPr>
          <w:lang w:val="en-GB"/>
        </w:rPr>
        <w:t xml:space="preserve">, in the case of </w:t>
      </w:r>
      <w:r w:rsidR="00DA231B">
        <w:rPr>
          <w:lang w:val="en-GB"/>
        </w:rPr>
        <w:t xml:space="preserve">OPC occurring inside reactors placed </w:t>
      </w:r>
      <w:r w:rsidR="000B16B5">
        <w:rPr>
          <w:lang w:val="en-GB"/>
        </w:rPr>
        <w:t xml:space="preserve">at given positions </w:t>
      </w:r>
      <w:r w:rsidR="00DA231B" w:rsidRPr="00284303">
        <w:rPr>
          <w:lang w:val="en-GB"/>
        </w:rPr>
        <w:t>along the cooling train</w:t>
      </w:r>
      <w:r w:rsidR="00DA231B">
        <w:rPr>
          <w:lang w:val="en-GB"/>
        </w:rPr>
        <w:t>, the</w:t>
      </w:r>
      <w:r w:rsidR="00284303" w:rsidRPr="00284303">
        <w:rPr>
          <w:lang w:val="en-GB"/>
        </w:rPr>
        <w:t xml:space="preserve"> composition remains constant along the heat exchangers and change only at the </w:t>
      </w:r>
      <w:proofErr w:type="spellStart"/>
      <w:r w:rsidR="00284303" w:rsidRPr="00284303">
        <w:rPr>
          <w:lang w:val="en-GB"/>
        </w:rPr>
        <w:t>catalyzed</w:t>
      </w:r>
      <w:proofErr w:type="spellEnd"/>
      <w:r w:rsidR="00284303" w:rsidRPr="00284303">
        <w:rPr>
          <w:lang w:val="en-GB"/>
        </w:rPr>
        <w:t xml:space="preserve"> reaction stages, reaching the equilibrium composition at t</w:t>
      </w:r>
      <w:r w:rsidR="0054081B">
        <w:rPr>
          <w:lang w:val="en-GB"/>
        </w:rPr>
        <w:t>he stage</w:t>
      </w:r>
      <w:r w:rsidR="00284303" w:rsidRPr="00284303">
        <w:rPr>
          <w:lang w:val="en-GB"/>
        </w:rPr>
        <w:t xml:space="preserve"> </w:t>
      </w:r>
      <w:r w:rsidR="000B16B5">
        <w:rPr>
          <w:lang w:val="en-GB"/>
        </w:rPr>
        <w:t>temperature</w:t>
      </w:r>
      <w:r w:rsidR="00284303" w:rsidRPr="00284303">
        <w:rPr>
          <w:lang w:val="en-GB"/>
        </w:rPr>
        <w:t>. To the knowledge of the authors, o-H</w:t>
      </w:r>
      <w:r w:rsidR="00284303" w:rsidRPr="005F5BEA">
        <w:rPr>
          <w:vertAlign w:val="subscript"/>
          <w:lang w:val="en-GB"/>
        </w:rPr>
        <w:t>2</w:t>
      </w:r>
      <w:r w:rsidR="00284303" w:rsidRPr="00284303">
        <w:rPr>
          <w:lang w:val="en-GB"/>
        </w:rPr>
        <w:t xml:space="preserve"> is not present in any commercial simulator. Aspen Plus</w:t>
      </w:r>
      <w:r w:rsidR="00284303" w:rsidRPr="00C4159B">
        <w:rPr>
          <w:vertAlign w:val="superscript"/>
          <w:lang w:val="en-GB"/>
        </w:rPr>
        <w:t>®</w:t>
      </w:r>
      <w:r w:rsidR="00284303" w:rsidRPr="00284303">
        <w:rPr>
          <w:lang w:val="en-GB"/>
        </w:rPr>
        <w:t xml:space="preserve"> </w:t>
      </w:r>
      <w:r w:rsidR="001974AD">
        <w:rPr>
          <w:lang w:val="en-GB"/>
        </w:rPr>
        <w:t>(</w:t>
      </w:r>
      <w:proofErr w:type="spellStart"/>
      <w:r w:rsidR="001974AD">
        <w:rPr>
          <w:lang w:val="en-GB"/>
        </w:rPr>
        <w:t>AspenTech</w:t>
      </w:r>
      <w:proofErr w:type="spellEnd"/>
      <w:r w:rsidR="001974AD">
        <w:rPr>
          <w:lang w:val="en-GB"/>
        </w:rPr>
        <w:t xml:space="preserve">, 2016) </w:t>
      </w:r>
      <w:r w:rsidR="00284303" w:rsidRPr="00284303">
        <w:rPr>
          <w:lang w:val="en-GB"/>
        </w:rPr>
        <w:t xml:space="preserve">is </w:t>
      </w:r>
      <w:r w:rsidR="00353C72">
        <w:rPr>
          <w:lang w:val="en-GB"/>
        </w:rPr>
        <w:t>selected</w:t>
      </w:r>
      <w:r w:rsidR="00284303" w:rsidRPr="00284303">
        <w:rPr>
          <w:lang w:val="en-GB"/>
        </w:rPr>
        <w:t xml:space="preserve"> as process simulator because n-H</w:t>
      </w:r>
      <w:r w:rsidR="00284303" w:rsidRPr="005F5BEA">
        <w:rPr>
          <w:vertAlign w:val="subscript"/>
          <w:lang w:val="en-GB"/>
        </w:rPr>
        <w:t>2</w:t>
      </w:r>
      <w:r w:rsidR="00284303" w:rsidRPr="00284303">
        <w:rPr>
          <w:lang w:val="en-GB"/>
        </w:rPr>
        <w:t xml:space="preserve"> and p-H</w:t>
      </w:r>
      <w:r w:rsidR="00284303" w:rsidRPr="005F5BEA">
        <w:rPr>
          <w:vertAlign w:val="subscript"/>
          <w:lang w:val="en-GB"/>
        </w:rPr>
        <w:t>2</w:t>
      </w:r>
      <w:r w:rsidR="00284303" w:rsidRPr="00284303">
        <w:rPr>
          <w:lang w:val="en-GB"/>
        </w:rPr>
        <w:t xml:space="preserve"> are built-in components and because it is easy to customize. To simulation purposes, to represent the mixture of o-H</w:t>
      </w:r>
      <w:r w:rsidR="00284303" w:rsidRPr="005F5BEA">
        <w:rPr>
          <w:vertAlign w:val="subscript"/>
          <w:lang w:val="en-GB"/>
        </w:rPr>
        <w:t>2</w:t>
      </w:r>
      <w:r w:rsidR="00284303" w:rsidRPr="00284303">
        <w:rPr>
          <w:lang w:val="en-GB"/>
        </w:rPr>
        <w:t xml:space="preserve"> and p-H</w:t>
      </w:r>
      <w:r w:rsidR="00284303" w:rsidRPr="005F5BEA">
        <w:rPr>
          <w:vertAlign w:val="subscript"/>
          <w:lang w:val="en-GB"/>
        </w:rPr>
        <w:t>2</w:t>
      </w:r>
      <w:r w:rsidR="00284303" w:rsidRPr="00284303">
        <w:rPr>
          <w:lang w:val="en-GB"/>
        </w:rPr>
        <w:t>, a mixture of n-H</w:t>
      </w:r>
      <w:r w:rsidR="00284303" w:rsidRPr="005F5BEA">
        <w:rPr>
          <w:vertAlign w:val="subscript"/>
          <w:lang w:val="en-GB"/>
        </w:rPr>
        <w:t>2</w:t>
      </w:r>
      <w:r w:rsidR="00284303" w:rsidRPr="00284303">
        <w:rPr>
          <w:lang w:val="en-GB"/>
        </w:rPr>
        <w:t xml:space="preserve"> and p-H</w:t>
      </w:r>
      <w:r w:rsidR="00284303" w:rsidRPr="005F5BEA">
        <w:rPr>
          <w:vertAlign w:val="subscript"/>
          <w:lang w:val="en-GB"/>
        </w:rPr>
        <w:t>2</w:t>
      </w:r>
      <w:r w:rsidR="00284303" w:rsidRPr="00284303">
        <w:rPr>
          <w:lang w:val="en-GB"/>
        </w:rPr>
        <w:t xml:space="preserve"> can be used, considering that n-H</w:t>
      </w:r>
      <w:r w:rsidR="00284303" w:rsidRPr="005F5BEA">
        <w:rPr>
          <w:vertAlign w:val="subscript"/>
          <w:lang w:val="en-GB"/>
        </w:rPr>
        <w:t>2</w:t>
      </w:r>
      <w:r w:rsidR="00284303" w:rsidRPr="00284303">
        <w:rPr>
          <w:lang w:val="en-GB"/>
        </w:rPr>
        <w:t xml:space="preserve"> consists of 25% p-H</w:t>
      </w:r>
      <w:r w:rsidR="00284303" w:rsidRPr="005F5BEA">
        <w:rPr>
          <w:vertAlign w:val="subscript"/>
          <w:lang w:val="en-GB"/>
        </w:rPr>
        <w:t>2</w:t>
      </w:r>
      <w:r w:rsidR="00284303" w:rsidRPr="00284303">
        <w:rPr>
          <w:lang w:val="en-GB"/>
        </w:rPr>
        <w:t xml:space="preserve"> and 75% o-H</w:t>
      </w:r>
      <w:r w:rsidR="00284303" w:rsidRPr="005F5BEA">
        <w:rPr>
          <w:vertAlign w:val="subscript"/>
          <w:lang w:val="en-GB"/>
        </w:rPr>
        <w:t>2</w:t>
      </w:r>
      <w:r w:rsidR="00284303" w:rsidRPr="00284303">
        <w:rPr>
          <w:lang w:val="en-GB"/>
        </w:rPr>
        <w:t xml:space="preserve"> in order to adjust the composition in terms of n-H</w:t>
      </w:r>
      <w:r w:rsidR="00284303" w:rsidRPr="005F5BEA">
        <w:rPr>
          <w:vertAlign w:val="subscript"/>
          <w:lang w:val="en-GB"/>
        </w:rPr>
        <w:t>2</w:t>
      </w:r>
      <w:r w:rsidR="00284303" w:rsidRPr="00284303">
        <w:rPr>
          <w:lang w:val="en-GB"/>
        </w:rPr>
        <w:t xml:space="preserve"> and p-H</w:t>
      </w:r>
      <w:r w:rsidR="00284303" w:rsidRPr="005F5BEA">
        <w:rPr>
          <w:vertAlign w:val="subscript"/>
          <w:lang w:val="en-GB"/>
        </w:rPr>
        <w:t>2</w:t>
      </w:r>
      <w:r w:rsidR="00284303" w:rsidRPr="00284303">
        <w:rPr>
          <w:lang w:val="en-GB"/>
        </w:rPr>
        <w:t xml:space="preserve">. This method is useful to represent the case of stepwise conversion. In the case of continuous </w:t>
      </w:r>
      <w:r w:rsidR="00C4159B" w:rsidRPr="00284303">
        <w:rPr>
          <w:lang w:val="en-GB"/>
        </w:rPr>
        <w:t>conversion,</w:t>
      </w:r>
      <w:r w:rsidR="00284303" w:rsidRPr="00284303">
        <w:rPr>
          <w:lang w:val="en-GB"/>
        </w:rPr>
        <w:t xml:space="preserve"> a new component representing the e-H</w:t>
      </w:r>
      <w:r w:rsidR="00284303" w:rsidRPr="008E4EA0">
        <w:rPr>
          <w:vertAlign w:val="subscript"/>
          <w:lang w:val="en-GB"/>
        </w:rPr>
        <w:t>2</w:t>
      </w:r>
      <w:r w:rsidR="00284303" w:rsidRPr="00284303">
        <w:rPr>
          <w:lang w:val="en-GB"/>
        </w:rPr>
        <w:t xml:space="preserve"> can be created. Considering that n-H</w:t>
      </w:r>
      <w:r w:rsidR="00284303" w:rsidRPr="005F5BEA">
        <w:rPr>
          <w:vertAlign w:val="subscript"/>
          <w:lang w:val="en-GB"/>
        </w:rPr>
        <w:t>2</w:t>
      </w:r>
      <w:r w:rsidR="00284303" w:rsidRPr="00284303">
        <w:rPr>
          <w:lang w:val="en-GB"/>
        </w:rPr>
        <w:t xml:space="preserve"> and p-H</w:t>
      </w:r>
      <w:r w:rsidR="00284303" w:rsidRPr="005F5BEA">
        <w:rPr>
          <w:vertAlign w:val="subscript"/>
          <w:lang w:val="en-GB"/>
        </w:rPr>
        <w:t>2</w:t>
      </w:r>
      <w:r w:rsidR="00284303" w:rsidRPr="00284303">
        <w:rPr>
          <w:lang w:val="en-GB"/>
        </w:rPr>
        <w:t xml:space="preserve"> have similar volumetric properties, except in the cryogenic zone </w:t>
      </w:r>
      <w:r w:rsidR="00AD4782">
        <w:rPr>
          <w:lang w:val="en-GB"/>
        </w:rPr>
        <w:t>(McCarty et al., 1981)</w:t>
      </w:r>
      <w:r w:rsidR="00284303" w:rsidRPr="00284303">
        <w:rPr>
          <w:lang w:val="en-GB"/>
        </w:rPr>
        <w:t>, and that at cryogenic temperatures e-H</w:t>
      </w:r>
      <w:r w:rsidR="00284303" w:rsidRPr="005F5BEA">
        <w:rPr>
          <w:vertAlign w:val="subscript"/>
          <w:lang w:val="en-GB"/>
        </w:rPr>
        <w:t>2</w:t>
      </w:r>
      <w:r w:rsidR="00284303" w:rsidRPr="00284303">
        <w:rPr>
          <w:lang w:val="en-GB"/>
        </w:rPr>
        <w:t xml:space="preserve"> is mainly composed of p-H</w:t>
      </w:r>
      <w:r w:rsidR="00284303" w:rsidRPr="005F5BEA">
        <w:rPr>
          <w:vertAlign w:val="subscript"/>
          <w:lang w:val="en-GB"/>
        </w:rPr>
        <w:t>2</w:t>
      </w:r>
      <w:r w:rsidR="00284303" w:rsidRPr="00284303">
        <w:rPr>
          <w:lang w:val="en-GB"/>
        </w:rPr>
        <w:t xml:space="preserve">, it is possible to assume that its volumetric </w:t>
      </w:r>
      <w:proofErr w:type="spellStart"/>
      <w:r w:rsidR="00284303" w:rsidRPr="00284303">
        <w:rPr>
          <w:lang w:val="en-GB"/>
        </w:rPr>
        <w:t>behavior</w:t>
      </w:r>
      <w:proofErr w:type="spellEnd"/>
      <w:r w:rsidR="00284303" w:rsidRPr="00284303">
        <w:rPr>
          <w:lang w:val="en-GB"/>
        </w:rPr>
        <w:t xml:space="preserve"> is the same as that of p-H</w:t>
      </w:r>
      <w:r w:rsidR="00284303" w:rsidRPr="005F5BEA">
        <w:rPr>
          <w:vertAlign w:val="subscript"/>
          <w:lang w:val="en-GB"/>
        </w:rPr>
        <w:t>2</w:t>
      </w:r>
      <w:r w:rsidR="00284303" w:rsidRPr="00284303">
        <w:rPr>
          <w:lang w:val="en-GB"/>
        </w:rPr>
        <w:t>. Therefore, to create the e-H</w:t>
      </w:r>
      <w:r w:rsidR="00284303" w:rsidRPr="005F5BEA">
        <w:rPr>
          <w:vertAlign w:val="subscript"/>
          <w:lang w:val="en-GB"/>
        </w:rPr>
        <w:t>2</w:t>
      </w:r>
      <w:r w:rsidR="00284303" w:rsidRPr="00284303">
        <w:rPr>
          <w:lang w:val="en-GB"/>
        </w:rPr>
        <w:t xml:space="preserve"> component, the p-H</w:t>
      </w:r>
      <w:r w:rsidR="00284303" w:rsidRPr="005F5BEA">
        <w:rPr>
          <w:vertAlign w:val="subscript"/>
          <w:lang w:val="en-GB"/>
        </w:rPr>
        <w:t>2</w:t>
      </w:r>
      <w:r w:rsidR="00284303" w:rsidRPr="00284303">
        <w:rPr>
          <w:lang w:val="en-GB"/>
        </w:rPr>
        <w:t xml:space="preserve"> component is chosen, </w:t>
      </w:r>
      <w:r w:rsidR="000B16B5">
        <w:rPr>
          <w:lang w:val="en-GB"/>
        </w:rPr>
        <w:t>whose</w:t>
      </w:r>
      <w:r w:rsidR="00E822EF">
        <w:rPr>
          <w:lang w:val="en-GB"/>
        </w:rPr>
        <w:t xml:space="preserve"> </w:t>
      </w:r>
      <w:r w:rsidR="00284303" w:rsidRPr="00284303">
        <w:rPr>
          <w:lang w:val="en-GB"/>
        </w:rPr>
        <w:t>expression for the i</w:t>
      </w:r>
      <w:r w:rsidR="0038048B">
        <w:rPr>
          <w:lang w:val="en-GB"/>
        </w:rPr>
        <w:t>sobaric</w:t>
      </w:r>
      <w:r w:rsidR="00284303" w:rsidRPr="00284303">
        <w:rPr>
          <w:lang w:val="en-GB"/>
        </w:rPr>
        <w:t xml:space="preserve"> specific heat</w:t>
      </w:r>
      <w:r w:rsidR="00CC095A">
        <w:rPr>
          <w:lang w:val="en-GB"/>
        </w:rPr>
        <w:t xml:space="preserve"> </w:t>
      </w:r>
      <w:r w:rsidR="00284303" w:rsidRPr="00284303">
        <w:rPr>
          <w:lang w:val="en-GB"/>
        </w:rPr>
        <w:t xml:space="preserve">is modified, as explained in Section </w:t>
      </w:r>
      <w:r w:rsidR="0003689E">
        <w:rPr>
          <w:highlight w:val="yellow"/>
          <w:lang w:val="en-GB"/>
        </w:rPr>
        <w:fldChar w:fldCharType="begin"/>
      </w:r>
      <w:r w:rsidR="0003689E">
        <w:rPr>
          <w:lang w:val="en-GB"/>
        </w:rPr>
        <w:instrText xml:space="preserve"> REF _Ref126244969 \r \h </w:instrText>
      </w:r>
      <w:r w:rsidR="0003689E">
        <w:rPr>
          <w:highlight w:val="yellow"/>
          <w:lang w:val="en-GB"/>
        </w:rPr>
      </w:r>
      <w:r w:rsidR="0003689E">
        <w:rPr>
          <w:highlight w:val="yellow"/>
          <w:lang w:val="en-GB"/>
        </w:rPr>
        <w:fldChar w:fldCharType="separate"/>
      </w:r>
      <w:r w:rsidR="008874A4">
        <w:rPr>
          <w:lang w:val="en-GB"/>
        </w:rPr>
        <w:t>2.1</w:t>
      </w:r>
      <w:r w:rsidR="0003689E">
        <w:rPr>
          <w:highlight w:val="yellow"/>
          <w:lang w:val="en-GB"/>
        </w:rPr>
        <w:fldChar w:fldCharType="end"/>
      </w:r>
      <w:r w:rsidR="00284303" w:rsidRPr="00284303">
        <w:rPr>
          <w:lang w:val="en-GB"/>
        </w:rPr>
        <w:t>.</w:t>
      </w:r>
    </w:p>
    <w:p w14:paraId="12D90EF8" w14:textId="33757DF4" w:rsidR="008E4EA0" w:rsidRDefault="00284303" w:rsidP="008E4EA0">
      <w:pPr>
        <w:pStyle w:val="CETBodytext"/>
      </w:pPr>
      <w:r w:rsidRPr="00284303">
        <w:rPr>
          <w:lang w:val="en-GB"/>
        </w:rPr>
        <w:t>In Aspen Plus</w:t>
      </w:r>
      <w:r w:rsidRPr="008E4EA0">
        <w:rPr>
          <w:vertAlign w:val="superscript"/>
          <w:lang w:val="en-GB"/>
        </w:rPr>
        <w:t>®</w:t>
      </w:r>
      <w:r w:rsidRPr="00284303">
        <w:rPr>
          <w:lang w:val="en-GB"/>
        </w:rPr>
        <w:t xml:space="preserve"> V.11, enthalpy and entropy at a given temperature and pressure are calculated as the sum of three quantities: the contribution due to the formation of the species starting from the elements at standard conditions</w:t>
      </w:r>
      <w:r w:rsidR="00EC4707">
        <w:rPr>
          <w:lang w:val="en-GB"/>
        </w:rPr>
        <w:t xml:space="preserve">, </w:t>
      </w:r>
      <w:r w:rsidRPr="00284303">
        <w:rPr>
          <w:lang w:val="en-GB"/>
        </w:rPr>
        <w:t xml:space="preserve">the contribution involved in bringing the species from standard conditions to </w:t>
      </w:r>
      <w:r w:rsidR="000B16B5">
        <w:rPr>
          <w:lang w:val="en-GB"/>
        </w:rPr>
        <w:t xml:space="preserve">the </w:t>
      </w:r>
      <w:r w:rsidRPr="00284303">
        <w:rPr>
          <w:lang w:val="en-GB"/>
        </w:rPr>
        <w:t xml:space="preserve">system </w:t>
      </w:r>
      <w:r w:rsidR="000B16B5">
        <w:rPr>
          <w:lang w:val="en-GB"/>
        </w:rPr>
        <w:t xml:space="preserve">temperature </w:t>
      </w:r>
      <w:r w:rsidRPr="00284303">
        <w:rPr>
          <w:lang w:val="en-GB"/>
        </w:rPr>
        <w:t>at ideal gas conditions, ΔH</w:t>
      </w:r>
      <w:r w:rsidRPr="00AD4782">
        <w:rPr>
          <w:vertAlign w:val="subscript"/>
          <w:lang w:val="en-GB"/>
        </w:rPr>
        <w:t>IG</w:t>
      </w:r>
      <w:r w:rsidRPr="00284303">
        <w:rPr>
          <w:lang w:val="en-GB"/>
        </w:rPr>
        <w:t xml:space="preserve"> and ΔS</w:t>
      </w:r>
      <w:r w:rsidRPr="00AD4782">
        <w:rPr>
          <w:vertAlign w:val="subscript"/>
          <w:lang w:val="en-GB"/>
        </w:rPr>
        <w:t>IG</w:t>
      </w:r>
      <w:r w:rsidR="00AB292D">
        <w:rPr>
          <w:lang w:val="en-GB"/>
        </w:rPr>
        <w:t xml:space="preserve">, </w:t>
      </w:r>
      <w:r w:rsidRPr="00284303">
        <w:rPr>
          <w:lang w:val="en-GB"/>
        </w:rPr>
        <w:t xml:space="preserve">and the contribution involved in bringing the species to system pressure and state, </w:t>
      </w:r>
      <w:proofErr w:type="spellStart"/>
      <w:r w:rsidRPr="00284303">
        <w:rPr>
          <w:lang w:val="en-GB"/>
        </w:rPr>
        <w:t>ΔH</w:t>
      </w:r>
      <w:r w:rsidRPr="008E4EA0">
        <w:rPr>
          <w:vertAlign w:val="subscript"/>
          <w:lang w:val="en-GB"/>
        </w:rPr>
        <w:t>dep</w:t>
      </w:r>
      <w:proofErr w:type="spellEnd"/>
      <w:r w:rsidRPr="00284303">
        <w:rPr>
          <w:lang w:val="en-GB"/>
        </w:rPr>
        <w:t xml:space="preserve"> and </w:t>
      </w:r>
      <w:proofErr w:type="spellStart"/>
      <w:r w:rsidRPr="00284303">
        <w:rPr>
          <w:lang w:val="en-GB"/>
        </w:rPr>
        <w:t>ΔS</w:t>
      </w:r>
      <w:r w:rsidRPr="008E4EA0">
        <w:rPr>
          <w:vertAlign w:val="subscript"/>
          <w:lang w:val="en-GB"/>
        </w:rPr>
        <w:t>dep</w:t>
      </w:r>
      <w:proofErr w:type="spellEnd"/>
      <w:r w:rsidRPr="00284303">
        <w:rPr>
          <w:lang w:val="en-GB"/>
        </w:rPr>
        <w:t xml:space="preserve">. These latter quantities are called departure enthalpy and entropy, respectively, and the method of calculation varies depending on the thermodynamic model used to represent the vapor and liquid phases. </w:t>
      </w:r>
      <w:r w:rsidR="002840A7" w:rsidRPr="002840A7">
        <w:rPr>
          <w:lang w:val="en-GB"/>
        </w:rPr>
        <w:t>The terms referring to the properties of the ideal gas are calculated starting from the ideal specific heat</w:t>
      </w:r>
      <w:r w:rsidR="00B40AD3">
        <w:rPr>
          <w:lang w:val="en-GB"/>
        </w:rPr>
        <w:t xml:space="preserve"> </w:t>
      </w:r>
      <w:r w:rsidR="002840A7" w:rsidRPr="002840A7">
        <w:rPr>
          <w:lang w:val="en-GB"/>
        </w:rPr>
        <w:t xml:space="preserve">at </w:t>
      </w:r>
      <w:r w:rsidRPr="00284303">
        <w:rPr>
          <w:lang w:val="en-GB"/>
        </w:rPr>
        <w:t xml:space="preserve">constant pressure and, therefore, depend on the calorimetric properties of the species. The terms referring </w:t>
      </w:r>
      <w:r w:rsidRPr="00284303">
        <w:rPr>
          <w:lang w:val="en-GB"/>
        </w:rPr>
        <w:lastRenderedPageBreak/>
        <w:t>to the departure properties, instead, depend on the volumetric properties of the species. The calorimetric and volumetric properties of the defined components, n-H</w:t>
      </w:r>
      <w:r w:rsidRPr="008E4EA0">
        <w:rPr>
          <w:vertAlign w:val="subscript"/>
          <w:lang w:val="en-GB"/>
        </w:rPr>
        <w:t>2</w:t>
      </w:r>
      <w:r w:rsidRPr="00284303">
        <w:rPr>
          <w:lang w:val="en-GB"/>
        </w:rPr>
        <w:t>, p-H</w:t>
      </w:r>
      <w:r w:rsidRPr="008E4EA0">
        <w:rPr>
          <w:vertAlign w:val="subscript"/>
          <w:lang w:val="en-GB"/>
        </w:rPr>
        <w:t>2</w:t>
      </w:r>
      <w:r w:rsidRPr="00284303">
        <w:rPr>
          <w:lang w:val="en-GB"/>
        </w:rPr>
        <w:t xml:space="preserve"> and e-H</w:t>
      </w:r>
      <w:r w:rsidRPr="008E4EA0">
        <w:rPr>
          <w:vertAlign w:val="subscript"/>
          <w:lang w:val="en-GB"/>
        </w:rPr>
        <w:t>2</w:t>
      </w:r>
      <w:r w:rsidRPr="00284303">
        <w:rPr>
          <w:lang w:val="en-GB"/>
        </w:rPr>
        <w:t>, are detailed below</w:t>
      </w:r>
      <w:r w:rsidR="008E4EA0">
        <w:t>.</w:t>
      </w:r>
    </w:p>
    <w:p w14:paraId="2C1FEF60" w14:textId="5687DB6B" w:rsidR="008E4EA0" w:rsidRDefault="008E4EA0" w:rsidP="008E4EA0">
      <w:pPr>
        <w:pStyle w:val="CETheadingx"/>
      </w:pPr>
      <w:bookmarkStart w:id="3" w:name="_Ref126244969"/>
      <w:r>
        <w:t>Calorimetric properties</w:t>
      </w:r>
      <w:bookmarkEnd w:id="3"/>
    </w:p>
    <w:p w14:paraId="327E529F" w14:textId="4C11D406" w:rsidR="00A53C1D" w:rsidRDefault="00A53C1D" w:rsidP="00284303">
      <w:pPr>
        <w:pStyle w:val="CETBodytext"/>
        <w:rPr>
          <w:lang w:val="en-GB"/>
        </w:rPr>
      </w:pPr>
      <w:r w:rsidRPr="00A53C1D">
        <w:rPr>
          <w:lang w:val="en-GB"/>
        </w:rPr>
        <w:t>The calorimetric property of interest is the ideal gas specific heat at constant pressure c</w:t>
      </w:r>
      <w:r w:rsidRPr="00BA4D30">
        <w:rPr>
          <w:vertAlign w:val="subscript"/>
          <w:lang w:val="en-GB"/>
        </w:rPr>
        <w:t>p</w:t>
      </w:r>
      <w:r w:rsidRPr="00BA4D30">
        <w:rPr>
          <w:vertAlign w:val="superscript"/>
          <w:lang w:val="en-GB"/>
        </w:rPr>
        <w:t>0</w:t>
      </w:r>
      <w:r w:rsidRPr="00A53C1D">
        <w:rPr>
          <w:lang w:val="en-GB"/>
        </w:rPr>
        <w:t xml:space="preserve">, which </w:t>
      </w:r>
      <w:r w:rsidR="0057780F">
        <w:rPr>
          <w:lang w:val="en-GB"/>
        </w:rPr>
        <w:t>can be</w:t>
      </w:r>
      <w:r w:rsidRPr="00A53C1D">
        <w:rPr>
          <w:lang w:val="en-GB"/>
        </w:rPr>
        <w:t xml:space="preserve"> calculate</w:t>
      </w:r>
      <w:r w:rsidR="0057780F">
        <w:rPr>
          <w:lang w:val="en-GB"/>
        </w:rPr>
        <w:t>d</w:t>
      </w:r>
      <w:r w:rsidRPr="00A53C1D">
        <w:rPr>
          <w:lang w:val="en-GB"/>
        </w:rPr>
        <w:t xml:space="preserve"> according to the Mayer relation</w:t>
      </w:r>
      <w:r w:rsidR="009C0E1F">
        <w:rPr>
          <w:lang w:val="en-GB"/>
        </w:rPr>
        <w:t xml:space="preserve"> (</w:t>
      </w:r>
      <w:r w:rsidR="009C0E1F" w:rsidRPr="00A53C1D">
        <w:rPr>
          <w:lang w:val="en-GB"/>
        </w:rPr>
        <w:t>c</w:t>
      </w:r>
      <w:r w:rsidR="009C0E1F" w:rsidRPr="00BA4D30">
        <w:rPr>
          <w:vertAlign w:val="subscript"/>
          <w:lang w:val="en-GB"/>
        </w:rPr>
        <w:t>p</w:t>
      </w:r>
      <w:r w:rsidR="009C0E1F" w:rsidRPr="00BA4D30">
        <w:rPr>
          <w:vertAlign w:val="superscript"/>
          <w:lang w:val="en-GB"/>
        </w:rPr>
        <w:t>0</w:t>
      </w:r>
      <w:r w:rsidR="009C0E1F">
        <w:rPr>
          <w:lang w:val="en-GB"/>
        </w:rPr>
        <w:t>= R+</w:t>
      </w:r>
      <w:r w:rsidR="009C0E1F" w:rsidRPr="00A53C1D">
        <w:rPr>
          <w:lang w:val="en-GB"/>
        </w:rPr>
        <w:t>c</w:t>
      </w:r>
      <w:r w:rsidR="009C0E1F">
        <w:rPr>
          <w:vertAlign w:val="subscript"/>
          <w:lang w:val="en-GB"/>
        </w:rPr>
        <w:t>v</w:t>
      </w:r>
      <w:r w:rsidR="009C0E1F" w:rsidRPr="00BA4D30">
        <w:rPr>
          <w:vertAlign w:val="superscript"/>
          <w:lang w:val="en-GB"/>
        </w:rPr>
        <w:t>0</w:t>
      </w:r>
      <w:r w:rsidR="009C0E1F">
        <w:rPr>
          <w:lang w:val="en-GB"/>
        </w:rPr>
        <w:t xml:space="preserve">). </w:t>
      </w:r>
      <w:r w:rsidR="00284303" w:rsidRPr="00284303">
        <w:rPr>
          <w:lang w:val="en-GB"/>
        </w:rPr>
        <w:t>From the kinetic theory of gases, the specific heat at constant volume c</w:t>
      </w:r>
      <w:r w:rsidR="00284303" w:rsidRPr="00B82744">
        <w:rPr>
          <w:vertAlign w:val="subscript"/>
          <w:lang w:val="en-GB"/>
        </w:rPr>
        <w:t>v</w:t>
      </w:r>
      <w:r w:rsidR="00284303" w:rsidRPr="00B82744">
        <w:rPr>
          <w:vertAlign w:val="superscript"/>
          <w:lang w:val="en-GB"/>
        </w:rPr>
        <w:t>0</w:t>
      </w:r>
      <w:r w:rsidR="00284303" w:rsidRPr="00284303">
        <w:rPr>
          <w:lang w:val="en-GB"/>
        </w:rPr>
        <w:t xml:space="preserve"> is the sum of different contributions, corresponding to the degrees of freedom of the molecule</w:t>
      </w:r>
      <w:r w:rsidR="00901E45">
        <w:rPr>
          <w:lang w:val="en-GB"/>
        </w:rPr>
        <w:t xml:space="preserve">, </w:t>
      </w:r>
      <w:r w:rsidR="00284303" w:rsidRPr="00284303">
        <w:rPr>
          <w:lang w:val="en-GB"/>
        </w:rPr>
        <w:t xml:space="preserve">classified as: translational, rotational and vibrational. For the </w:t>
      </w:r>
      <w:r w:rsidR="003D3337">
        <w:rPr>
          <w:lang w:val="en-GB"/>
        </w:rPr>
        <w:t>H</w:t>
      </w:r>
      <w:r w:rsidR="003D3337" w:rsidRPr="003D3337">
        <w:rPr>
          <w:vertAlign w:val="subscript"/>
          <w:lang w:val="en-GB"/>
        </w:rPr>
        <w:t>2</w:t>
      </w:r>
      <w:r w:rsidR="00284303" w:rsidRPr="00284303">
        <w:rPr>
          <w:lang w:val="en-GB"/>
        </w:rPr>
        <w:t xml:space="preserve">, the vibrational degrees of freedom are negligible up to 600 K </w:t>
      </w:r>
      <w:r w:rsidR="009C0E1F">
        <w:rPr>
          <w:lang w:val="en-GB"/>
        </w:rPr>
        <w:t>(</w:t>
      </w:r>
      <w:proofErr w:type="spellStart"/>
      <w:r w:rsidR="009C0E1F">
        <w:rPr>
          <w:lang w:val="en-GB"/>
        </w:rPr>
        <w:t>Valenti</w:t>
      </w:r>
      <w:proofErr w:type="spellEnd"/>
      <w:r w:rsidR="009C0E1F">
        <w:rPr>
          <w:lang w:val="en-GB"/>
        </w:rPr>
        <w:t xml:space="preserve"> et al., 2012)</w:t>
      </w:r>
      <w:r w:rsidR="00284303" w:rsidRPr="00284303">
        <w:rPr>
          <w:lang w:val="en-GB"/>
        </w:rPr>
        <w:t xml:space="preserve"> and therefore these contributions will be considered equal to zero in the present discussion.</w:t>
      </w:r>
      <w:r w:rsidR="001738D6">
        <w:rPr>
          <w:lang w:val="en-GB"/>
        </w:rPr>
        <w:t xml:space="preserve"> </w:t>
      </w:r>
      <w:r w:rsidRPr="00A53C1D">
        <w:rPr>
          <w:lang w:val="en-GB"/>
        </w:rPr>
        <w:t>The expression of the rotational specific heat c</w:t>
      </w:r>
      <w:r w:rsidRPr="008E4EA0">
        <w:rPr>
          <w:vertAlign w:val="superscript"/>
          <w:lang w:val="en-GB"/>
        </w:rPr>
        <w:t>0</w:t>
      </w:r>
      <w:proofErr w:type="gramStart"/>
      <w:r w:rsidRPr="008E4EA0">
        <w:rPr>
          <w:vertAlign w:val="subscript"/>
          <w:lang w:val="en-GB"/>
        </w:rPr>
        <w:t>v,rot</w:t>
      </w:r>
      <w:proofErr w:type="gramEnd"/>
      <w:r w:rsidRPr="00A53C1D">
        <w:rPr>
          <w:lang w:val="en-GB"/>
        </w:rPr>
        <w:t xml:space="preserve"> was firstly derived by Hund </w:t>
      </w:r>
      <w:r w:rsidR="00BA4D30">
        <w:rPr>
          <w:lang w:val="en-GB"/>
        </w:rPr>
        <w:t>(1927)</w:t>
      </w:r>
      <w:r w:rsidRPr="00A53C1D">
        <w:rPr>
          <w:lang w:val="en-GB"/>
        </w:rPr>
        <w:t xml:space="preserve"> for the ortho and para isomers on the basis of the wave mechanics. Dennison </w:t>
      </w:r>
      <w:r w:rsidR="00BA4D30">
        <w:rPr>
          <w:lang w:val="en-GB"/>
        </w:rPr>
        <w:t>(1927)</w:t>
      </w:r>
      <w:r w:rsidRPr="00A53C1D">
        <w:rPr>
          <w:lang w:val="en-GB"/>
        </w:rPr>
        <w:t xml:space="preserve"> used the results of Hund to compute the c</w:t>
      </w:r>
      <w:r w:rsidRPr="008E4EA0">
        <w:rPr>
          <w:vertAlign w:val="superscript"/>
          <w:lang w:val="en-GB"/>
        </w:rPr>
        <w:t>0</w:t>
      </w:r>
      <w:r w:rsidRPr="008E4EA0">
        <w:rPr>
          <w:vertAlign w:val="subscript"/>
          <w:lang w:val="en-GB"/>
        </w:rPr>
        <w:t>v,rot</w:t>
      </w:r>
      <w:r w:rsidRPr="00A53C1D">
        <w:rPr>
          <w:lang w:val="en-GB"/>
        </w:rPr>
        <w:t xml:space="preserve"> of </w:t>
      </w:r>
      <w:r w:rsidR="00FA2451">
        <w:rPr>
          <w:lang w:val="en-GB"/>
        </w:rPr>
        <w:t>n-H</w:t>
      </w:r>
      <w:r w:rsidR="00FA2451" w:rsidRPr="00FA2451">
        <w:rPr>
          <w:vertAlign w:val="subscript"/>
          <w:lang w:val="en-GB"/>
        </w:rPr>
        <w:t>2</w:t>
      </w:r>
      <w:r w:rsidRPr="00A53C1D">
        <w:rPr>
          <w:lang w:val="en-GB"/>
        </w:rPr>
        <w:t xml:space="preserve">, considering the ideal mixture of ortho and para in proportion of 3:1. </w:t>
      </w:r>
      <w:proofErr w:type="spellStart"/>
      <w:r w:rsidRPr="00A53C1D">
        <w:rPr>
          <w:lang w:val="en-GB"/>
        </w:rPr>
        <w:t>Leachman</w:t>
      </w:r>
      <w:proofErr w:type="spellEnd"/>
      <w:r w:rsidRPr="00A53C1D">
        <w:rPr>
          <w:lang w:val="en-GB"/>
        </w:rPr>
        <w:t xml:space="preserve"> et al. </w:t>
      </w:r>
      <w:r w:rsidR="00BA4D30">
        <w:rPr>
          <w:lang w:val="en-GB"/>
        </w:rPr>
        <w:t>(2009)</w:t>
      </w:r>
      <w:r w:rsidRPr="00A53C1D">
        <w:rPr>
          <w:lang w:val="en-GB"/>
        </w:rPr>
        <w:t xml:space="preserve"> proposed the functional </w:t>
      </w:r>
      <w:r w:rsidRPr="003E1E54">
        <w:rPr>
          <w:lang w:val="en-GB"/>
        </w:rPr>
        <w:t xml:space="preserve">form of </w:t>
      </w:r>
      <w:proofErr w:type="spellStart"/>
      <w:r w:rsidRPr="003E1E54">
        <w:rPr>
          <w:lang w:val="en-GB"/>
        </w:rPr>
        <w:t>Eq</w:t>
      </w:r>
      <w:proofErr w:type="spellEnd"/>
      <w:r w:rsidR="0062680C">
        <w:rPr>
          <w:iCs/>
          <w:lang w:val="en-GB"/>
        </w:rPr>
        <w:fldChar w:fldCharType="begin"/>
      </w:r>
      <w:r w:rsidR="0062680C">
        <w:rPr>
          <w:iCs/>
          <w:lang w:val="en-GB"/>
        </w:rPr>
        <w:instrText xml:space="preserve"> GOTOBUTTON ZEqnNum326548  \* MERGEFORMAT </w:instrText>
      </w:r>
      <w:r w:rsidR="0062680C">
        <w:rPr>
          <w:iCs/>
          <w:lang w:val="en-GB"/>
        </w:rPr>
        <w:fldChar w:fldCharType="begin"/>
      </w:r>
      <w:r w:rsidR="0062680C">
        <w:rPr>
          <w:iCs/>
          <w:lang w:val="en-GB"/>
        </w:rPr>
        <w:instrText xml:space="preserve"> REF ZEqnNum326548 \* Charformat \! \* MERGEFORMAT </w:instrText>
      </w:r>
      <w:r w:rsidR="0062680C">
        <w:rPr>
          <w:iCs/>
          <w:lang w:val="en-GB"/>
        </w:rPr>
        <w:fldChar w:fldCharType="separate"/>
      </w:r>
      <w:r w:rsidR="008874A4" w:rsidRPr="008874A4">
        <w:rPr>
          <w:iCs/>
          <w:lang w:val="en-GB"/>
        </w:rPr>
        <w:instrText>(1)</w:instrText>
      </w:r>
      <w:r w:rsidR="0062680C">
        <w:rPr>
          <w:iCs/>
          <w:lang w:val="en-GB"/>
        </w:rPr>
        <w:fldChar w:fldCharType="end"/>
      </w:r>
      <w:r w:rsidR="0062680C">
        <w:rPr>
          <w:iCs/>
          <w:lang w:val="en-GB"/>
        </w:rPr>
        <w:fldChar w:fldCharType="end"/>
      </w:r>
      <w:r w:rsidRPr="003E1E54">
        <w:rPr>
          <w:lang w:val="en-GB"/>
        </w:rPr>
        <w:t>, which</w:t>
      </w:r>
      <w:r w:rsidRPr="00A53C1D">
        <w:rPr>
          <w:lang w:val="en-GB"/>
        </w:rPr>
        <w:t xml:space="preserve"> takes up the theoretical results of Hund and Dennison in terms of dependence on T, but with the coefficients </w:t>
      </w:r>
      <w:proofErr w:type="spellStart"/>
      <w:r w:rsidRPr="00A53C1D">
        <w:rPr>
          <w:lang w:val="en-GB"/>
        </w:rPr>
        <w:t>u</w:t>
      </w:r>
      <w:r w:rsidRPr="008E4EA0">
        <w:rPr>
          <w:vertAlign w:val="subscript"/>
          <w:lang w:val="en-GB"/>
        </w:rPr>
        <w:t>k</w:t>
      </w:r>
      <w:proofErr w:type="spellEnd"/>
      <w:r w:rsidRPr="00A53C1D">
        <w:rPr>
          <w:lang w:val="en-GB"/>
        </w:rPr>
        <w:t xml:space="preserve"> and </w:t>
      </w:r>
      <w:proofErr w:type="spellStart"/>
      <w:r w:rsidRPr="00A53C1D">
        <w:rPr>
          <w:lang w:val="en-GB"/>
        </w:rPr>
        <w:t>v</w:t>
      </w:r>
      <w:r w:rsidRPr="008E4EA0">
        <w:rPr>
          <w:vertAlign w:val="subscript"/>
          <w:lang w:val="en-GB"/>
        </w:rPr>
        <w:t>k</w:t>
      </w:r>
      <w:proofErr w:type="spellEnd"/>
      <w:r w:rsidRPr="00A53C1D">
        <w:rPr>
          <w:lang w:val="en-GB"/>
        </w:rPr>
        <w:t xml:space="preserve"> regressed against experimental data.</w:t>
      </w:r>
      <w:r w:rsidR="00BA4D30">
        <w:rPr>
          <w:lang w:val="en-GB"/>
        </w:rPr>
        <w:t xml:space="preserve"> </w:t>
      </w:r>
      <w:r w:rsidRPr="00A53C1D">
        <w:rPr>
          <w:lang w:val="en-GB"/>
        </w:rPr>
        <w:t xml:space="preserve">The same functional form is adopted by </w:t>
      </w:r>
      <w:proofErr w:type="spellStart"/>
      <w:r w:rsidRPr="00A53C1D">
        <w:rPr>
          <w:lang w:val="en-GB"/>
        </w:rPr>
        <w:t>Valenti</w:t>
      </w:r>
      <w:proofErr w:type="spellEnd"/>
      <w:r w:rsidRPr="00A53C1D">
        <w:rPr>
          <w:lang w:val="en-GB"/>
        </w:rPr>
        <w:t xml:space="preserve"> et al.</w:t>
      </w:r>
      <w:r w:rsidR="00BA4D30">
        <w:rPr>
          <w:lang w:val="en-GB"/>
        </w:rPr>
        <w:t xml:space="preserve"> (2012)</w:t>
      </w:r>
      <w:r w:rsidRPr="00A53C1D">
        <w:rPr>
          <w:lang w:val="en-GB"/>
        </w:rPr>
        <w:t xml:space="preserve">, who regressed the coefficients </w:t>
      </w:r>
      <w:proofErr w:type="spellStart"/>
      <w:r w:rsidRPr="00A53C1D">
        <w:rPr>
          <w:lang w:val="en-GB"/>
        </w:rPr>
        <w:t>u</w:t>
      </w:r>
      <w:r w:rsidRPr="008E4EA0">
        <w:rPr>
          <w:vertAlign w:val="subscript"/>
          <w:lang w:val="en-GB"/>
        </w:rPr>
        <w:t>k</w:t>
      </w:r>
      <w:proofErr w:type="spellEnd"/>
      <w:r w:rsidRPr="00A53C1D">
        <w:rPr>
          <w:lang w:val="en-GB"/>
        </w:rPr>
        <w:t xml:space="preserve"> and </w:t>
      </w:r>
      <w:proofErr w:type="spellStart"/>
      <w:r w:rsidRPr="00A53C1D">
        <w:rPr>
          <w:lang w:val="en-GB"/>
        </w:rPr>
        <w:t>v</w:t>
      </w:r>
      <w:r w:rsidRPr="008E4EA0">
        <w:rPr>
          <w:vertAlign w:val="subscript"/>
          <w:lang w:val="en-GB"/>
        </w:rPr>
        <w:t>k</w:t>
      </w:r>
      <w:proofErr w:type="spellEnd"/>
      <w:r w:rsidRPr="00A53C1D">
        <w:rPr>
          <w:lang w:val="en-GB"/>
        </w:rPr>
        <w:t xml:space="preserve"> against ab initio data, to compute the c</w:t>
      </w:r>
      <w:r w:rsidRPr="008E4EA0">
        <w:rPr>
          <w:vertAlign w:val="superscript"/>
          <w:lang w:val="en-GB"/>
        </w:rPr>
        <w:t>0</w:t>
      </w:r>
      <w:proofErr w:type="gramStart"/>
      <w:r w:rsidRPr="008E4EA0">
        <w:rPr>
          <w:vertAlign w:val="subscript"/>
          <w:lang w:val="en-GB"/>
        </w:rPr>
        <w:t>v,rot</w:t>
      </w:r>
      <w:proofErr w:type="gramEnd"/>
      <w:r w:rsidRPr="008E4EA0">
        <w:rPr>
          <w:vertAlign w:val="subscript"/>
          <w:lang w:val="en-GB"/>
        </w:rPr>
        <w:t xml:space="preserve"> </w:t>
      </w:r>
      <w:r w:rsidRPr="00A53C1D">
        <w:rPr>
          <w:lang w:val="en-GB"/>
        </w:rPr>
        <w:t>of e-H</w:t>
      </w:r>
      <w:r w:rsidRPr="008E4EA0">
        <w:rPr>
          <w:vertAlign w:val="subscript"/>
          <w:lang w:val="en-GB"/>
        </w:rPr>
        <w:t>2</w:t>
      </w:r>
      <w:r w:rsidRPr="00A53C1D">
        <w:rPr>
          <w:lang w:val="en-GB"/>
        </w:rPr>
        <w:t>.</w:t>
      </w:r>
      <w:r w:rsidR="007C70A3" w:rsidRPr="007C70A3">
        <w:rPr>
          <w:lang w:val="en-GB"/>
        </w:rPr>
        <w:t xml:space="preserve"> </w:t>
      </w:r>
      <w:r w:rsidR="00B158BF">
        <w:rPr>
          <w:lang w:val="en-GB"/>
        </w:rPr>
        <w:t>I</w:t>
      </w:r>
      <w:r w:rsidR="007C70A3" w:rsidRPr="003E1E54">
        <w:rPr>
          <w:lang w:val="en-GB"/>
        </w:rPr>
        <w:t>n the present work, the correlation DIPPR 127 (</w:t>
      </w:r>
      <w:proofErr w:type="spellStart"/>
      <w:r w:rsidR="007C70A3" w:rsidRPr="003E1E54">
        <w:rPr>
          <w:lang w:val="en-GB"/>
        </w:rPr>
        <w:t>Eq</w:t>
      </w:r>
      <w:proofErr w:type="spellEnd"/>
      <w:r w:rsidR="007C70A3" w:rsidRPr="003E1E54">
        <w:rPr>
          <w:iCs/>
          <w:lang w:val="en-GB"/>
        </w:rPr>
        <w:fldChar w:fldCharType="begin"/>
      </w:r>
      <w:r w:rsidR="007C70A3" w:rsidRPr="003E1E54">
        <w:rPr>
          <w:iCs/>
          <w:lang w:val="en-GB"/>
        </w:rPr>
        <w:instrText xml:space="preserve"> GOTOBUTTON ZEqnNum418294  \* MERGEFORMAT </w:instrText>
      </w:r>
      <w:r w:rsidR="007C70A3" w:rsidRPr="003E1E54">
        <w:rPr>
          <w:iCs/>
          <w:lang w:val="en-GB"/>
        </w:rPr>
        <w:fldChar w:fldCharType="begin"/>
      </w:r>
      <w:r w:rsidR="007C70A3" w:rsidRPr="003E1E54">
        <w:rPr>
          <w:iCs/>
          <w:lang w:val="en-GB"/>
        </w:rPr>
        <w:instrText xml:space="preserve"> REF ZEqnNum418294 \* Charformat \! \* MERGEFORMAT </w:instrText>
      </w:r>
      <w:r w:rsidR="007C70A3" w:rsidRPr="003E1E54">
        <w:rPr>
          <w:iCs/>
          <w:lang w:val="en-GB"/>
        </w:rPr>
        <w:fldChar w:fldCharType="separate"/>
      </w:r>
      <w:r w:rsidR="008874A4" w:rsidRPr="008874A4">
        <w:rPr>
          <w:iCs/>
          <w:lang w:val="en-GB"/>
        </w:rPr>
        <w:instrText>(2)</w:instrText>
      </w:r>
      <w:r w:rsidR="007C70A3" w:rsidRPr="003E1E54">
        <w:rPr>
          <w:iCs/>
          <w:lang w:val="en-GB"/>
        </w:rPr>
        <w:fldChar w:fldCharType="end"/>
      </w:r>
      <w:r w:rsidR="007C70A3" w:rsidRPr="003E1E54">
        <w:rPr>
          <w:iCs/>
          <w:lang w:val="en-GB"/>
        </w:rPr>
        <w:fldChar w:fldCharType="end"/>
      </w:r>
      <w:r w:rsidR="00403F59">
        <w:rPr>
          <w:iCs/>
          <w:lang w:val="en-GB"/>
        </w:rPr>
        <w:t>‍‍</w:t>
      </w:r>
      <w:r w:rsidR="007C70A3" w:rsidRPr="003E1E54">
        <w:rPr>
          <w:lang w:val="en-GB"/>
        </w:rPr>
        <w:t>), already present in Aspen Plus</w:t>
      </w:r>
      <w:r w:rsidR="007C70A3" w:rsidRPr="003E1E54">
        <w:rPr>
          <w:vertAlign w:val="superscript"/>
          <w:lang w:val="en-GB"/>
        </w:rPr>
        <w:t>®</w:t>
      </w:r>
      <w:r w:rsidR="007C70A3" w:rsidRPr="003E1E54">
        <w:rPr>
          <w:lang w:val="en-GB"/>
        </w:rPr>
        <w:t>, is proposed as an alternative to Eq</w:t>
      </w:r>
      <w:r w:rsidR="007C70A3" w:rsidRPr="003E1E54">
        <w:rPr>
          <w:iCs/>
          <w:lang w:val="en-GB"/>
        </w:rPr>
        <w:fldChar w:fldCharType="begin"/>
      </w:r>
      <w:r w:rsidR="007C70A3" w:rsidRPr="003E1E54">
        <w:rPr>
          <w:iCs/>
          <w:lang w:val="en-GB"/>
        </w:rPr>
        <w:instrText xml:space="preserve"> GOTOBUTTON ZEqnNum326548  \* MERGEFORMAT </w:instrText>
      </w:r>
      <w:r w:rsidR="007C70A3" w:rsidRPr="003E1E54">
        <w:rPr>
          <w:iCs/>
          <w:lang w:val="en-GB"/>
        </w:rPr>
        <w:fldChar w:fldCharType="begin"/>
      </w:r>
      <w:r w:rsidR="007C70A3" w:rsidRPr="003E1E54">
        <w:rPr>
          <w:iCs/>
          <w:lang w:val="en-GB"/>
        </w:rPr>
        <w:instrText xml:space="preserve"> REF ZEqnNum326548 \* Charformat \! \* MERGEFORMAT </w:instrText>
      </w:r>
      <w:r w:rsidR="007C70A3" w:rsidRPr="003E1E54">
        <w:rPr>
          <w:iCs/>
          <w:lang w:val="en-GB"/>
        </w:rPr>
        <w:fldChar w:fldCharType="separate"/>
      </w:r>
      <w:r w:rsidR="008874A4" w:rsidRPr="008874A4">
        <w:rPr>
          <w:iCs/>
          <w:lang w:val="en-GB"/>
        </w:rPr>
        <w:instrText>(1)</w:instrText>
      </w:r>
      <w:r w:rsidR="007C70A3" w:rsidRPr="003E1E54">
        <w:rPr>
          <w:iCs/>
          <w:lang w:val="en-GB"/>
        </w:rPr>
        <w:fldChar w:fldCharType="end"/>
      </w:r>
      <w:r w:rsidR="007C70A3" w:rsidRPr="003E1E54">
        <w:rPr>
          <w:iCs/>
          <w:lang w:val="en-GB"/>
        </w:rPr>
        <w:fldChar w:fldCharType="end"/>
      </w:r>
      <w:r w:rsidR="007C70A3" w:rsidRPr="003E1E54">
        <w:rPr>
          <w:lang w:val="en-GB"/>
        </w:rPr>
        <w:t xml:space="preserve">. </w:t>
      </w:r>
      <w:r w:rsidR="007C70A3" w:rsidRPr="00A53C1D">
        <w:rPr>
          <w:lang w:val="en-GB"/>
        </w:rPr>
        <w:t xml:space="preserve">The coefficients are </w:t>
      </w:r>
      <w:r w:rsidR="007C70A3" w:rsidRPr="003E1E54">
        <w:rPr>
          <w:lang w:val="en-GB"/>
        </w:rPr>
        <w:t>found by minimizing the root mean square deviation of c</w:t>
      </w:r>
      <w:r w:rsidR="007C70A3" w:rsidRPr="003E1E54">
        <w:rPr>
          <w:vertAlign w:val="subscript"/>
          <w:lang w:val="en-GB"/>
        </w:rPr>
        <w:t>p</w:t>
      </w:r>
      <w:r w:rsidR="007C70A3" w:rsidRPr="003E1E54">
        <w:rPr>
          <w:vertAlign w:val="superscript"/>
          <w:lang w:val="en-GB"/>
        </w:rPr>
        <w:t>0</w:t>
      </w:r>
      <w:r w:rsidR="007C70A3" w:rsidRPr="003E1E54">
        <w:rPr>
          <w:lang w:val="en-GB"/>
        </w:rPr>
        <w:t xml:space="preserve"> calculated with DIPPR 127 with respect to the values obtained </w:t>
      </w:r>
      <w:r w:rsidR="007C70A3">
        <w:rPr>
          <w:lang w:val="en-GB"/>
        </w:rPr>
        <w:t xml:space="preserve">by </w:t>
      </w:r>
      <w:proofErr w:type="spellStart"/>
      <w:r w:rsidR="007C70A3">
        <w:rPr>
          <w:lang w:val="en-GB"/>
        </w:rPr>
        <w:t>Leachman</w:t>
      </w:r>
      <w:proofErr w:type="spellEnd"/>
      <w:r w:rsidR="007C70A3">
        <w:rPr>
          <w:lang w:val="en-GB"/>
        </w:rPr>
        <w:t xml:space="preserve"> et al. and by </w:t>
      </w:r>
      <w:proofErr w:type="spellStart"/>
      <w:r w:rsidR="007C70A3">
        <w:rPr>
          <w:lang w:val="en-GB"/>
        </w:rPr>
        <w:t>Valenti</w:t>
      </w:r>
      <w:proofErr w:type="spellEnd"/>
      <w:r w:rsidR="007C70A3">
        <w:rPr>
          <w:lang w:val="en-GB"/>
        </w:rPr>
        <w:t xml:space="preserve"> et al.</w:t>
      </w:r>
      <w:r w:rsidR="007C70A3" w:rsidRPr="003E1E54">
        <w:rPr>
          <w:lang w:val="en-GB"/>
        </w:rPr>
        <w:t xml:space="preserve"> for</w:t>
      </w:r>
      <w:r w:rsidR="007C70A3" w:rsidRPr="00A53C1D">
        <w:rPr>
          <w:lang w:val="en-GB"/>
        </w:rPr>
        <w:t xml:space="preserve"> different </w:t>
      </w:r>
      <w:r w:rsidR="001A2239">
        <w:rPr>
          <w:lang w:val="en-GB"/>
        </w:rPr>
        <w:t>T</w:t>
      </w:r>
      <w:r w:rsidR="007C70A3" w:rsidRPr="00A53C1D">
        <w:rPr>
          <w:lang w:val="en-GB"/>
        </w:rPr>
        <w:t xml:space="preserve"> in the range 20 – 300 K</w:t>
      </w:r>
      <w:r w:rsidR="007C70A3">
        <w:rPr>
          <w:lang w:val="en-GB"/>
        </w:rPr>
        <w:t xml:space="preserve"> and</w:t>
      </w:r>
      <w:r w:rsidR="007C70A3" w:rsidRPr="00A53C1D">
        <w:rPr>
          <w:lang w:val="en-GB"/>
        </w:rPr>
        <w:t xml:space="preserve"> are reported </w:t>
      </w:r>
      <w:r w:rsidR="007C70A3">
        <w:rPr>
          <w:lang w:val="en-GB"/>
        </w:rPr>
        <w:t xml:space="preserve">in </w:t>
      </w:r>
      <w:r w:rsidR="007C70A3">
        <w:rPr>
          <w:highlight w:val="yellow"/>
          <w:lang w:val="en-GB"/>
        </w:rPr>
        <w:fldChar w:fldCharType="begin"/>
      </w:r>
      <w:r w:rsidR="007C70A3">
        <w:rPr>
          <w:lang w:val="en-GB"/>
        </w:rPr>
        <w:instrText xml:space="preserve"> REF _Ref126245512 \h </w:instrText>
      </w:r>
      <w:r w:rsidR="007C70A3">
        <w:rPr>
          <w:highlight w:val="yellow"/>
          <w:lang w:val="en-GB"/>
        </w:rPr>
      </w:r>
      <w:r w:rsidR="007C70A3">
        <w:rPr>
          <w:highlight w:val="yellow"/>
          <w:lang w:val="en-GB"/>
        </w:rPr>
        <w:fldChar w:fldCharType="separate"/>
      </w:r>
      <w:r w:rsidR="008874A4">
        <w:t xml:space="preserve">Table </w:t>
      </w:r>
      <w:r w:rsidR="008874A4">
        <w:rPr>
          <w:noProof/>
        </w:rPr>
        <w:t>1</w:t>
      </w:r>
      <w:r w:rsidR="007C70A3">
        <w:rPr>
          <w:highlight w:val="yellow"/>
          <w:lang w:val="en-GB"/>
        </w:rPr>
        <w:fldChar w:fldCharType="end"/>
      </w:r>
      <w:r w:rsidR="007C70A3" w:rsidRPr="00A53C1D">
        <w:rPr>
          <w:lang w:val="en-GB"/>
        </w:rPr>
        <w:t>.</w:t>
      </w:r>
    </w:p>
    <w:tbl>
      <w:tblPr>
        <w:tblW w:w="5000" w:type="pct"/>
        <w:tblLook w:val="04A0" w:firstRow="1" w:lastRow="0" w:firstColumn="1" w:lastColumn="0" w:noHBand="0" w:noVBand="1"/>
      </w:tblPr>
      <w:tblGrid>
        <w:gridCol w:w="7992"/>
        <w:gridCol w:w="795"/>
      </w:tblGrid>
      <w:tr w:rsidR="005B0E9D" w:rsidRPr="00B57B36" w14:paraId="0C94E304" w14:textId="77777777" w:rsidTr="001A2239">
        <w:tc>
          <w:tcPr>
            <w:tcW w:w="7991" w:type="dxa"/>
            <w:shd w:val="clear" w:color="auto" w:fill="auto"/>
            <w:vAlign w:val="center"/>
          </w:tcPr>
          <w:p w14:paraId="5B89B775" w14:textId="3449A33D" w:rsidR="005B0E9D" w:rsidRPr="00E614FC" w:rsidRDefault="003C065B" w:rsidP="00E614FC">
            <w:pPr>
              <w:pStyle w:val="CETEquation"/>
            </w:pPr>
            <w:r w:rsidRPr="003C065B">
              <w:rPr>
                <w:position w:val="-30"/>
              </w:rPr>
              <w:object w:dxaOrig="4040" w:dyaOrig="680" w14:anchorId="08453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3.75pt" o:ole="">
                  <v:imagedata r:id="rId12" o:title=""/>
                </v:shape>
                <o:OLEObject Type="Embed" ProgID="Equation.DSMT4" ShapeID="_x0000_i1025" DrawAspect="Content" ObjectID="_1740463153" r:id="rId13"/>
              </w:object>
            </w:r>
            <w:r w:rsidR="0083466B" w:rsidRPr="00E614FC">
              <w:t xml:space="preserve"> </w:t>
            </w:r>
          </w:p>
        </w:tc>
        <w:tc>
          <w:tcPr>
            <w:tcW w:w="796" w:type="dxa"/>
            <w:shd w:val="clear" w:color="auto" w:fill="auto"/>
            <w:vAlign w:val="center"/>
          </w:tcPr>
          <w:p w14:paraId="4D4FE1C3" w14:textId="78047FF5" w:rsidR="005B0E9D" w:rsidRPr="00E614FC" w:rsidRDefault="003E1E54" w:rsidP="00E614FC">
            <w:pPr>
              <w:pStyle w:val="CETEquation"/>
              <w:jc w:val="right"/>
            </w:pPr>
            <w:r w:rsidRPr="003E1E54">
              <w:fldChar w:fldCharType="begin"/>
            </w:r>
            <w:r w:rsidRPr="003E1E54">
              <w:instrText xml:space="preserve"> MACROBUTTON MTPlaceRef \* MERGEFORMAT </w:instrText>
            </w:r>
            <w:r w:rsidRPr="003E1E54">
              <w:fldChar w:fldCharType="begin"/>
            </w:r>
            <w:r w:rsidRPr="003E1E54">
              <w:instrText xml:space="preserve"> SEQ MTEqn \h \* MERGEFORMAT </w:instrText>
            </w:r>
            <w:r w:rsidRPr="003E1E54">
              <w:fldChar w:fldCharType="end"/>
            </w:r>
            <w:bookmarkStart w:id="4" w:name="ZEqnNum326548"/>
            <w:r w:rsidRPr="003E1E54">
              <w:instrText>(</w:instrText>
            </w:r>
            <w:r w:rsidR="00B43E42">
              <w:fldChar w:fldCharType="begin"/>
            </w:r>
            <w:r w:rsidR="00B43E42">
              <w:instrText xml:space="preserve"> SEQ MTEqn \c \* Arabic \* MERGEFORMAT </w:instrText>
            </w:r>
            <w:r w:rsidR="00B43E42">
              <w:fldChar w:fldCharType="separate"/>
            </w:r>
            <w:r w:rsidR="008874A4">
              <w:rPr>
                <w:noProof/>
              </w:rPr>
              <w:instrText>1</w:instrText>
            </w:r>
            <w:r w:rsidR="00B43E42">
              <w:rPr>
                <w:noProof/>
              </w:rPr>
              <w:fldChar w:fldCharType="end"/>
            </w:r>
            <w:r w:rsidRPr="003E1E54">
              <w:instrText>)</w:instrText>
            </w:r>
            <w:bookmarkEnd w:id="4"/>
            <w:r w:rsidRPr="003E1E54">
              <w:fldChar w:fldCharType="end"/>
            </w:r>
          </w:p>
        </w:tc>
      </w:tr>
      <w:tr w:rsidR="005B0E9D" w:rsidRPr="00B57B36" w14:paraId="3D474AE8" w14:textId="77777777" w:rsidTr="001738D6">
        <w:tc>
          <w:tcPr>
            <w:tcW w:w="7996" w:type="dxa"/>
            <w:shd w:val="clear" w:color="auto" w:fill="auto"/>
            <w:vAlign w:val="center"/>
          </w:tcPr>
          <w:p w14:paraId="5CC91582" w14:textId="1E75ED88" w:rsidR="005B0E9D" w:rsidRPr="00273876" w:rsidRDefault="003C065B" w:rsidP="00273876">
            <w:pPr>
              <w:pStyle w:val="CETEquation"/>
            </w:pPr>
            <w:r w:rsidRPr="00686EAF">
              <w:rPr>
                <w:position w:val="-34"/>
              </w:rPr>
              <w:object w:dxaOrig="5000" w:dyaOrig="780" w14:anchorId="5D26C723">
                <v:shape id="_x0000_i1026" type="#_x0000_t75" style="width:249.75pt;height:39.75pt" o:ole="">
                  <v:imagedata r:id="rId14" o:title=""/>
                </v:shape>
                <o:OLEObject Type="Embed" ProgID="Equation.DSMT4" ShapeID="_x0000_i1026" DrawAspect="Content" ObjectID="_1740463154" r:id="rId15"/>
              </w:object>
            </w:r>
            <w:r w:rsidR="000D7271" w:rsidRPr="00273876">
              <w:t xml:space="preserve"> </w:t>
            </w:r>
          </w:p>
        </w:tc>
        <w:tc>
          <w:tcPr>
            <w:tcW w:w="791" w:type="dxa"/>
            <w:shd w:val="clear" w:color="auto" w:fill="auto"/>
            <w:vAlign w:val="center"/>
          </w:tcPr>
          <w:p w14:paraId="294AFFE2" w14:textId="7C29CF8D" w:rsidR="005B0E9D" w:rsidRPr="00273876" w:rsidRDefault="003E1E54" w:rsidP="00E614FC">
            <w:pPr>
              <w:pStyle w:val="CETEquation"/>
              <w:jc w:val="right"/>
            </w:pPr>
            <w:r w:rsidRPr="003E1E54">
              <w:fldChar w:fldCharType="begin"/>
            </w:r>
            <w:r w:rsidRPr="003E1E54">
              <w:instrText xml:space="preserve"> MACROBUTTON MTPlaceRef \* MERGEFORMAT </w:instrText>
            </w:r>
            <w:r w:rsidRPr="003E1E54">
              <w:fldChar w:fldCharType="begin"/>
            </w:r>
            <w:r w:rsidRPr="003E1E54">
              <w:instrText xml:space="preserve"> SEQ MTEqn \h \* MERGEFORMAT </w:instrText>
            </w:r>
            <w:r w:rsidRPr="003E1E54">
              <w:fldChar w:fldCharType="end"/>
            </w:r>
            <w:bookmarkStart w:id="5" w:name="ZEqnNum418294"/>
            <w:r w:rsidRPr="003E1E54">
              <w:instrText>(</w:instrText>
            </w:r>
            <w:r w:rsidR="00B43E42">
              <w:fldChar w:fldCharType="begin"/>
            </w:r>
            <w:r w:rsidR="00B43E42">
              <w:instrText xml:space="preserve"> SEQ MTEqn \c \* Arabic \* MERGEFORM</w:instrText>
            </w:r>
            <w:r w:rsidR="00B43E42">
              <w:instrText xml:space="preserve">AT </w:instrText>
            </w:r>
            <w:r w:rsidR="00B43E42">
              <w:fldChar w:fldCharType="separate"/>
            </w:r>
            <w:r w:rsidR="008874A4">
              <w:rPr>
                <w:noProof/>
              </w:rPr>
              <w:instrText>2</w:instrText>
            </w:r>
            <w:r w:rsidR="00B43E42">
              <w:rPr>
                <w:noProof/>
              </w:rPr>
              <w:fldChar w:fldCharType="end"/>
            </w:r>
            <w:r w:rsidRPr="003E1E54">
              <w:instrText>)</w:instrText>
            </w:r>
            <w:bookmarkEnd w:id="5"/>
            <w:r w:rsidRPr="003E1E54">
              <w:fldChar w:fldCharType="end"/>
            </w:r>
          </w:p>
        </w:tc>
      </w:tr>
    </w:tbl>
    <w:p w14:paraId="73CA3644" w14:textId="7E77FF08" w:rsidR="00B82744" w:rsidRPr="00B57B36" w:rsidRDefault="00AB292D" w:rsidP="00C02D85">
      <w:pPr>
        <w:pStyle w:val="CETTabletitle"/>
        <w:spacing w:before="120"/>
      </w:pPr>
      <w:bookmarkStart w:id="6" w:name="_Ref126245512"/>
      <w:bookmarkStart w:id="7" w:name="_Hlk126315640"/>
      <w:r>
        <w:t xml:space="preserve">Table </w:t>
      </w:r>
      <w:r>
        <w:fldChar w:fldCharType="begin"/>
      </w:r>
      <w:r>
        <w:instrText xml:space="preserve"> SEQ Table \* ARABIC </w:instrText>
      </w:r>
      <w:r>
        <w:fldChar w:fldCharType="separate"/>
      </w:r>
      <w:r w:rsidR="008874A4">
        <w:rPr>
          <w:noProof/>
        </w:rPr>
        <w:t>1</w:t>
      </w:r>
      <w:r>
        <w:fldChar w:fldCharType="end"/>
      </w:r>
      <w:bookmarkEnd w:id="6"/>
      <w:r w:rsidR="00B82744" w:rsidRPr="00B57B36">
        <w:t xml:space="preserve">: </w:t>
      </w:r>
      <w:r w:rsidR="00B82744" w:rsidRPr="00B82744">
        <w:t>Estimated coefficients for calculating the ideal specific heat at constant pressure c</w:t>
      </w:r>
      <w:r w:rsidR="00B82744" w:rsidRPr="00B82744">
        <w:rPr>
          <w:vertAlign w:val="subscript"/>
        </w:rPr>
        <w:t>p</w:t>
      </w:r>
      <w:r w:rsidR="00B82744" w:rsidRPr="00B82744">
        <w:rPr>
          <w:vertAlign w:val="superscript"/>
        </w:rPr>
        <w:t>0</w:t>
      </w:r>
      <w:r w:rsidR="00B82744" w:rsidRPr="00B82744">
        <w:t xml:space="preserve"> [kJ/(</w:t>
      </w:r>
      <w:proofErr w:type="spellStart"/>
      <w:r w:rsidR="00B82744" w:rsidRPr="00B82744">
        <w:t>kmol·K</w:t>
      </w:r>
      <w:proofErr w:type="spellEnd"/>
      <w:r w:rsidR="00B82744" w:rsidRPr="00B82744">
        <w:t>)] of n-H</w:t>
      </w:r>
      <w:r w:rsidR="00B82744" w:rsidRPr="00B82744">
        <w:rPr>
          <w:vertAlign w:val="subscript"/>
        </w:rPr>
        <w:t>2</w:t>
      </w:r>
      <w:r w:rsidR="00B82744" w:rsidRPr="00B82744">
        <w:t>, p-H</w:t>
      </w:r>
      <w:r w:rsidR="00B82744" w:rsidRPr="00B82744">
        <w:rPr>
          <w:vertAlign w:val="subscript"/>
        </w:rPr>
        <w:t>2</w:t>
      </w:r>
      <w:r w:rsidR="00B82744" w:rsidRPr="00B82744">
        <w:t xml:space="preserve"> and e-H</w:t>
      </w:r>
      <w:r w:rsidR="00B82744" w:rsidRPr="00B82744">
        <w:rPr>
          <w:vertAlign w:val="subscript"/>
        </w:rPr>
        <w:t>2</w:t>
      </w:r>
      <w:r w:rsidR="00B82744" w:rsidRPr="00B82744">
        <w:t xml:space="preserve"> using the correlation DIPPR 127</w:t>
      </w:r>
      <w:r w:rsidR="00B82744">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37"/>
        <w:gridCol w:w="964"/>
        <w:gridCol w:w="964"/>
        <w:gridCol w:w="964"/>
        <w:gridCol w:w="964"/>
        <w:gridCol w:w="964"/>
        <w:gridCol w:w="964"/>
        <w:gridCol w:w="964"/>
      </w:tblGrid>
      <w:tr w:rsidR="00B82744" w:rsidRPr="00B57B36" w14:paraId="33B1536E" w14:textId="77777777" w:rsidTr="00081481">
        <w:tc>
          <w:tcPr>
            <w:tcW w:w="737" w:type="dxa"/>
            <w:tcBorders>
              <w:top w:val="single" w:sz="12" w:space="0" w:color="008000"/>
              <w:bottom w:val="single" w:sz="6" w:space="0" w:color="008000"/>
            </w:tcBorders>
            <w:shd w:val="clear" w:color="auto" w:fill="FFFFFF"/>
          </w:tcPr>
          <w:p w14:paraId="2F90C996" w14:textId="0B3D6CFB" w:rsidR="00B82744" w:rsidRPr="00B57B36" w:rsidRDefault="00B82744" w:rsidP="00B82744">
            <w:pPr>
              <w:pStyle w:val="CETBodytext"/>
              <w:rPr>
                <w:lang w:val="en-GB"/>
              </w:rPr>
            </w:pPr>
          </w:p>
        </w:tc>
        <w:tc>
          <w:tcPr>
            <w:tcW w:w="964" w:type="dxa"/>
            <w:tcBorders>
              <w:top w:val="single" w:sz="12" w:space="0" w:color="008000"/>
              <w:bottom w:val="single" w:sz="6" w:space="0" w:color="008000"/>
            </w:tcBorders>
            <w:shd w:val="clear" w:color="auto" w:fill="FFFFFF"/>
          </w:tcPr>
          <w:p w14:paraId="60925522" w14:textId="6DCFFFB3" w:rsidR="00B82744" w:rsidRPr="00B57B36" w:rsidRDefault="00B82744" w:rsidP="00B82744">
            <w:pPr>
              <w:pStyle w:val="CETBodytext"/>
              <w:rPr>
                <w:lang w:val="en-GB"/>
              </w:rPr>
            </w:pPr>
            <w:r w:rsidRPr="00A22A19">
              <w:t>C</w:t>
            </w:r>
            <w:r w:rsidRPr="00B82744">
              <w:rPr>
                <w:vertAlign w:val="subscript"/>
              </w:rPr>
              <w:t>1</w:t>
            </w:r>
          </w:p>
        </w:tc>
        <w:tc>
          <w:tcPr>
            <w:tcW w:w="964" w:type="dxa"/>
            <w:tcBorders>
              <w:top w:val="single" w:sz="12" w:space="0" w:color="008000"/>
              <w:bottom w:val="single" w:sz="6" w:space="0" w:color="008000"/>
            </w:tcBorders>
            <w:shd w:val="clear" w:color="auto" w:fill="FFFFFF"/>
          </w:tcPr>
          <w:p w14:paraId="68D8EACA" w14:textId="68B3FB26" w:rsidR="00B82744" w:rsidRPr="00B57B36" w:rsidRDefault="00B82744" w:rsidP="00B82744">
            <w:pPr>
              <w:pStyle w:val="CETBodytext"/>
              <w:rPr>
                <w:lang w:val="en-GB"/>
              </w:rPr>
            </w:pPr>
            <w:r w:rsidRPr="00A22A19">
              <w:t>C</w:t>
            </w:r>
            <w:r w:rsidRPr="00B82744">
              <w:rPr>
                <w:vertAlign w:val="subscript"/>
              </w:rPr>
              <w:t>2</w:t>
            </w:r>
          </w:p>
        </w:tc>
        <w:tc>
          <w:tcPr>
            <w:tcW w:w="964" w:type="dxa"/>
            <w:tcBorders>
              <w:top w:val="single" w:sz="12" w:space="0" w:color="008000"/>
              <w:bottom w:val="single" w:sz="6" w:space="0" w:color="008000"/>
            </w:tcBorders>
            <w:shd w:val="clear" w:color="auto" w:fill="FFFFFF"/>
          </w:tcPr>
          <w:p w14:paraId="095EA34D" w14:textId="5BB6D325" w:rsidR="00B82744" w:rsidRPr="00B57B36" w:rsidRDefault="00B82744" w:rsidP="00B82744">
            <w:pPr>
              <w:pStyle w:val="CETBodytext"/>
              <w:ind w:right="-1"/>
              <w:rPr>
                <w:rFonts w:cs="Arial"/>
                <w:szCs w:val="18"/>
                <w:lang w:val="en-GB"/>
              </w:rPr>
            </w:pPr>
            <w:r w:rsidRPr="00A22A19">
              <w:t>C</w:t>
            </w:r>
            <w:r w:rsidRPr="00B82744">
              <w:rPr>
                <w:vertAlign w:val="subscript"/>
              </w:rPr>
              <w:t>3</w:t>
            </w:r>
          </w:p>
        </w:tc>
        <w:tc>
          <w:tcPr>
            <w:tcW w:w="964" w:type="dxa"/>
            <w:tcBorders>
              <w:top w:val="single" w:sz="12" w:space="0" w:color="008000"/>
              <w:bottom w:val="single" w:sz="6" w:space="0" w:color="008000"/>
            </w:tcBorders>
            <w:shd w:val="clear" w:color="auto" w:fill="FFFFFF"/>
          </w:tcPr>
          <w:p w14:paraId="12E1ACA5" w14:textId="0FCF1354" w:rsidR="00B82744" w:rsidRPr="00B57B36" w:rsidRDefault="00B82744" w:rsidP="00B82744">
            <w:pPr>
              <w:pStyle w:val="CETBodytext"/>
              <w:ind w:right="-1"/>
              <w:rPr>
                <w:rFonts w:cs="Arial"/>
                <w:szCs w:val="18"/>
                <w:lang w:val="en-GB"/>
              </w:rPr>
            </w:pPr>
            <w:r w:rsidRPr="00A22A19">
              <w:t>C</w:t>
            </w:r>
            <w:r w:rsidRPr="00B82744">
              <w:rPr>
                <w:vertAlign w:val="subscript"/>
              </w:rPr>
              <w:t>4</w:t>
            </w:r>
          </w:p>
        </w:tc>
        <w:tc>
          <w:tcPr>
            <w:tcW w:w="964" w:type="dxa"/>
            <w:tcBorders>
              <w:top w:val="single" w:sz="12" w:space="0" w:color="008000"/>
              <w:bottom w:val="single" w:sz="6" w:space="0" w:color="008000"/>
            </w:tcBorders>
            <w:shd w:val="clear" w:color="auto" w:fill="FFFFFF"/>
          </w:tcPr>
          <w:p w14:paraId="70672749" w14:textId="16252BAD" w:rsidR="00B82744" w:rsidRPr="00B57B36" w:rsidRDefault="00B82744" w:rsidP="00B82744">
            <w:pPr>
              <w:pStyle w:val="CETBodytext"/>
              <w:ind w:right="-1"/>
              <w:rPr>
                <w:rFonts w:cs="Arial"/>
                <w:szCs w:val="18"/>
                <w:lang w:val="en-GB"/>
              </w:rPr>
            </w:pPr>
            <w:r w:rsidRPr="00A22A19">
              <w:t>C</w:t>
            </w:r>
            <w:r w:rsidRPr="00B82744">
              <w:rPr>
                <w:vertAlign w:val="subscript"/>
              </w:rPr>
              <w:t>5</w:t>
            </w:r>
          </w:p>
        </w:tc>
        <w:tc>
          <w:tcPr>
            <w:tcW w:w="964" w:type="dxa"/>
            <w:tcBorders>
              <w:top w:val="single" w:sz="12" w:space="0" w:color="008000"/>
              <w:bottom w:val="single" w:sz="6" w:space="0" w:color="008000"/>
            </w:tcBorders>
            <w:shd w:val="clear" w:color="auto" w:fill="FFFFFF"/>
          </w:tcPr>
          <w:p w14:paraId="64B447BC" w14:textId="2B093B21" w:rsidR="00B82744" w:rsidRPr="00B57B36" w:rsidRDefault="00B82744" w:rsidP="00B82744">
            <w:pPr>
              <w:pStyle w:val="CETBodytext"/>
              <w:ind w:right="-1"/>
              <w:rPr>
                <w:rFonts w:cs="Arial"/>
                <w:szCs w:val="18"/>
                <w:lang w:val="en-GB"/>
              </w:rPr>
            </w:pPr>
            <w:r w:rsidRPr="00A22A19">
              <w:t>C</w:t>
            </w:r>
            <w:r w:rsidRPr="00B82744">
              <w:rPr>
                <w:vertAlign w:val="subscript"/>
              </w:rPr>
              <w:t>6</w:t>
            </w:r>
          </w:p>
        </w:tc>
        <w:tc>
          <w:tcPr>
            <w:tcW w:w="964" w:type="dxa"/>
            <w:tcBorders>
              <w:top w:val="single" w:sz="12" w:space="0" w:color="008000"/>
              <w:bottom w:val="single" w:sz="6" w:space="0" w:color="008000"/>
            </w:tcBorders>
            <w:shd w:val="clear" w:color="auto" w:fill="FFFFFF"/>
          </w:tcPr>
          <w:p w14:paraId="7330D6E7" w14:textId="1C2E2C12" w:rsidR="00B82744" w:rsidRPr="00B57B36" w:rsidRDefault="00B82744" w:rsidP="00B82744">
            <w:pPr>
              <w:pStyle w:val="CETBodytext"/>
              <w:ind w:right="-1"/>
              <w:rPr>
                <w:rFonts w:cs="Arial"/>
                <w:szCs w:val="18"/>
                <w:lang w:val="en-GB"/>
              </w:rPr>
            </w:pPr>
            <w:r w:rsidRPr="00A22A19">
              <w:t>C</w:t>
            </w:r>
            <w:r w:rsidRPr="00B82744">
              <w:rPr>
                <w:vertAlign w:val="subscript"/>
              </w:rPr>
              <w:t>7</w:t>
            </w:r>
          </w:p>
        </w:tc>
      </w:tr>
      <w:tr w:rsidR="00B82744" w:rsidRPr="00B57B36" w14:paraId="66186843" w14:textId="77777777" w:rsidTr="00081481">
        <w:tc>
          <w:tcPr>
            <w:tcW w:w="737" w:type="dxa"/>
            <w:shd w:val="clear" w:color="auto" w:fill="FFFFFF"/>
          </w:tcPr>
          <w:p w14:paraId="34DA7203" w14:textId="6C4DAD28" w:rsidR="00B82744" w:rsidRPr="00B57B36" w:rsidRDefault="00B82744" w:rsidP="00B82744">
            <w:pPr>
              <w:pStyle w:val="CETBodytext"/>
              <w:rPr>
                <w:lang w:val="en-GB"/>
              </w:rPr>
            </w:pPr>
            <w:r w:rsidRPr="00777DB8">
              <w:t>n-H</w:t>
            </w:r>
            <w:r w:rsidRPr="00B82744">
              <w:rPr>
                <w:vertAlign w:val="subscript"/>
              </w:rPr>
              <w:t>2</w:t>
            </w:r>
          </w:p>
        </w:tc>
        <w:tc>
          <w:tcPr>
            <w:tcW w:w="964" w:type="dxa"/>
            <w:shd w:val="clear" w:color="auto" w:fill="FFFFFF"/>
          </w:tcPr>
          <w:p w14:paraId="3B54A8C5" w14:textId="0FCFB0B4" w:rsidR="00B82744" w:rsidRPr="00B57B36" w:rsidRDefault="00B82744" w:rsidP="00B82744">
            <w:pPr>
              <w:pStyle w:val="CETBodytext"/>
              <w:rPr>
                <w:lang w:val="en-GB"/>
              </w:rPr>
            </w:pPr>
            <w:r w:rsidRPr="00B3693D">
              <w:t>20.7862</w:t>
            </w:r>
          </w:p>
        </w:tc>
        <w:tc>
          <w:tcPr>
            <w:tcW w:w="964" w:type="dxa"/>
            <w:shd w:val="clear" w:color="auto" w:fill="FFFFFF"/>
          </w:tcPr>
          <w:p w14:paraId="39DB5293" w14:textId="2DBAB43F" w:rsidR="00B82744" w:rsidRPr="00B57B36" w:rsidRDefault="00B82744" w:rsidP="00B82744">
            <w:pPr>
              <w:pStyle w:val="CETBodytext"/>
              <w:rPr>
                <w:lang w:val="en-GB"/>
              </w:rPr>
            </w:pPr>
            <w:r w:rsidRPr="00B3693D">
              <w:t>11.3784</w:t>
            </w:r>
          </w:p>
        </w:tc>
        <w:tc>
          <w:tcPr>
            <w:tcW w:w="964" w:type="dxa"/>
            <w:shd w:val="clear" w:color="auto" w:fill="FFFFFF"/>
          </w:tcPr>
          <w:p w14:paraId="6285529D" w14:textId="6EA199F8" w:rsidR="00B82744" w:rsidRPr="00B57B36" w:rsidRDefault="00B82744" w:rsidP="00B82744">
            <w:pPr>
              <w:pStyle w:val="CETBodytext"/>
              <w:ind w:right="-1"/>
              <w:rPr>
                <w:rFonts w:cs="Arial"/>
                <w:szCs w:val="18"/>
                <w:lang w:val="en-GB"/>
              </w:rPr>
            </w:pPr>
            <w:r w:rsidRPr="00B3693D">
              <w:t>513.39</w:t>
            </w:r>
          </w:p>
        </w:tc>
        <w:tc>
          <w:tcPr>
            <w:tcW w:w="964" w:type="dxa"/>
            <w:shd w:val="clear" w:color="auto" w:fill="FFFFFF"/>
          </w:tcPr>
          <w:p w14:paraId="4C231C1B" w14:textId="489CAB11" w:rsidR="00B82744" w:rsidRPr="00B57B36" w:rsidRDefault="00B82744" w:rsidP="00B82744">
            <w:pPr>
              <w:pStyle w:val="CETBodytext"/>
              <w:ind w:right="-1"/>
              <w:rPr>
                <w:rFonts w:cs="Arial"/>
                <w:szCs w:val="18"/>
                <w:lang w:val="en-GB"/>
              </w:rPr>
            </w:pPr>
            <w:r w:rsidRPr="00B3693D">
              <w:t>-3.24626</w:t>
            </w:r>
          </w:p>
        </w:tc>
        <w:tc>
          <w:tcPr>
            <w:tcW w:w="964" w:type="dxa"/>
            <w:shd w:val="clear" w:color="auto" w:fill="FFFFFF"/>
          </w:tcPr>
          <w:p w14:paraId="02AF2525" w14:textId="3D5B7B46" w:rsidR="00B82744" w:rsidRPr="00B57B36" w:rsidRDefault="00B82744" w:rsidP="00B82744">
            <w:pPr>
              <w:pStyle w:val="CETBodytext"/>
              <w:ind w:right="-1"/>
              <w:rPr>
                <w:rFonts w:cs="Arial"/>
                <w:szCs w:val="18"/>
                <w:lang w:val="en-GB"/>
              </w:rPr>
            </w:pPr>
            <w:r w:rsidRPr="00B3693D">
              <w:t>1242.75</w:t>
            </w:r>
          </w:p>
        </w:tc>
        <w:tc>
          <w:tcPr>
            <w:tcW w:w="964" w:type="dxa"/>
            <w:shd w:val="clear" w:color="auto" w:fill="FFFFFF"/>
          </w:tcPr>
          <w:p w14:paraId="2DFBB668" w14:textId="79950CEF" w:rsidR="00B82744" w:rsidRPr="00B57B36" w:rsidRDefault="00B82744" w:rsidP="00B82744">
            <w:pPr>
              <w:pStyle w:val="CETBodytext"/>
              <w:ind w:right="-1"/>
              <w:rPr>
                <w:rFonts w:cs="Arial"/>
                <w:szCs w:val="18"/>
                <w:lang w:val="en-GB"/>
              </w:rPr>
            </w:pPr>
            <w:r w:rsidRPr="00B3693D">
              <w:t>6.0525</w:t>
            </w:r>
          </w:p>
        </w:tc>
        <w:tc>
          <w:tcPr>
            <w:tcW w:w="964" w:type="dxa"/>
            <w:shd w:val="clear" w:color="auto" w:fill="FFFFFF"/>
          </w:tcPr>
          <w:p w14:paraId="2C9187ED" w14:textId="661E2B3A" w:rsidR="00B82744" w:rsidRPr="00B57B36" w:rsidRDefault="00B82744" w:rsidP="00B82744">
            <w:pPr>
              <w:pStyle w:val="CETBodytext"/>
              <w:ind w:right="-1"/>
              <w:rPr>
                <w:rFonts w:cs="Arial"/>
                <w:szCs w:val="18"/>
                <w:lang w:val="en-GB"/>
              </w:rPr>
            </w:pPr>
            <w:r w:rsidRPr="00B3693D">
              <w:t>4812.55</w:t>
            </w:r>
          </w:p>
        </w:tc>
      </w:tr>
      <w:tr w:rsidR="00B82744" w:rsidRPr="00B57B36" w14:paraId="411B7161" w14:textId="77777777" w:rsidTr="00081481">
        <w:tc>
          <w:tcPr>
            <w:tcW w:w="737" w:type="dxa"/>
            <w:shd w:val="clear" w:color="auto" w:fill="FFFFFF"/>
          </w:tcPr>
          <w:p w14:paraId="4B854DCC" w14:textId="7AF8BB42" w:rsidR="00B82744" w:rsidRPr="00B57B36" w:rsidRDefault="00B82744" w:rsidP="00B82744">
            <w:pPr>
              <w:pStyle w:val="CETBodytext"/>
              <w:rPr>
                <w:lang w:val="en-GB"/>
              </w:rPr>
            </w:pPr>
            <w:r w:rsidRPr="00777DB8">
              <w:t>p-H</w:t>
            </w:r>
            <w:r w:rsidRPr="00B82744">
              <w:rPr>
                <w:vertAlign w:val="subscript"/>
              </w:rPr>
              <w:t>2</w:t>
            </w:r>
          </w:p>
        </w:tc>
        <w:tc>
          <w:tcPr>
            <w:tcW w:w="964" w:type="dxa"/>
            <w:shd w:val="clear" w:color="auto" w:fill="FFFFFF"/>
          </w:tcPr>
          <w:p w14:paraId="54065B0F" w14:textId="2E6D3A65" w:rsidR="00B82744" w:rsidRPr="00B57B36" w:rsidRDefault="00B82744" w:rsidP="00B82744">
            <w:pPr>
              <w:pStyle w:val="CETBodytext"/>
              <w:rPr>
                <w:lang w:val="en-GB"/>
              </w:rPr>
            </w:pPr>
            <w:r w:rsidRPr="00B3693D">
              <w:t>20.7862</w:t>
            </w:r>
          </w:p>
        </w:tc>
        <w:tc>
          <w:tcPr>
            <w:tcW w:w="964" w:type="dxa"/>
            <w:shd w:val="clear" w:color="auto" w:fill="FFFFFF"/>
          </w:tcPr>
          <w:p w14:paraId="12E02106" w14:textId="2F6604DE" w:rsidR="00B82744" w:rsidRPr="00B57B36" w:rsidRDefault="00B82744" w:rsidP="00B82744">
            <w:pPr>
              <w:pStyle w:val="CETBodytext"/>
              <w:rPr>
                <w:lang w:val="en-GB"/>
              </w:rPr>
            </w:pPr>
            <w:r w:rsidRPr="00B3693D">
              <w:t>75.1267</w:t>
            </w:r>
          </w:p>
        </w:tc>
        <w:tc>
          <w:tcPr>
            <w:tcW w:w="964" w:type="dxa"/>
            <w:shd w:val="clear" w:color="auto" w:fill="FFFFFF"/>
          </w:tcPr>
          <w:p w14:paraId="539A8805" w14:textId="77D579C2" w:rsidR="00B82744" w:rsidRPr="00B57B36" w:rsidRDefault="00B82744" w:rsidP="00B82744">
            <w:pPr>
              <w:pStyle w:val="CETBodytext"/>
              <w:ind w:right="-1"/>
              <w:rPr>
                <w:rFonts w:cs="Arial"/>
                <w:szCs w:val="18"/>
                <w:lang w:val="en-GB"/>
              </w:rPr>
            </w:pPr>
            <w:r w:rsidRPr="00B3693D">
              <w:t>561.48</w:t>
            </w:r>
          </w:p>
        </w:tc>
        <w:tc>
          <w:tcPr>
            <w:tcW w:w="964" w:type="dxa"/>
            <w:shd w:val="clear" w:color="auto" w:fill="FFFFFF"/>
          </w:tcPr>
          <w:p w14:paraId="0CB43A40" w14:textId="53AD01C2" w:rsidR="00B82744" w:rsidRPr="00B57B36" w:rsidRDefault="00B82744" w:rsidP="00B82744">
            <w:pPr>
              <w:pStyle w:val="CETBodytext"/>
              <w:ind w:right="-1"/>
              <w:rPr>
                <w:rFonts w:cs="Arial"/>
                <w:szCs w:val="18"/>
                <w:lang w:val="en-GB"/>
              </w:rPr>
            </w:pPr>
            <w:r w:rsidRPr="00B3693D">
              <w:t>66.4278</w:t>
            </w:r>
          </w:p>
        </w:tc>
        <w:tc>
          <w:tcPr>
            <w:tcW w:w="964" w:type="dxa"/>
            <w:shd w:val="clear" w:color="auto" w:fill="FFFFFF"/>
          </w:tcPr>
          <w:p w14:paraId="2C2FACA8" w14:textId="2F295A1A" w:rsidR="00B82744" w:rsidRPr="00B57B36" w:rsidRDefault="00B82744" w:rsidP="00B82744">
            <w:pPr>
              <w:pStyle w:val="CETBodytext"/>
              <w:ind w:right="-1"/>
              <w:rPr>
                <w:rFonts w:cs="Arial"/>
                <w:szCs w:val="18"/>
                <w:lang w:val="en-GB"/>
              </w:rPr>
            </w:pPr>
            <w:r w:rsidRPr="00B3693D">
              <w:t>1037.49</w:t>
            </w:r>
          </w:p>
        </w:tc>
        <w:tc>
          <w:tcPr>
            <w:tcW w:w="964" w:type="dxa"/>
            <w:shd w:val="clear" w:color="auto" w:fill="FFFFFF"/>
          </w:tcPr>
          <w:p w14:paraId="3B5F9D1A" w14:textId="60725D21" w:rsidR="00B82744" w:rsidRPr="00B57B36" w:rsidRDefault="00B82744" w:rsidP="00B82744">
            <w:pPr>
              <w:pStyle w:val="CETBodytext"/>
              <w:ind w:right="-1"/>
              <w:rPr>
                <w:rFonts w:cs="Arial"/>
                <w:szCs w:val="18"/>
                <w:lang w:val="en-GB"/>
              </w:rPr>
            </w:pPr>
            <w:r w:rsidRPr="00B3693D">
              <w:t>-131.678</w:t>
            </w:r>
          </w:p>
        </w:tc>
        <w:tc>
          <w:tcPr>
            <w:tcW w:w="964" w:type="dxa"/>
            <w:shd w:val="clear" w:color="auto" w:fill="FFFFFF"/>
          </w:tcPr>
          <w:p w14:paraId="5E1AB194" w14:textId="1E6B91FB" w:rsidR="00B82744" w:rsidRPr="00B57B36" w:rsidRDefault="00B82744" w:rsidP="00B82744">
            <w:pPr>
              <w:pStyle w:val="CETBodytext"/>
              <w:ind w:right="-1"/>
              <w:rPr>
                <w:rFonts w:cs="Arial"/>
                <w:szCs w:val="18"/>
                <w:lang w:val="en-GB"/>
              </w:rPr>
            </w:pPr>
            <w:r w:rsidRPr="00B3693D">
              <w:t>810.13</w:t>
            </w:r>
          </w:p>
        </w:tc>
      </w:tr>
      <w:tr w:rsidR="00B82744" w:rsidRPr="00B57B36" w14:paraId="6A6D864A" w14:textId="77777777" w:rsidTr="00081481">
        <w:tc>
          <w:tcPr>
            <w:tcW w:w="737" w:type="dxa"/>
            <w:shd w:val="clear" w:color="auto" w:fill="FFFFFF"/>
          </w:tcPr>
          <w:p w14:paraId="5164B206" w14:textId="3334CA30" w:rsidR="00B82744" w:rsidRPr="00B57B36" w:rsidRDefault="00B82744" w:rsidP="00B82744">
            <w:pPr>
              <w:pStyle w:val="CETBodytext"/>
              <w:ind w:right="-1"/>
              <w:rPr>
                <w:rFonts w:cs="Arial"/>
                <w:szCs w:val="18"/>
                <w:lang w:val="en-GB"/>
              </w:rPr>
            </w:pPr>
            <w:r w:rsidRPr="00777DB8">
              <w:t>e-H</w:t>
            </w:r>
            <w:r w:rsidRPr="00B82744">
              <w:rPr>
                <w:vertAlign w:val="subscript"/>
              </w:rPr>
              <w:t>2</w:t>
            </w:r>
          </w:p>
        </w:tc>
        <w:tc>
          <w:tcPr>
            <w:tcW w:w="964" w:type="dxa"/>
            <w:shd w:val="clear" w:color="auto" w:fill="FFFFFF"/>
          </w:tcPr>
          <w:p w14:paraId="1F0E684C" w14:textId="1FCC1F9B" w:rsidR="00B82744" w:rsidRPr="00B57B36" w:rsidRDefault="00B82744" w:rsidP="00B82744">
            <w:pPr>
              <w:pStyle w:val="CETBodytext"/>
              <w:ind w:right="-1"/>
              <w:rPr>
                <w:rFonts w:cs="Arial"/>
                <w:szCs w:val="18"/>
                <w:lang w:val="en-GB"/>
              </w:rPr>
            </w:pPr>
            <w:r w:rsidRPr="00B3693D">
              <w:t>20.7862</w:t>
            </w:r>
          </w:p>
        </w:tc>
        <w:tc>
          <w:tcPr>
            <w:tcW w:w="964" w:type="dxa"/>
            <w:shd w:val="clear" w:color="auto" w:fill="FFFFFF"/>
          </w:tcPr>
          <w:p w14:paraId="06C3F677" w14:textId="74E5337B" w:rsidR="00B82744" w:rsidRPr="00B57B36" w:rsidRDefault="00B82744" w:rsidP="00B82744">
            <w:pPr>
              <w:pStyle w:val="CETBodytext"/>
              <w:ind w:right="-1"/>
              <w:rPr>
                <w:rFonts w:cs="Arial"/>
                <w:szCs w:val="18"/>
                <w:lang w:val="en-GB"/>
              </w:rPr>
            </w:pPr>
            <w:r w:rsidRPr="00B3693D">
              <w:t>673.413</w:t>
            </w:r>
          </w:p>
        </w:tc>
        <w:tc>
          <w:tcPr>
            <w:tcW w:w="964" w:type="dxa"/>
            <w:shd w:val="clear" w:color="auto" w:fill="FFFFFF"/>
          </w:tcPr>
          <w:p w14:paraId="292CDD50" w14:textId="17F4DC0A" w:rsidR="00B82744" w:rsidRPr="00B57B36" w:rsidRDefault="00B82744" w:rsidP="00B82744">
            <w:pPr>
              <w:pStyle w:val="CETBodytext"/>
              <w:ind w:right="-1"/>
              <w:rPr>
                <w:rFonts w:cs="Arial"/>
                <w:szCs w:val="18"/>
                <w:lang w:val="en-GB"/>
              </w:rPr>
            </w:pPr>
            <w:r w:rsidRPr="00B3693D">
              <w:t>211</w:t>
            </w:r>
          </w:p>
        </w:tc>
        <w:tc>
          <w:tcPr>
            <w:tcW w:w="964" w:type="dxa"/>
            <w:shd w:val="clear" w:color="auto" w:fill="FFFFFF"/>
          </w:tcPr>
          <w:p w14:paraId="1259FD2C" w14:textId="27AA23E8" w:rsidR="00B82744" w:rsidRPr="00B57B36" w:rsidRDefault="00B82744" w:rsidP="00B82744">
            <w:pPr>
              <w:pStyle w:val="CETBodytext"/>
              <w:ind w:right="-1"/>
              <w:rPr>
                <w:rFonts w:cs="Arial"/>
                <w:szCs w:val="18"/>
                <w:lang w:val="en-GB"/>
              </w:rPr>
            </w:pPr>
            <w:r w:rsidRPr="00B3693D">
              <w:t>-797.49</w:t>
            </w:r>
          </w:p>
        </w:tc>
        <w:tc>
          <w:tcPr>
            <w:tcW w:w="964" w:type="dxa"/>
            <w:shd w:val="clear" w:color="auto" w:fill="FFFFFF"/>
          </w:tcPr>
          <w:p w14:paraId="532D039E" w14:textId="45303E91" w:rsidR="00B82744" w:rsidRPr="00B57B36" w:rsidRDefault="00B82744" w:rsidP="00B82744">
            <w:pPr>
              <w:pStyle w:val="CETBodytext"/>
              <w:ind w:right="-1"/>
              <w:rPr>
                <w:rFonts w:cs="Arial"/>
                <w:szCs w:val="18"/>
                <w:lang w:val="en-GB"/>
              </w:rPr>
            </w:pPr>
            <w:r w:rsidRPr="00B3693D">
              <w:t>230.13</w:t>
            </w:r>
          </w:p>
        </w:tc>
        <w:tc>
          <w:tcPr>
            <w:tcW w:w="964" w:type="dxa"/>
            <w:shd w:val="clear" w:color="auto" w:fill="FFFFFF"/>
          </w:tcPr>
          <w:p w14:paraId="26D2F851" w14:textId="66DD1EDC" w:rsidR="00B82744" w:rsidRPr="00B57B36" w:rsidRDefault="00B82744" w:rsidP="00B82744">
            <w:pPr>
              <w:pStyle w:val="CETBodytext"/>
              <w:ind w:right="-1"/>
              <w:rPr>
                <w:rFonts w:cs="Arial"/>
                <w:szCs w:val="18"/>
                <w:lang w:val="en-GB"/>
              </w:rPr>
            </w:pPr>
            <w:r w:rsidRPr="00B3693D">
              <w:t>133.449</w:t>
            </w:r>
          </w:p>
        </w:tc>
        <w:tc>
          <w:tcPr>
            <w:tcW w:w="964" w:type="dxa"/>
            <w:shd w:val="clear" w:color="auto" w:fill="FFFFFF"/>
          </w:tcPr>
          <w:p w14:paraId="068D010A" w14:textId="4BF5C420" w:rsidR="00B82744" w:rsidRPr="00B57B36" w:rsidRDefault="00B82744" w:rsidP="00B82744">
            <w:pPr>
              <w:pStyle w:val="CETBodytext"/>
              <w:ind w:right="-1"/>
              <w:rPr>
                <w:rFonts w:cs="Arial"/>
                <w:szCs w:val="18"/>
                <w:lang w:val="en-GB"/>
              </w:rPr>
            </w:pPr>
            <w:r w:rsidRPr="00B3693D">
              <w:t>326.14</w:t>
            </w:r>
          </w:p>
        </w:tc>
      </w:tr>
    </w:tbl>
    <w:p w14:paraId="2CA74BD1" w14:textId="291465F9" w:rsidR="00A53C1D" w:rsidRDefault="00A53C1D" w:rsidP="00A53C1D">
      <w:pPr>
        <w:pStyle w:val="CETBodytext"/>
        <w:rPr>
          <w:lang w:val="en-GB"/>
        </w:rPr>
      </w:pPr>
    </w:p>
    <w:bookmarkEnd w:id="7"/>
    <w:p w14:paraId="4C96498D" w14:textId="4C5CC1B2" w:rsidR="00A53C1D" w:rsidRDefault="00F20615" w:rsidP="00A53C1D">
      <w:pPr>
        <w:pStyle w:val="CETBodytext"/>
        <w:rPr>
          <w:lang w:val="en-GB"/>
        </w:rPr>
      </w:pPr>
      <w:r>
        <w:rPr>
          <w:highlight w:val="yellow"/>
          <w:lang w:val="en-GB"/>
        </w:rPr>
        <w:fldChar w:fldCharType="begin"/>
      </w:r>
      <w:r>
        <w:rPr>
          <w:lang w:val="en-GB"/>
        </w:rPr>
        <w:instrText xml:space="preserve"> REF _Ref126246631 \h </w:instrText>
      </w:r>
      <w:r>
        <w:rPr>
          <w:highlight w:val="yellow"/>
          <w:lang w:val="en-GB"/>
        </w:rPr>
      </w:r>
      <w:r>
        <w:rPr>
          <w:highlight w:val="yellow"/>
          <w:lang w:val="en-GB"/>
        </w:rPr>
        <w:fldChar w:fldCharType="separate"/>
      </w:r>
      <w:r w:rsidR="008874A4" w:rsidRPr="00170675">
        <w:t xml:space="preserve">Figure </w:t>
      </w:r>
      <w:r w:rsidR="008874A4">
        <w:rPr>
          <w:noProof/>
        </w:rPr>
        <w:t>2</w:t>
      </w:r>
      <w:r>
        <w:rPr>
          <w:highlight w:val="yellow"/>
          <w:lang w:val="en-GB"/>
        </w:rPr>
        <w:fldChar w:fldCharType="end"/>
      </w:r>
      <w:r w:rsidR="00A53C1D" w:rsidRPr="00A53C1D">
        <w:rPr>
          <w:lang w:val="en-GB"/>
        </w:rPr>
        <w:t xml:space="preserve"> shows the trend of c</w:t>
      </w:r>
      <w:r w:rsidR="00A53C1D" w:rsidRPr="008E4EA0">
        <w:rPr>
          <w:vertAlign w:val="subscript"/>
          <w:lang w:val="en-GB"/>
        </w:rPr>
        <w:t>p</w:t>
      </w:r>
      <w:r w:rsidR="00A53C1D" w:rsidRPr="008E4EA0">
        <w:rPr>
          <w:vertAlign w:val="superscript"/>
          <w:lang w:val="en-GB"/>
        </w:rPr>
        <w:t>0</w:t>
      </w:r>
      <w:r w:rsidR="00A53C1D" w:rsidRPr="00A53C1D">
        <w:rPr>
          <w:lang w:val="en-GB"/>
        </w:rPr>
        <w:t xml:space="preserve"> for n-H</w:t>
      </w:r>
      <w:r w:rsidR="00A53C1D" w:rsidRPr="008E4EA0">
        <w:rPr>
          <w:vertAlign w:val="subscript"/>
          <w:lang w:val="en-GB"/>
        </w:rPr>
        <w:t>2</w:t>
      </w:r>
      <w:r w:rsidR="00A53C1D" w:rsidRPr="00A53C1D">
        <w:rPr>
          <w:lang w:val="en-GB"/>
        </w:rPr>
        <w:t>, p-H</w:t>
      </w:r>
      <w:r w:rsidR="00A53C1D" w:rsidRPr="008E4EA0">
        <w:rPr>
          <w:vertAlign w:val="subscript"/>
          <w:lang w:val="en-GB"/>
        </w:rPr>
        <w:t>2</w:t>
      </w:r>
      <w:r w:rsidR="00A53C1D" w:rsidRPr="00A53C1D">
        <w:rPr>
          <w:lang w:val="en-GB"/>
        </w:rPr>
        <w:t xml:space="preserve"> and e-H</w:t>
      </w:r>
      <w:r w:rsidR="00A53C1D" w:rsidRPr="008E4EA0">
        <w:rPr>
          <w:vertAlign w:val="subscript"/>
          <w:lang w:val="en-GB"/>
        </w:rPr>
        <w:t>2</w:t>
      </w:r>
      <w:r w:rsidR="00A53C1D" w:rsidRPr="00A53C1D">
        <w:rPr>
          <w:lang w:val="en-GB"/>
        </w:rPr>
        <w:t xml:space="preserve">, calculated with DIPPR 127, as a function of </w:t>
      </w:r>
      <w:r w:rsidR="0057780F">
        <w:rPr>
          <w:lang w:val="en-GB"/>
        </w:rPr>
        <w:t>T</w:t>
      </w:r>
      <w:r w:rsidR="00A53C1D" w:rsidRPr="00A53C1D">
        <w:rPr>
          <w:lang w:val="en-GB"/>
        </w:rPr>
        <w:t xml:space="preserve">. The points highlighted as circles and triangles refer to the literature data presented by McCarty et al. </w:t>
      </w:r>
      <w:r w:rsidR="00BA4D30">
        <w:rPr>
          <w:lang w:val="en-GB"/>
        </w:rPr>
        <w:t>(1981)</w:t>
      </w:r>
      <w:r w:rsidR="00A53C1D" w:rsidRPr="00A53C1D">
        <w:rPr>
          <w:lang w:val="en-GB"/>
        </w:rPr>
        <w:t xml:space="preserve"> and Le Roy et al. </w:t>
      </w:r>
      <w:r w:rsidR="00BA4D30">
        <w:rPr>
          <w:lang w:val="en-GB"/>
        </w:rPr>
        <w:t>(1990)</w:t>
      </w:r>
      <w:r w:rsidR="00A53C1D" w:rsidRPr="00A53C1D">
        <w:rPr>
          <w:lang w:val="en-GB"/>
        </w:rPr>
        <w:t xml:space="preserve">, respectively. </w:t>
      </w:r>
      <w:r w:rsidR="0057780F" w:rsidRPr="00A53C1D">
        <w:rPr>
          <w:lang w:val="en-GB"/>
        </w:rPr>
        <w:t>Since t</w:t>
      </w:r>
      <w:r w:rsidR="00A53C1D" w:rsidRPr="00A53C1D">
        <w:rPr>
          <w:lang w:val="en-GB"/>
        </w:rPr>
        <w:t xml:space="preserve">he Average Absolute Deviation (AAD) </w:t>
      </w:r>
      <w:r w:rsidR="00D70569">
        <w:rPr>
          <w:lang w:val="en-GB"/>
        </w:rPr>
        <w:t>is</w:t>
      </w:r>
      <w:r w:rsidR="003E1E54">
        <w:rPr>
          <w:lang w:val="en-GB"/>
        </w:rPr>
        <w:t xml:space="preserve"> 1.00 %, 1.23 %, 0.33 % </w:t>
      </w:r>
      <w:r w:rsidR="003E1E54" w:rsidRPr="00A53C1D">
        <w:rPr>
          <w:lang w:val="en-GB"/>
        </w:rPr>
        <w:t>for n</w:t>
      </w:r>
      <w:r w:rsidR="009415C6">
        <w:rPr>
          <w:lang w:val="en-GB"/>
        </w:rPr>
        <w:noBreakHyphen/>
      </w:r>
      <w:r w:rsidR="003E1E54" w:rsidRPr="00A53C1D">
        <w:rPr>
          <w:lang w:val="en-GB"/>
        </w:rPr>
        <w:t>H</w:t>
      </w:r>
      <w:r w:rsidR="003E1E54" w:rsidRPr="008E4EA0">
        <w:rPr>
          <w:vertAlign w:val="subscript"/>
          <w:lang w:val="en-GB"/>
        </w:rPr>
        <w:t>2</w:t>
      </w:r>
      <w:r w:rsidR="003E1E54" w:rsidRPr="00A53C1D">
        <w:rPr>
          <w:lang w:val="en-GB"/>
        </w:rPr>
        <w:t>, p-H</w:t>
      </w:r>
      <w:r w:rsidR="003E1E54" w:rsidRPr="008E4EA0">
        <w:rPr>
          <w:vertAlign w:val="subscript"/>
          <w:lang w:val="en-GB"/>
        </w:rPr>
        <w:t>2</w:t>
      </w:r>
      <w:r w:rsidR="003E1E54" w:rsidRPr="00A53C1D">
        <w:rPr>
          <w:lang w:val="en-GB"/>
        </w:rPr>
        <w:t xml:space="preserve"> and e-H</w:t>
      </w:r>
      <w:r w:rsidR="003E1E54" w:rsidRPr="008E4EA0">
        <w:rPr>
          <w:vertAlign w:val="subscript"/>
          <w:lang w:val="en-GB"/>
        </w:rPr>
        <w:t>2</w:t>
      </w:r>
      <w:r w:rsidR="003E1E54" w:rsidRPr="00A53C1D">
        <w:rPr>
          <w:lang w:val="en-GB"/>
        </w:rPr>
        <w:t>,</w:t>
      </w:r>
      <w:r w:rsidR="00A53C1D" w:rsidRPr="00A53C1D">
        <w:rPr>
          <w:lang w:val="en-GB"/>
        </w:rPr>
        <w:t xml:space="preserve"> </w:t>
      </w:r>
      <w:r w:rsidR="003E1E54">
        <w:rPr>
          <w:lang w:val="en-GB"/>
        </w:rPr>
        <w:t>respectively</w:t>
      </w:r>
      <w:r w:rsidR="0057780F">
        <w:rPr>
          <w:lang w:val="en-GB"/>
        </w:rPr>
        <w:t>,</w:t>
      </w:r>
      <w:r w:rsidR="00A53C1D" w:rsidRPr="00A53C1D">
        <w:rPr>
          <w:lang w:val="en-GB"/>
        </w:rPr>
        <w:t xml:space="preserve"> it is possible to asse</w:t>
      </w:r>
      <w:r w:rsidR="0057780F">
        <w:rPr>
          <w:lang w:val="en-GB"/>
        </w:rPr>
        <w:t>rt</w:t>
      </w:r>
      <w:r w:rsidR="00A53C1D" w:rsidRPr="00A53C1D">
        <w:rPr>
          <w:lang w:val="en-GB"/>
        </w:rPr>
        <w:t xml:space="preserve"> that the correlation predicts the data correctly.</w:t>
      </w:r>
    </w:p>
    <w:p w14:paraId="6664BD7D" w14:textId="306C2984" w:rsidR="005B0E9D" w:rsidRPr="00B57B36" w:rsidRDefault="002B4C86" w:rsidP="006C37BA">
      <w:pPr>
        <w:pStyle w:val="CETCaption"/>
        <w:spacing w:before="0" w:after="0"/>
      </w:pPr>
      <w:r w:rsidRPr="002B4C86">
        <w:rPr>
          <w:noProof/>
          <w:lang w:val="it-IT" w:eastAsia="it-IT"/>
        </w:rPr>
        <w:drawing>
          <wp:inline distT="0" distB="0" distL="0" distR="0" wp14:anchorId="03573FB2" wp14:editId="31D03F94">
            <wp:extent cx="2033618" cy="1620000"/>
            <wp:effectExtent l="0" t="0" r="508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3618" cy="1620000"/>
                    </a:xfrm>
                    <a:prstGeom prst="rect">
                      <a:avLst/>
                    </a:prstGeom>
                    <a:noFill/>
                    <a:ln>
                      <a:noFill/>
                    </a:ln>
                  </pic:spPr>
                </pic:pic>
              </a:graphicData>
            </a:graphic>
          </wp:inline>
        </w:drawing>
      </w:r>
    </w:p>
    <w:p w14:paraId="41C65195" w14:textId="69D3F1AD" w:rsidR="005B0E9D" w:rsidRPr="00170675" w:rsidRDefault="00AB292D" w:rsidP="00170675">
      <w:pPr>
        <w:pStyle w:val="CETCaption"/>
      </w:pPr>
      <w:bookmarkStart w:id="8" w:name="_Ref126246631"/>
      <w:r w:rsidRPr="00170675">
        <w:t xml:space="preserve">Figure </w:t>
      </w:r>
      <w:r w:rsidRPr="00170675">
        <w:fldChar w:fldCharType="begin"/>
      </w:r>
      <w:r w:rsidRPr="00170675">
        <w:instrText xml:space="preserve"> SEQ Figure \* ARABIC </w:instrText>
      </w:r>
      <w:r w:rsidRPr="00170675">
        <w:fldChar w:fldCharType="separate"/>
      </w:r>
      <w:r w:rsidR="008874A4">
        <w:rPr>
          <w:noProof/>
        </w:rPr>
        <w:t>2</w:t>
      </w:r>
      <w:r w:rsidRPr="00170675">
        <w:fldChar w:fldCharType="end"/>
      </w:r>
      <w:bookmarkEnd w:id="8"/>
      <w:r w:rsidR="005B0E9D" w:rsidRPr="00170675">
        <w:rPr>
          <w:rStyle w:val="CETCaptionCarattere"/>
          <w:i/>
        </w:rPr>
        <w:t xml:space="preserve">: </w:t>
      </w:r>
      <w:r w:rsidRPr="00170675">
        <w:rPr>
          <w:rStyle w:val="CETCaptionCarattere"/>
          <w:i/>
        </w:rPr>
        <w:t>Ideal specific heat at constant pressure c</w:t>
      </w:r>
      <w:r w:rsidRPr="00170675">
        <w:rPr>
          <w:rStyle w:val="CETCaptionCarattere"/>
          <w:i/>
          <w:vertAlign w:val="subscript"/>
        </w:rPr>
        <w:t>p</w:t>
      </w:r>
      <w:r w:rsidRPr="00170675">
        <w:rPr>
          <w:rStyle w:val="CETCaptionCarattere"/>
          <w:i/>
          <w:vertAlign w:val="superscript"/>
        </w:rPr>
        <w:t>0</w:t>
      </w:r>
      <w:r w:rsidRPr="00170675">
        <w:rPr>
          <w:rStyle w:val="CETCaptionCarattere"/>
          <w:i/>
        </w:rPr>
        <w:t xml:space="preserve"> [kJ/(</w:t>
      </w:r>
      <w:proofErr w:type="spellStart"/>
      <w:r w:rsidRPr="00170675">
        <w:rPr>
          <w:rStyle w:val="CETCaptionCarattere"/>
          <w:i/>
        </w:rPr>
        <w:t>kmol·K</w:t>
      </w:r>
      <w:proofErr w:type="spellEnd"/>
      <w:r w:rsidRPr="00170675">
        <w:rPr>
          <w:rStyle w:val="CETCaptionCarattere"/>
          <w:i/>
        </w:rPr>
        <w:t xml:space="preserve">)] as a function of temperature: comparison between the values obtained with the correlation DIPPR 127 and </w:t>
      </w:r>
      <w:r w:rsidR="006709AE" w:rsidRPr="00170675">
        <w:rPr>
          <w:rStyle w:val="CETCaptionCarattere"/>
          <w:i/>
        </w:rPr>
        <w:t>the literature</w:t>
      </w:r>
      <w:r w:rsidR="006709AE">
        <w:rPr>
          <w:rStyle w:val="CETCaptionCarattere"/>
          <w:i/>
        </w:rPr>
        <w:t xml:space="preserve"> </w:t>
      </w:r>
      <w:r w:rsidRPr="00170675">
        <w:rPr>
          <w:rStyle w:val="CETCaptionCarattere"/>
          <w:i/>
        </w:rPr>
        <w:t xml:space="preserve">data in </w:t>
      </w:r>
      <w:r w:rsidR="0017280E" w:rsidRPr="00170675">
        <w:rPr>
          <w:rStyle w:val="CETCaptionCarattere"/>
          <w:i/>
        </w:rPr>
        <w:t>for</w:t>
      </w:r>
      <w:r w:rsidR="00E13271" w:rsidRPr="00170675">
        <w:rPr>
          <w:rStyle w:val="CETCaptionCarattere"/>
          <w:i/>
        </w:rPr>
        <w:t xml:space="preserve"> n-H</w:t>
      </w:r>
      <w:r w:rsidR="00E13271" w:rsidRPr="00170675">
        <w:rPr>
          <w:rStyle w:val="CETCaptionCarattere"/>
          <w:i/>
          <w:vertAlign w:val="subscript"/>
        </w:rPr>
        <w:t>2</w:t>
      </w:r>
      <w:r w:rsidR="00E13271" w:rsidRPr="00170675">
        <w:rPr>
          <w:rStyle w:val="CETCaptionCarattere"/>
          <w:i/>
        </w:rPr>
        <w:t>, p-H</w:t>
      </w:r>
      <w:r w:rsidR="00E13271" w:rsidRPr="00170675">
        <w:rPr>
          <w:rStyle w:val="CETCaptionCarattere"/>
          <w:i/>
          <w:vertAlign w:val="subscript"/>
        </w:rPr>
        <w:t>2</w:t>
      </w:r>
      <w:r w:rsidR="00E13271" w:rsidRPr="00170675">
        <w:rPr>
          <w:rStyle w:val="CETCaptionCarattere"/>
          <w:i/>
        </w:rPr>
        <w:t xml:space="preserve"> and e-H</w:t>
      </w:r>
      <w:r w:rsidR="00E13271" w:rsidRPr="00170675">
        <w:rPr>
          <w:rStyle w:val="CETCaptionCarattere"/>
          <w:i/>
          <w:vertAlign w:val="subscript"/>
        </w:rPr>
        <w:t>2</w:t>
      </w:r>
      <w:r w:rsidR="0017280E" w:rsidRPr="00170675">
        <w:rPr>
          <w:rStyle w:val="CETCaptionCarattere"/>
          <w:i/>
        </w:rPr>
        <w:t>.</w:t>
      </w:r>
    </w:p>
    <w:p w14:paraId="5F64121C" w14:textId="1C0CB6C3" w:rsidR="008E4EA0" w:rsidRDefault="008E4EA0" w:rsidP="008E4EA0">
      <w:pPr>
        <w:pStyle w:val="CETheadingx"/>
      </w:pPr>
      <w:r>
        <w:t>Volumetric properties</w:t>
      </w:r>
    </w:p>
    <w:p w14:paraId="6612079D" w14:textId="062CF6D0" w:rsidR="00A53C1D" w:rsidRPr="00A53C1D" w:rsidRDefault="00A53C1D" w:rsidP="00A53C1D">
      <w:pPr>
        <w:pStyle w:val="CETBodytext"/>
        <w:rPr>
          <w:lang w:val="en-GB"/>
        </w:rPr>
      </w:pPr>
      <w:r w:rsidRPr="00A53C1D">
        <w:rPr>
          <w:lang w:val="en-GB"/>
        </w:rPr>
        <w:t xml:space="preserve">The volumetric property of interest is the molar volume v, which can be evaluated through Equations of States or correlations. The most accurate </w:t>
      </w:r>
      <w:proofErr w:type="spellStart"/>
      <w:r w:rsidRPr="00A53C1D">
        <w:rPr>
          <w:lang w:val="en-GB"/>
        </w:rPr>
        <w:t>EoS</w:t>
      </w:r>
      <w:proofErr w:type="spellEnd"/>
      <w:r w:rsidRPr="00A53C1D">
        <w:rPr>
          <w:lang w:val="en-GB"/>
        </w:rPr>
        <w:t xml:space="preserve"> available in the literature to describe the properties of normal</w:t>
      </w:r>
      <w:r w:rsidR="00FD7D3E">
        <w:rPr>
          <w:lang w:val="en-GB"/>
        </w:rPr>
        <w:t>-</w:t>
      </w:r>
      <w:r w:rsidRPr="00A53C1D">
        <w:rPr>
          <w:lang w:val="en-GB"/>
        </w:rPr>
        <w:t xml:space="preserve"> and para</w:t>
      </w:r>
      <w:r w:rsidR="00FD7D3E">
        <w:rPr>
          <w:lang w:val="en-GB"/>
        </w:rPr>
        <w:t>-</w:t>
      </w:r>
      <w:r w:rsidRPr="00A53C1D">
        <w:rPr>
          <w:lang w:val="en-GB"/>
        </w:rPr>
        <w:lastRenderedPageBreak/>
        <w:t>hydrogen are the Helm</w:t>
      </w:r>
      <w:r w:rsidR="004A4687">
        <w:rPr>
          <w:lang w:val="en-GB"/>
        </w:rPr>
        <w:t>h</w:t>
      </w:r>
      <w:r w:rsidRPr="00A53C1D">
        <w:rPr>
          <w:lang w:val="en-GB"/>
        </w:rPr>
        <w:t xml:space="preserve">oltz </w:t>
      </w:r>
      <w:r w:rsidR="004A4687">
        <w:rPr>
          <w:lang w:val="en-GB"/>
        </w:rPr>
        <w:t>free energy</w:t>
      </w:r>
      <w:r w:rsidRPr="00A53C1D">
        <w:rPr>
          <w:lang w:val="en-GB"/>
        </w:rPr>
        <w:t xml:space="preserve"> explicit equation, proposed by </w:t>
      </w:r>
      <w:proofErr w:type="spellStart"/>
      <w:r w:rsidRPr="00A53C1D">
        <w:rPr>
          <w:lang w:val="en-GB"/>
        </w:rPr>
        <w:t>Leachman</w:t>
      </w:r>
      <w:proofErr w:type="spellEnd"/>
      <w:r w:rsidRPr="00A53C1D">
        <w:rPr>
          <w:lang w:val="en-GB"/>
        </w:rPr>
        <w:t xml:space="preserve"> et al.</w:t>
      </w:r>
      <w:r w:rsidR="009C0E1F">
        <w:rPr>
          <w:lang w:val="en-GB"/>
        </w:rPr>
        <w:t xml:space="preserve"> (20</w:t>
      </w:r>
      <w:r w:rsidR="00735A66">
        <w:rPr>
          <w:lang w:val="en-GB"/>
        </w:rPr>
        <w:t>09</w:t>
      </w:r>
      <w:r w:rsidR="009C0E1F">
        <w:rPr>
          <w:lang w:val="en-GB"/>
        </w:rPr>
        <w:t>)</w:t>
      </w:r>
      <w:r w:rsidRPr="00A53C1D">
        <w:rPr>
          <w:lang w:val="en-GB"/>
        </w:rPr>
        <w:t xml:space="preserve">, and the modified Benedict-Webb-Rubin </w:t>
      </w:r>
      <w:proofErr w:type="spellStart"/>
      <w:r w:rsidRPr="00A53C1D">
        <w:rPr>
          <w:lang w:val="en-GB"/>
        </w:rPr>
        <w:t>EoS</w:t>
      </w:r>
      <w:proofErr w:type="spellEnd"/>
      <w:r w:rsidRPr="00A53C1D">
        <w:rPr>
          <w:lang w:val="en-GB"/>
        </w:rPr>
        <w:t>. They are both implemented in the Aspen Plus</w:t>
      </w:r>
      <w:r w:rsidRPr="008E4EA0">
        <w:rPr>
          <w:vertAlign w:val="superscript"/>
          <w:lang w:val="en-GB"/>
        </w:rPr>
        <w:t>®</w:t>
      </w:r>
      <w:r w:rsidRPr="00A53C1D">
        <w:rPr>
          <w:lang w:val="en-GB"/>
        </w:rPr>
        <w:t xml:space="preserve"> REFPROP package. However, they can only describe pure components and not mixtures. As stated before, it is possible to assume for e-H</w:t>
      </w:r>
      <w:r w:rsidRPr="007832F3">
        <w:rPr>
          <w:vertAlign w:val="subscript"/>
          <w:lang w:val="en-GB"/>
        </w:rPr>
        <w:t>2</w:t>
      </w:r>
      <w:r w:rsidRPr="00A53C1D">
        <w:rPr>
          <w:lang w:val="en-GB"/>
        </w:rPr>
        <w:t xml:space="preserve"> the same volumetric </w:t>
      </w:r>
      <w:proofErr w:type="spellStart"/>
      <w:r w:rsidRPr="00A53C1D">
        <w:rPr>
          <w:lang w:val="en-GB"/>
        </w:rPr>
        <w:t>behavior</w:t>
      </w:r>
      <w:proofErr w:type="spellEnd"/>
      <w:r w:rsidRPr="00A53C1D">
        <w:rPr>
          <w:lang w:val="en-GB"/>
        </w:rPr>
        <w:t xml:space="preserve"> as p-H</w:t>
      </w:r>
      <w:r w:rsidRPr="008E4EA0">
        <w:rPr>
          <w:vertAlign w:val="subscript"/>
          <w:lang w:val="en-GB"/>
        </w:rPr>
        <w:t>2</w:t>
      </w:r>
      <w:r w:rsidRPr="00A53C1D">
        <w:rPr>
          <w:lang w:val="en-GB"/>
        </w:rPr>
        <w:t xml:space="preserve">. Since in the case of a liquefaction process, which involves </w:t>
      </w:r>
      <w:r w:rsidR="006C37BA">
        <w:rPr>
          <w:lang w:val="en-GB"/>
        </w:rPr>
        <w:t>OPC</w:t>
      </w:r>
      <w:r w:rsidRPr="00A53C1D">
        <w:rPr>
          <w:lang w:val="en-GB"/>
        </w:rPr>
        <w:t xml:space="preserve"> reactors, hydrogen is represented in Aspen Plus</w:t>
      </w:r>
      <w:r w:rsidRPr="008E4EA0">
        <w:rPr>
          <w:vertAlign w:val="superscript"/>
          <w:lang w:val="en-GB"/>
        </w:rPr>
        <w:t>®</w:t>
      </w:r>
      <w:r w:rsidRPr="00A53C1D">
        <w:rPr>
          <w:lang w:val="en-GB"/>
        </w:rPr>
        <w:t xml:space="preserve"> as a mixture of n-H</w:t>
      </w:r>
      <w:r w:rsidRPr="008E4EA0">
        <w:rPr>
          <w:vertAlign w:val="subscript"/>
          <w:lang w:val="en-GB"/>
        </w:rPr>
        <w:t>2</w:t>
      </w:r>
      <w:r w:rsidRPr="00A53C1D">
        <w:rPr>
          <w:lang w:val="en-GB"/>
        </w:rPr>
        <w:t xml:space="preserve"> and p-H</w:t>
      </w:r>
      <w:r w:rsidRPr="008E4EA0">
        <w:rPr>
          <w:vertAlign w:val="subscript"/>
          <w:lang w:val="en-GB"/>
        </w:rPr>
        <w:t>2</w:t>
      </w:r>
      <w:r w:rsidRPr="00A53C1D">
        <w:rPr>
          <w:lang w:val="en-GB"/>
        </w:rPr>
        <w:t xml:space="preserve">, an </w:t>
      </w:r>
      <w:proofErr w:type="spellStart"/>
      <w:r w:rsidR="002E0F8E">
        <w:rPr>
          <w:lang w:val="en-GB"/>
        </w:rPr>
        <w:t>EoS</w:t>
      </w:r>
      <w:proofErr w:type="spellEnd"/>
      <w:r w:rsidRPr="00A53C1D">
        <w:rPr>
          <w:lang w:val="en-GB"/>
        </w:rPr>
        <w:t xml:space="preserve"> is required that is accurate in describing both </w:t>
      </w:r>
      <w:r w:rsidR="006D36A5">
        <w:rPr>
          <w:lang w:val="en-GB"/>
        </w:rPr>
        <w:t>hydrogen</w:t>
      </w:r>
      <w:r w:rsidRPr="00A53C1D">
        <w:rPr>
          <w:lang w:val="en-GB"/>
        </w:rPr>
        <w:t xml:space="preserve"> as a pure compound and as a mixture. The Peng-Robinson </w:t>
      </w:r>
      <w:proofErr w:type="spellStart"/>
      <w:r w:rsidRPr="00A53C1D">
        <w:rPr>
          <w:lang w:val="en-GB"/>
        </w:rPr>
        <w:t>EoS</w:t>
      </w:r>
      <w:proofErr w:type="spellEnd"/>
      <w:r w:rsidRPr="00A53C1D">
        <w:rPr>
          <w:lang w:val="en-GB"/>
        </w:rPr>
        <w:t xml:space="preserve"> is </w:t>
      </w:r>
      <w:r w:rsidR="002E0F8E">
        <w:rPr>
          <w:lang w:val="en-GB"/>
        </w:rPr>
        <w:t>selected</w:t>
      </w:r>
      <w:r w:rsidRPr="00A53C1D">
        <w:rPr>
          <w:lang w:val="en-GB"/>
        </w:rPr>
        <w:t xml:space="preserve"> for its simplicity, accuracy and popularity in the process industry</w:t>
      </w:r>
      <w:r w:rsidR="003D3737">
        <w:rPr>
          <w:lang w:val="en-GB"/>
        </w:rPr>
        <w:t>.</w:t>
      </w:r>
      <w:r w:rsidR="0024412A">
        <w:rPr>
          <w:lang w:val="en-GB"/>
        </w:rPr>
        <w:t xml:space="preserve"> Since the</w:t>
      </w:r>
      <w:r w:rsidR="0024412A" w:rsidRPr="0024412A">
        <w:rPr>
          <w:lang w:val="en-GB"/>
        </w:rPr>
        <w:t xml:space="preserve"> </w:t>
      </w:r>
      <w:r w:rsidR="0024412A" w:rsidRPr="00A53C1D">
        <w:rPr>
          <w:lang w:val="en-GB"/>
        </w:rPr>
        <w:t>cubic</w:t>
      </w:r>
      <w:r w:rsidR="0024412A">
        <w:rPr>
          <w:lang w:val="en-GB"/>
        </w:rPr>
        <w:t xml:space="preserve"> </w:t>
      </w:r>
      <w:proofErr w:type="spellStart"/>
      <w:r w:rsidR="0024412A">
        <w:rPr>
          <w:lang w:val="en-GB"/>
        </w:rPr>
        <w:t>EoS</w:t>
      </w:r>
      <w:proofErr w:type="spellEnd"/>
      <w:r w:rsidR="0024412A">
        <w:rPr>
          <w:lang w:val="en-GB"/>
        </w:rPr>
        <w:t xml:space="preserve"> </w:t>
      </w:r>
      <w:r w:rsidR="006D36A5">
        <w:rPr>
          <w:lang w:val="en-GB"/>
        </w:rPr>
        <w:t>is not accurate</w:t>
      </w:r>
      <w:r w:rsidR="0024412A">
        <w:rPr>
          <w:lang w:val="en-GB"/>
        </w:rPr>
        <w:t xml:space="preserve"> in predicting the liquid molar volume</w:t>
      </w:r>
      <w:r w:rsidR="006D36A5">
        <w:rPr>
          <w:lang w:val="en-GB"/>
        </w:rPr>
        <w:t xml:space="preserve">, </w:t>
      </w:r>
      <w:r w:rsidR="00466358">
        <w:rPr>
          <w:lang w:val="en-GB"/>
        </w:rPr>
        <w:t>t</w:t>
      </w:r>
      <w:r w:rsidR="003E6653">
        <w:rPr>
          <w:lang w:val="en-GB"/>
        </w:rPr>
        <w:t>he following t</w:t>
      </w:r>
      <w:r w:rsidR="00466358" w:rsidRPr="00A53C1D">
        <w:rPr>
          <w:lang w:val="en-GB"/>
        </w:rPr>
        <w:t>wo approaches are considered</w:t>
      </w:r>
      <w:r w:rsidR="00466358">
        <w:rPr>
          <w:lang w:val="en-GB"/>
        </w:rPr>
        <w:t xml:space="preserve"> </w:t>
      </w:r>
      <w:r w:rsidRPr="00A53C1D">
        <w:rPr>
          <w:lang w:val="en-GB"/>
        </w:rPr>
        <w:t xml:space="preserve">for </w:t>
      </w:r>
      <w:r w:rsidR="006D36A5">
        <w:rPr>
          <w:lang w:val="en-GB"/>
        </w:rPr>
        <w:t xml:space="preserve">its </w:t>
      </w:r>
      <w:r w:rsidRPr="00A53C1D">
        <w:rPr>
          <w:lang w:val="en-GB"/>
        </w:rPr>
        <w:t>calculation</w:t>
      </w:r>
      <w:r w:rsidR="003E6653">
        <w:rPr>
          <w:lang w:val="en-GB"/>
        </w:rPr>
        <w:t>.</w:t>
      </w:r>
    </w:p>
    <w:p w14:paraId="159239A4" w14:textId="0D4000E1" w:rsidR="00336C8D" w:rsidRPr="00C00E82" w:rsidRDefault="00EC3FB6" w:rsidP="00326824">
      <w:pPr>
        <w:pStyle w:val="CETBodytext"/>
        <w:numPr>
          <w:ilvl w:val="0"/>
          <w:numId w:val="23"/>
        </w:numPr>
        <w:ind w:left="170" w:hanging="170"/>
        <w:rPr>
          <w:lang w:val="en-GB"/>
        </w:rPr>
      </w:pPr>
      <w:r w:rsidRPr="00C00E82">
        <w:rPr>
          <w:lang w:val="en-GB"/>
        </w:rPr>
        <w:t xml:space="preserve">the </w:t>
      </w:r>
      <w:proofErr w:type="spellStart"/>
      <w:r w:rsidR="00A53C1D" w:rsidRPr="00C00E82">
        <w:rPr>
          <w:lang w:val="en-GB"/>
        </w:rPr>
        <w:t>Costald</w:t>
      </w:r>
      <w:proofErr w:type="spellEnd"/>
      <w:r w:rsidRPr="00C00E82">
        <w:rPr>
          <w:lang w:val="en-GB"/>
        </w:rPr>
        <w:t xml:space="preserve"> model (</w:t>
      </w:r>
      <w:proofErr w:type="spellStart"/>
      <w:r w:rsidRPr="00C00E82">
        <w:rPr>
          <w:lang w:val="en-GB"/>
        </w:rPr>
        <w:t>Eq</w:t>
      </w:r>
      <w:proofErr w:type="spellEnd"/>
      <w:r w:rsidR="00156100" w:rsidRPr="00C00E82">
        <w:rPr>
          <w:iCs/>
          <w:lang w:val="en-GB"/>
        </w:rPr>
        <w:fldChar w:fldCharType="begin"/>
      </w:r>
      <w:r w:rsidR="00156100" w:rsidRPr="00C00E82">
        <w:rPr>
          <w:iCs/>
          <w:lang w:val="en-GB"/>
        </w:rPr>
        <w:instrText xml:space="preserve"> GOTOBUTTON ZEqnNum459936  \* MERGEFORMAT </w:instrText>
      </w:r>
      <w:r w:rsidR="00156100" w:rsidRPr="00C00E82">
        <w:rPr>
          <w:iCs/>
          <w:lang w:val="en-GB"/>
        </w:rPr>
        <w:fldChar w:fldCharType="begin"/>
      </w:r>
      <w:r w:rsidR="00156100" w:rsidRPr="00C00E82">
        <w:rPr>
          <w:iCs/>
          <w:lang w:val="en-GB"/>
        </w:rPr>
        <w:instrText xml:space="preserve"> REF ZEqnNum459936 \* Charformat \! \* MERGEFORMAT </w:instrText>
      </w:r>
      <w:r w:rsidR="00156100" w:rsidRPr="00C00E82">
        <w:rPr>
          <w:iCs/>
          <w:lang w:val="en-GB"/>
        </w:rPr>
        <w:fldChar w:fldCharType="separate"/>
      </w:r>
      <w:r w:rsidR="008874A4" w:rsidRPr="00C00E82">
        <w:rPr>
          <w:iCs/>
          <w:lang w:val="en-GB"/>
        </w:rPr>
        <w:instrText>(3)</w:instrText>
      </w:r>
      <w:r w:rsidR="00156100" w:rsidRPr="00C00E82">
        <w:rPr>
          <w:iCs/>
          <w:lang w:val="en-GB"/>
        </w:rPr>
        <w:fldChar w:fldCharType="end"/>
      </w:r>
      <w:r w:rsidR="00156100" w:rsidRPr="00C00E82">
        <w:rPr>
          <w:iCs/>
          <w:lang w:val="en-GB"/>
        </w:rPr>
        <w:fldChar w:fldCharType="end"/>
      </w:r>
      <w:r w:rsidRPr="00C00E82">
        <w:rPr>
          <w:lang w:val="en-GB"/>
        </w:rPr>
        <w:t>)</w:t>
      </w:r>
      <w:r w:rsidR="00053D39" w:rsidRPr="00C00E82">
        <w:rPr>
          <w:lang w:val="en-GB"/>
        </w:rPr>
        <w:t xml:space="preserve"> (Hankinson and Thomson,1979)</w:t>
      </w:r>
      <w:r w:rsidRPr="00C00E82">
        <w:rPr>
          <w:lang w:val="en-GB"/>
        </w:rPr>
        <w:t xml:space="preserve">, in which the </w:t>
      </w:r>
      <w:r w:rsidR="002E0F8E" w:rsidRPr="00C00E82">
        <w:rPr>
          <w:lang w:val="en-GB"/>
        </w:rPr>
        <w:t>compress</w:t>
      </w:r>
      <w:r w:rsidR="00053D39" w:rsidRPr="00C00E82">
        <w:rPr>
          <w:lang w:val="en-GB"/>
        </w:rPr>
        <w:t xml:space="preserve">ed </w:t>
      </w:r>
      <w:r w:rsidRPr="00C00E82">
        <w:rPr>
          <w:lang w:val="en-GB"/>
        </w:rPr>
        <w:t>liquid molar volume is computed starting from</w:t>
      </w:r>
      <w:r w:rsidR="00053D39" w:rsidRPr="00C00E82">
        <w:rPr>
          <w:lang w:val="en-GB"/>
        </w:rPr>
        <w:t xml:space="preserve"> the value at saturation, calculated with </w:t>
      </w:r>
      <w:r w:rsidRPr="00C00E82">
        <w:rPr>
          <w:lang w:val="en-GB"/>
        </w:rPr>
        <w:t xml:space="preserve">the constant parameters </w:t>
      </w:r>
      <w:proofErr w:type="spellStart"/>
      <w:r w:rsidR="00053D39" w:rsidRPr="00C00E82">
        <w:rPr>
          <w:lang w:val="en-GB"/>
        </w:rPr>
        <w:t>v</w:t>
      </w:r>
      <w:r w:rsidR="00053D39" w:rsidRPr="00C00E82">
        <w:rPr>
          <w:vertAlign w:val="superscript"/>
          <w:lang w:val="en-GB"/>
        </w:rPr>
        <w:t>CTD</w:t>
      </w:r>
      <w:proofErr w:type="spellEnd"/>
      <w:r w:rsidR="00717253" w:rsidRPr="00C00E82">
        <w:rPr>
          <w:lang w:val="en-GB"/>
        </w:rPr>
        <w:t>,</w:t>
      </w:r>
      <w:r w:rsidR="00053D39" w:rsidRPr="00C00E82">
        <w:rPr>
          <w:lang w:val="en-GB"/>
        </w:rPr>
        <w:t xml:space="preserve"> </w:t>
      </w:r>
      <w:proofErr w:type="spellStart"/>
      <w:r w:rsidR="00053D39" w:rsidRPr="00C00E82">
        <w:rPr>
          <w:lang w:val="en-GB"/>
        </w:rPr>
        <w:t>ω</w:t>
      </w:r>
      <w:r w:rsidR="00053D39" w:rsidRPr="00C00E82">
        <w:rPr>
          <w:vertAlign w:val="superscript"/>
          <w:lang w:val="en-GB"/>
        </w:rPr>
        <w:t>CTD</w:t>
      </w:r>
      <w:proofErr w:type="spellEnd"/>
      <w:r w:rsidR="00717253" w:rsidRPr="00C00E82">
        <w:rPr>
          <w:lang w:val="en-GB"/>
        </w:rPr>
        <w:t xml:space="preserve"> and the </w:t>
      </w:r>
      <w:r w:rsidR="00103335" w:rsidRPr="00C00E82">
        <w:rPr>
          <w:lang w:val="en-GB"/>
        </w:rPr>
        <w:t>temperature</w:t>
      </w:r>
      <w:r w:rsidR="00717253" w:rsidRPr="00C00E82">
        <w:rPr>
          <w:lang w:val="en-GB"/>
        </w:rPr>
        <w:t>-dependent parameters v</w:t>
      </w:r>
      <w:r w:rsidR="00717253" w:rsidRPr="00C00E82">
        <w:rPr>
          <w:vertAlign w:val="superscript"/>
          <w:lang w:val="en-GB"/>
        </w:rPr>
        <w:t>R,0</w:t>
      </w:r>
      <w:r w:rsidR="003246FD" w:rsidRPr="00C00E82">
        <w:rPr>
          <w:lang w:val="en-GB"/>
        </w:rPr>
        <w:t>,</w:t>
      </w:r>
      <w:r w:rsidR="00717253" w:rsidRPr="00C00E82">
        <w:rPr>
          <w:lang w:val="en-GB"/>
        </w:rPr>
        <w:t xml:space="preserve"> </w:t>
      </w:r>
      <w:proofErr w:type="spellStart"/>
      <w:r w:rsidR="00717253" w:rsidRPr="00C00E82">
        <w:rPr>
          <w:lang w:val="en-GB"/>
        </w:rPr>
        <w:t>v</w:t>
      </w:r>
      <w:r w:rsidR="005A0177" w:rsidRPr="00C00E82">
        <w:rPr>
          <w:vertAlign w:val="superscript"/>
          <w:lang w:val="en-GB"/>
        </w:rPr>
        <w:t>R,</w:t>
      </w:r>
      <w:r w:rsidR="005A0177" w:rsidRPr="00C00E82">
        <w:rPr>
          <w:rFonts w:cs="Arial"/>
          <w:vertAlign w:val="superscript"/>
          <w:lang w:val="en-GB"/>
        </w:rPr>
        <w:t>δ</w:t>
      </w:r>
      <w:proofErr w:type="spellEnd"/>
      <w:r w:rsidR="005A0177" w:rsidRPr="00C00E82">
        <w:rPr>
          <w:lang w:val="en-GB"/>
        </w:rPr>
        <w:t xml:space="preserve">, </w:t>
      </w:r>
      <w:r w:rsidR="00053D39" w:rsidRPr="00C00E82">
        <w:rPr>
          <w:lang w:val="en-GB"/>
        </w:rPr>
        <w:t xml:space="preserve">and correcting it by the pressure </w:t>
      </w:r>
      <w:r w:rsidR="003E1FAB" w:rsidRPr="00C00E82">
        <w:rPr>
          <w:lang w:val="en-GB"/>
        </w:rPr>
        <w:t xml:space="preserve">P </w:t>
      </w:r>
      <w:r w:rsidR="00053D39" w:rsidRPr="00C00E82">
        <w:rPr>
          <w:lang w:val="en-GB"/>
        </w:rPr>
        <w:t>using the Tait correlation (Thomson et al.,1982).</w:t>
      </w:r>
      <w:r w:rsidR="00BF5EEF" w:rsidRPr="00C00E82">
        <w:rPr>
          <w:iCs/>
          <w:lang w:val="en-GB"/>
        </w:rPr>
        <w:t xml:space="preserve"> </w:t>
      </w:r>
      <w:r w:rsidR="00FD1590" w:rsidRPr="00C00E82">
        <w:rPr>
          <w:iCs/>
          <w:lang w:val="en-GB"/>
        </w:rPr>
        <w:t>B</w:t>
      </w:r>
      <w:r w:rsidR="009F11EF" w:rsidRPr="00C00E82">
        <w:rPr>
          <w:iCs/>
          <w:lang w:val="en-GB"/>
        </w:rPr>
        <w:t>,</w:t>
      </w:r>
      <w:r w:rsidR="00FD1590" w:rsidRPr="00C00E82">
        <w:rPr>
          <w:iCs/>
          <w:lang w:val="en-GB"/>
        </w:rPr>
        <w:t xml:space="preserve"> C are function</w:t>
      </w:r>
      <w:r w:rsidR="002E014F" w:rsidRPr="00C00E82">
        <w:rPr>
          <w:iCs/>
          <w:lang w:val="en-GB"/>
        </w:rPr>
        <w:t xml:space="preserve">s of T, </w:t>
      </w:r>
      <w:r w:rsidR="002E014F" w:rsidRPr="00C00E82">
        <w:rPr>
          <w:lang w:val="en-GB"/>
        </w:rPr>
        <w:t>ω</w:t>
      </w:r>
      <w:r w:rsidR="00603BE6" w:rsidRPr="00C00E82">
        <w:rPr>
          <w:lang w:val="en-GB"/>
        </w:rPr>
        <w:t xml:space="preserve"> and c</w:t>
      </w:r>
      <w:r w:rsidR="00EA34C7" w:rsidRPr="00C00E82">
        <w:rPr>
          <w:lang w:val="en-GB"/>
        </w:rPr>
        <w:t>ritical p</w:t>
      </w:r>
      <w:r w:rsidR="009F11EF" w:rsidRPr="00C00E82">
        <w:rPr>
          <w:lang w:val="en-GB"/>
        </w:rPr>
        <w:t>arameters</w:t>
      </w:r>
      <w:r w:rsidR="00C35C22" w:rsidRPr="00C00E82">
        <w:rPr>
          <w:lang w:val="en-GB"/>
        </w:rPr>
        <w:t>.</w:t>
      </w:r>
      <w:r w:rsidR="008A2FC1" w:rsidRPr="00C00E82">
        <w:rPr>
          <w:lang w:val="en-GB"/>
        </w:rPr>
        <w:t xml:space="preserve"> </w:t>
      </w:r>
      <w:proofErr w:type="spellStart"/>
      <w:r w:rsidR="00BF5EEF" w:rsidRPr="00C00E82">
        <w:rPr>
          <w:iCs/>
          <w:lang w:val="en-GB"/>
        </w:rPr>
        <w:t>P</w:t>
      </w:r>
      <w:r w:rsidR="00BF5EEF" w:rsidRPr="00C00E82">
        <w:rPr>
          <w:iCs/>
          <w:vertAlign w:val="subscript"/>
          <w:lang w:val="en-GB"/>
        </w:rPr>
        <w:t>sat</w:t>
      </w:r>
      <w:proofErr w:type="spellEnd"/>
      <w:r w:rsidR="00BF5EEF" w:rsidRPr="00C00E82">
        <w:rPr>
          <w:iCs/>
          <w:lang w:val="en-GB"/>
        </w:rPr>
        <w:t xml:space="preserve"> is the saturat</w:t>
      </w:r>
      <w:r w:rsidR="009F11EF" w:rsidRPr="00C00E82">
        <w:rPr>
          <w:iCs/>
          <w:lang w:val="en-GB"/>
        </w:rPr>
        <w:t>ed</w:t>
      </w:r>
      <w:r w:rsidR="00BF5EEF" w:rsidRPr="00C00E82">
        <w:rPr>
          <w:iCs/>
          <w:lang w:val="en-GB"/>
        </w:rPr>
        <w:t xml:space="preserve"> pressure at </w:t>
      </w:r>
      <w:r w:rsidR="008A2FC1" w:rsidRPr="00C00E82">
        <w:rPr>
          <w:iCs/>
          <w:lang w:val="en-GB"/>
        </w:rPr>
        <w:t>T</w:t>
      </w:r>
      <w:r w:rsidR="00875D7F" w:rsidRPr="00C00E82">
        <w:rPr>
          <w:iCs/>
          <w:lang w:val="en-GB"/>
        </w:rPr>
        <w:t>.</w:t>
      </w:r>
    </w:p>
    <w:tbl>
      <w:tblPr>
        <w:tblW w:w="5000" w:type="pct"/>
        <w:tblLook w:val="04A0" w:firstRow="1" w:lastRow="0" w:firstColumn="1" w:lastColumn="0" w:noHBand="0" w:noVBand="1"/>
      </w:tblPr>
      <w:tblGrid>
        <w:gridCol w:w="7989"/>
        <w:gridCol w:w="798"/>
      </w:tblGrid>
      <w:tr w:rsidR="00053D39" w:rsidRPr="00C00E82" w14:paraId="10E620A8" w14:textId="77777777" w:rsidTr="00336C8D">
        <w:tc>
          <w:tcPr>
            <w:tcW w:w="7989" w:type="dxa"/>
            <w:shd w:val="clear" w:color="auto" w:fill="auto"/>
            <w:vAlign w:val="center"/>
          </w:tcPr>
          <w:p w14:paraId="68E983E8" w14:textId="2F7C7E9C" w:rsidR="00053D39" w:rsidRPr="00C00E82" w:rsidRDefault="00053D39" w:rsidP="00336C8D">
            <w:pPr>
              <w:pStyle w:val="CETEquation"/>
            </w:pPr>
            <w:r w:rsidRPr="00C00E82">
              <w:object w:dxaOrig="3460" w:dyaOrig="639" w14:anchorId="6AF58B2F">
                <v:shape id="_x0000_i1027" type="#_x0000_t75" style="width:172.5pt;height:32.25pt" o:ole="">
                  <v:imagedata r:id="rId17" o:title=""/>
                </v:shape>
                <o:OLEObject Type="Embed" ProgID="Equation.DSMT4" ShapeID="_x0000_i1027" DrawAspect="Content" ObjectID="_1740463155" r:id="rId18"/>
              </w:object>
            </w:r>
            <w:r w:rsidRPr="00C00E82">
              <w:t xml:space="preserve"> </w:t>
            </w:r>
          </w:p>
        </w:tc>
        <w:tc>
          <w:tcPr>
            <w:tcW w:w="798" w:type="dxa"/>
            <w:shd w:val="clear" w:color="auto" w:fill="auto"/>
            <w:vAlign w:val="center"/>
          </w:tcPr>
          <w:p w14:paraId="6176429B" w14:textId="4639EAB7" w:rsidR="00053D39" w:rsidRPr="00C00E82" w:rsidRDefault="00053D39" w:rsidP="00336C8D">
            <w:pPr>
              <w:pStyle w:val="CETEquation"/>
              <w:jc w:val="right"/>
            </w:pPr>
            <w:r w:rsidRPr="00C00E82">
              <w:fldChar w:fldCharType="begin"/>
            </w:r>
            <w:r w:rsidRPr="00C00E82">
              <w:instrText xml:space="preserve"> MACROBUTTON MTPlaceRef \* MERGEFORMAT </w:instrText>
            </w:r>
            <w:r w:rsidRPr="00C00E82">
              <w:fldChar w:fldCharType="begin"/>
            </w:r>
            <w:r w:rsidRPr="00C00E82">
              <w:instrText xml:space="preserve"> SEQ MTEqn \h \* MERGEFORMAT </w:instrText>
            </w:r>
            <w:r w:rsidRPr="00C00E82">
              <w:fldChar w:fldCharType="end"/>
            </w:r>
            <w:bookmarkStart w:id="9" w:name="ZEqnNum459936"/>
            <w:r w:rsidRPr="00C00E82">
              <w:instrText>(</w:instrText>
            </w:r>
            <w:r w:rsidR="00B43E42">
              <w:fldChar w:fldCharType="begin"/>
            </w:r>
            <w:r w:rsidR="00B43E42">
              <w:instrText xml:space="preserve"> SEQ MTEqn \c \* Arabic \* MERGEFORMAT </w:instrText>
            </w:r>
            <w:r w:rsidR="00B43E42">
              <w:fldChar w:fldCharType="separate"/>
            </w:r>
            <w:r w:rsidR="008874A4" w:rsidRPr="00C00E82">
              <w:rPr>
                <w:noProof/>
              </w:rPr>
              <w:instrText>3</w:instrText>
            </w:r>
            <w:r w:rsidR="00B43E42">
              <w:rPr>
                <w:noProof/>
              </w:rPr>
              <w:fldChar w:fldCharType="end"/>
            </w:r>
            <w:r w:rsidRPr="00C00E82">
              <w:instrText>)</w:instrText>
            </w:r>
            <w:bookmarkEnd w:id="9"/>
            <w:r w:rsidRPr="00C00E82">
              <w:fldChar w:fldCharType="end"/>
            </w:r>
          </w:p>
        </w:tc>
      </w:tr>
    </w:tbl>
    <w:p w14:paraId="35E2801F" w14:textId="439B5393" w:rsidR="00A53C1D" w:rsidRPr="00336C8D" w:rsidRDefault="00466358" w:rsidP="001738D6">
      <w:pPr>
        <w:pStyle w:val="CETBodytext"/>
        <w:numPr>
          <w:ilvl w:val="0"/>
          <w:numId w:val="23"/>
        </w:numPr>
        <w:ind w:left="170" w:hanging="170"/>
        <w:rPr>
          <w:lang w:val="en-GB"/>
        </w:rPr>
      </w:pPr>
      <w:r w:rsidRPr="00C00E82">
        <w:rPr>
          <w:lang w:val="en-GB"/>
        </w:rPr>
        <w:t xml:space="preserve">the </w:t>
      </w:r>
      <w:proofErr w:type="spellStart"/>
      <w:r w:rsidR="00A53C1D" w:rsidRPr="00C00E82">
        <w:rPr>
          <w:lang w:val="en-GB"/>
        </w:rPr>
        <w:t>Chueh-Prausnitz</w:t>
      </w:r>
      <w:proofErr w:type="spellEnd"/>
      <w:r w:rsidR="00336C8D" w:rsidRPr="00C00E82">
        <w:rPr>
          <w:lang w:val="en-GB"/>
        </w:rPr>
        <w:t xml:space="preserve"> model (</w:t>
      </w:r>
      <w:proofErr w:type="spellStart"/>
      <w:r w:rsidR="00336C8D" w:rsidRPr="00C00E82">
        <w:rPr>
          <w:lang w:val="en-GB"/>
        </w:rPr>
        <w:t>Eq</w:t>
      </w:r>
      <w:proofErr w:type="spellEnd"/>
      <w:r w:rsidR="00156100" w:rsidRPr="00C00E82">
        <w:rPr>
          <w:iCs/>
          <w:lang w:val="en-GB"/>
        </w:rPr>
        <w:fldChar w:fldCharType="begin"/>
      </w:r>
      <w:r w:rsidR="00156100" w:rsidRPr="00C00E82">
        <w:rPr>
          <w:iCs/>
          <w:lang w:val="en-GB"/>
        </w:rPr>
        <w:instrText xml:space="preserve"> GOTOBUTTON ZEqnNum490913  \* MERGEFORMAT </w:instrText>
      </w:r>
      <w:r w:rsidR="00156100" w:rsidRPr="00C00E82">
        <w:rPr>
          <w:iCs/>
          <w:lang w:val="en-GB"/>
        </w:rPr>
        <w:fldChar w:fldCharType="begin"/>
      </w:r>
      <w:r w:rsidR="00156100" w:rsidRPr="00C00E82">
        <w:rPr>
          <w:iCs/>
          <w:lang w:val="en-GB"/>
        </w:rPr>
        <w:instrText xml:space="preserve"> REF ZEqnNum490913 \* Charformat \! \* MERGEFORMAT </w:instrText>
      </w:r>
      <w:r w:rsidR="00156100" w:rsidRPr="00C00E82">
        <w:rPr>
          <w:iCs/>
          <w:lang w:val="en-GB"/>
        </w:rPr>
        <w:fldChar w:fldCharType="separate"/>
      </w:r>
      <w:r w:rsidR="008874A4" w:rsidRPr="00C00E82">
        <w:rPr>
          <w:iCs/>
          <w:lang w:val="en-GB"/>
        </w:rPr>
        <w:instrText>(4)</w:instrText>
      </w:r>
      <w:r w:rsidR="00156100" w:rsidRPr="00C00E82">
        <w:rPr>
          <w:iCs/>
          <w:lang w:val="en-GB"/>
        </w:rPr>
        <w:fldChar w:fldCharType="end"/>
      </w:r>
      <w:r w:rsidR="00156100" w:rsidRPr="00C00E82">
        <w:rPr>
          <w:iCs/>
          <w:lang w:val="en-GB"/>
        </w:rPr>
        <w:fldChar w:fldCharType="end"/>
      </w:r>
      <w:r w:rsidR="00336C8D" w:rsidRPr="00C00E82">
        <w:rPr>
          <w:lang w:val="en-GB"/>
        </w:rPr>
        <w:t>) (</w:t>
      </w:r>
      <w:proofErr w:type="spellStart"/>
      <w:r w:rsidR="00336C8D" w:rsidRPr="00C00E82">
        <w:rPr>
          <w:lang w:val="en-GB"/>
        </w:rPr>
        <w:t>Chueh</w:t>
      </w:r>
      <w:proofErr w:type="spellEnd"/>
      <w:r w:rsidR="00336C8D" w:rsidRPr="00C00E82">
        <w:rPr>
          <w:lang w:val="en-GB"/>
        </w:rPr>
        <w:t xml:space="preserve"> and Prausnitz,1969), in which the saturated </w:t>
      </w:r>
      <w:r w:rsidR="00A53C1D" w:rsidRPr="00C00E82">
        <w:rPr>
          <w:lang w:val="en-GB"/>
        </w:rPr>
        <w:t>liquid molar volume</w:t>
      </w:r>
      <w:r w:rsidR="00D1396E" w:rsidRPr="00C00E82">
        <w:rPr>
          <w:lang w:val="en-GB"/>
        </w:rPr>
        <w:t xml:space="preserve"> </w:t>
      </w:r>
      <w:proofErr w:type="spellStart"/>
      <w:r w:rsidR="00D1396E" w:rsidRPr="00C00E82">
        <w:rPr>
          <w:lang w:val="en-GB"/>
        </w:rPr>
        <w:t>v</w:t>
      </w:r>
      <w:r w:rsidR="00D1396E" w:rsidRPr="00C00E82">
        <w:rPr>
          <w:vertAlign w:val="superscript"/>
          <w:lang w:val="en-GB"/>
        </w:rPr>
        <w:t>sat</w:t>
      </w:r>
      <w:proofErr w:type="spellEnd"/>
      <w:r w:rsidR="00A53C1D" w:rsidRPr="00C00E82">
        <w:rPr>
          <w:lang w:val="en-GB"/>
        </w:rPr>
        <w:t xml:space="preserve">, calculated using the correlation DIPPR 105 for pure components and the </w:t>
      </w:r>
      <w:proofErr w:type="spellStart"/>
      <w:r w:rsidR="00A53C1D" w:rsidRPr="00C00E82">
        <w:rPr>
          <w:lang w:val="en-GB"/>
        </w:rPr>
        <w:t>Rackett</w:t>
      </w:r>
      <w:proofErr w:type="spellEnd"/>
      <w:r w:rsidR="00A53C1D" w:rsidRPr="00C00E82">
        <w:rPr>
          <w:lang w:val="en-GB"/>
        </w:rPr>
        <w:t xml:space="preserve"> model for mixtures</w:t>
      </w:r>
      <w:r w:rsidR="00336C8D" w:rsidRPr="00C00E82">
        <w:rPr>
          <w:lang w:val="en-GB"/>
        </w:rPr>
        <w:t>, is corrected by</w:t>
      </w:r>
      <w:r w:rsidR="00336C8D">
        <w:rPr>
          <w:lang w:val="en-GB"/>
        </w:rPr>
        <w:t xml:space="preserve"> the pressure to compute the compressed </w:t>
      </w:r>
      <w:r w:rsidR="00336C8D" w:rsidRPr="00336C8D">
        <w:rPr>
          <w:lang w:val="en-GB"/>
        </w:rPr>
        <w:t>liquid molar volume</w:t>
      </w:r>
      <w:r w:rsidR="00336C8D">
        <w:rPr>
          <w:lang w:val="en-GB"/>
        </w:rPr>
        <w:t>, adopting as correlation parameters the</w:t>
      </w:r>
      <w:r w:rsidR="00A53C1D" w:rsidRPr="00336C8D">
        <w:rPr>
          <w:lang w:val="en-GB"/>
        </w:rPr>
        <w:t xml:space="preserve"> critical compressibility factor </w:t>
      </w:r>
      <w:r w:rsidR="00336C8D" w:rsidRPr="00336C8D">
        <w:rPr>
          <w:lang w:val="en-GB"/>
        </w:rPr>
        <w:t>Z</w:t>
      </w:r>
      <w:r w:rsidR="00336C8D" w:rsidRPr="003D3737">
        <w:rPr>
          <w:vertAlign w:val="subscript"/>
          <w:lang w:val="en-GB"/>
        </w:rPr>
        <w:t>C</w:t>
      </w:r>
      <w:r w:rsidR="00336C8D">
        <w:rPr>
          <w:lang w:val="en-GB"/>
        </w:rPr>
        <w:t>, the</w:t>
      </w:r>
      <w:r w:rsidR="00336C8D" w:rsidRPr="00336C8D">
        <w:rPr>
          <w:lang w:val="en-GB"/>
        </w:rPr>
        <w:t xml:space="preserve"> critical pressure </w:t>
      </w:r>
      <w:r w:rsidR="00A53C1D" w:rsidRPr="00336C8D">
        <w:rPr>
          <w:lang w:val="en-GB"/>
        </w:rPr>
        <w:t>P</w:t>
      </w:r>
      <w:r w:rsidR="00A53C1D" w:rsidRPr="003D3737">
        <w:rPr>
          <w:vertAlign w:val="subscript"/>
          <w:lang w:val="en-GB"/>
        </w:rPr>
        <w:t>C</w:t>
      </w:r>
      <w:r w:rsidR="00A53C1D" w:rsidRPr="00336C8D">
        <w:rPr>
          <w:lang w:val="en-GB"/>
        </w:rPr>
        <w:t xml:space="preserve"> </w:t>
      </w:r>
      <w:r w:rsidR="00336C8D">
        <w:rPr>
          <w:lang w:val="en-GB"/>
        </w:rPr>
        <w:t>and N, which is</w:t>
      </w:r>
      <w:r w:rsidR="00A53C1D" w:rsidRPr="00336C8D">
        <w:rPr>
          <w:lang w:val="en-GB"/>
        </w:rPr>
        <w:t xml:space="preserve"> a function of </w:t>
      </w:r>
      <w:r w:rsidR="0035564F">
        <w:rPr>
          <w:lang w:val="en-GB"/>
        </w:rPr>
        <w:t xml:space="preserve">the acentric factor </w:t>
      </w:r>
      <w:r w:rsidR="00A53C1D" w:rsidRPr="00336C8D">
        <w:rPr>
          <w:lang w:val="en-GB"/>
        </w:rPr>
        <w:t>ω and T.</w:t>
      </w:r>
      <w:r w:rsidR="00B97F4E">
        <w:rPr>
          <w:lang w:val="en-GB"/>
        </w:rPr>
        <w:t xml:space="preserve"> </w:t>
      </w:r>
    </w:p>
    <w:tbl>
      <w:tblPr>
        <w:tblW w:w="5000" w:type="pct"/>
        <w:tblLook w:val="04A0" w:firstRow="1" w:lastRow="0" w:firstColumn="1" w:lastColumn="0" w:noHBand="0" w:noVBand="1"/>
      </w:tblPr>
      <w:tblGrid>
        <w:gridCol w:w="7989"/>
        <w:gridCol w:w="798"/>
      </w:tblGrid>
      <w:tr w:rsidR="00336C8D" w:rsidRPr="00336C8D" w14:paraId="19E46D42" w14:textId="77777777" w:rsidTr="00C65720">
        <w:tc>
          <w:tcPr>
            <w:tcW w:w="7989" w:type="dxa"/>
            <w:shd w:val="clear" w:color="auto" w:fill="auto"/>
            <w:vAlign w:val="center"/>
          </w:tcPr>
          <w:p w14:paraId="0F4F7402" w14:textId="0246A214" w:rsidR="00336C8D" w:rsidRPr="00336C8D" w:rsidRDefault="00336C8D" w:rsidP="00C65720">
            <w:pPr>
              <w:pStyle w:val="CETEquation"/>
            </w:pPr>
            <w:r w:rsidRPr="00336C8D">
              <w:rPr>
                <w:position w:val="-26"/>
              </w:rPr>
              <w:object w:dxaOrig="2480" w:dyaOrig="639" w14:anchorId="585350CB">
                <v:shape id="_x0000_i1028" type="#_x0000_t75" style="width:123.75pt;height:32.25pt" o:ole="">
                  <v:imagedata r:id="rId19" o:title=""/>
                </v:shape>
                <o:OLEObject Type="Embed" ProgID="Equation.DSMT4" ShapeID="_x0000_i1028" DrawAspect="Content" ObjectID="_1740463156" r:id="rId20"/>
              </w:object>
            </w:r>
            <w:r w:rsidRPr="00336C8D">
              <w:t xml:space="preserve"> </w:t>
            </w:r>
          </w:p>
        </w:tc>
        <w:tc>
          <w:tcPr>
            <w:tcW w:w="798" w:type="dxa"/>
            <w:shd w:val="clear" w:color="auto" w:fill="auto"/>
            <w:vAlign w:val="center"/>
          </w:tcPr>
          <w:p w14:paraId="762238A8" w14:textId="5AE1C8FC" w:rsidR="00336C8D" w:rsidRPr="00336C8D" w:rsidRDefault="00336C8D" w:rsidP="00C65720">
            <w:pPr>
              <w:pStyle w:val="CETEquation"/>
              <w:jc w:val="right"/>
            </w:pPr>
            <w:r w:rsidRPr="00336C8D">
              <w:fldChar w:fldCharType="begin"/>
            </w:r>
            <w:r w:rsidRPr="00336C8D">
              <w:instrText xml:space="preserve"> MACROBUTTON MTPlaceRef \* MERGEFORMAT </w:instrText>
            </w:r>
            <w:r w:rsidRPr="00336C8D">
              <w:fldChar w:fldCharType="begin"/>
            </w:r>
            <w:r w:rsidRPr="00336C8D">
              <w:instrText xml:space="preserve"> SEQ MTEqn \h \* MERGEFORMAT </w:instrText>
            </w:r>
            <w:r w:rsidRPr="00336C8D">
              <w:fldChar w:fldCharType="end"/>
            </w:r>
            <w:bookmarkStart w:id="10" w:name="ZEqnNum490913"/>
            <w:r w:rsidRPr="00336C8D">
              <w:instrText>(</w:instrText>
            </w:r>
            <w:r w:rsidR="00B43E42">
              <w:fldChar w:fldCharType="begin"/>
            </w:r>
            <w:r w:rsidR="00B43E42">
              <w:instrText xml:space="preserve"> SEQ MTEqn \c \* Arabic \* MERGEFORMAT </w:instrText>
            </w:r>
            <w:r w:rsidR="00B43E42">
              <w:fldChar w:fldCharType="separate"/>
            </w:r>
            <w:r w:rsidR="008874A4">
              <w:rPr>
                <w:noProof/>
              </w:rPr>
              <w:instrText>4</w:instrText>
            </w:r>
            <w:r w:rsidR="00B43E42">
              <w:rPr>
                <w:noProof/>
              </w:rPr>
              <w:fldChar w:fldCharType="end"/>
            </w:r>
            <w:r w:rsidRPr="00336C8D">
              <w:instrText>)</w:instrText>
            </w:r>
            <w:bookmarkEnd w:id="10"/>
            <w:r w:rsidRPr="00336C8D">
              <w:fldChar w:fldCharType="end"/>
            </w:r>
          </w:p>
        </w:tc>
      </w:tr>
    </w:tbl>
    <w:p w14:paraId="6686605B" w14:textId="2CE79FD3" w:rsidR="00EB37D4" w:rsidRDefault="00A755E4" w:rsidP="006C37BA">
      <w:pPr>
        <w:pStyle w:val="CETCaption"/>
        <w:spacing w:before="0" w:after="0"/>
      </w:pPr>
      <w:r>
        <w:t>a)</w:t>
      </w:r>
      <w:r w:rsidRPr="00A755E4">
        <w:rPr>
          <w:noProof/>
          <w:lang w:val="it-IT" w:eastAsia="it-IT"/>
        </w:rPr>
        <w:drawing>
          <wp:inline distT="0" distB="0" distL="0" distR="0" wp14:anchorId="42788636" wp14:editId="312CFD43">
            <wp:extent cx="2583544" cy="1620000"/>
            <wp:effectExtent l="0" t="0" r="762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3544" cy="1620000"/>
                    </a:xfrm>
                    <a:prstGeom prst="rect">
                      <a:avLst/>
                    </a:prstGeom>
                    <a:noFill/>
                    <a:ln>
                      <a:noFill/>
                    </a:ln>
                  </pic:spPr>
                </pic:pic>
              </a:graphicData>
            </a:graphic>
          </wp:inline>
        </w:drawing>
      </w:r>
      <w:r>
        <w:t>b)</w:t>
      </w:r>
      <w:r w:rsidRPr="00A755E4">
        <w:rPr>
          <w:noProof/>
          <w:lang w:val="it-IT" w:eastAsia="it-IT"/>
        </w:rPr>
        <w:drawing>
          <wp:inline distT="0" distB="0" distL="0" distR="0" wp14:anchorId="578AF358" wp14:editId="295303A6">
            <wp:extent cx="2639176" cy="1620000"/>
            <wp:effectExtent l="0" t="0" r="889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9176" cy="1620000"/>
                    </a:xfrm>
                    <a:prstGeom prst="rect">
                      <a:avLst/>
                    </a:prstGeom>
                    <a:noFill/>
                    <a:ln>
                      <a:noFill/>
                    </a:ln>
                  </pic:spPr>
                </pic:pic>
              </a:graphicData>
            </a:graphic>
          </wp:inline>
        </w:drawing>
      </w:r>
    </w:p>
    <w:p w14:paraId="401D20DA" w14:textId="22EFD9E1" w:rsidR="00A53C1D" w:rsidRDefault="002649C3" w:rsidP="006C37BA">
      <w:pPr>
        <w:pStyle w:val="CETCaption"/>
        <w:spacing w:before="0" w:after="0"/>
      </w:pPr>
      <w:r>
        <w:t>c)</w:t>
      </w:r>
      <w:r w:rsidRPr="002649C3">
        <w:rPr>
          <w:noProof/>
          <w:lang w:val="it-IT" w:eastAsia="it-IT"/>
        </w:rPr>
        <w:drawing>
          <wp:inline distT="0" distB="0" distL="0" distR="0" wp14:anchorId="7ED492A7" wp14:editId="12261D64">
            <wp:extent cx="2583545" cy="162000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83545" cy="1620000"/>
                    </a:xfrm>
                    <a:prstGeom prst="rect">
                      <a:avLst/>
                    </a:prstGeom>
                    <a:noFill/>
                    <a:ln>
                      <a:noFill/>
                    </a:ln>
                  </pic:spPr>
                </pic:pic>
              </a:graphicData>
            </a:graphic>
          </wp:inline>
        </w:drawing>
      </w:r>
      <w:r>
        <w:t>d)</w:t>
      </w:r>
      <w:r w:rsidR="005704FA" w:rsidRPr="005704FA">
        <w:t xml:space="preserve"> </w:t>
      </w:r>
      <w:r w:rsidR="005704FA" w:rsidRPr="005704FA">
        <w:rPr>
          <w:noProof/>
          <w:lang w:val="it-IT" w:eastAsia="it-IT"/>
        </w:rPr>
        <w:drawing>
          <wp:inline distT="0" distB="0" distL="0" distR="0" wp14:anchorId="3EB08922" wp14:editId="4A7B3DC9">
            <wp:extent cx="2639176" cy="1620000"/>
            <wp:effectExtent l="0" t="0" r="889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39176" cy="1620000"/>
                    </a:xfrm>
                    <a:prstGeom prst="rect">
                      <a:avLst/>
                    </a:prstGeom>
                    <a:noFill/>
                    <a:ln>
                      <a:noFill/>
                    </a:ln>
                  </pic:spPr>
                </pic:pic>
              </a:graphicData>
            </a:graphic>
          </wp:inline>
        </w:drawing>
      </w:r>
    </w:p>
    <w:p w14:paraId="3E85292D" w14:textId="78C1BC9A" w:rsidR="00A755E4" w:rsidRPr="00170675" w:rsidRDefault="00A755E4" w:rsidP="00170675">
      <w:pPr>
        <w:pStyle w:val="CETCaption"/>
      </w:pPr>
      <w:bookmarkStart w:id="11" w:name="_Ref126310375"/>
      <w:r w:rsidRPr="00170675">
        <w:t xml:space="preserve">Figure </w:t>
      </w:r>
      <w:r w:rsidRPr="00170675">
        <w:fldChar w:fldCharType="begin"/>
      </w:r>
      <w:r w:rsidRPr="00170675">
        <w:instrText xml:space="preserve"> SEQ Figure \* ARABIC </w:instrText>
      </w:r>
      <w:r w:rsidRPr="00170675">
        <w:fldChar w:fldCharType="separate"/>
      </w:r>
      <w:r w:rsidR="008874A4">
        <w:rPr>
          <w:noProof/>
        </w:rPr>
        <w:t>3</w:t>
      </w:r>
      <w:r w:rsidRPr="00170675">
        <w:fldChar w:fldCharType="end"/>
      </w:r>
      <w:bookmarkEnd w:id="11"/>
      <w:r w:rsidRPr="00170675">
        <w:rPr>
          <w:rStyle w:val="CETCaptionCarattere"/>
          <w:i/>
        </w:rPr>
        <w:t>: Molar volume v [m</w:t>
      </w:r>
      <w:r w:rsidRPr="00170675">
        <w:rPr>
          <w:rStyle w:val="CETCaptionCarattere"/>
          <w:i/>
          <w:vertAlign w:val="superscript"/>
        </w:rPr>
        <w:t>3</w:t>
      </w:r>
      <w:r w:rsidRPr="00170675">
        <w:rPr>
          <w:rStyle w:val="CETCaptionCarattere"/>
          <w:i/>
        </w:rPr>
        <w:t>/</w:t>
      </w:r>
      <w:proofErr w:type="spellStart"/>
      <w:r w:rsidRPr="00170675">
        <w:rPr>
          <w:rStyle w:val="CETCaptionCarattere"/>
          <w:i/>
        </w:rPr>
        <w:t>kmol</w:t>
      </w:r>
      <w:proofErr w:type="spellEnd"/>
      <w:r w:rsidRPr="00170675">
        <w:rPr>
          <w:rStyle w:val="CETCaptionCarattere"/>
          <w:i/>
        </w:rPr>
        <w:t xml:space="preserve">] as a function of temperature: comparison between the values obtained with the Peng-Robinson </w:t>
      </w:r>
      <w:proofErr w:type="spellStart"/>
      <w:r w:rsidRPr="00170675">
        <w:rPr>
          <w:rStyle w:val="CETCaptionCarattere"/>
          <w:i/>
        </w:rPr>
        <w:t>EoS</w:t>
      </w:r>
      <w:proofErr w:type="spellEnd"/>
      <w:r w:rsidRPr="00170675">
        <w:rPr>
          <w:rStyle w:val="CETCaptionCarattere"/>
          <w:i/>
        </w:rPr>
        <w:t xml:space="preserve">, the </w:t>
      </w:r>
      <w:proofErr w:type="spellStart"/>
      <w:r w:rsidRPr="00170675">
        <w:rPr>
          <w:rStyle w:val="CETCaptionCarattere"/>
          <w:i/>
        </w:rPr>
        <w:t>Costald</w:t>
      </w:r>
      <w:proofErr w:type="spellEnd"/>
      <w:r w:rsidRPr="00170675">
        <w:rPr>
          <w:rStyle w:val="CETCaptionCarattere"/>
          <w:i/>
        </w:rPr>
        <w:t xml:space="preserve"> correlation, the </w:t>
      </w:r>
      <w:proofErr w:type="spellStart"/>
      <w:r w:rsidRPr="00170675">
        <w:rPr>
          <w:rStyle w:val="CETCaptionCarattere"/>
          <w:i/>
        </w:rPr>
        <w:t>Chueh-Prausnitz</w:t>
      </w:r>
      <w:proofErr w:type="spellEnd"/>
      <w:r w:rsidRPr="00170675">
        <w:rPr>
          <w:rStyle w:val="CETCaptionCarattere"/>
          <w:i/>
        </w:rPr>
        <w:t xml:space="preserve"> correlation and the </w:t>
      </w:r>
      <w:r w:rsidR="00170675">
        <w:rPr>
          <w:rStyle w:val="CETCaptionCarattere"/>
          <w:i/>
        </w:rPr>
        <w:t xml:space="preserve">literature </w:t>
      </w:r>
      <w:r w:rsidRPr="00170675">
        <w:rPr>
          <w:rStyle w:val="CETCaptionCarattere"/>
          <w:i/>
        </w:rPr>
        <w:t>data, for n-H</w:t>
      </w:r>
      <w:r w:rsidRPr="00170675">
        <w:rPr>
          <w:rStyle w:val="CETCaptionCarattere"/>
          <w:i/>
          <w:vertAlign w:val="subscript"/>
        </w:rPr>
        <w:t>2</w:t>
      </w:r>
      <w:r w:rsidRPr="00170675">
        <w:rPr>
          <w:rStyle w:val="CETCaptionCarattere"/>
          <w:i/>
        </w:rPr>
        <w:t xml:space="preserve"> at constant pressure equal to: a) 1 bar, b) 20 bar; for p-H</w:t>
      </w:r>
      <w:r w:rsidRPr="00170675">
        <w:rPr>
          <w:rStyle w:val="CETCaptionCarattere"/>
          <w:i/>
          <w:vertAlign w:val="subscript"/>
        </w:rPr>
        <w:t>2</w:t>
      </w:r>
      <w:r w:rsidRPr="00170675">
        <w:rPr>
          <w:rStyle w:val="CETCaptionCarattere"/>
          <w:i/>
        </w:rPr>
        <w:t xml:space="preserve"> at constant pressure equal to: c) 1 bar, d) 20 bar.</w:t>
      </w:r>
    </w:p>
    <w:p w14:paraId="5175A748" w14:textId="622C2E5C" w:rsidR="003E1064" w:rsidRDefault="002E0F8E" w:rsidP="00BA4D30">
      <w:pPr>
        <w:pStyle w:val="CETBodytext"/>
        <w:rPr>
          <w:lang w:val="en-GB"/>
        </w:rPr>
      </w:pPr>
      <w:r>
        <w:rPr>
          <w:highlight w:val="yellow"/>
        </w:rPr>
        <w:fldChar w:fldCharType="begin"/>
      </w:r>
      <w:r>
        <w:instrText xml:space="preserve"> REF _Ref126310375 \h </w:instrText>
      </w:r>
      <w:r>
        <w:rPr>
          <w:highlight w:val="yellow"/>
        </w:rPr>
        <w:instrText xml:space="preserve"> \* MERGEFORMAT </w:instrText>
      </w:r>
      <w:r>
        <w:rPr>
          <w:highlight w:val="yellow"/>
        </w:rPr>
      </w:r>
      <w:r>
        <w:rPr>
          <w:highlight w:val="yellow"/>
        </w:rPr>
        <w:fldChar w:fldCharType="separate"/>
      </w:r>
      <w:r w:rsidR="008874A4" w:rsidRPr="00170675">
        <w:t xml:space="preserve">Figure </w:t>
      </w:r>
      <w:r w:rsidR="008874A4">
        <w:rPr>
          <w:noProof/>
        </w:rPr>
        <w:t>3</w:t>
      </w:r>
      <w:r>
        <w:rPr>
          <w:highlight w:val="yellow"/>
        </w:rPr>
        <w:fldChar w:fldCharType="end"/>
      </w:r>
      <w:r>
        <w:t xml:space="preserve"> shows the</w:t>
      </w:r>
      <w:r w:rsidRPr="00A53C1D">
        <w:t xml:space="preserve"> molar volume v </w:t>
      </w:r>
      <w:r>
        <w:t>comput</w:t>
      </w:r>
      <w:r w:rsidRPr="00A53C1D">
        <w:t xml:space="preserve">ed with the Peng-Robinson </w:t>
      </w:r>
      <w:proofErr w:type="spellStart"/>
      <w:r w:rsidRPr="00A53C1D">
        <w:t>EoS</w:t>
      </w:r>
      <w:proofErr w:type="spellEnd"/>
      <w:r>
        <w:t xml:space="preserve">, </w:t>
      </w:r>
      <w:proofErr w:type="spellStart"/>
      <w:r>
        <w:t>Costald</w:t>
      </w:r>
      <w:proofErr w:type="spellEnd"/>
      <w:r>
        <w:t xml:space="preserve"> and </w:t>
      </w:r>
      <w:proofErr w:type="spellStart"/>
      <w:r>
        <w:t>Chueh-Prausnitz</w:t>
      </w:r>
      <w:proofErr w:type="spellEnd"/>
      <w:r>
        <w:t xml:space="preserve"> correlation (these latter only for liquid phase)</w:t>
      </w:r>
      <w:r w:rsidRPr="00A53C1D">
        <w:t xml:space="preserve"> in the range 14 - 300 K and at two pressure levels equal to 1 and 20 bar</w:t>
      </w:r>
      <w:r>
        <w:t>, together</w:t>
      </w:r>
      <w:r w:rsidRPr="00A53C1D">
        <w:t xml:space="preserve"> with the data </w:t>
      </w:r>
      <w:r>
        <w:t>collect</w:t>
      </w:r>
      <w:r w:rsidRPr="00A53C1D">
        <w:t xml:space="preserve">ed by McCarty et al. </w:t>
      </w:r>
      <w:r>
        <w:t>(1981)</w:t>
      </w:r>
      <w:r w:rsidRPr="00A53C1D">
        <w:t>.</w:t>
      </w:r>
      <w:r>
        <w:t xml:space="preserve"> </w:t>
      </w:r>
      <w:r w:rsidR="00A53C1D" w:rsidRPr="00A53C1D">
        <w:rPr>
          <w:lang w:val="en-GB"/>
        </w:rPr>
        <w:t>The AAD values of the two correlations with respect to the literature data are</w:t>
      </w:r>
      <w:r w:rsidR="00D70569">
        <w:rPr>
          <w:lang w:val="en-GB"/>
        </w:rPr>
        <w:t xml:space="preserve"> equal to 12.5% for the </w:t>
      </w:r>
      <w:proofErr w:type="spellStart"/>
      <w:r w:rsidR="00D70569">
        <w:rPr>
          <w:lang w:val="en-GB"/>
        </w:rPr>
        <w:t>Costald</w:t>
      </w:r>
      <w:proofErr w:type="spellEnd"/>
      <w:r w:rsidR="00D70569">
        <w:rPr>
          <w:lang w:val="en-GB"/>
        </w:rPr>
        <w:t xml:space="preserve"> model in the case n-H</w:t>
      </w:r>
      <w:r w:rsidR="00D70569" w:rsidRPr="00D70569">
        <w:rPr>
          <w:vertAlign w:val="subscript"/>
          <w:lang w:val="en-GB"/>
        </w:rPr>
        <w:t>2</w:t>
      </w:r>
      <w:r w:rsidR="00D70569">
        <w:rPr>
          <w:lang w:val="en-GB"/>
        </w:rPr>
        <w:t xml:space="preserve"> at 20 bar and less than 3% in all the cases for the </w:t>
      </w:r>
      <w:proofErr w:type="spellStart"/>
      <w:r w:rsidR="00D70569">
        <w:rPr>
          <w:lang w:val="en-GB"/>
        </w:rPr>
        <w:t>Chueh-Prausnitz</w:t>
      </w:r>
      <w:proofErr w:type="spellEnd"/>
      <w:r w:rsidR="00D70569">
        <w:rPr>
          <w:lang w:val="en-GB"/>
        </w:rPr>
        <w:t xml:space="preserve"> model</w:t>
      </w:r>
      <w:r w:rsidR="00466358">
        <w:rPr>
          <w:lang w:val="en-GB"/>
        </w:rPr>
        <w:t>.</w:t>
      </w:r>
      <w:r w:rsidR="00D70569">
        <w:rPr>
          <w:lang w:val="en-GB"/>
        </w:rPr>
        <w:t xml:space="preserve"> </w:t>
      </w:r>
      <w:r w:rsidR="00A53C1D" w:rsidRPr="00A53C1D">
        <w:rPr>
          <w:lang w:val="en-GB"/>
        </w:rPr>
        <w:t xml:space="preserve">Since </w:t>
      </w:r>
      <w:r w:rsidR="00377A97">
        <w:rPr>
          <w:lang w:val="en-GB"/>
        </w:rPr>
        <w:t>this latter</w:t>
      </w:r>
      <w:r w:rsidR="00A53C1D" w:rsidRPr="00A53C1D">
        <w:rPr>
          <w:lang w:val="en-GB"/>
        </w:rPr>
        <w:t xml:space="preserve"> presents lower AAD values than the other equation, it </w:t>
      </w:r>
      <w:r w:rsidR="00377A97">
        <w:rPr>
          <w:lang w:val="en-GB"/>
        </w:rPr>
        <w:t>i</w:t>
      </w:r>
      <w:r w:rsidR="00A53C1D" w:rsidRPr="00A53C1D">
        <w:rPr>
          <w:lang w:val="en-GB"/>
        </w:rPr>
        <w:t>s selected in the definition of the model</w:t>
      </w:r>
      <w:r w:rsidR="003D3737">
        <w:rPr>
          <w:lang w:val="en-GB"/>
        </w:rPr>
        <w:t>.</w:t>
      </w:r>
    </w:p>
    <w:p w14:paraId="7A4A8750" w14:textId="77672676" w:rsidR="00BA4D30" w:rsidRDefault="00BA4D30" w:rsidP="00BA4D30">
      <w:pPr>
        <w:pStyle w:val="CETHeading1"/>
      </w:pPr>
      <w:bookmarkStart w:id="12" w:name="_Ref126244863"/>
      <w:r w:rsidRPr="00BA4D30">
        <w:lastRenderedPageBreak/>
        <w:t>Application of H</w:t>
      </w:r>
      <w:r w:rsidRPr="00BA4D30">
        <w:rPr>
          <w:vertAlign w:val="subscript"/>
        </w:rPr>
        <w:t>2</w:t>
      </w:r>
      <w:r w:rsidRPr="00BA4D30">
        <w:t xml:space="preserve"> thermodynamic modeling to a H</w:t>
      </w:r>
      <w:r w:rsidRPr="00BA4D30">
        <w:rPr>
          <w:vertAlign w:val="subscript"/>
        </w:rPr>
        <w:t>2</w:t>
      </w:r>
      <w:r w:rsidRPr="00BA4D30">
        <w:t xml:space="preserve"> liquefaction cycle</w:t>
      </w:r>
      <w:bookmarkEnd w:id="12"/>
    </w:p>
    <w:p w14:paraId="70F6B3AD" w14:textId="3CD5E3BA" w:rsidR="00BA4D30" w:rsidRDefault="00BA4D30" w:rsidP="00BA4D30">
      <w:pPr>
        <w:pStyle w:val="CETBodytext"/>
        <w:rPr>
          <w:lang w:val="en-GB"/>
        </w:rPr>
      </w:pPr>
      <w:r w:rsidRPr="00BA4D30">
        <w:rPr>
          <w:lang w:val="en-GB"/>
        </w:rPr>
        <w:t xml:space="preserve">Once defined an approach to hydrogen thermodynamics during liquefaction, </w:t>
      </w:r>
      <w:r w:rsidR="00012675">
        <w:rPr>
          <w:lang w:val="en-GB"/>
        </w:rPr>
        <w:t>i</w:t>
      </w:r>
      <w:r w:rsidR="00012675" w:rsidRPr="00BA4D30">
        <w:rPr>
          <w:lang w:val="en-GB"/>
        </w:rPr>
        <w:t xml:space="preserve">n this section </w:t>
      </w:r>
      <w:r w:rsidRPr="00BA4D30">
        <w:rPr>
          <w:lang w:val="en-GB"/>
        </w:rPr>
        <w:t xml:space="preserve">the method is tested </w:t>
      </w:r>
      <w:r w:rsidR="00012675">
        <w:rPr>
          <w:lang w:val="en-GB"/>
        </w:rPr>
        <w:t>by performing</w:t>
      </w:r>
      <w:r w:rsidRPr="00BA4D30">
        <w:rPr>
          <w:lang w:val="en-GB"/>
        </w:rPr>
        <w:t xml:space="preserve"> the simulation of a</w:t>
      </w:r>
      <w:r w:rsidR="0026770D" w:rsidRPr="00BA4D30">
        <w:rPr>
          <w:lang w:val="en-GB"/>
        </w:rPr>
        <w:t xml:space="preserve"> </w:t>
      </w:r>
      <w:r w:rsidR="0070348F">
        <w:rPr>
          <w:lang w:val="en-GB"/>
        </w:rPr>
        <w:t>LN</w:t>
      </w:r>
      <w:r w:rsidR="0070348F" w:rsidRPr="0070348F">
        <w:rPr>
          <w:vertAlign w:val="subscript"/>
          <w:lang w:val="en-GB"/>
        </w:rPr>
        <w:t>2</w:t>
      </w:r>
      <w:r w:rsidR="0026770D" w:rsidRPr="00BA4D30">
        <w:rPr>
          <w:lang w:val="en-GB"/>
        </w:rPr>
        <w:t>-precooled Claude cycle</w:t>
      </w:r>
      <w:r w:rsidR="0026770D">
        <w:rPr>
          <w:lang w:val="en-GB"/>
        </w:rPr>
        <w:t xml:space="preserve"> </w:t>
      </w:r>
      <w:r w:rsidRPr="00BA4D30">
        <w:rPr>
          <w:lang w:val="en-GB"/>
        </w:rPr>
        <w:t xml:space="preserve">considering both the alternatives for the catalytic </w:t>
      </w:r>
      <w:r w:rsidR="006C37BA">
        <w:rPr>
          <w:lang w:val="en-GB"/>
        </w:rPr>
        <w:t>OPC</w:t>
      </w:r>
      <w:r w:rsidR="00686EAF">
        <w:rPr>
          <w:lang w:val="en-GB"/>
        </w:rPr>
        <w:t xml:space="preserve"> (</w:t>
      </w:r>
      <w:r w:rsidR="00466358">
        <w:rPr>
          <w:highlight w:val="yellow"/>
          <w:lang w:val="en-GB"/>
        </w:rPr>
        <w:fldChar w:fldCharType="begin"/>
      </w:r>
      <w:r w:rsidR="00466358">
        <w:rPr>
          <w:lang w:val="en-GB"/>
        </w:rPr>
        <w:instrText xml:space="preserve"> REF _Ref126311022 \h </w:instrText>
      </w:r>
      <w:r w:rsidR="00466358">
        <w:rPr>
          <w:highlight w:val="yellow"/>
          <w:lang w:val="en-GB"/>
        </w:rPr>
      </w:r>
      <w:r w:rsidR="00466358">
        <w:rPr>
          <w:highlight w:val="yellow"/>
          <w:lang w:val="en-GB"/>
        </w:rPr>
        <w:fldChar w:fldCharType="separate"/>
      </w:r>
      <w:r w:rsidR="008874A4" w:rsidRPr="008E5F72">
        <w:t xml:space="preserve">Figure </w:t>
      </w:r>
      <w:r w:rsidR="008874A4">
        <w:rPr>
          <w:noProof/>
        </w:rPr>
        <w:t>4</w:t>
      </w:r>
      <w:r w:rsidR="00466358">
        <w:rPr>
          <w:highlight w:val="yellow"/>
          <w:lang w:val="en-GB"/>
        </w:rPr>
        <w:fldChar w:fldCharType="end"/>
      </w:r>
      <w:r w:rsidR="00686EAF">
        <w:rPr>
          <w:lang w:val="en-GB"/>
        </w:rPr>
        <w:t>)</w:t>
      </w:r>
      <w:r w:rsidRPr="00BA4D30">
        <w:rPr>
          <w:lang w:val="en-GB"/>
        </w:rPr>
        <w:t>.</w:t>
      </w:r>
    </w:p>
    <w:p w14:paraId="68B94023" w14:textId="578ED126" w:rsidR="003272C8" w:rsidRDefault="0026770D" w:rsidP="006C37BA">
      <w:pPr>
        <w:pStyle w:val="CETCaption"/>
        <w:spacing w:before="0" w:after="0"/>
      </w:pPr>
      <w:r>
        <w:t>a)</w:t>
      </w:r>
      <w:r w:rsidR="00F12FC9">
        <w:rPr>
          <w:noProof/>
          <w:lang w:val="it-IT" w:eastAsia="it-IT"/>
        </w:rPr>
        <w:drawing>
          <wp:inline distT="0" distB="0" distL="0" distR="0" wp14:anchorId="7D3BB082" wp14:editId="2442748B">
            <wp:extent cx="4068000" cy="956007"/>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8000" cy="956007"/>
                    </a:xfrm>
                    <a:prstGeom prst="rect">
                      <a:avLst/>
                    </a:prstGeom>
                    <a:noFill/>
                    <a:ln>
                      <a:noFill/>
                    </a:ln>
                  </pic:spPr>
                </pic:pic>
              </a:graphicData>
            </a:graphic>
          </wp:inline>
        </w:drawing>
      </w:r>
    </w:p>
    <w:p w14:paraId="33EF7104" w14:textId="7FC5F79D" w:rsidR="0026770D" w:rsidRDefault="0026770D" w:rsidP="00F771CF">
      <w:pPr>
        <w:pStyle w:val="CETCaption"/>
        <w:spacing w:before="0" w:after="0"/>
      </w:pPr>
      <w:r>
        <w:t>b)</w:t>
      </w:r>
      <w:r>
        <w:rPr>
          <w:noProof/>
          <w:lang w:val="it-IT" w:eastAsia="it-IT"/>
        </w:rPr>
        <w:drawing>
          <wp:inline distT="0" distB="0" distL="0" distR="0" wp14:anchorId="75962D09" wp14:editId="7A58EACE">
            <wp:extent cx="4068000" cy="930538"/>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68000" cy="930538"/>
                    </a:xfrm>
                    <a:prstGeom prst="rect">
                      <a:avLst/>
                    </a:prstGeom>
                    <a:noFill/>
                    <a:ln>
                      <a:noFill/>
                    </a:ln>
                  </pic:spPr>
                </pic:pic>
              </a:graphicData>
            </a:graphic>
          </wp:inline>
        </w:drawing>
      </w:r>
    </w:p>
    <w:p w14:paraId="34BC957C" w14:textId="39352B34" w:rsidR="00466358" w:rsidRPr="008E5F72" w:rsidRDefault="00466358" w:rsidP="008E5F72">
      <w:pPr>
        <w:pStyle w:val="CETCaption"/>
      </w:pPr>
      <w:bookmarkStart w:id="13" w:name="_Ref126311022"/>
      <w:r w:rsidRPr="008E5F72">
        <w:t xml:space="preserve">Figure </w:t>
      </w:r>
      <w:r w:rsidRPr="008E5F72">
        <w:fldChar w:fldCharType="begin"/>
      </w:r>
      <w:r w:rsidRPr="008E5F72">
        <w:instrText xml:space="preserve"> SEQ Figure \* ARABIC </w:instrText>
      </w:r>
      <w:r w:rsidRPr="008E5F72">
        <w:fldChar w:fldCharType="separate"/>
      </w:r>
      <w:r w:rsidR="008874A4">
        <w:rPr>
          <w:noProof/>
        </w:rPr>
        <w:t>4</w:t>
      </w:r>
      <w:r w:rsidRPr="008E5F72">
        <w:fldChar w:fldCharType="end"/>
      </w:r>
      <w:bookmarkEnd w:id="13"/>
      <w:r w:rsidRPr="008E5F72">
        <w:rPr>
          <w:rStyle w:val="CETCaptionCarattere"/>
          <w:i/>
        </w:rPr>
        <w:t xml:space="preserve">: </w:t>
      </w:r>
      <w:r w:rsidRPr="008E5F72">
        <w:t xml:space="preserve">Process scheme of the proposed </w:t>
      </w:r>
      <w:r w:rsidR="00725A41" w:rsidRPr="008E5F72">
        <w:t>LN</w:t>
      </w:r>
      <w:r w:rsidR="00725A41" w:rsidRPr="00170675">
        <w:rPr>
          <w:vertAlign w:val="subscript"/>
        </w:rPr>
        <w:t>2</w:t>
      </w:r>
      <w:r w:rsidRPr="008E5F72">
        <w:t>-precooled liquefaction process</w:t>
      </w:r>
      <w:r w:rsidR="00012675" w:rsidRPr="008E5F72">
        <w:t>, taken with minor modification</w:t>
      </w:r>
      <w:r w:rsidRPr="008E5F72">
        <w:t xml:space="preserve"> </w:t>
      </w:r>
      <w:r w:rsidR="00012675" w:rsidRPr="008E5F72">
        <w:t xml:space="preserve">by Crawford (1963), </w:t>
      </w:r>
      <w:r w:rsidRPr="008E5F72">
        <w:t xml:space="preserve">in the case of </w:t>
      </w:r>
      <w:r w:rsidR="00725A41" w:rsidRPr="008E5F72">
        <w:t>OPC</w:t>
      </w:r>
      <w:r w:rsidRPr="008E5F72">
        <w:t xml:space="preserve"> occurring: a) inside two reactors or b) along the heat exchangers’ tubes.</w:t>
      </w:r>
    </w:p>
    <w:p w14:paraId="605161FB" w14:textId="188F8A67" w:rsidR="00BA4D30" w:rsidRDefault="00EE1983" w:rsidP="00BA4D30">
      <w:pPr>
        <w:pStyle w:val="CETBodytext"/>
        <w:rPr>
          <w:lang w:val="en-GB"/>
        </w:rPr>
      </w:pPr>
      <w:r w:rsidRPr="00EE1983">
        <w:rPr>
          <w:lang w:val="en-GB"/>
        </w:rPr>
        <w:t xml:space="preserve">Considering the scheme in </w:t>
      </w:r>
      <w:r w:rsidR="00466358">
        <w:rPr>
          <w:lang w:val="en-GB"/>
        </w:rPr>
        <w:fldChar w:fldCharType="begin"/>
      </w:r>
      <w:r w:rsidR="00466358">
        <w:rPr>
          <w:lang w:val="en-GB"/>
        </w:rPr>
        <w:instrText xml:space="preserve"> REF _Ref126311022 \h </w:instrText>
      </w:r>
      <w:r w:rsidR="00466358">
        <w:rPr>
          <w:lang w:val="en-GB"/>
        </w:rPr>
      </w:r>
      <w:r w:rsidR="00466358">
        <w:rPr>
          <w:lang w:val="en-GB"/>
        </w:rPr>
        <w:fldChar w:fldCharType="separate"/>
      </w:r>
      <w:r w:rsidR="008874A4" w:rsidRPr="008E5F72">
        <w:t xml:space="preserve">Figure </w:t>
      </w:r>
      <w:r w:rsidR="008874A4">
        <w:rPr>
          <w:noProof/>
        </w:rPr>
        <w:t>4</w:t>
      </w:r>
      <w:r w:rsidR="00466358">
        <w:rPr>
          <w:lang w:val="en-GB"/>
        </w:rPr>
        <w:fldChar w:fldCharType="end"/>
      </w:r>
      <w:r w:rsidR="00E05C2A">
        <w:rPr>
          <w:lang w:val="en-GB"/>
        </w:rPr>
        <w:t>a</w:t>
      </w:r>
      <w:r w:rsidRPr="00EE1983">
        <w:rPr>
          <w:lang w:val="en-GB"/>
        </w:rPr>
        <w:t>, the inlet stream 1 is n-H</w:t>
      </w:r>
      <w:r w:rsidRPr="00B82744">
        <w:rPr>
          <w:vertAlign w:val="subscript"/>
          <w:lang w:val="en-GB"/>
        </w:rPr>
        <w:t>2</w:t>
      </w:r>
      <w:r w:rsidRPr="00EE1983">
        <w:rPr>
          <w:lang w:val="en-GB"/>
        </w:rPr>
        <w:t xml:space="preserve"> at 20 bar pressure and ambient temperature and is </w:t>
      </w:r>
      <w:r w:rsidR="00BA4D30" w:rsidRPr="00BA4D30">
        <w:rPr>
          <w:lang w:val="en-GB"/>
        </w:rPr>
        <w:t>supposed to be free of moisture and condensable gases. This stream is mixed with the recycle streams 16 and 20 of high p-H</w:t>
      </w:r>
      <w:r w:rsidR="00BA4D30" w:rsidRPr="00466358">
        <w:rPr>
          <w:vertAlign w:val="subscript"/>
          <w:lang w:val="en-GB"/>
        </w:rPr>
        <w:t>2</w:t>
      </w:r>
      <w:r w:rsidR="00BA4D30" w:rsidRPr="00BA4D30">
        <w:rPr>
          <w:lang w:val="en-GB"/>
        </w:rPr>
        <w:t xml:space="preserve"> content to form stream 2, which is cooled using service water and then compressed</w:t>
      </w:r>
      <w:r w:rsidR="007B6C87">
        <w:rPr>
          <w:lang w:val="en-GB"/>
        </w:rPr>
        <w:t xml:space="preserve"> to</w:t>
      </w:r>
      <w:r w:rsidR="00BA4D30" w:rsidRPr="00BA4D30">
        <w:rPr>
          <w:lang w:val="en-GB"/>
        </w:rPr>
        <w:t xml:space="preserve"> </w:t>
      </w:r>
      <w:r w:rsidR="007B6C87" w:rsidRPr="00BA4D30">
        <w:rPr>
          <w:lang w:val="en-GB"/>
        </w:rPr>
        <w:t xml:space="preserve">103 </w:t>
      </w:r>
      <w:proofErr w:type="gramStart"/>
      <w:r w:rsidR="007B6C87" w:rsidRPr="00BA4D30">
        <w:rPr>
          <w:lang w:val="en-GB"/>
        </w:rPr>
        <w:t>bar</w:t>
      </w:r>
      <w:proofErr w:type="gramEnd"/>
      <w:r w:rsidR="007B6C87" w:rsidRPr="00BA4D30">
        <w:rPr>
          <w:lang w:val="en-GB"/>
        </w:rPr>
        <w:t xml:space="preserve"> </w:t>
      </w:r>
      <w:r w:rsidR="00BA4D30" w:rsidRPr="00BA4D30">
        <w:rPr>
          <w:lang w:val="en-GB"/>
        </w:rPr>
        <w:t>in an intercooled two-stage compressor C-1. The outlet stream 4 from C-1 is cooled in multi-pass heat exchangers HX-1 and HX-2</w:t>
      </w:r>
      <w:r w:rsidR="004667CD">
        <w:rPr>
          <w:lang w:val="en-GB"/>
        </w:rPr>
        <w:t>, to 64.8 K and 45.8 K respectively,</w:t>
      </w:r>
      <w:r w:rsidR="00BA4D30" w:rsidRPr="00BA4D30">
        <w:rPr>
          <w:lang w:val="en-GB"/>
        </w:rPr>
        <w:t xml:space="preserve"> by warming the recycle gaseous </w:t>
      </w:r>
      <w:r w:rsidR="00EB37D4">
        <w:rPr>
          <w:lang w:val="en-GB"/>
        </w:rPr>
        <w:t>H</w:t>
      </w:r>
      <w:r w:rsidR="00EB37D4" w:rsidRPr="00EB37D4">
        <w:rPr>
          <w:vertAlign w:val="subscript"/>
          <w:lang w:val="en-GB"/>
        </w:rPr>
        <w:t>2</w:t>
      </w:r>
      <w:r w:rsidR="00BA4D30" w:rsidRPr="00BA4D30">
        <w:rPr>
          <w:lang w:val="en-GB"/>
        </w:rPr>
        <w:t xml:space="preserve"> streams at low and intermediate pressure. The heat exchanger HX-1 include a pool of </w:t>
      </w:r>
      <w:r w:rsidR="0070348F">
        <w:rPr>
          <w:lang w:val="en-GB"/>
        </w:rPr>
        <w:t>LN</w:t>
      </w:r>
      <w:r w:rsidR="0070348F" w:rsidRPr="0070348F">
        <w:rPr>
          <w:vertAlign w:val="subscript"/>
          <w:lang w:val="en-GB"/>
        </w:rPr>
        <w:t>2</w:t>
      </w:r>
      <w:r w:rsidR="00BA4D30" w:rsidRPr="00BA4D30">
        <w:rPr>
          <w:lang w:val="en-GB"/>
        </w:rPr>
        <w:t xml:space="preserve"> boiling at a pressure of 1.1 bar. Both heat exchangers are characterized by a minimum temperature approach of 2 K. The process stream is sent to the reactor R-1, equipped with a suitable catalyst to promote the </w:t>
      </w:r>
      <w:r w:rsidR="00BE236C">
        <w:rPr>
          <w:lang w:val="en-GB"/>
        </w:rPr>
        <w:t>OPC</w:t>
      </w:r>
      <w:r w:rsidR="004667CD">
        <w:rPr>
          <w:lang w:val="en-GB"/>
        </w:rPr>
        <w:t>,</w:t>
      </w:r>
      <w:r w:rsidR="00BA4D30" w:rsidRPr="00BA4D30">
        <w:rPr>
          <w:lang w:val="en-GB"/>
        </w:rPr>
        <w:t xml:space="preserve"> at the outlet </w:t>
      </w:r>
      <w:r w:rsidR="009D02D2">
        <w:rPr>
          <w:lang w:val="en-GB"/>
        </w:rPr>
        <w:t>of which it</w:t>
      </w:r>
      <w:r w:rsidR="00BA4D30" w:rsidRPr="00BA4D30">
        <w:rPr>
          <w:lang w:val="en-GB"/>
        </w:rPr>
        <w:t xml:space="preserve"> is assumed to reach the equilibrium composition, obtained in the simulation with a mixture of the components p-H</w:t>
      </w:r>
      <w:r w:rsidR="00BA4D30" w:rsidRPr="00B82744">
        <w:rPr>
          <w:vertAlign w:val="subscript"/>
          <w:lang w:val="en-GB"/>
        </w:rPr>
        <w:t>2</w:t>
      </w:r>
      <w:r w:rsidR="00BA4D30" w:rsidRPr="00BA4D30">
        <w:rPr>
          <w:lang w:val="en-GB"/>
        </w:rPr>
        <w:t xml:space="preserve"> and n</w:t>
      </w:r>
      <w:r w:rsidR="007A2FE0">
        <w:rPr>
          <w:lang w:val="en-GB"/>
        </w:rPr>
        <w:noBreakHyphen/>
      </w:r>
      <w:r w:rsidR="00BA4D30" w:rsidRPr="00BA4D30">
        <w:rPr>
          <w:lang w:val="en-GB"/>
        </w:rPr>
        <w:t>H</w:t>
      </w:r>
      <w:r w:rsidR="00BA4D30" w:rsidRPr="00B82744">
        <w:rPr>
          <w:vertAlign w:val="subscript"/>
          <w:lang w:val="en-GB"/>
        </w:rPr>
        <w:t>2</w:t>
      </w:r>
      <w:r w:rsidR="00BA4D30" w:rsidRPr="00BA4D30">
        <w:rPr>
          <w:lang w:val="en-GB"/>
        </w:rPr>
        <w:t xml:space="preserve">, as defined in Section </w:t>
      </w:r>
      <w:r w:rsidR="00E05C2A">
        <w:rPr>
          <w:highlight w:val="yellow"/>
          <w:lang w:val="en-GB"/>
        </w:rPr>
        <w:fldChar w:fldCharType="begin"/>
      </w:r>
      <w:r w:rsidR="00E05C2A">
        <w:rPr>
          <w:lang w:val="en-GB"/>
        </w:rPr>
        <w:instrText xml:space="preserve"> REF _Ref126244848 \r \h </w:instrText>
      </w:r>
      <w:r w:rsidR="00E05C2A">
        <w:rPr>
          <w:highlight w:val="yellow"/>
          <w:lang w:val="en-GB"/>
        </w:rPr>
      </w:r>
      <w:r w:rsidR="00E05C2A">
        <w:rPr>
          <w:highlight w:val="yellow"/>
          <w:lang w:val="en-GB"/>
        </w:rPr>
        <w:fldChar w:fldCharType="separate"/>
      </w:r>
      <w:r w:rsidR="008874A4">
        <w:rPr>
          <w:lang w:val="en-GB"/>
        </w:rPr>
        <w:t>2</w:t>
      </w:r>
      <w:r w:rsidR="00E05C2A">
        <w:rPr>
          <w:highlight w:val="yellow"/>
          <w:lang w:val="en-GB"/>
        </w:rPr>
        <w:fldChar w:fldCharType="end"/>
      </w:r>
      <w:r w:rsidR="00BA4D30" w:rsidRPr="00BA4D30">
        <w:rPr>
          <w:lang w:val="en-GB"/>
        </w:rPr>
        <w:t xml:space="preserve">. The reactor is interested by a thermal duty </w:t>
      </w:r>
      <w:proofErr w:type="spellStart"/>
      <w:r w:rsidR="00BA4D30" w:rsidRPr="00BA4D30">
        <w:rPr>
          <w:lang w:val="en-GB"/>
        </w:rPr>
        <w:t>q</w:t>
      </w:r>
      <w:r w:rsidR="00BA4D30" w:rsidRPr="00E05C2A">
        <w:rPr>
          <w:vertAlign w:val="subscript"/>
          <w:lang w:val="en-GB"/>
        </w:rPr>
        <w:t>r</w:t>
      </w:r>
      <w:proofErr w:type="spellEnd"/>
      <w:r w:rsidR="00BA4D30" w:rsidRPr="00BA4D30">
        <w:rPr>
          <w:lang w:val="en-GB"/>
        </w:rPr>
        <w:t xml:space="preserve">, as defined in </w:t>
      </w:r>
      <w:proofErr w:type="spellStart"/>
      <w:r w:rsidR="00E05C2A">
        <w:rPr>
          <w:lang w:val="en-GB"/>
        </w:rPr>
        <w:t>Eq</w:t>
      </w:r>
      <w:proofErr w:type="spellEnd"/>
      <w:r w:rsidR="009F7810">
        <w:rPr>
          <w:iCs/>
          <w:lang w:val="en-GB"/>
        </w:rPr>
        <w:fldChar w:fldCharType="begin"/>
      </w:r>
      <w:r w:rsidR="009F7810">
        <w:rPr>
          <w:iCs/>
          <w:lang w:val="en-GB"/>
        </w:rPr>
        <w:instrText xml:space="preserve"> GOTOBUTTON ZEqnNum130562  \* MERGEFORMAT </w:instrText>
      </w:r>
      <w:r w:rsidR="009F7810">
        <w:rPr>
          <w:iCs/>
          <w:lang w:val="en-GB"/>
        </w:rPr>
        <w:fldChar w:fldCharType="begin"/>
      </w:r>
      <w:r w:rsidR="009F7810">
        <w:rPr>
          <w:iCs/>
          <w:lang w:val="en-GB"/>
        </w:rPr>
        <w:instrText xml:space="preserve"> REF ZEqnNum130562 \* Charformat \! \* MERGEFORMAT </w:instrText>
      </w:r>
      <w:r w:rsidR="009F7810">
        <w:rPr>
          <w:iCs/>
          <w:lang w:val="en-GB"/>
        </w:rPr>
        <w:fldChar w:fldCharType="separate"/>
      </w:r>
      <w:r w:rsidR="008874A4" w:rsidRPr="008874A4">
        <w:rPr>
          <w:iCs/>
          <w:lang w:val="en-GB"/>
        </w:rPr>
        <w:instrText>(5)</w:instrText>
      </w:r>
      <w:r w:rsidR="009F7810">
        <w:rPr>
          <w:iCs/>
          <w:lang w:val="en-GB"/>
        </w:rPr>
        <w:fldChar w:fldCharType="end"/>
      </w:r>
      <w:r w:rsidR="009F7810">
        <w:rPr>
          <w:iCs/>
          <w:lang w:val="en-GB"/>
        </w:rPr>
        <w:fldChar w:fldCharType="end"/>
      </w:r>
      <w:r w:rsidR="00BA4D30" w:rsidRPr="00BA4D30">
        <w:rPr>
          <w:lang w:val="en-GB"/>
        </w:rPr>
        <w:t>, because of the exothermicity of the ortho-para isomerization reaction:</w:t>
      </w:r>
    </w:p>
    <w:tbl>
      <w:tblPr>
        <w:tblW w:w="5000" w:type="pct"/>
        <w:tblLook w:val="04A0" w:firstRow="1" w:lastRow="0" w:firstColumn="1" w:lastColumn="0" w:noHBand="0" w:noVBand="1"/>
      </w:tblPr>
      <w:tblGrid>
        <w:gridCol w:w="7986"/>
        <w:gridCol w:w="801"/>
      </w:tblGrid>
      <w:tr w:rsidR="009F7810" w:rsidRPr="001A2D54" w14:paraId="727012E4" w14:textId="77777777" w:rsidTr="00B7471E">
        <w:tc>
          <w:tcPr>
            <w:tcW w:w="8188" w:type="dxa"/>
            <w:shd w:val="clear" w:color="auto" w:fill="auto"/>
            <w:vAlign w:val="center"/>
          </w:tcPr>
          <w:p w14:paraId="6A1F60F4" w14:textId="29D733BB" w:rsidR="009F7810" w:rsidRPr="001A2D54" w:rsidRDefault="009F7810" w:rsidP="00B7471E">
            <w:pPr>
              <w:pStyle w:val="CETEquation"/>
            </w:pPr>
            <w:r w:rsidRPr="009F7810">
              <w:rPr>
                <w:position w:val="-14"/>
              </w:rPr>
              <w:object w:dxaOrig="2680" w:dyaOrig="380" w14:anchorId="34D8541B">
                <v:shape id="_x0000_i1029" type="#_x0000_t75" style="width:133.5pt;height:18.75pt" o:ole="">
                  <v:imagedata r:id="rId27" o:title=""/>
                </v:shape>
                <o:OLEObject Type="Embed" ProgID="Equation.DSMT4" ShapeID="_x0000_i1029" DrawAspect="Content" ObjectID="_1740463157" r:id="rId28"/>
              </w:object>
            </w:r>
          </w:p>
        </w:tc>
        <w:tc>
          <w:tcPr>
            <w:tcW w:w="815" w:type="dxa"/>
            <w:shd w:val="clear" w:color="auto" w:fill="auto"/>
            <w:vAlign w:val="center"/>
          </w:tcPr>
          <w:p w14:paraId="50D765FA" w14:textId="459F6EE5" w:rsidR="009F7810" w:rsidRPr="001A2D54" w:rsidRDefault="009F7810" w:rsidP="00B7471E">
            <w:pPr>
              <w:pStyle w:val="CETEquation"/>
              <w:jc w:val="right"/>
            </w:pPr>
            <w:r w:rsidRPr="003E1E54">
              <w:fldChar w:fldCharType="begin"/>
            </w:r>
            <w:r w:rsidRPr="003E1E54">
              <w:instrText xml:space="preserve"> MACROBUTTON MTPlaceRef \* MERGEFORMAT </w:instrText>
            </w:r>
            <w:r w:rsidRPr="003E1E54">
              <w:fldChar w:fldCharType="begin"/>
            </w:r>
            <w:r w:rsidRPr="003E1E54">
              <w:instrText xml:space="preserve"> SEQ MTEqn \h \* MERGEFORMAT </w:instrText>
            </w:r>
            <w:r w:rsidRPr="003E1E54">
              <w:fldChar w:fldCharType="end"/>
            </w:r>
            <w:bookmarkStart w:id="14" w:name="ZEqnNum130562"/>
            <w:r w:rsidRPr="003E1E54">
              <w:instrText>(</w:instrText>
            </w:r>
            <w:fldSimple w:instr=" SEQ MTEqn \c \* Arabic \* MERGEFORMAT ">
              <w:r w:rsidR="008874A4">
                <w:rPr>
                  <w:noProof/>
                </w:rPr>
                <w:instrText>5</w:instrText>
              </w:r>
            </w:fldSimple>
            <w:r w:rsidRPr="003E1E54">
              <w:instrText>)</w:instrText>
            </w:r>
            <w:bookmarkEnd w:id="14"/>
            <w:r w:rsidRPr="003E1E54">
              <w:fldChar w:fldCharType="end"/>
            </w:r>
          </w:p>
        </w:tc>
      </w:tr>
    </w:tbl>
    <w:p w14:paraId="79E44729" w14:textId="093B70C8" w:rsidR="00BA4D30" w:rsidRDefault="00BA4D30" w:rsidP="00BA4D30">
      <w:pPr>
        <w:pStyle w:val="CETBodytext"/>
        <w:rPr>
          <w:lang w:val="en-GB"/>
        </w:rPr>
      </w:pPr>
      <w:r w:rsidRPr="00BA4D30">
        <w:rPr>
          <w:lang w:val="en-GB"/>
        </w:rPr>
        <w:t>where x</w:t>
      </w:r>
      <w:r w:rsidRPr="00E05C2A">
        <w:rPr>
          <w:vertAlign w:val="subscript"/>
          <w:lang w:val="en-GB"/>
        </w:rPr>
        <w:t>p-H</w:t>
      </w:r>
      <w:proofErr w:type="gramStart"/>
      <w:r w:rsidRPr="00E05C2A">
        <w:rPr>
          <w:vertAlign w:val="subscript"/>
          <w:lang w:val="en-GB"/>
        </w:rPr>
        <w:t>2,in</w:t>
      </w:r>
      <w:proofErr w:type="gramEnd"/>
      <w:r w:rsidRPr="00BA4D30">
        <w:rPr>
          <w:lang w:val="en-GB"/>
        </w:rPr>
        <w:t xml:space="preserve"> and x</w:t>
      </w:r>
      <w:r w:rsidRPr="00E05C2A">
        <w:rPr>
          <w:vertAlign w:val="subscript"/>
          <w:lang w:val="en-GB"/>
        </w:rPr>
        <w:t>p-H2,out</w:t>
      </w:r>
      <w:r w:rsidRPr="00BA4D30">
        <w:rPr>
          <w:lang w:val="en-GB"/>
        </w:rPr>
        <w:t xml:space="preserve"> are the molar fraction of p-H</w:t>
      </w:r>
      <w:r w:rsidRPr="00B82744">
        <w:rPr>
          <w:vertAlign w:val="subscript"/>
          <w:lang w:val="en-GB"/>
        </w:rPr>
        <w:t>2</w:t>
      </w:r>
      <w:r w:rsidRPr="00BA4D30">
        <w:rPr>
          <w:lang w:val="en-GB"/>
        </w:rPr>
        <w:t xml:space="preserve"> at the inlet and at the equilibrium conditions at the temperature of the stage.</w:t>
      </w:r>
      <w:r w:rsidR="00EB37D4">
        <w:rPr>
          <w:lang w:val="en-GB"/>
        </w:rPr>
        <w:t xml:space="preserve"> </w:t>
      </w:r>
      <w:r w:rsidRPr="00BA4D30">
        <w:rPr>
          <w:lang w:val="en-GB"/>
        </w:rPr>
        <w:t>The stream 6a at the outlet of R-1 is cooled in HX-2 before reducing its pressure</w:t>
      </w:r>
      <w:r w:rsidR="009D02D2">
        <w:rPr>
          <w:lang w:val="en-GB"/>
        </w:rPr>
        <w:t xml:space="preserve"> to 5.5 bar</w:t>
      </w:r>
      <w:r w:rsidRPr="00BA4D30">
        <w:rPr>
          <w:lang w:val="en-GB"/>
        </w:rPr>
        <w:t xml:space="preserve"> in Joule-Thompson valve VLV-1</w:t>
      </w:r>
      <w:r w:rsidR="009D02D2">
        <w:rPr>
          <w:lang w:val="en-GB"/>
        </w:rPr>
        <w:t>.</w:t>
      </w:r>
      <w:r w:rsidRPr="00BA4D30">
        <w:rPr>
          <w:lang w:val="en-GB"/>
        </w:rPr>
        <w:t xml:space="preserve"> </w:t>
      </w:r>
      <w:r w:rsidR="009D02D2">
        <w:rPr>
          <w:lang w:val="en-GB"/>
        </w:rPr>
        <w:t>T</w:t>
      </w:r>
      <w:r w:rsidRPr="00BA4D30">
        <w:rPr>
          <w:lang w:val="en-GB"/>
        </w:rPr>
        <w:t>he</w:t>
      </w:r>
      <w:r w:rsidR="009D02D2">
        <w:rPr>
          <w:lang w:val="en-GB"/>
        </w:rPr>
        <w:t xml:space="preserve"> resulting biphasic</w:t>
      </w:r>
      <w:r w:rsidRPr="00BA4D30">
        <w:rPr>
          <w:lang w:val="en-GB"/>
        </w:rPr>
        <w:t xml:space="preserve"> stream </w:t>
      </w:r>
      <w:r w:rsidR="009D02D2">
        <w:rPr>
          <w:lang w:val="en-GB"/>
        </w:rPr>
        <w:t xml:space="preserve">is </w:t>
      </w:r>
      <w:r w:rsidRPr="00BA4D30">
        <w:rPr>
          <w:lang w:val="en-GB"/>
        </w:rPr>
        <w:t xml:space="preserve">separated in flash vessel V-1. The vapor is recycled back to cool the process stream in HX-1 and HX-2. The liquid is passed through the process-process heat exchanger HX-3, which is characterized by a minimum temperature approach of 1 K. The stream 9 is sent to </w:t>
      </w:r>
      <w:r w:rsidR="009D02D2">
        <w:rPr>
          <w:lang w:val="en-GB"/>
        </w:rPr>
        <w:t xml:space="preserve">the </w:t>
      </w:r>
      <w:r w:rsidRPr="00BA4D30">
        <w:rPr>
          <w:lang w:val="en-GB"/>
        </w:rPr>
        <w:t xml:space="preserve">reactor R-2, equipped with a suitable catalyst </w:t>
      </w:r>
      <w:r w:rsidR="00BE236C">
        <w:rPr>
          <w:lang w:val="en-GB"/>
        </w:rPr>
        <w:t>for OPC</w:t>
      </w:r>
      <w:r w:rsidR="003E1064">
        <w:rPr>
          <w:lang w:val="en-GB"/>
        </w:rPr>
        <w:t>, and then is</w:t>
      </w:r>
      <w:r w:rsidRPr="00BA4D30">
        <w:rPr>
          <w:lang w:val="en-GB"/>
        </w:rPr>
        <w:t xml:space="preserve"> cooled passing through the Joule-Thompson valve VLV-2, reaching the storage pressure of 1.3 bar. </w:t>
      </w:r>
      <w:r w:rsidR="003E1064">
        <w:rPr>
          <w:lang w:val="en-GB"/>
        </w:rPr>
        <w:t xml:space="preserve">The </w:t>
      </w:r>
      <w:r w:rsidRPr="00BA4D30">
        <w:rPr>
          <w:lang w:val="en-GB"/>
        </w:rPr>
        <w:t>flash vessel V-2 separate</w:t>
      </w:r>
      <w:r w:rsidR="003E1064">
        <w:rPr>
          <w:lang w:val="en-GB"/>
        </w:rPr>
        <w:t>s</w:t>
      </w:r>
      <w:r w:rsidRPr="00BA4D30">
        <w:rPr>
          <w:lang w:val="en-GB"/>
        </w:rPr>
        <w:t xml:space="preserve"> the vapor</w:t>
      </w:r>
      <w:r w:rsidR="003E1064">
        <w:rPr>
          <w:lang w:val="en-GB"/>
        </w:rPr>
        <w:t>, which</w:t>
      </w:r>
      <w:r w:rsidRPr="00BA4D30">
        <w:rPr>
          <w:lang w:val="en-GB"/>
        </w:rPr>
        <w:t xml:space="preserve"> </w:t>
      </w:r>
      <w:r w:rsidR="003E1064" w:rsidRPr="00BA4D30">
        <w:rPr>
          <w:lang w:val="en-GB"/>
        </w:rPr>
        <w:t xml:space="preserve">is recycled back passing </w:t>
      </w:r>
      <w:r w:rsidR="003E1064">
        <w:rPr>
          <w:lang w:val="en-GB"/>
        </w:rPr>
        <w:t>as cold stream in</w:t>
      </w:r>
      <w:r w:rsidR="003E1064" w:rsidRPr="00BA4D30">
        <w:rPr>
          <w:lang w:val="en-GB"/>
        </w:rPr>
        <w:t xml:space="preserve"> HX-3, HX-2 and HX-1</w:t>
      </w:r>
      <w:r w:rsidR="003E1064">
        <w:rPr>
          <w:lang w:val="en-GB"/>
        </w:rPr>
        <w:t xml:space="preserve">, </w:t>
      </w:r>
      <w:r w:rsidRPr="00BA4D30">
        <w:rPr>
          <w:lang w:val="en-GB"/>
        </w:rPr>
        <w:t xml:space="preserve">and </w:t>
      </w:r>
      <w:r w:rsidR="003E1064">
        <w:rPr>
          <w:lang w:val="en-GB"/>
        </w:rPr>
        <w:t xml:space="preserve">the </w:t>
      </w:r>
      <w:r w:rsidRPr="00BA4D30">
        <w:rPr>
          <w:lang w:val="en-GB"/>
        </w:rPr>
        <w:t>liquid</w:t>
      </w:r>
      <w:r w:rsidR="003E1064">
        <w:rPr>
          <w:lang w:val="en-GB"/>
        </w:rPr>
        <w:t>, which</w:t>
      </w:r>
      <w:r w:rsidRPr="00BA4D30">
        <w:rPr>
          <w:lang w:val="en-GB"/>
        </w:rPr>
        <w:t xml:space="preserve"> leaves the process to be stored in an insulated tank at 1.3 bar pressure. For sake of simplicity, pressure drops inside the heat exchangers are neglected.</w:t>
      </w:r>
      <w:r w:rsidR="00BE236C">
        <w:rPr>
          <w:lang w:val="en-GB"/>
        </w:rPr>
        <w:t xml:space="preserve"> </w:t>
      </w:r>
      <w:r w:rsidR="00E05C2A">
        <w:rPr>
          <w:lang w:val="en-GB"/>
        </w:rPr>
        <w:t>If t</w:t>
      </w:r>
      <w:r w:rsidRPr="00BA4D30">
        <w:rPr>
          <w:lang w:val="en-GB"/>
        </w:rPr>
        <w:t xml:space="preserve">he same process </w:t>
      </w:r>
      <w:r w:rsidR="00E05C2A">
        <w:rPr>
          <w:lang w:val="en-GB"/>
        </w:rPr>
        <w:t>is</w:t>
      </w:r>
      <w:r w:rsidRPr="00BA4D30">
        <w:rPr>
          <w:lang w:val="en-GB"/>
        </w:rPr>
        <w:t xml:space="preserve"> carried out by packing the heat exchangers </w:t>
      </w:r>
      <w:r w:rsidR="00E05C2A">
        <w:rPr>
          <w:lang w:val="en-GB"/>
        </w:rPr>
        <w:t xml:space="preserve">tubes </w:t>
      </w:r>
      <w:r w:rsidRPr="00BA4D30">
        <w:rPr>
          <w:lang w:val="en-GB"/>
        </w:rPr>
        <w:t>with the catalyst</w:t>
      </w:r>
      <w:r w:rsidR="008E5F72">
        <w:rPr>
          <w:lang w:val="en-GB"/>
        </w:rPr>
        <w:t xml:space="preserve"> (</w:t>
      </w:r>
      <w:r w:rsidR="00E05C2A">
        <w:rPr>
          <w:lang w:val="en-GB"/>
        </w:rPr>
        <w:fldChar w:fldCharType="begin"/>
      </w:r>
      <w:r w:rsidR="00E05C2A">
        <w:rPr>
          <w:lang w:val="en-GB"/>
        </w:rPr>
        <w:instrText xml:space="preserve"> REF _Ref126311022 \h </w:instrText>
      </w:r>
      <w:r w:rsidR="00E05C2A">
        <w:rPr>
          <w:lang w:val="en-GB"/>
        </w:rPr>
      </w:r>
      <w:r w:rsidR="00E05C2A">
        <w:rPr>
          <w:lang w:val="en-GB"/>
        </w:rPr>
        <w:fldChar w:fldCharType="separate"/>
      </w:r>
      <w:r w:rsidR="008874A4" w:rsidRPr="008E5F72">
        <w:t xml:space="preserve">Figure </w:t>
      </w:r>
      <w:r w:rsidR="008874A4">
        <w:rPr>
          <w:noProof/>
        </w:rPr>
        <w:t>4</w:t>
      </w:r>
      <w:r w:rsidR="00E05C2A">
        <w:rPr>
          <w:lang w:val="en-GB"/>
        </w:rPr>
        <w:fldChar w:fldCharType="end"/>
      </w:r>
      <w:r w:rsidR="00E05C2A">
        <w:rPr>
          <w:lang w:val="en-GB"/>
        </w:rPr>
        <w:t>b</w:t>
      </w:r>
      <w:r w:rsidR="008E5F72">
        <w:rPr>
          <w:lang w:val="en-GB"/>
        </w:rPr>
        <w:t>)</w:t>
      </w:r>
      <w:r w:rsidRPr="00BA4D30">
        <w:rPr>
          <w:lang w:val="en-GB"/>
        </w:rPr>
        <w:t>, it is possible to assume that the equilibrium composition is obtained throughout the cooling process. To represent this situation, the processed hydrogen stream is pure e-H</w:t>
      </w:r>
      <w:r w:rsidRPr="00B82744">
        <w:rPr>
          <w:vertAlign w:val="subscript"/>
          <w:lang w:val="en-GB"/>
        </w:rPr>
        <w:t>2</w:t>
      </w:r>
      <w:r w:rsidRPr="00BA4D30">
        <w:rPr>
          <w:lang w:val="en-GB"/>
        </w:rPr>
        <w:t>, as defined in Section</w:t>
      </w:r>
      <w:r w:rsidR="00E05C2A">
        <w:rPr>
          <w:lang w:val="en-GB"/>
        </w:rPr>
        <w:t xml:space="preserve"> </w:t>
      </w:r>
      <w:r w:rsidR="00E05C2A">
        <w:rPr>
          <w:lang w:val="en-GB"/>
        </w:rPr>
        <w:fldChar w:fldCharType="begin"/>
      </w:r>
      <w:r w:rsidR="00E05C2A">
        <w:rPr>
          <w:lang w:val="en-GB"/>
        </w:rPr>
        <w:instrText xml:space="preserve"> REF _Ref126244848 \r \h </w:instrText>
      </w:r>
      <w:r w:rsidR="00E05C2A">
        <w:rPr>
          <w:lang w:val="en-GB"/>
        </w:rPr>
      </w:r>
      <w:r w:rsidR="00E05C2A">
        <w:rPr>
          <w:lang w:val="en-GB"/>
        </w:rPr>
        <w:fldChar w:fldCharType="separate"/>
      </w:r>
      <w:r w:rsidR="008874A4">
        <w:rPr>
          <w:lang w:val="en-GB"/>
        </w:rPr>
        <w:t>2</w:t>
      </w:r>
      <w:r w:rsidR="00E05C2A">
        <w:rPr>
          <w:lang w:val="en-GB"/>
        </w:rPr>
        <w:fldChar w:fldCharType="end"/>
      </w:r>
      <w:r w:rsidRPr="00BA4D30">
        <w:rPr>
          <w:lang w:val="en-GB"/>
        </w:rPr>
        <w:t>. For comparison purposes the same pressure levels are considered, as well as the same minimum temperature approach inside the heat exchangers.</w:t>
      </w:r>
      <w:r w:rsidR="008E5F72">
        <w:rPr>
          <w:lang w:val="en-GB"/>
        </w:rPr>
        <w:t xml:space="preserve"> </w:t>
      </w:r>
      <w:r w:rsidRPr="00BA4D30">
        <w:rPr>
          <w:lang w:val="en-GB"/>
        </w:rPr>
        <w:t xml:space="preserve">The two described processes are compared in terms of </w:t>
      </w:r>
      <w:r w:rsidR="00C75EC8">
        <w:rPr>
          <w:lang w:val="en-GB"/>
        </w:rPr>
        <w:t>specific electricity</w:t>
      </w:r>
      <w:r w:rsidRPr="00BA4D30">
        <w:rPr>
          <w:lang w:val="en-GB"/>
        </w:rPr>
        <w:t xml:space="preserve"> consumption </w:t>
      </w:r>
      <w:r w:rsidR="00C75EC8">
        <w:rPr>
          <w:lang w:val="en-GB"/>
        </w:rPr>
        <w:t xml:space="preserve">(SEC) </w:t>
      </w:r>
      <w:r w:rsidR="00D5079D">
        <w:rPr>
          <w:lang w:val="en-GB"/>
        </w:rPr>
        <w:t xml:space="preserve">of the compressors </w:t>
      </w:r>
      <w:r w:rsidRPr="00BA4D30">
        <w:rPr>
          <w:lang w:val="en-GB"/>
        </w:rPr>
        <w:t xml:space="preserve">and </w:t>
      </w:r>
      <w:r w:rsidR="001974AD">
        <w:rPr>
          <w:lang w:val="en-GB"/>
        </w:rPr>
        <w:t>exergy</w:t>
      </w:r>
      <w:r w:rsidR="00C75EC8" w:rsidRPr="00BA4D30">
        <w:rPr>
          <w:lang w:val="en-GB"/>
        </w:rPr>
        <w:t xml:space="preserve"> efficiency</w:t>
      </w:r>
      <w:r w:rsidRPr="00BA4D30">
        <w:rPr>
          <w:lang w:val="en-GB"/>
        </w:rPr>
        <w:t xml:space="preserve"> </w:t>
      </w:r>
      <w:r w:rsidR="00D5079D">
        <w:rPr>
          <w:lang w:val="en-GB"/>
        </w:rPr>
        <w:t>(</w:t>
      </w:r>
      <w:proofErr w:type="spellStart"/>
      <w:r w:rsidR="00D5079D" w:rsidRPr="00BA4D30">
        <w:rPr>
          <w:lang w:val="en-GB"/>
        </w:rPr>
        <w:t>η</w:t>
      </w:r>
      <w:r w:rsidR="001974AD">
        <w:rPr>
          <w:vertAlign w:val="subscript"/>
          <w:lang w:val="en-GB"/>
        </w:rPr>
        <w:t>exe</w:t>
      </w:r>
      <w:proofErr w:type="spellEnd"/>
      <w:r w:rsidR="00D5079D">
        <w:rPr>
          <w:lang w:val="en-GB"/>
        </w:rPr>
        <w:t xml:space="preserve">) </w:t>
      </w:r>
      <w:r w:rsidRPr="00BA4D30">
        <w:rPr>
          <w:lang w:val="en-GB"/>
        </w:rPr>
        <w:t>of the heat exchange</w:t>
      </w:r>
      <w:r w:rsidR="00C75EC8">
        <w:rPr>
          <w:lang w:val="en-GB"/>
        </w:rPr>
        <w:t>rs</w:t>
      </w:r>
      <w:r w:rsidR="009F7810">
        <w:rPr>
          <w:lang w:val="en-GB"/>
        </w:rPr>
        <w:t xml:space="preserve">. </w:t>
      </w:r>
    </w:p>
    <w:p w14:paraId="041D82E5" w14:textId="2A9F7286" w:rsidR="009F7810" w:rsidRPr="00B57B36" w:rsidRDefault="009F7810" w:rsidP="009F7810">
      <w:pPr>
        <w:pStyle w:val="CETTabletitle"/>
      </w:pPr>
      <w:bookmarkStart w:id="15" w:name="_Ref126317923"/>
      <w:r>
        <w:t xml:space="preserve">Table </w:t>
      </w:r>
      <w:r>
        <w:fldChar w:fldCharType="begin"/>
      </w:r>
      <w:r>
        <w:instrText xml:space="preserve"> SEQ Table \* ARABIC </w:instrText>
      </w:r>
      <w:r>
        <w:fldChar w:fldCharType="separate"/>
      </w:r>
      <w:r w:rsidR="008874A4">
        <w:rPr>
          <w:noProof/>
        </w:rPr>
        <w:t>2</w:t>
      </w:r>
      <w:r>
        <w:fldChar w:fldCharType="end"/>
      </w:r>
      <w:bookmarkEnd w:id="15"/>
      <w:r w:rsidRPr="00B57B36">
        <w:t xml:space="preserve">: </w:t>
      </w:r>
      <w:r w:rsidR="001B21FB" w:rsidRPr="001B21FB">
        <w:t>SEC [kWh/kg] of each compressor and of the entire process,</w:t>
      </w:r>
      <w:r w:rsidR="001B21FB">
        <w:t xml:space="preserve"> and </w:t>
      </w:r>
      <w:proofErr w:type="spellStart"/>
      <w:r w:rsidR="001B21FB" w:rsidRPr="00BA4D30">
        <w:t>η</w:t>
      </w:r>
      <w:r w:rsidR="001974AD">
        <w:rPr>
          <w:vertAlign w:val="subscript"/>
        </w:rPr>
        <w:t>exe</w:t>
      </w:r>
      <w:proofErr w:type="spellEnd"/>
      <w:r w:rsidR="001B21FB">
        <w:t xml:space="preserve"> [%] of each heat exchanger</w:t>
      </w:r>
      <w:r w:rsidR="001B21FB" w:rsidRPr="001B21FB">
        <w:t xml:space="preserve"> in the case of stepwise </w:t>
      </w:r>
      <w:r w:rsidR="001B21FB">
        <w:t>(</w:t>
      </w:r>
      <w:r w:rsidR="001B21FB">
        <w:fldChar w:fldCharType="begin"/>
      </w:r>
      <w:r w:rsidR="001B21FB">
        <w:instrText xml:space="preserve"> REF _Ref126311022 \h </w:instrText>
      </w:r>
      <w:r w:rsidR="001B21FB">
        <w:fldChar w:fldCharType="separate"/>
      </w:r>
      <w:r w:rsidR="008874A4" w:rsidRPr="008E5F72">
        <w:t xml:space="preserve">Figure </w:t>
      </w:r>
      <w:r w:rsidR="008874A4">
        <w:rPr>
          <w:noProof/>
        </w:rPr>
        <w:t>4</w:t>
      </w:r>
      <w:r w:rsidR="001B21FB">
        <w:fldChar w:fldCharType="end"/>
      </w:r>
      <w:r w:rsidR="001B21FB">
        <w:t xml:space="preserve">a) </w:t>
      </w:r>
      <w:r w:rsidR="001B21FB" w:rsidRPr="001B21FB">
        <w:t xml:space="preserve">and continuous </w:t>
      </w:r>
      <w:r w:rsidR="001B21FB">
        <w:t>(</w:t>
      </w:r>
      <w:r w:rsidR="001B21FB">
        <w:fldChar w:fldCharType="begin"/>
      </w:r>
      <w:r w:rsidR="001B21FB">
        <w:instrText xml:space="preserve"> REF _Ref126311022 \h </w:instrText>
      </w:r>
      <w:r w:rsidR="001B21FB">
        <w:fldChar w:fldCharType="separate"/>
      </w:r>
      <w:r w:rsidR="008874A4" w:rsidRPr="008E5F72">
        <w:t xml:space="preserve">Figure </w:t>
      </w:r>
      <w:r w:rsidR="008874A4">
        <w:rPr>
          <w:noProof/>
        </w:rPr>
        <w:t>4</w:t>
      </w:r>
      <w:r w:rsidR="001B21FB">
        <w:fldChar w:fldCharType="end"/>
      </w:r>
      <w:r w:rsidR="001B21FB">
        <w:t xml:space="preserve">b) </w:t>
      </w:r>
      <w:r w:rsidR="00733B2E">
        <w:t>OPC</w:t>
      </w:r>
      <w:r w:rsidR="001B21FB" w:rsidRPr="001B21FB">
        <w:t>.</w:t>
      </w:r>
    </w:p>
    <w:tbl>
      <w:tblPr>
        <w:tblW w:w="799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98"/>
        <w:gridCol w:w="737"/>
        <w:gridCol w:w="737"/>
        <w:gridCol w:w="737"/>
        <w:gridCol w:w="1134"/>
        <w:gridCol w:w="850"/>
        <w:gridCol w:w="850"/>
        <w:gridCol w:w="850"/>
      </w:tblGrid>
      <w:tr w:rsidR="00AB3AE7" w:rsidRPr="00B57B36" w14:paraId="4620695B" w14:textId="77777777" w:rsidTr="00725A41">
        <w:tc>
          <w:tcPr>
            <w:tcW w:w="2098" w:type="dxa"/>
            <w:tcBorders>
              <w:top w:val="single" w:sz="12" w:space="0" w:color="008000"/>
              <w:bottom w:val="single" w:sz="4" w:space="0" w:color="008000"/>
            </w:tcBorders>
            <w:shd w:val="clear" w:color="auto" w:fill="FFFFFF"/>
          </w:tcPr>
          <w:p w14:paraId="7B3338AB" w14:textId="0EF51E70" w:rsidR="00AB3AE7" w:rsidRPr="00B57B36" w:rsidRDefault="00AB3AE7" w:rsidP="00B7471E">
            <w:pPr>
              <w:pStyle w:val="CETBodytext"/>
              <w:rPr>
                <w:lang w:val="en-GB"/>
              </w:rPr>
            </w:pPr>
          </w:p>
        </w:tc>
        <w:tc>
          <w:tcPr>
            <w:tcW w:w="1474" w:type="dxa"/>
            <w:gridSpan w:val="2"/>
            <w:tcBorders>
              <w:top w:val="single" w:sz="12" w:space="0" w:color="008000"/>
              <w:bottom w:val="single" w:sz="4" w:space="0" w:color="008000"/>
            </w:tcBorders>
            <w:shd w:val="clear" w:color="auto" w:fill="FFFFFF"/>
          </w:tcPr>
          <w:p w14:paraId="08E8E909" w14:textId="7B822B00" w:rsidR="00AB3AE7" w:rsidRPr="00B57B36" w:rsidRDefault="00AB3AE7" w:rsidP="00B7471E">
            <w:pPr>
              <w:pStyle w:val="CETBodytext"/>
              <w:rPr>
                <w:lang w:val="en-GB"/>
              </w:rPr>
            </w:pPr>
            <w:r>
              <w:rPr>
                <w:lang w:val="en-GB"/>
              </w:rPr>
              <w:t>SEC [kWh/kg]</w:t>
            </w:r>
          </w:p>
        </w:tc>
        <w:tc>
          <w:tcPr>
            <w:tcW w:w="737" w:type="dxa"/>
            <w:tcBorders>
              <w:top w:val="single" w:sz="12" w:space="0" w:color="008000"/>
              <w:bottom w:val="single" w:sz="4" w:space="0" w:color="008000"/>
            </w:tcBorders>
            <w:shd w:val="clear" w:color="auto" w:fill="FFFFFF"/>
          </w:tcPr>
          <w:p w14:paraId="6A40BC88" w14:textId="400F2A6F" w:rsidR="00AB3AE7" w:rsidRPr="00B57B36" w:rsidRDefault="00AB3AE7" w:rsidP="00B7471E">
            <w:pPr>
              <w:pStyle w:val="CETBodytext"/>
              <w:ind w:right="-1"/>
              <w:rPr>
                <w:rFonts w:cs="Arial"/>
                <w:szCs w:val="18"/>
                <w:lang w:val="en-GB"/>
              </w:rPr>
            </w:pPr>
          </w:p>
        </w:tc>
        <w:tc>
          <w:tcPr>
            <w:tcW w:w="1134" w:type="dxa"/>
            <w:tcBorders>
              <w:top w:val="single" w:sz="12" w:space="0" w:color="008000"/>
              <w:bottom w:val="single" w:sz="4" w:space="0" w:color="008000"/>
            </w:tcBorders>
            <w:shd w:val="clear" w:color="auto" w:fill="FFFFFF"/>
          </w:tcPr>
          <w:p w14:paraId="508DAB6F" w14:textId="71C8D137" w:rsidR="00AB3AE7" w:rsidRPr="00B57B36" w:rsidRDefault="00AB3AE7" w:rsidP="00B7471E">
            <w:pPr>
              <w:pStyle w:val="CETBodytext"/>
              <w:ind w:right="-1"/>
              <w:rPr>
                <w:rFonts w:cs="Arial"/>
                <w:szCs w:val="18"/>
                <w:lang w:val="en-GB"/>
              </w:rPr>
            </w:pPr>
          </w:p>
        </w:tc>
        <w:tc>
          <w:tcPr>
            <w:tcW w:w="850" w:type="dxa"/>
            <w:tcBorders>
              <w:top w:val="single" w:sz="12" w:space="0" w:color="008000"/>
              <w:bottom w:val="single" w:sz="4" w:space="0" w:color="008000"/>
            </w:tcBorders>
            <w:shd w:val="clear" w:color="auto" w:fill="FFFFFF"/>
          </w:tcPr>
          <w:p w14:paraId="65F6AF18" w14:textId="2FBC3E6C" w:rsidR="00AB3AE7" w:rsidRPr="001B21FB" w:rsidRDefault="00AB3AE7" w:rsidP="00B7471E">
            <w:pPr>
              <w:pStyle w:val="CETBodytext"/>
              <w:ind w:right="-1"/>
              <w:rPr>
                <w:rFonts w:cs="Arial"/>
                <w:szCs w:val="18"/>
                <w:lang w:val="en-GB"/>
              </w:rPr>
            </w:pPr>
            <w:proofErr w:type="spellStart"/>
            <w:r w:rsidRPr="00BA4D30">
              <w:rPr>
                <w:lang w:val="en-GB"/>
              </w:rPr>
              <w:t>η</w:t>
            </w:r>
            <w:r w:rsidR="001974AD">
              <w:rPr>
                <w:vertAlign w:val="subscript"/>
                <w:lang w:val="en-GB"/>
              </w:rPr>
              <w:t>exe</w:t>
            </w:r>
            <w:proofErr w:type="spellEnd"/>
            <w:r w:rsidR="001B21FB">
              <w:rPr>
                <w:lang w:val="en-GB"/>
              </w:rPr>
              <w:t xml:space="preserve"> [%]</w:t>
            </w:r>
          </w:p>
        </w:tc>
        <w:tc>
          <w:tcPr>
            <w:tcW w:w="850" w:type="dxa"/>
            <w:tcBorders>
              <w:top w:val="single" w:sz="12" w:space="0" w:color="008000"/>
              <w:bottom w:val="single" w:sz="4" w:space="0" w:color="008000"/>
            </w:tcBorders>
            <w:shd w:val="clear" w:color="auto" w:fill="FFFFFF"/>
          </w:tcPr>
          <w:p w14:paraId="43A80987" w14:textId="747A382F" w:rsidR="00AB3AE7" w:rsidRPr="00B57B36" w:rsidRDefault="00AB3AE7" w:rsidP="00B7471E">
            <w:pPr>
              <w:pStyle w:val="CETBodytext"/>
              <w:ind w:right="-1"/>
              <w:rPr>
                <w:rFonts w:cs="Arial"/>
                <w:szCs w:val="18"/>
                <w:lang w:val="en-GB"/>
              </w:rPr>
            </w:pPr>
          </w:p>
        </w:tc>
        <w:tc>
          <w:tcPr>
            <w:tcW w:w="850" w:type="dxa"/>
            <w:tcBorders>
              <w:top w:val="single" w:sz="12" w:space="0" w:color="008000"/>
              <w:bottom w:val="single" w:sz="4" w:space="0" w:color="008000"/>
            </w:tcBorders>
            <w:shd w:val="clear" w:color="auto" w:fill="FFFFFF"/>
          </w:tcPr>
          <w:p w14:paraId="1455F51F" w14:textId="1D663133" w:rsidR="00AB3AE7" w:rsidRPr="00A22A19" w:rsidRDefault="00AB3AE7" w:rsidP="00B7471E">
            <w:pPr>
              <w:pStyle w:val="CETBodytext"/>
              <w:ind w:right="-1"/>
            </w:pPr>
          </w:p>
        </w:tc>
      </w:tr>
      <w:tr w:rsidR="00AB3AE7" w:rsidRPr="00B57B36" w14:paraId="65EDC6D1" w14:textId="77777777" w:rsidTr="00725A41">
        <w:tc>
          <w:tcPr>
            <w:tcW w:w="2098" w:type="dxa"/>
            <w:tcBorders>
              <w:top w:val="single" w:sz="4" w:space="0" w:color="008000"/>
              <w:bottom w:val="single" w:sz="6" w:space="0" w:color="008000"/>
            </w:tcBorders>
            <w:shd w:val="clear" w:color="auto" w:fill="FFFFFF"/>
          </w:tcPr>
          <w:p w14:paraId="4C708CB8" w14:textId="47BD4063" w:rsidR="00AB3AE7" w:rsidRPr="00B57B36" w:rsidRDefault="00725A41" w:rsidP="00AB3AE7">
            <w:pPr>
              <w:pStyle w:val="CETBodytext"/>
              <w:rPr>
                <w:lang w:val="en-GB"/>
              </w:rPr>
            </w:pPr>
            <w:r>
              <w:rPr>
                <w:lang w:val="en-GB"/>
              </w:rPr>
              <w:t>Type of OPC</w:t>
            </w:r>
          </w:p>
        </w:tc>
        <w:tc>
          <w:tcPr>
            <w:tcW w:w="737" w:type="dxa"/>
            <w:tcBorders>
              <w:top w:val="single" w:sz="4" w:space="0" w:color="008000"/>
              <w:bottom w:val="single" w:sz="6" w:space="0" w:color="008000"/>
            </w:tcBorders>
            <w:shd w:val="clear" w:color="auto" w:fill="FFFFFF"/>
          </w:tcPr>
          <w:p w14:paraId="14D35F3D" w14:textId="33B8D57E" w:rsidR="00AB3AE7" w:rsidRPr="00A22A19" w:rsidRDefault="00AB3AE7" w:rsidP="00AB3AE7">
            <w:pPr>
              <w:pStyle w:val="CETBodytext"/>
            </w:pPr>
            <w:r w:rsidRPr="00A22A19">
              <w:t>C</w:t>
            </w:r>
            <w:r>
              <w:t xml:space="preserve">-1 </w:t>
            </w:r>
          </w:p>
        </w:tc>
        <w:tc>
          <w:tcPr>
            <w:tcW w:w="737" w:type="dxa"/>
            <w:tcBorders>
              <w:top w:val="single" w:sz="4" w:space="0" w:color="008000"/>
              <w:bottom w:val="single" w:sz="6" w:space="0" w:color="008000"/>
            </w:tcBorders>
            <w:shd w:val="clear" w:color="auto" w:fill="FFFFFF"/>
          </w:tcPr>
          <w:p w14:paraId="0BF96C53" w14:textId="54E301B6" w:rsidR="00AB3AE7" w:rsidRDefault="00AB3AE7" w:rsidP="00AB3AE7">
            <w:pPr>
              <w:pStyle w:val="CETBodytext"/>
              <w:rPr>
                <w:lang w:val="en-GB"/>
              </w:rPr>
            </w:pPr>
            <w:r>
              <w:rPr>
                <w:lang w:val="en-GB"/>
              </w:rPr>
              <w:t>C-2</w:t>
            </w:r>
          </w:p>
        </w:tc>
        <w:tc>
          <w:tcPr>
            <w:tcW w:w="737" w:type="dxa"/>
            <w:tcBorders>
              <w:top w:val="single" w:sz="4" w:space="0" w:color="008000"/>
              <w:bottom w:val="single" w:sz="6" w:space="0" w:color="008000"/>
            </w:tcBorders>
            <w:shd w:val="clear" w:color="auto" w:fill="FFFFFF"/>
          </w:tcPr>
          <w:p w14:paraId="7ABD525D" w14:textId="23C59323" w:rsidR="00AB3AE7" w:rsidRPr="00A22A19" w:rsidRDefault="00AB3AE7" w:rsidP="00AB3AE7">
            <w:pPr>
              <w:pStyle w:val="CETBodytext"/>
              <w:ind w:right="-1"/>
            </w:pPr>
            <w:r w:rsidRPr="00A22A19">
              <w:t>C</w:t>
            </w:r>
            <w:r>
              <w:t>-3</w:t>
            </w:r>
          </w:p>
        </w:tc>
        <w:tc>
          <w:tcPr>
            <w:tcW w:w="1134" w:type="dxa"/>
            <w:tcBorders>
              <w:top w:val="single" w:sz="4" w:space="0" w:color="008000"/>
              <w:bottom w:val="single" w:sz="6" w:space="0" w:color="008000"/>
            </w:tcBorders>
            <w:shd w:val="clear" w:color="auto" w:fill="FFFFFF"/>
          </w:tcPr>
          <w:p w14:paraId="4C0DAC0D" w14:textId="6DAA6E65" w:rsidR="00AB3AE7" w:rsidRDefault="00AB3AE7" w:rsidP="00AB3AE7">
            <w:pPr>
              <w:pStyle w:val="CETBodytext"/>
              <w:ind w:right="-1"/>
            </w:pPr>
            <w:r>
              <w:t>TOT</w:t>
            </w:r>
          </w:p>
        </w:tc>
        <w:tc>
          <w:tcPr>
            <w:tcW w:w="850" w:type="dxa"/>
            <w:tcBorders>
              <w:top w:val="single" w:sz="4" w:space="0" w:color="008000"/>
              <w:bottom w:val="single" w:sz="6" w:space="0" w:color="008000"/>
            </w:tcBorders>
            <w:shd w:val="clear" w:color="auto" w:fill="FFFFFF"/>
          </w:tcPr>
          <w:p w14:paraId="438E48B6" w14:textId="3E59F9E0" w:rsidR="00AB3AE7" w:rsidRDefault="00AB3AE7" w:rsidP="00AB3AE7">
            <w:pPr>
              <w:pStyle w:val="CETBodytext"/>
              <w:ind w:right="-1"/>
              <w:rPr>
                <w:rFonts w:cs="Arial"/>
                <w:szCs w:val="18"/>
                <w:lang w:val="en-GB"/>
              </w:rPr>
            </w:pPr>
            <w:r>
              <w:rPr>
                <w:rFonts w:cs="Arial"/>
                <w:szCs w:val="18"/>
                <w:lang w:val="en-GB"/>
              </w:rPr>
              <w:t>HX-1</w:t>
            </w:r>
          </w:p>
        </w:tc>
        <w:tc>
          <w:tcPr>
            <w:tcW w:w="850" w:type="dxa"/>
            <w:tcBorders>
              <w:top w:val="single" w:sz="4" w:space="0" w:color="008000"/>
              <w:bottom w:val="single" w:sz="6" w:space="0" w:color="008000"/>
            </w:tcBorders>
            <w:shd w:val="clear" w:color="auto" w:fill="FFFFFF"/>
          </w:tcPr>
          <w:p w14:paraId="44884DBA" w14:textId="1CD3D07B" w:rsidR="00AB3AE7" w:rsidRDefault="00AB3AE7" w:rsidP="00AB3AE7">
            <w:pPr>
              <w:pStyle w:val="CETBodytext"/>
              <w:ind w:right="-1"/>
            </w:pPr>
            <w:r>
              <w:t>HX-2</w:t>
            </w:r>
          </w:p>
        </w:tc>
        <w:tc>
          <w:tcPr>
            <w:tcW w:w="850" w:type="dxa"/>
            <w:tcBorders>
              <w:top w:val="single" w:sz="4" w:space="0" w:color="008000"/>
              <w:bottom w:val="single" w:sz="6" w:space="0" w:color="008000"/>
            </w:tcBorders>
            <w:shd w:val="clear" w:color="auto" w:fill="FFFFFF"/>
          </w:tcPr>
          <w:p w14:paraId="3C1AA9B8" w14:textId="04F1CAD1" w:rsidR="00AB3AE7" w:rsidRDefault="00AB3AE7" w:rsidP="00AB3AE7">
            <w:pPr>
              <w:pStyle w:val="CETBodytext"/>
              <w:ind w:right="-1"/>
            </w:pPr>
            <w:r>
              <w:t>HX-3</w:t>
            </w:r>
          </w:p>
        </w:tc>
      </w:tr>
      <w:tr w:rsidR="00AB3AE7" w:rsidRPr="00B57B36" w14:paraId="39EFE65B" w14:textId="77777777" w:rsidTr="00725A41">
        <w:tc>
          <w:tcPr>
            <w:tcW w:w="2098" w:type="dxa"/>
            <w:shd w:val="clear" w:color="auto" w:fill="FFFFFF"/>
          </w:tcPr>
          <w:p w14:paraId="6476AA23" w14:textId="12101422" w:rsidR="009F7810" w:rsidRPr="00B57B36" w:rsidRDefault="00AB3AE7" w:rsidP="00B7471E">
            <w:pPr>
              <w:pStyle w:val="CETBodytext"/>
              <w:rPr>
                <w:lang w:val="en-GB"/>
              </w:rPr>
            </w:pPr>
            <w:r>
              <w:t xml:space="preserve">Stepwise </w:t>
            </w:r>
          </w:p>
        </w:tc>
        <w:tc>
          <w:tcPr>
            <w:tcW w:w="737" w:type="dxa"/>
            <w:shd w:val="clear" w:color="auto" w:fill="FFFFFF"/>
          </w:tcPr>
          <w:p w14:paraId="3769F800" w14:textId="7DE52D62" w:rsidR="009F7810" w:rsidRPr="00B57B36" w:rsidRDefault="009F7810" w:rsidP="00B7471E">
            <w:pPr>
              <w:pStyle w:val="CETBodytext"/>
              <w:rPr>
                <w:lang w:val="en-GB"/>
              </w:rPr>
            </w:pPr>
            <w:r w:rsidRPr="009F7810">
              <w:t>8.72</w:t>
            </w:r>
          </w:p>
        </w:tc>
        <w:tc>
          <w:tcPr>
            <w:tcW w:w="737" w:type="dxa"/>
            <w:shd w:val="clear" w:color="auto" w:fill="FFFFFF"/>
          </w:tcPr>
          <w:p w14:paraId="775BF86E" w14:textId="05D693DF" w:rsidR="009F7810" w:rsidRPr="00B57B36" w:rsidRDefault="009F7810" w:rsidP="00B7471E">
            <w:pPr>
              <w:pStyle w:val="CETBodytext"/>
              <w:rPr>
                <w:lang w:val="en-GB"/>
              </w:rPr>
            </w:pPr>
            <w:r w:rsidRPr="009F7810">
              <w:t>1.47</w:t>
            </w:r>
          </w:p>
        </w:tc>
        <w:tc>
          <w:tcPr>
            <w:tcW w:w="737" w:type="dxa"/>
            <w:shd w:val="clear" w:color="auto" w:fill="FFFFFF"/>
          </w:tcPr>
          <w:p w14:paraId="1E568B66" w14:textId="0ED216ED" w:rsidR="009F7810" w:rsidRPr="00B57B36" w:rsidRDefault="009F7810" w:rsidP="00B7471E">
            <w:pPr>
              <w:pStyle w:val="CETBodytext"/>
              <w:ind w:right="-1"/>
              <w:rPr>
                <w:rFonts w:cs="Arial"/>
                <w:szCs w:val="18"/>
                <w:lang w:val="en-GB"/>
              </w:rPr>
            </w:pPr>
            <w:r w:rsidRPr="009F7810">
              <w:t>5.13</w:t>
            </w:r>
          </w:p>
        </w:tc>
        <w:tc>
          <w:tcPr>
            <w:tcW w:w="1134" w:type="dxa"/>
            <w:shd w:val="clear" w:color="auto" w:fill="FFFFFF"/>
          </w:tcPr>
          <w:p w14:paraId="792E9035" w14:textId="3FB58C79" w:rsidR="009F7810" w:rsidRPr="00B57B36" w:rsidRDefault="009F7810" w:rsidP="00B7471E">
            <w:pPr>
              <w:pStyle w:val="CETBodytext"/>
              <w:ind w:right="-1"/>
              <w:rPr>
                <w:rFonts w:cs="Arial"/>
                <w:szCs w:val="18"/>
                <w:lang w:val="en-GB"/>
              </w:rPr>
            </w:pPr>
            <w:r>
              <w:t>15.31</w:t>
            </w:r>
          </w:p>
        </w:tc>
        <w:tc>
          <w:tcPr>
            <w:tcW w:w="850" w:type="dxa"/>
            <w:shd w:val="clear" w:color="auto" w:fill="FFFFFF"/>
          </w:tcPr>
          <w:p w14:paraId="0A5F3E63" w14:textId="1FC41440" w:rsidR="009F7810" w:rsidRPr="00B57B36" w:rsidRDefault="009F7810" w:rsidP="00B7471E">
            <w:pPr>
              <w:pStyle w:val="CETBodytext"/>
              <w:ind w:right="-1"/>
              <w:rPr>
                <w:rFonts w:cs="Arial"/>
                <w:szCs w:val="18"/>
                <w:lang w:val="en-GB"/>
              </w:rPr>
            </w:pPr>
            <w:r w:rsidRPr="009F7810">
              <w:t>82.35</w:t>
            </w:r>
          </w:p>
        </w:tc>
        <w:tc>
          <w:tcPr>
            <w:tcW w:w="850" w:type="dxa"/>
            <w:shd w:val="clear" w:color="auto" w:fill="FFFFFF"/>
          </w:tcPr>
          <w:p w14:paraId="02E91CA2" w14:textId="0AB257F7" w:rsidR="009F7810" w:rsidRPr="00B57B36" w:rsidRDefault="009F7810" w:rsidP="00B7471E">
            <w:pPr>
              <w:pStyle w:val="CETBodytext"/>
              <w:ind w:right="-1"/>
              <w:rPr>
                <w:rFonts w:cs="Arial"/>
                <w:szCs w:val="18"/>
                <w:lang w:val="en-GB"/>
              </w:rPr>
            </w:pPr>
            <w:r w:rsidRPr="009F7810">
              <w:t>70.59</w:t>
            </w:r>
          </w:p>
        </w:tc>
        <w:tc>
          <w:tcPr>
            <w:tcW w:w="850" w:type="dxa"/>
            <w:shd w:val="clear" w:color="auto" w:fill="FFFFFF"/>
          </w:tcPr>
          <w:p w14:paraId="0A9B6050" w14:textId="7562B927" w:rsidR="009F7810" w:rsidRPr="00B3693D" w:rsidRDefault="009F7810" w:rsidP="00B7471E">
            <w:pPr>
              <w:pStyle w:val="CETBodytext"/>
              <w:ind w:right="-1"/>
            </w:pPr>
            <w:r w:rsidRPr="009F7810">
              <w:t>84.69</w:t>
            </w:r>
          </w:p>
        </w:tc>
      </w:tr>
      <w:tr w:rsidR="00AB3AE7" w:rsidRPr="00B57B36" w14:paraId="7DE0AB14" w14:textId="77777777" w:rsidTr="00725A41">
        <w:tc>
          <w:tcPr>
            <w:tcW w:w="2098" w:type="dxa"/>
            <w:shd w:val="clear" w:color="auto" w:fill="FFFFFF"/>
          </w:tcPr>
          <w:p w14:paraId="14CE7228" w14:textId="07463613" w:rsidR="009F7810" w:rsidRPr="00B57B36" w:rsidRDefault="009F7810" w:rsidP="009F7810">
            <w:pPr>
              <w:pStyle w:val="CETBodytext"/>
              <w:ind w:right="-1"/>
              <w:rPr>
                <w:rFonts w:cs="Arial"/>
                <w:szCs w:val="18"/>
                <w:lang w:val="en-GB"/>
              </w:rPr>
            </w:pPr>
            <w:r>
              <w:t xml:space="preserve">Continuous </w:t>
            </w:r>
          </w:p>
        </w:tc>
        <w:tc>
          <w:tcPr>
            <w:tcW w:w="737" w:type="dxa"/>
            <w:shd w:val="clear" w:color="auto" w:fill="FFFFFF"/>
          </w:tcPr>
          <w:p w14:paraId="4EFE2034" w14:textId="1573C341" w:rsidR="009F7810" w:rsidRPr="00B57B36" w:rsidRDefault="009F7810" w:rsidP="009F7810">
            <w:pPr>
              <w:pStyle w:val="CETBodytext"/>
              <w:ind w:right="-1"/>
              <w:rPr>
                <w:rFonts w:cs="Arial"/>
                <w:szCs w:val="18"/>
                <w:lang w:val="en-GB"/>
              </w:rPr>
            </w:pPr>
            <w:r>
              <w:t>8.23</w:t>
            </w:r>
          </w:p>
        </w:tc>
        <w:tc>
          <w:tcPr>
            <w:tcW w:w="737" w:type="dxa"/>
            <w:shd w:val="clear" w:color="auto" w:fill="FFFFFF"/>
          </w:tcPr>
          <w:p w14:paraId="06264329" w14:textId="0366CF5C" w:rsidR="009F7810" w:rsidRPr="00B57B36" w:rsidRDefault="009F7810" w:rsidP="009F7810">
            <w:pPr>
              <w:pStyle w:val="CETBodytext"/>
              <w:ind w:right="-1"/>
              <w:rPr>
                <w:rFonts w:cs="Arial"/>
                <w:szCs w:val="18"/>
                <w:lang w:val="en-GB"/>
              </w:rPr>
            </w:pPr>
            <w:r>
              <w:rPr>
                <w:rFonts w:cs="Arial"/>
                <w:szCs w:val="18"/>
                <w:lang w:val="en-GB"/>
              </w:rPr>
              <w:t>0.54</w:t>
            </w:r>
          </w:p>
        </w:tc>
        <w:tc>
          <w:tcPr>
            <w:tcW w:w="737" w:type="dxa"/>
            <w:shd w:val="clear" w:color="auto" w:fill="FFFFFF"/>
          </w:tcPr>
          <w:p w14:paraId="04EB2E53" w14:textId="26119E5F" w:rsidR="009F7810" w:rsidRPr="00B57B36" w:rsidRDefault="009F7810" w:rsidP="009F7810">
            <w:pPr>
              <w:pStyle w:val="CETBodytext"/>
              <w:ind w:right="-1"/>
              <w:rPr>
                <w:rFonts w:cs="Arial"/>
                <w:szCs w:val="18"/>
                <w:lang w:val="en-GB"/>
              </w:rPr>
            </w:pPr>
            <w:r>
              <w:rPr>
                <w:rFonts w:cs="Arial"/>
                <w:szCs w:val="18"/>
                <w:lang w:val="en-GB"/>
              </w:rPr>
              <w:t>5.13</w:t>
            </w:r>
          </w:p>
        </w:tc>
        <w:tc>
          <w:tcPr>
            <w:tcW w:w="1134" w:type="dxa"/>
            <w:shd w:val="clear" w:color="auto" w:fill="FFFFFF"/>
          </w:tcPr>
          <w:p w14:paraId="4D5CE2FE" w14:textId="68C304D8" w:rsidR="009F7810" w:rsidRPr="00B57B36" w:rsidRDefault="009F7810" w:rsidP="009F7810">
            <w:pPr>
              <w:pStyle w:val="CETBodytext"/>
              <w:ind w:right="-1"/>
              <w:rPr>
                <w:rFonts w:cs="Arial"/>
                <w:szCs w:val="18"/>
                <w:lang w:val="en-GB"/>
              </w:rPr>
            </w:pPr>
            <w:r>
              <w:t>13.90</w:t>
            </w:r>
          </w:p>
        </w:tc>
        <w:tc>
          <w:tcPr>
            <w:tcW w:w="850" w:type="dxa"/>
            <w:shd w:val="clear" w:color="auto" w:fill="FFFFFF"/>
          </w:tcPr>
          <w:p w14:paraId="7F7D16FE" w14:textId="6197BEB6" w:rsidR="009F7810" w:rsidRPr="00B57B36" w:rsidRDefault="009F7810" w:rsidP="009F7810">
            <w:pPr>
              <w:pStyle w:val="CETBodytext"/>
              <w:ind w:right="-1"/>
              <w:rPr>
                <w:rFonts w:cs="Arial"/>
                <w:szCs w:val="18"/>
                <w:lang w:val="en-GB"/>
              </w:rPr>
            </w:pPr>
            <w:r w:rsidRPr="009F7810">
              <w:t>82.99</w:t>
            </w:r>
          </w:p>
        </w:tc>
        <w:tc>
          <w:tcPr>
            <w:tcW w:w="850" w:type="dxa"/>
            <w:shd w:val="clear" w:color="auto" w:fill="FFFFFF"/>
          </w:tcPr>
          <w:p w14:paraId="7CE7FD9D" w14:textId="62D56FAB" w:rsidR="009F7810" w:rsidRPr="00B57B36" w:rsidRDefault="009F7810" w:rsidP="009F7810">
            <w:pPr>
              <w:pStyle w:val="CETBodytext"/>
              <w:ind w:right="-1"/>
              <w:rPr>
                <w:rFonts w:cs="Arial"/>
                <w:szCs w:val="18"/>
                <w:lang w:val="en-GB"/>
              </w:rPr>
            </w:pPr>
            <w:r w:rsidRPr="009F7810">
              <w:t>75.61</w:t>
            </w:r>
          </w:p>
        </w:tc>
        <w:tc>
          <w:tcPr>
            <w:tcW w:w="850" w:type="dxa"/>
            <w:shd w:val="clear" w:color="auto" w:fill="FFFFFF"/>
          </w:tcPr>
          <w:p w14:paraId="5825CE26" w14:textId="2ADEC5C8" w:rsidR="009F7810" w:rsidRPr="00B3693D" w:rsidRDefault="009F7810" w:rsidP="009F7810">
            <w:pPr>
              <w:pStyle w:val="CETBodytext"/>
              <w:ind w:right="-1"/>
            </w:pPr>
            <w:r w:rsidRPr="009F7810">
              <w:t>84.96</w:t>
            </w:r>
          </w:p>
        </w:tc>
      </w:tr>
    </w:tbl>
    <w:p w14:paraId="2F100A17" w14:textId="77777777" w:rsidR="009F7810" w:rsidRDefault="009F7810" w:rsidP="009F7810">
      <w:pPr>
        <w:pStyle w:val="CETBodytext"/>
        <w:rPr>
          <w:lang w:val="en-GB"/>
        </w:rPr>
      </w:pPr>
    </w:p>
    <w:p w14:paraId="3E1BF5AD" w14:textId="74FF6924" w:rsidR="00A53C1D" w:rsidRDefault="00876346" w:rsidP="00284303">
      <w:pPr>
        <w:pStyle w:val="CETBodytext"/>
        <w:rPr>
          <w:lang w:val="en-GB"/>
        </w:rPr>
      </w:pPr>
      <w:r>
        <w:rPr>
          <w:lang w:val="en-GB"/>
        </w:rPr>
        <w:t xml:space="preserve">The results are reported </w:t>
      </w:r>
      <w:r w:rsidRPr="00BA4D30">
        <w:rPr>
          <w:lang w:val="en-GB"/>
        </w:rPr>
        <w:t xml:space="preserve">in </w:t>
      </w:r>
      <w:r>
        <w:rPr>
          <w:highlight w:val="yellow"/>
          <w:lang w:val="en-GB"/>
        </w:rPr>
        <w:fldChar w:fldCharType="begin"/>
      </w:r>
      <w:r>
        <w:rPr>
          <w:lang w:val="en-GB"/>
        </w:rPr>
        <w:instrText xml:space="preserve"> REF _Ref126317923 \h </w:instrText>
      </w:r>
      <w:r>
        <w:rPr>
          <w:highlight w:val="yellow"/>
          <w:lang w:val="en-GB"/>
        </w:rPr>
      </w:r>
      <w:r>
        <w:rPr>
          <w:highlight w:val="yellow"/>
          <w:lang w:val="en-GB"/>
        </w:rPr>
        <w:fldChar w:fldCharType="separate"/>
      </w:r>
      <w:r w:rsidR="008874A4">
        <w:t xml:space="preserve">Table </w:t>
      </w:r>
      <w:r w:rsidR="008874A4">
        <w:rPr>
          <w:noProof/>
        </w:rPr>
        <w:t>2</w:t>
      </w:r>
      <w:r>
        <w:rPr>
          <w:highlight w:val="yellow"/>
          <w:lang w:val="en-GB"/>
        </w:rPr>
        <w:fldChar w:fldCharType="end"/>
      </w:r>
      <w:r>
        <w:rPr>
          <w:lang w:val="en-GB"/>
        </w:rPr>
        <w:t xml:space="preserve">. </w:t>
      </w:r>
      <w:r w:rsidR="00BA4D30" w:rsidRPr="00BA4D30">
        <w:rPr>
          <w:lang w:val="en-GB"/>
        </w:rPr>
        <w:t xml:space="preserve">The SEC of compressor C-2 in the case of continuous </w:t>
      </w:r>
      <w:r w:rsidR="00BE236C">
        <w:rPr>
          <w:lang w:val="en-GB"/>
        </w:rPr>
        <w:t>OPC</w:t>
      </w:r>
      <w:r w:rsidR="00BA4D30" w:rsidRPr="00BA4D30">
        <w:rPr>
          <w:lang w:val="en-GB"/>
        </w:rPr>
        <w:t xml:space="preserve"> is about one third with respect to the one in the case of stepwise conversion. This is explained by the fact that the absence of reactor R-2 leads to a lower temperature of the stream 9 (</w:t>
      </w:r>
      <w:r w:rsidR="00D5079D">
        <w:rPr>
          <w:highlight w:val="yellow"/>
          <w:lang w:val="en-GB"/>
        </w:rPr>
        <w:fldChar w:fldCharType="begin"/>
      </w:r>
      <w:r w:rsidR="00D5079D">
        <w:rPr>
          <w:lang w:val="en-GB"/>
        </w:rPr>
        <w:instrText xml:space="preserve"> REF _Ref126311022 \h </w:instrText>
      </w:r>
      <w:r w:rsidR="00D5079D">
        <w:rPr>
          <w:highlight w:val="yellow"/>
          <w:lang w:val="en-GB"/>
        </w:rPr>
      </w:r>
      <w:r w:rsidR="00D5079D">
        <w:rPr>
          <w:highlight w:val="yellow"/>
          <w:lang w:val="en-GB"/>
        </w:rPr>
        <w:fldChar w:fldCharType="separate"/>
      </w:r>
      <w:r w:rsidR="008874A4" w:rsidRPr="008E5F72">
        <w:t xml:space="preserve">Figure </w:t>
      </w:r>
      <w:r w:rsidR="008874A4">
        <w:rPr>
          <w:noProof/>
        </w:rPr>
        <w:t>4</w:t>
      </w:r>
      <w:r w:rsidR="00D5079D">
        <w:rPr>
          <w:highlight w:val="yellow"/>
          <w:lang w:val="en-GB"/>
        </w:rPr>
        <w:fldChar w:fldCharType="end"/>
      </w:r>
      <w:r w:rsidR="00BA4D30" w:rsidRPr="00BA4D30">
        <w:rPr>
          <w:lang w:val="en-GB"/>
        </w:rPr>
        <w:t xml:space="preserve">) entering VLV-2 and, thus, to a lower vaporization ratio inside the flash V-2. The lower electricity consumption of C-2 is a consequence of the lower vapor flowrate, </w:t>
      </w:r>
      <w:r w:rsidR="003C065B" w:rsidRPr="00BA4D30">
        <w:rPr>
          <w:lang w:val="en-GB"/>
        </w:rPr>
        <w:t>exiting from the top of V-2</w:t>
      </w:r>
      <w:r w:rsidR="003C065B">
        <w:rPr>
          <w:lang w:val="en-GB"/>
        </w:rPr>
        <w:t xml:space="preserve"> and </w:t>
      </w:r>
      <w:r w:rsidR="00BA4D30" w:rsidRPr="00BA4D30">
        <w:rPr>
          <w:lang w:val="en-GB"/>
        </w:rPr>
        <w:t xml:space="preserve">flowing inside the compressor. The </w:t>
      </w:r>
      <w:r w:rsidR="003172DD">
        <w:rPr>
          <w:lang w:val="en-GB"/>
        </w:rPr>
        <w:t xml:space="preserve">total </w:t>
      </w:r>
      <w:r w:rsidR="00BA4D30" w:rsidRPr="00BA4D30">
        <w:rPr>
          <w:lang w:val="en-GB"/>
        </w:rPr>
        <w:t>SEC of the</w:t>
      </w:r>
      <w:r w:rsidR="00D5079D">
        <w:rPr>
          <w:lang w:val="en-GB"/>
        </w:rPr>
        <w:t xml:space="preserve"> two</w:t>
      </w:r>
      <w:r w:rsidR="00BA4D30" w:rsidRPr="00BA4D30">
        <w:rPr>
          <w:lang w:val="en-GB"/>
        </w:rPr>
        <w:t xml:space="preserve"> </w:t>
      </w:r>
      <w:r w:rsidR="003172DD">
        <w:rPr>
          <w:lang w:val="en-GB"/>
        </w:rPr>
        <w:t>alternatives</w:t>
      </w:r>
      <w:r w:rsidR="00D5079D">
        <w:rPr>
          <w:lang w:val="en-GB"/>
        </w:rPr>
        <w:t xml:space="preserve"> highlights</w:t>
      </w:r>
      <w:r w:rsidR="00BA4D30" w:rsidRPr="00BA4D30">
        <w:rPr>
          <w:lang w:val="en-GB"/>
        </w:rPr>
        <w:t xml:space="preserve"> the advantage</w:t>
      </w:r>
      <w:r w:rsidR="009F7810">
        <w:rPr>
          <w:lang w:val="en-GB"/>
        </w:rPr>
        <w:t>,</w:t>
      </w:r>
      <w:r w:rsidR="00BA4D30" w:rsidRPr="00BA4D30">
        <w:rPr>
          <w:lang w:val="en-GB"/>
        </w:rPr>
        <w:t xml:space="preserve"> </w:t>
      </w:r>
      <w:r w:rsidR="009F7810" w:rsidRPr="00BA4D30">
        <w:rPr>
          <w:lang w:val="en-GB"/>
        </w:rPr>
        <w:t>quantified in 9% reduction of electricity consumption</w:t>
      </w:r>
      <w:r w:rsidR="009F7810">
        <w:rPr>
          <w:lang w:val="en-GB"/>
        </w:rPr>
        <w:t>,</w:t>
      </w:r>
      <w:r w:rsidR="009F7810" w:rsidRPr="00BA4D30">
        <w:rPr>
          <w:lang w:val="en-GB"/>
        </w:rPr>
        <w:t xml:space="preserve"> </w:t>
      </w:r>
      <w:r w:rsidR="00BA4D30" w:rsidRPr="00BA4D30">
        <w:rPr>
          <w:lang w:val="en-GB"/>
        </w:rPr>
        <w:t xml:space="preserve">of inserting the catalyst into the tubes of the heat exchangers. In HX-2, the </w:t>
      </w:r>
      <w:proofErr w:type="spellStart"/>
      <w:r w:rsidR="00BA4D30" w:rsidRPr="00BA4D30">
        <w:rPr>
          <w:lang w:val="en-GB"/>
        </w:rPr>
        <w:t>η</w:t>
      </w:r>
      <w:r w:rsidR="001974AD">
        <w:rPr>
          <w:vertAlign w:val="subscript"/>
          <w:lang w:val="en-GB"/>
        </w:rPr>
        <w:t>exe</w:t>
      </w:r>
      <w:proofErr w:type="spellEnd"/>
      <w:r w:rsidR="00BA4D30" w:rsidRPr="00BA4D30">
        <w:rPr>
          <w:lang w:val="en-GB"/>
        </w:rPr>
        <w:t xml:space="preserve"> is </w:t>
      </w:r>
      <w:r w:rsidR="00E1640F">
        <w:rPr>
          <w:lang w:val="en-GB"/>
        </w:rPr>
        <w:t>low</w:t>
      </w:r>
      <w:r w:rsidR="00BA4D30" w:rsidRPr="00BA4D30">
        <w:rPr>
          <w:lang w:val="en-GB"/>
        </w:rPr>
        <w:t>er in the case of stepwise conversion.</w:t>
      </w:r>
      <w:r w:rsidR="00FB630B" w:rsidRPr="00FB630B">
        <w:t xml:space="preserve"> </w:t>
      </w:r>
      <w:r w:rsidR="00FB630B">
        <w:rPr>
          <w:lang w:val="en-GB"/>
        </w:rPr>
        <w:t>I</w:t>
      </w:r>
      <w:r w:rsidR="00FB630B" w:rsidRPr="00FB630B">
        <w:rPr>
          <w:lang w:val="en-GB"/>
        </w:rPr>
        <w:t xml:space="preserve">n fact, the addition of heat, due to the presence of the reactor R-1, during the cooling process causes a greater difference in temperature between hot and cold streams </w:t>
      </w:r>
      <w:r w:rsidR="00FB630B">
        <w:rPr>
          <w:lang w:val="en-GB"/>
        </w:rPr>
        <w:t>at</w:t>
      </w:r>
      <w:r w:rsidR="00FB630B" w:rsidRPr="00FB630B">
        <w:rPr>
          <w:lang w:val="en-GB"/>
        </w:rPr>
        <w:t xml:space="preserve"> the cold side of the exchanger</w:t>
      </w:r>
      <w:r w:rsidR="00BA4D30" w:rsidRPr="00BA4D30">
        <w:rPr>
          <w:lang w:val="en-GB"/>
        </w:rPr>
        <w:t>.</w:t>
      </w:r>
    </w:p>
    <w:p w14:paraId="68D26B83" w14:textId="77777777" w:rsidR="00600535" w:rsidRPr="00B57B36" w:rsidRDefault="00600535" w:rsidP="00600535">
      <w:pPr>
        <w:pStyle w:val="CETHeading1"/>
        <w:rPr>
          <w:lang w:val="en-GB"/>
        </w:rPr>
      </w:pPr>
      <w:r w:rsidRPr="00B57B36">
        <w:rPr>
          <w:lang w:val="en-GB"/>
        </w:rPr>
        <w:t>Conclusions</w:t>
      </w:r>
    </w:p>
    <w:p w14:paraId="0641BFC0" w14:textId="77777777" w:rsidR="00B9586B" w:rsidRPr="00C00E82" w:rsidRDefault="00AF4EB1" w:rsidP="00FD302E">
      <w:pPr>
        <w:pStyle w:val="CETBodytext"/>
        <w:rPr>
          <w:lang w:val="en-GB"/>
        </w:rPr>
      </w:pPr>
      <w:r w:rsidRPr="00AF4EB1">
        <w:rPr>
          <w:lang w:val="en-GB"/>
        </w:rPr>
        <w:t xml:space="preserve">This study presents a novel approach to the simulation of </w:t>
      </w:r>
      <w:r w:rsidR="00876346" w:rsidRPr="00AF4EB1">
        <w:rPr>
          <w:lang w:val="en-GB"/>
        </w:rPr>
        <w:t>H</w:t>
      </w:r>
      <w:r w:rsidR="00876346" w:rsidRPr="00156100">
        <w:rPr>
          <w:vertAlign w:val="subscript"/>
          <w:lang w:val="en-GB"/>
        </w:rPr>
        <w:t>2</w:t>
      </w:r>
      <w:r w:rsidRPr="00AF4EB1">
        <w:rPr>
          <w:lang w:val="en-GB"/>
        </w:rPr>
        <w:t xml:space="preserve"> liquefaction, which can be easily implemented in Aspen Plus</w:t>
      </w:r>
      <w:r w:rsidRPr="00C75EC8">
        <w:rPr>
          <w:vertAlign w:val="superscript"/>
          <w:lang w:val="en-GB"/>
        </w:rPr>
        <w:t>®</w:t>
      </w:r>
      <w:r w:rsidRPr="00AF4EB1">
        <w:rPr>
          <w:lang w:val="en-GB"/>
        </w:rPr>
        <w:t xml:space="preserve"> process simulator. The </w:t>
      </w:r>
      <w:r w:rsidR="00F37E74">
        <w:rPr>
          <w:lang w:val="en-GB"/>
        </w:rPr>
        <w:t>method</w:t>
      </w:r>
      <w:r w:rsidR="00F37E74" w:rsidRPr="00AF4EB1">
        <w:rPr>
          <w:lang w:val="en-GB"/>
        </w:rPr>
        <w:t xml:space="preserve"> </w:t>
      </w:r>
      <w:r w:rsidRPr="00AF4EB1">
        <w:rPr>
          <w:lang w:val="en-GB"/>
        </w:rPr>
        <w:t>accurately describes the calorimetric and volumetric properties of n-H</w:t>
      </w:r>
      <w:r w:rsidRPr="00156100">
        <w:rPr>
          <w:vertAlign w:val="subscript"/>
          <w:lang w:val="en-GB"/>
        </w:rPr>
        <w:t>2</w:t>
      </w:r>
      <w:r w:rsidRPr="00AF4EB1">
        <w:rPr>
          <w:lang w:val="en-GB"/>
        </w:rPr>
        <w:t>, p-H</w:t>
      </w:r>
      <w:r w:rsidRPr="00156100">
        <w:rPr>
          <w:vertAlign w:val="subscript"/>
          <w:lang w:val="en-GB"/>
        </w:rPr>
        <w:t>2</w:t>
      </w:r>
      <w:r w:rsidRPr="00AF4EB1">
        <w:rPr>
          <w:lang w:val="en-GB"/>
        </w:rPr>
        <w:t xml:space="preserve"> and e-H</w:t>
      </w:r>
      <w:r w:rsidRPr="00156100">
        <w:rPr>
          <w:vertAlign w:val="subscript"/>
          <w:lang w:val="en-GB"/>
        </w:rPr>
        <w:t>2</w:t>
      </w:r>
      <w:r w:rsidRPr="00AF4EB1">
        <w:rPr>
          <w:lang w:val="en-GB"/>
        </w:rPr>
        <w:t xml:space="preserve">. The developed </w:t>
      </w:r>
      <w:r w:rsidR="00876346">
        <w:rPr>
          <w:lang w:val="en-GB"/>
        </w:rPr>
        <w:t>approach</w:t>
      </w:r>
      <w:r w:rsidRPr="00AF4EB1">
        <w:rPr>
          <w:lang w:val="en-GB"/>
        </w:rPr>
        <w:t xml:space="preserve"> is used to assess the performances of a liquefaction process based on a </w:t>
      </w:r>
      <w:r w:rsidR="00876346">
        <w:rPr>
          <w:lang w:val="en-GB"/>
        </w:rPr>
        <w:t>LN</w:t>
      </w:r>
      <w:r w:rsidR="00876346" w:rsidRPr="00876346">
        <w:rPr>
          <w:vertAlign w:val="subscript"/>
          <w:lang w:val="en-GB"/>
        </w:rPr>
        <w:t>2</w:t>
      </w:r>
      <w:r w:rsidR="003A2F9F">
        <w:rPr>
          <w:lang w:val="en-GB"/>
        </w:rPr>
        <w:noBreakHyphen/>
      </w:r>
      <w:r w:rsidRPr="00AF4EB1">
        <w:rPr>
          <w:lang w:val="en-GB"/>
        </w:rPr>
        <w:t xml:space="preserve">precooled Claude cycle, in the case of </w:t>
      </w:r>
      <w:r w:rsidR="00733B2E">
        <w:rPr>
          <w:lang w:val="en-GB"/>
        </w:rPr>
        <w:t xml:space="preserve">OPC </w:t>
      </w:r>
      <w:r w:rsidRPr="00AF4EB1">
        <w:rPr>
          <w:lang w:val="en-GB"/>
        </w:rPr>
        <w:t>occurring stepwise inside dedicated reactors placed between the heat exchangers and of continuous conversion obtained by packing the catalyst on the hydrogen side of the heat exchangers. The results show that a reduction in the specific electricity consumption of 9%</w:t>
      </w:r>
      <w:r w:rsidR="002550A4">
        <w:rPr>
          <w:lang w:val="en-GB"/>
        </w:rPr>
        <w:t xml:space="preserve"> and </w:t>
      </w:r>
      <w:r w:rsidR="002550A4" w:rsidRPr="00C00E82">
        <w:rPr>
          <w:lang w:val="en-GB"/>
        </w:rPr>
        <w:t xml:space="preserve">a higher </w:t>
      </w:r>
      <w:r w:rsidR="001974AD" w:rsidRPr="00C00E82">
        <w:rPr>
          <w:lang w:val="en-GB"/>
        </w:rPr>
        <w:t xml:space="preserve">exergy </w:t>
      </w:r>
      <w:r w:rsidR="002550A4" w:rsidRPr="00C00E82">
        <w:rPr>
          <w:lang w:val="en-GB"/>
        </w:rPr>
        <w:t>efficiency</w:t>
      </w:r>
      <w:r w:rsidRPr="00C00E82">
        <w:rPr>
          <w:lang w:val="en-GB"/>
        </w:rPr>
        <w:t xml:space="preserve"> is achieved in the case of continuous conversion with respect to stepwise case</w:t>
      </w:r>
      <w:r w:rsidR="002550A4" w:rsidRPr="00C00E82">
        <w:rPr>
          <w:lang w:val="en-GB"/>
        </w:rPr>
        <w:t>, a</w:t>
      </w:r>
      <w:r w:rsidRPr="00C00E82">
        <w:rPr>
          <w:lang w:val="en-GB"/>
        </w:rPr>
        <w:t>s expected</w:t>
      </w:r>
      <w:r w:rsidR="0035564F" w:rsidRPr="00C00E82">
        <w:rPr>
          <w:lang w:val="en-GB"/>
        </w:rPr>
        <w:t xml:space="preserve"> considering th</w:t>
      </w:r>
      <w:r w:rsidR="006A1530" w:rsidRPr="00C00E82">
        <w:rPr>
          <w:lang w:val="en-GB"/>
        </w:rPr>
        <w:t xml:space="preserve">at the </w:t>
      </w:r>
      <w:r w:rsidR="0035564F" w:rsidRPr="00C00E82">
        <w:rPr>
          <w:lang w:val="en-GB"/>
        </w:rPr>
        <w:t xml:space="preserve">reaction enthalpy </w:t>
      </w:r>
      <w:r w:rsidR="006A1530" w:rsidRPr="00C00E82">
        <w:rPr>
          <w:lang w:val="en-GB"/>
        </w:rPr>
        <w:t>is lower, in absolute value, at high temperatures</w:t>
      </w:r>
      <w:r w:rsidRPr="00C00E82">
        <w:rPr>
          <w:lang w:val="en-GB"/>
        </w:rPr>
        <w:t>.</w:t>
      </w:r>
      <w:r w:rsidR="00C96709" w:rsidRPr="00C00E82">
        <w:rPr>
          <w:lang w:val="en-GB"/>
        </w:rPr>
        <w:t xml:space="preserve"> </w:t>
      </w:r>
    </w:p>
    <w:p w14:paraId="4621E399" w14:textId="3DCBF9D1" w:rsidR="00FD302E" w:rsidRPr="00C00E82" w:rsidRDefault="00C96709" w:rsidP="00FD302E">
      <w:pPr>
        <w:pStyle w:val="CETBodytext"/>
        <w:rPr>
          <w:lang w:val="en-GB"/>
        </w:rPr>
      </w:pPr>
      <w:r w:rsidRPr="00C00E82">
        <w:rPr>
          <w:lang w:val="en-GB"/>
        </w:rPr>
        <w:t>This work is useful in view of the development of a green H</w:t>
      </w:r>
      <w:r w:rsidRPr="00C00E82">
        <w:rPr>
          <w:vertAlign w:val="subscript"/>
          <w:lang w:val="en-GB"/>
        </w:rPr>
        <w:t>2</w:t>
      </w:r>
      <w:r w:rsidRPr="00C00E82">
        <w:rPr>
          <w:lang w:val="en-GB"/>
        </w:rPr>
        <w:t xml:space="preserve"> value chain involving transport and storage on a large-scale. In fact, since liquefaction is the most energy-intensive step of the value chain, a reliable thermodynamic framework is of </w:t>
      </w:r>
      <w:r w:rsidR="00B43E42">
        <w:rPr>
          <w:lang w:val="en-GB"/>
        </w:rPr>
        <w:t>paramount</w:t>
      </w:r>
      <w:r w:rsidRPr="00C00E82">
        <w:rPr>
          <w:lang w:val="en-GB"/>
        </w:rPr>
        <w:t xml:space="preserve"> importance to design the optimum process that minimize</w:t>
      </w:r>
      <w:r w:rsidR="00A57C82" w:rsidRPr="00C00E82">
        <w:rPr>
          <w:lang w:val="en-GB"/>
        </w:rPr>
        <w:t>s</w:t>
      </w:r>
      <w:r w:rsidRPr="00C00E82">
        <w:rPr>
          <w:lang w:val="en-GB"/>
        </w:rPr>
        <w:t xml:space="preserve"> the costs.</w:t>
      </w:r>
    </w:p>
    <w:p w14:paraId="4F1327F8" w14:textId="77777777" w:rsidR="00600535" w:rsidRPr="00B57B36" w:rsidRDefault="00600535" w:rsidP="00600535">
      <w:pPr>
        <w:pStyle w:val="CETReference"/>
      </w:pPr>
      <w:r w:rsidRPr="00C00E82">
        <w:t>References</w:t>
      </w:r>
    </w:p>
    <w:p w14:paraId="57E13173" w14:textId="14777C8A" w:rsidR="00FD302E" w:rsidRDefault="00FD302E" w:rsidP="00FD302E">
      <w:pPr>
        <w:pStyle w:val="CETReferencetext"/>
      </w:pPr>
      <w:r>
        <w:t xml:space="preserve">Al </w:t>
      </w:r>
      <w:proofErr w:type="spellStart"/>
      <w:r>
        <w:t>Ghafri</w:t>
      </w:r>
      <w:proofErr w:type="spellEnd"/>
      <w:r>
        <w:t xml:space="preserve"> S., Munro S., </w:t>
      </w:r>
      <w:proofErr w:type="spellStart"/>
      <w:r>
        <w:t>Cardella</w:t>
      </w:r>
      <w:proofErr w:type="spellEnd"/>
      <w:r>
        <w:t xml:space="preserve"> U., Funke T., </w:t>
      </w:r>
      <w:proofErr w:type="spellStart"/>
      <w:r>
        <w:t>Notardonato</w:t>
      </w:r>
      <w:proofErr w:type="spellEnd"/>
      <w:r>
        <w:t xml:space="preserve"> W., </w:t>
      </w:r>
      <w:proofErr w:type="spellStart"/>
      <w:r>
        <w:t>Trusler</w:t>
      </w:r>
      <w:proofErr w:type="spellEnd"/>
      <w:r>
        <w:t xml:space="preserve"> J.P.M., </w:t>
      </w:r>
      <w:proofErr w:type="spellStart"/>
      <w:r w:rsidR="00AC7BBD">
        <w:t>Leachman</w:t>
      </w:r>
      <w:proofErr w:type="spellEnd"/>
      <w:r w:rsidR="00AC7BBD">
        <w:t xml:space="preserve"> J., Span R., </w:t>
      </w:r>
      <w:proofErr w:type="spellStart"/>
      <w:r w:rsidR="00AC7BBD">
        <w:t>Kamiya</w:t>
      </w:r>
      <w:proofErr w:type="spellEnd"/>
      <w:r w:rsidR="00AC7BBD">
        <w:t xml:space="preserve"> S., Pearce G., </w:t>
      </w:r>
      <w:proofErr w:type="spellStart"/>
      <w:r w:rsidR="00AC7BBD">
        <w:t>Swanger</w:t>
      </w:r>
      <w:proofErr w:type="spellEnd"/>
      <w:r w:rsidR="00AC7BBD">
        <w:t xml:space="preserve"> A., Rodriguez E.D., Bajada P., Jiao F., Peng K., </w:t>
      </w:r>
      <w:proofErr w:type="spellStart"/>
      <w:r w:rsidR="00AC7BBD">
        <w:t>Siahvashi</w:t>
      </w:r>
      <w:proofErr w:type="spellEnd"/>
      <w:r w:rsidR="00AC7BBD">
        <w:t xml:space="preserve"> A., Johns M.L., May E.F.,</w:t>
      </w:r>
      <w:r>
        <w:t xml:space="preserve"> 2022, Hydrogen liquefaction: a review of the fundamental physics, engineering practice and future opportunities, Energy &amp; Environmental Science, 15, 2690</w:t>
      </w:r>
      <w:r w:rsidR="00E652C0" w:rsidRPr="006B4888">
        <w:t>–</w:t>
      </w:r>
      <w:r>
        <w:t>2713.</w:t>
      </w:r>
    </w:p>
    <w:p w14:paraId="0D464B0F" w14:textId="51E1391C" w:rsidR="00FA51FD" w:rsidRDefault="00FA51FD" w:rsidP="00FA51FD">
      <w:pPr>
        <w:pStyle w:val="CETReferencetext"/>
      </w:pPr>
      <w:proofErr w:type="spellStart"/>
      <w:r>
        <w:t>AspenTech</w:t>
      </w:r>
      <w:proofErr w:type="spellEnd"/>
      <w:r>
        <w:t>, 2016, Aspen Plus</w:t>
      </w:r>
      <w:r w:rsidRPr="00FD302E">
        <w:rPr>
          <w:vertAlign w:val="superscript"/>
        </w:rPr>
        <w:t>®</w:t>
      </w:r>
      <w:r>
        <w:t>,</w:t>
      </w:r>
      <w:r w:rsidR="00E652C0">
        <w:t xml:space="preserve"> </w:t>
      </w:r>
      <w:r>
        <w:t>Burlington (MA), United States.</w:t>
      </w:r>
    </w:p>
    <w:p w14:paraId="6781B520" w14:textId="66465EAB" w:rsidR="00E652C0" w:rsidRDefault="00E652C0" w:rsidP="00E652C0">
      <w:pPr>
        <w:pStyle w:val="CETReferencetext"/>
      </w:pPr>
      <w:proofErr w:type="spellStart"/>
      <w:r>
        <w:t>Cardella</w:t>
      </w:r>
      <w:proofErr w:type="spellEnd"/>
      <w:r>
        <w:t xml:space="preserve"> U., Decker L., Sundberg J., Klein H., 2017, Process optimization for large-scale hydrogen liquefaction. International Journal of Hydrogen Energy, 42, 12339</w:t>
      </w:r>
      <w:r w:rsidRPr="006B4888">
        <w:t>–</w:t>
      </w:r>
      <w:r>
        <w:t>12354.</w:t>
      </w:r>
    </w:p>
    <w:p w14:paraId="2AB142A8" w14:textId="12B8BBAB" w:rsidR="00590AE8" w:rsidRDefault="00590AE8" w:rsidP="00590AE8">
      <w:pPr>
        <w:pStyle w:val="CETReferencetext"/>
      </w:pPr>
      <w:proofErr w:type="spellStart"/>
      <w:r>
        <w:t>Chueh</w:t>
      </w:r>
      <w:proofErr w:type="spellEnd"/>
      <w:r>
        <w:t xml:space="preserve"> P.L., </w:t>
      </w:r>
      <w:proofErr w:type="spellStart"/>
      <w:r>
        <w:t>Prausnitz</w:t>
      </w:r>
      <w:proofErr w:type="spellEnd"/>
      <w:r>
        <w:t xml:space="preserve"> J.M., 1969, A generalized correlation for the </w:t>
      </w:r>
      <w:proofErr w:type="spellStart"/>
      <w:r>
        <w:t>compressibilities</w:t>
      </w:r>
      <w:proofErr w:type="spellEnd"/>
      <w:r>
        <w:t xml:space="preserve"> of normal liquids. </w:t>
      </w:r>
      <w:proofErr w:type="spellStart"/>
      <w:r>
        <w:t>AIChE</w:t>
      </w:r>
      <w:proofErr w:type="spellEnd"/>
      <w:r>
        <w:t xml:space="preserve"> Journal, 15, 471</w:t>
      </w:r>
      <w:r w:rsidR="00E652C0" w:rsidRPr="006B4888">
        <w:t>–</w:t>
      </w:r>
      <w:r>
        <w:t>472.</w:t>
      </w:r>
    </w:p>
    <w:p w14:paraId="6D56F1E2" w14:textId="3ED45AE9" w:rsidR="00590AE8" w:rsidRPr="0082269E" w:rsidRDefault="00590AE8" w:rsidP="00590AE8">
      <w:pPr>
        <w:pStyle w:val="CETReferencetext"/>
      </w:pPr>
      <w:r w:rsidRPr="0082269E">
        <w:t xml:space="preserve">Crawford D.B., 1963, Hydrogen liquefaction and conversion systems, </w:t>
      </w:r>
      <w:r w:rsidR="00B503E3" w:rsidRPr="0082269E">
        <w:t xml:space="preserve">Patent </w:t>
      </w:r>
      <w:r w:rsidR="00AC7BBD" w:rsidRPr="0082269E">
        <w:t>US</w:t>
      </w:r>
      <w:r w:rsidR="00B503E3" w:rsidRPr="0082269E">
        <w:t>3095274A</w:t>
      </w:r>
      <w:r w:rsidR="0082269E">
        <w:t>,</w:t>
      </w:r>
      <w:r w:rsidR="00AC7BBD" w:rsidRPr="0082269E">
        <w:t xml:space="preserve"> Allentown, Pa, USA.</w:t>
      </w:r>
    </w:p>
    <w:p w14:paraId="65A9CC22" w14:textId="4DBED6A8" w:rsidR="00110BF2" w:rsidRPr="0082269E" w:rsidRDefault="00110BF2" w:rsidP="00110BF2">
      <w:pPr>
        <w:pStyle w:val="CETReferencetext"/>
      </w:pPr>
      <w:r w:rsidRPr="0082269E">
        <w:t>Dennison D</w:t>
      </w:r>
      <w:r w:rsidR="00FA51FD" w:rsidRPr="0082269E">
        <w:t>.</w:t>
      </w:r>
      <w:r w:rsidRPr="0082269E">
        <w:t>M.</w:t>
      </w:r>
      <w:r w:rsidR="00590AE8" w:rsidRPr="0082269E">
        <w:t>, 1927,</w:t>
      </w:r>
      <w:r w:rsidRPr="0082269E">
        <w:t xml:space="preserve"> A note on the specific heat of the hydrogen molecule</w:t>
      </w:r>
      <w:r w:rsidR="00FA51FD" w:rsidRPr="0082269E">
        <w:t>,</w:t>
      </w:r>
      <w:r w:rsidRPr="0082269E">
        <w:t xml:space="preserve"> Proceedings of the Royal Society of London</w:t>
      </w:r>
      <w:r w:rsidR="0082269E" w:rsidRPr="0082269E">
        <w:t>,</w:t>
      </w:r>
      <w:r w:rsidRPr="0082269E">
        <w:t xml:space="preserve"> Series A</w:t>
      </w:r>
      <w:r w:rsidR="00590AE8" w:rsidRPr="0082269E">
        <w:t xml:space="preserve">, </w:t>
      </w:r>
      <w:r w:rsidRPr="0082269E">
        <w:t>115</w:t>
      </w:r>
      <w:r w:rsidR="00590AE8" w:rsidRPr="0082269E">
        <w:t xml:space="preserve">, </w:t>
      </w:r>
      <w:r w:rsidRPr="0082269E">
        <w:t>483</w:t>
      </w:r>
      <w:r w:rsidR="00E652C0" w:rsidRPr="0082269E">
        <w:t>–</w:t>
      </w:r>
      <w:r w:rsidR="00590AE8" w:rsidRPr="0082269E">
        <w:t>48</w:t>
      </w:r>
      <w:r w:rsidRPr="0082269E">
        <w:t>6.</w:t>
      </w:r>
    </w:p>
    <w:p w14:paraId="717EBA2E" w14:textId="0E03AE0B" w:rsidR="00590AE8" w:rsidRPr="0082269E" w:rsidRDefault="00590AE8" w:rsidP="00590AE8">
      <w:pPr>
        <w:pStyle w:val="CETReferencetext"/>
      </w:pPr>
      <w:r w:rsidRPr="0082269E">
        <w:t xml:space="preserve">Hankinson R.W., Thomson G.H., 1979, A new correlation for saturated densities of liquids and their mixtures, </w:t>
      </w:r>
      <w:proofErr w:type="spellStart"/>
      <w:r w:rsidRPr="0082269E">
        <w:t>AIChE</w:t>
      </w:r>
      <w:proofErr w:type="spellEnd"/>
      <w:r w:rsidRPr="0082269E">
        <w:t xml:space="preserve"> Journal, 25, 653</w:t>
      </w:r>
      <w:r w:rsidR="00E652C0" w:rsidRPr="0082269E">
        <w:t>–</w:t>
      </w:r>
      <w:r w:rsidRPr="0082269E">
        <w:t>663.</w:t>
      </w:r>
    </w:p>
    <w:p w14:paraId="1EBF658E" w14:textId="2A4A04F3" w:rsidR="00590AE8" w:rsidRDefault="00590AE8" w:rsidP="00590AE8">
      <w:pPr>
        <w:pStyle w:val="CETReferencetext"/>
      </w:pPr>
      <w:r w:rsidRPr="0082269E">
        <w:t>Hund F., 1927,</w:t>
      </w:r>
      <w:r w:rsidR="00AC7BBD" w:rsidRPr="0082269E">
        <w:t xml:space="preserve"> On the interpretation of the molecular spectra (in Deutsch). </w:t>
      </w:r>
      <w:r w:rsidRPr="0082269E">
        <w:t xml:space="preserve">II. </w:t>
      </w:r>
      <w:proofErr w:type="spellStart"/>
      <w:r w:rsidRPr="0082269E">
        <w:t>Zeitschrift</w:t>
      </w:r>
      <w:proofErr w:type="spellEnd"/>
      <w:r w:rsidRPr="0082269E">
        <w:t xml:space="preserve"> </w:t>
      </w:r>
      <w:proofErr w:type="spellStart"/>
      <w:r w:rsidRPr="0082269E">
        <w:t>für</w:t>
      </w:r>
      <w:proofErr w:type="spellEnd"/>
      <w:r w:rsidRPr="0082269E">
        <w:t xml:space="preserve"> </w:t>
      </w:r>
      <w:proofErr w:type="spellStart"/>
      <w:r w:rsidRPr="0082269E">
        <w:t>Physik</w:t>
      </w:r>
      <w:proofErr w:type="spellEnd"/>
      <w:r w:rsidRPr="0082269E">
        <w:t>, 42, 93</w:t>
      </w:r>
      <w:r w:rsidR="00E652C0" w:rsidRPr="006B4888">
        <w:t>–</w:t>
      </w:r>
      <w:r>
        <w:t>120.</w:t>
      </w:r>
    </w:p>
    <w:p w14:paraId="52DB9CD9" w14:textId="0C6ABF24" w:rsidR="00590AE8" w:rsidRDefault="00590AE8" w:rsidP="00590AE8">
      <w:pPr>
        <w:pStyle w:val="CETReferencetext"/>
      </w:pPr>
      <w:proofErr w:type="spellStart"/>
      <w:r>
        <w:t>Krasae</w:t>
      </w:r>
      <w:proofErr w:type="spellEnd"/>
      <w:r>
        <w:t>-In S., 2014, Optimal operation of a large-scale liquid hydrogen plant utilizing mixed fluid refrigeration system, International Journal of Hydrogen Energy, 39, 7015</w:t>
      </w:r>
      <w:r w:rsidR="00E652C0" w:rsidRPr="006B4888">
        <w:t>–</w:t>
      </w:r>
      <w:r>
        <w:t>7029.</w:t>
      </w:r>
    </w:p>
    <w:p w14:paraId="3E091CE1" w14:textId="32BE29BD" w:rsidR="00110BF2" w:rsidRDefault="00110BF2" w:rsidP="00110BF2">
      <w:pPr>
        <w:pStyle w:val="CETReferencetext"/>
      </w:pPr>
      <w:proofErr w:type="spellStart"/>
      <w:r>
        <w:t>Leachman</w:t>
      </w:r>
      <w:proofErr w:type="spellEnd"/>
      <w:r>
        <w:t xml:space="preserve"> J</w:t>
      </w:r>
      <w:r w:rsidR="00590AE8">
        <w:t>.</w:t>
      </w:r>
      <w:r>
        <w:t>W</w:t>
      </w:r>
      <w:r w:rsidR="00590AE8">
        <w:t>.</w:t>
      </w:r>
      <w:r>
        <w:t>, Jacobsen R</w:t>
      </w:r>
      <w:r w:rsidR="00590AE8">
        <w:t>.</w:t>
      </w:r>
      <w:r>
        <w:t>T</w:t>
      </w:r>
      <w:r w:rsidR="00590AE8">
        <w:t>.</w:t>
      </w:r>
      <w:r>
        <w:t xml:space="preserve">, </w:t>
      </w:r>
      <w:proofErr w:type="spellStart"/>
      <w:r>
        <w:t>Penoncello</w:t>
      </w:r>
      <w:proofErr w:type="spellEnd"/>
      <w:r>
        <w:t xml:space="preserve"> S</w:t>
      </w:r>
      <w:r w:rsidR="00590AE8">
        <w:t>.</w:t>
      </w:r>
      <w:r>
        <w:t>G</w:t>
      </w:r>
      <w:r w:rsidR="00590AE8">
        <w:t>.</w:t>
      </w:r>
      <w:r>
        <w:t>, Lemmon E</w:t>
      </w:r>
      <w:r w:rsidR="00590AE8">
        <w:t>.</w:t>
      </w:r>
      <w:r>
        <w:t>W.</w:t>
      </w:r>
      <w:r w:rsidR="00590AE8">
        <w:t>, 2009,</w:t>
      </w:r>
      <w:r>
        <w:t xml:space="preserve"> Fundamental equations of state for parahydrogen, normal hydrogen, and orthohydrogen</w:t>
      </w:r>
      <w:r w:rsidR="00590AE8">
        <w:t>,</w:t>
      </w:r>
      <w:r>
        <w:t xml:space="preserve"> Journal of Physical and Chemical Reference Data</w:t>
      </w:r>
      <w:r w:rsidR="00590AE8">
        <w:t xml:space="preserve">, </w:t>
      </w:r>
      <w:r>
        <w:t>38</w:t>
      </w:r>
      <w:r w:rsidR="00590AE8">
        <w:t xml:space="preserve">, </w:t>
      </w:r>
      <w:r>
        <w:t>721</w:t>
      </w:r>
      <w:r w:rsidR="00E652C0" w:rsidRPr="006B4888">
        <w:t>–</w:t>
      </w:r>
      <w:r w:rsidR="00590AE8">
        <w:t>7</w:t>
      </w:r>
      <w:r>
        <w:t>48.</w:t>
      </w:r>
    </w:p>
    <w:p w14:paraId="7EA5A61F" w14:textId="661F44F7" w:rsidR="00110BF2" w:rsidRPr="0082269E" w:rsidRDefault="00110BF2" w:rsidP="00110BF2">
      <w:pPr>
        <w:pStyle w:val="CETReferencetext"/>
      </w:pPr>
      <w:r>
        <w:t>Le Roy R</w:t>
      </w:r>
      <w:r w:rsidR="00590AE8">
        <w:t>.</w:t>
      </w:r>
      <w:r>
        <w:t>J</w:t>
      </w:r>
      <w:r w:rsidR="00590AE8">
        <w:t>.</w:t>
      </w:r>
      <w:r>
        <w:t>, Chapman S</w:t>
      </w:r>
      <w:r w:rsidR="00590AE8">
        <w:t>.</w:t>
      </w:r>
      <w:r>
        <w:t>G</w:t>
      </w:r>
      <w:r w:rsidR="00590AE8">
        <w:t>.</w:t>
      </w:r>
      <w:r>
        <w:t>, McCourt F</w:t>
      </w:r>
      <w:r w:rsidR="00590AE8">
        <w:t>.</w:t>
      </w:r>
      <w:r>
        <w:t>R</w:t>
      </w:r>
      <w:r w:rsidR="00590AE8">
        <w:t>.</w:t>
      </w:r>
      <w:r>
        <w:t>W.</w:t>
      </w:r>
      <w:r w:rsidR="00590AE8">
        <w:t>, 1990,</w:t>
      </w:r>
      <w:r>
        <w:t xml:space="preserve"> Accurate thermodynamic properties of the six </w:t>
      </w:r>
      <w:proofErr w:type="spellStart"/>
      <w:r>
        <w:t>isotopomers</w:t>
      </w:r>
      <w:proofErr w:type="spellEnd"/>
      <w:r>
        <w:t xml:space="preserve"> of diatomic hydrogen</w:t>
      </w:r>
      <w:r w:rsidR="00590AE8">
        <w:t>,</w:t>
      </w:r>
      <w:r>
        <w:t xml:space="preserve"> Journal of </w:t>
      </w:r>
      <w:r w:rsidRPr="0082269E">
        <w:t>Physical Chemistry</w:t>
      </w:r>
      <w:r w:rsidR="00590AE8" w:rsidRPr="0082269E">
        <w:t xml:space="preserve">, </w:t>
      </w:r>
      <w:r w:rsidRPr="0082269E">
        <w:t>94</w:t>
      </w:r>
      <w:r w:rsidR="00590AE8" w:rsidRPr="0082269E">
        <w:t xml:space="preserve">, </w:t>
      </w:r>
      <w:r w:rsidRPr="0082269E">
        <w:t>923</w:t>
      </w:r>
      <w:r w:rsidR="00E652C0" w:rsidRPr="0082269E">
        <w:t>–</w:t>
      </w:r>
      <w:r w:rsidR="00590AE8" w:rsidRPr="0082269E">
        <w:t>92</w:t>
      </w:r>
      <w:r w:rsidRPr="0082269E">
        <w:t>9.</w:t>
      </w:r>
    </w:p>
    <w:p w14:paraId="5E51775D" w14:textId="2A90F3DD" w:rsidR="00590AE8" w:rsidRDefault="00590AE8" w:rsidP="00590AE8">
      <w:pPr>
        <w:pStyle w:val="CETReferencetext"/>
      </w:pPr>
      <w:r w:rsidRPr="0082269E">
        <w:t xml:space="preserve">McCarty R.D., Hord J., </w:t>
      </w:r>
      <w:proofErr w:type="spellStart"/>
      <w:r w:rsidRPr="0082269E">
        <w:t>Roder</w:t>
      </w:r>
      <w:proofErr w:type="spellEnd"/>
      <w:r w:rsidRPr="0082269E">
        <w:t xml:space="preserve"> H.M., 1981, Selected properties of hydrogen (</w:t>
      </w:r>
      <w:r w:rsidR="0082269E" w:rsidRPr="0082269E">
        <w:t>E</w:t>
      </w:r>
      <w:r w:rsidRPr="0082269E">
        <w:t xml:space="preserve">ngineering </w:t>
      </w:r>
      <w:r w:rsidR="0082269E" w:rsidRPr="0082269E">
        <w:t>D</w:t>
      </w:r>
      <w:r w:rsidRPr="0082269E">
        <w:t xml:space="preserve">esign </w:t>
      </w:r>
      <w:r w:rsidR="0082269E" w:rsidRPr="0082269E">
        <w:t>D</w:t>
      </w:r>
      <w:r w:rsidRPr="0082269E">
        <w:t>ata), US Department of Commerce, National Bureau of Standards</w:t>
      </w:r>
      <w:r w:rsidR="0082269E" w:rsidRPr="0082269E">
        <w:t>, Boulder, Co, USA.</w:t>
      </w:r>
    </w:p>
    <w:p w14:paraId="5361B4BA" w14:textId="1013E8B4" w:rsidR="00590AE8" w:rsidRDefault="00590AE8" w:rsidP="00590AE8">
      <w:pPr>
        <w:pStyle w:val="CETReferencetext"/>
      </w:pPr>
      <w:proofErr w:type="spellStart"/>
      <w:r>
        <w:t>Sadaghiani</w:t>
      </w:r>
      <w:proofErr w:type="spellEnd"/>
      <w:r>
        <w:t xml:space="preserve"> M.S., </w:t>
      </w:r>
      <w:proofErr w:type="spellStart"/>
      <w:r>
        <w:t>Mehrpooya</w:t>
      </w:r>
      <w:proofErr w:type="spellEnd"/>
      <w:r>
        <w:t xml:space="preserve"> M., 2017, Introducing and energy analysis of a novel cryogenic hydrogen liquefaction process configuration. International Journal of Hydrogen Energy, 42, 6033</w:t>
      </w:r>
      <w:r w:rsidR="00E652C0" w:rsidRPr="006B4888">
        <w:t>–</w:t>
      </w:r>
      <w:r>
        <w:t>6050.</w:t>
      </w:r>
    </w:p>
    <w:p w14:paraId="1B122797" w14:textId="29B6AFEB" w:rsidR="00590AE8" w:rsidRDefault="00590AE8" w:rsidP="00590AE8">
      <w:pPr>
        <w:pStyle w:val="CETReferencetext"/>
      </w:pPr>
      <w:r>
        <w:t xml:space="preserve">Thomson G.H., </w:t>
      </w:r>
      <w:proofErr w:type="spellStart"/>
      <w:r>
        <w:t>Brobst</w:t>
      </w:r>
      <w:proofErr w:type="spellEnd"/>
      <w:r>
        <w:t xml:space="preserve"> K.R., Hankinson R.W., 1982, An improved correlation for densities of compressed liquids and liquid mixtures, </w:t>
      </w:r>
      <w:proofErr w:type="spellStart"/>
      <w:r>
        <w:t>AIChE</w:t>
      </w:r>
      <w:proofErr w:type="spellEnd"/>
      <w:r>
        <w:t xml:space="preserve"> Journal, 28, 671</w:t>
      </w:r>
      <w:r w:rsidR="00E652C0" w:rsidRPr="006B4888">
        <w:t>–</w:t>
      </w:r>
      <w:r>
        <w:t>676.</w:t>
      </w:r>
    </w:p>
    <w:p w14:paraId="5C36908E" w14:textId="4E7FBF9E" w:rsidR="00590AE8" w:rsidRDefault="00590AE8" w:rsidP="00590AE8">
      <w:pPr>
        <w:pStyle w:val="CETReferencetext"/>
      </w:pPr>
      <w:proofErr w:type="spellStart"/>
      <w:r>
        <w:t>Valenti</w:t>
      </w:r>
      <w:proofErr w:type="spellEnd"/>
      <w:r>
        <w:t xml:space="preserve"> G., </w:t>
      </w:r>
      <w:proofErr w:type="spellStart"/>
      <w:r>
        <w:t>Macchi</w:t>
      </w:r>
      <w:proofErr w:type="spellEnd"/>
      <w:r>
        <w:t xml:space="preserve"> E., 2008, Proposal of an innovative, high-efficiency, large-scale hydrogen liquefier. International Journal of Hydrogen Energy, 33, 3116</w:t>
      </w:r>
      <w:r w:rsidR="00E652C0" w:rsidRPr="006B4888">
        <w:t>–</w:t>
      </w:r>
      <w:r>
        <w:t>3121.</w:t>
      </w:r>
    </w:p>
    <w:p w14:paraId="55C93BBD" w14:textId="5641FD01" w:rsidR="00590AE8" w:rsidRDefault="00590AE8" w:rsidP="00590AE8">
      <w:pPr>
        <w:pStyle w:val="CETReferencetext"/>
      </w:pPr>
      <w:proofErr w:type="spellStart"/>
      <w:r w:rsidRPr="00FA51FD">
        <w:rPr>
          <w:lang w:val="en-US"/>
        </w:rPr>
        <w:t>Valenti</w:t>
      </w:r>
      <w:proofErr w:type="spellEnd"/>
      <w:r w:rsidRPr="00FA51FD">
        <w:rPr>
          <w:lang w:val="en-US"/>
        </w:rPr>
        <w:t xml:space="preserve"> G., </w:t>
      </w:r>
      <w:proofErr w:type="spellStart"/>
      <w:r w:rsidRPr="00FA51FD">
        <w:rPr>
          <w:lang w:val="en-US"/>
        </w:rPr>
        <w:t>Macchi</w:t>
      </w:r>
      <w:proofErr w:type="spellEnd"/>
      <w:r w:rsidRPr="00FA51FD">
        <w:rPr>
          <w:lang w:val="en-US"/>
        </w:rPr>
        <w:t xml:space="preserve"> E., </w:t>
      </w:r>
      <w:proofErr w:type="spellStart"/>
      <w:r w:rsidRPr="00FA51FD">
        <w:rPr>
          <w:lang w:val="en-US"/>
        </w:rPr>
        <w:t>Brioschi</w:t>
      </w:r>
      <w:proofErr w:type="spellEnd"/>
      <w:r w:rsidRPr="00FA51FD">
        <w:rPr>
          <w:lang w:val="en-US"/>
        </w:rPr>
        <w:t xml:space="preserve"> S., 2012, </w:t>
      </w:r>
      <w:r>
        <w:t>The influence of the thermodynamic model of equilibrium-hydrogen on the simulation of its liquefaction, International Journal of Hydrogen Energy, 37, 10779</w:t>
      </w:r>
      <w:r w:rsidR="00E652C0" w:rsidRPr="006B4888">
        <w:t>–</w:t>
      </w:r>
      <w:r>
        <w:t>10788.</w:t>
      </w:r>
    </w:p>
    <w:sectPr w:rsidR="00590AE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27BF" w14:textId="77777777" w:rsidR="009F6A1C" w:rsidRDefault="009F6A1C" w:rsidP="004F5E36">
      <w:r>
        <w:separator/>
      </w:r>
    </w:p>
  </w:endnote>
  <w:endnote w:type="continuationSeparator" w:id="0">
    <w:p w14:paraId="47731B12" w14:textId="77777777" w:rsidR="009F6A1C" w:rsidRDefault="009F6A1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0866" w14:textId="77777777" w:rsidR="009F6A1C" w:rsidRDefault="009F6A1C" w:rsidP="004F5E36">
      <w:r>
        <w:separator/>
      </w:r>
    </w:p>
  </w:footnote>
  <w:footnote w:type="continuationSeparator" w:id="0">
    <w:p w14:paraId="50A4B95E" w14:textId="77777777" w:rsidR="009F6A1C" w:rsidRDefault="009F6A1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2C33D43"/>
    <w:multiLevelType w:val="hybridMultilevel"/>
    <w:tmpl w:val="C15C7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AD6"/>
    <w:rsid w:val="00001324"/>
    <w:rsid w:val="000027C0"/>
    <w:rsid w:val="00004ECA"/>
    <w:rsid w:val="000052FB"/>
    <w:rsid w:val="000117CB"/>
    <w:rsid w:val="00012675"/>
    <w:rsid w:val="0002134B"/>
    <w:rsid w:val="00021DEC"/>
    <w:rsid w:val="0003148D"/>
    <w:rsid w:val="00031EEC"/>
    <w:rsid w:val="0003689E"/>
    <w:rsid w:val="00051566"/>
    <w:rsid w:val="00052E19"/>
    <w:rsid w:val="00053D39"/>
    <w:rsid w:val="000562A9"/>
    <w:rsid w:val="00061BC9"/>
    <w:rsid w:val="00062A9A"/>
    <w:rsid w:val="00065058"/>
    <w:rsid w:val="00081481"/>
    <w:rsid w:val="00086C39"/>
    <w:rsid w:val="000874F1"/>
    <w:rsid w:val="000A013F"/>
    <w:rsid w:val="000A03B2"/>
    <w:rsid w:val="000A43B7"/>
    <w:rsid w:val="000A72E9"/>
    <w:rsid w:val="000B16B5"/>
    <w:rsid w:val="000B3263"/>
    <w:rsid w:val="000D0268"/>
    <w:rsid w:val="000D34BE"/>
    <w:rsid w:val="000D7271"/>
    <w:rsid w:val="000E07A1"/>
    <w:rsid w:val="000E102F"/>
    <w:rsid w:val="000E1AEC"/>
    <w:rsid w:val="000E2416"/>
    <w:rsid w:val="000E2F35"/>
    <w:rsid w:val="000E36F1"/>
    <w:rsid w:val="000E3A73"/>
    <w:rsid w:val="000E414A"/>
    <w:rsid w:val="000F093C"/>
    <w:rsid w:val="000F4D3F"/>
    <w:rsid w:val="000F787B"/>
    <w:rsid w:val="00103335"/>
    <w:rsid w:val="00110BF2"/>
    <w:rsid w:val="0012091F"/>
    <w:rsid w:val="00126BC2"/>
    <w:rsid w:val="001308B6"/>
    <w:rsid w:val="0013121F"/>
    <w:rsid w:val="00131FE6"/>
    <w:rsid w:val="0013263F"/>
    <w:rsid w:val="001331DF"/>
    <w:rsid w:val="00134DE4"/>
    <w:rsid w:val="0014034D"/>
    <w:rsid w:val="00144D16"/>
    <w:rsid w:val="00150E59"/>
    <w:rsid w:val="00152DE3"/>
    <w:rsid w:val="00156100"/>
    <w:rsid w:val="00164CF9"/>
    <w:rsid w:val="00165633"/>
    <w:rsid w:val="00165B3C"/>
    <w:rsid w:val="001667A6"/>
    <w:rsid w:val="001673E8"/>
    <w:rsid w:val="00170675"/>
    <w:rsid w:val="0017280E"/>
    <w:rsid w:val="001738D6"/>
    <w:rsid w:val="00181021"/>
    <w:rsid w:val="00184AD6"/>
    <w:rsid w:val="001974AD"/>
    <w:rsid w:val="001A2239"/>
    <w:rsid w:val="001A2D54"/>
    <w:rsid w:val="001A4AF7"/>
    <w:rsid w:val="001A4E4C"/>
    <w:rsid w:val="001A5B4A"/>
    <w:rsid w:val="001B0349"/>
    <w:rsid w:val="001B1E93"/>
    <w:rsid w:val="001B21FB"/>
    <w:rsid w:val="001B65C1"/>
    <w:rsid w:val="001C3344"/>
    <w:rsid w:val="001C684B"/>
    <w:rsid w:val="001D0CFB"/>
    <w:rsid w:val="001D21AF"/>
    <w:rsid w:val="001D53FC"/>
    <w:rsid w:val="001F42A5"/>
    <w:rsid w:val="001F558C"/>
    <w:rsid w:val="001F7B9D"/>
    <w:rsid w:val="00201C93"/>
    <w:rsid w:val="002224B4"/>
    <w:rsid w:val="0023470D"/>
    <w:rsid w:val="0024412A"/>
    <w:rsid w:val="002447EF"/>
    <w:rsid w:val="00251550"/>
    <w:rsid w:val="002550A4"/>
    <w:rsid w:val="00262102"/>
    <w:rsid w:val="00263B05"/>
    <w:rsid w:val="002649C3"/>
    <w:rsid w:val="0026770D"/>
    <w:rsid w:val="0027221A"/>
    <w:rsid w:val="00273876"/>
    <w:rsid w:val="00275B61"/>
    <w:rsid w:val="00277143"/>
    <w:rsid w:val="00280FAF"/>
    <w:rsid w:val="00282656"/>
    <w:rsid w:val="002840A7"/>
    <w:rsid w:val="00284303"/>
    <w:rsid w:val="00296B83"/>
    <w:rsid w:val="002B4015"/>
    <w:rsid w:val="002B4C86"/>
    <w:rsid w:val="002B78CE"/>
    <w:rsid w:val="002C2FB6"/>
    <w:rsid w:val="002C7E3C"/>
    <w:rsid w:val="002D0E4C"/>
    <w:rsid w:val="002D329B"/>
    <w:rsid w:val="002D597A"/>
    <w:rsid w:val="002E014F"/>
    <w:rsid w:val="002E0F8E"/>
    <w:rsid w:val="002E5FA7"/>
    <w:rsid w:val="002F3309"/>
    <w:rsid w:val="003008CE"/>
    <w:rsid w:val="003009B7"/>
    <w:rsid w:val="00300E56"/>
    <w:rsid w:val="0030152C"/>
    <w:rsid w:val="0030469C"/>
    <w:rsid w:val="003139FC"/>
    <w:rsid w:val="003172DD"/>
    <w:rsid w:val="00321CA6"/>
    <w:rsid w:val="00323763"/>
    <w:rsid w:val="00323C5F"/>
    <w:rsid w:val="003246FD"/>
    <w:rsid w:val="00326824"/>
    <w:rsid w:val="003272C8"/>
    <w:rsid w:val="00334C09"/>
    <w:rsid w:val="00336C8D"/>
    <w:rsid w:val="0035363C"/>
    <w:rsid w:val="00353C72"/>
    <w:rsid w:val="0035564F"/>
    <w:rsid w:val="0037187C"/>
    <w:rsid w:val="003723D4"/>
    <w:rsid w:val="00377A97"/>
    <w:rsid w:val="0038048B"/>
    <w:rsid w:val="00381905"/>
    <w:rsid w:val="00384231"/>
    <w:rsid w:val="00384CC8"/>
    <w:rsid w:val="003871FD"/>
    <w:rsid w:val="003A02D2"/>
    <w:rsid w:val="003A19FA"/>
    <w:rsid w:val="003A1E30"/>
    <w:rsid w:val="003A2829"/>
    <w:rsid w:val="003A2F9F"/>
    <w:rsid w:val="003A5C32"/>
    <w:rsid w:val="003A7D1C"/>
    <w:rsid w:val="003B304B"/>
    <w:rsid w:val="003B3146"/>
    <w:rsid w:val="003C065B"/>
    <w:rsid w:val="003D3337"/>
    <w:rsid w:val="003D3543"/>
    <w:rsid w:val="003D3737"/>
    <w:rsid w:val="003D647A"/>
    <w:rsid w:val="003D73EA"/>
    <w:rsid w:val="003E1064"/>
    <w:rsid w:val="003E1E54"/>
    <w:rsid w:val="003E1FAB"/>
    <w:rsid w:val="003E2033"/>
    <w:rsid w:val="003E6653"/>
    <w:rsid w:val="003F015E"/>
    <w:rsid w:val="00400414"/>
    <w:rsid w:val="00403F59"/>
    <w:rsid w:val="0041446B"/>
    <w:rsid w:val="004243DE"/>
    <w:rsid w:val="00432694"/>
    <w:rsid w:val="00435C7A"/>
    <w:rsid w:val="0044071E"/>
    <w:rsid w:val="0044329C"/>
    <w:rsid w:val="00453E24"/>
    <w:rsid w:val="00457456"/>
    <w:rsid w:val="004577FE"/>
    <w:rsid w:val="00457B9C"/>
    <w:rsid w:val="0046150F"/>
    <w:rsid w:val="0046164A"/>
    <w:rsid w:val="004628D2"/>
    <w:rsid w:val="00462DCD"/>
    <w:rsid w:val="004648AD"/>
    <w:rsid w:val="00466358"/>
    <w:rsid w:val="004667CD"/>
    <w:rsid w:val="004703A9"/>
    <w:rsid w:val="004760DE"/>
    <w:rsid w:val="004763D7"/>
    <w:rsid w:val="004A004E"/>
    <w:rsid w:val="004A1DA5"/>
    <w:rsid w:val="004A24CF"/>
    <w:rsid w:val="004A4687"/>
    <w:rsid w:val="004A5B15"/>
    <w:rsid w:val="004B66A0"/>
    <w:rsid w:val="004C3D1D"/>
    <w:rsid w:val="004C3D84"/>
    <w:rsid w:val="004C7913"/>
    <w:rsid w:val="004C7AD9"/>
    <w:rsid w:val="004E4DD6"/>
    <w:rsid w:val="004E76FA"/>
    <w:rsid w:val="004F5E36"/>
    <w:rsid w:val="00507B47"/>
    <w:rsid w:val="00507BEF"/>
    <w:rsid w:val="00507CC9"/>
    <w:rsid w:val="005119A5"/>
    <w:rsid w:val="005278B7"/>
    <w:rsid w:val="00532016"/>
    <w:rsid w:val="005346C8"/>
    <w:rsid w:val="0054081B"/>
    <w:rsid w:val="00543E7D"/>
    <w:rsid w:val="00547A68"/>
    <w:rsid w:val="005531C9"/>
    <w:rsid w:val="00566415"/>
    <w:rsid w:val="005704FA"/>
    <w:rsid w:val="00570C43"/>
    <w:rsid w:val="0057780F"/>
    <w:rsid w:val="005804BE"/>
    <w:rsid w:val="00590AE8"/>
    <w:rsid w:val="00594796"/>
    <w:rsid w:val="0059640F"/>
    <w:rsid w:val="00596A06"/>
    <w:rsid w:val="005A0177"/>
    <w:rsid w:val="005B0E9D"/>
    <w:rsid w:val="005B2110"/>
    <w:rsid w:val="005B61E6"/>
    <w:rsid w:val="005B72D0"/>
    <w:rsid w:val="005C3191"/>
    <w:rsid w:val="005C7381"/>
    <w:rsid w:val="005C77E1"/>
    <w:rsid w:val="005D45EC"/>
    <w:rsid w:val="005D668A"/>
    <w:rsid w:val="005D6A2F"/>
    <w:rsid w:val="005E02C1"/>
    <w:rsid w:val="005E1A82"/>
    <w:rsid w:val="005E794C"/>
    <w:rsid w:val="005F0A28"/>
    <w:rsid w:val="005F0E5E"/>
    <w:rsid w:val="005F3491"/>
    <w:rsid w:val="005F49BE"/>
    <w:rsid w:val="005F5BEA"/>
    <w:rsid w:val="00600535"/>
    <w:rsid w:val="00603BE6"/>
    <w:rsid w:val="00610CD6"/>
    <w:rsid w:val="00615F54"/>
    <w:rsid w:val="00620DEE"/>
    <w:rsid w:val="00621F92"/>
    <w:rsid w:val="0062280A"/>
    <w:rsid w:val="00623FF7"/>
    <w:rsid w:val="00625639"/>
    <w:rsid w:val="0062680C"/>
    <w:rsid w:val="00626E09"/>
    <w:rsid w:val="00626FA9"/>
    <w:rsid w:val="00631B33"/>
    <w:rsid w:val="0064184D"/>
    <w:rsid w:val="006422CC"/>
    <w:rsid w:val="006436AC"/>
    <w:rsid w:val="006606E0"/>
    <w:rsid w:val="00660809"/>
    <w:rsid w:val="00660E3E"/>
    <w:rsid w:val="006619E6"/>
    <w:rsid w:val="00662E74"/>
    <w:rsid w:val="006709AE"/>
    <w:rsid w:val="006714BC"/>
    <w:rsid w:val="00673C2A"/>
    <w:rsid w:val="00680C23"/>
    <w:rsid w:val="0068169C"/>
    <w:rsid w:val="00686E23"/>
    <w:rsid w:val="00686EAF"/>
    <w:rsid w:val="00692BDE"/>
    <w:rsid w:val="00693766"/>
    <w:rsid w:val="006A1530"/>
    <w:rsid w:val="006A3281"/>
    <w:rsid w:val="006B4888"/>
    <w:rsid w:val="006C2E45"/>
    <w:rsid w:val="006C359C"/>
    <w:rsid w:val="006C37BA"/>
    <w:rsid w:val="006C5579"/>
    <w:rsid w:val="006D36A5"/>
    <w:rsid w:val="006D6E8B"/>
    <w:rsid w:val="006E737D"/>
    <w:rsid w:val="0070348F"/>
    <w:rsid w:val="007064C1"/>
    <w:rsid w:val="00713973"/>
    <w:rsid w:val="00717253"/>
    <w:rsid w:val="00720A24"/>
    <w:rsid w:val="00725A41"/>
    <w:rsid w:val="00732386"/>
    <w:rsid w:val="00733B2E"/>
    <w:rsid w:val="0073514D"/>
    <w:rsid w:val="00735A66"/>
    <w:rsid w:val="007447F3"/>
    <w:rsid w:val="0075499F"/>
    <w:rsid w:val="007661C8"/>
    <w:rsid w:val="0077098D"/>
    <w:rsid w:val="007823A2"/>
    <w:rsid w:val="007832F3"/>
    <w:rsid w:val="00790F65"/>
    <w:rsid w:val="007931FA"/>
    <w:rsid w:val="007A2FE0"/>
    <w:rsid w:val="007A4861"/>
    <w:rsid w:val="007A7BBA"/>
    <w:rsid w:val="007B0C50"/>
    <w:rsid w:val="007B48F9"/>
    <w:rsid w:val="007B6C87"/>
    <w:rsid w:val="007C1A43"/>
    <w:rsid w:val="007C70A3"/>
    <w:rsid w:val="007D0951"/>
    <w:rsid w:val="0080013E"/>
    <w:rsid w:val="00803A2A"/>
    <w:rsid w:val="0081246B"/>
    <w:rsid w:val="00813288"/>
    <w:rsid w:val="008168FC"/>
    <w:rsid w:val="0082269E"/>
    <w:rsid w:val="00830996"/>
    <w:rsid w:val="008345F1"/>
    <w:rsid w:val="0083466B"/>
    <w:rsid w:val="00865B07"/>
    <w:rsid w:val="008667EA"/>
    <w:rsid w:val="00870297"/>
    <w:rsid w:val="00875D7F"/>
    <w:rsid w:val="00876346"/>
    <w:rsid w:val="0087637F"/>
    <w:rsid w:val="008874A4"/>
    <w:rsid w:val="00892AD5"/>
    <w:rsid w:val="008965D4"/>
    <w:rsid w:val="008A1512"/>
    <w:rsid w:val="008A1BC8"/>
    <w:rsid w:val="008A2FC1"/>
    <w:rsid w:val="008D32B9"/>
    <w:rsid w:val="008D433B"/>
    <w:rsid w:val="008D4A16"/>
    <w:rsid w:val="008E113D"/>
    <w:rsid w:val="008E489E"/>
    <w:rsid w:val="008E4EA0"/>
    <w:rsid w:val="008E566E"/>
    <w:rsid w:val="008E5F72"/>
    <w:rsid w:val="008E6DF2"/>
    <w:rsid w:val="00900912"/>
    <w:rsid w:val="0090161A"/>
    <w:rsid w:val="00901E45"/>
    <w:rsid w:val="00901EB6"/>
    <w:rsid w:val="009026A6"/>
    <w:rsid w:val="00904C62"/>
    <w:rsid w:val="00912861"/>
    <w:rsid w:val="00915522"/>
    <w:rsid w:val="00922BA8"/>
    <w:rsid w:val="00924DAC"/>
    <w:rsid w:val="00927058"/>
    <w:rsid w:val="00934557"/>
    <w:rsid w:val="009415C6"/>
    <w:rsid w:val="00942750"/>
    <w:rsid w:val="009450CE"/>
    <w:rsid w:val="009459BB"/>
    <w:rsid w:val="00947179"/>
    <w:rsid w:val="0095164B"/>
    <w:rsid w:val="00951F89"/>
    <w:rsid w:val="00954090"/>
    <w:rsid w:val="00956731"/>
    <w:rsid w:val="009573E7"/>
    <w:rsid w:val="00963E05"/>
    <w:rsid w:val="00964A45"/>
    <w:rsid w:val="00967843"/>
    <w:rsid w:val="00967D54"/>
    <w:rsid w:val="00971028"/>
    <w:rsid w:val="0097380D"/>
    <w:rsid w:val="009873CF"/>
    <w:rsid w:val="00990B89"/>
    <w:rsid w:val="00993B84"/>
    <w:rsid w:val="00995EC9"/>
    <w:rsid w:val="00996483"/>
    <w:rsid w:val="00996F5A"/>
    <w:rsid w:val="009B041A"/>
    <w:rsid w:val="009B4BB9"/>
    <w:rsid w:val="009C08A3"/>
    <w:rsid w:val="009C0E1F"/>
    <w:rsid w:val="009C2FC7"/>
    <w:rsid w:val="009C37C3"/>
    <w:rsid w:val="009C47E4"/>
    <w:rsid w:val="009C7C86"/>
    <w:rsid w:val="009D02D2"/>
    <w:rsid w:val="009D2FF7"/>
    <w:rsid w:val="009E7884"/>
    <w:rsid w:val="009E788A"/>
    <w:rsid w:val="009F0E08"/>
    <w:rsid w:val="009F11EF"/>
    <w:rsid w:val="009F2B71"/>
    <w:rsid w:val="009F6A1C"/>
    <w:rsid w:val="009F7810"/>
    <w:rsid w:val="00A1763D"/>
    <w:rsid w:val="00A17CEC"/>
    <w:rsid w:val="00A2118B"/>
    <w:rsid w:val="00A27EF0"/>
    <w:rsid w:val="00A40032"/>
    <w:rsid w:val="00A42361"/>
    <w:rsid w:val="00A50B20"/>
    <w:rsid w:val="00A51390"/>
    <w:rsid w:val="00A53C1D"/>
    <w:rsid w:val="00A57C82"/>
    <w:rsid w:val="00A60D13"/>
    <w:rsid w:val="00A7223D"/>
    <w:rsid w:val="00A72745"/>
    <w:rsid w:val="00A755E4"/>
    <w:rsid w:val="00A76EFC"/>
    <w:rsid w:val="00A87D50"/>
    <w:rsid w:val="00A91010"/>
    <w:rsid w:val="00A97F29"/>
    <w:rsid w:val="00AA702E"/>
    <w:rsid w:val="00AA7D26"/>
    <w:rsid w:val="00AB0964"/>
    <w:rsid w:val="00AB292D"/>
    <w:rsid w:val="00AB3AE7"/>
    <w:rsid w:val="00AB5011"/>
    <w:rsid w:val="00AC7368"/>
    <w:rsid w:val="00AC7BBD"/>
    <w:rsid w:val="00AD16B9"/>
    <w:rsid w:val="00AD4782"/>
    <w:rsid w:val="00AE377D"/>
    <w:rsid w:val="00AE7EFD"/>
    <w:rsid w:val="00AF0995"/>
    <w:rsid w:val="00AF0EBA"/>
    <w:rsid w:val="00AF4EB1"/>
    <w:rsid w:val="00B0241A"/>
    <w:rsid w:val="00B02C8A"/>
    <w:rsid w:val="00B12EC3"/>
    <w:rsid w:val="00B1397C"/>
    <w:rsid w:val="00B158BF"/>
    <w:rsid w:val="00B17FBD"/>
    <w:rsid w:val="00B315A6"/>
    <w:rsid w:val="00B31813"/>
    <w:rsid w:val="00B33365"/>
    <w:rsid w:val="00B40AD3"/>
    <w:rsid w:val="00B43E42"/>
    <w:rsid w:val="00B44E74"/>
    <w:rsid w:val="00B4599A"/>
    <w:rsid w:val="00B503E3"/>
    <w:rsid w:val="00B52002"/>
    <w:rsid w:val="00B57B36"/>
    <w:rsid w:val="00B57E6F"/>
    <w:rsid w:val="00B7501E"/>
    <w:rsid w:val="00B82744"/>
    <w:rsid w:val="00B8686D"/>
    <w:rsid w:val="00B93F69"/>
    <w:rsid w:val="00B9586B"/>
    <w:rsid w:val="00B97F4E"/>
    <w:rsid w:val="00BA4D30"/>
    <w:rsid w:val="00BB1DDC"/>
    <w:rsid w:val="00BC30C9"/>
    <w:rsid w:val="00BD077D"/>
    <w:rsid w:val="00BD0C7F"/>
    <w:rsid w:val="00BD4196"/>
    <w:rsid w:val="00BD7B9E"/>
    <w:rsid w:val="00BE236C"/>
    <w:rsid w:val="00BE3E58"/>
    <w:rsid w:val="00BF5EEF"/>
    <w:rsid w:val="00C00E82"/>
    <w:rsid w:val="00C01616"/>
    <w:rsid w:val="00C0162B"/>
    <w:rsid w:val="00C01A55"/>
    <w:rsid w:val="00C02D85"/>
    <w:rsid w:val="00C068ED"/>
    <w:rsid w:val="00C22E0C"/>
    <w:rsid w:val="00C345B1"/>
    <w:rsid w:val="00C35C22"/>
    <w:rsid w:val="00C40142"/>
    <w:rsid w:val="00C4159B"/>
    <w:rsid w:val="00C42859"/>
    <w:rsid w:val="00C44993"/>
    <w:rsid w:val="00C476D5"/>
    <w:rsid w:val="00C52B4D"/>
    <w:rsid w:val="00C52C3C"/>
    <w:rsid w:val="00C57182"/>
    <w:rsid w:val="00C57863"/>
    <w:rsid w:val="00C640AF"/>
    <w:rsid w:val="00C655FD"/>
    <w:rsid w:val="00C75407"/>
    <w:rsid w:val="00C75EC8"/>
    <w:rsid w:val="00C83FE5"/>
    <w:rsid w:val="00C870A8"/>
    <w:rsid w:val="00C94434"/>
    <w:rsid w:val="00C96709"/>
    <w:rsid w:val="00CA0D75"/>
    <w:rsid w:val="00CA1C95"/>
    <w:rsid w:val="00CA5A9C"/>
    <w:rsid w:val="00CC095A"/>
    <w:rsid w:val="00CC4C20"/>
    <w:rsid w:val="00CD3517"/>
    <w:rsid w:val="00CD5FE2"/>
    <w:rsid w:val="00CE7C68"/>
    <w:rsid w:val="00D02B4C"/>
    <w:rsid w:val="00D040C4"/>
    <w:rsid w:val="00D1396E"/>
    <w:rsid w:val="00D20AD1"/>
    <w:rsid w:val="00D30008"/>
    <w:rsid w:val="00D3795A"/>
    <w:rsid w:val="00D46B7E"/>
    <w:rsid w:val="00D5079D"/>
    <w:rsid w:val="00D57C84"/>
    <w:rsid w:val="00D6057D"/>
    <w:rsid w:val="00D66E9A"/>
    <w:rsid w:val="00D70569"/>
    <w:rsid w:val="00D71640"/>
    <w:rsid w:val="00D7320A"/>
    <w:rsid w:val="00D836C5"/>
    <w:rsid w:val="00D84576"/>
    <w:rsid w:val="00DA1399"/>
    <w:rsid w:val="00DA231B"/>
    <w:rsid w:val="00DA24C6"/>
    <w:rsid w:val="00DA4D7B"/>
    <w:rsid w:val="00DA587F"/>
    <w:rsid w:val="00DB0332"/>
    <w:rsid w:val="00DD271C"/>
    <w:rsid w:val="00DE264A"/>
    <w:rsid w:val="00DF4FFA"/>
    <w:rsid w:val="00DF5072"/>
    <w:rsid w:val="00E02D18"/>
    <w:rsid w:val="00E038F5"/>
    <w:rsid w:val="00E041E7"/>
    <w:rsid w:val="00E05C2A"/>
    <w:rsid w:val="00E1086B"/>
    <w:rsid w:val="00E13271"/>
    <w:rsid w:val="00E1640F"/>
    <w:rsid w:val="00E23CA1"/>
    <w:rsid w:val="00E23E2D"/>
    <w:rsid w:val="00E25385"/>
    <w:rsid w:val="00E27F03"/>
    <w:rsid w:val="00E33467"/>
    <w:rsid w:val="00E409A8"/>
    <w:rsid w:val="00E50C12"/>
    <w:rsid w:val="00E614FC"/>
    <w:rsid w:val="00E65145"/>
    <w:rsid w:val="00E652C0"/>
    <w:rsid w:val="00E65B91"/>
    <w:rsid w:val="00E7209D"/>
    <w:rsid w:val="00E72EAD"/>
    <w:rsid w:val="00E73C9F"/>
    <w:rsid w:val="00E75FE8"/>
    <w:rsid w:val="00E77223"/>
    <w:rsid w:val="00E822EF"/>
    <w:rsid w:val="00E8528B"/>
    <w:rsid w:val="00E85B94"/>
    <w:rsid w:val="00E91909"/>
    <w:rsid w:val="00E978D0"/>
    <w:rsid w:val="00EA34C7"/>
    <w:rsid w:val="00EA4613"/>
    <w:rsid w:val="00EA7F91"/>
    <w:rsid w:val="00EB1523"/>
    <w:rsid w:val="00EB37D4"/>
    <w:rsid w:val="00EB3AB8"/>
    <w:rsid w:val="00EB6EA7"/>
    <w:rsid w:val="00EC0E49"/>
    <w:rsid w:val="00EC101F"/>
    <w:rsid w:val="00EC1208"/>
    <w:rsid w:val="00EC1D9F"/>
    <w:rsid w:val="00EC3FB6"/>
    <w:rsid w:val="00EC4707"/>
    <w:rsid w:val="00EE0131"/>
    <w:rsid w:val="00EE17B0"/>
    <w:rsid w:val="00EE1983"/>
    <w:rsid w:val="00EE380F"/>
    <w:rsid w:val="00EF06D9"/>
    <w:rsid w:val="00F12FC9"/>
    <w:rsid w:val="00F14691"/>
    <w:rsid w:val="00F20615"/>
    <w:rsid w:val="00F3049E"/>
    <w:rsid w:val="00F30C64"/>
    <w:rsid w:val="00F32BA2"/>
    <w:rsid w:val="00F32CDB"/>
    <w:rsid w:val="00F37E74"/>
    <w:rsid w:val="00F40B55"/>
    <w:rsid w:val="00F4170E"/>
    <w:rsid w:val="00F565FE"/>
    <w:rsid w:val="00F63A70"/>
    <w:rsid w:val="00F63D8C"/>
    <w:rsid w:val="00F7534E"/>
    <w:rsid w:val="00F771CF"/>
    <w:rsid w:val="00F93DB3"/>
    <w:rsid w:val="00F93EDF"/>
    <w:rsid w:val="00F9606C"/>
    <w:rsid w:val="00FA098E"/>
    <w:rsid w:val="00FA1802"/>
    <w:rsid w:val="00FA21D0"/>
    <w:rsid w:val="00FA2451"/>
    <w:rsid w:val="00FA51FD"/>
    <w:rsid w:val="00FA5F5F"/>
    <w:rsid w:val="00FB504F"/>
    <w:rsid w:val="00FB61C1"/>
    <w:rsid w:val="00FB630B"/>
    <w:rsid w:val="00FB730C"/>
    <w:rsid w:val="00FC2695"/>
    <w:rsid w:val="00FC3E03"/>
    <w:rsid w:val="00FC3FC1"/>
    <w:rsid w:val="00FD1590"/>
    <w:rsid w:val="00FD302E"/>
    <w:rsid w:val="00FD7D3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emf"/><Relationship Id="rId28" Type="http://schemas.openxmlformats.org/officeDocument/2006/relationships/oleObject" Target="embeddings/oleObject5.bin"/><Relationship Id="rId10" Type="http://schemas.openxmlformats.org/officeDocument/2006/relationships/image" Target="media/image3.emf"/><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1.emf"/><Relationship Id="rId27" Type="http://schemas.openxmlformats.org/officeDocument/2006/relationships/image" Target="media/image16.wmf"/><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5E7D7-A807-463E-BA3A-859E2A02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3801</Words>
  <Characters>21667</Characters>
  <Application>Microsoft Office Word</Application>
  <DocSecurity>0</DocSecurity>
  <Lines>180</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Restelli</dc:creator>
  <cp:lastModifiedBy>Federica Restelli</cp:lastModifiedBy>
  <cp:revision>3</cp:revision>
  <cp:lastPrinted>2015-05-12T18:31:00Z</cp:lastPrinted>
  <dcterms:created xsi:type="dcterms:W3CDTF">2023-03-10T14:34:00Z</dcterms:created>
  <dcterms:modified xsi:type="dcterms:W3CDTF">2023-03-16T08:08:00Z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TWinEqns">
    <vt:bool>true</vt:bool>
  </property>
  <property fmtid="{D5CDD505-2E9C-101B-9397-08002B2CF9AE}" pid="5" name="MTEquationNumber2">
    <vt:lpwstr>(#S1.#E1)</vt:lpwstr>
  </property>
  <property fmtid="{D5CDD505-2E9C-101B-9397-08002B2CF9AE}" pid="6" name="MTEquationSection">
    <vt:lpwstr>1</vt:lpwstr>
  </property>
</Properties>
</file>