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A70BB">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A70BB">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A70BB">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1458744" w:rsidR="00E978D0" w:rsidRPr="00B57B36" w:rsidRDefault="000A70BB" w:rsidP="00E978D0">
      <w:pPr>
        <w:pStyle w:val="CETTitle"/>
      </w:pPr>
      <w:r w:rsidRPr="000A70BB">
        <w:t xml:space="preserve">Intensification of Processes for the Production of Active Pharmaceutical Ingredients: </w:t>
      </w:r>
      <w:r w:rsidR="000A217D">
        <w:t>I</w:t>
      </w:r>
      <w:r w:rsidRPr="000A70BB">
        <w:t xml:space="preserve">ncrease in </w:t>
      </w:r>
      <w:r w:rsidR="000A217D">
        <w:t>S</w:t>
      </w:r>
      <w:r w:rsidRPr="000A70BB">
        <w:t>afety and</w:t>
      </w:r>
      <w:r>
        <w:t xml:space="preserve"> </w:t>
      </w:r>
      <w:r w:rsidR="000A217D">
        <w:t>S</w:t>
      </w:r>
      <w:r w:rsidRPr="000A70BB">
        <w:t>ustainability</w:t>
      </w:r>
    </w:p>
    <w:p w14:paraId="0488FED2" w14:textId="502B3D1B" w:rsidR="00B57E6F" w:rsidRPr="000A70BB" w:rsidRDefault="000A70BB" w:rsidP="00B57E6F">
      <w:pPr>
        <w:pStyle w:val="CETAuthors"/>
        <w:rPr>
          <w:lang w:val="it-IT"/>
        </w:rPr>
      </w:pPr>
      <w:r w:rsidRPr="000A70BB">
        <w:rPr>
          <w:lang w:val="it-IT"/>
        </w:rPr>
        <w:t>Valentina Busini</w:t>
      </w:r>
      <w:r w:rsidRPr="000A70BB">
        <w:rPr>
          <w:vertAlign w:val="superscript"/>
          <w:lang w:val="it-IT"/>
        </w:rPr>
        <w:t>a</w:t>
      </w:r>
      <w:r w:rsidRPr="000A70BB">
        <w:rPr>
          <w:lang w:val="it-IT"/>
        </w:rPr>
        <w:t>, Federico Florit</w:t>
      </w:r>
      <w:r w:rsidRPr="000A70BB">
        <w:rPr>
          <w:vertAlign w:val="superscript"/>
          <w:lang w:val="it-IT"/>
        </w:rPr>
        <w:t>b</w:t>
      </w:r>
      <w:r w:rsidRPr="000A70BB">
        <w:rPr>
          <w:lang w:val="it-IT"/>
        </w:rPr>
        <w:t>, Marco Barozzi</w:t>
      </w:r>
      <w:r w:rsidRPr="000A70BB">
        <w:rPr>
          <w:vertAlign w:val="superscript"/>
          <w:lang w:val="it-IT"/>
        </w:rPr>
        <w:t>c</w:t>
      </w:r>
      <w:r w:rsidRPr="000A70BB">
        <w:rPr>
          <w:lang w:val="it-IT"/>
        </w:rPr>
        <w:t xml:space="preserve">, </w:t>
      </w:r>
      <w:r w:rsidR="001075C2">
        <w:rPr>
          <w:lang w:val="it-IT"/>
        </w:rPr>
        <w:t>Elisabetta Sieni</w:t>
      </w:r>
      <w:r w:rsidR="001075C2">
        <w:rPr>
          <w:vertAlign w:val="superscript"/>
          <w:lang w:val="it-IT"/>
        </w:rPr>
        <w:t>d</w:t>
      </w:r>
      <w:r w:rsidR="001075C2">
        <w:rPr>
          <w:lang w:val="it-IT"/>
        </w:rPr>
        <w:t xml:space="preserve">, </w:t>
      </w:r>
      <w:r w:rsidRPr="000A70BB">
        <w:rPr>
          <w:lang w:val="it-IT"/>
        </w:rPr>
        <w:t>Sabrina Copelli*</w:t>
      </w:r>
      <w:r w:rsidRPr="000A70BB">
        <w:rPr>
          <w:vertAlign w:val="superscript"/>
          <w:lang w:val="it-IT"/>
        </w:rPr>
        <w:t>,c</w:t>
      </w:r>
    </w:p>
    <w:p w14:paraId="2F6DFCDA" w14:textId="3F6872A4" w:rsidR="000A70BB" w:rsidRPr="000A70BB" w:rsidRDefault="00B57E6F" w:rsidP="000A70BB">
      <w:pPr>
        <w:pStyle w:val="CETAddress"/>
        <w:rPr>
          <w:lang w:val="en-US"/>
        </w:rPr>
      </w:pPr>
      <w:r w:rsidRPr="000A70BB">
        <w:rPr>
          <w:vertAlign w:val="superscript"/>
          <w:lang w:val="en-US"/>
        </w:rPr>
        <w:t>a</w:t>
      </w:r>
      <w:r w:rsidR="000A70BB" w:rsidRPr="000A70BB">
        <w:rPr>
          <w:lang w:val="en-US"/>
        </w:rPr>
        <w:t>Department of Chemistry Materials and Chemical Engineering , Politecnico di Milano, Via Mancinelli 7, 20133, Milano, Italy</w:t>
      </w:r>
    </w:p>
    <w:p w14:paraId="298A020D" w14:textId="000188E4" w:rsidR="000A70BB" w:rsidRDefault="000A70BB" w:rsidP="000A70BB">
      <w:pPr>
        <w:pStyle w:val="CETAddress"/>
      </w:pPr>
      <w:r w:rsidRPr="000A70BB">
        <w:rPr>
          <w:vertAlign w:val="superscript"/>
        </w:rPr>
        <w:t>b</w:t>
      </w:r>
      <w:r>
        <w:t>Department of Chemical Engineering, Massachusetts Institute of Technology, 77 Massachusetts Ave, MA 02139, Cambridge, USA</w:t>
      </w:r>
    </w:p>
    <w:p w14:paraId="3D72B0B0" w14:textId="7D2DAA2F" w:rsidR="00B57E6F" w:rsidRDefault="000A70BB" w:rsidP="000A70BB">
      <w:pPr>
        <w:pStyle w:val="CETAddress"/>
        <w:rPr>
          <w:lang w:val="en-US"/>
        </w:rPr>
      </w:pPr>
      <w:r w:rsidRPr="000A70BB">
        <w:rPr>
          <w:vertAlign w:val="superscript"/>
          <w:lang w:val="en-US"/>
        </w:rPr>
        <w:t>c</w:t>
      </w:r>
      <w:r w:rsidRPr="000A70BB">
        <w:rPr>
          <w:lang w:val="en-US"/>
        </w:rPr>
        <w:t>Department of Science and High Technology</w:t>
      </w:r>
      <w:r>
        <w:rPr>
          <w:lang w:val="en-US"/>
        </w:rPr>
        <w:t>,</w:t>
      </w:r>
      <w:r w:rsidRPr="000A70BB">
        <w:rPr>
          <w:lang w:val="en-US"/>
        </w:rPr>
        <w:t xml:space="preserve"> Università degli Studi dell’Insubria – Via Vall</w:t>
      </w:r>
      <w:r>
        <w:rPr>
          <w:lang w:val="en-US"/>
        </w:rPr>
        <w:t>eggio</w:t>
      </w:r>
      <w:r w:rsidRPr="000A70BB">
        <w:rPr>
          <w:lang w:val="en-US"/>
        </w:rPr>
        <w:t xml:space="preserve"> </w:t>
      </w:r>
      <w:r>
        <w:rPr>
          <w:lang w:val="en-US"/>
        </w:rPr>
        <w:t>9,</w:t>
      </w:r>
      <w:r w:rsidRPr="000A70BB">
        <w:rPr>
          <w:lang w:val="en-US"/>
        </w:rPr>
        <w:t xml:space="preserve"> 2</w:t>
      </w:r>
      <w:r>
        <w:rPr>
          <w:lang w:val="en-US"/>
        </w:rPr>
        <w:t>2</w:t>
      </w:r>
      <w:r w:rsidRPr="000A70BB">
        <w:rPr>
          <w:lang w:val="en-US"/>
        </w:rPr>
        <w:t>100</w:t>
      </w:r>
      <w:r>
        <w:rPr>
          <w:lang w:val="en-US"/>
        </w:rPr>
        <w:t>,</w:t>
      </w:r>
      <w:r w:rsidRPr="000A70BB">
        <w:rPr>
          <w:lang w:val="en-US"/>
        </w:rPr>
        <w:t xml:space="preserve"> </w:t>
      </w:r>
      <w:r>
        <w:rPr>
          <w:lang w:val="en-US"/>
        </w:rPr>
        <w:t xml:space="preserve">Como, </w:t>
      </w:r>
      <w:r w:rsidRPr="000A70BB">
        <w:rPr>
          <w:lang w:val="en-US"/>
        </w:rPr>
        <w:t>Italy</w:t>
      </w:r>
    </w:p>
    <w:p w14:paraId="551752E5" w14:textId="53BAF58E" w:rsidR="001075C2" w:rsidRPr="000A70BB" w:rsidRDefault="001075C2" w:rsidP="000A70BB">
      <w:pPr>
        <w:pStyle w:val="CETAddress"/>
        <w:rPr>
          <w:lang w:val="en-US"/>
        </w:rPr>
      </w:pPr>
      <w:r>
        <w:rPr>
          <w:vertAlign w:val="superscript"/>
          <w:lang w:val="en-US"/>
        </w:rPr>
        <w:t>d</w:t>
      </w:r>
      <w:r w:rsidRPr="000A70BB">
        <w:rPr>
          <w:lang w:val="en-US"/>
        </w:rPr>
        <w:t xml:space="preserve">Department of </w:t>
      </w:r>
      <w:r>
        <w:rPr>
          <w:lang w:val="en-US"/>
        </w:rPr>
        <w:t xml:space="preserve">Theoretical </w:t>
      </w:r>
      <w:r w:rsidR="00D349C7">
        <w:rPr>
          <w:lang w:val="en-US"/>
        </w:rPr>
        <w:t xml:space="preserve">and Applied </w:t>
      </w:r>
      <w:r w:rsidRPr="000A70BB">
        <w:rPr>
          <w:lang w:val="en-US"/>
        </w:rPr>
        <w:t>Science</w:t>
      </w:r>
      <w:r>
        <w:rPr>
          <w:lang w:val="en-US"/>
        </w:rPr>
        <w:t>,</w:t>
      </w:r>
      <w:r w:rsidRPr="000A70BB">
        <w:rPr>
          <w:lang w:val="en-US"/>
        </w:rPr>
        <w:t xml:space="preserve"> Università degli Studi dell’Insubria – Via </w:t>
      </w:r>
      <w:r w:rsidR="00D349C7">
        <w:rPr>
          <w:lang w:val="en-US"/>
        </w:rPr>
        <w:t>Dunant</w:t>
      </w:r>
      <w:r w:rsidRPr="000A70BB">
        <w:rPr>
          <w:lang w:val="en-US"/>
        </w:rPr>
        <w:t xml:space="preserve"> </w:t>
      </w:r>
      <w:r w:rsidR="00D349C7">
        <w:rPr>
          <w:lang w:val="en-US"/>
        </w:rPr>
        <w:t>3</w:t>
      </w:r>
      <w:r>
        <w:rPr>
          <w:lang w:val="en-US"/>
        </w:rPr>
        <w:t>,</w:t>
      </w:r>
      <w:r w:rsidRPr="000A70BB">
        <w:rPr>
          <w:lang w:val="en-US"/>
        </w:rPr>
        <w:t xml:space="preserve"> 2</w:t>
      </w:r>
      <w:r w:rsidR="00D349C7">
        <w:rPr>
          <w:lang w:val="en-US"/>
        </w:rPr>
        <w:t>1</w:t>
      </w:r>
      <w:r w:rsidRPr="000A70BB">
        <w:rPr>
          <w:lang w:val="en-US"/>
        </w:rPr>
        <w:t>100</w:t>
      </w:r>
      <w:r>
        <w:rPr>
          <w:lang w:val="en-US"/>
        </w:rPr>
        <w:t>,</w:t>
      </w:r>
      <w:r w:rsidRPr="000A70BB">
        <w:rPr>
          <w:lang w:val="en-US"/>
        </w:rPr>
        <w:t xml:space="preserve"> </w:t>
      </w:r>
      <w:r w:rsidR="00D349C7">
        <w:rPr>
          <w:lang w:val="en-US"/>
        </w:rPr>
        <w:t>Varese</w:t>
      </w:r>
      <w:r>
        <w:rPr>
          <w:lang w:val="en-US"/>
        </w:rPr>
        <w:t xml:space="preserve">, </w:t>
      </w:r>
      <w:r w:rsidRPr="000A70BB">
        <w:rPr>
          <w:lang w:val="en-US"/>
        </w:rPr>
        <w:t>Italy</w:t>
      </w:r>
    </w:p>
    <w:p w14:paraId="73F1267A" w14:textId="1838F385" w:rsidR="00B57E6F" w:rsidRPr="00B57B36" w:rsidRDefault="00FA6FE9" w:rsidP="00B57E6F">
      <w:pPr>
        <w:pStyle w:val="CETemail"/>
      </w:pPr>
      <w:r w:rsidRPr="00CB349B">
        <w:rPr>
          <w:lang w:val="en-US"/>
        </w:rPr>
        <w:t>*</w:t>
      </w:r>
      <w:r w:rsidR="00B57E6F" w:rsidRPr="000A70BB">
        <w:rPr>
          <w:lang w:val="en-US"/>
        </w:rPr>
        <w:t xml:space="preserve"> </w:t>
      </w:r>
      <w:r w:rsidR="000A70BB">
        <w:t>sabrina.copelli</w:t>
      </w:r>
      <w:r w:rsidR="00B57E6F" w:rsidRPr="00B57B36">
        <w:t>@</w:t>
      </w:r>
      <w:r w:rsidR="000A70BB">
        <w:t>uninsubria.it</w:t>
      </w:r>
    </w:p>
    <w:p w14:paraId="428A2D77" w14:textId="77777777" w:rsidR="000806D8" w:rsidRPr="001B787F" w:rsidRDefault="000806D8" w:rsidP="000806D8">
      <w:pPr>
        <w:rPr>
          <w:lang w:val="en-US"/>
        </w:rPr>
      </w:pPr>
      <w:bookmarkStart w:id="0" w:name="_Hlk495475023"/>
      <w:r w:rsidRPr="001B787F">
        <w:rPr>
          <w:lang w:val="en-US"/>
        </w:rPr>
        <w:t>Fine chemical compounds and so-called "specialties" are generally synthesized through batch or semi-continuous processes. This is largely because such syntheses often involve complex and highly exothermic reactions, to be performed in semi-batch reactors for safety and/or selectivity reasons.</w:t>
      </w:r>
    </w:p>
    <w:p w14:paraId="49FF16AE" w14:textId="5D8794F2" w:rsidR="000806D8" w:rsidRPr="001B787F" w:rsidRDefault="000806D8" w:rsidP="000806D8">
      <w:pPr>
        <w:rPr>
          <w:lang w:val="en-US"/>
        </w:rPr>
      </w:pPr>
      <w:r w:rsidRPr="001B787F">
        <w:rPr>
          <w:lang w:val="en-US"/>
        </w:rPr>
        <w:t>An effective way to reduce costs and improve the reproducibility of such batch processes is to transform them into their continuous counterpart</w:t>
      </w:r>
      <w:r>
        <w:rPr>
          <w:lang w:val="en-US"/>
        </w:rPr>
        <w:t>s</w:t>
      </w:r>
      <w:r w:rsidRPr="001B787F">
        <w:rPr>
          <w:lang w:val="en-US"/>
        </w:rPr>
        <w:t xml:space="preserve"> to reduce volumes and investment costs, while increasing the inherent safety of the process thanks to fewer hold-ups. The </w:t>
      </w:r>
      <w:r>
        <w:rPr>
          <w:lang w:val="en-US"/>
        </w:rPr>
        <w:t xml:space="preserve">“shift to </w:t>
      </w:r>
      <w:r w:rsidRPr="001B787F">
        <w:rPr>
          <w:lang w:val="en-US"/>
        </w:rPr>
        <w:t>continuous</w:t>
      </w:r>
      <w:r>
        <w:rPr>
          <w:lang w:val="en-US"/>
        </w:rPr>
        <w:t>”</w:t>
      </w:r>
      <w:r w:rsidRPr="001B787F">
        <w:rPr>
          <w:lang w:val="en-US"/>
        </w:rPr>
        <w:t xml:space="preserve"> allows to reduce both the overall process times, with a general decrease in operating costs, and the content of solvents used as thermal flywheels, thanks to the greater efficiency of the heat exchange systems. </w:t>
      </w:r>
      <w:r w:rsidR="000A217D" w:rsidRPr="001B787F">
        <w:rPr>
          <w:lang w:val="en-US"/>
        </w:rPr>
        <w:t>All</w:t>
      </w:r>
      <w:r w:rsidRPr="001B787F">
        <w:rPr>
          <w:lang w:val="en-US"/>
        </w:rPr>
        <w:t xml:space="preserve"> these aspects are defined as process intensification. In this work, the intensification of the production process of N-(4-nitro, 2-phenoxyphenyl) methanesulfonamide (NIM) by nitration in glacial acetic acid of N-(2-phenoxyphenyl) methanesulfonamide (FAM) will be proposed. </w:t>
      </w:r>
      <w:r w:rsidR="00F334CC" w:rsidRPr="001B787F">
        <w:rPr>
          <w:lang w:val="en-US"/>
        </w:rPr>
        <w:t>Starting</w:t>
      </w:r>
      <w:r w:rsidRPr="001B787F">
        <w:rPr>
          <w:lang w:val="en-US"/>
        </w:rPr>
        <w:t xml:space="preserve"> from the original semi-batch recipe two different continuous configurations will be proposed: a series of tubular reactors and a series of continuous reactors with complete mixing, in both cases with intermediate injections. The solvent content (glacial acetic acid) has been drastically reduced (from 82.5% to 50% by weight) </w:t>
      </w:r>
      <w:r w:rsidR="00F334CC" w:rsidRPr="001B787F">
        <w:rPr>
          <w:lang w:val="en-US"/>
        </w:rPr>
        <w:t>to</w:t>
      </w:r>
      <w:r w:rsidRPr="001B787F">
        <w:rPr>
          <w:lang w:val="en-US"/>
        </w:rPr>
        <w:t xml:space="preserve"> increase the levels of environmental sustainability of the synthesis.</w:t>
      </w:r>
    </w:p>
    <w:p w14:paraId="5A15F2FE" w14:textId="3DBDEFFB" w:rsidR="000806D8" w:rsidRPr="001B787F" w:rsidRDefault="000806D8" w:rsidP="000806D8">
      <w:pPr>
        <w:rPr>
          <w:lang w:val="en-US"/>
        </w:rPr>
      </w:pPr>
      <w:r w:rsidRPr="001B787F">
        <w:rPr>
          <w:lang w:val="en-US"/>
        </w:rPr>
        <w:t xml:space="preserve">The high </w:t>
      </w:r>
      <w:r w:rsidRPr="006A72EC">
        <w:rPr>
          <w:lang w:val="en-US"/>
        </w:rPr>
        <w:t>exothermicity</w:t>
      </w:r>
      <w:r w:rsidRPr="001B787F">
        <w:rPr>
          <w:lang w:val="en-US"/>
        </w:rPr>
        <w:t xml:space="preserve"> of the process and the extremely rapid reaction kinetics were two fundamental aspects which had to be </w:t>
      </w:r>
      <w:r w:rsidR="00F334CC" w:rsidRPr="001B787F">
        <w:rPr>
          <w:lang w:val="en-US"/>
        </w:rPr>
        <w:t>considered</w:t>
      </w:r>
      <w:r w:rsidRPr="001B787F">
        <w:rPr>
          <w:lang w:val="en-US"/>
        </w:rPr>
        <w:t xml:space="preserve"> in the transition to the continuous process of the new formulation with reduced solvent content. For this reason, an ad hoc procedure </w:t>
      </w:r>
      <w:r>
        <w:rPr>
          <w:lang w:val="en-US"/>
        </w:rPr>
        <w:t>was</w:t>
      </w:r>
      <w:r w:rsidRPr="001B787F">
        <w:rPr>
          <w:lang w:val="en-US"/>
        </w:rPr>
        <w:t xml:space="preserve"> developed which allows the semi-batch recipe to be transformed into a corresponding one conducted in a tubular reactor with continuous lateral injections; this reactor was then discretized in the two reactor configurations mentioned above. The results obtained have shown how it is possible to obtain the desired product with practically unitary conversions using: a) a series of 4 isoperibolic tubular reactors, each with 4 discrete lateral feeds; b) a series of 5 mixed reactors with discrete side feeds. In both cases, the correct distribution of both the flow rate fed between the reactors in series and the temperatures of the cooling fluid (defined on the basis of the procedure developed for the passage of the process from discontinuous to continuous) was decisive for obtaining the desired performance. The series of tubular reactors was found to be optimal from the point of view of thermal control of the process, confirming that a series of tubular reactors is to be preferred in terms of safety compared to its counterpart with mixed reactors.</w:t>
      </w:r>
    </w:p>
    <w:bookmarkEnd w:id="0"/>
    <w:p w14:paraId="476B2F2E" w14:textId="77777777" w:rsidR="00600535" w:rsidRPr="00B57B36" w:rsidRDefault="00600535" w:rsidP="00600535">
      <w:pPr>
        <w:pStyle w:val="CETHeading1"/>
        <w:rPr>
          <w:lang w:val="en-GB"/>
        </w:rPr>
      </w:pPr>
      <w:r w:rsidRPr="00B57B36">
        <w:rPr>
          <w:lang w:val="en-GB"/>
        </w:rPr>
        <w:t>Introduction</w:t>
      </w:r>
    </w:p>
    <w:p w14:paraId="01BE54B7" w14:textId="5D98AFCA" w:rsidR="00C513DA" w:rsidRDefault="00B51735" w:rsidP="00CC5CC9">
      <w:pPr>
        <w:pStyle w:val="CETBodytext"/>
      </w:pPr>
      <w:r>
        <w:t xml:space="preserve">Process intensification is one of the most crucial aspects </w:t>
      </w:r>
      <w:r w:rsidR="00036D6A">
        <w:t>that will impact the future of chemical engineering</w:t>
      </w:r>
      <w:r w:rsidR="00D54EA0">
        <w:t xml:space="preserve"> </w:t>
      </w:r>
      <w:r w:rsidR="00D54EA0">
        <w:fldChar w:fldCharType="begin"/>
      </w:r>
      <w:r w:rsidR="00D54EA0">
        <w:instrText xml:space="preserve"> ADDIN ZOTERO_ITEM CSL_CITATION {"citationID":"P5lF2kTr","properties":{"formattedCitation":"(Ouyang et al., 2022)","plainCitation":"(Ouyang et al., 2022)","noteIndex":0},"citationItems":[{"id":48,"uris":["http://zotero.org/users/local/mDzd7GNh/items/QABMJZUY"],"itemData":{"id":48,"type":"article-journal","abstract":"The use of intensified equipment, heavily advocated by academia, encounters several hurdles to break through in the chemical industry. This has several reasons, such as the high capital expenditures and the associated long depreciation times, the strong focus on robustness/availability, preferably 8000 h per year, or the fact that benefits are only incremental. Next to the fact that all chemical companies are anxious to be the first to demonstrate new technology, a methodology or a road map for process intensification implementation in the chemical industry is beneficial. The presented work makes an attempt to bridge this gap by proposing a methodology perspective based on coupling: (1) lab-scale fundamental experiments, (2) computational fluid dynamics simulations &amp; optimization, and (3) process simulations &amp; assessment. This could enable low-cost process intensification innovation and help to bring the targeted process intensification technology to technology readiness level 5 and higher at a faster pace.","container-title":"Chemical Engineering and Processing - Process Intensification","DOI":"10.1016/j.cep.2022.109164","ISSN":"0255-2701","journalAbbreviation":"Chemical Engineering and Processing - Process Intensification","language":"en","page":"109164","source":"ScienceDirect","title":"Development of intensified reactors: A process intensification methodology perspective","title-short":"Development of intensified reactors","volume":"181","author":[{"family":"Ouyang","given":"Yi"},{"family":"Heynderickx","given":"Geraldine J."},{"family":"Van Geem","given":"Kevin M."}],"issued":{"date-parts":[["2022",11,1]]}}}],"schema":"https://github.com/citation-style-language/schema/raw/master/csl-citation.json"} </w:instrText>
      </w:r>
      <w:r w:rsidR="00D54EA0">
        <w:fldChar w:fldCharType="separate"/>
      </w:r>
      <w:r w:rsidR="00D54EA0" w:rsidRPr="00D54EA0">
        <w:rPr>
          <w:rFonts w:cs="Arial"/>
        </w:rPr>
        <w:t>(Ouyang et al., 2022)</w:t>
      </w:r>
      <w:r w:rsidR="00D54EA0">
        <w:fldChar w:fldCharType="end"/>
      </w:r>
      <w:r w:rsidR="00036D6A">
        <w:t xml:space="preserve">. While about 5-10 years ago the concept of process intensification was intended as a way to increase productivity, with maximizing economical income as major factor, today additional elements embrace the same cause. Process intensification is a way to potentially reduce workup volumes, leading to intrinsically </w:t>
      </w:r>
      <w:r w:rsidR="00036D6A">
        <w:lastRenderedPageBreak/>
        <w:t xml:space="preserve">safer processes (the net amount of energy that can be released by a </w:t>
      </w:r>
      <w:r w:rsidR="0029212A">
        <w:t xml:space="preserve">potentially </w:t>
      </w:r>
      <w:r w:rsidR="00036D6A">
        <w:t xml:space="preserve">runaway </w:t>
      </w:r>
      <w:r w:rsidR="00C721EF">
        <w:t xml:space="preserve">reaction </w:t>
      </w:r>
      <w:r w:rsidR="00036D6A">
        <w:t>is automatically reduced)</w:t>
      </w:r>
      <w:r w:rsidR="00D54EA0">
        <w:t xml:space="preserve"> </w:t>
      </w:r>
      <w:r w:rsidR="00D54EA0">
        <w:fldChar w:fldCharType="begin"/>
      </w:r>
      <w:r w:rsidR="00D54EA0">
        <w:instrText xml:space="preserve"> ADDIN ZOTERO_ITEM CSL_CITATION {"citationID":"kcXPiH0Y","properties":{"formattedCitation":"(Copelli et al., 2018)","plainCitation":"(Copelli et al., 2018)","noteIndex":0},"citationItems":[{"id":36,"uris":["http://zotero.org/users/local/mDzd7GNh/items/V24KTRQY"],"itemData":{"id":36,"type":"article-journal","abstract":"A great variety of processes of both fine chemical and pharmaceutical industries are commonly carried out in semibatch reactors (SBRs). Most of such syntheses often involve strongly exothermic and very fast reactions where the control of the heat evolution is achieved thanks to the combined effect of a dedicated cooling system and the feeding of a “cold” (mostly, ambient temperature) co-reactant. For these types of process, the well known phenomenon of “thermal runaway” can take place. Accordingly to the ever increasing market requests, the desired goal of whatever enterprise is to increase the productivity of a certain product being sure of maintaining safe operating conditions during all the synthesis steps. This is a very hard task which can be performed by changing the reactor operating mode from semibatch to continuous. A continuous reactor can achieve the same productivity of a discontinuous reactor using significantly lower reaction volumes; this means that the intrinsic safety of the process is increased. In this work, the switch from a semibatch reactor to a series of continuous stirred tank reactors has been investigated using as a case study the nitration of N-(2-Phenoxyphenyl) methane sulphonamide. Particularly, after the determination of the most effective number of reactors in the series and their effective volumes, dynamical simulations have been carried out in order to guarantee that possible thermal instabilities are not generated during the synthesis in both the start-up and the normal exercise phases.","container-title":"Journal of Loss Prevention in the Process Industries","DOI":"10.1016/j.jlp.2018.07.003","ISSN":"0950-4230","journalAbbreviation":"Journal of Loss Prevention in the Process Industries","language":"en","page":"289-302","source":"ScienceDirect","title":"Safe optimization of potentially runaway reactions: From fedbatch to continuous stirred tank type reactor","title-short":"Safe optimization of potentially runaway reactions","volume":"55","author":[{"family":"Copelli","given":"Sabrina"},{"family":"Barozzi","given":"Marco"},{"family":"Maestri","given":"Francesco"},{"family":"Rota","given":"Renato"}],"issued":{"date-parts":[["2018",9,1]]}}}],"schema":"https://github.com/citation-style-language/schema/raw/master/csl-citation.json"} </w:instrText>
      </w:r>
      <w:r w:rsidR="00D54EA0">
        <w:fldChar w:fldCharType="separate"/>
      </w:r>
      <w:r w:rsidR="00D54EA0" w:rsidRPr="00D54EA0">
        <w:rPr>
          <w:rFonts w:cs="Arial"/>
        </w:rPr>
        <w:t>(Copelli et al., 2018)</w:t>
      </w:r>
      <w:r w:rsidR="00D54EA0">
        <w:fldChar w:fldCharType="end"/>
      </w:r>
      <w:r w:rsidR="00036D6A">
        <w:t>. Energy management, which became by far the most important challenge to be faced, in particular after the Ukraine war</w:t>
      </w:r>
      <w:r w:rsidR="00D54EA0">
        <w:t xml:space="preserve"> </w:t>
      </w:r>
      <w:r w:rsidR="00D54EA0">
        <w:fldChar w:fldCharType="begin"/>
      </w:r>
      <w:r w:rsidR="00D54EA0">
        <w:instrText xml:space="preserve"> ADDIN ZOTERO_ITEM CSL_CITATION {"citationID":"sxfUbKjB","properties":{"formattedCitation":"(Cui et al., 2023)","plainCitation":"(Cui et al., 2023)","noteIndex":0},"citationItems":[{"id":50,"uris":["http://zotero.org/users/local/mDzd7GNh/items/M8INHZQ5"],"itemData":{"id":50,"type":"article-journal","abstract":"The Russo-Ukrainian war intensified the risk of global energy supply chain disruption, causing not only sharp fluctuations in energy prices in a short period of time but also disruptions to the global energy supply and economic and trade orders, with profound effects on global political and economic patterns in the long term. To explore the macroeconomic impact of the energy interruption caused by the Russo-Ukrainian war, a global multi-regional, multi-sector computable general equilibrium model was used for the empirical analysis. The results show that trade interruption alone would significantly impact the Ukrainian economy, causing its real GDP to fall by 4.18%. However, if the United States (US) and the Europe Union (EU) stop importing energy from Russia, the latter's economy will suffer a devastating blow, with a maximum decline in its real GDP reaching 5.49%. Developed countries are likely to incur heavy economic costs owing to their energy sanctions imposed against Russia. However, these costs are mainly borne by European nations, whereas the US suffers limited economic losses. Moreover, the Russo-Ukrainian war has limited impacts on global carbon abatement. In the strictest scenario, global energy consumption and carbon emissions will decrease by 0.600% and 0.915%, respectively. Exploring the boundary effects of the Russo-Ukrainian war on economic growth, energy consumption, and carbon emissions is useful for understanding the complex relationship between geopolitical conflicts, natural resource utilization, and carbon emissions.","container-title":"Resources Policy","DOI":"10.1016/j.resourpol.2023.103373","ISSN":"0301-4207","journalAbbreviation":"Resources Policy","language":"en","page":"103373","source":"ScienceDirect","title":"Exploring the risk and economic vulnerability of global energy supply chain interruption in the context of Russo-Ukrainian war","volume":"81","author":[{"family":"Cui","given":"Lianbiao"},{"family":"Yue","given":"Suyun"},{"family":"Nghiem","given":"Xuan-Hoa"},{"family":"Duan","given":"Mei"}],"issued":{"date-parts":[["2023",3,1]]}}}],"schema":"https://github.com/citation-style-language/schema/raw/master/csl-citation.json"} </w:instrText>
      </w:r>
      <w:r w:rsidR="00D54EA0">
        <w:fldChar w:fldCharType="separate"/>
      </w:r>
      <w:r w:rsidR="00D54EA0" w:rsidRPr="00D54EA0">
        <w:rPr>
          <w:rFonts w:cs="Arial"/>
        </w:rPr>
        <w:t>(Cui et al., 2023)</w:t>
      </w:r>
      <w:r w:rsidR="00D54EA0">
        <w:fldChar w:fldCharType="end"/>
      </w:r>
      <w:r w:rsidR="00036D6A">
        <w:t>, can be also approached with process intensification, by optimizing the energy required to heat and cool reaction volumes. At the current state, no general methods are available to perform process intensification. This is due to the extremely high variety of chemical processes. Since most of the industrial production, including pharmaceuticals, is currently performed u</w:t>
      </w:r>
      <w:r w:rsidR="0029212A">
        <w:t>sing</w:t>
      </w:r>
      <w:r w:rsidR="00036D6A">
        <w:t xml:space="preserve"> semi-batch</w:t>
      </w:r>
      <w:r w:rsidR="00D54EA0">
        <w:t xml:space="preserve"> </w:t>
      </w:r>
      <w:r w:rsidR="00D54EA0">
        <w:fldChar w:fldCharType="begin"/>
      </w:r>
      <w:r w:rsidR="00D54EA0">
        <w:instrText xml:space="preserve"> ADDIN ZOTERO_ITEM CSL_CITATION {"citationID":"HS14wQJo","properties":{"formattedCitation":"(J\\uc0\\u228{}hnisch et al., 2004)","plainCitation":"(Jähnisch et al., 2004)","noteIndex":0},"citationItems":[{"id":43,"uris":["http://zotero.org/users/local/mDzd7GNh/items/92HG8V43"],"itemData":{"id":43,"type":"article-journal","abstract":"The application of microstructured reactors in the chemical process industry has gained significant importance in recent years. Companies that offer not only microstructured reactors, but also entire chemical process plants and services relating to them, are already in existence. In addition, many institutes and universities are active within this field, and process-engineering-oriented reviews and a specialized book are available. Microstructured systems can be applied with particular success in the investigation of highly exothermic and fast reactions. Often the presence of temperature-induced side reactions can be significantly reduced through isothermal operations. Although microstructured reaction techniques have been shown to optimize many synthetic procedures, they have not yet received the attention they deserve in organic chemistry. For this reason, this Review aims to address this by providing an overview of the chemistry in microstructured reactors, grouped into liquid-phase, gas-phase, and gas-liquid reactions.","container-title":"Angewandte Chemie (International Ed. in English)","DOI":"10.1002/anie.200300577","ISSN":"1433-7851","issue":"4","journalAbbreviation":"Angew Chem Int Ed Engl","language":"eng","note":"PMID: 14735530","page":"406-446","source":"PubMed","title":"Chemistry in microstructured reactors","volume":"43","author":[{"family":"Jähnisch","given":"Klaus"},{"family":"Hessel","given":"Volker"},{"family":"Löwe","given":"Holger"},{"family":"Baerns","given":"Manfred"}],"issued":{"date-parts":[["2004",1,16]]}}}],"schema":"https://github.com/citation-style-language/schema/raw/master/csl-citation.json"} </w:instrText>
      </w:r>
      <w:r w:rsidR="00D54EA0">
        <w:fldChar w:fldCharType="separate"/>
      </w:r>
      <w:r w:rsidR="00D54EA0" w:rsidRPr="00D54EA0">
        <w:rPr>
          <w:rFonts w:cs="Arial"/>
          <w:szCs w:val="24"/>
        </w:rPr>
        <w:t>(Jähnisch et al., 2004)</w:t>
      </w:r>
      <w:r w:rsidR="00D54EA0">
        <w:fldChar w:fldCharType="end"/>
      </w:r>
      <w:r w:rsidR="00036D6A">
        <w:t>, many works can be found with the aim of transforming discontinuous processes into continuous ones</w:t>
      </w:r>
      <w:r w:rsidR="00D54EA0">
        <w:t xml:space="preserve"> </w:t>
      </w:r>
      <w:r w:rsidR="00D54EA0">
        <w:fldChar w:fldCharType="begin"/>
      </w:r>
      <w:r w:rsidR="00D54EA0">
        <w:instrText xml:space="preserve"> ADDIN ZOTERO_ITEM CSL_CITATION {"citationID":"kXeMpCyW","properties":{"formattedCitation":"(Zhang et al., 2018)","plainCitation":"(Zhang et al., 2018)","noteIndex":0},"citationItems":[{"id":39,"uris":["http://zotero.org/users/local/mDzd7GNh/items/VF4L9RFL"],"itemData":{"id":39,"type":"article-journal","abstract":"As a demonstration of an alternative to the challenges faced with batch pharmaceutical manufacturing including the large production footprint and lengthy time-scale, we previously reported a refrigerator-sized continuous flow system for the on-demand production of essential medicines. Building on this technology, herein we report a second-generation, reconfigurable and 25 % smaller (by volume) continuous flow pharmaceutical manufacturing platform featuring advances in reaction and purification equipment. Consisting of two compact [0.7 (L)×0.5 (D)×1.3 m (H)] stand-alone units for synthesis and purification/formulation processes, the capabilities of this automated system are demonstrated with the synthesis of nicardipine hydrochloride and the production of concentrated liquid doses of ciprofloxacin hydrochloride, neostigmine methylsulfate and rufinamide that meet US Pharmacopeia standards.","container-title":"Chemistry (Weinheim an Der Bergstrasse, Germany)","DOI":"10.1002/chem.201706004","ISSN":"1521-3765","issue":"11","journalAbbreviation":"Chemistry","language":"eng","note":"PMID: 29385292","page":"2776-2784","source":"PubMed","title":"Advanced Continuous Flow Platform for On-Demand Pharmaceutical Manufacturing","volume":"24","author":[{"family":"Zhang","given":"Ping"},{"family":"Weeranoppanant","given":"Nopphon"},{"family":"Thomas","given":"Dale A."},{"family":"Tahara","given":"Kohei"},{"family":"Stelzer","given":"Torsten"},{"family":"Russell","given":"Mary Grace"},{"family":"O'Mahony","given":"Marcus"},{"family":"Myerson","given":"Allan S."},{"family":"Lin","given":"Hongkun"},{"family":"Kelly","given":"Liam P."},{"family":"Jensen","given":"Klavs F."},{"family":"Jamison","given":"Timothy F."},{"family":"Dai","given":"Chunhui"},{"family":"Cui","given":"Yuqing"},{"family":"Briggs","given":"Naomi"},{"family":"Beingessner","given":"Rachel L."},{"family":"Adamo","given":"Andrea"}],"issued":{"date-parts":[["2018",2,21]]}}}],"schema":"https://github.com/citation-style-language/schema/raw/master/csl-citation.json"} </w:instrText>
      </w:r>
      <w:r w:rsidR="00D54EA0">
        <w:fldChar w:fldCharType="separate"/>
      </w:r>
      <w:r w:rsidR="00D54EA0" w:rsidRPr="00D54EA0">
        <w:rPr>
          <w:rFonts w:cs="Arial"/>
        </w:rPr>
        <w:t>(Zhang et al., 2018)</w:t>
      </w:r>
      <w:r w:rsidR="00D54EA0">
        <w:fldChar w:fldCharType="end"/>
      </w:r>
      <w:r w:rsidR="00036D6A">
        <w:t>.</w:t>
      </w:r>
      <w:r w:rsidR="00CB349B">
        <w:t xml:space="preserve"> Also, kinetic-free approaches are very attractive, since they do not require a detailed kinetic parameters study, that may be very costly for complex syntheses </w:t>
      </w:r>
      <w:r w:rsidR="00CB349B">
        <w:fldChar w:fldCharType="begin"/>
      </w:r>
      <w:r w:rsidR="00CB349B">
        <w:instrText xml:space="preserve"> ADDIN ZOTERO_ITEM CSL_CITATION {"citationID":"Q9G9C2SK","properties":{"formattedCitation":"(Maestri et al., 2020)","plainCitation":"(Maestri et al., 2020)","noteIndex":0},"citationItems":[{"id":52,"uris":["http://zotero.org/users/local/mDzd7GNh/items/98NMC7J4"],"itemData":{"id":52,"type":"article-journal","abstract":"In the fine chemical and pharmaceutical industries, plants are normally operated on a discontinuous multipurpose logic, according to which the same reactor is used for different products on a campaign basis. Moreover, when dealing with relatively fast and exothermic processes, the reaction is preferably performed in indirectly cooled semibatch reactors, where the conversion rate and the heat release can be better controlled. In these cases, if a constant product quality has to be achieved under safer and more efficient conditions, the shift to a continuous plant operation should be considered: this because of more reproducible operating conditions, an effective minimization of dead times and lower reactor volumes for the same production output. In this work a general and easy to use experimental procedure is presented, allowing for selecting the continuous process parameters at the industrial scale through semibatch laboratory experiments without a kinetic characterization of the system. © 2020 Elsevier B.V.","archive":"Scopus","container-title":"Chemical Engineering Journal","DOI":"10.1016/j.cej.2020.125061","ISSN":"1385-8947","language":"English","source":"Scopus","title":"Kinetic-free discontinuous to continuous transformation of fine chemical reactions: A general experimental procedure","title-short":"Kinetic-free discontinuous to continuous transformation of fine chemical reactions","volume":"395","author":[{"family":"Maestri","given":"F."},{"family":"Copelli","given":"S."},{"family":"Barozzi","given":"M."},{"family":"Rota","given":"R."}],"issued":{"date-parts":[["2020"]]}}}],"schema":"https://github.com/citation-style-language/schema/raw/master/csl-citation.json"} </w:instrText>
      </w:r>
      <w:r w:rsidR="00CB349B">
        <w:fldChar w:fldCharType="separate"/>
      </w:r>
      <w:r w:rsidR="00CB349B" w:rsidRPr="00CB349B">
        <w:rPr>
          <w:rFonts w:cs="Arial"/>
        </w:rPr>
        <w:t>(Maestri et al., 2020)</w:t>
      </w:r>
      <w:r w:rsidR="00CB349B">
        <w:fldChar w:fldCharType="end"/>
      </w:r>
      <w:r w:rsidR="00CB349B">
        <w:t>.</w:t>
      </w:r>
    </w:p>
    <w:p w14:paraId="5343BF1C" w14:textId="00831477" w:rsidR="00B51735" w:rsidRDefault="00B51735" w:rsidP="00CC5CC9">
      <w:pPr>
        <w:pStyle w:val="CETBodytext"/>
      </w:pPr>
      <w:r>
        <w:t>A Lateral Injection Reactor (LIR)</w:t>
      </w:r>
      <w:r w:rsidR="00C513DA">
        <w:t xml:space="preserve"> is a reactor designed </w:t>
      </w:r>
      <w:r w:rsidR="003E3545">
        <w:t>as</w:t>
      </w:r>
      <w:r w:rsidR="00C513DA">
        <w:t xml:space="preserve"> a </w:t>
      </w:r>
      <w:r w:rsidR="003E3545">
        <w:t>simple</w:t>
      </w:r>
      <w:r w:rsidR="00C513DA">
        <w:t xml:space="preserve"> Plug-Flow </w:t>
      </w:r>
      <w:r w:rsidR="003E3545">
        <w:t>R</w:t>
      </w:r>
      <w:r w:rsidR="00C513DA">
        <w:t>eactor</w:t>
      </w:r>
      <w:r w:rsidR="003E3545">
        <w:t xml:space="preserve"> (PFR)</w:t>
      </w:r>
      <w:r w:rsidR="00C513DA">
        <w:t xml:space="preserve"> but</w:t>
      </w:r>
      <w:r w:rsidR="003E3545">
        <w:t>,</w:t>
      </w:r>
      <w:r w:rsidR="00C513DA">
        <w:t xml:space="preserve"> instead of having a single inlet at the beginning of </w:t>
      </w:r>
      <w:r w:rsidR="002F2F40">
        <w:t xml:space="preserve">the </w:t>
      </w:r>
      <w:r w:rsidR="00C513DA">
        <w:t xml:space="preserve">reactor, it </w:t>
      </w:r>
      <w:r>
        <w:t xml:space="preserve">has a distributed injection over </w:t>
      </w:r>
      <w:r w:rsidR="002F2F40">
        <w:t xml:space="preserve">all the </w:t>
      </w:r>
      <w:r>
        <w:t>reactor length (Figure 1).</w:t>
      </w:r>
    </w:p>
    <w:p w14:paraId="282D9F6A" w14:textId="16486D35" w:rsidR="00BE6ACF" w:rsidRDefault="00B51735" w:rsidP="00B51735">
      <w:pPr>
        <w:pStyle w:val="CETBodytext"/>
        <w:jc w:val="left"/>
      </w:pPr>
      <w:r w:rsidRPr="00B51735">
        <w:rPr>
          <w:noProof/>
        </w:rPr>
        <w:drawing>
          <wp:inline distT="0" distB="0" distL="0" distR="0" wp14:anchorId="0885630A" wp14:editId="1E023712">
            <wp:extent cx="2276724" cy="735005"/>
            <wp:effectExtent l="0" t="0" r="0" b="8255"/>
            <wp:docPr id="13" name="Immagine 13" descr="Immagine che contiene testo,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 tavolo&#10;&#10;Descrizione generata automaticamente"/>
                    <pic:cNvPicPr/>
                  </pic:nvPicPr>
                  <pic:blipFill>
                    <a:blip r:embed="rId10"/>
                    <a:stretch>
                      <a:fillRect/>
                    </a:stretch>
                  </pic:blipFill>
                  <pic:spPr>
                    <a:xfrm>
                      <a:off x="0" y="0"/>
                      <a:ext cx="2309129" cy="745466"/>
                    </a:xfrm>
                    <a:prstGeom prst="rect">
                      <a:avLst/>
                    </a:prstGeom>
                  </pic:spPr>
                </pic:pic>
              </a:graphicData>
            </a:graphic>
          </wp:inline>
        </w:drawing>
      </w:r>
    </w:p>
    <w:p w14:paraId="73925721" w14:textId="6B3BA9AB" w:rsidR="00B51735" w:rsidRPr="00B51735" w:rsidRDefault="00B51735" w:rsidP="00B51735">
      <w:pPr>
        <w:pStyle w:val="CETCaption"/>
      </w:pPr>
      <w:r w:rsidRPr="00BD077D">
        <w:rPr>
          <w:rStyle w:val="CETCaptionCarattere"/>
          <w:i/>
        </w:rPr>
        <w:t>Figure</w:t>
      </w:r>
      <w:r>
        <w:rPr>
          <w:rStyle w:val="CETCaptionCarattere"/>
          <w:i/>
        </w:rPr>
        <w:t xml:space="preserve"> 1</w:t>
      </w:r>
      <w:r w:rsidRPr="00BD077D">
        <w:rPr>
          <w:rStyle w:val="CETCaptionCarattere"/>
          <w:i/>
        </w:rPr>
        <w:t xml:space="preserve">: </w:t>
      </w:r>
      <w:r>
        <w:rPr>
          <w:rStyle w:val="CETCaptionCarattere"/>
          <w:i/>
        </w:rPr>
        <w:t>LIR scheme</w:t>
      </w:r>
      <w:r w:rsidR="00B858FB">
        <w:rPr>
          <w:rStyle w:val="CETCaptionCarattere"/>
          <w:i/>
        </w:rPr>
        <w:t xml:space="preserve"> (</w:t>
      </w:r>
      <m:oMath>
        <m:sSub>
          <m:sSubPr>
            <m:ctrlPr>
              <w:rPr>
                <w:rStyle w:val="CETCaptionCarattere"/>
                <w:rFonts w:ascii="Cambria Math" w:hAnsi="Cambria Math"/>
                <w:i/>
              </w:rPr>
            </m:ctrlPr>
          </m:sSubPr>
          <m:e>
            <m:r>
              <w:rPr>
                <w:rStyle w:val="CETCaptionCarattere"/>
                <w:rFonts w:ascii="Cambria Math" w:hAnsi="Cambria Math"/>
              </w:rPr>
              <m:t>F</m:t>
            </m:r>
          </m:e>
          <m:sub>
            <m:r>
              <w:rPr>
                <w:rStyle w:val="CETCaptionCarattere"/>
                <w:rFonts w:ascii="Cambria Math" w:hAnsi="Cambria Math"/>
              </w:rPr>
              <m:t>i,0</m:t>
            </m:r>
          </m:sub>
        </m:sSub>
      </m:oMath>
      <w:r w:rsidR="00B858FB">
        <w:rPr>
          <w:rStyle w:val="CETCaptionCarattere"/>
          <w:i/>
        </w:rPr>
        <w:t xml:space="preserve"> is the massive inlet flowrate of component </w:t>
      </w:r>
      <w:r w:rsidR="007A1CBE">
        <w:rPr>
          <w:rStyle w:val="CETCaptionCarattere"/>
          <w:i/>
        </w:rPr>
        <w:t>i</w:t>
      </w:r>
      <w:r w:rsidR="00BD647D">
        <w:rPr>
          <w:rStyle w:val="CETCaptionCarattere"/>
          <w:i/>
        </w:rPr>
        <w:t xml:space="preserve">; </w:t>
      </w:r>
      <m:oMath>
        <m:sSub>
          <m:sSubPr>
            <m:ctrlPr>
              <w:rPr>
                <w:rStyle w:val="CETCaptionCarattere"/>
                <w:rFonts w:ascii="Cambria Math" w:hAnsi="Cambria Math"/>
                <w:i/>
              </w:rPr>
            </m:ctrlPr>
          </m:sSubPr>
          <m:e>
            <m:r>
              <w:rPr>
                <w:rStyle w:val="CETCaptionCarattere"/>
                <w:rFonts w:ascii="Cambria Math" w:hAnsi="Cambria Math"/>
              </w:rPr>
              <m:t>f</m:t>
            </m:r>
          </m:e>
          <m:sub>
            <m:r>
              <w:rPr>
                <w:rStyle w:val="CETCaptionCarattere"/>
                <w:rFonts w:ascii="Cambria Math" w:hAnsi="Cambria Math"/>
              </w:rPr>
              <m:t>i</m:t>
            </m:r>
          </m:sub>
        </m:sSub>
        <m:r>
          <w:rPr>
            <w:rStyle w:val="CETCaptionCarattere"/>
            <w:rFonts w:ascii="Cambria Math" w:hAnsi="Cambria Math"/>
          </w:rPr>
          <m:t>(x)</m:t>
        </m:r>
      </m:oMath>
      <w:r w:rsidR="007A1CBE">
        <w:rPr>
          <w:rStyle w:val="CETCaptionCarattere"/>
          <w:i/>
        </w:rPr>
        <w:t xml:space="preserve"> </w:t>
      </w:r>
      <w:r w:rsidR="00BD647D">
        <w:rPr>
          <w:rStyle w:val="CETCaptionCarattere"/>
          <w:i/>
        </w:rPr>
        <w:t>is the distributed lateral injection flo</w:t>
      </w:r>
      <w:r w:rsidR="007A1CBE">
        <w:rPr>
          <w:rStyle w:val="CETCaptionCarattere"/>
          <w:i/>
        </w:rPr>
        <w:t>w</w:t>
      </w:r>
      <w:r w:rsidR="00BD647D">
        <w:rPr>
          <w:rStyle w:val="CETCaptionCarattere"/>
          <w:i/>
        </w:rPr>
        <w:t>rate)</w:t>
      </w:r>
    </w:p>
    <w:p w14:paraId="0F65DC06" w14:textId="78DAA0FF" w:rsidR="00BE6ACF" w:rsidRDefault="00B51735" w:rsidP="00CC5CC9">
      <w:pPr>
        <w:pStyle w:val="CETBodytext"/>
      </w:pPr>
      <w:r>
        <w:t xml:space="preserve">It </w:t>
      </w:r>
      <w:r w:rsidR="007A1CBE">
        <w:t>has been</w:t>
      </w:r>
      <w:r>
        <w:t xml:space="preserve"> demonstrated that a LIR can be developed from a semi-batch recipe (SBR), maintaining the same productivity, conversion and temperature profiles of the original process</w:t>
      </w:r>
      <w:r w:rsidR="001764EE">
        <w:t xml:space="preserve"> </w:t>
      </w:r>
      <w:r w:rsidR="00D54EA0">
        <w:fldChar w:fldCharType="begin"/>
      </w:r>
      <w:r w:rsidR="00D54EA0">
        <w:instrText xml:space="preserve"> ADDIN ZOTERO_ITEM CSL_CITATION {"citationID":"KauT2kzc","properties":{"formattedCitation":"(Florit et al., 2018)","plainCitation":"(Florit et al., 2018)","noteIndex":0},"citationItems":[{"id":33,"uris":["http://zotero.org/users/local/mDzd7GNh/items/MM7EGRAT"],"itemData":{"id":33,"type":"article-journal","abstract":"A methodology, which does not require any kinetic information, for the rigorous transformation of an isothermal, homogeneous semi-batch process into an equivalent continuous side-fed tubular reactor was developed. Once the semi-batch process parameters are known, the proposed methodology allows for easily defining all the process parameters of a side-fed tubular reactor that guarantees the same performances as the original semi-batch process, in terms of conversion and product characteristics. Two different case studies were selected to investigate the potential of the proposed approach: a copolymer synthesis and the production of a fine chemical, clearly showing the need of a rigorous transformation of the semi-batch process into the continuous one since productivity and product quality are strongly affected by the feeding policy.","container-title":"Chemical Engineering Journal","DOI":"10.1016/j.cej.2018.08.044","ISSN":"1385-8947","journalAbbreviation":"Chemical Engineering Journal","language":"en","page":"1007-1017","source":"ScienceDirect","title":"From semi-batch to continuous tubular reactors: A kinetics-free approach","title-short":"From semi-batch to continuous tubular reactors","volume":"354","author":[{"family":"Florit","given":"Federico"},{"family":"Busini","given":"Valentina"},{"family":"Storti","given":"Giuseppe"},{"family":"Rota","given":"Renato"}],"issued":{"date-parts":[["2018",12,15]]}}}],"schema":"https://github.com/citation-style-language/schema/raw/master/csl-citation.json"} </w:instrText>
      </w:r>
      <w:r w:rsidR="00D54EA0">
        <w:fldChar w:fldCharType="separate"/>
      </w:r>
      <w:r w:rsidR="00D54EA0" w:rsidRPr="00D54EA0">
        <w:rPr>
          <w:rFonts w:cs="Arial"/>
        </w:rPr>
        <w:t>(Florit et al., 2018)</w:t>
      </w:r>
      <w:r w:rsidR="00D54EA0">
        <w:fldChar w:fldCharType="end"/>
      </w:r>
      <w:r>
        <w:t xml:space="preserve">. However, such a solution is not feasible in practice, due to the physical constraints of realizing a continuous lateral feed. For this reason, a discretized solution for this problem </w:t>
      </w:r>
      <w:r w:rsidR="006D7380">
        <w:t>has been</w:t>
      </w:r>
      <w:r>
        <w:t xml:space="preserve"> proposed: starting from the LIR configuration, it is possible to develop a set of </w:t>
      </w:r>
      <w:r w:rsidR="00953CD1">
        <w:t xml:space="preserve">in-series </w:t>
      </w:r>
      <w:r>
        <w:t xml:space="preserve">discrete </w:t>
      </w:r>
      <w:r w:rsidR="005E75D0">
        <w:t>tubular reactors</w:t>
      </w:r>
      <w:r>
        <w:t xml:space="preserve"> (d-LIR)</w:t>
      </w:r>
      <w:r w:rsidR="00953CD1">
        <w:t xml:space="preserve"> with</w:t>
      </w:r>
      <w:r>
        <w:t xml:space="preserve"> </w:t>
      </w:r>
      <w:r w:rsidR="00383314">
        <w:t xml:space="preserve">lumped </w:t>
      </w:r>
      <w:r>
        <w:t>lateral feed</w:t>
      </w:r>
      <w:r w:rsidR="00383314">
        <w:t>s</w:t>
      </w:r>
      <w:r>
        <w:t xml:space="preserve"> </w:t>
      </w:r>
      <w:r w:rsidR="00856D2E">
        <w:t xml:space="preserve">located in correspondence of given </w:t>
      </w:r>
      <w:r w:rsidR="00BF2A6A">
        <w:t xml:space="preserve">points along the single tubular element </w:t>
      </w:r>
      <w:r w:rsidR="00D54EA0">
        <w:fldChar w:fldCharType="begin"/>
      </w:r>
      <w:r w:rsidR="00D54EA0">
        <w:instrText xml:space="preserve"> ADDIN ZOTERO_ITEM CSL_CITATION {"citationID":"YvvWebF6","properties":{"formattedCitation":"(Florit et al., 2019)","plainCitation":"(Florit et al., 2019)","noteIndex":0},"citationItems":[{"id":45,"uris":["http://zotero.org/users/local/mDzd7GNh/items/JDJAFAWP"],"itemData":{"id":45,"type":"article-journal","abstract":"Focusing on tubular reactors with continuously distributed side injections, a general procedure to evaluate the operating mode able to reproduce the performance of a given semi-batch reactor is worked out. Namely, such operating mode is expressed as axial profiles of feed flowrate and temperature of the cooling/heating medium inside the reactor jacket. This transformation procedure, previously limited to isothermal reactors, is extended here to non-isothermal systems. The process performance (selectivity and conversion) of the original discontinuous reactor are fully reproduced using the continuous intensified reactor, while its productivity remains a degree of freedom. Notably, like in the isothermal case, the transformation procedure is kinetics-free, i.e. the knowledge of the reaction kinetics is not a precondition. As case study, a copolymerisation reaction is considered to demonstrate the potential of the method. Even though any SBR feed policy could be considered when applying this methodology, the optimal feed policy of the semi-batch reactor evaluated according to the so-called “power feed” procedure is examined considering the reactor non-isothermal. Afterwards, the proposed transformation method is applied and the performance of the two systems, discontinuous and continuous, are comparatively evaluated. Finally, given the practical difficulties associated with continuously distributed side injections, a discretisation approach is proposed based on the use of discrete lateral feeds and more realistic reactor configurations.","container-title":"Chemical Engineering Journal","DOI":"10.1016/j.cej.2019.05.050","ISSN":"1385-8947","journalAbbreviation":"Chemical Engineering Journal","language":"en","page":"792-802","source":"ScienceDirect","title":"Kinetics-free transformation from non-isothermal discontinuous to continuous tubular reactors","volume":"373","author":[{"family":"Florit","given":"Federico"},{"family":"Busini","given":"Valentina"},{"family":"Storti","given":"Giuseppe"},{"family":"Rota","given":"Renato"}],"issued":{"date-parts":[["2019",10,1]]}}}],"schema":"https://github.com/citation-style-language/schema/raw/master/csl-citation.json"} </w:instrText>
      </w:r>
      <w:r w:rsidR="00D54EA0">
        <w:fldChar w:fldCharType="separate"/>
      </w:r>
      <w:r w:rsidR="00D54EA0" w:rsidRPr="00D54EA0">
        <w:rPr>
          <w:rFonts w:cs="Arial"/>
        </w:rPr>
        <w:t>(Florit et al., 2019)</w:t>
      </w:r>
      <w:r w:rsidR="00D54EA0">
        <w:fldChar w:fldCharType="end"/>
      </w:r>
      <w:r>
        <w:t xml:space="preserve">. The same approach can be applied </w:t>
      </w:r>
      <w:r w:rsidR="002A1D7B">
        <w:t>to</w:t>
      </w:r>
      <w:r>
        <w:t xml:space="preserve"> a s</w:t>
      </w:r>
      <w:r w:rsidR="002A1D7B">
        <w:t>eries</w:t>
      </w:r>
      <w:r>
        <w:t xml:space="preserve"> of mixed reactors (s-CST</w:t>
      </w:r>
      <w:r w:rsidR="002A1D7B">
        <w:t>R</w:t>
      </w:r>
      <w:r>
        <w:t xml:space="preserve">). </w:t>
      </w:r>
    </w:p>
    <w:p w14:paraId="12AB4CBA" w14:textId="11E39D16" w:rsidR="005E1C66" w:rsidRPr="00B57B36" w:rsidRDefault="00BE6ACF" w:rsidP="00CC5CC9">
      <w:pPr>
        <w:pStyle w:val="CETBodytext"/>
      </w:pPr>
      <w:r>
        <w:t xml:space="preserve">The </w:t>
      </w:r>
      <w:r w:rsidR="002A1D7B">
        <w:t>aim</w:t>
      </w:r>
      <w:r>
        <w:t xml:space="preserve"> of this work is to propose a </w:t>
      </w:r>
      <w:r w:rsidR="007F7669">
        <w:t>new</w:t>
      </w:r>
      <w:r>
        <w:t xml:space="preserve"> recipe to perform the</w:t>
      </w:r>
      <w:r w:rsidRPr="00BE6ACF">
        <w:rPr>
          <w:lang w:val="en-GB"/>
        </w:rPr>
        <w:t xml:space="preserve"> </w:t>
      </w:r>
      <w:r w:rsidRPr="005E1C66">
        <w:rPr>
          <w:lang w:val="en-GB"/>
        </w:rPr>
        <w:t>nitration of N-(2-phenoxyphenyl) methanesulfonamide (FAM)</w:t>
      </w:r>
      <w:r>
        <w:rPr>
          <w:lang w:val="en-GB"/>
        </w:rPr>
        <w:t xml:space="preserve"> to </w:t>
      </w:r>
      <w:r w:rsidRPr="005E1C66">
        <w:rPr>
          <w:lang w:val="en-GB"/>
        </w:rPr>
        <w:t>N-(4-nitro, 2-phenoxyphenyl) methanesulfonamide (</w:t>
      </w:r>
      <w:r>
        <w:rPr>
          <w:lang w:val="en-GB"/>
        </w:rPr>
        <w:t xml:space="preserve">also called nimesulide, </w:t>
      </w:r>
      <w:r w:rsidRPr="005E1C66">
        <w:rPr>
          <w:lang w:val="en-GB"/>
        </w:rPr>
        <w:t>NIM)</w:t>
      </w:r>
      <w:r w:rsidR="007F7669">
        <w:rPr>
          <w:lang w:val="en-GB"/>
        </w:rPr>
        <w:t xml:space="preserve"> </w:t>
      </w:r>
      <w:r w:rsidR="00C020A8">
        <w:rPr>
          <w:lang w:val="en-GB"/>
        </w:rPr>
        <w:t>strongly reducing the amount of solvent employed</w:t>
      </w:r>
      <w:r>
        <w:rPr>
          <w:lang w:val="en-GB"/>
        </w:rPr>
        <w:t>. T</w:t>
      </w:r>
      <w:r w:rsidR="00267D4F">
        <w:rPr>
          <w:lang w:val="en-GB"/>
        </w:rPr>
        <w:t>o accomplish such a task, it was nece</w:t>
      </w:r>
      <w:r w:rsidR="00305428">
        <w:rPr>
          <w:lang w:val="en-GB"/>
        </w:rPr>
        <w:t xml:space="preserve">ssary to perform a shift to a continuous operating mode </w:t>
      </w:r>
      <w:r>
        <w:rPr>
          <w:lang w:val="en-GB"/>
        </w:rPr>
        <w:t xml:space="preserve">of a standard semi-batch recipe </w:t>
      </w:r>
      <w:r w:rsidR="00D54EA0">
        <w:rPr>
          <w:lang w:val="en-GB"/>
        </w:rPr>
        <w:fldChar w:fldCharType="begin"/>
      </w:r>
      <w:r w:rsidR="00D54EA0">
        <w:rPr>
          <w:lang w:val="en-GB"/>
        </w:rPr>
        <w:instrText xml:space="preserve"> ADDIN ZOTERO_ITEM CSL_CITATION {"citationID":"dtEiI4q8","properties":{"formattedCitation":"(Copelli et al., 2017)","plainCitation":"(Copelli et al., 2017)","noteIndex":0},"citationItems":[{"id":42,"uris":["http://zotero.org/users/local/mDzd7GNh/items/PU3TX2KU"],"itemData":{"id":42,"type":"article-journal","abstract":"Fast and highly exothermic reactions are commonly carried out in semibatch reactors (SBRs) in order to better control the heat evolution by the feeding rate. In fact, for such processes, a phenomenon known as “thermal runaway”, that is an uncontrolled reactor temperature increase, may be triggered whenever the rate of heat removal becomes lower than the rate of heat release. This dangerous temperature increase, occurring in practically adiabatic conditions, can trigger secondary undesired exothermic reactions or, in some cases, the decomposition of the whole reacting mixture with consequent reactor pressurization and, eventually, explosion followed by the release of high amounts of hazardous products. As a consequence, several studies on the detection of the so called “runaway boundaries” have been performed during years. However, from a practical perspective, the desired goal of whatever enterprise is to attain the maximum productivity maintaining safe conditions. Such a goal can be achieved using a series of continuous stirred tank reactors (CSTRs) operated in the isothermal temperature control mode; but a possible change of the reactor type, from discontinuous (e.g. batch or SB) to continuous (series of CSTRs), with the aim of increasing the productivity cannot be performed so easily when a potentially runaway process is involved. The main aim of this work has been to compute the number of CSTRs in a series that, guaranteeing the requested productivity and reactants conversion under safe operating conditions (runaway phenomena cannot be triggered), minimizes the volume of each reactor of the series. Such a number results to be a function of the employed kinetic scheme and the dosing policy of the co-reactants. In this work, two different dosing policies (1- co-reactant dosed into the first reactor of the series; 2) co-reactant dosed into the first NR-1 reactors of the series) will be analyzed for the relevant case study of the synthesis of N-(4-nitro, 2- phenoxyphenyl) methane sulphonamide. The obtained results have shown that it is possible to increase the overall productivity of the process, simply shifting from discontinuous to continuous operating mode, also achieving a safe intensification, that is, having lower reacting volumes at the full plant.","container-title":"Chemical Engineering Transactions","DOI":"10.3303/CET1757282","note":"section: Research Articles","page":"1687-1692","title":"Safe Intensification of Potentially Runaway Reactions: from Semibatch to Continuous Processes","volume":"57","author":[{"family":"Copelli","given":"S."},{"family":"Barozzi","given":"M."},{"family":"Maestri","given":"F."},{"family":"Rota","given":"R."}],"issued":{"date-parts":[["2017",3,20]]}}}],"schema":"https://github.com/citation-style-language/schema/raw/master/csl-citation.json"} </w:instrText>
      </w:r>
      <w:r w:rsidR="00D54EA0">
        <w:rPr>
          <w:lang w:val="en-GB"/>
        </w:rPr>
        <w:fldChar w:fldCharType="separate"/>
      </w:r>
      <w:r w:rsidR="00D54EA0" w:rsidRPr="00D54EA0">
        <w:rPr>
          <w:rFonts w:cs="Arial"/>
        </w:rPr>
        <w:t>(Copelli et al., 2017)</w:t>
      </w:r>
      <w:r w:rsidR="00D54EA0">
        <w:rPr>
          <w:lang w:val="en-GB"/>
        </w:rPr>
        <w:fldChar w:fldCharType="end"/>
      </w:r>
      <w:r w:rsidR="004A5179">
        <w:rPr>
          <w:lang w:val="en-GB"/>
        </w:rPr>
        <w:t>. Particularly, the proposed continuous configurations</w:t>
      </w:r>
      <w:r>
        <w:rPr>
          <w:lang w:val="en-GB"/>
        </w:rPr>
        <w:t xml:space="preserve"> </w:t>
      </w:r>
      <w:r w:rsidR="001A5266">
        <w:rPr>
          <w:lang w:val="en-GB"/>
        </w:rPr>
        <w:t xml:space="preserve">were: 1) </w:t>
      </w:r>
      <w:r>
        <w:rPr>
          <w:lang w:val="en-GB"/>
        </w:rPr>
        <w:t xml:space="preserve">a set of isoperibolic tubular reactors with a defined number of lateral injections, and </w:t>
      </w:r>
      <w:r w:rsidR="001A5266">
        <w:rPr>
          <w:lang w:val="en-GB"/>
        </w:rPr>
        <w:t xml:space="preserve">2) </w:t>
      </w:r>
      <w:r>
        <w:rPr>
          <w:lang w:val="en-GB"/>
        </w:rPr>
        <w:t>a se</w:t>
      </w:r>
      <w:r w:rsidR="001A5266">
        <w:rPr>
          <w:lang w:val="en-GB"/>
        </w:rPr>
        <w:t>ries</w:t>
      </w:r>
      <w:r>
        <w:rPr>
          <w:lang w:val="en-GB"/>
        </w:rPr>
        <w:t xml:space="preserve"> of mixed reactors (</w:t>
      </w:r>
      <w:r w:rsidR="00A51A57">
        <w:rPr>
          <w:lang w:val="en-GB"/>
        </w:rPr>
        <w:t>as</w:t>
      </w:r>
      <w:r>
        <w:rPr>
          <w:lang w:val="en-GB"/>
        </w:rPr>
        <w:t xml:space="preserve"> a </w:t>
      </w:r>
      <w:r w:rsidR="00F30631">
        <w:rPr>
          <w:lang w:val="en-GB"/>
        </w:rPr>
        <w:t xml:space="preserve">series of </w:t>
      </w:r>
      <w:r>
        <w:rPr>
          <w:lang w:val="en-GB"/>
        </w:rPr>
        <w:t>CSTR</w:t>
      </w:r>
      <w:r w:rsidR="00F30631">
        <w:rPr>
          <w:lang w:val="en-GB"/>
        </w:rPr>
        <w:t>s</w:t>
      </w:r>
      <w:r>
        <w:rPr>
          <w:lang w:val="en-GB"/>
        </w:rPr>
        <w:t xml:space="preserve">), with </w:t>
      </w:r>
      <w:r w:rsidR="00C50B88">
        <w:rPr>
          <w:lang w:val="en-GB"/>
        </w:rPr>
        <w:t xml:space="preserve">a “lumped </w:t>
      </w:r>
      <w:r>
        <w:rPr>
          <w:lang w:val="en-GB"/>
        </w:rPr>
        <w:t>side feed</w:t>
      </w:r>
      <w:r w:rsidR="00C50B88">
        <w:rPr>
          <w:lang w:val="en-GB"/>
        </w:rPr>
        <w:t>” linked to the</w:t>
      </w:r>
      <w:r>
        <w:rPr>
          <w:lang w:val="en-GB"/>
        </w:rPr>
        <w:t xml:space="preserve"> </w:t>
      </w:r>
      <w:r w:rsidR="00C50B88">
        <w:rPr>
          <w:lang w:val="en-GB"/>
        </w:rPr>
        <w:t>in</w:t>
      </w:r>
      <w:r>
        <w:rPr>
          <w:lang w:val="en-GB"/>
        </w:rPr>
        <w:t>let</w:t>
      </w:r>
      <w:r w:rsidR="00C50B88">
        <w:rPr>
          <w:lang w:val="en-GB"/>
        </w:rPr>
        <w:t xml:space="preserve"> </w:t>
      </w:r>
      <w:r w:rsidR="00B40F4A">
        <w:rPr>
          <w:lang w:val="en-GB"/>
        </w:rPr>
        <w:t>of each</w:t>
      </w:r>
      <w:r w:rsidR="00D73985">
        <w:rPr>
          <w:lang w:val="en-GB"/>
        </w:rPr>
        <w:t xml:space="preserve"> CSTR</w:t>
      </w:r>
      <w:r>
        <w:rPr>
          <w:lang w:val="en-GB"/>
        </w:rPr>
        <w:t xml:space="preserve">. The theoretical method was developed by </w:t>
      </w:r>
      <w:r w:rsidRPr="009E6304">
        <w:rPr>
          <w:lang w:val="en-GB"/>
        </w:rPr>
        <w:t>Florit et al. (20</w:t>
      </w:r>
      <w:r w:rsidR="00B40F4A" w:rsidRPr="009E6304">
        <w:rPr>
          <w:lang w:val="en-GB"/>
        </w:rPr>
        <w:t>20</w:t>
      </w:r>
      <w:r w:rsidRPr="009E6304">
        <w:rPr>
          <w:lang w:val="en-GB"/>
        </w:rPr>
        <w:t>),</w:t>
      </w:r>
      <w:r>
        <w:rPr>
          <w:lang w:val="en-GB"/>
        </w:rPr>
        <w:t xml:space="preserve"> and it was applied to this specific study. Several simulations </w:t>
      </w:r>
      <w:r w:rsidR="00D73985">
        <w:rPr>
          <w:lang w:val="en-GB"/>
        </w:rPr>
        <w:t>were</w:t>
      </w:r>
      <w:r>
        <w:rPr>
          <w:lang w:val="en-GB"/>
        </w:rPr>
        <w:t xml:space="preserve"> carried out</w:t>
      </w:r>
      <w:r w:rsidR="00D73985">
        <w:rPr>
          <w:lang w:val="en-GB"/>
        </w:rPr>
        <w:t xml:space="preserve"> taking care of fulfilling </w:t>
      </w:r>
      <w:r>
        <w:rPr>
          <w:lang w:val="en-GB"/>
        </w:rPr>
        <w:t xml:space="preserve">the following constraints: a) maintain a productivity close to the </w:t>
      </w:r>
      <w:r w:rsidR="00643445">
        <w:rPr>
          <w:lang w:val="en-GB"/>
        </w:rPr>
        <w:t xml:space="preserve">original </w:t>
      </w:r>
      <w:r>
        <w:rPr>
          <w:lang w:val="en-GB"/>
        </w:rPr>
        <w:t xml:space="preserve">semi-batch recipe, b) increase of FAM concentration, c) </w:t>
      </w:r>
      <w:r w:rsidR="002738C4">
        <w:rPr>
          <w:lang w:val="en-GB"/>
        </w:rPr>
        <w:t>work under</w:t>
      </w:r>
      <w:r>
        <w:rPr>
          <w:lang w:val="en-GB"/>
        </w:rPr>
        <w:t xml:space="preserve"> safety</w:t>
      </w:r>
      <w:r w:rsidR="002738C4">
        <w:rPr>
          <w:lang w:val="en-GB"/>
        </w:rPr>
        <w:t xml:space="preserve"> conditions</w:t>
      </w:r>
      <w:r>
        <w:rPr>
          <w:lang w:val="en-GB"/>
        </w:rPr>
        <w:t xml:space="preserve"> (</w:t>
      </w:r>
      <w:r w:rsidR="00872C92">
        <w:rPr>
          <w:lang w:val="en-GB"/>
        </w:rPr>
        <w:t xml:space="preserve">that is, </w:t>
      </w:r>
      <w:r w:rsidR="002738C4">
        <w:rPr>
          <w:lang w:val="en-GB"/>
        </w:rPr>
        <w:t>keep temperature</w:t>
      </w:r>
      <w:r>
        <w:rPr>
          <w:lang w:val="en-GB"/>
        </w:rPr>
        <w:t xml:space="preserve"> </w:t>
      </w:r>
      <w:r w:rsidR="002738C4">
        <w:rPr>
          <w:lang w:val="en-GB"/>
        </w:rPr>
        <w:t>below</w:t>
      </w:r>
      <w:r>
        <w:rPr>
          <w:lang w:val="en-GB"/>
        </w:rPr>
        <w:t xml:space="preserve"> 90°C).</w:t>
      </w:r>
    </w:p>
    <w:p w14:paraId="61A9B77A" w14:textId="48752417" w:rsidR="00600535" w:rsidRPr="00B57B36" w:rsidRDefault="000806D8" w:rsidP="00FA5F5F">
      <w:pPr>
        <w:pStyle w:val="CETheadingx"/>
      </w:pPr>
      <w:r>
        <w:t>FAM nitration to NIM</w:t>
      </w:r>
    </w:p>
    <w:p w14:paraId="353B2FE1" w14:textId="7E369C02" w:rsidR="000806D8" w:rsidRDefault="005E1C66" w:rsidP="005E1C66">
      <w:pPr>
        <w:pStyle w:val="CETBodytext"/>
      </w:pPr>
      <w:r>
        <w:rPr>
          <w:lang w:val="en-GB"/>
        </w:rPr>
        <w:t xml:space="preserve">In this work, the </w:t>
      </w:r>
      <w:r w:rsidRPr="005E1C66">
        <w:rPr>
          <w:lang w:val="en-GB"/>
        </w:rPr>
        <w:t xml:space="preserve">production </w:t>
      </w:r>
      <w:r w:rsidR="00924966">
        <w:rPr>
          <w:lang w:val="en-GB"/>
        </w:rPr>
        <w:t>of</w:t>
      </w:r>
      <w:r w:rsidRPr="005E1C66">
        <w:rPr>
          <w:lang w:val="en-GB"/>
        </w:rPr>
        <w:t xml:space="preserve"> </w:t>
      </w:r>
      <w:r w:rsidR="00BE6ACF">
        <w:rPr>
          <w:lang w:val="en-GB"/>
        </w:rPr>
        <w:t>NIM</w:t>
      </w:r>
      <w:r w:rsidRPr="005E1C66">
        <w:rPr>
          <w:lang w:val="en-GB"/>
        </w:rPr>
        <w:t xml:space="preserve"> </w:t>
      </w:r>
      <w:r w:rsidR="00725D5D">
        <w:rPr>
          <w:lang w:val="en-GB"/>
        </w:rPr>
        <w:t>through the</w:t>
      </w:r>
      <w:r w:rsidRPr="005E1C66">
        <w:rPr>
          <w:lang w:val="en-GB"/>
        </w:rPr>
        <w:t xml:space="preserve"> </w:t>
      </w:r>
      <w:r w:rsidR="00725D5D">
        <w:rPr>
          <w:lang w:val="en-GB"/>
        </w:rPr>
        <w:t xml:space="preserve">FAM </w:t>
      </w:r>
      <w:r w:rsidRPr="005E1C66">
        <w:rPr>
          <w:lang w:val="en-GB"/>
        </w:rPr>
        <w:t xml:space="preserve">nitration </w:t>
      </w:r>
      <w:r w:rsidR="00725D5D">
        <w:rPr>
          <w:lang w:val="en-GB"/>
        </w:rPr>
        <w:t>was</w:t>
      </w:r>
      <w:r>
        <w:rPr>
          <w:lang w:val="en-GB"/>
        </w:rPr>
        <w:t xml:space="preserve"> investigated</w:t>
      </w:r>
      <w:r w:rsidRPr="005E1C66">
        <w:rPr>
          <w:lang w:val="en-GB"/>
        </w:rPr>
        <w:t>.</w:t>
      </w:r>
      <w:r>
        <w:rPr>
          <w:lang w:val="en-GB"/>
        </w:rPr>
        <w:t xml:space="preserve"> Nimesulide is</w:t>
      </w:r>
      <w:r w:rsidRPr="005E1C66">
        <w:rPr>
          <w:lang w:val="en-GB"/>
        </w:rPr>
        <w:t xml:space="preserve"> a nonsteroidal anti-inflammatory drug (NSAID) with pain medication and fever reducing properties</w:t>
      </w:r>
      <w:r>
        <w:rPr>
          <w:lang w:val="en-GB"/>
        </w:rPr>
        <w:t xml:space="preserve">. Its use is often controversial, due to its hepatotoxicity if used over long periods. According to the European Medicines Agency, </w:t>
      </w:r>
      <w:r w:rsidR="002959C6">
        <w:rPr>
          <w:lang w:val="en-GB"/>
        </w:rPr>
        <w:t>NIM</w:t>
      </w:r>
      <w:r>
        <w:rPr>
          <w:lang w:val="en-GB"/>
        </w:rPr>
        <w:t xml:space="preserve"> is </w:t>
      </w:r>
      <w:r w:rsidRPr="005E1C66">
        <w:rPr>
          <w:lang w:val="en-GB"/>
        </w:rPr>
        <w:t>authorised in 10 Member States: Austria, Belgium, Finland, France, Greece, Ireland, Italy, Luxembourg, Portugal and Spain</w:t>
      </w:r>
      <w:r>
        <w:rPr>
          <w:lang w:val="en-GB"/>
        </w:rPr>
        <w:t xml:space="preserve">. The final production </w:t>
      </w:r>
      <w:r w:rsidR="002959C6">
        <w:rPr>
          <w:lang w:val="en-GB"/>
        </w:rPr>
        <w:t xml:space="preserve">step </w:t>
      </w:r>
      <w:r>
        <w:rPr>
          <w:lang w:val="en-GB"/>
        </w:rPr>
        <w:t>consists in the nitration of FAM to NIM, as rep</w:t>
      </w:r>
      <w:r w:rsidR="002959C6">
        <w:rPr>
          <w:lang w:val="en-GB"/>
        </w:rPr>
        <w:t>or</w:t>
      </w:r>
      <w:r>
        <w:rPr>
          <w:lang w:val="en-GB"/>
        </w:rPr>
        <w:t xml:space="preserve">ted in Figure </w:t>
      </w:r>
      <w:r w:rsidR="00B51735">
        <w:rPr>
          <w:lang w:val="en-GB"/>
        </w:rPr>
        <w:t>2</w:t>
      </w:r>
      <w:r>
        <w:rPr>
          <w:lang w:val="en-GB"/>
        </w:rPr>
        <w:t>.</w:t>
      </w:r>
    </w:p>
    <w:p w14:paraId="730F0FD0" w14:textId="77777777" w:rsidR="000806D8" w:rsidRDefault="000806D8" w:rsidP="000806D8">
      <w:pPr>
        <w:pStyle w:val="CETListbullets"/>
      </w:pPr>
    </w:p>
    <w:p w14:paraId="55D47862" w14:textId="654366D3" w:rsidR="000806D8" w:rsidRDefault="000806D8" w:rsidP="00B51735">
      <w:pPr>
        <w:pStyle w:val="CETListbullets"/>
        <w:ind w:firstLine="0"/>
        <w:jc w:val="left"/>
      </w:pPr>
      <w:r w:rsidRPr="000806D8">
        <w:rPr>
          <w:noProof/>
        </w:rPr>
        <w:drawing>
          <wp:inline distT="0" distB="0" distL="0" distR="0" wp14:anchorId="5C757D7F" wp14:editId="50C5DA44">
            <wp:extent cx="2788920" cy="1019461"/>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5933" cy="1025680"/>
                    </a:xfrm>
                    <a:prstGeom prst="rect">
                      <a:avLst/>
                    </a:prstGeom>
                  </pic:spPr>
                </pic:pic>
              </a:graphicData>
            </a:graphic>
          </wp:inline>
        </w:drawing>
      </w:r>
    </w:p>
    <w:p w14:paraId="77BCC2FA" w14:textId="55105263" w:rsidR="005E1C66" w:rsidRDefault="005E1C66" w:rsidP="005E1C66">
      <w:pPr>
        <w:pStyle w:val="CETCaption"/>
      </w:pPr>
      <w:r w:rsidRPr="00BD077D">
        <w:rPr>
          <w:rStyle w:val="CETCaptionCarattere"/>
          <w:i/>
        </w:rPr>
        <w:t xml:space="preserve">Figure </w:t>
      </w:r>
      <w:r w:rsidR="00B51735">
        <w:rPr>
          <w:rStyle w:val="CETCaptionCarattere"/>
          <w:i/>
        </w:rPr>
        <w:t>2</w:t>
      </w:r>
      <w:r w:rsidRPr="00BD077D">
        <w:rPr>
          <w:rStyle w:val="CETCaptionCarattere"/>
          <w:i/>
        </w:rPr>
        <w:t xml:space="preserve">: </w:t>
      </w:r>
      <w:r>
        <w:rPr>
          <w:rStyle w:val="CETCaptionCarattere"/>
          <w:i/>
        </w:rPr>
        <w:t>Nitration of FAM to NIM</w:t>
      </w:r>
      <w:r w:rsidRPr="00BD077D">
        <w:t xml:space="preserve"> </w:t>
      </w:r>
    </w:p>
    <w:p w14:paraId="21B9A280" w14:textId="7945922B" w:rsidR="007D0951" w:rsidRPr="00B57B36" w:rsidRDefault="00241BCB" w:rsidP="00CC5CC9">
      <w:pPr>
        <w:pStyle w:val="CETBodytext"/>
      </w:pPr>
      <w:r>
        <w:rPr>
          <w:lang w:val="en-GB"/>
        </w:rPr>
        <w:lastRenderedPageBreak/>
        <w:t xml:space="preserve">This nitration reaction is particularly exothermic, with a heat or reaction equal to </w:t>
      </w:r>
      <w:r w:rsidR="001D5208">
        <w:rPr>
          <w:lang w:val="en-GB"/>
        </w:rPr>
        <w:t>-</w:t>
      </w:r>
      <w:r>
        <w:rPr>
          <w:lang w:val="en-GB"/>
        </w:rPr>
        <w:t>127 kJ/mol</w:t>
      </w:r>
      <w:r w:rsidR="001D5208">
        <w:rPr>
          <w:lang w:val="en-GB"/>
        </w:rPr>
        <w:t xml:space="preserve"> </w:t>
      </w:r>
      <w:r w:rsidR="001D5208">
        <w:rPr>
          <w:lang w:val="en-GB"/>
        </w:rPr>
        <w:fldChar w:fldCharType="begin"/>
      </w:r>
      <w:r w:rsidR="001D5208">
        <w:rPr>
          <w:lang w:val="en-GB"/>
        </w:rPr>
        <w:instrText xml:space="preserve"> ADDIN ZOTERO_ITEM CSL_CITATION {"citationID":"zeLWsX6m","properties":{"formattedCitation":"(Maestri et al., 2006)","plainCitation":"(Maestri et al., 2006)","noteIndex":0},"citationItems":[{"id":47,"uris":["http://zotero.org/users/local/mDzd7GNh/items/Z4BGV9HB"],"itemData":{"id":47,"type":"article-journal","abstract":"In this work, the method of boundary and temperature diagrams has been applied to the analysis of an industrial nitration process for the production of a pharmaceutical active ingredient, that is, the nitration of N-(2-phenoxyphenyl) methane sulfonamide to N-(4-nitro, 2-phenoxyphenyl) methane sulfonamide, carried out in homogeneous phase in an indirectly cooled semibatch reactor, in which nitric acid is dosed over an acetic acid solution of the reactant. It has been verified through calorimetric experiments performed in an RC1 equipment that the boundary and temperature diagrams allow the safe selection of operating conditions characterized by a rapid nitric acid consumption, which imply a better control of the reaction. Moreover, it has been shown that using the boundary and temperature diagrams method requires the knowledge of the reaction kinetics, at least in terms of a lumped expression corresponding to an optimum fitting of the experimental data. Such information can be obtained through proper calorimetric experiments (e.g., those performed in an adiabatic Phi-TEC II equipment):  uncontrolled approximations on the reaction order of the dosed coreactant can lead to unsafe conclusions, whereas the requirements for the reaction order of the reactant initially charged in the reactor are much less stringent.","container-title":"Industrial &amp; Engineering Chemistry Research","DOI":"10.1021/ie060262v","ISSN":"0888-5885","issue":"24","journalAbbreviation":"Ind. Eng. Chem. Res.","note":"publisher: American Chemical Society","page":"8014-8023","source":"ACS Publications","title":"Safe and Productive Operation of Homogeneous Semibatch Reactors. II. The Nitration of N-(2-Phenoxyphenyl) Methane Sulfonamide","volume":"45","author":[{"family":"Maestri","given":"Francesco"},{"family":"Re Dionigi","given":"Leonardo"},{"family":"Rota","given":"Renato"},{"family":"Gigante","given":"Lucia"},{"family":"Lunghi","given":"Angelo"},{"family":"Cardillo","given":"Paolo"}],"issued":{"date-parts":[["2006",11,1]]}}}],"schema":"https://github.com/citation-style-language/schema/raw/master/csl-citation.json"} </w:instrText>
      </w:r>
      <w:r w:rsidR="001D5208">
        <w:rPr>
          <w:lang w:val="en-GB"/>
        </w:rPr>
        <w:fldChar w:fldCharType="separate"/>
      </w:r>
      <w:r w:rsidR="001D5208" w:rsidRPr="001D5208">
        <w:rPr>
          <w:rFonts w:cs="Arial"/>
        </w:rPr>
        <w:t>(Maestri et al., 2006)</w:t>
      </w:r>
      <w:r w:rsidR="001D5208">
        <w:rPr>
          <w:lang w:val="en-GB"/>
        </w:rPr>
        <w:fldChar w:fldCharType="end"/>
      </w:r>
      <w:r>
        <w:rPr>
          <w:lang w:val="en-GB"/>
        </w:rPr>
        <w:t xml:space="preserve">. Due to such a high heat released, safety is a major concern when </w:t>
      </w:r>
      <w:r w:rsidR="00603115">
        <w:rPr>
          <w:lang w:val="en-GB"/>
        </w:rPr>
        <w:t>dealing</w:t>
      </w:r>
      <w:r>
        <w:rPr>
          <w:lang w:val="en-GB"/>
        </w:rPr>
        <w:t xml:space="preserve"> with this chemical reaction. Usually, this is solved by using a high dilution recipe in semi-batch reactors, leading to significant energy consumption due to the </w:t>
      </w:r>
      <w:r w:rsidR="00603115">
        <w:rPr>
          <w:lang w:val="en-GB"/>
        </w:rPr>
        <w:t>use of</w:t>
      </w:r>
      <w:r>
        <w:rPr>
          <w:lang w:val="en-GB"/>
        </w:rPr>
        <w:t xml:space="preserve"> h</w:t>
      </w:r>
      <w:r w:rsidR="002451AE">
        <w:rPr>
          <w:lang w:val="en-GB"/>
        </w:rPr>
        <w:t>uge</w:t>
      </w:r>
      <w:r>
        <w:rPr>
          <w:lang w:val="en-GB"/>
        </w:rPr>
        <w:t xml:space="preserve"> amounts of solvent. Nitration can be achieved by using acetic acid as solvent and </w:t>
      </w:r>
      <w:r w:rsidR="00603115">
        <w:rPr>
          <w:lang w:val="en-GB"/>
        </w:rPr>
        <w:t>a</w:t>
      </w:r>
      <w:r w:rsidR="002451AE">
        <w:rPr>
          <w:lang w:val="en-GB"/>
        </w:rPr>
        <w:t>n</w:t>
      </w:r>
      <w:r w:rsidR="00603115">
        <w:rPr>
          <w:lang w:val="en-GB"/>
        </w:rPr>
        <w:t xml:space="preserve"> aqueous solution of</w:t>
      </w:r>
      <w:r>
        <w:rPr>
          <w:lang w:val="en-GB"/>
        </w:rPr>
        <w:t xml:space="preserve"> nitric acid as co-reagent.</w:t>
      </w:r>
      <w:r w:rsidR="00603115">
        <w:rPr>
          <w:lang w:val="en-GB"/>
        </w:rPr>
        <w:t xml:space="preserve"> The reaction mixture is liquid and homogeneous.</w:t>
      </w:r>
      <w:r>
        <w:rPr>
          <w:lang w:val="en-GB"/>
        </w:rPr>
        <w:t xml:space="preserve"> </w:t>
      </w:r>
      <w:r w:rsidR="00CC5CC9">
        <w:rPr>
          <w:lang w:val="en-GB"/>
        </w:rPr>
        <w:t>Working temperatures should be kept reasonably below 120°C (in literature, this Maximum Available Temperature was estimated for the semi-batch recipe</w:t>
      </w:r>
      <w:r w:rsidR="00D54EA0">
        <w:rPr>
          <w:lang w:val="en-GB"/>
        </w:rPr>
        <w:t xml:space="preserve"> </w:t>
      </w:r>
      <w:r w:rsidR="00D54EA0">
        <w:rPr>
          <w:lang w:val="en-GB"/>
        </w:rPr>
        <w:fldChar w:fldCharType="begin"/>
      </w:r>
      <w:r w:rsidR="00D54EA0">
        <w:rPr>
          <w:lang w:val="en-GB"/>
        </w:rPr>
        <w:instrText xml:space="preserve"> ADDIN ZOTERO_ITEM CSL_CITATION {"citationID":"pXJhf0Kn","properties":{"formattedCitation":"(Maestri et al., 2006)","plainCitation":"(Maestri et al., 2006)","noteIndex":0},"citationItems":[{"id":47,"uris":["http://zotero.org/users/local/mDzd7GNh/items/Z4BGV9HB"],"itemData":{"id":47,"type":"article-journal","abstract":"In this work, the method of boundary and temperature diagrams has been applied to the analysis of an industrial nitration process for the production of a pharmaceutical active ingredient, that is, the nitration of N-(2-phenoxyphenyl) methane sulfonamide to N-(4-nitro, 2-phenoxyphenyl) methane sulfonamide, carried out in homogeneous phase in an indirectly cooled semibatch reactor, in which nitric acid is dosed over an acetic acid solution of the reactant. It has been verified through calorimetric experiments performed in an RC1 equipment that the boundary and temperature diagrams allow the safe selection of operating conditions characterized by a rapid nitric acid consumption, which imply a better control of the reaction. Moreover, it has been shown that using the boundary and temperature diagrams method requires the knowledge of the reaction kinetics, at least in terms of a lumped expression corresponding to an optimum fitting of the experimental data. Such information can be obtained through proper calorimetric experiments (e.g., those performed in an adiabatic Phi-TEC II equipment):  uncontrolled approximations on the reaction order of the dosed coreactant can lead to unsafe conclusions, whereas the requirements for the reaction order of the reactant initially charged in the reactor are much less stringent.","container-title":"Industrial &amp; Engineering Chemistry Research","DOI":"10.1021/ie060262v","ISSN":"0888-5885","issue":"24","journalAbbreviation":"Ind. Eng. Chem. Res.","note":"publisher: American Chemical Society","page":"8014-8023","source":"ACS Publications","title":"Safe and Productive Operation of Homogeneous Semibatch Reactors. II. The Nitration of N-(2-Phenoxyphenyl) Methane Sulfonamide","volume":"45","author":[{"family":"Maestri","given":"Francesco"},{"family":"Re Dionigi","given":"Leonardo"},{"family":"Rota","given":"Renato"},{"family":"Gigante","given":"Lucia"},{"family":"Lunghi","given":"Angelo"},{"family":"Cardillo","given":"Paolo"}],"issued":{"date-parts":[["2006",11,1]]}}}],"schema":"https://github.com/citation-style-language/schema/raw/master/csl-citation.json"} </w:instrText>
      </w:r>
      <w:r w:rsidR="00D54EA0">
        <w:rPr>
          <w:lang w:val="en-GB"/>
        </w:rPr>
        <w:fldChar w:fldCharType="separate"/>
      </w:r>
      <w:r w:rsidR="00D54EA0" w:rsidRPr="00D54EA0">
        <w:rPr>
          <w:rFonts w:cs="Arial"/>
        </w:rPr>
        <w:t>(Maestri et al., 2006)</w:t>
      </w:r>
      <w:r w:rsidR="00D54EA0">
        <w:rPr>
          <w:lang w:val="en-GB"/>
        </w:rPr>
        <w:fldChar w:fldCharType="end"/>
      </w:r>
      <w:r w:rsidR="00D54EA0">
        <w:rPr>
          <w:lang w:val="en-GB"/>
        </w:rPr>
        <w:t>)</w:t>
      </w:r>
      <w:r w:rsidR="002738C4">
        <w:rPr>
          <w:lang w:val="en-GB"/>
        </w:rPr>
        <w:t>.</w:t>
      </w:r>
      <w:r w:rsidR="00CC5CC9">
        <w:rPr>
          <w:lang w:val="en-GB"/>
        </w:rPr>
        <w:t xml:space="preserve"> </w:t>
      </w:r>
      <w:r w:rsidR="002738C4">
        <w:rPr>
          <w:lang w:val="en-GB"/>
        </w:rPr>
        <w:t>T</w:t>
      </w:r>
      <w:r w:rsidR="00CC5CC9">
        <w:rPr>
          <w:lang w:val="en-GB"/>
        </w:rPr>
        <w:t xml:space="preserve">he main issue is the decomposition of nitric acid, which is known to be particularly unstable </w:t>
      </w:r>
      <w:r w:rsidR="002451AE">
        <w:rPr>
          <w:lang w:val="en-GB"/>
        </w:rPr>
        <w:t>over</w:t>
      </w:r>
      <w:r w:rsidR="00CC5CC9">
        <w:rPr>
          <w:lang w:val="en-GB"/>
        </w:rPr>
        <w:t xml:space="preserve"> 88°C (if highly concentrated). Nowadays, optimizing reaction productivity, safety and sustainability is a factor that must be assessed in any chemical process.</w:t>
      </w:r>
    </w:p>
    <w:p w14:paraId="5741900F" w14:textId="7AFCC9F0" w:rsidR="00453E24" w:rsidRDefault="000806D8" w:rsidP="00453E24">
      <w:pPr>
        <w:pStyle w:val="CETHeading1"/>
      </w:pPr>
      <w:r>
        <w:t>Materials and methods</w:t>
      </w:r>
    </w:p>
    <w:p w14:paraId="5E9A8548" w14:textId="640E72AD" w:rsidR="00C513DA" w:rsidRDefault="000008C4" w:rsidP="00C513DA">
      <w:pPr>
        <w:pStyle w:val="CETBodytext"/>
      </w:pPr>
      <w:r>
        <w:t xml:space="preserve">The procedure followed to obtain </w:t>
      </w:r>
      <w:r w:rsidR="00131B1C">
        <w:t xml:space="preserve">the shift of a given </w:t>
      </w:r>
      <w:r w:rsidR="00003558">
        <w:t>semi batch</w:t>
      </w:r>
      <w:r w:rsidR="00131B1C">
        <w:t xml:space="preserve"> process into either a series of tubular reactors with lateral discrete injections </w:t>
      </w:r>
      <w:r w:rsidR="00422B74">
        <w:t xml:space="preserve">or a series of CSTRs </w:t>
      </w:r>
      <w:r w:rsidR="00CB33A2">
        <w:t xml:space="preserve">passing through the LIR transformation </w:t>
      </w:r>
      <w:r w:rsidR="00422B74">
        <w:t>has been already reported in the literature (</w:t>
      </w:r>
      <w:r w:rsidR="00CB33A2" w:rsidRPr="009E6304">
        <w:t>Florit et al., 2020</w:t>
      </w:r>
      <w:r w:rsidR="00422B74" w:rsidRPr="009E6304">
        <w:t>).</w:t>
      </w:r>
      <w:r w:rsidR="00131B1C" w:rsidRPr="009E6304">
        <w:t xml:space="preserve"> </w:t>
      </w:r>
      <w:r w:rsidR="00CA6814" w:rsidRPr="009E6304">
        <w:t>Such</w:t>
      </w:r>
      <w:r w:rsidR="00CA6814">
        <w:t xml:space="preserve"> a</w:t>
      </w:r>
      <w:r w:rsidR="00C513DA">
        <w:t xml:space="preserve"> method is applied </w:t>
      </w:r>
      <w:r w:rsidR="00CA6814">
        <w:t xml:space="preserve">within this work </w:t>
      </w:r>
      <w:r w:rsidR="00C513DA">
        <w:t xml:space="preserve">according to the following scheme: at first, SBR recipe is shifted into a LIR, checking for the </w:t>
      </w:r>
      <w:r w:rsidR="00603115">
        <w:t>consistency of the transformation</w:t>
      </w:r>
      <w:r w:rsidR="00C513DA">
        <w:t>. After this, d-LIR and s-CSTR are designed bas</w:t>
      </w:r>
      <w:r w:rsidR="00CA6814">
        <w:t>ing</w:t>
      </w:r>
      <w:r w:rsidR="00C513DA">
        <w:t xml:space="preserve"> on LIR results. In the last step, it is possible to customize the number of reactors, lateral feeds, and volumes. Usually, it is recommendable to work with a total number of </w:t>
      </w:r>
      <w:r w:rsidR="004A19CF">
        <w:t>either</w:t>
      </w:r>
      <w:r w:rsidR="00C513DA">
        <w:t xml:space="preserve"> </w:t>
      </w:r>
      <w:r w:rsidR="004A19CF">
        <w:t xml:space="preserve">tubular </w:t>
      </w:r>
      <w:r w:rsidR="00C513DA">
        <w:t xml:space="preserve">or mixed </w:t>
      </w:r>
      <w:r w:rsidR="00647371">
        <w:t xml:space="preserve">in-series </w:t>
      </w:r>
      <w:r w:rsidR="00C513DA">
        <w:t>reactor</w:t>
      </w:r>
      <w:r w:rsidR="004A19CF">
        <w:t>s</w:t>
      </w:r>
      <w:r w:rsidR="00C513DA">
        <w:t xml:space="preserve"> between 2 and 5. This is due to practical reasons: it is not convenient to build and control a real process with an excessive number of reactors, even if small. Overcrowding of control loops and joints </w:t>
      </w:r>
      <w:r w:rsidR="00647371">
        <w:t>can occur</w:t>
      </w:r>
      <w:r w:rsidR="00C513DA">
        <w:t xml:space="preserve"> </w:t>
      </w:r>
      <w:r w:rsidR="002738C4">
        <w:t xml:space="preserve">in </w:t>
      </w:r>
      <w:r w:rsidR="00C513DA">
        <w:t xml:space="preserve">real </w:t>
      </w:r>
      <w:r w:rsidR="002738C4">
        <w:t xml:space="preserve">chemical </w:t>
      </w:r>
      <w:r w:rsidR="00C513DA">
        <w:t>processes.</w:t>
      </w:r>
    </w:p>
    <w:p w14:paraId="0636B784" w14:textId="6590FF5F" w:rsidR="00453E24" w:rsidRDefault="00CC5CC9" w:rsidP="00453E24">
      <w:pPr>
        <w:pStyle w:val="CETheadingx"/>
      </w:pPr>
      <w:r>
        <w:t>Summary of parameters</w:t>
      </w:r>
    </w:p>
    <w:p w14:paraId="5436D977" w14:textId="215F76F8" w:rsidR="00453E24" w:rsidRDefault="00CC5CC9" w:rsidP="00453E24">
      <w:pPr>
        <w:pStyle w:val="CETBodytext"/>
      </w:pPr>
      <w:r>
        <w:t xml:space="preserve">Table 1 reports the </w:t>
      </w:r>
      <w:r w:rsidR="001D5208">
        <w:t>chemo-physical properties of the chemical compounds involved in the reaction</w:t>
      </w:r>
      <w:r w:rsidR="00BE6ACF">
        <w:t>.</w:t>
      </w:r>
      <w:r w:rsidR="001D5208">
        <w:t xml:space="preserve"> </w:t>
      </w:r>
      <w:r w:rsidR="000E1987">
        <w:t xml:space="preserve">All </w:t>
      </w:r>
      <w:r w:rsidR="001D5208">
        <w:t>chemicals involved</w:t>
      </w:r>
      <w:r w:rsidR="000E1987">
        <w:t xml:space="preserve"> in the synthesis are reported in the following</w:t>
      </w:r>
      <w:r w:rsidR="001D5208">
        <w:t>: nitric acid (HNO</w:t>
      </w:r>
      <w:r w:rsidR="001D5208" w:rsidRPr="000E1987">
        <w:rPr>
          <w:vertAlign w:val="subscript"/>
        </w:rPr>
        <w:t>3</w:t>
      </w:r>
      <w:r w:rsidR="001D5208">
        <w:t>), FAM, NIM, acetic acid (AcAc) and water (H</w:t>
      </w:r>
      <w:r w:rsidR="001D5208" w:rsidRPr="001D5208">
        <w:rPr>
          <w:vertAlign w:val="subscript"/>
        </w:rPr>
        <w:t>2</w:t>
      </w:r>
      <w:r w:rsidR="001D5208">
        <w:t xml:space="preserve">O). </w:t>
      </w:r>
      <w:r w:rsidR="001D5208" w:rsidRPr="000E1987">
        <w:rPr>
          <w:i/>
          <w:iCs/>
        </w:rPr>
        <w:t>MW</w:t>
      </w:r>
      <w:r w:rsidR="001D5208" w:rsidRPr="000E1987">
        <w:rPr>
          <w:i/>
          <w:iCs/>
          <w:vertAlign w:val="subscript"/>
        </w:rPr>
        <w:t>i</w:t>
      </w:r>
      <w:r w:rsidR="001D5208">
        <w:t xml:space="preserve"> is the molecular weight the i-th chemical, </w:t>
      </w:r>
      <w:r w:rsidR="001D5208" w:rsidRPr="000E1987">
        <w:rPr>
          <w:i/>
          <w:iCs/>
        </w:rPr>
        <w:t>cp</w:t>
      </w:r>
      <w:r w:rsidR="001D5208" w:rsidRPr="000E1987">
        <w:rPr>
          <w:i/>
          <w:iCs/>
          <w:vertAlign w:val="subscript"/>
        </w:rPr>
        <w:t>mix</w:t>
      </w:r>
      <w:r w:rsidR="001D5208">
        <w:t xml:space="preserve"> is the average specific heat of the solution of FAM with acetic acid; </w:t>
      </w:r>
      <w:r w:rsidR="001D5208" w:rsidRPr="000E1987">
        <w:rPr>
          <w:i/>
          <w:iCs/>
        </w:rPr>
        <w:t>cp</w:t>
      </w:r>
      <w:r w:rsidR="001D5208" w:rsidRPr="000E1987">
        <w:rPr>
          <w:i/>
          <w:iCs/>
          <w:vertAlign w:val="subscript"/>
        </w:rPr>
        <w:t>dos</w:t>
      </w:r>
      <w:r w:rsidR="001D5208">
        <w:t xml:space="preserve"> is the specific heat of the nitric acid solution.</w:t>
      </w:r>
      <w:r w:rsidR="002738C4">
        <w:t xml:space="preserve"> </w:t>
      </w:r>
      <w:r w:rsidR="002738C4" w:rsidRPr="000E1987">
        <w:rPr>
          <w:rFonts w:cs="Arial"/>
          <w:i/>
          <w:iCs/>
        </w:rPr>
        <w:t>ρ</w:t>
      </w:r>
      <w:r w:rsidR="002738C4" w:rsidRPr="000E1987">
        <w:rPr>
          <w:i/>
          <w:iCs/>
          <w:vertAlign w:val="subscript"/>
        </w:rPr>
        <w:t>mix</w:t>
      </w:r>
      <w:r w:rsidR="002738C4">
        <w:t xml:space="preserve"> is the density of the FAM solution and </w:t>
      </w:r>
      <w:r w:rsidR="002738C4" w:rsidRPr="000E1987">
        <w:rPr>
          <w:rFonts w:cs="Arial"/>
          <w:i/>
          <w:iCs/>
        </w:rPr>
        <w:t>ρ</w:t>
      </w:r>
      <w:r w:rsidR="002738C4" w:rsidRPr="000E1987">
        <w:rPr>
          <w:i/>
          <w:iCs/>
          <w:vertAlign w:val="subscript"/>
        </w:rPr>
        <w:t>dos</w:t>
      </w:r>
      <w:r w:rsidR="002738C4">
        <w:t xml:space="preserve"> is the density of nitric acid solution. </w:t>
      </w:r>
    </w:p>
    <w:p w14:paraId="6D21D2EF" w14:textId="4C774370" w:rsidR="00CC5CC9" w:rsidRDefault="00CC5CC9" w:rsidP="00BE6ACF">
      <w:pPr>
        <w:pStyle w:val="CETTabletitle"/>
      </w:pPr>
      <w:r w:rsidRPr="00B57B36">
        <w:t xml:space="preserve">Table 1: </w:t>
      </w:r>
      <w:r w:rsidR="00BE6ACF">
        <w:t>Summary of p</w:t>
      </w:r>
      <w:r w:rsidR="001D5208">
        <w:t>roperties of the chemicals involved</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5"/>
        <w:gridCol w:w="1466"/>
        <w:gridCol w:w="1466"/>
        <w:gridCol w:w="1464"/>
        <w:gridCol w:w="1464"/>
        <w:gridCol w:w="1462"/>
      </w:tblGrid>
      <w:tr w:rsidR="001D5208" w:rsidRPr="00B57B36" w14:paraId="4134EBFC" w14:textId="6AB27CF0" w:rsidTr="00860AEF">
        <w:tc>
          <w:tcPr>
            <w:tcW w:w="834" w:type="pct"/>
            <w:tcBorders>
              <w:top w:val="single" w:sz="12" w:space="0" w:color="008000"/>
              <w:bottom w:val="single" w:sz="6" w:space="0" w:color="008000"/>
            </w:tcBorders>
            <w:shd w:val="clear" w:color="auto" w:fill="FFFFFF"/>
          </w:tcPr>
          <w:p w14:paraId="32749142" w14:textId="4FDD644B" w:rsidR="001D5208" w:rsidRPr="00B57B36" w:rsidRDefault="001D5208" w:rsidP="007C6BB9">
            <w:pPr>
              <w:pStyle w:val="CETBodytext"/>
              <w:rPr>
                <w:lang w:val="en-GB"/>
              </w:rPr>
            </w:pPr>
            <w:r>
              <w:rPr>
                <w:lang w:val="en-GB"/>
              </w:rPr>
              <w:t>Property</w:t>
            </w:r>
            <w:r w:rsidRPr="00B57B36">
              <w:rPr>
                <w:lang w:val="en-GB"/>
              </w:rPr>
              <w:t xml:space="preserve"> </w:t>
            </w:r>
          </w:p>
        </w:tc>
        <w:tc>
          <w:tcPr>
            <w:tcW w:w="834" w:type="pct"/>
            <w:tcBorders>
              <w:top w:val="single" w:sz="12" w:space="0" w:color="008000"/>
              <w:bottom w:val="single" w:sz="6" w:space="0" w:color="008000"/>
            </w:tcBorders>
            <w:shd w:val="clear" w:color="auto" w:fill="FFFFFF"/>
          </w:tcPr>
          <w:p w14:paraId="3CF55491" w14:textId="2A4A4672" w:rsidR="001D5208" w:rsidRPr="00B57B36" w:rsidRDefault="001D5208" w:rsidP="007C6BB9">
            <w:pPr>
              <w:pStyle w:val="CETBodytext"/>
              <w:rPr>
                <w:lang w:val="en-GB"/>
              </w:rPr>
            </w:pPr>
            <w:r>
              <w:rPr>
                <w:lang w:val="en-GB"/>
              </w:rPr>
              <w:t>Value</w:t>
            </w:r>
          </w:p>
        </w:tc>
        <w:tc>
          <w:tcPr>
            <w:tcW w:w="834" w:type="pct"/>
            <w:tcBorders>
              <w:top w:val="single" w:sz="12" w:space="0" w:color="008000"/>
              <w:bottom w:val="single" w:sz="6" w:space="0" w:color="008000"/>
            </w:tcBorders>
            <w:shd w:val="clear" w:color="auto" w:fill="FFFFFF"/>
          </w:tcPr>
          <w:p w14:paraId="2ABA0303" w14:textId="5D886DA2" w:rsidR="001D5208" w:rsidRPr="00B57B36" w:rsidRDefault="001D5208" w:rsidP="007C6BB9">
            <w:pPr>
              <w:pStyle w:val="CETBodytext"/>
              <w:rPr>
                <w:lang w:val="en-GB"/>
              </w:rPr>
            </w:pPr>
            <w:r>
              <w:rPr>
                <w:lang w:val="en-GB"/>
              </w:rPr>
              <w:t>Property</w:t>
            </w:r>
          </w:p>
        </w:tc>
        <w:tc>
          <w:tcPr>
            <w:tcW w:w="833" w:type="pct"/>
            <w:tcBorders>
              <w:top w:val="single" w:sz="12" w:space="0" w:color="008000"/>
              <w:bottom w:val="single" w:sz="6" w:space="0" w:color="008000"/>
            </w:tcBorders>
            <w:shd w:val="clear" w:color="auto" w:fill="FFFFFF"/>
          </w:tcPr>
          <w:p w14:paraId="3D1256BE" w14:textId="7A21FAD5" w:rsidR="001D5208" w:rsidRPr="00B57B36" w:rsidRDefault="001D5208" w:rsidP="007C6BB9">
            <w:pPr>
              <w:pStyle w:val="CETBodytext"/>
              <w:ind w:right="-1"/>
              <w:rPr>
                <w:rFonts w:cs="Arial"/>
                <w:szCs w:val="18"/>
                <w:lang w:val="en-GB"/>
              </w:rPr>
            </w:pPr>
            <w:r>
              <w:rPr>
                <w:rFonts w:cs="Arial"/>
                <w:szCs w:val="18"/>
                <w:lang w:val="en-GB"/>
              </w:rPr>
              <w:t>Value</w:t>
            </w:r>
          </w:p>
        </w:tc>
        <w:tc>
          <w:tcPr>
            <w:tcW w:w="833" w:type="pct"/>
            <w:tcBorders>
              <w:top w:val="single" w:sz="12" w:space="0" w:color="008000"/>
              <w:bottom w:val="single" w:sz="6" w:space="0" w:color="008000"/>
            </w:tcBorders>
            <w:shd w:val="clear" w:color="auto" w:fill="FFFFFF"/>
          </w:tcPr>
          <w:p w14:paraId="039689E6" w14:textId="129269EF" w:rsidR="001D5208" w:rsidRPr="00B57B36" w:rsidRDefault="001D5208" w:rsidP="007C6BB9">
            <w:pPr>
              <w:pStyle w:val="CETBodytext"/>
              <w:ind w:right="-1"/>
              <w:rPr>
                <w:rFonts w:cs="Arial"/>
                <w:szCs w:val="18"/>
                <w:lang w:val="en-GB"/>
              </w:rPr>
            </w:pPr>
            <w:r>
              <w:rPr>
                <w:rFonts w:cs="Arial"/>
                <w:szCs w:val="18"/>
                <w:lang w:val="en-GB"/>
              </w:rPr>
              <w:t>Property</w:t>
            </w:r>
          </w:p>
        </w:tc>
        <w:tc>
          <w:tcPr>
            <w:tcW w:w="832" w:type="pct"/>
            <w:tcBorders>
              <w:top w:val="single" w:sz="12" w:space="0" w:color="008000"/>
              <w:bottom w:val="single" w:sz="6" w:space="0" w:color="008000"/>
            </w:tcBorders>
            <w:shd w:val="clear" w:color="auto" w:fill="FFFFFF"/>
          </w:tcPr>
          <w:p w14:paraId="5C70008B" w14:textId="60482154" w:rsidR="001D5208" w:rsidRPr="00B57B36" w:rsidRDefault="001D5208" w:rsidP="007C6BB9">
            <w:pPr>
              <w:pStyle w:val="CETBodytext"/>
              <w:ind w:right="-1"/>
              <w:rPr>
                <w:rFonts w:cs="Arial"/>
                <w:szCs w:val="18"/>
                <w:lang w:val="en-GB"/>
              </w:rPr>
            </w:pPr>
            <w:r>
              <w:rPr>
                <w:rFonts w:cs="Arial"/>
                <w:szCs w:val="18"/>
                <w:lang w:val="en-GB"/>
              </w:rPr>
              <w:t>Value</w:t>
            </w:r>
          </w:p>
        </w:tc>
      </w:tr>
      <w:tr w:rsidR="001D5208" w:rsidRPr="00B57B36" w14:paraId="2ACF508F" w14:textId="4FD1A9EA" w:rsidTr="00860AEF">
        <w:tc>
          <w:tcPr>
            <w:tcW w:w="834" w:type="pct"/>
            <w:shd w:val="clear" w:color="auto" w:fill="FFFFFF"/>
          </w:tcPr>
          <w:p w14:paraId="264DFB90" w14:textId="2E7242AC" w:rsidR="001D5208" w:rsidRPr="00B57B36" w:rsidRDefault="001D5208" w:rsidP="007C6BB9">
            <w:pPr>
              <w:pStyle w:val="CETBodytext"/>
              <w:rPr>
                <w:lang w:val="en-GB"/>
              </w:rPr>
            </w:pPr>
            <w:r>
              <w:rPr>
                <w:lang w:val="en-GB"/>
              </w:rPr>
              <w:t>MW</w:t>
            </w:r>
            <w:r w:rsidRPr="001D5208">
              <w:rPr>
                <w:vertAlign w:val="subscript"/>
                <w:lang w:val="en-GB"/>
              </w:rPr>
              <w:t>H2O</w:t>
            </w:r>
            <w:r>
              <w:rPr>
                <w:lang w:val="en-GB"/>
              </w:rPr>
              <w:t xml:space="preserve"> [kg/mol]</w:t>
            </w:r>
          </w:p>
        </w:tc>
        <w:tc>
          <w:tcPr>
            <w:tcW w:w="834" w:type="pct"/>
            <w:shd w:val="clear" w:color="auto" w:fill="FFFFFF"/>
          </w:tcPr>
          <w:p w14:paraId="18B89510" w14:textId="1ED7592A" w:rsidR="001D5208" w:rsidRPr="00B57B36" w:rsidRDefault="001D5208" w:rsidP="007C6BB9">
            <w:pPr>
              <w:pStyle w:val="CETBodytext"/>
              <w:rPr>
                <w:lang w:val="en-GB"/>
              </w:rPr>
            </w:pPr>
            <w:r>
              <w:rPr>
                <w:lang w:val="en-GB"/>
              </w:rPr>
              <w:t>18.00</w:t>
            </w:r>
          </w:p>
        </w:tc>
        <w:tc>
          <w:tcPr>
            <w:tcW w:w="834" w:type="pct"/>
            <w:shd w:val="clear" w:color="auto" w:fill="FFFFFF"/>
          </w:tcPr>
          <w:p w14:paraId="7C3B40CE" w14:textId="2B70469C" w:rsidR="001D5208" w:rsidRPr="00B57B36" w:rsidRDefault="001D5208" w:rsidP="007C6BB9">
            <w:pPr>
              <w:pStyle w:val="CETBodytext"/>
              <w:rPr>
                <w:lang w:val="en-GB"/>
              </w:rPr>
            </w:pPr>
            <w:r>
              <w:rPr>
                <w:lang w:val="en-GB"/>
              </w:rPr>
              <w:t>MW</w:t>
            </w:r>
            <w:r w:rsidRPr="001D5208">
              <w:rPr>
                <w:vertAlign w:val="subscript"/>
                <w:lang w:val="en-GB"/>
              </w:rPr>
              <w:t>H</w:t>
            </w:r>
            <w:r>
              <w:rPr>
                <w:vertAlign w:val="subscript"/>
                <w:lang w:val="en-GB"/>
              </w:rPr>
              <w:t>N</w:t>
            </w:r>
            <w:r w:rsidRPr="001D5208">
              <w:rPr>
                <w:vertAlign w:val="subscript"/>
                <w:lang w:val="en-GB"/>
              </w:rPr>
              <w:t>O</w:t>
            </w:r>
            <w:r>
              <w:rPr>
                <w:vertAlign w:val="subscript"/>
                <w:lang w:val="en-GB"/>
              </w:rPr>
              <w:t>3</w:t>
            </w:r>
            <w:r>
              <w:rPr>
                <w:lang w:val="en-GB"/>
              </w:rPr>
              <w:t xml:space="preserve"> [kg/mol]</w:t>
            </w:r>
          </w:p>
        </w:tc>
        <w:tc>
          <w:tcPr>
            <w:tcW w:w="833" w:type="pct"/>
            <w:shd w:val="clear" w:color="auto" w:fill="FFFFFF"/>
          </w:tcPr>
          <w:p w14:paraId="08320F4F" w14:textId="7B7D77B3" w:rsidR="001D5208" w:rsidRPr="00B57B36" w:rsidRDefault="001D5208" w:rsidP="007C6BB9">
            <w:pPr>
              <w:pStyle w:val="CETBodytext"/>
              <w:ind w:right="-1"/>
              <w:rPr>
                <w:rFonts w:cs="Arial"/>
                <w:szCs w:val="18"/>
                <w:lang w:val="en-GB"/>
              </w:rPr>
            </w:pPr>
            <w:r>
              <w:rPr>
                <w:rFonts w:cs="Arial"/>
                <w:szCs w:val="18"/>
                <w:lang w:val="en-GB"/>
              </w:rPr>
              <w:t>63.01</w:t>
            </w:r>
          </w:p>
        </w:tc>
        <w:tc>
          <w:tcPr>
            <w:tcW w:w="833" w:type="pct"/>
            <w:shd w:val="clear" w:color="auto" w:fill="FFFFFF"/>
          </w:tcPr>
          <w:p w14:paraId="0381EF8B" w14:textId="65CC3DC0" w:rsidR="001D5208" w:rsidRPr="00B57B36" w:rsidRDefault="001D5208" w:rsidP="007C6BB9">
            <w:pPr>
              <w:pStyle w:val="CETBodytext"/>
              <w:ind w:right="-1"/>
              <w:rPr>
                <w:rFonts w:cs="Arial"/>
                <w:szCs w:val="18"/>
                <w:lang w:val="en-GB"/>
              </w:rPr>
            </w:pPr>
            <w:r>
              <w:rPr>
                <w:lang w:val="en-GB"/>
              </w:rPr>
              <w:t>MW</w:t>
            </w:r>
            <w:r>
              <w:rPr>
                <w:vertAlign w:val="subscript"/>
                <w:lang w:val="en-GB"/>
              </w:rPr>
              <w:t>FAM</w:t>
            </w:r>
            <w:r>
              <w:rPr>
                <w:lang w:val="en-GB"/>
              </w:rPr>
              <w:t xml:space="preserve"> [kg/mol]</w:t>
            </w:r>
          </w:p>
        </w:tc>
        <w:tc>
          <w:tcPr>
            <w:tcW w:w="832" w:type="pct"/>
            <w:shd w:val="clear" w:color="auto" w:fill="FFFFFF"/>
          </w:tcPr>
          <w:p w14:paraId="3970528C" w14:textId="2C529E89" w:rsidR="001D5208" w:rsidRPr="00B57B36" w:rsidRDefault="001D5208" w:rsidP="007C6BB9">
            <w:pPr>
              <w:pStyle w:val="CETBodytext"/>
              <w:ind w:right="-1"/>
              <w:rPr>
                <w:rFonts w:cs="Arial"/>
                <w:szCs w:val="18"/>
                <w:lang w:val="en-GB"/>
              </w:rPr>
            </w:pPr>
            <w:r>
              <w:rPr>
                <w:rFonts w:cs="Arial"/>
                <w:szCs w:val="18"/>
                <w:lang w:val="en-GB"/>
              </w:rPr>
              <w:t>263.3</w:t>
            </w:r>
          </w:p>
        </w:tc>
      </w:tr>
      <w:tr w:rsidR="001D5208" w:rsidRPr="00B57B36" w14:paraId="35AE8580" w14:textId="251B84DA" w:rsidTr="00860AEF">
        <w:tc>
          <w:tcPr>
            <w:tcW w:w="834" w:type="pct"/>
            <w:shd w:val="clear" w:color="auto" w:fill="FFFFFF"/>
          </w:tcPr>
          <w:p w14:paraId="6E52461A" w14:textId="7F950C50" w:rsidR="001D5208" w:rsidRPr="00B57B36" w:rsidRDefault="001D5208" w:rsidP="007C6BB9">
            <w:pPr>
              <w:pStyle w:val="CETBodytext"/>
              <w:ind w:right="-1"/>
              <w:rPr>
                <w:rFonts w:cs="Arial"/>
                <w:szCs w:val="18"/>
                <w:lang w:val="en-GB"/>
              </w:rPr>
            </w:pPr>
            <w:r>
              <w:rPr>
                <w:lang w:val="en-GB"/>
              </w:rPr>
              <w:t>MW</w:t>
            </w:r>
            <w:r>
              <w:rPr>
                <w:vertAlign w:val="subscript"/>
                <w:lang w:val="en-GB"/>
              </w:rPr>
              <w:t>NIM</w:t>
            </w:r>
            <w:r>
              <w:rPr>
                <w:lang w:val="en-GB"/>
              </w:rPr>
              <w:t xml:space="preserve"> [kg/mol]</w:t>
            </w:r>
          </w:p>
        </w:tc>
        <w:tc>
          <w:tcPr>
            <w:tcW w:w="834" w:type="pct"/>
            <w:shd w:val="clear" w:color="auto" w:fill="FFFFFF"/>
          </w:tcPr>
          <w:p w14:paraId="65585093" w14:textId="759770CA" w:rsidR="001D5208" w:rsidRPr="00B57B36" w:rsidRDefault="001D5208" w:rsidP="007C6BB9">
            <w:pPr>
              <w:pStyle w:val="CETBodytext"/>
              <w:ind w:right="-1"/>
              <w:rPr>
                <w:rFonts w:cs="Arial"/>
                <w:szCs w:val="18"/>
                <w:lang w:val="en-GB"/>
              </w:rPr>
            </w:pPr>
            <w:r>
              <w:rPr>
                <w:rFonts w:cs="Arial"/>
                <w:szCs w:val="18"/>
                <w:lang w:val="en-GB"/>
              </w:rPr>
              <w:t>308.31</w:t>
            </w:r>
          </w:p>
        </w:tc>
        <w:tc>
          <w:tcPr>
            <w:tcW w:w="834" w:type="pct"/>
            <w:shd w:val="clear" w:color="auto" w:fill="FFFFFF"/>
          </w:tcPr>
          <w:p w14:paraId="0817FE6F" w14:textId="031ACC56" w:rsidR="001D5208" w:rsidRPr="00B57B36" w:rsidRDefault="001D5208" w:rsidP="007C6BB9">
            <w:pPr>
              <w:pStyle w:val="CETBodytext"/>
              <w:ind w:right="-1"/>
              <w:rPr>
                <w:rFonts w:cs="Arial"/>
                <w:szCs w:val="18"/>
                <w:lang w:val="en-GB"/>
              </w:rPr>
            </w:pPr>
            <w:r>
              <w:rPr>
                <w:lang w:val="en-GB"/>
              </w:rPr>
              <w:t>MW</w:t>
            </w:r>
            <w:r>
              <w:rPr>
                <w:vertAlign w:val="subscript"/>
                <w:lang w:val="en-GB"/>
              </w:rPr>
              <w:t>AcAc</w:t>
            </w:r>
            <w:r>
              <w:rPr>
                <w:lang w:val="en-GB"/>
              </w:rPr>
              <w:t xml:space="preserve"> [kg/mol]</w:t>
            </w:r>
          </w:p>
        </w:tc>
        <w:tc>
          <w:tcPr>
            <w:tcW w:w="833" w:type="pct"/>
            <w:shd w:val="clear" w:color="auto" w:fill="FFFFFF"/>
          </w:tcPr>
          <w:p w14:paraId="1B889270" w14:textId="2146C02B" w:rsidR="001D5208" w:rsidRPr="00B57B36" w:rsidRDefault="001D5208" w:rsidP="007C6BB9">
            <w:pPr>
              <w:pStyle w:val="CETBodytext"/>
              <w:ind w:right="-1"/>
              <w:rPr>
                <w:rFonts w:cs="Arial"/>
                <w:szCs w:val="18"/>
                <w:lang w:val="en-GB"/>
              </w:rPr>
            </w:pPr>
            <w:r>
              <w:rPr>
                <w:rFonts w:cs="Arial"/>
                <w:szCs w:val="18"/>
                <w:lang w:val="en-GB"/>
              </w:rPr>
              <w:t>60.05</w:t>
            </w:r>
          </w:p>
        </w:tc>
        <w:tc>
          <w:tcPr>
            <w:tcW w:w="833" w:type="pct"/>
            <w:shd w:val="clear" w:color="auto" w:fill="FFFFFF"/>
          </w:tcPr>
          <w:p w14:paraId="6166894F" w14:textId="280D7D61" w:rsidR="001D5208" w:rsidRPr="00B57B36" w:rsidRDefault="001D5208" w:rsidP="007C6BB9">
            <w:pPr>
              <w:pStyle w:val="CETBodytext"/>
              <w:ind w:right="-1"/>
              <w:rPr>
                <w:rFonts w:cs="Arial"/>
                <w:szCs w:val="18"/>
                <w:lang w:val="en-GB"/>
              </w:rPr>
            </w:pPr>
            <w:r>
              <w:rPr>
                <w:rFonts w:cs="Arial"/>
                <w:szCs w:val="18"/>
                <w:lang w:val="en-GB"/>
              </w:rPr>
              <w:t>c</w:t>
            </w:r>
            <w:r w:rsidRPr="001D5208">
              <w:rPr>
                <w:rFonts w:cs="Arial"/>
                <w:szCs w:val="18"/>
                <w:vertAlign w:val="subscript"/>
                <w:lang w:val="en-GB"/>
              </w:rPr>
              <w:t>p</w:t>
            </w:r>
            <w:r>
              <w:rPr>
                <w:rFonts w:cs="Arial"/>
                <w:szCs w:val="18"/>
                <w:vertAlign w:val="subscript"/>
                <w:lang w:val="en-GB"/>
              </w:rPr>
              <w:t>mix</w:t>
            </w:r>
            <w:r>
              <w:rPr>
                <w:lang w:val="en-GB"/>
              </w:rPr>
              <w:t xml:space="preserve"> [J/(kg </w:t>
            </w:r>
            <w:r w:rsidR="00AE3EB9">
              <w:rPr>
                <w:lang w:val="en-GB"/>
              </w:rPr>
              <w:t>°C</w:t>
            </w:r>
            <w:r>
              <w:rPr>
                <w:lang w:val="en-GB"/>
              </w:rPr>
              <w:t>)</w:t>
            </w:r>
            <w:r w:rsidRPr="001D5208">
              <w:rPr>
                <w:lang w:val="en-GB"/>
              </w:rPr>
              <w:t>]</w:t>
            </w:r>
          </w:p>
        </w:tc>
        <w:tc>
          <w:tcPr>
            <w:tcW w:w="832" w:type="pct"/>
            <w:shd w:val="clear" w:color="auto" w:fill="FFFFFF"/>
          </w:tcPr>
          <w:p w14:paraId="2BC45751" w14:textId="5CC6755D" w:rsidR="001D5208" w:rsidRPr="00B57B36" w:rsidRDefault="001D5208" w:rsidP="007C6BB9">
            <w:pPr>
              <w:pStyle w:val="CETBodytext"/>
              <w:ind w:right="-1"/>
              <w:rPr>
                <w:rFonts w:cs="Arial"/>
                <w:szCs w:val="18"/>
                <w:lang w:val="en-GB"/>
              </w:rPr>
            </w:pPr>
            <w:r>
              <w:rPr>
                <w:rFonts w:cs="Arial"/>
                <w:szCs w:val="18"/>
                <w:lang w:val="en-GB"/>
              </w:rPr>
              <w:t>2060</w:t>
            </w:r>
          </w:p>
        </w:tc>
      </w:tr>
      <w:tr w:rsidR="001D5208" w:rsidRPr="00B57B36" w14:paraId="729360FE" w14:textId="77777777" w:rsidTr="00860AEF">
        <w:tc>
          <w:tcPr>
            <w:tcW w:w="834" w:type="pct"/>
            <w:shd w:val="clear" w:color="auto" w:fill="FFFFFF"/>
          </w:tcPr>
          <w:p w14:paraId="25557BE3" w14:textId="48FF66AB" w:rsidR="001D5208" w:rsidRDefault="001D5208" w:rsidP="007C6BB9">
            <w:pPr>
              <w:pStyle w:val="CETBodytext"/>
              <w:ind w:right="-1"/>
              <w:rPr>
                <w:lang w:val="en-GB"/>
              </w:rPr>
            </w:pPr>
            <w:r>
              <w:rPr>
                <w:lang w:val="en-GB"/>
              </w:rPr>
              <w:t>cp</w:t>
            </w:r>
            <w:r w:rsidRPr="001D5208">
              <w:rPr>
                <w:vertAlign w:val="subscript"/>
                <w:lang w:val="en-GB"/>
              </w:rPr>
              <w:t>dos</w:t>
            </w:r>
            <w:r>
              <w:rPr>
                <w:vertAlign w:val="subscript"/>
                <w:lang w:val="en-GB"/>
              </w:rPr>
              <w:t xml:space="preserve"> </w:t>
            </w:r>
            <w:r w:rsidRPr="001D5208">
              <w:rPr>
                <w:lang w:val="en-GB"/>
              </w:rPr>
              <w:t>[</w:t>
            </w:r>
            <w:r>
              <w:rPr>
                <w:lang w:val="en-GB"/>
              </w:rPr>
              <w:t xml:space="preserve">J/(kg </w:t>
            </w:r>
            <w:r w:rsidR="00AE3EB9">
              <w:rPr>
                <w:lang w:val="en-GB"/>
              </w:rPr>
              <w:t>°C</w:t>
            </w:r>
            <w:r>
              <w:rPr>
                <w:lang w:val="en-GB"/>
              </w:rPr>
              <w:t>)</w:t>
            </w:r>
            <w:r w:rsidRPr="001D5208">
              <w:rPr>
                <w:lang w:val="en-GB"/>
              </w:rPr>
              <w:t>]</w:t>
            </w:r>
          </w:p>
        </w:tc>
        <w:tc>
          <w:tcPr>
            <w:tcW w:w="834" w:type="pct"/>
            <w:shd w:val="clear" w:color="auto" w:fill="FFFFFF"/>
          </w:tcPr>
          <w:p w14:paraId="5B7E67D7" w14:textId="47A6AA3D" w:rsidR="001D5208" w:rsidRDefault="001D5208" w:rsidP="007C6BB9">
            <w:pPr>
              <w:pStyle w:val="CETBodytext"/>
              <w:ind w:right="-1"/>
              <w:rPr>
                <w:rFonts w:cs="Arial"/>
                <w:szCs w:val="18"/>
                <w:lang w:val="en-GB"/>
              </w:rPr>
            </w:pPr>
            <w:r>
              <w:rPr>
                <w:rFonts w:cs="Arial"/>
                <w:szCs w:val="18"/>
                <w:lang w:val="en-GB"/>
              </w:rPr>
              <w:t>2598</w:t>
            </w:r>
          </w:p>
        </w:tc>
        <w:tc>
          <w:tcPr>
            <w:tcW w:w="834" w:type="pct"/>
            <w:shd w:val="clear" w:color="auto" w:fill="FFFFFF"/>
          </w:tcPr>
          <w:p w14:paraId="1B627BAC" w14:textId="485B9835" w:rsidR="001D5208" w:rsidRDefault="002738C4" w:rsidP="007C6BB9">
            <w:pPr>
              <w:pStyle w:val="CETBodytext"/>
              <w:ind w:right="-1"/>
              <w:rPr>
                <w:lang w:val="en-GB"/>
              </w:rPr>
            </w:pPr>
            <w:r>
              <w:rPr>
                <w:rFonts w:cs="Arial"/>
                <w:lang w:val="en-GB"/>
              </w:rPr>
              <w:t>ρ</w:t>
            </w:r>
            <w:r w:rsidRPr="002738C4">
              <w:rPr>
                <w:vertAlign w:val="subscript"/>
                <w:lang w:val="en-GB"/>
              </w:rPr>
              <w:t>mix</w:t>
            </w:r>
            <w:r>
              <w:rPr>
                <w:lang w:val="en-GB"/>
              </w:rPr>
              <w:t xml:space="preserve"> </w:t>
            </w:r>
            <w:r>
              <w:rPr>
                <w:rFonts w:cs="Arial"/>
                <w:szCs w:val="18"/>
                <w:lang w:val="en-GB"/>
              </w:rPr>
              <w:t>[kg/m³]</w:t>
            </w:r>
          </w:p>
        </w:tc>
        <w:tc>
          <w:tcPr>
            <w:tcW w:w="833" w:type="pct"/>
            <w:shd w:val="clear" w:color="auto" w:fill="FFFFFF"/>
          </w:tcPr>
          <w:p w14:paraId="2C2F43C9" w14:textId="26576798" w:rsidR="001D5208" w:rsidRDefault="002738C4" w:rsidP="007C6BB9">
            <w:pPr>
              <w:pStyle w:val="CETBodytext"/>
              <w:ind w:right="-1"/>
              <w:rPr>
                <w:rFonts w:cs="Arial"/>
                <w:szCs w:val="18"/>
                <w:lang w:val="en-GB"/>
              </w:rPr>
            </w:pPr>
            <w:r>
              <w:rPr>
                <w:rFonts w:cs="Arial"/>
                <w:szCs w:val="18"/>
                <w:lang w:val="en-GB"/>
              </w:rPr>
              <w:t>1137.1</w:t>
            </w:r>
          </w:p>
        </w:tc>
        <w:tc>
          <w:tcPr>
            <w:tcW w:w="833" w:type="pct"/>
            <w:shd w:val="clear" w:color="auto" w:fill="FFFFFF"/>
          </w:tcPr>
          <w:p w14:paraId="2C4848BE" w14:textId="42E897C5" w:rsidR="001D5208" w:rsidRPr="00B57B36" w:rsidRDefault="002738C4" w:rsidP="007C6BB9">
            <w:pPr>
              <w:pStyle w:val="CETBodytext"/>
              <w:ind w:right="-1"/>
              <w:rPr>
                <w:rFonts w:cs="Arial"/>
                <w:szCs w:val="18"/>
                <w:lang w:val="en-GB"/>
              </w:rPr>
            </w:pPr>
            <w:r>
              <w:rPr>
                <w:rFonts w:cs="Arial"/>
                <w:szCs w:val="18"/>
                <w:lang w:val="en-GB"/>
              </w:rPr>
              <w:t>ρ</w:t>
            </w:r>
            <w:r w:rsidRPr="002738C4">
              <w:rPr>
                <w:rFonts w:cs="Arial"/>
                <w:szCs w:val="18"/>
                <w:vertAlign w:val="subscript"/>
                <w:lang w:val="en-GB"/>
              </w:rPr>
              <w:t>dos</w:t>
            </w:r>
            <w:r>
              <w:rPr>
                <w:rFonts w:cs="Arial"/>
                <w:szCs w:val="18"/>
                <w:lang w:val="en-GB"/>
              </w:rPr>
              <w:t xml:space="preserve"> [kg/m³]</w:t>
            </w:r>
          </w:p>
        </w:tc>
        <w:tc>
          <w:tcPr>
            <w:tcW w:w="832" w:type="pct"/>
            <w:shd w:val="clear" w:color="auto" w:fill="FFFFFF"/>
          </w:tcPr>
          <w:p w14:paraId="6C1B68E1" w14:textId="15E78BF3" w:rsidR="001D5208" w:rsidRPr="00B57B36" w:rsidRDefault="002738C4" w:rsidP="007C6BB9">
            <w:pPr>
              <w:pStyle w:val="CETBodytext"/>
              <w:ind w:right="-1"/>
              <w:rPr>
                <w:rFonts w:cs="Arial"/>
                <w:szCs w:val="18"/>
                <w:lang w:val="en-GB"/>
              </w:rPr>
            </w:pPr>
            <w:r>
              <w:rPr>
                <w:rFonts w:cs="Arial"/>
                <w:szCs w:val="18"/>
                <w:lang w:val="en-GB"/>
              </w:rPr>
              <w:t>1495.2</w:t>
            </w:r>
          </w:p>
        </w:tc>
      </w:tr>
      <w:tr w:rsidR="002738C4" w:rsidRPr="00B57B36" w14:paraId="4349AFF0" w14:textId="77777777" w:rsidTr="00860AEF">
        <w:tc>
          <w:tcPr>
            <w:tcW w:w="834" w:type="pct"/>
            <w:shd w:val="clear" w:color="auto" w:fill="FFFFFF"/>
          </w:tcPr>
          <w:p w14:paraId="02E3758F" w14:textId="2E2820F6" w:rsidR="002738C4" w:rsidRDefault="002738C4" w:rsidP="002738C4">
            <w:pPr>
              <w:pStyle w:val="CETBodytext"/>
              <w:ind w:right="-1"/>
              <w:rPr>
                <w:lang w:val="en-GB"/>
              </w:rPr>
            </w:pPr>
            <w:r>
              <w:rPr>
                <w:rFonts w:cs="Arial"/>
                <w:lang w:val="en-GB"/>
              </w:rPr>
              <w:t>ρ</w:t>
            </w:r>
            <w:r>
              <w:rPr>
                <w:vertAlign w:val="subscript"/>
                <w:lang w:val="en-GB"/>
              </w:rPr>
              <w:t>H2O</w:t>
            </w:r>
            <w:r>
              <w:rPr>
                <w:lang w:val="en-GB"/>
              </w:rPr>
              <w:t xml:space="preserve"> </w:t>
            </w:r>
            <w:r>
              <w:rPr>
                <w:rFonts w:cs="Arial"/>
                <w:szCs w:val="18"/>
                <w:lang w:val="en-GB"/>
              </w:rPr>
              <w:t>[kg/m³]</w:t>
            </w:r>
          </w:p>
        </w:tc>
        <w:tc>
          <w:tcPr>
            <w:tcW w:w="834" w:type="pct"/>
            <w:shd w:val="clear" w:color="auto" w:fill="FFFFFF"/>
          </w:tcPr>
          <w:p w14:paraId="6B21A139" w14:textId="66F85637" w:rsidR="002738C4" w:rsidRDefault="002738C4" w:rsidP="002738C4">
            <w:pPr>
              <w:pStyle w:val="CETBodytext"/>
              <w:ind w:right="-1"/>
              <w:rPr>
                <w:rFonts w:cs="Arial"/>
                <w:szCs w:val="18"/>
                <w:lang w:val="en-GB"/>
              </w:rPr>
            </w:pPr>
            <w:r>
              <w:rPr>
                <w:rFonts w:cs="Arial"/>
                <w:szCs w:val="18"/>
                <w:lang w:val="en-GB"/>
              </w:rPr>
              <w:t>978</w:t>
            </w:r>
          </w:p>
        </w:tc>
        <w:tc>
          <w:tcPr>
            <w:tcW w:w="834" w:type="pct"/>
            <w:shd w:val="clear" w:color="auto" w:fill="FFFFFF"/>
          </w:tcPr>
          <w:p w14:paraId="04330358" w14:textId="77777777" w:rsidR="002738C4" w:rsidRDefault="002738C4" w:rsidP="002738C4">
            <w:pPr>
              <w:pStyle w:val="CETBodytext"/>
              <w:ind w:right="-1"/>
              <w:rPr>
                <w:lang w:val="en-GB"/>
              </w:rPr>
            </w:pPr>
          </w:p>
        </w:tc>
        <w:tc>
          <w:tcPr>
            <w:tcW w:w="833" w:type="pct"/>
            <w:shd w:val="clear" w:color="auto" w:fill="FFFFFF"/>
          </w:tcPr>
          <w:p w14:paraId="34140649" w14:textId="77777777" w:rsidR="002738C4" w:rsidRDefault="002738C4" w:rsidP="002738C4">
            <w:pPr>
              <w:pStyle w:val="CETBodytext"/>
              <w:ind w:right="-1"/>
              <w:rPr>
                <w:rFonts w:cs="Arial"/>
                <w:szCs w:val="18"/>
                <w:lang w:val="en-GB"/>
              </w:rPr>
            </w:pPr>
          </w:p>
        </w:tc>
        <w:tc>
          <w:tcPr>
            <w:tcW w:w="833" w:type="pct"/>
            <w:shd w:val="clear" w:color="auto" w:fill="FFFFFF"/>
          </w:tcPr>
          <w:p w14:paraId="7F41E4A6" w14:textId="77777777" w:rsidR="002738C4" w:rsidRPr="00B57B36" w:rsidRDefault="002738C4" w:rsidP="002738C4">
            <w:pPr>
              <w:pStyle w:val="CETBodytext"/>
              <w:ind w:right="-1"/>
              <w:rPr>
                <w:rFonts w:cs="Arial"/>
                <w:szCs w:val="18"/>
                <w:lang w:val="en-GB"/>
              </w:rPr>
            </w:pPr>
          </w:p>
        </w:tc>
        <w:tc>
          <w:tcPr>
            <w:tcW w:w="832" w:type="pct"/>
            <w:shd w:val="clear" w:color="auto" w:fill="FFFFFF"/>
          </w:tcPr>
          <w:p w14:paraId="1DEDB51C" w14:textId="77777777" w:rsidR="002738C4" w:rsidRPr="00B57B36" w:rsidRDefault="002738C4" w:rsidP="002738C4">
            <w:pPr>
              <w:pStyle w:val="CETBodytext"/>
              <w:ind w:right="-1"/>
              <w:rPr>
                <w:rFonts w:cs="Arial"/>
                <w:szCs w:val="18"/>
                <w:lang w:val="en-GB"/>
              </w:rPr>
            </w:pPr>
          </w:p>
        </w:tc>
      </w:tr>
    </w:tbl>
    <w:p w14:paraId="02D7F8E8" w14:textId="20F016EC" w:rsidR="00CC5CC9" w:rsidRDefault="00CC5CC9" w:rsidP="00453E24">
      <w:pPr>
        <w:pStyle w:val="CETBodytext"/>
      </w:pPr>
    </w:p>
    <w:p w14:paraId="2215EA71" w14:textId="5E508F7A" w:rsidR="00860AEF" w:rsidRDefault="002738C4" w:rsidP="00453E24">
      <w:pPr>
        <w:pStyle w:val="CETBodytext"/>
      </w:pPr>
      <w:r>
        <w:t>For the original semi-batch recipe, a total mass of 8238.5 kg is used at a working temperature of 80°C</w:t>
      </w:r>
      <w:r w:rsidR="00003E99">
        <w:t xml:space="preserve"> (FAM concentration </w:t>
      </w:r>
      <w:r w:rsidR="00E17541">
        <w:t xml:space="preserve">is </w:t>
      </w:r>
      <w:r w:rsidR="00003E99">
        <w:t>17.3% w/w</w:t>
      </w:r>
      <w:r>
        <w:t>.</w:t>
      </w:r>
      <w:r w:rsidR="00A06E91">
        <w:t>)</w:t>
      </w:r>
      <w:r>
        <w:t xml:space="preserve"> HNO</w:t>
      </w:r>
      <w:r w:rsidRPr="002738C4">
        <w:rPr>
          <w:vertAlign w:val="subscript"/>
        </w:rPr>
        <w:t>3</w:t>
      </w:r>
      <w:r>
        <w:t xml:space="preserve"> is dosed by means of a concentrated solution (65% w/w), with a stoichiometric ratio with respect to NIM (1:1 molar ratio), in 120 min, at 25°C. The semi-batch reactor is kept under control by a water jacket, whose inlet temperature is controlled with a Proportiona</w:t>
      </w:r>
      <w:r w:rsidR="00003E99">
        <w:t>l</w:t>
      </w:r>
      <w:r>
        <w:t>-Integral controller (static gain=6, integral time=3600s), with a setpoint temperature of 80°</w:t>
      </w:r>
      <w:r w:rsidR="00A06E91">
        <w:t>C</w:t>
      </w:r>
      <w:r>
        <w:t xml:space="preserve">. </w:t>
      </w:r>
      <w:r w:rsidR="00860AEF">
        <w:t xml:space="preserve">The semi-batch reactor has a global heat exchange coefficient equal to </w:t>
      </w:r>
      <w:r w:rsidR="00860AEF" w:rsidRPr="00860AEF">
        <w:t>163</w:t>
      </w:r>
      <w:r w:rsidR="00860AEF">
        <w:t xml:space="preserve"> </w:t>
      </w:r>
      <w:r w:rsidR="00860AEF" w:rsidRPr="00860AEF">
        <w:t>W/</w:t>
      </w:r>
      <w:r w:rsidR="00860AEF">
        <w:t>(</w:t>
      </w:r>
      <w:r w:rsidR="00860AEF" w:rsidRPr="00860AEF">
        <w:t>m</w:t>
      </w:r>
      <w:r w:rsidR="00860AEF">
        <w:t xml:space="preserve">² </w:t>
      </w:r>
      <w:r w:rsidR="00925F91">
        <w:t>°C</w:t>
      </w:r>
      <w:r w:rsidR="00860AEF">
        <w:t xml:space="preserve">). The kinetics of FAM nitration is described according to the following Arrhenius equation </w:t>
      </w:r>
      <w:r w:rsidR="00860AEF">
        <w:fldChar w:fldCharType="begin"/>
      </w:r>
      <w:r w:rsidR="00860AEF">
        <w:instrText xml:space="preserve"> ADDIN ZOTERO_ITEM CSL_CITATION {"citationID":"mvPsntIL","properties":{"formattedCitation":"(Copelli et al., 2018)","plainCitation":"(Copelli et al., 2018)","noteIndex":0},"citationItems":[{"id":36,"uris":["http://zotero.org/users/local/mDzd7GNh/items/V24KTRQY"],"itemData":{"id":36,"type":"article-journal","abstract":"A great variety of processes of both fine chemical and pharmaceutical industries are commonly carried out in semibatch reactors (SBRs). Most of such syntheses often involve strongly exothermic and very fast reactions where the control of the heat evolution is achieved thanks to the combined effect of a dedicated cooling system and the feeding of a “cold” (mostly, ambient temperature) co-reactant. For these types of process, the well known phenomenon of “thermal runaway” can take place. Accordingly to the ever increasing market requests, the desired goal of whatever enterprise is to increase the productivity of a certain product being sure of maintaining safe operating conditions during all the synthesis steps. This is a very hard task which can be performed by changing the reactor operating mode from semibatch to continuous. A continuous reactor can achieve the same productivity of a discontinuous reactor using significantly lower reaction volumes; this means that the intrinsic safety of the process is increased. In this work, the switch from a semibatch reactor to a series of continuous stirred tank reactors has been investigated using as a case study the nitration of N-(2-Phenoxyphenyl) methane sulphonamide. Particularly, after the determination of the most effective number of reactors in the series and their effective volumes, dynamical simulations have been carried out in order to guarantee that possible thermal instabilities are not generated during the synthesis in both the start-up and the normal exercise phases.","container-title":"Journal of Loss Prevention in the Process Industries","DOI":"10.1016/j.jlp.2018.07.003","ISSN":"0950-4230","journalAbbreviation":"Journal of Loss Prevention in the Process Industries","language":"en","page":"289-302","source":"ScienceDirect","title":"Safe optimization of potentially runaway reactions: From fedbatch to continuous stirred tank type reactor","title-short":"Safe optimization of potentially runaway reactions","volume":"55","author":[{"family":"Copelli","given":"Sabrina"},{"family":"Barozzi","given":"Marco"},{"family":"Maestri","given":"Francesco"},{"family":"Rota","given":"Renato"}],"issued":{"date-parts":[["2018",9,1]]}}}],"schema":"https://github.com/citation-style-language/schema/raw/master/csl-citation.json"} </w:instrText>
      </w:r>
      <w:r w:rsidR="00860AEF">
        <w:fldChar w:fldCharType="separate"/>
      </w:r>
      <w:r w:rsidR="00860AEF" w:rsidRPr="00860AEF">
        <w:rPr>
          <w:rFonts w:cs="Arial"/>
        </w:rPr>
        <w:t>(Copelli et al., 2018)</w:t>
      </w:r>
      <w:r w:rsidR="00860AEF">
        <w:fldChar w:fldCharType="end"/>
      </w:r>
      <w:r w:rsidR="00860AEF">
        <w:t>,</w:t>
      </w:r>
    </w:p>
    <w:tbl>
      <w:tblPr>
        <w:tblW w:w="5000" w:type="pct"/>
        <w:tblLook w:val="04A0" w:firstRow="1" w:lastRow="0" w:firstColumn="1" w:lastColumn="0" w:noHBand="0" w:noVBand="1"/>
      </w:tblPr>
      <w:tblGrid>
        <w:gridCol w:w="7307"/>
        <w:gridCol w:w="726"/>
        <w:gridCol w:w="754"/>
      </w:tblGrid>
      <w:tr w:rsidR="00860AEF" w:rsidRPr="00B57B36" w14:paraId="5657BCAC" w14:textId="77777777" w:rsidTr="00323438">
        <w:tc>
          <w:tcPr>
            <w:tcW w:w="7307" w:type="dxa"/>
            <w:shd w:val="clear" w:color="auto" w:fill="auto"/>
            <w:vAlign w:val="center"/>
          </w:tcPr>
          <w:p w14:paraId="48A71F3A" w14:textId="561C34CA" w:rsidR="00860AEF" w:rsidRPr="00036D6A" w:rsidRDefault="00860AEF" w:rsidP="00323438">
            <w:pPr>
              <w:pStyle w:val="CETEquation"/>
              <w:rPr>
                <w:highlight w:val="yellow"/>
              </w:rPr>
            </w:pPr>
            <m:oMathPara>
              <m:oMath>
                <m:r>
                  <w:rPr>
                    <w:rFonts w:ascii="Cambria Math" w:hAnsi="Cambria Math"/>
                  </w:rPr>
                  <m:t>r=1.001∙</m:t>
                </m:r>
                <m:sSup>
                  <m:sSupPr>
                    <m:ctrlPr>
                      <w:rPr>
                        <w:rFonts w:ascii="Cambria Math" w:hAnsi="Cambria Math"/>
                        <w:i/>
                      </w:rPr>
                    </m:ctrlPr>
                  </m:sSupPr>
                  <m:e>
                    <m:r>
                      <w:rPr>
                        <w:rFonts w:ascii="Cambria Math" w:hAnsi="Cambria Math"/>
                      </w:rPr>
                      <m:t>10</m:t>
                    </m:r>
                  </m:e>
                  <m:sup>
                    <m:r>
                      <w:rPr>
                        <w:rFonts w:ascii="Cambria Math" w:hAnsi="Cambria Math"/>
                      </w:rPr>
                      <m:t>12</m:t>
                    </m:r>
                  </m:sup>
                </m:sSup>
                <m:r>
                  <w:rPr>
                    <w:rFonts w:ascii="Cambria Math" w:hAnsi="Cambria Math"/>
                  </w:rPr>
                  <m:t>∙</m:t>
                </m:r>
                <m:func>
                  <m:funcPr>
                    <m:ctrlPr>
                      <w:rPr>
                        <w:rFonts w:ascii="Cambria Math" w:hAnsi="Cambria Math"/>
                        <w:i/>
                      </w:rPr>
                    </m:ctrlPr>
                  </m:funcPr>
                  <m:fName>
                    <m:r>
                      <m:rPr>
                        <m:sty m:val="p"/>
                      </m:rPr>
                      <w:rPr>
                        <w:rFonts w:ascii="Cambria Math" w:hAnsi="Cambria Math"/>
                      </w:rPr>
                      <m:t>exp</m:t>
                    </m:r>
                  </m:fName>
                  <m:e>
                    <m:r>
                      <w:rPr>
                        <w:rFonts w:ascii="Cambria Math" w:hAnsi="Cambria Math"/>
                      </w:rPr>
                      <m:t>(-10337∙T)</m:t>
                    </m:r>
                  </m:e>
                </m:func>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HNO3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FAM</m:t>
                    </m:r>
                  </m:sub>
                  <m:sup>
                    <m:r>
                      <w:rPr>
                        <w:rFonts w:ascii="Cambria Math" w:hAnsi="Cambria Math"/>
                      </w:rPr>
                      <m:t>0.2</m:t>
                    </m:r>
                  </m:sup>
                </m:sSubSup>
              </m:oMath>
            </m:oMathPara>
          </w:p>
        </w:tc>
        <w:tc>
          <w:tcPr>
            <w:tcW w:w="726" w:type="dxa"/>
          </w:tcPr>
          <w:p w14:paraId="4E65C7D7" w14:textId="77777777" w:rsidR="00860AEF" w:rsidRPr="00036D6A" w:rsidRDefault="00860AEF" w:rsidP="00323438">
            <w:pPr>
              <w:pStyle w:val="CETEquation"/>
              <w:jc w:val="right"/>
              <w:rPr>
                <w:highlight w:val="yellow"/>
              </w:rPr>
            </w:pPr>
          </w:p>
        </w:tc>
        <w:tc>
          <w:tcPr>
            <w:tcW w:w="754" w:type="dxa"/>
            <w:shd w:val="clear" w:color="auto" w:fill="auto"/>
            <w:vAlign w:val="center"/>
          </w:tcPr>
          <w:p w14:paraId="31B05FCB" w14:textId="3281AC8B" w:rsidR="00860AEF" w:rsidRPr="00B57B36" w:rsidRDefault="00860AEF" w:rsidP="00323438">
            <w:pPr>
              <w:pStyle w:val="CETEquation"/>
              <w:jc w:val="right"/>
            </w:pPr>
            <w:r w:rsidRPr="00A06E91">
              <w:t>(</w:t>
            </w:r>
            <w:r w:rsidR="00A06E91" w:rsidRPr="00A06E91">
              <w:t>1</w:t>
            </w:r>
            <w:r w:rsidRPr="00A06E91">
              <w:t>)</w:t>
            </w:r>
          </w:p>
        </w:tc>
      </w:tr>
    </w:tbl>
    <w:p w14:paraId="6AEA5CD6" w14:textId="024450B1" w:rsidR="002738C4" w:rsidRPr="00B57B36" w:rsidRDefault="00A06E91" w:rsidP="00453E24">
      <w:pPr>
        <w:pStyle w:val="CETBodytext"/>
      </w:pPr>
      <w:r>
        <w:t>w</w:t>
      </w:r>
      <w:r w:rsidR="00860AEF">
        <w:t xml:space="preserve">here </w:t>
      </w:r>
      <w:r w:rsidR="00860AEF" w:rsidRPr="00860AEF">
        <w:rPr>
          <w:i/>
          <w:iCs/>
        </w:rPr>
        <w:t>r</w:t>
      </w:r>
      <w:r w:rsidR="00860AEF">
        <w:t xml:space="preserve"> is </w:t>
      </w:r>
      <w:r>
        <w:t xml:space="preserve">the </w:t>
      </w:r>
      <w:r w:rsidR="00860AEF">
        <w:t xml:space="preserve">global reaction rate [kmol/(m³ s)], </w:t>
      </w:r>
      <w:r w:rsidR="00860AEF" w:rsidRPr="00860AEF">
        <w:rPr>
          <w:i/>
          <w:iCs/>
        </w:rPr>
        <w:t>C</w:t>
      </w:r>
      <w:r w:rsidR="00860AEF" w:rsidRPr="00860AEF">
        <w:rPr>
          <w:i/>
          <w:iCs/>
          <w:vertAlign w:val="subscript"/>
        </w:rPr>
        <w:t>HNO3</w:t>
      </w:r>
      <w:r w:rsidR="00860AEF">
        <w:t xml:space="preserve"> is nitric acid concentration and </w:t>
      </w:r>
      <w:r w:rsidR="00860AEF" w:rsidRPr="00860AEF">
        <w:rPr>
          <w:i/>
          <w:iCs/>
        </w:rPr>
        <w:t>C</w:t>
      </w:r>
      <w:r w:rsidR="00860AEF" w:rsidRPr="00860AEF">
        <w:rPr>
          <w:i/>
          <w:iCs/>
          <w:vertAlign w:val="subscript"/>
        </w:rPr>
        <w:t>FAM</w:t>
      </w:r>
      <w:r w:rsidR="00860AEF">
        <w:t xml:space="preserve"> [kmol/m³] is FAM concentration  [kmol/m³]. </w:t>
      </w:r>
      <w:r w:rsidR="007C3B64">
        <w:t>LIR is represented as a linear tubular reactor with a diameter equal to 0.1 m.</w:t>
      </w:r>
    </w:p>
    <w:p w14:paraId="7ACB1C58" w14:textId="5545FE79" w:rsidR="00ED5943" w:rsidRDefault="000806D8" w:rsidP="00ED5943">
      <w:pPr>
        <w:pStyle w:val="CETHeading1"/>
        <w:tabs>
          <w:tab w:val="clear" w:pos="360"/>
          <w:tab w:val="right" w:pos="7100"/>
        </w:tabs>
        <w:jc w:val="both"/>
        <w:rPr>
          <w:lang w:val="en-GB"/>
        </w:rPr>
      </w:pPr>
      <w:r>
        <w:rPr>
          <w:lang w:val="en-GB"/>
        </w:rPr>
        <w:t>Results</w:t>
      </w:r>
    </w:p>
    <w:p w14:paraId="3C04CA36" w14:textId="6DDF1686" w:rsidR="00003E99" w:rsidRDefault="007C3B64" w:rsidP="00003E99">
      <w:pPr>
        <w:pStyle w:val="CETBodytext"/>
      </w:pPr>
      <w:r>
        <w:t xml:space="preserve">At first, SBR and LIR comparison was performed to test the consistency of the method proposed. According to the parameters showed in chapter 2.1, the </w:t>
      </w:r>
      <w:r w:rsidR="00460E4C">
        <w:t>LIR</w:t>
      </w:r>
      <w:r>
        <w:t xml:space="preserve"> model was solved. T</w:t>
      </w:r>
      <w:r w:rsidR="00003E99">
        <w:t xml:space="preserve">o account for a reduction of the solvent, several simulations </w:t>
      </w:r>
      <w:r w:rsidR="00460E4C">
        <w:t>were</w:t>
      </w:r>
      <w:r w:rsidR="00003E99">
        <w:t xml:space="preserve"> carried out by modifying the level of dilution of FAM, with the constraint of keeping maximum temperature below 90°C. In this way, it was possible to increase </w:t>
      </w:r>
      <w:r w:rsidR="001C0EF2">
        <w:t xml:space="preserve">the </w:t>
      </w:r>
      <w:r w:rsidR="00003E99">
        <w:t>FAM content up to 50% w/w</w:t>
      </w:r>
      <w:r w:rsidR="001C0EF2">
        <w:t xml:space="preserve"> (also taking into account its solubility in acetic acid)</w:t>
      </w:r>
      <w:r w:rsidR="00003E99">
        <w:t xml:space="preserve">. </w:t>
      </w:r>
      <w:r>
        <w:rPr>
          <w:lang w:val="en-GB"/>
        </w:rPr>
        <w:t xml:space="preserve">Figure </w:t>
      </w:r>
      <w:r w:rsidR="001C0EF2">
        <w:rPr>
          <w:lang w:val="en-GB"/>
        </w:rPr>
        <w:t>3</w:t>
      </w:r>
      <w:r>
        <w:rPr>
          <w:lang w:val="en-GB"/>
        </w:rPr>
        <w:t xml:space="preserve"> shows the results of the SBR to LIR transformation with the new FAM starting concentration.</w:t>
      </w:r>
      <w:r w:rsidR="000A7580">
        <w:rPr>
          <w:lang w:val="en-GB"/>
        </w:rPr>
        <w:t xml:space="preserve"> With a diameter of 0.1 m, a total length of </w:t>
      </w:r>
      <w:r w:rsidR="00330E14">
        <w:rPr>
          <w:lang w:val="en-GB"/>
        </w:rPr>
        <w:t>53.75</w:t>
      </w:r>
      <w:r w:rsidR="000A7580">
        <w:rPr>
          <w:lang w:val="en-GB"/>
        </w:rPr>
        <w:t xml:space="preserve"> m was found.</w:t>
      </w:r>
      <w:r>
        <w:rPr>
          <w:lang w:val="en-GB"/>
        </w:rPr>
        <w:t xml:space="preserve"> </w:t>
      </w:r>
      <w:r>
        <w:t xml:space="preserve">It is possible to notice that </w:t>
      </w:r>
      <w:r w:rsidR="00500DB9">
        <w:t xml:space="preserve">the </w:t>
      </w:r>
      <w:r>
        <w:t xml:space="preserve">maximum </w:t>
      </w:r>
      <w:r w:rsidR="00500DB9">
        <w:t xml:space="preserve">reactor </w:t>
      </w:r>
      <w:r>
        <w:t xml:space="preserve">temperature is kept below the imposed safety limit (the maximum is about 88°C), and the conversion </w:t>
      </w:r>
      <w:r w:rsidR="004E6631">
        <w:t>is almost complete</w:t>
      </w:r>
      <w:r>
        <w:t xml:space="preserve">, showing the effectiveness of the method. With this </w:t>
      </w:r>
      <w:r>
        <w:lastRenderedPageBreak/>
        <w:t>improvement, the FAM/AcAc ratio was increased almost 5 times. This is one of the advantages of the LIR</w:t>
      </w:r>
      <w:r w:rsidR="004E6631">
        <w:t xml:space="preserve"> approach</w:t>
      </w:r>
      <w:r>
        <w:t xml:space="preserve">: working with smaller diameters, heat exchange with an external jacket is more </w:t>
      </w:r>
      <w:r w:rsidR="000A7580">
        <w:t>favored</w:t>
      </w:r>
      <w:r>
        <w:t xml:space="preserve">. Indeed, as shown in Figures </w:t>
      </w:r>
      <w:r w:rsidR="004E6631">
        <w:t>3</w:t>
      </w:r>
      <w:r>
        <w:t xml:space="preserve">c and </w:t>
      </w:r>
      <w:r w:rsidR="004E6631">
        <w:t>3</w:t>
      </w:r>
      <w:r>
        <w:t>d, increasing the initial concentration of FAM would require coolant temperatures up to 0°C, while the LIR can work with temperatures always above 70°C.</w:t>
      </w:r>
      <w:r w:rsidR="00CB103D">
        <w:t xml:space="preserve"> LIR is the initial condition to perform the d-LIR ad s-CSTR designs.</w:t>
      </w:r>
    </w:p>
    <w:p w14:paraId="071EFC52" w14:textId="1ECE4752" w:rsidR="00036D6A" w:rsidRPr="00003E99" w:rsidRDefault="00036D6A" w:rsidP="00036D6A">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ED5943" w14:paraId="1EB5920F" w14:textId="77777777" w:rsidTr="00ED5943">
        <w:tc>
          <w:tcPr>
            <w:tcW w:w="4388" w:type="dxa"/>
            <w:vAlign w:val="center"/>
          </w:tcPr>
          <w:p w14:paraId="6C66CDBD" w14:textId="694EE143" w:rsidR="00925F91" w:rsidRDefault="00ED5943" w:rsidP="00ED5943">
            <w:pPr>
              <w:pStyle w:val="CETBodytext"/>
              <w:jc w:val="center"/>
            </w:pPr>
            <w:r>
              <w:rPr>
                <w:lang w:val="en-GB"/>
              </w:rPr>
              <w:t xml:space="preserve"> </w:t>
            </w:r>
            <w:r>
              <w:t xml:space="preserve">  </w:t>
            </w:r>
          </w:p>
          <w:p w14:paraId="52228746" w14:textId="6D6CD186" w:rsidR="00ED5943" w:rsidRDefault="00925F91" w:rsidP="00ED5943">
            <w:pPr>
              <w:pStyle w:val="CETBodytext"/>
              <w:jc w:val="center"/>
              <w:rPr>
                <w:lang w:val="en-GB"/>
              </w:rPr>
            </w:pPr>
            <w:r w:rsidRPr="00925F91">
              <w:rPr>
                <w:noProof/>
              </w:rPr>
              <w:drawing>
                <wp:inline distT="0" distB="0" distL="0" distR="0" wp14:anchorId="51E271EC" wp14:editId="16A8EB12">
                  <wp:extent cx="2286000" cy="2240980"/>
                  <wp:effectExtent l="0" t="0" r="0" b="698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6000" cy="2240980"/>
                          </a:xfrm>
                          <a:prstGeom prst="rect">
                            <a:avLst/>
                          </a:prstGeom>
                        </pic:spPr>
                      </pic:pic>
                    </a:graphicData>
                  </a:graphic>
                </wp:inline>
              </w:drawing>
            </w:r>
            <w:r w:rsidRPr="00925F91">
              <w:t xml:space="preserve"> </w:t>
            </w:r>
            <w:r w:rsidR="00ED5943">
              <w:t>a</w:t>
            </w:r>
          </w:p>
        </w:tc>
        <w:tc>
          <w:tcPr>
            <w:tcW w:w="4389" w:type="dxa"/>
            <w:vAlign w:val="center"/>
          </w:tcPr>
          <w:p w14:paraId="11AC6BF0" w14:textId="7B423968" w:rsidR="00ED5943" w:rsidRDefault="00925F91" w:rsidP="00ED5943">
            <w:pPr>
              <w:pStyle w:val="CETBodytext"/>
              <w:jc w:val="center"/>
              <w:rPr>
                <w:lang w:val="en-GB"/>
              </w:rPr>
            </w:pPr>
            <w:r w:rsidRPr="00925F91">
              <w:rPr>
                <w:noProof/>
                <w:lang w:val="en-GB"/>
              </w:rPr>
              <w:drawing>
                <wp:inline distT="0" distB="0" distL="0" distR="0" wp14:anchorId="4B6B06DC" wp14:editId="3EB40BD2">
                  <wp:extent cx="2286000" cy="226577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86000" cy="2265770"/>
                          </a:xfrm>
                          <a:prstGeom prst="rect">
                            <a:avLst/>
                          </a:prstGeom>
                        </pic:spPr>
                      </pic:pic>
                    </a:graphicData>
                  </a:graphic>
                </wp:inline>
              </w:drawing>
            </w:r>
            <w:r w:rsidRPr="00925F91">
              <w:rPr>
                <w:lang w:val="en-GB"/>
              </w:rPr>
              <w:t xml:space="preserve"> </w:t>
            </w:r>
            <w:r w:rsidR="00ED5943">
              <w:rPr>
                <w:lang w:val="en-GB"/>
              </w:rPr>
              <w:t>b</w:t>
            </w:r>
          </w:p>
        </w:tc>
      </w:tr>
      <w:tr w:rsidR="007C3B64" w14:paraId="42D2FA00" w14:textId="77777777" w:rsidTr="00ED5943">
        <w:tc>
          <w:tcPr>
            <w:tcW w:w="4388" w:type="dxa"/>
            <w:vAlign w:val="center"/>
          </w:tcPr>
          <w:p w14:paraId="6BB3D987" w14:textId="24BFD49D" w:rsidR="00925F91" w:rsidRDefault="00925F91" w:rsidP="00ED5943">
            <w:pPr>
              <w:pStyle w:val="CETBodytext"/>
              <w:jc w:val="center"/>
              <w:rPr>
                <w:lang w:val="en-GB"/>
              </w:rPr>
            </w:pPr>
          </w:p>
          <w:p w14:paraId="44A6B0E5" w14:textId="4273AD5E" w:rsidR="007C3B64" w:rsidRDefault="00925F91" w:rsidP="00ED5943">
            <w:pPr>
              <w:pStyle w:val="CETBodytext"/>
              <w:jc w:val="center"/>
              <w:rPr>
                <w:lang w:val="en-GB"/>
              </w:rPr>
            </w:pPr>
            <w:r w:rsidRPr="00925F91">
              <w:rPr>
                <w:noProof/>
                <w:lang w:val="en-GB"/>
              </w:rPr>
              <w:drawing>
                <wp:inline distT="0" distB="0" distL="0" distR="0" wp14:anchorId="6ACEBC66" wp14:editId="5F23AE09">
                  <wp:extent cx="2286000" cy="2220686"/>
                  <wp:effectExtent l="0" t="0" r="0"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86000" cy="2220686"/>
                          </a:xfrm>
                          <a:prstGeom prst="rect">
                            <a:avLst/>
                          </a:prstGeom>
                        </pic:spPr>
                      </pic:pic>
                    </a:graphicData>
                  </a:graphic>
                </wp:inline>
              </w:drawing>
            </w:r>
            <w:r w:rsidRPr="00925F91">
              <w:rPr>
                <w:lang w:val="en-GB"/>
              </w:rPr>
              <w:t xml:space="preserve"> </w:t>
            </w:r>
            <w:r w:rsidR="007C3B64">
              <w:rPr>
                <w:lang w:val="en-GB"/>
              </w:rPr>
              <w:t>c</w:t>
            </w:r>
          </w:p>
        </w:tc>
        <w:tc>
          <w:tcPr>
            <w:tcW w:w="4389" w:type="dxa"/>
            <w:vAlign w:val="center"/>
          </w:tcPr>
          <w:p w14:paraId="49DD1DF4" w14:textId="4C0034C9" w:rsidR="007C3B64" w:rsidRPr="00ED5943" w:rsidRDefault="007C3B64" w:rsidP="00ED5943">
            <w:pPr>
              <w:pStyle w:val="CETBodytext"/>
              <w:jc w:val="center"/>
              <w:rPr>
                <w:noProof/>
                <w:lang w:val="en-GB"/>
              </w:rPr>
            </w:pPr>
            <w:r w:rsidRPr="007C3B64">
              <w:rPr>
                <w:noProof/>
                <w:lang w:val="en-GB"/>
              </w:rPr>
              <w:drawing>
                <wp:inline distT="0" distB="0" distL="0" distR="0" wp14:anchorId="3FD41FAB" wp14:editId="61A431DF">
                  <wp:extent cx="2286000" cy="19431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6000" cy="1943100"/>
                          </a:xfrm>
                          <a:prstGeom prst="rect">
                            <a:avLst/>
                          </a:prstGeom>
                        </pic:spPr>
                      </pic:pic>
                    </a:graphicData>
                  </a:graphic>
                </wp:inline>
              </w:drawing>
            </w:r>
            <w:r>
              <w:rPr>
                <w:noProof/>
                <w:lang w:val="en-GB"/>
              </w:rPr>
              <w:t>d</w:t>
            </w:r>
          </w:p>
        </w:tc>
      </w:tr>
    </w:tbl>
    <w:p w14:paraId="3FCAF010" w14:textId="0B00F797" w:rsidR="00ED5943" w:rsidRDefault="00ED5943" w:rsidP="00ED5943">
      <w:pPr>
        <w:pStyle w:val="CETCaption"/>
      </w:pPr>
      <w:r w:rsidRPr="00BD077D">
        <w:rPr>
          <w:rStyle w:val="CETCaptionCarattere"/>
          <w:i/>
        </w:rPr>
        <w:t xml:space="preserve">Figure </w:t>
      </w:r>
      <w:r w:rsidR="00946B18">
        <w:rPr>
          <w:rStyle w:val="CETCaptionCarattere"/>
          <w:i/>
        </w:rPr>
        <w:t>3</w:t>
      </w:r>
      <w:r w:rsidRPr="00BD077D">
        <w:rPr>
          <w:rStyle w:val="CETCaptionCarattere"/>
          <w:i/>
        </w:rPr>
        <w:t xml:space="preserve">: </w:t>
      </w:r>
      <w:r>
        <w:rPr>
          <w:rStyle w:val="CETCaptionCarattere"/>
          <w:i/>
        </w:rPr>
        <w:t>Results for LIR, compared with SBR</w:t>
      </w:r>
      <w:r w:rsidR="00721E83">
        <w:rPr>
          <w:rStyle w:val="CETCaptionCarattere"/>
          <w:i/>
        </w:rPr>
        <w:t>:</w:t>
      </w:r>
      <w:r>
        <w:rPr>
          <w:rStyle w:val="CETCaptionCarattere"/>
          <w:i/>
        </w:rPr>
        <w:t xml:space="preserve"> a) FAM conversion vs. time, b) </w:t>
      </w:r>
      <w:r>
        <w:t>Temperature vs. time</w:t>
      </w:r>
      <w:r w:rsidR="007C3B64">
        <w:t>, c) Reactor and jacket temperature for SBR recipe, d) Coolant temperature of LIR</w:t>
      </w:r>
    </w:p>
    <w:p w14:paraId="0E1E05A6" w14:textId="3CBA21F1" w:rsidR="000806D8" w:rsidRDefault="00721E83" w:rsidP="002462E6">
      <w:pPr>
        <w:pStyle w:val="CETheadingx"/>
      </w:pPr>
      <w:r>
        <w:t xml:space="preserve">Shift to a series of </w:t>
      </w:r>
      <w:r w:rsidR="003015BC">
        <w:t>tubular reactors with localized lumped lateral feeds</w:t>
      </w:r>
    </w:p>
    <w:p w14:paraId="59CD2D64" w14:textId="21D0649B" w:rsidR="00CC5CC9" w:rsidRPr="00CC5CC9" w:rsidRDefault="000A7580" w:rsidP="00CC5CC9">
      <w:pPr>
        <w:pStyle w:val="CETBodytext"/>
      </w:pPr>
      <w:r>
        <w:t xml:space="preserve">From LIR, d-LIR design was carried out. Several conditions </w:t>
      </w:r>
      <w:r w:rsidR="003D69DD">
        <w:t>were</w:t>
      </w:r>
      <w:r>
        <w:t xml:space="preserve"> tested, ranging between 2 and </w:t>
      </w:r>
      <w:r w:rsidR="00237252">
        <w:t>5</w:t>
      </w:r>
      <w:r>
        <w:t xml:space="preserve"> reactors and </w:t>
      </w:r>
      <w:r w:rsidR="003D69DD">
        <w:t xml:space="preserve">the </w:t>
      </w:r>
      <w:r>
        <w:t xml:space="preserve">same number of lateral feeds, with the constraints of keeping reactor temperature below 90°C and trying to work with a maximum of 5 reactors. From simulations, the best result </w:t>
      </w:r>
      <w:r w:rsidR="00237252">
        <w:t>was obtained</w:t>
      </w:r>
      <w:r>
        <w:t xml:space="preserve"> using 4 reactors, and results are reported in Figure </w:t>
      </w:r>
      <w:r w:rsidR="006C3C81">
        <w:t>4</w:t>
      </w:r>
      <w:r>
        <w:t>.</w:t>
      </w:r>
      <w:r w:rsidR="00330E14">
        <w:t xml:space="preserve"> The total length of the set of d-LIR is always equal to the LIR (53.75 m), resulting in </w:t>
      </w:r>
      <w:r w:rsidR="006C3C81">
        <w:t xml:space="preserve">a length of </w:t>
      </w:r>
      <w:r w:rsidR="00330E14">
        <w:t xml:space="preserve">each d-LIR </w:t>
      </w:r>
      <w:r w:rsidR="002E2DD2">
        <w:t>equal to</w:t>
      </w:r>
      <w:r w:rsidR="00330E14">
        <w:t xml:space="preserve"> 13.44 m.</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0806D8" w14:paraId="1992E2D9" w14:textId="77777777" w:rsidTr="00CC5CC9">
        <w:tc>
          <w:tcPr>
            <w:tcW w:w="4388" w:type="dxa"/>
            <w:vAlign w:val="center"/>
          </w:tcPr>
          <w:p w14:paraId="34821352" w14:textId="56C878DE" w:rsidR="000806D8" w:rsidRDefault="00E848E7" w:rsidP="000806D8">
            <w:pPr>
              <w:pStyle w:val="CETBodytext"/>
              <w:jc w:val="center"/>
            </w:pPr>
            <w:r w:rsidRPr="00E848E7">
              <w:rPr>
                <w:noProof/>
              </w:rPr>
              <w:lastRenderedPageBreak/>
              <w:drawing>
                <wp:inline distT="0" distB="0" distL="0" distR="0" wp14:anchorId="29CED293" wp14:editId="312DB2F5">
                  <wp:extent cx="2286000" cy="2301802"/>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6000" cy="2301802"/>
                          </a:xfrm>
                          <a:prstGeom prst="rect">
                            <a:avLst/>
                          </a:prstGeom>
                        </pic:spPr>
                      </pic:pic>
                    </a:graphicData>
                  </a:graphic>
                </wp:inline>
              </w:drawing>
            </w:r>
            <w:r w:rsidRPr="00E848E7">
              <w:t xml:space="preserve"> </w:t>
            </w:r>
            <w:r w:rsidR="00CC5CC9">
              <w:t>a</w:t>
            </w:r>
          </w:p>
        </w:tc>
        <w:tc>
          <w:tcPr>
            <w:tcW w:w="4389" w:type="dxa"/>
            <w:vAlign w:val="center"/>
          </w:tcPr>
          <w:p w14:paraId="7D2BEF93" w14:textId="5E568E2A" w:rsidR="000806D8" w:rsidRDefault="00E848E7" w:rsidP="000806D8">
            <w:pPr>
              <w:pStyle w:val="CETBodytext"/>
              <w:jc w:val="center"/>
            </w:pPr>
            <w:r w:rsidRPr="00E848E7">
              <w:rPr>
                <w:noProof/>
              </w:rPr>
              <w:drawing>
                <wp:inline distT="0" distB="0" distL="0" distR="0" wp14:anchorId="07A64445" wp14:editId="0AE1F8CA">
                  <wp:extent cx="2286000" cy="226939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86000" cy="2269395"/>
                          </a:xfrm>
                          <a:prstGeom prst="rect">
                            <a:avLst/>
                          </a:prstGeom>
                        </pic:spPr>
                      </pic:pic>
                    </a:graphicData>
                  </a:graphic>
                </wp:inline>
              </w:drawing>
            </w:r>
            <w:r w:rsidRPr="00E848E7">
              <w:t xml:space="preserve"> </w:t>
            </w:r>
            <w:r w:rsidR="00CC5CC9">
              <w:t>b</w:t>
            </w:r>
          </w:p>
        </w:tc>
      </w:tr>
      <w:tr w:rsidR="000806D8" w14:paraId="5BA678D2" w14:textId="77777777" w:rsidTr="00CC5CC9">
        <w:tc>
          <w:tcPr>
            <w:tcW w:w="4388" w:type="dxa"/>
            <w:vAlign w:val="center"/>
          </w:tcPr>
          <w:p w14:paraId="33156FD5" w14:textId="174D07D5" w:rsidR="000806D8" w:rsidRDefault="00E848E7" w:rsidP="000806D8">
            <w:pPr>
              <w:pStyle w:val="CETBodytext"/>
              <w:jc w:val="center"/>
            </w:pPr>
            <w:r w:rsidRPr="00E848E7">
              <w:rPr>
                <w:noProof/>
              </w:rPr>
              <w:drawing>
                <wp:inline distT="0" distB="0" distL="0" distR="0" wp14:anchorId="5FAE6E22" wp14:editId="309F7A85">
                  <wp:extent cx="2286000" cy="2301802"/>
                  <wp:effectExtent l="0" t="0" r="0" b="381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86000" cy="2301802"/>
                          </a:xfrm>
                          <a:prstGeom prst="rect">
                            <a:avLst/>
                          </a:prstGeom>
                        </pic:spPr>
                      </pic:pic>
                    </a:graphicData>
                  </a:graphic>
                </wp:inline>
              </w:drawing>
            </w:r>
            <w:r w:rsidRPr="00E848E7">
              <w:t xml:space="preserve"> </w:t>
            </w:r>
            <w:r w:rsidR="00CC5CC9">
              <w:t>c</w:t>
            </w:r>
          </w:p>
        </w:tc>
        <w:tc>
          <w:tcPr>
            <w:tcW w:w="4389" w:type="dxa"/>
            <w:vAlign w:val="center"/>
          </w:tcPr>
          <w:p w14:paraId="586FFF6A" w14:textId="533A66D0" w:rsidR="000806D8" w:rsidRDefault="00E848E7" w:rsidP="000806D8">
            <w:pPr>
              <w:pStyle w:val="CETBodytext"/>
              <w:jc w:val="center"/>
            </w:pPr>
            <w:r w:rsidRPr="00E848E7">
              <w:rPr>
                <w:noProof/>
              </w:rPr>
              <w:drawing>
                <wp:inline distT="0" distB="0" distL="0" distR="0" wp14:anchorId="4C970227" wp14:editId="5E6A86E8">
                  <wp:extent cx="2286000" cy="2248259"/>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86000" cy="2248259"/>
                          </a:xfrm>
                          <a:prstGeom prst="rect">
                            <a:avLst/>
                          </a:prstGeom>
                        </pic:spPr>
                      </pic:pic>
                    </a:graphicData>
                  </a:graphic>
                </wp:inline>
              </w:drawing>
            </w:r>
            <w:r w:rsidRPr="00E848E7">
              <w:t xml:space="preserve"> </w:t>
            </w:r>
            <w:r w:rsidR="00CC5CC9">
              <w:t>d</w:t>
            </w:r>
          </w:p>
        </w:tc>
      </w:tr>
    </w:tbl>
    <w:p w14:paraId="23081068" w14:textId="272D0561" w:rsidR="00CC5CC9" w:rsidRDefault="00CC5CC9" w:rsidP="00CC5CC9">
      <w:pPr>
        <w:pStyle w:val="CETCaption"/>
        <w:rPr>
          <w:rStyle w:val="CETCaptionCarattere"/>
          <w:i/>
        </w:rPr>
      </w:pPr>
      <w:r w:rsidRPr="00BD077D">
        <w:rPr>
          <w:rStyle w:val="CETCaptionCarattere"/>
          <w:i/>
        </w:rPr>
        <w:t xml:space="preserve">Figure </w:t>
      </w:r>
      <w:r w:rsidR="002E2DD2">
        <w:rPr>
          <w:rStyle w:val="CETCaptionCarattere"/>
          <w:i/>
        </w:rPr>
        <w:t>4</w:t>
      </w:r>
      <w:r w:rsidRPr="00BD077D">
        <w:rPr>
          <w:rStyle w:val="CETCaptionCarattere"/>
          <w:i/>
        </w:rPr>
        <w:t xml:space="preserve">: </w:t>
      </w:r>
      <w:r w:rsidR="00036D6A">
        <w:rPr>
          <w:rStyle w:val="CETCaptionCarattere"/>
          <w:i/>
        </w:rPr>
        <w:t>Results for a set of 4 d-LIR, compared with LIR</w:t>
      </w:r>
      <w:r w:rsidR="00ED5943">
        <w:rPr>
          <w:rStyle w:val="CETCaptionCarattere"/>
          <w:i/>
        </w:rPr>
        <w:t>,</w:t>
      </w:r>
      <w:r w:rsidR="00036D6A">
        <w:rPr>
          <w:rStyle w:val="CETCaptionCarattere"/>
          <w:i/>
        </w:rPr>
        <w:t xml:space="preserve"> a)</w:t>
      </w:r>
      <w:r w:rsidR="00ED5943">
        <w:rPr>
          <w:rStyle w:val="CETCaptionCarattere"/>
          <w:i/>
        </w:rPr>
        <w:t xml:space="preserve"> FAM content vs. length, b) Temperature vs</w:t>
      </w:r>
      <w:r w:rsidR="002E2DD2">
        <w:rPr>
          <w:rStyle w:val="CETCaptionCarattere"/>
          <w:i/>
        </w:rPr>
        <w:t>.</w:t>
      </w:r>
      <w:r w:rsidR="00ED5943">
        <w:rPr>
          <w:rStyle w:val="CETCaptionCarattere"/>
          <w:i/>
        </w:rPr>
        <w:t xml:space="preserve"> length, c) NIM content vs. length, d) </w:t>
      </w:r>
      <w:r w:rsidR="001D2E70">
        <w:rPr>
          <w:rStyle w:val="CETCaptionCarattere"/>
          <w:i/>
        </w:rPr>
        <w:t>Elapsed</w:t>
      </w:r>
      <w:r w:rsidR="00ED5943">
        <w:rPr>
          <w:rStyle w:val="CETCaptionCarattere"/>
          <w:i/>
        </w:rPr>
        <w:t xml:space="preserve"> time vs. length.</w:t>
      </w:r>
    </w:p>
    <w:p w14:paraId="6F951058" w14:textId="0ADD6EC1" w:rsidR="007550ED" w:rsidRPr="007550ED" w:rsidRDefault="007550ED" w:rsidP="00CC5CC9">
      <w:pPr>
        <w:pStyle w:val="CETCaption"/>
        <w:rPr>
          <w:i w:val="0"/>
          <w:lang w:val="en-US"/>
        </w:rPr>
      </w:pPr>
      <w:r>
        <w:rPr>
          <w:i w:val="0"/>
          <w:lang w:val="en-US"/>
        </w:rPr>
        <w:t>As it is possible to observe from Figure 4</w:t>
      </w:r>
      <w:r w:rsidR="008D1CB0">
        <w:rPr>
          <w:i w:val="0"/>
          <w:lang w:val="en-US"/>
        </w:rPr>
        <w:t xml:space="preserve">b, the SB temperature profile is </w:t>
      </w:r>
      <w:r w:rsidR="00137AB1">
        <w:rPr>
          <w:i w:val="0"/>
          <w:lang w:val="en-US"/>
        </w:rPr>
        <w:t xml:space="preserve">globally </w:t>
      </w:r>
      <w:r w:rsidR="008D1CB0">
        <w:rPr>
          <w:i w:val="0"/>
          <w:lang w:val="en-US"/>
        </w:rPr>
        <w:t xml:space="preserve">maintained </w:t>
      </w:r>
      <w:r w:rsidR="00137AB1">
        <w:rPr>
          <w:i w:val="0"/>
          <w:lang w:val="en-US"/>
        </w:rPr>
        <w:t>showing only minor deviations (less than 5/6 °C).</w:t>
      </w:r>
      <w:r w:rsidR="003A3D79">
        <w:rPr>
          <w:i w:val="0"/>
          <w:lang w:val="en-US"/>
        </w:rPr>
        <w:t xml:space="preserve"> Moreover, from Figures 4a and 4c, it is possible to notice the </w:t>
      </w:r>
      <w:r w:rsidR="002A4F43">
        <w:rPr>
          <w:i w:val="0"/>
          <w:lang w:val="en-US"/>
        </w:rPr>
        <w:t xml:space="preserve">high reaction rate exhibited by </w:t>
      </w:r>
      <w:r w:rsidR="00FA3C9A">
        <w:rPr>
          <w:i w:val="0"/>
          <w:lang w:val="en-US"/>
        </w:rPr>
        <w:t>such</w:t>
      </w:r>
      <w:r w:rsidR="002A4F43">
        <w:rPr>
          <w:i w:val="0"/>
          <w:lang w:val="en-US"/>
        </w:rPr>
        <w:t xml:space="preserve"> nitration </w:t>
      </w:r>
      <w:r w:rsidR="00FA3C9A">
        <w:rPr>
          <w:i w:val="0"/>
          <w:lang w:val="en-US"/>
        </w:rPr>
        <w:t>reaction</w:t>
      </w:r>
      <w:r w:rsidR="00C94454">
        <w:rPr>
          <w:i w:val="0"/>
          <w:lang w:val="en-US"/>
        </w:rPr>
        <w:t xml:space="preserve">: in correspondence of each lateral injection a </w:t>
      </w:r>
      <w:r w:rsidR="007E1C6B">
        <w:rPr>
          <w:i w:val="0"/>
          <w:lang w:val="en-US"/>
        </w:rPr>
        <w:t xml:space="preserve">step-like behavior of the </w:t>
      </w:r>
      <w:r w:rsidR="0055750D">
        <w:rPr>
          <w:i w:val="0"/>
          <w:lang w:val="en-US"/>
        </w:rPr>
        <w:t>FAM/NIM number of moles is evident.</w:t>
      </w:r>
    </w:p>
    <w:p w14:paraId="1F96CA21" w14:textId="1F5F4C7E" w:rsidR="00600535" w:rsidRPr="00B57B36" w:rsidRDefault="0055750D" w:rsidP="00FA5F5F">
      <w:pPr>
        <w:pStyle w:val="CETheadingx"/>
      </w:pPr>
      <w:r>
        <w:t>Shift to a series of CSTR</w:t>
      </w:r>
      <w:r w:rsidR="00FE5E44">
        <w:t>s</w:t>
      </w:r>
    </w:p>
    <w:p w14:paraId="7DB33368" w14:textId="48E6E3FF" w:rsidR="000A7580" w:rsidRDefault="000A7580" w:rsidP="000A7580">
      <w:pPr>
        <w:pStyle w:val="CETBodytext"/>
      </w:pPr>
      <w:r>
        <w:t>Similar</w:t>
      </w:r>
      <w:r w:rsidR="00FE5E44">
        <w:t>ly</w:t>
      </w:r>
      <w:r>
        <w:t xml:space="preserve"> to the d-LIR case, </w:t>
      </w:r>
      <w:r w:rsidR="005D4B7C">
        <w:t xml:space="preserve">the shift to a series of CSTR </w:t>
      </w:r>
      <w:r>
        <w:t xml:space="preserve">was performed under the same constraints </w:t>
      </w:r>
      <w:r w:rsidR="005D4B7C">
        <w:t xml:space="preserve">previously </w:t>
      </w:r>
      <w:r>
        <w:t xml:space="preserve">proposed. It was found that the optimal solution </w:t>
      </w:r>
      <w:r w:rsidR="005D4B7C">
        <w:t>was</w:t>
      </w:r>
      <w:r>
        <w:t xml:space="preserve"> constituted by 5 CSTR with lateral feeds</w:t>
      </w:r>
      <w:r w:rsidR="00FA4EDF">
        <w:t xml:space="preserve"> on the inline </w:t>
      </w:r>
      <w:r w:rsidR="007F37F8">
        <w:t>stream</w:t>
      </w:r>
      <w:r w:rsidR="00797386">
        <w:t xml:space="preserve"> </w:t>
      </w:r>
      <w:r w:rsidR="00FE179E">
        <w:t>entering each reactor</w:t>
      </w:r>
      <w:r>
        <w:t>. Each CSTR ha</w:t>
      </w:r>
      <w:r w:rsidR="007F37F8">
        <w:t>d</w:t>
      </w:r>
      <w:r>
        <w:t xml:space="preserve"> a workup volume of </w:t>
      </w:r>
      <w:r w:rsidR="00925F91">
        <w:t>0.0</w:t>
      </w:r>
      <w:r>
        <w:t xml:space="preserve">872 </w:t>
      </w:r>
      <w:r w:rsidR="00925F91">
        <w:t>m³</w:t>
      </w:r>
      <w:r>
        <w:t xml:space="preserve">. Results are reported in Figure </w:t>
      </w:r>
      <w:r w:rsidR="007F37F8">
        <w:t>5</w:t>
      </w:r>
      <w:r>
        <w:t xml:space="preserve">. In this case, the maximum temperature </w:t>
      </w:r>
      <w:r w:rsidR="00232575">
        <w:t xml:space="preserve">occurring during the process </w:t>
      </w:r>
      <w:r w:rsidR="007F37F8">
        <w:t>was</w:t>
      </w:r>
      <w:r>
        <w:t xml:space="preserve"> reached inside reactor 2, with a working temperature of </w:t>
      </w:r>
      <w:r w:rsidR="00165BB5">
        <w:t xml:space="preserve">less than </w:t>
      </w:r>
      <w:r>
        <w:t>9</w:t>
      </w:r>
      <w:r w:rsidR="00165BB5">
        <w:t>1</w:t>
      </w:r>
      <w:r>
        <w:t xml:space="preserve">°C. </w:t>
      </w:r>
      <w:r w:rsidR="00232575">
        <w:t xml:space="preserve">Such a value is higher than the </w:t>
      </w:r>
      <w:r w:rsidR="00331EF7">
        <w:t xml:space="preserve">acceptable </w:t>
      </w:r>
      <w:r w:rsidR="00134550">
        <w:t>one,</w:t>
      </w:r>
      <w:r w:rsidR="00331EF7">
        <w:t xml:space="preserve"> but it could be considered a good compromise in between </w:t>
      </w:r>
      <w:r w:rsidR="00CD5B32">
        <w:t xml:space="preserve">safety and </w:t>
      </w:r>
      <w:r w:rsidR="004714D5">
        <w:t xml:space="preserve">process layout effectiveness in terms of total reactors </w:t>
      </w:r>
      <w:r w:rsidR="00231F05">
        <w:t>required to meet the desired degree of conversion</w:t>
      </w:r>
      <w:r w:rsidR="004714D5">
        <w:t xml:space="preserve">. </w:t>
      </w:r>
      <w:r w:rsidR="00231F05">
        <w:t>On the contrary, d</w:t>
      </w:r>
      <w:r w:rsidR="0069465F">
        <w:t>iscrete c</w:t>
      </w:r>
      <w:r>
        <w:t xml:space="preserve">oolant temperature </w:t>
      </w:r>
      <w:r w:rsidR="0069465F">
        <w:t>inside the CSTR</w:t>
      </w:r>
      <w:r w:rsidR="004A5A69">
        <w:t>s</w:t>
      </w:r>
      <w:r w:rsidR="0069465F">
        <w:t xml:space="preserve"> jacket</w:t>
      </w:r>
      <w:r w:rsidR="004A5A69">
        <w:t>s</w:t>
      </w:r>
      <w:r>
        <w:t xml:space="preserve"> </w:t>
      </w:r>
      <w:r w:rsidR="00165BB5">
        <w:t>were</w:t>
      </w:r>
      <w:r>
        <w:t xml:space="preserve"> </w:t>
      </w:r>
      <w:r w:rsidR="00231F05">
        <w:t xml:space="preserve">quite </w:t>
      </w:r>
      <w:r>
        <w:t>close to th</w:t>
      </w:r>
      <w:r w:rsidR="00165BB5">
        <w:t>ose</w:t>
      </w:r>
      <w:r>
        <w:t xml:space="preserve"> ones required </w:t>
      </w:r>
      <w:r w:rsidR="00231F05">
        <w:t>by</w:t>
      </w:r>
      <w:r>
        <w:t xml:space="preserve"> the LIR. </w:t>
      </w:r>
    </w:p>
    <w:p w14:paraId="5C6F67ED" w14:textId="77777777" w:rsidR="00DC2FE2" w:rsidRPr="0078719F" w:rsidRDefault="00DC2FE2" w:rsidP="00DC2FE2">
      <w:pPr>
        <w:pStyle w:val="CETCaption"/>
        <w:spacing w:after="0"/>
        <w:rPr>
          <w:i w:val="0"/>
        </w:rPr>
      </w:pPr>
      <w:r>
        <w:rPr>
          <w:i w:val="0"/>
        </w:rPr>
        <w:t>Therefore,</w:t>
      </w:r>
      <w:r w:rsidRPr="0078719F">
        <w:rPr>
          <w:i w:val="0"/>
        </w:rPr>
        <w:t xml:space="preserve"> </w:t>
      </w:r>
      <w:r>
        <w:rPr>
          <w:i w:val="0"/>
        </w:rPr>
        <w:t>s-CSTR</w:t>
      </w:r>
      <w:r w:rsidRPr="0078719F">
        <w:rPr>
          <w:i w:val="0"/>
        </w:rPr>
        <w:t xml:space="preserve"> working conditions may lead to safety issues, and it </w:t>
      </w:r>
      <w:r>
        <w:rPr>
          <w:i w:val="0"/>
        </w:rPr>
        <w:t>is</w:t>
      </w:r>
      <w:r w:rsidRPr="0078719F">
        <w:rPr>
          <w:i w:val="0"/>
        </w:rPr>
        <w:t xml:space="preserve"> preferrable to work with the d-LIR solution, which also required a lower number of reactors (4 vs. 5).</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0806D8" w14:paraId="4CCDB35F" w14:textId="77777777" w:rsidTr="00C513DA">
        <w:tc>
          <w:tcPr>
            <w:tcW w:w="4388" w:type="dxa"/>
            <w:vAlign w:val="center"/>
          </w:tcPr>
          <w:p w14:paraId="52C1C235" w14:textId="11A5C73E" w:rsidR="000806D8" w:rsidRDefault="00A43D2D" w:rsidP="00330E14">
            <w:pPr>
              <w:pStyle w:val="CETCaption"/>
              <w:spacing w:before="0" w:after="0"/>
              <w:jc w:val="center"/>
              <w:rPr>
                <w:i w:val="0"/>
                <w:iCs/>
              </w:rPr>
            </w:pPr>
            <w:r w:rsidRPr="00A43D2D">
              <w:rPr>
                <w:i w:val="0"/>
                <w:iCs/>
                <w:noProof/>
              </w:rPr>
              <w:lastRenderedPageBreak/>
              <w:drawing>
                <wp:inline distT="0" distB="0" distL="0" distR="0" wp14:anchorId="24C02DF2" wp14:editId="29D8F857">
                  <wp:extent cx="2117139" cy="1825256"/>
                  <wp:effectExtent l="0" t="0" r="0" b="381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37751" cy="1843027"/>
                          </a:xfrm>
                          <a:prstGeom prst="rect">
                            <a:avLst/>
                          </a:prstGeom>
                        </pic:spPr>
                      </pic:pic>
                    </a:graphicData>
                  </a:graphic>
                </wp:inline>
              </w:drawing>
            </w:r>
            <w:r w:rsidRPr="00A43D2D">
              <w:rPr>
                <w:i w:val="0"/>
                <w:iCs/>
              </w:rPr>
              <w:t xml:space="preserve"> </w:t>
            </w:r>
            <w:r w:rsidR="00C513DA">
              <w:rPr>
                <w:i w:val="0"/>
                <w:iCs/>
              </w:rPr>
              <w:t>a</w:t>
            </w:r>
          </w:p>
        </w:tc>
        <w:tc>
          <w:tcPr>
            <w:tcW w:w="4389" w:type="dxa"/>
            <w:vAlign w:val="center"/>
          </w:tcPr>
          <w:p w14:paraId="6E4449BC" w14:textId="37B240C1" w:rsidR="000806D8" w:rsidRDefault="00A43D2D" w:rsidP="00330E14">
            <w:pPr>
              <w:pStyle w:val="CETCaption"/>
              <w:spacing w:before="0" w:after="0"/>
              <w:jc w:val="center"/>
              <w:rPr>
                <w:i w:val="0"/>
                <w:iCs/>
              </w:rPr>
            </w:pPr>
            <w:r w:rsidRPr="00A43D2D">
              <w:rPr>
                <w:i w:val="0"/>
                <w:iCs/>
                <w:noProof/>
              </w:rPr>
              <w:drawing>
                <wp:inline distT="0" distB="0" distL="0" distR="0" wp14:anchorId="32DA4CE3" wp14:editId="04BC590D">
                  <wp:extent cx="2161647" cy="185166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63711" cy="1853428"/>
                          </a:xfrm>
                          <a:prstGeom prst="rect">
                            <a:avLst/>
                          </a:prstGeom>
                        </pic:spPr>
                      </pic:pic>
                    </a:graphicData>
                  </a:graphic>
                </wp:inline>
              </w:drawing>
            </w:r>
            <w:r w:rsidRPr="00A43D2D">
              <w:rPr>
                <w:i w:val="0"/>
                <w:iCs/>
              </w:rPr>
              <w:t xml:space="preserve"> </w:t>
            </w:r>
            <w:r w:rsidR="00C513DA">
              <w:rPr>
                <w:i w:val="0"/>
                <w:iCs/>
              </w:rPr>
              <w:t>b</w:t>
            </w:r>
          </w:p>
        </w:tc>
      </w:tr>
    </w:tbl>
    <w:p w14:paraId="162BA28F" w14:textId="3B5C9018" w:rsidR="00CC5CC9" w:rsidRDefault="00CC5CC9" w:rsidP="000A7580">
      <w:pPr>
        <w:pStyle w:val="CETCaption"/>
        <w:spacing w:after="0"/>
        <w:rPr>
          <w:rStyle w:val="CETCaptionCarattere"/>
          <w:i/>
        </w:rPr>
      </w:pPr>
      <w:r w:rsidRPr="00BD077D">
        <w:rPr>
          <w:rStyle w:val="CETCaptionCarattere"/>
          <w:i/>
        </w:rPr>
        <w:t xml:space="preserve">Figure </w:t>
      </w:r>
      <w:r w:rsidR="008D76BB">
        <w:rPr>
          <w:rStyle w:val="CETCaptionCarattere"/>
          <w:i/>
        </w:rPr>
        <w:t>5</w:t>
      </w:r>
      <w:r w:rsidRPr="00BD077D">
        <w:rPr>
          <w:rStyle w:val="CETCaptionCarattere"/>
          <w:i/>
        </w:rPr>
        <w:t xml:space="preserve">: </w:t>
      </w:r>
      <w:r w:rsidR="00C513DA">
        <w:rPr>
          <w:rStyle w:val="CETCaptionCarattere"/>
          <w:i/>
        </w:rPr>
        <w:t>Results for</w:t>
      </w:r>
      <w:r w:rsidR="003F3898">
        <w:rPr>
          <w:rStyle w:val="CETCaptionCarattere"/>
          <w:i/>
        </w:rPr>
        <w:t xml:space="preserve"> a set of 5</w:t>
      </w:r>
      <w:r w:rsidR="00C513DA">
        <w:rPr>
          <w:rStyle w:val="CETCaptionCarattere"/>
          <w:i/>
        </w:rPr>
        <w:t xml:space="preserve"> s-CSTR</w:t>
      </w:r>
      <w:r w:rsidR="003F3898">
        <w:rPr>
          <w:rStyle w:val="CETCaptionCarattere"/>
          <w:i/>
        </w:rPr>
        <w:t>, compared with LIR, a) FAM content vs. Relative length/reactor number, b) Temperature vs. Relative length/reactor number</w:t>
      </w:r>
      <w:r w:rsidR="000A7580">
        <w:rPr>
          <w:rStyle w:val="CETCaptionCarattere"/>
          <w:i/>
        </w:rPr>
        <w:t>.</w:t>
      </w:r>
    </w:p>
    <w:p w14:paraId="68D26B83" w14:textId="77777777" w:rsidR="00600535" w:rsidRPr="00B57B36" w:rsidRDefault="00600535" w:rsidP="00600535">
      <w:pPr>
        <w:pStyle w:val="CETHeading1"/>
        <w:rPr>
          <w:lang w:val="en-GB"/>
        </w:rPr>
      </w:pPr>
      <w:r w:rsidRPr="00B57B36">
        <w:rPr>
          <w:lang w:val="en-GB"/>
        </w:rPr>
        <w:t>Conclusions</w:t>
      </w:r>
    </w:p>
    <w:p w14:paraId="2E1E3F19" w14:textId="5F545FF7" w:rsidR="00F56423" w:rsidRDefault="00034B82" w:rsidP="00600535">
      <w:pPr>
        <w:pStyle w:val="CETBodytext"/>
        <w:rPr>
          <w:lang w:val="en-GB"/>
        </w:rPr>
      </w:pPr>
      <w:r>
        <w:rPr>
          <w:lang w:val="en-GB"/>
        </w:rPr>
        <w:t>In this wor</w:t>
      </w:r>
      <w:r w:rsidR="00F9759A">
        <w:rPr>
          <w:lang w:val="en-GB"/>
        </w:rPr>
        <w:t>k the relevant problem of shift</w:t>
      </w:r>
      <w:r w:rsidR="00B06D1A">
        <w:rPr>
          <w:lang w:val="en-GB"/>
        </w:rPr>
        <w:t>ing</w:t>
      </w:r>
      <w:r w:rsidR="00F9759A">
        <w:rPr>
          <w:lang w:val="en-GB"/>
        </w:rPr>
        <w:t xml:space="preserve"> to continuous </w:t>
      </w:r>
      <w:r w:rsidR="00A51A57">
        <w:rPr>
          <w:lang w:val="en-GB"/>
        </w:rPr>
        <w:t xml:space="preserve">the </w:t>
      </w:r>
      <w:r w:rsidR="00D85F59">
        <w:rPr>
          <w:lang w:val="en-GB"/>
        </w:rPr>
        <w:t xml:space="preserve">synthesis </w:t>
      </w:r>
      <w:r w:rsidR="00B06D1A">
        <w:rPr>
          <w:lang w:val="en-GB"/>
        </w:rPr>
        <w:t xml:space="preserve">of Nimesulide </w:t>
      </w:r>
      <w:r w:rsidR="00D85F59">
        <w:rPr>
          <w:lang w:val="en-GB"/>
        </w:rPr>
        <w:t>was anal</w:t>
      </w:r>
      <w:r w:rsidR="00D25839">
        <w:rPr>
          <w:lang w:val="en-GB"/>
        </w:rPr>
        <w:t>ysed, also proposing an</w:t>
      </w:r>
      <w:r w:rsidR="00B06D1A">
        <w:rPr>
          <w:lang w:val="en-GB"/>
        </w:rPr>
        <w:t xml:space="preserve"> intensification approach capable of reducing the amount of solvent used within the recipe. Particularly, FAM concentration in acetic acid was increased of almost five times maintaining safe conditions in terms of maximum temperature reached during the synthesis. Two different continuous configurations were simulated: a series of isoperibolic tubular reactors with multiple lateral injections and a series of CSTRs with co-feeds in between one reactor and its following. Considering the first continuous configuration, four reactors with four lateral injections w</w:t>
      </w:r>
      <w:r w:rsidR="00A51A57">
        <w:rPr>
          <w:lang w:val="en-GB"/>
        </w:rPr>
        <w:t>ere</w:t>
      </w:r>
      <w:r w:rsidR="00B06D1A">
        <w:rPr>
          <w:lang w:val="en-GB"/>
        </w:rPr>
        <w:t xml:space="preserve"> found to be the best solution in terms of original recipe reproduction; while, for the second configuration, five reactors were required to partially fulfilled all the required safety and productivity constraints. </w:t>
      </w:r>
      <w:r w:rsidR="00F56423">
        <w:rPr>
          <w:lang w:val="en-GB"/>
        </w:rPr>
        <w:t xml:space="preserve">This work proved that process intensification permits not only to enhance the overall productivity maintaining safe operating conditions but also </w:t>
      </w:r>
      <w:r w:rsidR="006470FB">
        <w:rPr>
          <w:lang w:val="en-GB"/>
        </w:rPr>
        <w:t>to increase the process sustainability reducing the amount of solvents used within the industrial recipe.</w:t>
      </w:r>
    </w:p>
    <w:p w14:paraId="4F1327F8" w14:textId="77777777" w:rsidR="00600535" w:rsidRPr="00DC2FE2" w:rsidRDefault="00600535" w:rsidP="00600535">
      <w:pPr>
        <w:pStyle w:val="CETReference"/>
        <w:rPr>
          <w:lang w:val="it-IT"/>
        </w:rPr>
      </w:pPr>
      <w:r w:rsidRPr="00DC2FE2">
        <w:rPr>
          <w:lang w:val="it-IT"/>
        </w:rPr>
        <w:t>References</w:t>
      </w:r>
    </w:p>
    <w:p w14:paraId="653AE362" w14:textId="3DDD0A2A" w:rsidR="00AB6BD3" w:rsidRPr="00AB6BD3" w:rsidRDefault="009A048F" w:rsidP="00AB6BD3">
      <w:pPr>
        <w:pStyle w:val="Bibliografia"/>
        <w:rPr>
          <w:rFonts w:cs="Arial"/>
        </w:rPr>
      </w:pPr>
      <w:r>
        <w:fldChar w:fldCharType="begin"/>
      </w:r>
      <w:r w:rsidR="00AB6BD3">
        <w:rPr>
          <w:lang w:val="it-IT"/>
        </w:rPr>
        <w:instrText xml:space="preserve"> ADDIN ZOTERO_BIBL {"uncited":[],"omitted":[],"custom":[]} CSL_BIBLIOGRAPHY </w:instrText>
      </w:r>
      <w:r>
        <w:fldChar w:fldCharType="separate"/>
      </w:r>
      <w:r w:rsidR="00AB6BD3" w:rsidRPr="00AB6BD3">
        <w:rPr>
          <w:rFonts w:cs="Arial"/>
          <w:lang w:val="it-IT"/>
        </w:rPr>
        <w:t xml:space="preserve">Copelli S., Barozzi M., Maestri F., Rota R., 2018. </w:t>
      </w:r>
      <w:r w:rsidR="00AB6BD3" w:rsidRPr="00AB6BD3">
        <w:rPr>
          <w:rFonts w:cs="Arial"/>
        </w:rPr>
        <w:t>Safe optimization of potentially runaway reactions: From fedbatch to continuous stirred tank type reactor. Journal of Loss Prevention in the Process Industries 55, 289–302. https://doi.org/10.1016/j.jlp.2018.07.003</w:t>
      </w:r>
    </w:p>
    <w:p w14:paraId="1F320384" w14:textId="34A1F5B6" w:rsidR="00AB6BD3" w:rsidRPr="00AB6BD3" w:rsidRDefault="00AB6BD3" w:rsidP="00AB6BD3">
      <w:pPr>
        <w:pStyle w:val="Bibliografia"/>
        <w:rPr>
          <w:rFonts w:cs="Arial"/>
        </w:rPr>
      </w:pPr>
      <w:r w:rsidRPr="00AB6BD3">
        <w:rPr>
          <w:rFonts w:cs="Arial"/>
          <w:lang w:val="it-IT"/>
        </w:rPr>
        <w:t xml:space="preserve">Copelli S., Barozzi M., Maestri F., Rota R., 2017. </w:t>
      </w:r>
      <w:r w:rsidRPr="00AB6BD3">
        <w:rPr>
          <w:rFonts w:cs="Arial"/>
        </w:rPr>
        <w:t>Safe Intensification of Potentially Runaway Reactions: from Semibatch to Continuous Processes. Chemical Engineering Transactions 57, 1687–1692. https://doi.org/10.3303/CET1757282</w:t>
      </w:r>
    </w:p>
    <w:p w14:paraId="5CBD9B6B" w14:textId="25AB6719" w:rsidR="00AB6BD3" w:rsidRPr="00AB6BD3" w:rsidRDefault="00AB6BD3" w:rsidP="00AB6BD3">
      <w:pPr>
        <w:pStyle w:val="Bibliografia"/>
        <w:rPr>
          <w:rFonts w:cs="Arial"/>
        </w:rPr>
      </w:pPr>
      <w:r w:rsidRPr="001075C2">
        <w:rPr>
          <w:rFonts w:cs="Arial"/>
          <w:lang w:val="en-US"/>
        </w:rPr>
        <w:t xml:space="preserve">Cui L., Yue S., Nghiem X.-H., Duan M., 2023. </w:t>
      </w:r>
      <w:r w:rsidRPr="00AB6BD3">
        <w:rPr>
          <w:rFonts w:cs="Arial"/>
        </w:rPr>
        <w:t>Exploring the risk and economic vulnerability of global energy supply chain interruption in the context of Russo-Ukrainian war. Resources Policy 81, 103373. https://doi.org/10.1016/j.resourpol.2023.103373</w:t>
      </w:r>
    </w:p>
    <w:p w14:paraId="7100481C" w14:textId="3172FB44" w:rsidR="00AB6BD3" w:rsidRPr="00AB6BD3" w:rsidRDefault="00AB6BD3" w:rsidP="00AB6BD3">
      <w:pPr>
        <w:pStyle w:val="Bibliografia"/>
        <w:rPr>
          <w:rFonts w:cs="Arial"/>
        </w:rPr>
      </w:pPr>
      <w:r w:rsidRPr="001075C2">
        <w:rPr>
          <w:rFonts w:cs="Arial"/>
          <w:lang w:val="en-US"/>
        </w:rPr>
        <w:t xml:space="preserve">Florit F., Busini V., Storti G., Rota R., 2019. </w:t>
      </w:r>
      <w:r w:rsidRPr="00AB6BD3">
        <w:rPr>
          <w:rFonts w:cs="Arial"/>
        </w:rPr>
        <w:t>Kinetics-free transformation from non-isothermal discontinuous to continuous tubular reactors. Chemical Engineering Journal 373, 792–802. https://doi.org/10.1016/j.cej.2019.05.050</w:t>
      </w:r>
    </w:p>
    <w:p w14:paraId="32DB5E1F" w14:textId="2ED7AD9A" w:rsidR="00AB6BD3" w:rsidRPr="00AB6BD3" w:rsidRDefault="00AB6BD3" w:rsidP="00AB6BD3">
      <w:pPr>
        <w:pStyle w:val="Bibliografia"/>
        <w:rPr>
          <w:rFonts w:cs="Arial"/>
        </w:rPr>
      </w:pPr>
      <w:r w:rsidRPr="001075C2">
        <w:rPr>
          <w:rFonts w:cs="Arial"/>
          <w:lang w:val="en-US"/>
        </w:rPr>
        <w:t xml:space="preserve">Florit F., Busini V., Storti G., Rota R., 2018. </w:t>
      </w:r>
      <w:r w:rsidRPr="00AB6BD3">
        <w:rPr>
          <w:rFonts w:cs="Arial"/>
        </w:rPr>
        <w:t>From semi-batch to continuous tubular reactors: A kinetics-free approach. Chemical Engineering Journal 354, 1007–1017. https://doi.org/10.1016/j.cej.2018.08.044</w:t>
      </w:r>
    </w:p>
    <w:p w14:paraId="24B6A028" w14:textId="0E49271D" w:rsidR="00AB6BD3" w:rsidRPr="00AB6BD3" w:rsidRDefault="00AB6BD3" w:rsidP="00AB6BD3">
      <w:pPr>
        <w:pStyle w:val="Bibliografia"/>
        <w:rPr>
          <w:rFonts w:cs="Arial"/>
        </w:rPr>
      </w:pPr>
      <w:r w:rsidRPr="00AB6BD3">
        <w:rPr>
          <w:rFonts w:cs="Arial"/>
        </w:rPr>
        <w:t>Jähnisch K., Hessel V., Löwe H., Baerns M., 2004. Chemistry in microstructured reactors. Angew Chem Int Ed Engl 43, 406–446. https://doi.org/10.1002/anie.200300577</w:t>
      </w:r>
    </w:p>
    <w:p w14:paraId="0D2AF0A8" w14:textId="5930306D" w:rsidR="00AB6BD3" w:rsidRPr="00AB6BD3" w:rsidRDefault="00AB6BD3" w:rsidP="00AB6BD3">
      <w:pPr>
        <w:pStyle w:val="Bibliografia"/>
        <w:rPr>
          <w:rFonts w:cs="Arial"/>
        </w:rPr>
      </w:pPr>
      <w:r w:rsidRPr="00AB6BD3">
        <w:rPr>
          <w:rFonts w:cs="Arial"/>
          <w:lang w:val="it-IT"/>
        </w:rPr>
        <w:t xml:space="preserve">Maestri F., Copelli S., Barozzi M., Rota R., 2020. </w:t>
      </w:r>
      <w:r w:rsidRPr="00AB6BD3">
        <w:rPr>
          <w:rFonts w:cs="Arial"/>
        </w:rPr>
        <w:t>Kinetic-free discontinuous to continuous transformation of fine chemical reactions: A general experimental procedure. Chemical Engineering Journal 395. https://doi.org/10.1016/j.cej.2020.125061</w:t>
      </w:r>
    </w:p>
    <w:p w14:paraId="435F1381" w14:textId="7AF93A87" w:rsidR="00AB6BD3" w:rsidRPr="00AB6BD3" w:rsidRDefault="00AB6BD3" w:rsidP="00AB6BD3">
      <w:pPr>
        <w:pStyle w:val="Bibliografia"/>
        <w:rPr>
          <w:rFonts w:cs="Arial"/>
        </w:rPr>
      </w:pPr>
      <w:r w:rsidRPr="001075C2">
        <w:rPr>
          <w:rFonts w:cs="Arial"/>
        </w:rPr>
        <w:t xml:space="preserve">Maestri F., Re Dionigi L., Rota R., Gigante L., Lunghi A., Cardillo P., 2006. </w:t>
      </w:r>
      <w:r w:rsidRPr="00AB6BD3">
        <w:rPr>
          <w:rFonts w:cs="Arial"/>
        </w:rPr>
        <w:t>Safe and Productive Operation of Homogeneous Semibatch Reactors. II. The Nitration of N-(2-Phenoxyphenyl) Methane Sulfonamide. Ind. Eng. Chem. Res. 45, 8014–8023. https://doi.org/10.1021/ie060262v</w:t>
      </w:r>
    </w:p>
    <w:p w14:paraId="317C17BA" w14:textId="7506044A" w:rsidR="00AB6BD3" w:rsidRPr="00AB6BD3" w:rsidRDefault="00AB6BD3" w:rsidP="00AB6BD3">
      <w:pPr>
        <w:pStyle w:val="Bibliografia"/>
        <w:rPr>
          <w:rFonts w:cs="Arial"/>
        </w:rPr>
      </w:pPr>
      <w:r w:rsidRPr="00AB6BD3">
        <w:rPr>
          <w:rFonts w:cs="Arial"/>
        </w:rPr>
        <w:t>Ouyang Y., Heynderickx G.J., Van Geem K.M., 2022. Development of intensified reactors: A process intensification methodology perspective. Chemical Engineering and Processing - Process Intensification 181, 109164. https://doi.org/10.1016/j.cep.2022.109164</w:t>
      </w:r>
    </w:p>
    <w:p w14:paraId="19C4FC68" w14:textId="1106FF55" w:rsidR="004628D2" w:rsidRDefault="00AB6BD3" w:rsidP="00C9127C">
      <w:pPr>
        <w:pStyle w:val="Bibliografia"/>
      </w:pPr>
      <w:r w:rsidRPr="00AB6BD3">
        <w:rPr>
          <w:rFonts w:cs="Arial"/>
        </w:rPr>
        <w:t>Zhang P., Weeranoppanant N., Thomas D.A., Tahara K., Stelzer T., Russell M.G., O’Mahony M., Myerson A.S., Lin H., Kelly L.P., Jensen K.F., Jamison T.F., Dai C., Cui Y., Briggs N., Beingessner R.L., Adamo A., 2018. Advanced Continuous Flow Platform for On-Demand Pharmaceutical Manufacturing. Chemistry 24, 2776–2784. https://doi.org/10.1002/chem.201706004</w:t>
      </w:r>
      <w:r w:rsidR="009A048F">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EE5B" w14:textId="77777777" w:rsidR="00FA0A6A" w:rsidRDefault="00FA0A6A" w:rsidP="004F5E36">
      <w:r>
        <w:separator/>
      </w:r>
    </w:p>
  </w:endnote>
  <w:endnote w:type="continuationSeparator" w:id="0">
    <w:p w14:paraId="76D476A4" w14:textId="77777777" w:rsidR="00FA0A6A" w:rsidRDefault="00FA0A6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588A" w14:textId="77777777" w:rsidR="00FA0A6A" w:rsidRDefault="00FA0A6A" w:rsidP="004F5E36">
      <w:r>
        <w:separator/>
      </w:r>
    </w:p>
  </w:footnote>
  <w:footnote w:type="continuationSeparator" w:id="0">
    <w:p w14:paraId="419F3CCC" w14:textId="77777777" w:rsidR="00FA0A6A" w:rsidRDefault="00FA0A6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443DE7"/>
    <w:multiLevelType w:val="hybridMultilevel"/>
    <w:tmpl w:val="1C5EC06C"/>
    <w:lvl w:ilvl="0" w:tplc="E91A2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6402256">
    <w:abstractNumId w:val="10"/>
  </w:num>
  <w:num w:numId="2" w16cid:durableId="56249831">
    <w:abstractNumId w:val="8"/>
  </w:num>
  <w:num w:numId="3" w16cid:durableId="71316840">
    <w:abstractNumId w:val="3"/>
  </w:num>
  <w:num w:numId="4" w16cid:durableId="931203081">
    <w:abstractNumId w:val="2"/>
  </w:num>
  <w:num w:numId="5" w16cid:durableId="1531915649">
    <w:abstractNumId w:val="1"/>
  </w:num>
  <w:num w:numId="6" w16cid:durableId="21130744">
    <w:abstractNumId w:val="0"/>
  </w:num>
  <w:num w:numId="7" w16cid:durableId="435096858">
    <w:abstractNumId w:val="9"/>
  </w:num>
  <w:num w:numId="8" w16cid:durableId="1677726960">
    <w:abstractNumId w:val="7"/>
  </w:num>
  <w:num w:numId="9" w16cid:durableId="2115437200">
    <w:abstractNumId w:val="6"/>
  </w:num>
  <w:num w:numId="10" w16cid:durableId="1045763062">
    <w:abstractNumId w:val="5"/>
  </w:num>
  <w:num w:numId="11" w16cid:durableId="1720669709">
    <w:abstractNumId w:val="4"/>
  </w:num>
  <w:num w:numId="12" w16cid:durableId="1712916286">
    <w:abstractNumId w:val="18"/>
  </w:num>
  <w:num w:numId="13" w16cid:durableId="1352145241">
    <w:abstractNumId w:val="12"/>
  </w:num>
  <w:num w:numId="14" w16cid:durableId="1930961231">
    <w:abstractNumId w:val="19"/>
  </w:num>
  <w:num w:numId="15" w16cid:durableId="2090271662">
    <w:abstractNumId w:val="21"/>
  </w:num>
  <w:num w:numId="16" w16cid:durableId="1188175556">
    <w:abstractNumId w:val="20"/>
  </w:num>
  <w:num w:numId="17" w16cid:durableId="1840580382">
    <w:abstractNumId w:val="11"/>
  </w:num>
  <w:num w:numId="18" w16cid:durableId="383523045">
    <w:abstractNumId w:val="12"/>
    <w:lvlOverride w:ilvl="0">
      <w:startOverride w:val="1"/>
    </w:lvlOverride>
  </w:num>
  <w:num w:numId="19" w16cid:durableId="1362971201">
    <w:abstractNumId w:val="17"/>
  </w:num>
  <w:num w:numId="20" w16cid:durableId="674454743">
    <w:abstractNumId w:val="16"/>
  </w:num>
  <w:num w:numId="21" w16cid:durableId="1929346038">
    <w:abstractNumId w:val="15"/>
  </w:num>
  <w:num w:numId="22" w16cid:durableId="1287856258">
    <w:abstractNumId w:val="14"/>
  </w:num>
  <w:num w:numId="23" w16cid:durableId="18728386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C4"/>
    <w:rsid w:val="000027C0"/>
    <w:rsid w:val="00003558"/>
    <w:rsid w:val="00003E99"/>
    <w:rsid w:val="000052FB"/>
    <w:rsid w:val="000117CB"/>
    <w:rsid w:val="0003148D"/>
    <w:rsid w:val="00031EEC"/>
    <w:rsid w:val="00034B82"/>
    <w:rsid w:val="00036D6A"/>
    <w:rsid w:val="00051566"/>
    <w:rsid w:val="000562A9"/>
    <w:rsid w:val="00062A9A"/>
    <w:rsid w:val="00065058"/>
    <w:rsid w:val="000806D8"/>
    <w:rsid w:val="00086C39"/>
    <w:rsid w:val="00094285"/>
    <w:rsid w:val="000A03B2"/>
    <w:rsid w:val="000A217D"/>
    <w:rsid w:val="000A70BB"/>
    <w:rsid w:val="000A7580"/>
    <w:rsid w:val="000D0268"/>
    <w:rsid w:val="000D34BE"/>
    <w:rsid w:val="000E102F"/>
    <w:rsid w:val="000E1987"/>
    <w:rsid w:val="000E36F1"/>
    <w:rsid w:val="000E3A73"/>
    <w:rsid w:val="000E414A"/>
    <w:rsid w:val="000F093C"/>
    <w:rsid w:val="000F787B"/>
    <w:rsid w:val="001075C2"/>
    <w:rsid w:val="0012091F"/>
    <w:rsid w:val="00126BC2"/>
    <w:rsid w:val="001308B6"/>
    <w:rsid w:val="0013121F"/>
    <w:rsid w:val="00131B1C"/>
    <w:rsid w:val="00131FE6"/>
    <w:rsid w:val="0013263F"/>
    <w:rsid w:val="001331DF"/>
    <w:rsid w:val="00134550"/>
    <w:rsid w:val="00134DE4"/>
    <w:rsid w:val="00137AB1"/>
    <w:rsid w:val="0014034D"/>
    <w:rsid w:val="00144D16"/>
    <w:rsid w:val="00150E59"/>
    <w:rsid w:val="00152DE3"/>
    <w:rsid w:val="00164CF9"/>
    <w:rsid w:val="00165BB5"/>
    <w:rsid w:val="001667A6"/>
    <w:rsid w:val="001764EE"/>
    <w:rsid w:val="00184AD6"/>
    <w:rsid w:val="001A4AF7"/>
    <w:rsid w:val="001A5266"/>
    <w:rsid w:val="001B0349"/>
    <w:rsid w:val="001B1E93"/>
    <w:rsid w:val="001B65C1"/>
    <w:rsid w:val="001C0EF2"/>
    <w:rsid w:val="001C684B"/>
    <w:rsid w:val="001D0CFB"/>
    <w:rsid w:val="001D21AF"/>
    <w:rsid w:val="001D2E70"/>
    <w:rsid w:val="001D5208"/>
    <w:rsid w:val="001D53FC"/>
    <w:rsid w:val="001F42A5"/>
    <w:rsid w:val="001F7B9D"/>
    <w:rsid w:val="00201C93"/>
    <w:rsid w:val="002224B4"/>
    <w:rsid w:val="00231F05"/>
    <w:rsid w:val="00232575"/>
    <w:rsid w:val="00237252"/>
    <w:rsid w:val="00241BCB"/>
    <w:rsid w:val="002447EF"/>
    <w:rsid w:val="002451AE"/>
    <w:rsid w:val="002462E6"/>
    <w:rsid w:val="00251550"/>
    <w:rsid w:val="00263B05"/>
    <w:rsid w:val="00267D4F"/>
    <w:rsid w:val="0027221A"/>
    <w:rsid w:val="002738C4"/>
    <w:rsid w:val="00275B61"/>
    <w:rsid w:val="00280FAF"/>
    <w:rsid w:val="00282656"/>
    <w:rsid w:val="0029212A"/>
    <w:rsid w:val="002959C6"/>
    <w:rsid w:val="00296B83"/>
    <w:rsid w:val="002A1D7B"/>
    <w:rsid w:val="002A4F43"/>
    <w:rsid w:val="002B4015"/>
    <w:rsid w:val="002B78CE"/>
    <w:rsid w:val="002C2FB6"/>
    <w:rsid w:val="002E2DD2"/>
    <w:rsid w:val="002E5FA7"/>
    <w:rsid w:val="002F2F40"/>
    <w:rsid w:val="002F3309"/>
    <w:rsid w:val="003008CE"/>
    <w:rsid w:val="003009B7"/>
    <w:rsid w:val="00300E56"/>
    <w:rsid w:val="0030152C"/>
    <w:rsid w:val="003015BC"/>
    <w:rsid w:val="0030469C"/>
    <w:rsid w:val="00305428"/>
    <w:rsid w:val="00321CA6"/>
    <w:rsid w:val="00323763"/>
    <w:rsid w:val="00323C5F"/>
    <w:rsid w:val="00330E14"/>
    <w:rsid w:val="00331EF7"/>
    <w:rsid w:val="00334C09"/>
    <w:rsid w:val="00367BD5"/>
    <w:rsid w:val="003723D4"/>
    <w:rsid w:val="00381905"/>
    <w:rsid w:val="00383314"/>
    <w:rsid w:val="00384CC8"/>
    <w:rsid w:val="003871FD"/>
    <w:rsid w:val="003A1E30"/>
    <w:rsid w:val="003A2829"/>
    <w:rsid w:val="003A3D79"/>
    <w:rsid w:val="003A7D1C"/>
    <w:rsid w:val="003B304B"/>
    <w:rsid w:val="003B3146"/>
    <w:rsid w:val="003D69DD"/>
    <w:rsid w:val="003E3545"/>
    <w:rsid w:val="003F015E"/>
    <w:rsid w:val="003F3898"/>
    <w:rsid w:val="00400414"/>
    <w:rsid w:val="0041446B"/>
    <w:rsid w:val="00422B74"/>
    <w:rsid w:val="0044071E"/>
    <w:rsid w:val="0044329C"/>
    <w:rsid w:val="00453E24"/>
    <w:rsid w:val="00457456"/>
    <w:rsid w:val="004577FE"/>
    <w:rsid w:val="00457B9C"/>
    <w:rsid w:val="00460E4C"/>
    <w:rsid w:val="0046164A"/>
    <w:rsid w:val="004628D2"/>
    <w:rsid w:val="00462DCD"/>
    <w:rsid w:val="004648AD"/>
    <w:rsid w:val="004703A9"/>
    <w:rsid w:val="004714D5"/>
    <w:rsid w:val="004760DE"/>
    <w:rsid w:val="004763D7"/>
    <w:rsid w:val="004A004E"/>
    <w:rsid w:val="004A19CF"/>
    <w:rsid w:val="004A24CF"/>
    <w:rsid w:val="004A5179"/>
    <w:rsid w:val="004A5A69"/>
    <w:rsid w:val="004C3D1D"/>
    <w:rsid w:val="004C3D84"/>
    <w:rsid w:val="004C7913"/>
    <w:rsid w:val="004E4DD6"/>
    <w:rsid w:val="004E6631"/>
    <w:rsid w:val="004F5E36"/>
    <w:rsid w:val="00500DB9"/>
    <w:rsid w:val="00507B47"/>
    <w:rsid w:val="00507BEF"/>
    <w:rsid w:val="00507CC9"/>
    <w:rsid w:val="005119A5"/>
    <w:rsid w:val="005278B7"/>
    <w:rsid w:val="00532016"/>
    <w:rsid w:val="005346C8"/>
    <w:rsid w:val="00543E7D"/>
    <w:rsid w:val="00547A68"/>
    <w:rsid w:val="005531C9"/>
    <w:rsid w:val="0055750D"/>
    <w:rsid w:val="00570C43"/>
    <w:rsid w:val="005B2110"/>
    <w:rsid w:val="005B61E6"/>
    <w:rsid w:val="005C6855"/>
    <w:rsid w:val="005C77E1"/>
    <w:rsid w:val="005D4B7C"/>
    <w:rsid w:val="005D668A"/>
    <w:rsid w:val="005D6A2F"/>
    <w:rsid w:val="005E1A82"/>
    <w:rsid w:val="005E1C66"/>
    <w:rsid w:val="005E75D0"/>
    <w:rsid w:val="005E794C"/>
    <w:rsid w:val="005F0A28"/>
    <w:rsid w:val="005F0E5E"/>
    <w:rsid w:val="00600535"/>
    <w:rsid w:val="00603115"/>
    <w:rsid w:val="00610CD6"/>
    <w:rsid w:val="00620DEE"/>
    <w:rsid w:val="00621F92"/>
    <w:rsid w:val="0062280A"/>
    <w:rsid w:val="00625639"/>
    <w:rsid w:val="00631B33"/>
    <w:rsid w:val="0064184D"/>
    <w:rsid w:val="006422CC"/>
    <w:rsid w:val="0064298F"/>
    <w:rsid w:val="00643445"/>
    <w:rsid w:val="006470FB"/>
    <w:rsid w:val="00647371"/>
    <w:rsid w:val="00660E3E"/>
    <w:rsid w:val="006610A4"/>
    <w:rsid w:val="00662E74"/>
    <w:rsid w:val="00680C23"/>
    <w:rsid w:val="00693766"/>
    <w:rsid w:val="0069465F"/>
    <w:rsid w:val="006A3281"/>
    <w:rsid w:val="006B4888"/>
    <w:rsid w:val="006C2E45"/>
    <w:rsid w:val="006C359C"/>
    <w:rsid w:val="006C3C81"/>
    <w:rsid w:val="006C5579"/>
    <w:rsid w:val="006D6E8B"/>
    <w:rsid w:val="006D7380"/>
    <w:rsid w:val="006E737D"/>
    <w:rsid w:val="00713973"/>
    <w:rsid w:val="00720A24"/>
    <w:rsid w:val="00721E83"/>
    <w:rsid w:val="00725D5D"/>
    <w:rsid w:val="00726622"/>
    <w:rsid w:val="00732386"/>
    <w:rsid w:val="0073514D"/>
    <w:rsid w:val="007447F3"/>
    <w:rsid w:val="0075499F"/>
    <w:rsid w:val="007550ED"/>
    <w:rsid w:val="00765241"/>
    <w:rsid w:val="007661C8"/>
    <w:rsid w:val="0077098D"/>
    <w:rsid w:val="00773C5E"/>
    <w:rsid w:val="00786D9F"/>
    <w:rsid w:val="0078719F"/>
    <w:rsid w:val="007931FA"/>
    <w:rsid w:val="00797386"/>
    <w:rsid w:val="007A1CBE"/>
    <w:rsid w:val="007A4861"/>
    <w:rsid w:val="007A7BBA"/>
    <w:rsid w:val="007B0C50"/>
    <w:rsid w:val="007B48F9"/>
    <w:rsid w:val="007C1A43"/>
    <w:rsid w:val="007C3B64"/>
    <w:rsid w:val="007D0951"/>
    <w:rsid w:val="007E1C6B"/>
    <w:rsid w:val="007F37F8"/>
    <w:rsid w:val="007F7669"/>
    <w:rsid w:val="0080013E"/>
    <w:rsid w:val="00813288"/>
    <w:rsid w:val="008168FC"/>
    <w:rsid w:val="00830996"/>
    <w:rsid w:val="008345F1"/>
    <w:rsid w:val="00856D2E"/>
    <w:rsid w:val="00860AEF"/>
    <w:rsid w:val="00865B07"/>
    <w:rsid w:val="008667EA"/>
    <w:rsid w:val="00872C92"/>
    <w:rsid w:val="0087637F"/>
    <w:rsid w:val="00892AD5"/>
    <w:rsid w:val="008A1512"/>
    <w:rsid w:val="008D1CB0"/>
    <w:rsid w:val="008D32B9"/>
    <w:rsid w:val="008D433B"/>
    <w:rsid w:val="008D4A16"/>
    <w:rsid w:val="008D76BB"/>
    <w:rsid w:val="008E566E"/>
    <w:rsid w:val="008F76D8"/>
    <w:rsid w:val="0090161A"/>
    <w:rsid w:val="00901EB6"/>
    <w:rsid w:val="00904C62"/>
    <w:rsid w:val="00922BA8"/>
    <w:rsid w:val="00924966"/>
    <w:rsid w:val="00924DAC"/>
    <w:rsid w:val="00925F91"/>
    <w:rsid w:val="00927058"/>
    <w:rsid w:val="00942750"/>
    <w:rsid w:val="0094485C"/>
    <w:rsid w:val="009450CE"/>
    <w:rsid w:val="009459BB"/>
    <w:rsid w:val="00946B18"/>
    <w:rsid w:val="00947179"/>
    <w:rsid w:val="0095164B"/>
    <w:rsid w:val="00953CD1"/>
    <w:rsid w:val="00954090"/>
    <w:rsid w:val="009573E7"/>
    <w:rsid w:val="00963E05"/>
    <w:rsid w:val="00964A45"/>
    <w:rsid w:val="00967843"/>
    <w:rsid w:val="00967D54"/>
    <w:rsid w:val="00971028"/>
    <w:rsid w:val="00993B84"/>
    <w:rsid w:val="00996483"/>
    <w:rsid w:val="00996F5A"/>
    <w:rsid w:val="009A048F"/>
    <w:rsid w:val="009B041A"/>
    <w:rsid w:val="009C37C3"/>
    <w:rsid w:val="009C7C86"/>
    <w:rsid w:val="009D2FF7"/>
    <w:rsid w:val="009D47A2"/>
    <w:rsid w:val="009E6304"/>
    <w:rsid w:val="009E7884"/>
    <w:rsid w:val="009E788A"/>
    <w:rsid w:val="009F0E08"/>
    <w:rsid w:val="009F1339"/>
    <w:rsid w:val="00A06E91"/>
    <w:rsid w:val="00A1763D"/>
    <w:rsid w:val="00A17CEC"/>
    <w:rsid w:val="00A27EF0"/>
    <w:rsid w:val="00A42361"/>
    <w:rsid w:val="00A43D2D"/>
    <w:rsid w:val="00A50B20"/>
    <w:rsid w:val="00A51390"/>
    <w:rsid w:val="00A51A57"/>
    <w:rsid w:val="00A60D13"/>
    <w:rsid w:val="00A7223D"/>
    <w:rsid w:val="00A72745"/>
    <w:rsid w:val="00A76EFC"/>
    <w:rsid w:val="00A87D50"/>
    <w:rsid w:val="00A91010"/>
    <w:rsid w:val="00A97F29"/>
    <w:rsid w:val="00AA702E"/>
    <w:rsid w:val="00AA7D26"/>
    <w:rsid w:val="00AB0964"/>
    <w:rsid w:val="00AB5011"/>
    <w:rsid w:val="00AB6BD3"/>
    <w:rsid w:val="00AC7368"/>
    <w:rsid w:val="00AD16B9"/>
    <w:rsid w:val="00AE377D"/>
    <w:rsid w:val="00AE3EB9"/>
    <w:rsid w:val="00AF0EBA"/>
    <w:rsid w:val="00B02C8A"/>
    <w:rsid w:val="00B06D1A"/>
    <w:rsid w:val="00B17FBD"/>
    <w:rsid w:val="00B315A6"/>
    <w:rsid w:val="00B31813"/>
    <w:rsid w:val="00B33365"/>
    <w:rsid w:val="00B40F4A"/>
    <w:rsid w:val="00B51735"/>
    <w:rsid w:val="00B57B36"/>
    <w:rsid w:val="00B57E6F"/>
    <w:rsid w:val="00B858FB"/>
    <w:rsid w:val="00B8686D"/>
    <w:rsid w:val="00B93F69"/>
    <w:rsid w:val="00BB1DDC"/>
    <w:rsid w:val="00BC30C9"/>
    <w:rsid w:val="00BD077D"/>
    <w:rsid w:val="00BD647D"/>
    <w:rsid w:val="00BE3E58"/>
    <w:rsid w:val="00BE6ACF"/>
    <w:rsid w:val="00BF2A6A"/>
    <w:rsid w:val="00C01616"/>
    <w:rsid w:val="00C0162B"/>
    <w:rsid w:val="00C020A8"/>
    <w:rsid w:val="00C068ED"/>
    <w:rsid w:val="00C22E0C"/>
    <w:rsid w:val="00C345B1"/>
    <w:rsid w:val="00C40142"/>
    <w:rsid w:val="00C42B73"/>
    <w:rsid w:val="00C50B88"/>
    <w:rsid w:val="00C513DA"/>
    <w:rsid w:val="00C52C3C"/>
    <w:rsid w:val="00C57182"/>
    <w:rsid w:val="00C57863"/>
    <w:rsid w:val="00C640AF"/>
    <w:rsid w:val="00C655FD"/>
    <w:rsid w:val="00C721EF"/>
    <w:rsid w:val="00C75407"/>
    <w:rsid w:val="00C870A8"/>
    <w:rsid w:val="00C9127C"/>
    <w:rsid w:val="00C94434"/>
    <w:rsid w:val="00C94454"/>
    <w:rsid w:val="00CA0D75"/>
    <w:rsid w:val="00CA1C95"/>
    <w:rsid w:val="00CA5A9C"/>
    <w:rsid w:val="00CA6814"/>
    <w:rsid w:val="00CB103D"/>
    <w:rsid w:val="00CB33A2"/>
    <w:rsid w:val="00CB349B"/>
    <w:rsid w:val="00CC4C20"/>
    <w:rsid w:val="00CC5CC9"/>
    <w:rsid w:val="00CD3517"/>
    <w:rsid w:val="00CD5B32"/>
    <w:rsid w:val="00CD5FE2"/>
    <w:rsid w:val="00CE71AB"/>
    <w:rsid w:val="00CE7C68"/>
    <w:rsid w:val="00D02B4C"/>
    <w:rsid w:val="00D0352C"/>
    <w:rsid w:val="00D040C4"/>
    <w:rsid w:val="00D20AD1"/>
    <w:rsid w:val="00D25839"/>
    <w:rsid w:val="00D349C7"/>
    <w:rsid w:val="00D46B7E"/>
    <w:rsid w:val="00D51249"/>
    <w:rsid w:val="00D54EA0"/>
    <w:rsid w:val="00D56205"/>
    <w:rsid w:val="00D57C84"/>
    <w:rsid w:val="00D6057D"/>
    <w:rsid w:val="00D71640"/>
    <w:rsid w:val="00D73985"/>
    <w:rsid w:val="00D836C5"/>
    <w:rsid w:val="00D84576"/>
    <w:rsid w:val="00D85F59"/>
    <w:rsid w:val="00DA1399"/>
    <w:rsid w:val="00DA24C6"/>
    <w:rsid w:val="00DA4D7B"/>
    <w:rsid w:val="00DC2FE2"/>
    <w:rsid w:val="00DD271C"/>
    <w:rsid w:val="00DE264A"/>
    <w:rsid w:val="00DF5072"/>
    <w:rsid w:val="00E02D18"/>
    <w:rsid w:val="00E041E7"/>
    <w:rsid w:val="00E17541"/>
    <w:rsid w:val="00E23CA1"/>
    <w:rsid w:val="00E409A8"/>
    <w:rsid w:val="00E50C12"/>
    <w:rsid w:val="00E65B91"/>
    <w:rsid w:val="00E7209D"/>
    <w:rsid w:val="00E72EAD"/>
    <w:rsid w:val="00E77223"/>
    <w:rsid w:val="00E848E7"/>
    <w:rsid w:val="00E8528B"/>
    <w:rsid w:val="00E85B94"/>
    <w:rsid w:val="00E978D0"/>
    <w:rsid w:val="00EA4613"/>
    <w:rsid w:val="00EA7F91"/>
    <w:rsid w:val="00EB1523"/>
    <w:rsid w:val="00EC0E49"/>
    <w:rsid w:val="00EC101F"/>
    <w:rsid w:val="00EC1D9F"/>
    <w:rsid w:val="00ED5943"/>
    <w:rsid w:val="00EE0131"/>
    <w:rsid w:val="00EE17B0"/>
    <w:rsid w:val="00EF06D9"/>
    <w:rsid w:val="00F079F3"/>
    <w:rsid w:val="00F3049E"/>
    <w:rsid w:val="00F30631"/>
    <w:rsid w:val="00F30C64"/>
    <w:rsid w:val="00F32BA2"/>
    <w:rsid w:val="00F32CDB"/>
    <w:rsid w:val="00F334CC"/>
    <w:rsid w:val="00F40060"/>
    <w:rsid w:val="00F56423"/>
    <w:rsid w:val="00F565FE"/>
    <w:rsid w:val="00F63A70"/>
    <w:rsid w:val="00F63D8C"/>
    <w:rsid w:val="00F7534E"/>
    <w:rsid w:val="00F93EDF"/>
    <w:rsid w:val="00F9759A"/>
    <w:rsid w:val="00FA0A6A"/>
    <w:rsid w:val="00FA1802"/>
    <w:rsid w:val="00FA21D0"/>
    <w:rsid w:val="00FA3C9A"/>
    <w:rsid w:val="00FA4EDF"/>
    <w:rsid w:val="00FA5F5F"/>
    <w:rsid w:val="00FA6FE9"/>
    <w:rsid w:val="00FB730C"/>
    <w:rsid w:val="00FC2695"/>
    <w:rsid w:val="00FC3E03"/>
    <w:rsid w:val="00FC3FC1"/>
    <w:rsid w:val="00FE179E"/>
    <w:rsid w:val="00FE5E4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B858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575">
      <w:bodyDiv w:val="1"/>
      <w:marLeft w:val="0"/>
      <w:marRight w:val="0"/>
      <w:marTop w:val="0"/>
      <w:marBottom w:val="0"/>
      <w:divBdr>
        <w:top w:val="none" w:sz="0" w:space="0" w:color="auto"/>
        <w:left w:val="none" w:sz="0" w:space="0" w:color="auto"/>
        <w:bottom w:val="none" w:sz="0" w:space="0" w:color="auto"/>
        <w:right w:val="none" w:sz="0" w:space="0" w:color="auto"/>
      </w:divBdr>
      <w:divsChild>
        <w:div w:id="1396004978">
          <w:marLeft w:val="0"/>
          <w:marRight w:val="0"/>
          <w:marTop w:val="0"/>
          <w:marBottom w:val="0"/>
          <w:divBdr>
            <w:top w:val="none" w:sz="0" w:space="0" w:color="auto"/>
            <w:left w:val="none" w:sz="0" w:space="0" w:color="auto"/>
            <w:bottom w:val="none" w:sz="0" w:space="0" w:color="auto"/>
            <w:right w:val="none" w:sz="0" w:space="0" w:color="auto"/>
          </w:divBdr>
          <w:divsChild>
            <w:div w:id="147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6</Pages>
  <Words>7155</Words>
  <Characters>40787</Characters>
  <Application>Microsoft Office Word</Application>
  <DocSecurity>0</DocSecurity>
  <Lines>339</Lines>
  <Paragraphs>95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Copelli Sabrina</cp:lastModifiedBy>
  <cp:revision>131</cp:revision>
  <cp:lastPrinted>2015-05-12T18:31:00Z</cp:lastPrinted>
  <dcterms:created xsi:type="dcterms:W3CDTF">2022-09-21T08:52:00Z</dcterms:created>
  <dcterms:modified xsi:type="dcterms:W3CDTF">2023-04-20T12:30:00Z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id="CRSpZZHc"/&gt;&lt;style id="http://www.zotero.org/styles/journal-of-loss-prevention-in-the-process-industries" hasBibliography="1" bibliographyStyleHasBeenSet="1"/&gt;&lt;prefs&gt;&lt;pref name="fieldType" value="</vt:lpwstr>
  </property>
  <property fmtid="{D5CDD505-2E9C-101B-9397-08002B2CF9AE}" pid="3" name="ZOTERO_PREF_2">
    <vt:lpwstr>Field"/&gt;&lt;pref name="storeReferences" value="true"/&gt;&lt;/prefs&gt;&lt;/data&gt;</vt:lpwstr>
  </property>
</Properties>
</file>